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52CE92AA" w:rsidR="00A23A3E" w:rsidRDefault="00FE46F2" w:rsidP="00C8358A">
      <w:pPr>
        <w:pStyle w:val="Title"/>
        <w:sectPr w:rsidR="00A23A3E" w:rsidSect="003C3E0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5004BB">
        <w:t>4</w:t>
      </w:r>
      <w:r w:rsidR="005E778F">
        <w:t>1</w:t>
      </w:r>
    </w:p>
    <w:p w14:paraId="348D1164" w14:textId="2A8AD5BC" w:rsidR="00A23A3E" w:rsidRDefault="00123781" w:rsidP="009F5A83">
      <w:pPr>
        <w:pStyle w:val="Heading1nonumber"/>
      </w:pPr>
      <w:bookmarkStart w:id="1" w:name="_Toc165552820"/>
      <w:r>
        <w:t>About the</w:t>
      </w:r>
      <w:r w:rsidR="00A23A3E">
        <w:t xml:space="preserve"> committee</w:t>
      </w:r>
      <w:bookmarkEnd w:id="1"/>
    </w:p>
    <w:p w14:paraId="5F0FD841" w14:textId="4E43C4A1" w:rsidR="00123781" w:rsidRDefault="00D23E3A" w:rsidP="000030B4">
      <w:pPr>
        <w:pStyle w:val="Heading20"/>
      </w:pPr>
      <w:bookmarkStart w:id="2" w:name="_Toc165552821"/>
      <w:r>
        <w:t>Establishing resolution</w:t>
      </w:r>
      <w:bookmarkEnd w:id="2"/>
    </w:p>
    <w:p w14:paraId="12BE434B" w14:textId="5CC02229" w:rsidR="00024F1A" w:rsidRDefault="00123781" w:rsidP="00123781">
      <w:r>
        <w:t xml:space="preserve">The Assembly established </w:t>
      </w:r>
      <w:r w:rsidR="00024F1A">
        <w:t>the</w:t>
      </w:r>
      <w:r>
        <w:t xml:space="preserve"> </w:t>
      </w:r>
      <w:fldSimple w:instr=" STYLEREF  &quot;Cover - Committee name&quot;  \* MERGEFORMAT ">
        <w:r w:rsidR="00D86F7E">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53295321" w:rsidR="00FB72F9" w:rsidRPr="00697120" w:rsidRDefault="000030B4"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51D465C9"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0030B4">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0030B4">
      <w:pPr>
        <w:pStyle w:val="Heading20"/>
      </w:pPr>
      <w:bookmarkStart w:id="3" w:name="_Toc148444489"/>
      <w:bookmarkStart w:id="4" w:name="_Toc165552822"/>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0030B4">
      <w:pPr>
        <w:pStyle w:val="Heading20"/>
      </w:pPr>
      <w:bookmarkStart w:id="5" w:name="_Toc148444490"/>
      <w:bookmarkStart w:id="6" w:name="_Toc165552823"/>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00AF7AEA" w:rsidR="008D102D" w:rsidRDefault="008D102D" w:rsidP="008D102D">
      <w:pPr>
        <w:pStyle w:val="List"/>
      </w:pPr>
      <w:r>
        <w:t xml:space="preserve">Frieda Scott, </w:t>
      </w:r>
      <w:r w:rsidR="00B46BE9">
        <w:t>Assistant Secretary</w:t>
      </w:r>
    </w:p>
    <w:p w14:paraId="123BA736" w14:textId="3F55A5CE" w:rsidR="00CE02FD" w:rsidRPr="00A23A3E" w:rsidRDefault="00CE02FD" w:rsidP="008D102D">
      <w:pPr>
        <w:pStyle w:val="List"/>
      </w:pPr>
      <w:r>
        <w:t xml:space="preserve">Melissa </w:t>
      </w:r>
      <w:r w:rsidRPr="00CE02FD">
        <w:t>Trpkovski</w:t>
      </w:r>
      <w:r>
        <w:t>, Administration Officer</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0030B4">
      <w:pPr>
        <w:pStyle w:val="Heading20"/>
      </w:pPr>
      <w:bookmarkStart w:id="7" w:name="_Toc148444491"/>
      <w:bookmarkStart w:id="8" w:name="_Toc165552824"/>
      <w:r>
        <w:t>Contact us</w:t>
      </w:r>
      <w:bookmarkEnd w:id="7"/>
      <w:bookmarkEnd w:id="8"/>
    </w:p>
    <w:p w14:paraId="41AE1649" w14:textId="51442197" w:rsidR="008D102D" w:rsidRDefault="008D102D" w:rsidP="008D102D">
      <w:pPr>
        <w:ind w:left="1134" w:hanging="1134"/>
      </w:pPr>
      <w:r>
        <w:rPr>
          <w:b/>
          <w:bCs/>
        </w:rPr>
        <w:t>Mail</w:t>
      </w:r>
      <w:r>
        <w:tab/>
      </w:r>
      <w:r w:rsidR="00D86F7E">
        <w:fldChar w:fldCharType="begin"/>
      </w:r>
      <w:r w:rsidR="00D86F7E">
        <w:instrText xml:space="preserve"> STYLEREF  "Cover - Committee name"  \* MERGEFORMAT </w:instrText>
      </w:r>
      <w:r w:rsidR="00D86F7E">
        <w:fldChar w:fldCharType="separate"/>
      </w:r>
      <w:r w:rsidR="00D86F7E">
        <w:rPr>
          <w:noProof/>
        </w:rPr>
        <w:t>Standing Committee on Justice and Community Safety (Legislative Scrutiny Role)</w:t>
      </w:r>
      <w:r w:rsidR="00D86F7E">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5"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468651AD" w14:textId="77777777" w:rsidR="008D102D" w:rsidRPr="00AF7746" w:rsidRDefault="008D102D" w:rsidP="000030B4">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65552825"/>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2571CC79" w14:textId="1FB81D1B" w:rsidR="0057740E"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65552820" w:history="1">
            <w:r w:rsidR="0057740E" w:rsidRPr="00631F76">
              <w:rPr>
                <w:rStyle w:val="Hyperlink"/>
              </w:rPr>
              <w:t>About the committee</w:t>
            </w:r>
            <w:r w:rsidR="0057740E">
              <w:rPr>
                <w:webHidden/>
              </w:rPr>
              <w:tab/>
            </w:r>
            <w:r w:rsidR="0057740E">
              <w:rPr>
                <w:webHidden/>
              </w:rPr>
              <w:fldChar w:fldCharType="begin"/>
            </w:r>
            <w:r w:rsidR="0057740E">
              <w:rPr>
                <w:webHidden/>
              </w:rPr>
              <w:instrText xml:space="preserve"> PAGEREF _Toc165552820 \h </w:instrText>
            </w:r>
            <w:r w:rsidR="0057740E">
              <w:rPr>
                <w:webHidden/>
              </w:rPr>
            </w:r>
            <w:r w:rsidR="0057740E">
              <w:rPr>
                <w:webHidden/>
              </w:rPr>
              <w:fldChar w:fldCharType="separate"/>
            </w:r>
            <w:r w:rsidR="00D86F7E">
              <w:rPr>
                <w:webHidden/>
              </w:rPr>
              <w:t>i</w:t>
            </w:r>
            <w:r w:rsidR="0057740E">
              <w:rPr>
                <w:webHidden/>
              </w:rPr>
              <w:fldChar w:fldCharType="end"/>
            </w:r>
          </w:hyperlink>
        </w:p>
        <w:p w14:paraId="19BDF58E" w14:textId="65FA591E" w:rsidR="0057740E" w:rsidRDefault="00D86F7E">
          <w:pPr>
            <w:pStyle w:val="TOC2"/>
            <w:rPr>
              <w:rFonts w:eastAsiaTheme="minorEastAsia"/>
              <w:kern w:val="2"/>
              <w:lang w:eastAsia="en-AU"/>
              <w14:ligatures w14:val="standardContextual"/>
            </w:rPr>
          </w:pPr>
          <w:hyperlink w:anchor="_Toc165552821" w:history="1">
            <w:r w:rsidR="0057740E" w:rsidRPr="00631F76">
              <w:rPr>
                <w:rStyle w:val="Hyperlink"/>
              </w:rPr>
              <w:t>Establishing resolution</w:t>
            </w:r>
            <w:r w:rsidR="0057740E">
              <w:rPr>
                <w:webHidden/>
              </w:rPr>
              <w:tab/>
            </w:r>
            <w:r w:rsidR="0057740E">
              <w:rPr>
                <w:webHidden/>
              </w:rPr>
              <w:fldChar w:fldCharType="begin"/>
            </w:r>
            <w:r w:rsidR="0057740E">
              <w:rPr>
                <w:webHidden/>
              </w:rPr>
              <w:instrText xml:space="preserve"> PAGEREF _Toc165552821 \h </w:instrText>
            </w:r>
            <w:r w:rsidR="0057740E">
              <w:rPr>
                <w:webHidden/>
              </w:rPr>
            </w:r>
            <w:r w:rsidR="0057740E">
              <w:rPr>
                <w:webHidden/>
              </w:rPr>
              <w:fldChar w:fldCharType="separate"/>
            </w:r>
            <w:r>
              <w:rPr>
                <w:webHidden/>
              </w:rPr>
              <w:t>i</w:t>
            </w:r>
            <w:r w:rsidR="0057740E">
              <w:rPr>
                <w:webHidden/>
              </w:rPr>
              <w:fldChar w:fldCharType="end"/>
            </w:r>
          </w:hyperlink>
        </w:p>
        <w:p w14:paraId="278219E3" w14:textId="5476C788" w:rsidR="0057740E" w:rsidRDefault="00D86F7E">
          <w:pPr>
            <w:pStyle w:val="TOC2"/>
            <w:rPr>
              <w:rFonts w:eastAsiaTheme="minorEastAsia"/>
              <w:kern w:val="2"/>
              <w:lang w:eastAsia="en-AU"/>
              <w14:ligatures w14:val="standardContextual"/>
            </w:rPr>
          </w:pPr>
          <w:hyperlink w:anchor="_Toc165552822" w:history="1">
            <w:r w:rsidR="0057740E" w:rsidRPr="00631F76">
              <w:rPr>
                <w:rStyle w:val="Hyperlink"/>
              </w:rPr>
              <w:t>Committee members</w:t>
            </w:r>
            <w:r w:rsidR="0057740E">
              <w:rPr>
                <w:webHidden/>
              </w:rPr>
              <w:tab/>
            </w:r>
            <w:r w:rsidR="0057740E">
              <w:rPr>
                <w:webHidden/>
              </w:rPr>
              <w:fldChar w:fldCharType="begin"/>
            </w:r>
            <w:r w:rsidR="0057740E">
              <w:rPr>
                <w:webHidden/>
              </w:rPr>
              <w:instrText xml:space="preserve"> PAGEREF _Toc165552822 \h </w:instrText>
            </w:r>
            <w:r w:rsidR="0057740E">
              <w:rPr>
                <w:webHidden/>
              </w:rPr>
            </w:r>
            <w:r w:rsidR="0057740E">
              <w:rPr>
                <w:webHidden/>
              </w:rPr>
              <w:fldChar w:fldCharType="separate"/>
            </w:r>
            <w:r>
              <w:rPr>
                <w:webHidden/>
              </w:rPr>
              <w:t>ii</w:t>
            </w:r>
            <w:r w:rsidR="0057740E">
              <w:rPr>
                <w:webHidden/>
              </w:rPr>
              <w:fldChar w:fldCharType="end"/>
            </w:r>
          </w:hyperlink>
        </w:p>
        <w:p w14:paraId="4527D003" w14:textId="61D29CA4" w:rsidR="0057740E" w:rsidRDefault="00D86F7E">
          <w:pPr>
            <w:pStyle w:val="TOC2"/>
            <w:rPr>
              <w:rFonts w:eastAsiaTheme="minorEastAsia"/>
              <w:kern w:val="2"/>
              <w:lang w:eastAsia="en-AU"/>
              <w14:ligatures w14:val="standardContextual"/>
            </w:rPr>
          </w:pPr>
          <w:hyperlink w:anchor="_Toc165552823" w:history="1">
            <w:r w:rsidR="0057740E" w:rsidRPr="00631F76">
              <w:rPr>
                <w:rStyle w:val="Hyperlink"/>
              </w:rPr>
              <w:t>Secretariat</w:t>
            </w:r>
            <w:r w:rsidR="0057740E">
              <w:rPr>
                <w:webHidden/>
              </w:rPr>
              <w:tab/>
            </w:r>
            <w:r w:rsidR="0057740E">
              <w:rPr>
                <w:webHidden/>
              </w:rPr>
              <w:fldChar w:fldCharType="begin"/>
            </w:r>
            <w:r w:rsidR="0057740E">
              <w:rPr>
                <w:webHidden/>
              </w:rPr>
              <w:instrText xml:space="preserve"> PAGEREF _Toc165552823 \h </w:instrText>
            </w:r>
            <w:r w:rsidR="0057740E">
              <w:rPr>
                <w:webHidden/>
              </w:rPr>
            </w:r>
            <w:r w:rsidR="0057740E">
              <w:rPr>
                <w:webHidden/>
              </w:rPr>
              <w:fldChar w:fldCharType="separate"/>
            </w:r>
            <w:r>
              <w:rPr>
                <w:webHidden/>
              </w:rPr>
              <w:t>ii</w:t>
            </w:r>
            <w:r w:rsidR="0057740E">
              <w:rPr>
                <w:webHidden/>
              </w:rPr>
              <w:fldChar w:fldCharType="end"/>
            </w:r>
          </w:hyperlink>
        </w:p>
        <w:p w14:paraId="2363E5EC" w14:textId="37FB520F" w:rsidR="0057740E" w:rsidRDefault="00D86F7E">
          <w:pPr>
            <w:pStyle w:val="TOC2"/>
            <w:rPr>
              <w:rFonts w:eastAsiaTheme="minorEastAsia"/>
              <w:kern w:val="2"/>
              <w:lang w:eastAsia="en-AU"/>
              <w14:ligatures w14:val="standardContextual"/>
            </w:rPr>
          </w:pPr>
          <w:hyperlink w:anchor="_Toc165552824" w:history="1">
            <w:r w:rsidR="0057740E" w:rsidRPr="00631F76">
              <w:rPr>
                <w:rStyle w:val="Hyperlink"/>
              </w:rPr>
              <w:t>Contact us</w:t>
            </w:r>
            <w:r w:rsidR="0057740E">
              <w:rPr>
                <w:webHidden/>
              </w:rPr>
              <w:tab/>
            </w:r>
            <w:r w:rsidR="0057740E">
              <w:rPr>
                <w:webHidden/>
              </w:rPr>
              <w:fldChar w:fldCharType="begin"/>
            </w:r>
            <w:r w:rsidR="0057740E">
              <w:rPr>
                <w:webHidden/>
              </w:rPr>
              <w:instrText xml:space="preserve"> PAGEREF _Toc165552824 \h </w:instrText>
            </w:r>
            <w:r w:rsidR="0057740E">
              <w:rPr>
                <w:webHidden/>
              </w:rPr>
            </w:r>
            <w:r w:rsidR="0057740E">
              <w:rPr>
                <w:webHidden/>
              </w:rPr>
              <w:fldChar w:fldCharType="separate"/>
            </w:r>
            <w:r>
              <w:rPr>
                <w:webHidden/>
              </w:rPr>
              <w:t>ii</w:t>
            </w:r>
            <w:r w:rsidR="0057740E">
              <w:rPr>
                <w:webHidden/>
              </w:rPr>
              <w:fldChar w:fldCharType="end"/>
            </w:r>
          </w:hyperlink>
        </w:p>
        <w:p w14:paraId="4A78589D" w14:textId="5841C0EB" w:rsidR="0057740E" w:rsidRDefault="00D86F7E">
          <w:pPr>
            <w:pStyle w:val="TOC2"/>
            <w:rPr>
              <w:rFonts w:eastAsiaTheme="minorEastAsia"/>
              <w:kern w:val="2"/>
              <w:lang w:eastAsia="en-AU"/>
              <w14:ligatures w14:val="standardContextual"/>
            </w:rPr>
          </w:pPr>
          <w:hyperlink w:anchor="_Toc165552825" w:history="1">
            <w:r w:rsidR="0057740E" w:rsidRPr="00631F76">
              <w:rPr>
                <w:rStyle w:val="Hyperlink"/>
              </w:rPr>
              <w:t>Role of Committee</w:t>
            </w:r>
            <w:r w:rsidR="0057740E">
              <w:rPr>
                <w:webHidden/>
              </w:rPr>
              <w:tab/>
            </w:r>
            <w:r w:rsidR="0057740E">
              <w:rPr>
                <w:webHidden/>
              </w:rPr>
              <w:fldChar w:fldCharType="begin"/>
            </w:r>
            <w:r w:rsidR="0057740E">
              <w:rPr>
                <w:webHidden/>
              </w:rPr>
              <w:instrText xml:space="preserve"> PAGEREF _Toc165552825 \h </w:instrText>
            </w:r>
            <w:r w:rsidR="0057740E">
              <w:rPr>
                <w:webHidden/>
              </w:rPr>
            </w:r>
            <w:r w:rsidR="0057740E">
              <w:rPr>
                <w:webHidden/>
              </w:rPr>
              <w:fldChar w:fldCharType="separate"/>
            </w:r>
            <w:r>
              <w:rPr>
                <w:webHidden/>
              </w:rPr>
              <w:t>ii</w:t>
            </w:r>
            <w:r w:rsidR="0057740E">
              <w:rPr>
                <w:webHidden/>
              </w:rPr>
              <w:fldChar w:fldCharType="end"/>
            </w:r>
          </w:hyperlink>
        </w:p>
        <w:p w14:paraId="05EC5CA0" w14:textId="387BA7BC" w:rsidR="0057740E" w:rsidRDefault="00D86F7E">
          <w:pPr>
            <w:pStyle w:val="TOC1"/>
            <w:rPr>
              <w:rFonts w:asciiTheme="minorHAnsi" w:eastAsiaTheme="minorEastAsia" w:hAnsiTheme="minorHAnsi"/>
              <w:b w:val="0"/>
              <w:bCs w:val="0"/>
              <w:color w:val="auto"/>
              <w:w w:val="100"/>
              <w:kern w:val="2"/>
              <w:sz w:val="22"/>
              <w:lang w:eastAsia="en-AU"/>
              <w14:ligatures w14:val="standardContextual"/>
            </w:rPr>
          </w:pPr>
          <w:hyperlink w:anchor="_Toc165552826" w:history="1">
            <w:r w:rsidR="0057740E" w:rsidRPr="00631F76">
              <w:rPr>
                <w:rStyle w:val="Hyperlink"/>
              </w:rPr>
              <w:t>1.</w:t>
            </w:r>
            <w:r w:rsidR="0057740E">
              <w:rPr>
                <w:rFonts w:asciiTheme="minorHAnsi" w:eastAsiaTheme="minorEastAsia" w:hAnsiTheme="minorHAnsi"/>
                <w:b w:val="0"/>
                <w:bCs w:val="0"/>
                <w:color w:val="auto"/>
                <w:w w:val="100"/>
                <w:kern w:val="2"/>
                <w:sz w:val="22"/>
                <w:lang w:eastAsia="en-AU"/>
                <w14:ligatures w14:val="standardContextual"/>
              </w:rPr>
              <w:tab/>
            </w:r>
            <w:r w:rsidR="0057740E" w:rsidRPr="00631F76">
              <w:rPr>
                <w:rStyle w:val="Hyperlink"/>
              </w:rPr>
              <w:t>Bills</w:t>
            </w:r>
            <w:r w:rsidR="0057740E">
              <w:rPr>
                <w:webHidden/>
              </w:rPr>
              <w:tab/>
            </w:r>
            <w:r w:rsidR="0057740E">
              <w:rPr>
                <w:webHidden/>
              </w:rPr>
              <w:fldChar w:fldCharType="begin"/>
            </w:r>
            <w:r w:rsidR="0057740E">
              <w:rPr>
                <w:webHidden/>
              </w:rPr>
              <w:instrText xml:space="preserve"> PAGEREF _Toc165552826 \h </w:instrText>
            </w:r>
            <w:r w:rsidR="0057740E">
              <w:rPr>
                <w:webHidden/>
              </w:rPr>
            </w:r>
            <w:r w:rsidR="0057740E">
              <w:rPr>
                <w:webHidden/>
              </w:rPr>
              <w:fldChar w:fldCharType="separate"/>
            </w:r>
            <w:r>
              <w:rPr>
                <w:webHidden/>
              </w:rPr>
              <w:t>1</w:t>
            </w:r>
            <w:r w:rsidR="0057740E">
              <w:rPr>
                <w:webHidden/>
              </w:rPr>
              <w:fldChar w:fldCharType="end"/>
            </w:r>
          </w:hyperlink>
        </w:p>
        <w:p w14:paraId="57AA1494" w14:textId="48560A64" w:rsidR="0057740E" w:rsidRDefault="00D86F7E">
          <w:pPr>
            <w:pStyle w:val="TOC2"/>
            <w:rPr>
              <w:rFonts w:eastAsiaTheme="minorEastAsia"/>
              <w:kern w:val="2"/>
              <w:lang w:eastAsia="en-AU"/>
              <w14:ligatures w14:val="standardContextual"/>
            </w:rPr>
          </w:pPr>
          <w:hyperlink w:anchor="_Toc165552827" w:history="1">
            <w:r w:rsidR="0057740E" w:rsidRPr="00631F76">
              <w:rPr>
                <w:rStyle w:val="Hyperlink"/>
              </w:rPr>
              <w:t>Bills—No comment</w:t>
            </w:r>
            <w:r w:rsidR="0057740E">
              <w:rPr>
                <w:webHidden/>
              </w:rPr>
              <w:tab/>
            </w:r>
            <w:r w:rsidR="0057740E">
              <w:rPr>
                <w:webHidden/>
              </w:rPr>
              <w:fldChar w:fldCharType="begin"/>
            </w:r>
            <w:r w:rsidR="0057740E">
              <w:rPr>
                <w:webHidden/>
              </w:rPr>
              <w:instrText xml:space="preserve"> PAGEREF _Toc165552827 \h </w:instrText>
            </w:r>
            <w:r w:rsidR="0057740E">
              <w:rPr>
                <w:webHidden/>
              </w:rPr>
            </w:r>
            <w:r w:rsidR="0057740E">
              <w:rPr>
                <w:webHidden/>
              </w:rPr>
              <w:fldChar w:fldCharType="separate"/>
            </w:r>
            <w:r>
              <w:rPr>
                <w:webHidden/>
              </w:rPr>
              <w:t>1</w:t>
            </w:r>
            <w:r w:rsidR="0057740E">
              <w:rPr>
                <w:webHidden/>
              </w:rPr>
              <w:fldChar w:fldCharType="end"/>
            </w:r>
          </w:hyperlink>
        </w:p>
        <w:p w14:paraId="32E46348" w14:textId="5F0BC276" w:rsidR="0057740E" w:rsidRDefault="00D86F7E">
          <w:pPr>
            <w:pStyle w:val="TOC3"/>
            <w:rPr>
              <w:rFonts w:eastAsiaTheme="minorEastAsia"/>
              <w:kern w:val="2"/>
              <w:lang w:eastAsia="en-AU"/>
              <w14:ligatures w14:val="standardContextual"/>
            </w:rPr>
          </w:pPr>
          <w:hyperlink w:anchor="_Toc165552828" w:history="1">
            <w:r w:rsidR="0057740E" w:rsidRPr="00631F76">
              <w:rPr>
                <w:rStyle w:val="Hyperlink"/>
              </w:rPr>
              <w:t>Crimes (Sentence Administration) Amendment Bill 2024</w:t>
            </w:r>
            <w:r w:rsidR="0057740E">
              <w:rPr>
                <w:webHidden/>
              </w:rPr>
              <w:tab/>
            </w:r>
            <w:r w:rsidR="0057740E">
              <w:rPr>
                <w:webHidden/>
              </w:rPr>
              <w:fldChar w:fldCharType="begin"/>
            </w:r>
            <w:r w:rsidR="0057740E">
              <w:rPr>
                <w:webHidden/>
              </w:rPr>
              <w:instrText xml:space="preserve"> PAGEREF _Toc165552828 \h </w:instrText>
            </w:r>
            <w:r w:rsidR="0057740E">
              <w:rPr>
                <w:webHidden/>
              </w:rPr>
            </w:r>
            <w:r w:rsidR="0057740E">
              <w:rPr>
                <w:webHidden/>
              </w:rPr>
              <w:fldChar w:fldCharType="separate"/>
            </w:r>
            <w:r>
              <w:rPr>
                <w:webHidden/>
              </w:rPr>
              <w:t>1</w:t>
            </w:r>
            <w:r w:rsidR="0057740E">
              <w:rPr>
                <w:webHidden/>
              </w:rPr>
              <w:fldChar w:fldCharType="end"/>
            </w:r>
          </w:hyperlink>
        </w:p>
        <w:p w14:paraId="7EC1A21C" w14:textId="0BFB5360" w:rsidR="0057740E" w:rsidRDefault="00D86F7E">
          <w:pPr>
            <w:pStyle w:val="TOC3"/>
            <w:rPr>
              <w:rFonts w:eastAsiaTheme="minorEastAsia"/>
              <w:kern w:val="2"/>
              <w:lang w:eastAsia="en-AU"/>
              <w14:ligatures w14:val="standardContextual"/>
            </w:rPr>
          </w:pPr>
          <w:hyperlink w:anchor="_Toc165552829" w:history="1">
            <w:r w:rsidR="0057740E" w:rsidRPr="00631F76">
              <w:rPr>
                <w:rStyle w:val="Hyperlink"/>
              </w:rPr>
              <w:t>Heritage Amendment Bill 2024</w:t>
            </w:r>
            <w:r w:rsidR="0057740E">
              <w:rPr>
                <w:webHidden/>
              </w:rPr>
              <w:tab/>
            </w:r>
            <w:r w:rsidR="0057740E">
              <w:rPr>
                <w:webHidden/>
              </w:rPr>
              <w:fldChar w:fldCharType="begin"/>
            </w:r>
            <w:r w:rsidR="0057740E">
              <w:rPr>
                <w:webHidden/>
              </w:rPr>
              <w:instrText xml:space="preserve"> PAGEREF _Toc165552829 \h </w:instrText>
            </w:r>
            <w:r w:rsidR="0057740E">
              <w:rPr>
                <w:webHidden/>
              </w:rPr>
            </w:r>
            <w:r w:rsidR="0057740E">
              <w:rPr>
                <w:webHidden/>
              </w:rPr>
              <w:fldChar w:fldCharType="separate"/>
            </w:r>
            <w:r>
              <w:rPr>
                <w:webHidden/>
              </w:rPr>
              <w:t>1</w:t>
            </w:r>
            <w:r w:rsidR="0057740E">
              <w:rPr>
                <w:webHidden/>
              </w:rPr>
              <w:fldChar w:fldCharType="end"/>
            </w:r>
          </w:hyperlink>
        </w:p>
        <w:p w14:paraId="65750E05" w14:textId="5ADBF6D9" w:rsidR="0057740E" w:rsidRDefault="00D86F7E">
          <w:pPr>
            <w:pStyle w:val="TOC3"/>
            <w:rPr>
              <w:rFonts w:eastAsiaTheme="minorEastAsia"/>
              <w:kern w:val="2"/>
              <w:lang w:eastAsia="en-AU"/>
              <w14:ligatures w14:val="standardContextual"/>
            </w:rPr>
          </w:pPr>
          <w:hyperlink w:anchor="_Toc165552830" w:history="1">
            <w:r w:rsidR="0057740E" w:rsidRPr="00631F76">
              <w:rPr>
                <w:rStyle w:val="Hyperlink"/>
              </w:rPr>
              <w:t>Independent Competition and Regulatory Commission Amendment Bill 2024</w:t>
            </w:r>
            <w:r w:rsidR="0057740E">
              <w:rPr>
                <w:webHidden/>
              </w:rPr>
              <w:tab/>
            </w:r>
            <w:r w:rsidR="0057740E">
              <w:rPr>
                <w:webHidden/>
              </w:rPr>
              <w:fldChar w:fldCharType="begin"/>
            </w:r>
            <w:r w:rsidR="0057740E">
              <w:rPr>
                <w:webHidden/>
              </w:rPr>
              <w:instrText xml:space="preserve"> PAGEREF _Toc165552830 \h </w:instrText>
            </w:r>
            <w:r w:rsidR="0057740E">
              <w:rPr>
                <w:webHidden/>
              </w:rPr>
            </w:r>
            <w:r w:rsidR="0057740E">
              <w:rPr>
                <w:webHidden/>
              </w:rPr>
              <w:fldChar w:fldCharType="separate"/>
            </w:r>
            <w:r>
              <w:rPr>
                <w:webHidden/>
              </w:rPr>
              <w:t>1</w:t>
            </w:r>
            <w:r w:rsidR="0057740E">
              <w:rPr>
                <w:webHidden/>
              </w:rPr>
              <w:fldChar w:fldCharType="end"/>
            </w:r>
          </w:hyperlink>
        </w:p>
        <w:p w14:paraId="56A7CDC7" w14:textId="7F1DFF2A" w:rsidR="0057740E" w:rsidRDefault="00D86F7E">
          <w:pPr>
            <w:pStyle w:val="TOC2"/>
            <w:rPr>
              <w:rFonts w:eastAsiaTheme="minorEastAsia"/>
              <w:kern w:val="2"/>
              <w:lang w:eastAsia="en-AU"/>
              <w14:ligatures w14:val="standardContextual"/>
            </w:rPr>
          </w:pPr>
          <w:hyperlink w:anchor="_Toc165552831" w:history="1">
            <w:r w:rsidR="0057740E" w:rsidRPr="00631F76">
              <w:rPr>
                <w:rStyle w:val="Hyperlink"/>
              </w:rPr>
              <w:t>Bills—Comment</w:t>
            </w:r>
            <w:r w:rsidR="0057740E">
              <w:rPr>
                <w:webHidden/>
              </w:rPr>
              <w:tab/>
            </w:r>
            <w:r w:rsidR="0057740E">
              <w:rPr>
                <w:webHidden/>
              </w:rPr>
              <w:fldChar w:fldCharType="begin"/>
            </w:r>
            <w:r w:rsidR="0057740E">
              <w:rPr>
                <w:webHidden/>
              </w:rPr>
              <w:instrText xml:space="preserve"> PAGEREF _Toc165552831 \h </w:instrText>
            </w:r>
            <w:r w:rsidR="0057740E">
              <w:rPr>
                <w:webHidden/>
              </w:rPr>
            </w:r>
            <w:r w:rsidR="0057740E">
              <w:rPr>
                <w:webHidden/>
              </w:rPr>
              <w:fldChar w:fldCharType="separate"/>
            </w:r>
            <w:r>
              <w:rPr>
                <w:webHidden/>
              </w:rPr>
              <w:t>1</w:t>
            </w:r>
            <w:r w:rsidR="0057740E">
              <w:rPr>
                <w:webHidden/>
              </w:rPr>
              <w:fldChar w:fldCharType="end"/>
            </w:r>
          </w:hyperlink>
        </w:p>
        <w:p w14:paraId="7E8E1DB6" w14:textId="0499E508" w:rsidR="0057740E" w:rsidRDefault="00D86F7E">
          <w:pPr>
            <w:pStyle w:val="TOC3"/>
            <w:rPr>
              <w:rFonts w:eastAsiaTheme="minorEastAsia"/>
              <w:kern w:val="2"/>
              <w:lang w:eastAsia="en-AU"/>
              <w14:ligatures w14:val="standardContextual"/>
            </w:rPr>
          </w:pPr>
          <w:hyperlink w:anchor="_Toc165552832" w:history="1">
            <w:r w:rsidR="0057740E" w:rsidRPr="00631F76">
              <w:rPr>
                <w:rStyle w:val="Hyperlink"/>
              </w:rPr>
              <w:t>Crimes (Disclosure) Legislation Amendment Bill 2024</w:t>
            </w:r>
            <w:r w:rsidR="0057740E">
              <w:rPr>
                <w:webHidden/>
              </w:rPr>
              <w:tab/>
            </w:r>
            <w:r w:rsidR="0057740E">
              <w:rPr>
                <w:webHidden/>
              </w:rPr>
              <w:fldChar w:fldCharType="begin"/>
            </w:r>
            <w:r w:rsidR="0057740E">
              <w:rPr>
                <w:webHidden/>
              </w:rPr>
              <w:instrText xml:space="preserve"> PAGEREF _Toc165552832 \h </w:instrText>
            </w:r>
            <w:r w:rsidR="0057740E">
              <w:rPr>
                <w:webHidden/>
              </w:rPr>
            </w:r>
            <w:r w:rsidR="0057740E">
              <w:rPr>
                <w:webHidden/>
              </w:rPr>
              <w:fldChar w:fldCharType="separate"/>
            </w:r>
            <w:r>
              <w:rPr>
                <w:webHidden/>
              </w:rPr>
              <w:t>1</w:t>
            </w:r>
            <w:r w:rsidR="0057740E">
              <w:rPr>
                <w:webHidden/>
              </w:rPr>
              <w:fldChar w:fldCharType="end"/>
            </w:r>
          </w:hyperlink>
        </w:p>
        <w:p w14:paraId="487C6110" w14:textId="12AB1960" w:rsidR="0057740E" w:rsidRDefault="00D86F7E">
          <w:pPr>
            <w:pStyle w:val="TOC3"/>
            <w:rPr>
              <w:rFonts w:eastAsiaTheme="minorEastAsia"/>
              <w:kern w:val="2"/>
              <w:lang w:eastAsia="en-AU"/>
              <w14:ligatures w14:val="standardContextual"/>
            </w:rPr>
          </w:pPr>
          <w:hyperlink w:anchor="_Toc165552835" w:history="1">
            <w:r w:rsidR="0057740E" w:rsidRPr="00631F76">
              <w:rPr>
                <w:rStyle w:val="Hyperlink"/>
              </w:rPr>
              <w:t>Education Amendment Bill 2024</w:t>
            </w:r>
            <w:r w:rsidR="0057740E">
              <w:rPr>
                <w:webHidden/>
              </w:rPr>
              <w:tab/>
            </w:r>
            <w:r w:rsidR="0057740E">
              <w:rPr>
                <w:webHidden/>
              </w:rPr>
              <w:fldChar w:fldCharType="begin"/>
            </w:r>
            <w:r w:rsidR="0057740E">
              <w:rPr>
                <w:webHidden/>
              </w:rPr>
              <w:instrText xml:space="preserve"> PAGEREF _Toc165552835 \h </w:instrText>
            </w:r>
            <w:r w:rsidR="0057740E">
              <w:rPr>
                <w:webHidden/>
              </w:rPr>
            </w:r>
            <w:r w:rsidR="0057740E">
              <w:rPr>
                <w:webHidden/>
              </w:rPr>
              <w:fldChar w:fldCharType="separate"/>
            </w:r>
            <w:r>
              <w:rPr>
                <w:webHidden/>
              </w:rPr>
              <w:t>2</w:t>
            </w:r>
            <w:r w:rsidR="0057740E">
              <w:rPr>
                <w:webHidden/>
              </w:rPr>
              <w:fldChar w:fldCharType="end"/>
            </w:r>
          </w:hyperlink>
        </w:p>
        <w:p w14:paraId="0ABEB0FB" w14:textId="1AE9C2E5" w:rsidR="0057740E" w:rsidRDefault="00D86F7E">
          <w:pPr>
            <w:pStyle w:val="TOC3"/>
            <w:rPr>
              <w:rFonts w:eastAsiaTheme="minorEastAsia"/>
              <w:kern w:val="2"/>
              <w:lang w:eastAsia="en-AU"/>
              <w14:ligatures w14:val="standardContextual"/>
            </w:rPr>
          </w:pPr>
          <w:hyperlink w:anchor="_Toc165552840" w:history="1">
            <w:r w:rsidR="0057740E" w:rsidRPr="00631F76">
              <w:rPr>
                <w:rStyle w:val="Hyperlink"/>
              </w:rPr>
              <w:t>E</w:t>
            </w:r>
            <w:r w:rsidR="0057740E" w:rsidRPr="00631F76">
              <w:rPr>
                <w:rStyle w:val="Hyperlink"/>
                <w:spacing w:val="-4"/>
              </w:rPr>
              <w:t>ducation and Care Services National Law (ACT) Amendment Bill 2024</w:t>
            </w:r>
            <w:r w:rsidR="0057740E">
              <w:rPr>
                <w:webHidden/>
              </w:rPr>
              <w:tab/>
            </w:r>
            <w:r w:rsidR="0057740E">
              <w:rPr>
                <w:webHidden/>
              </w:rPr>
              <w:fldChar w:fldCharType="begin"/>
            </w:r>
            <w:r w:rsidR="0057740E">
              <w:rPr>
                <w:webHidden/>
              </w:rPr>
              <w:instrText xml:space="preserve"> PAGEREF _Toc165552840 \h </w:instrText>
            </w:r>
            <w:r w:rsidR="0057740E">
              <w:rPr>
                <w:webHidden/>
              </w:rPr>
            </w:r>
            <w:r w:rsidR="0057740E">
              <w:rPr>
                <w:webHidden/>
              </w:rPr>
              <w:fldChar w:fldCharType="separate"/>
            </w:r>
            <w:r>
              <w:rPr>
                <w:webHidden/>
              </w:rPr>
              <w:t>5</w:t>
            </w:r>
            <w:r w:rsidR="0057740E">
              <w:rPr>
                <w:webHidden/>
              </w:rPr>
              <w:fldChar w:fldCharType="end"/>
            </w:r>
          </w:hyperlink>
        </w:p>
        <w:p w14:paraId="0C463156" w14:textId="6B3CC4C8" w:rsidR="0057740E" w:rsidRDefault="00D86F7E">
          <w:pPr>
            <w:pStyle w:val="TOC3"/>
            <w:rPr>
              <w:rFonts w:eastAsiaTheme="minorEastAsia"/>
              <w:kern w:val="2"/>
              <w:lang w:eastAsia="en-AU"/>
              <w14:ligatures w14:val="standardContextual"/>
            </w:rPr>
          </w:pPr>
          <w:hyperlink w:anchor="_Toc165552843" w:history="1">
            <w:r w:rsidR="0057740E" w:rsidRPr="00631F76">
              <w:rPr>
                <w:rStyle w:val="Hyperlink"/>
              </w:rPr>
              <w:t>Health (Improved Abortion Access) Amendment Bill 2024</w:t>
            </w:r>
            <w:r w:rsidR="0057740E">
              <w:rPr>
                <w:webHidden/>
              </w:rPr>
              <w:tab/>
            </w:r>
            <w:r w:rsidR="0057740E">
              <w:rPr>
                <w:webHidden/>
              </w:rPr>
              <w:fldChar w:fldCharType="begin"/>
            </w:r>
            <w:r w:rsidR="0057740E">
              <w:rPr>
                <w:webHidden/>
              </w:rPr>
              <w:instrText xml:space="preserve"> PAGEREF _Toc165552843 \h </w:instrText>
            </w:r>
            <w:r w:rsidR="0057740E">
              <w:rPr>
                <w:webHidden/>
              </w:rPr>
            </w:r>
            <w:r w:rsidR="0057740E">
              <w:rPr>
                <w:webHidden/>
              </w:rPr>
              <w:fldChar w:fldCharType="separate"/>
            </w:r>
            <w:r>
              <w:rPr>
                <w:webHidden/>
              </w:rPr>
              <w:t>6</w:t>
            </w:r>
            <w:r w:rsidR="0057740E">
              <w:rPr>
                <w:webHidden/>
              </w:rPr>
              <w:fldChar w:fldCharType="end"/>
            </w:r>
          </w:hyperlink>
        </w:p>
        <w:p w14:paraId="2C14C7D1" w14:textId="21665AC0" w:rsidR="0057740E" w:rsidRDefault="00D86F7E">
          <w:pPr>
            <w:pStyle w:val="TOC3"/>
            <w:rPr>
              <w:rFonts w:eastAsiaTheme="minorEastAsia"/>
              <w:kern w:val="2"/>
              <w:lang w:eastAsia="en-AU"/>
              <w14:ligatures w14:val="standardContextual"/>
            </w:rPr>
          </w:pPr>
          <w:hyperlink w:anchor="_Toc165552847" w:history="1">
            <w:r w:rsidR="0057740E" w:rsidRPr="00631F76">
              <w:rPr>
                <w:rStyle w:val="Hyperlink"/>
              </w:rPr>
              <w:t>Housing and Consumer Affairs Legislation Amendment Bill 2024</w:t>
            </w:r>
            <w:r w:rsidR="0057740E">
              <w:rPr>
                <w:webHidden/>
              </w:rPr>
              <w:tab/>
            </w:r>
            <w:r w:rsidR="0057740E">
              <w:rPr>
                <w:webHidden/>
              </w:rPr>
              <w:fldChar w:fldCharType="begin"/>
            </w:r>
            <w:r w:rsidR="0057740E">
              <w:rPr>
                <w:webHidden/>
              </w:rPr>
              <w:instrText xml:space="preserve"> PAGEREF _Toc165552847 \h </w:instrText>
            </w:r>
            <w:r w:rsidR="0057740E">
              <w:rPr>
                <w:webHidden/>
              </w:rPr>
            </w:r>
            <w:r w:rsidR="0057740E">
              <w:rPr>
                <w:webHidden/>
              </w:rPr>
              <w:fldChar w:fldCharType="separate"/>
            </w:r>
            <w:r>
              <w:rPr>
                <w:webHidden/>
              </w:rPr>
              <w:t>7</w:t>
            </w:r>
            <w:r w:rsidR="0057740E">
              <w:rPr>
                <w:webHidden/>
              </w:rPr>
              <w:fldChar w:fldCharType="end"/>
            </w:r>
          </w:hyperlink>
        </w:p>
        <w:p w14:paraId="5E45D6EA" w14:textId="11B73890" w:rsidR="0057740E" w:rsidRDefault="00D86F7E">
          <w:pPr>
            <w:pStyle w:val="TOC3"/>
            <w:rPr>
              <w:rFonts w:eastAsiaTheme="minorEastAsia"/>
              <w:kern w:val="2"/>
              <w:lang w:eastAsia="en-AU"/>
              <w14:ligatures w14:val="standardContextual"/>
            </w:rPr>
          </w:pPr>
          <w:hyperlink w:anchor="_Toc165552850" w:history="1">
            <w:r w:rsidR="0057740E" w:rsidRPr="00631F76">
              <w:rPr>
                <w:rStyle w:val="Hyperlink"/>
              </w:rPr>
              <w:t>Nature Conservation Amendment Bill 2024</w:t>
            </w:r>
            <w:r w:rsidR="0057740E">
              <w:rPr>
                <w:webHidden/>
              </w:rPr>
              <w:tab/>
            </w:r>
            <w:r w:rsidR="0057740E">
              <w:rPr>
                <w:webHidden/>
              </w:rPr>
              <w:fldChar w:fldCharType="begin"/>
            </w:r>
            <w:r w:rsidR="0057740E">
              <w:rPr>
                <w:webHidden/>
              </w:rPr>
              <w:instrText xml:space="preserve"> PAGEREF _Toc165552850 \h </w:instrText>
            </w:r>
            <w:r w:rsidR="0057740E">
              <w:rPr>
                <w:webHidden/>
              </w:rPr>
            </w:r>
            <w:r w:rsidR="0057740E">
              <w:rPr>
                <w:webHidden/>
              </w:rPr>
              <w:fldChar w:fldCharType="separate"/>
            </w:r>
            <w:r>
              <w:rPr>
                <w:webHidden/>
              </w:rPr>
              <w:t>9</w:t>
            </w:r>
            <w:r w:rsidR="0057740E">
              <w:rPr>
                <w:webHidden/>
              </w:rPr>
              <w:fldChar w:fldCharType="end"/>
            </w:r>
          </w:hyperlink>
        </w:p>
        <w:p w14:paraId="46811D9E" w14:textId="04728201" w:rsidR="0057740E" w:rsidRDefault="00D86F7E">
          <w:pPr>
            <w:pStyle w:val="TOC3"/>
            <w:rPr>
              <w:rFonts w:eastAsiaTheme="minorEastAsia"/>
              <w:kern w:val="2"/>
              <w:lang w:eastAsia="en-AU"/>
              <w14:ligatures w14:val="standardContextual"/>
            </w:rPr>
          </w:pPr>
          <w:hyperlink w:anchor="_Toc165552855" w:history="1">
            <w:r w:rsidR="0057740E" w:rsidRPr="00631F76">
              <w:rPr>
                <w:rStyle w:val="Hyperlink"/>
              </w:rPr>
              <w:t>Planning and Environment Legislation Amendment Bill 2024</w:t>
            </w:r>
            <w:r w:rsidR="0057740E">
              <w:rPr>
                <w:webHidden/>
              </w:rPr>
              <w:tab/>
            </w:r>
            <w:r w:rsidR="0057740E">
              <w:rPr>
                <w:webHidden/>
              </w:rPr>
              <w:fldChar w:fldCharType="begin"/>
            </w:r>
            <w:r w:rsidR="0057740E">
              <w:rPr>
                <w:webHidden/>
              </w:rPr>
              <w:instrText xml:space="preserve"> PAGEREF _Toc165552855 \h </w:instrText>
            </w:r>
            <w:r w:rsidR="0057740E">
              <w:rPr>
                <w:webHidden/>
              </w:rPr>
            </w:r>
            <w:r w:rsidR="0057740E">
              <w:rPr>
                <w:webHidden/>
              </w:rPr>
              <w:fldChar w:fldCharType="separate"/>
            </w:r>
            <w:r>
              <w:rPr>
                <w:webHidden/>
              </w:rPr>
              <w:t>10</w:t>
            </w:r>
            <w:r w:rsidR="0057740E">
              <w:rPr>
                <w:webHidden/>
              </w:rPr>
              <w:fldChar w:fldCharType="end"/>
            </w:r>
          </w:hyperlink>
        </w:p>
        <w:p w14:paraId="6172F4CF" w14:textId="5CFB7042" w:rsidR="0057740E" w:rsidRDefault="00D86F7E">
          <w:pPr>
            <w:pStyle w:val="TOC3"/>
            <w:rPr>
              <w:rFonts w:eastAsiaTheme="minorEastAsia"/>
              <w:kern w:val="2"/>
              <w:lang w:eastAsia="en-AU"/>
              <w14:ligatures w14:val="standardContextual"/>
            </w:rPr>
          </w:pPr>
          <w:hyperlink w:anchor="_Toc165552859" w:history="1">
            <w:r w:rsidR="0057740E" w:rsidRPr="00631F76">
              <w:rPr>
                <w:rStyle w:val="Hyperlink"/>
              </w:rPr>
              <w:t>Victims of Crime (Financial Assistance) Amendment Bill 2024</w:t>
            </w:r>
            <w:r w:rsidR="0057740E">
              <w:rPr>
                <w:webHidden/>
              </w:rPr>
              <w:tab/>
            </w:r>
            <w:r w:rsidR="0057740E">
              <w:rPr>
                <w:webHidden/>
              </w:rPr>
              <w:fldChar w:fldCharType="begin"/>
            </w:r>
            <w:r w:rsidR="0057740E">
              <w:rPr>
                <w:webHidden/>
              </w:rPr>
              <w:instrText xml:space="preserve"> PAGEREF _Toc165552859 \h </w:instrText>
            </w:r>
            <w:r w:rsidR="0057740E">
              <w:rPr>
                <w:webHidden/>
              </w:rPr>
            </w:r>
            <w:r w:rsidR="0057740E">
              <w:rPr>
                <w:webHidden/>
              </w:rPr>
              <w:fldChar w:fldCharType="separate"/>
            </w:r>
            <w:r>
              <w:rPr>
                <w:webHidden/>
              </w:rPr>
              <w:t>12</w:t>
            </w:r>
            <w:r w:rsidR="0057740E">
              <w:rPr>
                <w:webHidden/>
              </w:rPr>
              <w:fldChar w:fldCharType="end"/>
            </w:r>
          </w:hyperlink>
        </w:p>
        <w:p w14:paraId="7AE87A67" w14:textId="08CDD79D" w:rsidR="0057740E" w:rsidRDefault="00D86F7E">
          <w:pPr>
            <w:pStyle w:val="TOC2"/>
            <w:rPr>
              <w:rFonts w:eastAsiaTheme="minorEastAsia"/>
              <w:kern w:val="2"/>
              <w:lang w:eastAsia="en-AU"/>
              <w14:ligatures w14:val="standardContextual"/>
            </w:rPr>
          </w:pPr>
          <w:hyperlink w:anchor="_Toc165552862" w:history="1">
            <w:r w:rsidR="0057740E" w:rsidRPr="00631F76">
              <w:rPr>
                <w:rStyle w:val="Hyperlink"/>
              </w:rPr>
              <w:t>Proposed Amendments—Comment</w:t>
            </w:r>
            <w:r w:rsidR="0057740E">
              <w:rPr>
                <w:webHidden/>
              </w:rPr>
              <w:tab/>
            </w:r>
            <w:r w:rsidR="0057740E">
              <w:rPr>
                <w:webHidden/>
              </w:rPr>
              <w:fldChar w:fldCharType="begin"/>
            </w:r>
            <w:r w:rsidR="0057740E">
              <w:rPr>
                <w:webHidden/>
              </w:rPr>
              <w:instrText xml:space="preserve"> PAGEREF _Toc165552862 \h </w:instrText>
            </w:r>
            <w:r w:rsidR="0057740E">
              <w:rPr>
                <w:webHidden/>
              </w:rPr>
            </w:r>
            <w:r w:rsidR="0057740E">
              <w:rPr>
                <w:webHidden/>
              </w:rPr>
              <w:fldChar w:fldCharType="separate"/>
            </w:r>
            <w:r>
              <w:rPr>
                <w:webHidden/>
              </w:rPr>
              <w:t>12</w:t>
            </w:r>
            <w:r w:rsidR="0057740E">
              <w:rPr>
                <w:webHidden/>
              </w:rPr>
              <w:fldChar w:fldCharType="end"/>
            </w:r>
          </w:hyperlink>
        </w:p>
        <w:p w14:paraId="43ACB256" w14:textId="23C542AD" w:rsidR="0057740E" w:rsidRDefault="00D86F7E">
          <w:pPr>
            <w:pStyle w:val="TOC3"/>
            <w:rPr>
              <w:rFonts w:eastAsiaTheme="minorEastAsia"/>
              <w:kern w:val="2"/>
              <w:lang w:eastAsia="en-AU"/>
              <w14:ligatures w14:val="standardContextual"/>
            </w:rPr>
          </w:pPr>
          <w:hyperlink w:anchor="_Toc165552863" w:history="1">
            <w:r w:rsidR="0057740E" w:rsidRPr="00631F76">
              <w:rPr>
                <w:rStyle w:val="Hyperlink"/>
              </w:rPr>
              <w:t>Voluntary Assisted Dying Bill 2023</w:t>
            </w:r>
            <w:r w:rsidR="0057740E">
              <w:rPr>
                <w:webHidden/>
              </w:rPr>
              <w:tab/>
            </w:r>
            <w:r w:rsidR="0057740E">
              <w:rPr>
                <w:webHidden/>
              </w:rPr>
              <w:fldChar w:fldCharType="begin"/>
            </w:r>
            <w:r w:rsidR="0057740E">
              <w:rPr>
                <w:webHidden/>
              </w:rPr>
              <w:instrText xml:space="preserve"> PAGEREF _Toc165552863 \h </w:instrText>
            </w:r>
            <w:r w:rsidR="0057740E">
              <w:rPr>
                <w:webHidden/>
              </w:rPr>
            </w:r>
            <w:r w:rsidR="0057740E">
              <w:rPr>
                <w:webHidden/>
              </w:rPr>
              <w:fldChar w:fldCharType="separate"/>
            </w:r>
            <w:r>
              <w:rPr>
                <w:webHidden/>
              </w:rPr>
              <w:t>12</w:t>
            </w:r>
            <w:r w:rsidR="0057740E">
              <w:rPr>
                <w:webHidden/>
              </w:rPr>
              <w:fldChar w:fldCharType="end"/>
            </w:r>
          </w:hyperlink>
        </w:p>
        <w:p w14:paraId="7754BC3B" w14:textId="2BA9DABD" w:rsidR="0057740E" w:rsidRDefault="00D86F7E">
          <w:pPr>
            <w:pStyle w:val="TOC2"/>
            <w:rPr>
              <w:rFonts w:eastAsiaTheme="minorEastAsia"/>
              <w:kern w:val="2"/>
              <w:lang w:eastAsia="en-AU"/>
              <w14:ligatures w14:val="standardContextual"/>
            </w:rPr>
          </w:pPr>
          <w:hyperlink w:anchor="_Toc165552866" w:history="1">
            <w:r w:rsidR="0057740E" w:rsidRPr="00631F76">
              <w:rPr>
                <w:rStyle w:val="Hyperlink"/>
              </w:rPr>
              <w:t>Responses—No comment</w:t>
            </w:r>
            <w:r w:rsidR="0057740E">
              <w:rPr>
                <w:webHidden/>
              </w:rPr>
              <w:tab/>
            </w:r>
            <w:r w:rsidR="0057740E">
              <w:rPr>
                <w:webHidden/>
              </w:rPr>
              <w:fldChar w:fldCharType="begin"/>
            </w:r>
            <w:r w:rsidR="0057740E">
              <w:rPr>
                <w:webHidden/>
              </w:rPr>
              <w:instrText xml:space="preserve"> PAGEREF _Toc165552866 \h </w:instrText>
            </w:r>
            <w:r w:rsidR="0057740E">
              <w:rPr>
                <w:webHidden/>
              </w:rPr>
            </w:r>
            <w:r w:rsidR="0057740E">
              <w:rPr>
                <w:webHidden/>
              </w:rPr>
              <w:fldChar w:fldCharType="separate"/>
            </w:r>
            <w:r>
              <w:rPr>
                <w:webHidden/>
              </w:rPr>
              <w:t>14</w:t>
            </w:r>
            <w:r w:rsidR="0057740E">
              <w:rPr>
                <w:webHidden/>
              </w:rPr>
              <w:fldChar w:fldCharType="end"/>
            </w:r>
          </w:hyperlink>
        </w:p>
        <w:p w14:paraId="08C60B70" w14:textId="6505DE8E" w:rsidR="0057740E" w:rsidRDefault="00D86F7E">
          <w:pPr>
            <w:pStyle w:val="TOC1"/>
            <w:rPr>
              <w:rFonts w:asciiTheme="minorHAnsi" w:eastAsiaTheme="minorEastAsia" w:hAnsiTheme="minorHAnsi"/>
              <w:b w:val="0"/>
              <w:bCs w:val="0"/>
              <w:color w:val="auto"/>
              <w:w w:val="100"/>
              <w:kern w:val="2"/>
              <w:sz w:val="22"/>
              <w:lang w:eastAsia="en-AU"/>
              <w14:ligatures w14:val="standardContextual"/>
            </w:rPr>
          </w:pPr>
          <w:hyperlink w:anchor="_Toc165552867" w:history="1">
            <w:r w:rsidR="0057740E" w:rsidRPr="00631F76">
              <w:rPr>
                <w:rStyle w:val="Hyperlink"/>
              </w:rPr>
              <w:t>2.</w:t>
            </w:r>
            <w:r w:rsidR="0057740E">
              <w:rPr>
                <w:rFonts w:asciiTheme="minorHAnsi" w:eastAsiaTheme="minorEastAsia" w:hAnsiTheme="minorHAnsi"/>
                <w:b w:val="0"/>
                <w:bCs w:val="0"/>
                <w:color w:val="auto"/>
                <w:w w:val="100"/>
                <w:kern w:val="2"/>
                <w:sz w:val="22"/>
                <w:lang w:eastAsia="en-AU"/>
                <w14:ligatures w14:val="standardContextual"/>
              </w:rPr>
              <w:tab/>
            </w:r>
            <w:r w:rsidR="0057740E" w:rsidRPr="00631F76">
              <w:rPr>
                <w:rStyle w:val="Hyperlink"/>
              </w:rPr>
              <w:t>Subordinate Legislation</w:t>
            </w:r>
            <w:r w:rsidR="0057740E">
              <w:rPr>
                <w:webHidden/>
              </w:rPr>
              <w:tab/>
            </w:r>
            <w:r w:rsidR="0057740E">
              <w:rPr>
                <w:webHidden/>
              </w:rPr>
              <w:fldChar w:fldCharType="begin"/>
            </w:r>
            <w:r w:rsidR="0057740E">
              <w:rPr>
                <w:webHidden/>
              </w:rPr>
              <w:instrText xml:space="preserve"> PAGEREF _Toc165552867 \h </w:instrText>
            </w:r>
            <w:r w:rsidR="0057740E">
              <w:rPr>
                <w:webHidden/>
              </w:rPr>
            </w:r>
            <w:r w:rsidR="0057740E">
              <w:rPr>
                <w:webHidden/>
              </w:rPr>
              <w:fldChar w:fldCharType="separate"/>
            </w:r>
            <w:r>
              <w:rPr>
                <w:webHidden/>
              </w:rPr>
              <w:t>15</w:t>
            </w:r>
            <w:r w:rsidR="0057740E">
              <w:rPr>
                <w:webHidden/>
              </w:rPr>
              <w:fldChar w:fldCharType="end"/>
            </w:r>
          </w:hyperlink>
        </w:p>
        <w:p w14:paraId="30B17FA9" w14:textId="54A77BB1" w:rsidR="0057740E" w:rsidRDefault="00D86F7E">
          <w:pPr>
            <w:pStyle w:val="TOC2"/>
            <w:rPr>
              <w:rFonts w:eastAsiaTheme="minorEastAsia"/>
              <w:kern w:val="2"/>
              <w:lang w:eastAsia="en-AU"/>
              <w14:ligatures w14:val="standardContextual"/>
            </w:rPr>
          </w:pPr>
          <w:hyperlink w:anchor="_Toc165552868" w:history="1">
            <w:r w:rsidR="0057740E" w:rsidRPr="00631F76">
              <w:rPr>
                <w:rStyle w:val="Hyperlink"/>
              </w:rPr>
              <w:t>Disallowable Instruments—No comment</w:t>
            </w:r>
            <w:r w:rsidR="0057740E">
              <w:rPr>
                <w:webHidden/>
              </w:rPr>
              <w:tab/>
            </w:r>
            <w:r w:rsidR="0057740E">
              <w:rPr>
                <w:webHidden/>
              </w:rPr>
              <w:fldChar w:fldCharType="begin"/>
            </w:r>
            <w:r w:rsidR="0057740E">
              <w:rPr>
                <w:webHidden/>
              </w:rPr>
              <w:instrText xml:space="preserve"> PAGEREF _Toc165552868 \h </w:instrText>
            </w:r>
            <w:r w:rsidR="0057740E">
              <w:rPr>
                <w:webHidden/>
              </w:rPr>
            </w:r>
            <w:r w:rsidR="0057740E">
              <w:rPr>
                <w:webHidden/>
              </w:rPr>
              <w:fldChar w:fldCharType="separate"/>
            </w:r>
            <w:r>
              <w:rPr>
                <w:webHidden/>
              </w:rPr>
              <w:t>15</w:t>
            </w:r>
            <w:r w:rsidR="0057740E">
              <w:rPr>
                <w:webHidden/>
              </w:rPr>
              <w:fldChar w:fldCharType="end"/>
            </w:r>
          </w:hyperlink>
        </w:p>
        <w:p w14:paraId="247B442C" w14:textId="36B47E4C" w:rsidR="0057740E" w:rsidRDefault="00D86F7E">
          <w:pPr>
            <w:pStyle w:val="TOC2"/>
            <w:rPr>
              <w:rFonts w:eastAsiaTheme="minorEastAsia"/>
              <w:kern w:val="2"/>
              <w:lang w:eastAsia="en-AU"/>
              <w14:ligatures w14:val="standardContextual"/>
            </w:rPr>
          </w:pPr>
          <w:hyperlink w:anchor="_Toc165552869" w:history="1">
            <w:r w:rsidR="0057740E" w:rsidRPr="00631F76">
              <w:rPr>
                <w:rStyle w:val="Hyperlink"/>
              </w:rPr>
              <w:t>Disallowable Instruments—Comment</w:t>
            </w:r>
            <w:r w:rsidR="0057740E">
              <w:rPr>
                <w:webHidden/>
              </w:rPr>
              <w:tab/>
            </w:r>
            <w:r w:rsidR="0057740E">
              <w:rPr>
                <w:webHidden/>
              </w:rPr>
              <w:fldChar w:fldCharType="begin"/>
            </w:r>
            <w:r w:rsidR="0057740E">
              <w:rPr>
                <w:webHidden/>
              </w:rPr>
              <w:instrText xml:space="preserve"> PAGEREF _Toc165552869 \h </w:instrText>
            </w:r>
            <w:r w:rsidR="0057740E">
              <w:rPr>
                <w:webHidden/>
              </w:rPr>
            </w:r>
            <w:r w:rsidR="0057740E">
              <w:rPr>
                <w:webHidden/>
              </w:rPr>
              <w:fldChar w:fldCharType="separate"/>
            </w:r>
            <w:r>
              <w:rPr>
                <w:webHidden/>
              </w:rPr>
              <w:t>17</w:t>
            </w:r>
            <w:r w:rsidR="0057740E">
              <w:rPr>
                <w:webHidden/>
              </w:rPr>
              <w:fldChar w:fldCharType="end"/>
            </w:r>
          </w:hyperlink>
        </w:p>
        <w:p w14:paraId="40BAED33" w14:textId="421BEB6F" w:rsidR="0057740E" w:rsidRDefault="00D86F7E">
          <w:pPr>
            <w:pStyle w:val="TOC2"/>
            <w:rPr>
              <w:rFonts w:eastAsiaTheme="minorEastAsia"/>
              <w:kern w:val="2"/>
              <w:lang w:eastAsia="en-AU"/>
              <w14:ligatures w14:val="standardContextual"/>
            </w:rPr>
          </w:pPr>
          <w:hyperlink w:anchor="_Toc165552879" w:history="1">
            <w:r w:rsidR="0057740E" w:rsidRPr="00631F76">
              <w:rPr>
                <w:rStyle w:val="Hyperlink"/>
              </w:rPr>
              <w:t>Subordinate Laws—Comment</w:t>
            </w:r>
            <w:r w:rsidR="0057740E">
              <w:rPr>
                <w:webHidden/>
              </w:rPr>
              <w:tab/>
            </w:r>
            <w:r w:rsidR="0057740E">
              <w:rPr>
                <w:webHidden/>
              </w:rPr>
              <w:fldChar w:fldCharType="begin"/>
            </w:r>
            <w:r w:rsidR="0057740E">
              <w:rPr>
                <w:webHidden/>
              </w:rPr>
              <w:instrText xml:space="preserve"> PAGEREF _Toc165552879 \h </w:instrText>
            </w:r>
            <w:r w:rsidR="0057740E">
              <w:rPr>
                <w:webHidden/>
              </w:rPr>
            </w:r>
            <w:r w:rsidR="0057740E">
              <w:rPr>
                <w:webHidden/>
              </w:rPr>
              <w:fldChar w:fldCharType="separate"/>
            </w:r>
            <w:r>
              <w:rPr>
                <w:webHidden/>
              </w:rPr>
              <w:t>28</w:t>
            </w:r>
            <w:r w:rsidR="0057740E">
              <w:rPr>
                <w:webHidden/>
              </w:rPr>
              <w:fldChar w:fldCharType="end"/>
            </w:r>
          </w:hyperlink>
        </w:p>
        <w:p w14:paraId="4D55ABC1" w14:textId="2D6539E6" w:rsidR="0057740E" w:rsidRDefault="00D86F7E">
          <w:pPr>
            <w:pStyle w:val="TOC2"/>
            <w:rPr>
              <w:rFonts w:eastAsiaTheme="minorEastAsia"/>
              <w:kern w:val="2"/>
              <w:lang w:eastAsia="en-AU"/>
              <w14:ligatures w14:val="standardContextual"/>
            </w:rPr>
          </w:pPr>
          <w:hyperlink w:anchor="_Toc165552883" w:history="1">
            <w:r w:rsidR="0057740E" w:rsidRPr="00631F76">
              <w:rPr>
                <w:rStyle w:val="Hyperlink"/>
              </w:rPr>
              <w:t>Responses—No comment</w:t>
            </w:r>
            <w:r w:rsidR="0057740E">
              <w:rPr>
                <w:webHidden/>
              </w:rPr>
              <w:tab/>
            </w:r>
            <w:r w:rsidR="0057740E">
              <w:rPr>
                <w:webHidden/>
              </w:rPr>
              <w:fldChar w:fldCharType="begin"/>
            </w:r>
            <w:r w:rsidR="0057740E">
              <w:rPr>
                <w:webHidden/>
              </w:rPr>
              <w:instrText xml:space="preserve"> PAGEREF _Toc165552883 \h </w:instrText>
            </w:r>
            <w:r w:rsidR="0057740E">
              <w:rPr>
                <w:webHidden/>
              </w:rPr>
            </w:r>
            <w:r w:rsidR="0057740E">
              <w:rPr>
                <w:webHidden/>
              </w:rPr>
              <w:fldChar w:fldCharType="separate"/>
            </w:r>
            <w:r>
              <w:rPr>
                <w:webHidden/>
              </w:rPr>
              <w:t>30</w:t>
            </w:r>
            <w:r w:rsidR="0057740E">
              <w:rPr>
                <w:webHidden/>
              </w:rPr>
              <w:fldChar w:fldCharType="end"/>
            </w:r>
          </w:hyperlink>
        </w:p>
        <w:p w14:paraId="6AAAE4CD" w14:textId="65857D85" w:rsidR="0057740E" w:rsidRDefault="00D86F7E">
          <w:pPr>
            <w:pStyle w:val="TOC1"/>
            <w:rPr>
              <w:rFonts w:asciiTheme="minorHAnsi" w:eastAsiaTheme="minorEastAsia" w:hAnsiTheme="minorHAnsi"/>
              <w:b w:val="0"/>
              <w:bCs w:val="0"/>
              <w:color w:val="auto"/>
              <w:w w:val="100"/>
              <w:kern w:val="2"/>
              <w:sz w:val="22"/>
              <w:lang w:eastAsia="en-AU"/>
              <w14:ligatures w14:val="standardContextual"/>
            </w:rPr>
          </w:pPr>
          <w:hyperlink w:anchor="_Toc165552884" w:history="1">
            <w:r w:rsidR="0057740E" w:rsidRPr="00631F76">
              <w:rPr>
                <w:rStyle w:val="Hyperlink"/>
                <w:rFonts w:eastAsiaTheme="majorEastAsia" w:cstheme="majorBidi"/>
              </w:rPr>
              <w:t>Outstanding responses</w:t>
            </w:r>
            <w:r w:rsidR="0057740E">
              <w:rPr>
                <w:webHidden/>
              </w:rPr>
              <w:tab/>
            </w:r>
            <w:r w:rsidR="0057740E">
              <w:rPr>
                <w:webHidden/>
              </w:rPr>
              <w:fldChar w:fldCharType="begin"/>
            </w:r>
            <w:r w:rsidR="0057740E">
              <w:rPr>
                <w:webHidden/>
              </w:rPr>
              <w:instrText xml:space="preserve"> PAGEREF _Toc165552884 \h </w:instrText>
            </w:r>
            <w:r w:rsidR="0057740E">
              <w:rPr>
                <w:webHidden/>
              </w:rPr>
            </w:r>
            <w:r w:rsidR="0057740E">
              <w:rPr>
                <w:webHidden/>
              </w:rPr>
              <w:fldChar w:fldCharType="separate"/>
            </w:r>
            <w:r>
              <w:rPr>
                <w:webHidden/>
              </w:rPr>
              <w:t>32</w:t>
            </w:r>
            <w:r w:rsidR="0057740E">
              <w:rPr>
                <w:webHidden/>
              </w:rPr>
              <w:fldChar w:fldCharType="end"/>
            </w:r>
          </w:hyperlink>
        </w:p>
        <w:p w14:paraId="39187692" w14:textId="5CE878FE" w:rsidR="0057740E" w:rsidRDefault="00D86F7E">
          <w:pPr>
            <w:pStyle w:val="TOC2"/>
            <w:rPr>
              <w:rFonts w:eastAsiaTheme="minorEastAsia"/>
              <w:kern w:val="2"/>
              <w:lang w:eastAsia="en-AU"/>
              <w14:ligatures w14:val="standardContextual"/>
            </w:rPr>
          </w:pPr>
          <w:hyperlink w:anchor="_Toc165552885" w:history="1">
            <w:r w:rsidR="0057740E" w:rsidRPr="00631F76">
              <w:rPr>
                <w:rStyle w:val="Hyperlink"/>
              </w:rPr>
              <w:t>Bills/Subordinate Legislation</w:t>
            </w:r>
            <w:r w:rsidR="0057740E">
              <w:rPr>
                <w:webHidden/>
              </w:rPr>
              <w:tab/>
            </w:r>
            <w:r w:rsidR="0057740E">
              <w:rPr>
                <w:webHidden/>
              </w:rPr>
              <w:fldChar w:fldCharType="begin"/>
            </w:r>
            <w:r w:rsidR="0057740E">
              <w:rPr>
                <w:webHidden/>
              </w:rPr>
              <w:instrText xml:space="preserve"> PAGEREF _Toc165552885 \h </w:instrText>
            </w:r>
            <w:r w:rsidR="0057740E">
              <w:rPr>
                <w:webHidden/>
              </w:rPr>
            </w:r>
            <w:r w:rsidR="0057740E">
              <w:rPr>
                <w:webHidden/>
              </w:rPr>
              <w:fldChar w:fldCharType="separate"/>
            </w:r>
            <w:r>
              <w:rPr>
                <w:webHidden/>
              </w:rPr>
              <w:t>32</w:t>
            </w:r>
            <w:r w:rsidR="0057740E">
              <w:rPr>
                <w:webHidden/>
              </w:rPr>
              <w:fldChar w:fldCharType="end"/>
            </w:r>
          </w:hyperlink>
        </w:p>
        <w:p w14:paraId="7A89A0AB" w14:textId="25E62A28" w:rsidR="0057740E" w:rsidRDefault="00D86F7E">
          <w:pPr>
            <w:pStyle w:val="TOC3"/>
            <w:rPr>
              <w:rFonts w:eastAsiaTheme="minorEastAsia"/>
              <w:kern w:val="2"/>
              <w:lang w:eastAsia="en-AU"/>
              <w14:ligatures w14:val="standardContextual"/>
            </w:rPr>
          </w:pPr>
          <w:hyperlink w:anchor="_Toc165552886" w:history="1">
            <w:r w:rsidR="0057740E" w:rsidRPr="00631F76">
              <w:rPr>
                <w:rStyle w:val="Hyperlink"/>
              </w:rPr>
              <w:t>Report 28, dated 3 May 2023</w:t>
            </w:r>
            <w:r w:rsidR="0057740E">
              <w:rPr>
                <w:webHidden/>
              </w:rPr>
              <w:tab/>
            </w:r>
            <w:r w:rsidR="0057740E">
              <w:rPr>
                <w:webHidden/>
              </w:rPr>
              <w:fldChar w:fldCharType="begin"/>
            </w:r>
            <w:r w:rsidR="0057740E">
              <w:rPr>
                <w:webHidden/>
              </w:rPr>
              <w:instrText xml:space="preserve"> PAGEREF _Toc165552886 \h </w:instrText>
            </w:r>
            <w:r w:rsidR="0057740E">
              <w:rPr>
                <w:webHidden/>
              </w:rPr>
            </w:r>
            <w:r w:rsidR="0057740E">
              <w:rPr>
                <w:webHidden/>
              </w:rPr>
              <w:fldChar w:fldCharType="separate"/>
            </w:r>
            <w:r>
              <w:rPr>
                <w:webHidden/>
              </w:rPr>
              <w:t>32</w:t>
            </w:r>
            <w:r w:rsidR="0057740E">
              <w:rPr>
                <w:webHidden/>
              </w:rPr>
              <w:fldChar w:fldCharType="end"/>
            </w:r>
          </w:hyperlink>
        </w:p>
        <w:p w14:paraId="6335B750" w14:textId="415504D7" w:rsidR="0057740E" w:rsidRDefault="00D86F7E">
          <w:pPr>
            <w:pStyle w:val="TOC3"/>
            <w:rPr>
              <w:rFonts w:eastAsiaTheme="minorEastAsia"/>
              <w:kern w:val="2"/>
              <w:lang w:eastAsia="en-AU"/>
              <w14:ligatures w14:val="standardContextual"/>
            </w:rPr>
          </w:pPr>
          <w:hyperlink w:anchor="_Toc165552888" w:history="1">
            <w:r w:rsidR="0057740E" w:rsidRPr="00631F76">
              <w:rPr>
                <w:rStyle w:val="Hyperlink"/>
              </w:rPr>
              <w:t>Report 38, dated 30 January 2024</w:t>
            </w:r>
            <w:r w:rsidR="0057740E">
              <w:rPr>
                <w:webHidden/>
              </w:rPr>
              <w:tab/>
            </w:r>
            <w:r w:rsidR="0057740E">
              <w:rPr>
                <w:webHidden/>
              </w:rPr>
              <w:fldChar w:fldCharType="begin"/>
            </w:r>
            <w:r w:rsidR="0057740E">
              <w:rPr>
                <w:webHidden/>
              </w:rPr>
              <w:instrText xml:space="preserve"> PAGEREF _Toc165552888 \h </w:instrText>
            </w:r>
            <w:r w:rsidR="0057740E">
              <w:rPr>
                <w:webHidden/>
              </w:rPr>
            </w:r>
            <w:r w:rsidR="0057740E">
              <w:rPr>
                <w:webHidden/>
              </w:rPr>
              <w:fldChar w:fldCharType="separate"/>
            </w:r>
            <w:r>
              <w:rPr>
                <w:webHidden/>
              </w:rPr>
              <w:t>32</w:t>
            </w:r>
            <w:r w:rsidR="0057740E">
              <w:rPr>
                <w:webHidden/>
              </w:rPr>
              <w:fldChar w:fldCharType="end"/>
            </w:r>
          </w:hyperlink>
        </w:p>
        <w:p w14:paraId="39B0F78C" w14:textId="35F5B028" w:rsidR="0057740E" w:rsidRDefault="00D86F7E">
          <w:pPr>
            <w:pStyle w:val="TOC3"/>
            <w:rPr>
              <w:rFonts w:eastAsiaTheme="minorEastAsia"/>
              <w:kern w:val="2"/>
              <w:lang w:eastAsia="en-AU"/>
              <w14:ligatures w14:val="standardContextual"/>
            </w:rPr>
          </w:pPr>
          <w:hyperlink w:anchor="_Toc165552890" w:history="1">
            <w:r w:rsidR="0057740E" w:rsidRPr="00631F76">
              <w:rPr>
                <w:rStyle w:val="Hyperlink"/>
              </w:rPr>
              <w:t>Report 39, dated 12 March 2024</w:t>
            </w:r>
            <w:r w:rsidR="0057740E">
              <w:rPr>
                <w:webHidden/>
              </w:rPr>
              <w:tab/>
            </w:r>
            <w:r w:rsidR="0057740E">
              <w:rPr>
                <w:webHidden/>
              </w:rPr>
              <w:fldChar w:fldCharType="begin"/>
            </w:r>
            <w:r w:rsidR="0057740E">
              <w:rPr>
                <w:webHidden/>
              </w:rPr>
              <w:instrText xml:space="preserve"> PAGEREF _Toc165552890 \h </w:instrText>
            </w:r>
            <w:r w:rsidR="0057740E">
              <w:rPr>
                <w:webHidden/>
              </w:rPr>
            </w:r>
            <w:r w:rsidR="0057740E">
              <w:rPr>
                <w:webHidden/>
              </w:rPr>
              <w:fldChar w:fldCharType="separate"/>
            </w:r>
            <w:r>
              <w:rPr>
                <w:webHidden/>
              </w:rPr>
              <w:t>32</w:t>
            </w:r>
            <w:r w:rsidR="0057740E">
              <w:rPr>
                <w:webHidden/>
              </w:rPr>
              <w:fldChar w:fldCharType="end"/>
            </w:r>
          </w:hyperlink>
        </w:p>
        <w:p w14:paraId="3D31C645" w14:textId="328EF9C0" w:rsidR="009F5A83" w:rsidRPr="0057740E" w:rsidRDefault="00B02BB7" w:rsidP="0057740E">
          <w:r>
            <w:rPr>
              <w:rFonts w:ascii="Montserrat" w:hAnsi="Montserrat"/>
              <w:noProof/>
              <w:color w:val="2F5496"/>
              <w:w w:val="90"/>
              <w:sz w:val="23"/>
            </w:rPr>
            <w:fldChar w:fldCharType="end"/>
          </w:r>
        </w:p>
      </w:sdtContent>
    </w:sdt>
    <w:bookmarkEnd w:id="0" w:displacedByCustomXml="prev"/>
    <w:bookmarkStart w:id="97" w:name="_Toc79133347" w:displacedByCustomXml="prev"/>
    <w:bookmarkStart w:id="98" w:name="_Hlk79475490" w:displacedByCustomXml="prev"/>
    <w:p w14:paraId="344C4F63" w14:textId="5C49D60C" w:rsidR="00B7541C" w:rsidRPr="00B7541C" w:rsidRDefault="00B7541C" w:rsidP="00B7541C">
      <w:pPr>
        <w:sectPr w:rsidR="00B7541C" w:rsidRPr="00B7541C" w:rsidSect="003C3E0B">
          <w:footerReference w:type="default" r:id="rId17"/>
          <w:pgSz w:w="11906" w:h="16838"/>
          <w:pgMar w:top="1288" w:right="1440" w:bottom="1440" w:left="1440" w:header="708" w:footer="708" w:gutter="0"/>
          <w:pgNumType w:fmt="lowerRoman" w:start="1"/>
          <w:cols w:space="708"/>
          <w:docGrid w:linePitch="360"/>
        </w:sectPr>
      </w:pPr>
    </w:p>
    <w:p w14:paraId="53852A67" w14:textId="6B346B0E" w:rsidR="0036775A" w:rsidRDefault="00BF3890" w:rsidP="000030B4">
      <w:pPr>
        <w:pStyle w:val="Heading1"/>
        <w:spacing w:before="0" w:after="120"/>
      </w:pPr>
      <w:bookmarkStart w:id="99" w:name="_Toc165552826"/>
      <w:bookmarkEnd w:id="97"/>
      <w:r>
        <w:t>Bills</w:t>
      </w:r>
      <w:bookmarkEnd w:id="99"/>
    </w:p>
    <w:p w14:paraId="7D33A977" w14:textId="1969E663" w:rsidR="002D13CB" w:rsidRDefault="002D13CB" w:rsidP="000030B4">
      <w:pPr>
        <w:pStyle w:val="Heading20"/>
      </w:pPr>
      <w:bookmarkStart w:id="100" w:name="_Toc108788085"/>
      <w:bookmarkStart w:id="101" w:name="_Toc165552827"/>
      <w:bookmarkStart w:id="102" w:name="_Hlk79571513"/>
      <w:bookmarkStart w:id="103" w:name="_Toc157516915"/>
      <w:r>
        <w:t>Bills—</w:t>
      </w:r>
      <w:bookmarkEnd w:id="100"/>
      <w:r>
        <w:t>No comment</w:t>
      </w:r>
      <w:bookmarkEnd w:id="101"/>
    </w:p>
    <w:p w14:paraId="41F945AC" w14:textId="77777777" w:rsidR="002D13CB" w:rsidRDefault="002D13CB" w:rsidP="000030B4">
      <w:pPr>
        <w:pStyle w:val="Heading3"/>
      </w:pPr>
      <w:bookmarkStart w:id="104" w:name="_Toc165552828"/>
      <w:bookmarkStart w:id="105" w:name="_Toc108788086"/>
      <w:r w:rsidRPr="00F33449">
        <w:t>Crimes (Sentence Administration) Amendment Bill 2024</w:t>
      </w:r>
      <w:bookmarkEnd w:id="104"/>
    </w:p>
    <w:p w14:paraId="12F2B2AD" w14:textId="3AC4CEDB" w:rsidR="002D13CB" w:rsidRPr="00CE02FD" w:rsidRDefault="002D13CB" w:rsidP="000030B4">
      <w:pPr>
        <w:pStyle w:val="ListNumber2"/>
        <w:spacing w:after="160"/>
        <w:ind w:left="851"/>
        <w:rPr>
          <w:spacing w:val="-2"/>
        </w:rPr>
      </w:pPr>
      <w:r w:rsidRPr="00CE02FD">
        <w:rPr>
          <w:spacing w:val="-2"/>
        </w:rPr>
        <w:t xml:space="preserve">This Bill will amend the </w:t>
      </w:r>
      <w:r w:rsidRPr="00CE02FD">
        <w:rPr>
          <w:i/>
          <w:iCs/>
          <w:spacing w:val="-2"/>
        </w:rPr>
        <w:t>Crimes (Sentence Administration) Act 2005</w:t>
      </w:r>
      <w:r w:rsidRPr="00CE02FD">
        <w:rPr>
          <w:spacing w:val="-2"/>
        </w:rPr>
        <w:t xml:space="preserve"> to allow a person required to complete community service under an intensive correction order or good behaviour order to have up to 8 hours a week or 10% of their required hours credited where they were unable to complete the required work due to circumstances beyond their control. </w:t>
      </w:r>
    </w:p>
    <w:p w14:paraId="03BD4C80" w14:textId="77777777" w:rsidR="002D13CB" w:rsidRDefault="002D13CB" w:rsidP="000030B4">
      <w:pPr>
        <w:pStyle w:val="Heading3"/>
      </w:pPr>
      <w:bookmarkStart w:id="106" w:name="_Toc165552829"/>
      <w:r w:rsidRPr="008F3A3F">
        <w:t>Heritage Amendment Bill 2024</w:t>
      </w:r>
      <w:bookmarkEnd w:id="106"/>
    </w:p>
    <w:p w14:paraId="102C8014" w14:textId="77777777" w:rsidR="002D13CB" w:rsidRDefault="002D13CB" w:rsidP="000030B4">
      <w:pPr>
        <w:pStyle w:val="ListNumber2"/>
        <w:spacing w:after="0"/>
        <w:ind w:left="851"/>
      </w:pPr>
      <w:r>
        <w:t xml:space="preserve">This Bill amends the </w:t>
      </w:r>
      <w:r w:rsidRPr="008F3A3F">
        <w:rPr>
          <w:i/>
          <w:iCs/>
        </w:rPr>
        <w:t>Heritage Act 2004</w:t>
      </w:r>
      <w:r>
        <w:t xml:space="preserve"> to:</w:t>
      </w:r>
    </w:p>
    <w:p w14:paraId="163A2DE0" w14:textId="77777777" w:rsidR="002D13CB" w:rsidRDefault="002D13CB" w:rsidP="000030B4">
      <w:pPr>
        <w:pStyle w:val="ListNumber3"/>
        <w:spacing w:before="60" w:after="40"/>
      </w:pPr>
      <w:r>
        <w:t>amend the circumstances and grounds on which an application to nominate a place or object for heritage registration can be rejected or dismissed, including allowing rejection of an application if required details are not included, expanding the grounds to dismiss an application to include if the application is unlikely to result in registration or something has happened to change the place or object so that there are no longer grounds to accept the application. Changes to a nominated place or object will also enable reassessment of an accepted application before a provisional registration decision is made; and</w:t>
      </w:r>
    </w:p>
    <w:p w14:paraId="50FE9D1A" w14:textId="65CD31FE" w:rsidR="002D13CB" w:rsidRDefault="002D13CB" w:rsidP="000030B4">
      <w:pPr>
        <w:pStyle w:val="ListNumber3"/>
        <w:spacing w:before="60" w:after="40"/>
      </w:pPr>
      <w:r>
        <w:t>amend the membership of the Heritage Council by increasing the membership to include an additional public representative from the Aboriginal community and to allow the Minster to appoint one expert from an unlisted discipline.</w:t>
      </w:r>
      <w:bookmarkEnd w:id="105"/>
    </w:p>
    <w:p w14:paraId="4CC00198" w14:textId="77777777" w:rsidR="000030B4" w:rsidRDefault="000030B4" w:rsidP="000030B4">
      <w:pPr>
        <w:pStyle w:val="Heading3"/>
      </w:pPr>
      <w:bookmarkStart w:id="107" w:name="_Toc165552830"/>
      <w:r>
        <w:t>Independent Competition and Regulatory Commission Amendment Bill 2024</w:t>
      </w:r>
      <w:bookmarkEnd w:id="107"/>
    </w:p>
    <w:p w14:paraId="24E6D9FE" w14:textId="3AFCEBE1" w:rsidR="000030B4" w:rsidRPr="000030B4" w:rsidRDefault="000030B4" w:rsidP="000030B4">
      <w:pPr>
        <w:pStyle w:val="ListNumber2"/>
        <w:spacing w:after="0"/>
        <w:ind w:left="851"/>
      </w:pPr>
      <w:r w:rsidRPr="000030B4">
        <w:t xml:space="preserve">This Bill will amend the </w:t>
      </w:r>
      <w:r w:rsidRPr="000030B4">
        <w:rPr>
          <w:i/>
          <w:iCs/>
        </w:rPr>
        <w:t>Independent Competition and Regulatory Commission Act 1997</w:t>
      </w:r>
      <w:r w:rsidRPr="000030B4">
        <w:t xml:space="preserve"> to introduce a civil penalty regime. The Commission will be able to issue civil penalty notices or bring civil penalty enforcement proceedings for breach of specified existing corporate </w:t>
      </w:r>
      <w:r w:rsidRPr="000030B4">
        <w:rPr>
          <w:spacing w:val="-4"/>
        </w:rPr>
        <w:t xml:space="preserve">conduct obligations in the </w:t>
      </w:r>
      <w:r w:rsidRPr="000030B4">
        <w:rPr>
          <w:i/>
          <w:iCs/>
          <w:spacing w:val="-4"/>
        </w:rPr>
        <w:t>Utilities Act 2000</w:t>
      </w:r>
      <w:r w:rsidRPr="000030B4">
        <w:rPr>
          <w:spacing w:val="-4"/>
        </w:rPr>
        <w:t xml:space="preserve">, Consumer Protection Code, ACT Retail Electricity (Transparency and Comparability) Code and the Electricity Feed-in Code. Individuals will not </w:t>
      </w:r>
      <w:r w:rsidRPr="000030B4">
        <w:t>be liable for contravention of civil penalty provision introduced by the Bill.</w:t>
      </w:r>
    </w:p>
    <w:p w14:paraId="52DDC729" w14:textId="77777777" w:rsidR="002D13CB" w:rsidRDefault="002D13CB" w:rsidP="000030B4">
      <w:pPr>
        <w:pStyle w:val="Heading20"/>
      </w:pPr>
      <w:bookmarkStart w:id="108" w:name="_Toc165552831"/>
      <w:r>
        <w:t>Bills—Comment</w:t>
      </w:r>
      <w:bookmarkEnd w:id="108"/>
    </w:p>
    <w:p w14:paraId="212E4C22" w14:textId="77777777" w:rsidR="002D13CB" w:rsidRDefault="002D13CB" w:rsidP="0057740E">
      <w:pPr>
        <w:pStyle w:val="Heading3"/>
        <w:spacing w:before="200"/>
      </w:pPr>
      <w:bookmarkStart w:id="109" w:name="_Toc165552832"/>
      <w:r w:rsidRPr="00FC5668">
        <w:t>Crimes (Disclosure) Legislation Amendment Bill 2024</w:t>
      </w:r>
      <w:bookmarkEnd w:id="109"/>
    </w:p>
    <w:p w14:paraId="082B7ED6" w14:textId="77777777" w:rsidR="002D13CB" w:rsidRPr="000030B4" w:rsidRDefault="002D13CB" w:rsidP="000030B4">
      <w:pPr>
        <w:pStyle w:val="ListNumber2"/>
        <w:ind w:left="851"/>
      </w:pPr>
      <w:r w:rsidRPr="000030B4">
        <w:t>This Bill amends legislation relating to criminal proceedings to extend the obligations of disclosure by prosecutions of material that may be relevant to future proceedings and to provide for standing of complainants who may wish to appear or make a statement in sexual or family violence offence proceedings objecting to the disclosure of confidences provided in counselling.</w:t>
      </w:r>
    </w:p>
    <w:p w14:paraId="07AD79FD" w14:textId="47A3630E" w:rsidR="002D13CB" w:rsidRPr="00133AB1" w:rsidRDefault="002D13CB" w:rsidP="0057740E">
      <w:pPr>
        <w:pStyle w:val="Heading4"/>
        <w:keepNext w:val="0"/>
        <w:spacing w:before="200" w:after="0"/>
        <w:rPr>
          <w:rFonts w:eastAsia="Calibri"/>
          <w:lang w:eastAsia="en-AU"/>
        </w:rPr>
      </w:pPr>
      <w:bookmarkStart w:id="110" w:name="_Toc165454926"/>
      <w:bookmarkStart w:id="111" w:name="_Toc165552833"/>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10"/>
      <w:bookmarkEnd w:id="111"/>
      <w:r>
        <w:rPr>
          <w:lang w:val="en-US"/>
        </w:rPr>
        <w:t xml:space="preserve"> </w:t>
      </w:r>
      <w:r w:rsidRPr="00E83C75">
        <w:rPr>
          <w:lang w:val="en-US"/>
        </w:rPr>
        <w:t xml:space="preserve"> </w:t>
      </w:r>
    </w:p>
    <w:p w14:paraId="252D92C3" w14:textId="77777777" w:rsidR="002D13CB" w:rsidRPr="00133AB1" w:rsidRDefault="002D13CB" w:rsidP="0057740E">
      <w:pPr>
        <w:pStyle w:val="Heading4"/>
        <w:spacing w:before="120" w:after="0"/>
        <w:rPr>
          <w:rFonts w:eastAsia="Calibri"/>
          <w:i/>
          <w:lang w:eastAsia="en-AU"/>
        </w:rPr>
      </w:pPr>
      <w:bookmarkStart w:id="112" w:name="_Toc165454927"/>
      <w:bookmarkStart w:id="113" w:name="_Toc165552834"/>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12"/>
      <w:bookmarkEnd w:id="113"/>
    </w:p>
    <w:p w14:paraId="606410FD" w14:textId="77777777" w:rsidR="002D13CB" w:rsidRDefault="002D13CB" w:rsidP="000030B4">
      <w:pPr>
        <w:pStyle w:val="Heading5"/>
        <w:spacing w:before="120"/>
      </w:pPr>
      <w:r w:rsidRPr="0067269D">
        <w:t>Right to privacy and reputation (s</w:t>
      </w:r>
      <w:r>
        <w:t>ection</w:t>
      </w:r>
      <w:r w:rsidRPr="0067269D">
        <w:t xml:space="preserve"> 12 HRA)</w:t>
      </w:r>
      <w:r w:rsidRPr="0050715F">
        <w:t xml:space="preserve"> </w:t>
      </w:r>
    </w:p>
    <w:p w14:paraId="79ECA50E" w14:textId="77777777" w:rsidR="002D13CB" w:rsidRPr="00E83C75" w:rsidRDefault="002D13CB" w:rsidP="000030B4">
      <w:pPr>
        <w:pStyle w:val="Heading5"/>
        <w:spacing w:before="120"/>
      </w:pPr>
      <w:r w:rsidRPr="00E83C75">
        <w:t>Right to a fair trial (s</w:t>
      </w:r>
      <w:r>
        <w:t>ection</w:t>
      </w:r>
      <w:r w:rsidRPr="00E83C75">
        <w:t xml:space="preserve"> 21 </w:t>
      </w:r>
      <w:r>
        <w:t>HRA</w:t>
      </w:r>
      <w:r w:rsidRPr="00E83C75">
        <w:t xml:space="preserve">) </w:t>
      </w:r>
    </w:p>
    <w:p w14:paraId="0685008D" w14:textId="77777777" w:rsidR="002D13CB" w:rsidRDefault="002D13CB" w:rsidP="000030B4">
      <w:pPr>
        <w:pStyle w:val="ListNumber2"/>
        <w:spacing w:after="0"/>
        <w:ind w:left="851"/>
      </w:pPr>
      <w:r>
        <w:t xml:space="preserve">The Bill will amend the </w:t>
      </w:r>
      <w:r w:rsidRPr="1C97ED85">
        <w:rPr>
          <w:i/>
          <w:iCs/>
        </w:rPr>
        <w:t>Court Procedures Act 2004</w:t>
      </w:r>
      <w:r>
        <w:t xml:space="preserve"> to</w:t>
      </w:r>
      <w:r w:rsidRPr="1C97ED85">
        <w:rPr>
          <w:i/>
          <w:iCs/>
        </w:rPr>
        <w:t xml:space="preserve"> </w:t>
      </w:r>
      <w:r>
        <w:t xml:space="preserve">require disclosure of information available to the prosecution in criminal proceedings that may reasonably be regarded as relevant to either the prosecution of defence case. This will include providing access to information the prosecution is aware of but not within their possession or control, and to new evidence that comes to light after the initial disclosures.   The Bill will enable the court to refuse to admit evidence which was not disclosed or grant an adjournment to the prejudiced party. Information which allows a witness’s address or contact details to be worked out must generally not be disclosed unless those details are relevant to a mater in issue. The court may dispense with the requirements of disclosure where it is in the interest of justice to do so. Similar amendments to the </w:t>
      </w:r>
      <w:r w:rsidRPr="1C97ED85">
        <w:rPr>
          <w:i/>
          <w:iCs/>
        </w:rPr>
        <w:t>Magistrates Court Act 1930</w:t>
      </w:r>
      <w:r>
        <w:t xml:space="preserve"> will extend current disclosure requirements in committal proceedings and summary offences.</w:t>
      </w:r>
    </w:p>
    <w:p w14:paraId="3772DB71" w14:textId="77777777" w:rsidR="002D13CB" w:rsidRDefault="002D13CB" w:rsidP="000030B4">
      <w:pPr>
        <w:pStyle w:val="ListNumber2"/>
        <w:spacing w:after="0"/>
        <w:ind w:left="851"/>
      </w:pPr>
      <w:r>
        <w:t>By allowing the court to limit evidence that might otherwise be admissible being admitted by the prosecution the Bill may limit the rights of complainants or victims to a fair trial under s 21 of the HRA. By providing for information to be disclosed that might include personal or sensitive information about individuals the Bill may limit the protection of privacy and reputation provided by section 12 of the HRA.</w:t>
      </w:r>
    </w:p>
    <w:p w14:paraId="4C595D0F" w14:textId="6BC96411" w:rsidR="002D13CB" w:rsidRDefault="002D13CB" w:rsidP="000030B4">
      <w:pPr>
        <w:pStyle w:val="ListNumber2"/>
        <w:spacing w:after="0"/>
        <w:ind w:left="851"/>
      </w:pPr>
      <w:r>
        <w:t xml:space="preserve">The Bill will also amend the </w:t>
      </w:r>
      <w:r w:rsidRPr="1C97ED85">
        <w:rPr>
          <w:i/>
          <w:iCs/>
        </w:rPr>
        <w:t>Evidence (Miscellaneous Provisions) Act 1991</w:t>
      </w:r>
      <w:r>
        <w:t xml:space="preserve"> in relation to the disclosure of protected confidences in sexual and family violence offence proceedings. In such proceedings, anything said during counselling of someone against whom an offence is alleged to have been committed is generally protected against disclosure. The Bill will provide for the counselled person to be given notice of any application for their protected confidences to be disclosed, and given an opportunity to appear before the court or make a statement about the harm they are likely to suffer if the disclosure is permitted. Any such statement provided by the counselled person will not be made available to the parties or their lawyers. </w:t>
      </w:r>
    </w:p>
    <w:p w14:paraId="1B53EE94" w14:textId="77777777" w:rsidR="002D13CB" w:rsidRPr="000030B4" w:rsidRDefault="002D13CB" w:rsidP="000030B4">
      <w:pPr>
        <w:pStyle w:val="ListNumber2"/>
        <w:spacing w:after="0"/>
        <w:ind w:left="851"/>
        <w:rPr>
          <w:spacing w:val="-2"/>
        </w:rPr>
      </w:pPr>
      <w:r w:rsidRPr="000030B4">
        <w:rPr>
          <w:spacing w:val="-2"/>
        </w:rPr>
        <w:t>By providing for a statement by counselled persons to be provided to the court but not made available to either party the Bill may limit the protection of a fair trial under s 21 of the HRA.</w:t>
      </w:r>
    </w:p>
    <w:p w14:paraId="7DF46D57" w14:textId="77777777" w:rsidR="002D13CB" w:rsidRDefault="002D13CB" w:rsidP="000030B4">
      <w:pPr>
        <w:pStyle w:val="ListNumber2"/>
        <w:ind w:left="851"/>
      </w:pPr>
      <w:r>
        <w:t>The explanatory statement accompanying the Bill recognises these potential imitations and provides for why they should be considered reasonable using the framework set out in section 28 of the HRA. The Committee refers that statement to the Assembly.</w:t>
      </w:r>
    </w:p>
    <w:p w14:paraId="2513B10C" w14:textId="2C5EC104" w:rsidR="002D13CB" w:rsidRPr="0027667F" w:rsidRDefault="002D13CB" w:rsidP="000030B4">
      <w:pPr>
        <w:pStyle w:val="ListNumber2"/>
        <w:ind w:left="851"/>
        <w:rPr>
          <w:b/>
          <w:bCs w:val="0"/>
        </w:rPr>
      </w:pPr>
      <w:r w:rsidRPr="1C97ED85">
        <w:rPr>
          <w:b/>
        </w:rPr>
        <w:t>The Committee draws this matter to the attention of the Assembly, but does not require a response from the Minister.</w:t>
      </w:r>
    </w:p>
    <w:p w14:paraId="0FDBAB74" w14:textId="77777777" w:rsidR="000030B4" w:rsidRDefault="000030B4" w:rsidP="000030B4">
      <w:pPr>
        <w:pStyle w:val="Heading3"/>
      </w:pPr>
      <w:bookmarkStart w:id="114" w:name="_Toc165552835"/>
      <w:r>
        <w:t>Education Amendment Bill 2024</w:t>
      </w:r>
      <w:bookmarkEnd w:id="114"/>
    </w:p>
    <w:p w14:paraId="794D4B04" w14:textId="77777777" w:rsidR="000030B4" w:rsidRDefault="000030B4" w:rsidP="000030B4">
      <w:pPr>
        <w:pStyle w:val="ListNumber2"/>
        <w:keepNext/>
        <w:ind w:left="851"/>
      </w:pPr>
      <w:r>
        <w:t xml:space="preserve">This Bill will amend the </w:t>
      </w:r>
      <w:r w:rsidRPr="000030B4">
        <w:rPr>
          <w:i/>
          <w:iCs/>
        </w:rPr>
        <w:t>Education Act 2004</w:t>
      </w:r>
      <w:r>
        <w:t xml:space="preserve"> and the Education Regulation 2005 to:</w:t>
      </w:r>
    </w:p>
    <w:p w14:paraId="2543DC67" w14:textId="77777777" w:rsidR="000030B4" w:rsidRDefault="000030B4" w:rsidP="004A298E">
      <w:pPr>
        <w:pStyle w:val="ListNumber3"/>
        <w:spacing w:after="0"/>
      </w:pPr>
      <w:r>
        <w:t>amend participation and attendance requirements to enable different methods of delivery of education;</w:t>
      </w:r>
    </w:p>
    <w:p w14:paraId="376B3050" w14:textId="77777777" w:rsidR="000030B4" w:rsidRDefault="000030B4" w:rsidP="004A298E">
      <w:pPr>
        <w:pStyle w:val="ListNumber3"/>
        <w:spacing w:after="0" w:line="264" w:lineRule="auto"/>
      </w:pPr>
      <w:r>
        <w:t>increase information provision and monitoring of movements of children and young people;</w:t>
      </w:r>
    </w:p>
    <w:p w14:paraId="26293F30" w14:textId="77777777" w:rsidR="000030B4" w:rsidRDefault="000030B4" w:rsidP="004A298E">
      <w:pPr>
        <w:pStyle w:val="ListNumber3"/>
        <w:spacing w:after="0" w:line="264" w:lineRule="auto"/>
      </w:pPr>
      <w:r>
        <w:t>provide for distance education; and</w:t>
      </w:r>
    </w:p>
    <w:p w14:paraId="1769CAEA" w14:textId="77777777" w:rsidR="000030B4" w:rsidRDefault="000030B4" w:rsidP="004A298E">
      <w:pPr>
        <w:pStyle w:val="ListNumber3"/>
        <w:spacing w:after="0" w:line="264" w:lineRule="auto"/>
      </w:pPr>
      <w:r>
        <w:t>make minor and technical amendments.</w:t>
      </w:r>
    </w:p>
    <w:p w14:paraId="509A2882" w14:textId="6FBFEFCB" w:rsidR="000030B4" w:rsidRDefault="000030B4" w:rsidP="0057740E">
      <w:pPr>
        <w:pStyle w:val="Heading4"/>
        <w:spacing w:before="200"/>
        <w:rPr>
          <w:rFonts w:eastAsia="Calibri"/>
          <w:lang w:eastAsia="en-AU"/>
        </w:rPr>
      </w:pPr>
      <w:bookmarkStart w:id="115" w:name="_Toc165552836"/>
      <w:r>
        <w:rPr>
          <w:rFonts w:eastAsia="Calibri"/>
          <w:lang w:eastAsia="en-AU"/>
        </w:rPr>
        <w:t>Do any provisions of the Bill amount to an undue trespass on personal rights and liberties?—</w:t>
      </w:r>
      <w:r>
        <w:rPr>
          <w:lang w:val="en-US"/>
        </w:rPr>
        <w:t>Committee Resolution of Appointment paragraph (10)(a)(i)</w:t>
      </w:r>
      <w:bookmarkEnd w:id="115"/>
      <w:r>
        <w:rPr>
          <w:lang w:val="en-US"/>
        </w:rPr>
        <w:t xml:space="preserve">  </w:t>
      </w:r>
    </w:p>
    <w:p w14:paraId="4510D13A" w14:textId="77777777" w:rsidR="000030B4" w:rsidRDefault="000030B4" w:rsidP="004A298E">
      <w:pPr>
        <w:pStyle w:val="Heading4"/>
        <w:spacing w:before="200"/>
        <w:rPr>
          <w:rFonts w:eastAsia="Calibri"/>
          <w:i/>
          <w:lang w:eastAsia="en-AU"/>
        </w:rPr>
      </w:pPr>
      <w:bookmarkStart w:id="116" w:name="_Toc165552837"/>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6"/>
    </w:p>
    <w:p w14:paraId="31377B48" w14:textId="77777777" w:rsidR="000030B4" w:rsidRDefault="000030B4" w:rsidP="004A298E">
      <w:pPr>
        <w:pStyle w:val="Heading5"/>
        <w:spacing w:before="200"/>
      </w:pPr>
      <w:r>
        <w:t xml:space="preserve">Right to privacy and reputation (section 12 HRA) </w:t>
      </w:r>
    </w:p>
    <w:p w14:paraId="3881517F" w14:textId="77777777" w:rsidR="000030B4" w:rsidRDefault="000030B4" w:rsidP="004A298E">
      <w:pPr>
        <w:pStyle w:val="Heading5"/>
        <w:spacing w:before="200"/>
      </w:pPr>
      <w:r>
        <w:t>Rights in criminal proceedings (section 22 HRA)</w:t>
      </w:r>
    </w:p>
    <w:p w14:paraId="542054E5" w14:textId="7FCA1AA0" w:rsidR="000030B4" w:rsidRDefault="000030B4" w:rsidP="000030B4">
      <w:pPr>
        <w:pStyle w:val="ListNumber2"/>
        <w:spacing w:after="0"/>
        <w:ind w:left="851"/>
      </w:pPr>
      <w:r>
        <w:t>The Bill will amend section 35 of the Education Act to remove the requirement that a principal refer parents and children to support services where procedures to encourage regular attendance have been unsuccessful. The Bill will require such procedures to state that school attendance is compulsory, state the benefits of regular attendance, and include steps that may be taken to support a student's attendance. To the extent this amendment may still involve the referral of parents and children to support services this may limit the protection of privacy provided by section 12 of the HRA.</w:t>
      </w:r>
    </w:p>
    <w:p w14:paraId="7765B446" w14:textId="77777777" w:rsidR="000030B4" w:rsidRDefault="000030B4" w:rsidP="000030B4">
      <w:pPr>
        <w:pStyle w:val="ListNumber2"/>
        <w:spacing w:after="0"/>
        <w:ind w:left="851"/>
      </w:pPr>
      <w:r>
        <w:t>The Bill will also require parents to notify the director-general within 28 days of the end of their child's enrolment at an education provider or registration for home education. This will include providing prescribed details which, under amendments to the Education Regulation included in the Bill, will include personal information. This may also limit the protection of privacy provided by section 12 of the HRA.</w:t>
      </w:r>
    </w:p>
    <w:p w14:paraId="13C1CE87" w14:textId="77777777" w:rsidR="000030B4" w:rsidRDefault="000030B4" w:rsidP="000030B4">
      <w:pPr>
        <w:pStyle w:val="ListNumber2"/>
        <w:spacing w:after="0"/>
        <w:ind w:left="851"/>
      </w:pPr>
      <w:r>
        <w:t>The Bill will also introduce two new strict liability offences (proposed sections 104A and 105(3A)). These may limit the presumption of innocence protected as a right in criminal proceedings in section 22 of the HRA.</w:t>
      </w:r>
    </w:p>
    <w:p w14:paraId="0D1CD681" w14:textId="77777777" w:rsidR="000030B4" w:rsidRDefault="000030B4" w:rsidP="000030B4">
      <w:pPr>
        <w:pStyle w:val="ListNumber2"/>
        <w:spacing w:after="0"/>
        <w:ind w:left="851"/>
      </w:pPr>
      <w:r>
        <w:t>The explanatory statement accompanying the Bill recognises these potential limitations and sets out why they should be considered reasonable using the framework set out in section 28 of the HRA.</w:t>
      </w:r>
      <w:r>
        <w:rPr>
          <w:rStyle w:val="FootnoteReference"/>
        </w:rPr>
        <w:footnoteReference w:id="1"/>
      </w:r>
      <w:r>
        <w:t xml:space="preserve"> The Committee refers that statement to the Assembly.</w:t>
      </w:r>
    </w:p>
    <w:p w14:paraId="265DD4F4" w14:textId="77777777" w:rsidR="000030B4" w:rsidRDefault="000030B4" w:rsidP="000030B4">
      <w:pPr>
        <w:pStyle w:val="ListNumber2"/>
        <w:spacing w:after="0"/>
        <w:ind w:left="851"/>
        <w:rPr>
          <w:b/>
          <w:bCs w:val="0"/>
        </w:rPr>
      </w:pPr>
      <w:r>
        <w:rPr>
          <w:b/>
          <w:bCs w:val="0"/>
        </w:rPr>
        <w:t>The Committee draws this matter to the attention of the Assembly, but does not require a response from the Minister.</w:t>
      </w:r>
    </w:p>
    <w:p w14:paraId="78BF500E" w14:textId="00DB624F" w:rsidR="000030B4" w:rsidRDefault="000030B4" w:rsidP="004A298E">
      <w:pPr>
        <w:pStyle w:val="Heading4"/>
      </w:pPr>
      <w:bookmarkStart w:id="117" w:name="_Toc165552838"/>
      <w:r>
        <w:t>Do any provisions of the Bill inappropriately delegate legislative powers?—</w:t>
      </w:r>
      <w:r>
        <w:rPr>
          <w:lang w:val="en-US"/>
        </w:rPr>
        <w:t>Committee Resolution of Appointment paragraph (10)(a)(iv)</w:t>
      </w:r>
      <w:bookmarkEnd w:id="117"/>
    </w:p>
    <w:p w14:paraId="5E6F2ADC" w14:textId="77777777" w:rsidR="000030B4" w:rsidRDefault="000030B4" w:rsidP="000030B4">
      <w:pPr>
        <w:pStyle w:val="Heading5"/>
        <w:spacing w:before="120"/>
      </w:pPr>
      <w:r>
        <w:t>Henry VIII clause</w:t>
      </w:r>
    </w:p>
    <w:p w14:paraId="69CC2AD6" w14:textId="760B0E4D" w:rsidR="000030B4" w:rsidRDefault="000030B4" w:rsidP="000030B4">
      <w:pPr>
        <w:pStyle w:val="ListNumber2"/>
        <w:spacing w:before="120" w:after="0"/>
        <w:ind w:left="851"/>
      </w:pPr>
      <w:r>
        <w:t xml:space="preserve">The Bill will insert a transitional chapter into the Education Act which will allow regulations to prescribe transitional matters necessary or convenient to be prescribed as well as regulations which may modify the chapter, including in relation to another territory law and which has effect despite anything elsewhere in the Bill or another Territory law (see proposed section 316). The explanatory statement accompanying the Bill recognises </w:t>
      </w:r>
      <w:r w:rsidR="00724EC9">
        <w:t>that</w:t>
      </w:r>
      <w:r>
        <w:t xml:space="preserve"> there are two different regulation making powers but only describes the first. There is no description or justification provided for the proposed Henry VIII clause allowing modification of Territory laws by regulation.</w:t>
      </w:r>
    </w:p>
    <w:p w14:paraId="589449AE" w14:textId="77777777" w:rsidR="000030B4" w:rsidRDefault="000030B4" w:rsidP="000030B4">
      <w:pPr>
        <w:pStyle w:val="ListNumber2"/>
        <w:keepNext/>
        <w:spacing w:after="0"/>
        <w:ind w:left="851"/>
        <w:rPr>
          <w:b/>
          <w:bCs w:val="0"/>
        </w:rPr>
      </w:pPr>
      <w:r>
        <w:rPr>
          <w:b/>
          <w:bCs w:val="0"/>
        </w:rPr>
        <w:t xml:space="preserve">The Committee therefore requests further information from the Minister on why the Henry VIII clause is considered necessary in the context of this Bill, including: </w:t>
      </w:r>
    </w:p>
    <w:p w14:paraId="4BDB6E4E" w14:textId="77777777" w:rsidR="000030B4" w:rsidRDefault="000030B4" w:rsidP="000030B4">
      <w:pPr>
        <w:pStyle w:val="ListNumber3"/>
        <w:rPr>
          <w:b/>
          <w:bCs w:val="0"/>
        </w:rPr>
      </w:pPr>
      <w:r>
        <w:rPr>
          <w:b/>
          <w:bCs w:val="0"/>
        </w:rPr>
        <w:t>what limits, if any, are placed on the scope, subject matter and duration of the Henry VIII clause so as to restrict the potential impact of any regulations; and</w:t>
      </w:r>
    </w:p>
    <w:p w14:paraId="3C2374DD" w14:textId="7B2BB87F" w:rsidR="000030B4" w:rsidRDefault="000030B4" w:rsidP="000030B4">
      <w:pPr>
        <w:pStyle w:val="ListNumber3"/>
        <w:rPr>
          <w:b/>
          <w:bCs w:val="0"/>
        </w:rPr>
      </w:pPr>
      <w:r>
        <w:rPr>
          <w:b/>
          <w:bCs w:val="0"/>
        </w:rPr>
        <w:t>what alternatives to the Henry VIII clause, either to the clause itself or the use of a Henry VIII clause in general, were considered and why those alternatives were not accepted.</w:t>
      </w:r>
    </w:p>
    <w:p w14:paraId="3747038C" w14:textId="77777777" w:rsidR="000030B4" w:rsidRDefault="000030B4" w:rsidP="000030B4">
      <w:pPr>
        <w:pStyle w:val="ListNumber2"/>
        <w:numPr>
          <w:ilvl w:val="0"/>
          <w:numId w:val="0"/>
        </w:numPr>
        <w:spacing w:after="0"/>
        <w:ind w:left="851"/>
        <w:rPr>
          <w:b/>
          <w:bCs w:val="0"/>
        </w:rPr>
      </w:pPr>
      <w:r>
        <w:rPr>
          <w:b/>
          <w:bCs w:val="0"/>
        </w:rPr>
        <w:t>Consideration should also be given to amending the explanatory statement to include this information.</w:t>
      </w:r>
    </w:p>
    <w:tbl>
      <w:tblPr>
        <w:tblStyle w:val="Recommendationbox"/>
        <w:tblW w:w="0" w:type="auto"/>
        <w:tblLook w:val="0600" w:firstRow="0" w:lastRow="0" w:firstColumn="0" w:lastColumn="0" w:noHBand="1" w:noVBand="1"/>
      </w:tblPr>
      <w:tblGrid>
        <w:gridCol w:w="8175"/>
      </w:tblGrid>
      <w:tr w:rsidR="000030B4" w14:paraId="0E1595DD" w14:textId="77777777" w:rsidTr="000030B4">
        <w:tc>
          <w:tcPr>
            <w:tcW w:w="7891" w:type="dxa"/>
            <w:hideMark/>
          </w:tcPr>
          <w:p w14:paraId="3A5FF3B7" w14:textId="77777777" w:rsidR="000030B4" w:rsidRDefault="000030B4">
            <w:pPr>
              <w:pStyle w:val="ListNumber2"/>
              <w:numPr>
                <w:ilvl w:val="0"/>
                <w:numId w:val="0"/>
              </w:numPr>
            </w:pPr>
            <w:bookmarkStart w:id="118" w:name="_Hlk165497175"/>
            <w:r>
              <w:t>The Committee draws this matter to the attention of the Assembly and asks the Minister to respond prior to the Bill being debated.</w:t>
            </w:r>
          </w:p>
        </w:tc>
      </w:tr>
    </w:tbl>
    <w:p w14:paraId="6D2305B7" w14:textId="77777777" w:rsidR="000030B4" w:rsidRDefault="000030B4" w:rsidP="000030B4">
      <w:pPr>
        <w:pStyle w:val="Heading4"/>
        <w:spacing w:before="120"/>
      </w:pPr>
      <w:bookmarkStart w:id="119" w:name="_Toc165552839"/>
      <w:bookmarkEnd w:id="118"/>
      <w:r>
        <w:rPr>
          <w:lang w:val="en-US"/>
        </w:rPr>
        <w:t>Whether any explanatory statement associated with legislation meets the technical or stylistic standards expected by the Committee—Committee Resolution of Appointment paragraphs (10)(a)(vi)</w:t>
      </w:r>
      <w:bookmarkEnd w:id="119"/>
    </w:p>
    <w:p w14:paraId="739F33CA" w14:textId="77777777" w:rsidR="000030B4" w:rsidRPr="000030B4" w:rsidRDefault="000030B4" w:rsidP="000030B4">
      <w:pPr>
        <w:pStyle w:val="ListNumber2"/>
        <w:spacing w:after="0"/>
        <w:ind w:left="851"/>
        <w:rPr>
          <w:spacing w:val="-2"/>
        </w:rPr>
      </w:pPr>
      <w:r w:rsidRPr="000030B4">
        <w:rPr>
          <w:spacing w:val="-2"/>
        </w:rPr>
        <w:t>The Committee is concerned that the outline of clauses in the explanatory statement accompanying the Bill is not sufficiently detailed to assist the reader in identifying the nature and purpose of proposed amendments. Some outlines merely paraphrase, or in some cases, repeat the proposed provision in the Bill without providing information on the purpose or impact of the amendment. There is limited reference to the role amendments may have, either through their relationship with other amendments or existing provisions in the Bill.</w:t>
      </w:r>
    </w:p>
    <w:p w14:paraId="3D92C564" w14:textId="07C57038" w:rsidR="000030B4" w:rsidRDefault="000030B4" w:rsidP="000030B4">
      <w:pPr>
        <w:pStyle w:val="ListNumber2"/>
        <w:spacing w:after="0"/>
        <w:ind w:left="851"/>
      </w:pPr>
      <w:r>
        <w:t>For example, clause 48 of the Bill introduces a new chapter into the Education Act dealing with distance education. This includes restrictions on the provision of distance education by schools, the determination of fees for enrolment of students who do not live in the Territory, the contents of distance education policies and eligibility for participation in distance education. The explanatory statement, in outlining clause 48 states only that “[t]his clause inserts a new chapter covering Distance Education in detail”. The Committee notes that some provisions in this proposed chapter are described in the introduction to the Bill. However, ambiguities in the description may have been resolved through a more detailed and comprehensive description in the outline of the provisions.</w:t>
      </w:r>
      <w:r>
        <w:rPr>
          <w:rStyle w:val="FootnoteReference"/>
        </w:rPr>
        <w:footnoteReference w:id="2"/>
      </w:r>
      <w:r>
        <w:t xml:space="preserve"> </w:t>
      </w:r>
    </w:p>
    <w:p w14:paraId="42AB74A8" w14:textId="77777777" w:rsidR="000030B4" w:rsidRDefault="000030B4" w:rsidP="000030B4">
      <w:pPr>
        <w:pStyle w:val="ListNumber2"/>
        <w:spacing w:after="0"/>
        <w:ind w:left="851"/>
      </w:pPr>
      <w:r>
        <w:t>The approach taken in the explanatory statement sometimes results in an outline which is less clear than the provision in the Bill itself. For example, the outline of clause 62 states:</w:t>
      </w:r>
    </w:p>
    <w:p w14:paraId="46A71704" w14:textId="77777777" w:rsidR="000030B4" w:rsidRDefault="000030B4" w:rsidP="000030B4">
      <w:pPr>
        <w:pStyle w:val="Quote"/>
        <w:spacing w:before="120" w:after="0"/>
        <w:rPr>
          <w:b/>
          <w:bCs/>
        </w:rPr>
      </w:pPr>
      <w:r>
        <w:rPr>
          <w:b/>
          <w:bCs/>
        </w:rPr>
        <w:t xml:space="preserve">Clause 62 New section 6B (ea) </w:t>
      </w:r>
    </w:p>
    <w:p w14:paraId="132AC0F5" w14:textId="77777777" w:rsidR="000030B4" w:rsidRDefault="000030B4" w:rsidP="000030B4">
      <w:pPr>
        <w:pStyle w:val="Quote"/>
        <w:spacing w:before="120" w:after="120"/>
      </w:pPr>
      <w:r>
        <w:t>This clause inserts a new section clarifying that for a change to restart providing distance education at a registered campus, the campus where distance education is to be provided.</w:t>
      </w:r>
    </w:p>
    <w:p w14:paraId="6A393BF0" w14:textId="77777777" w:rsidR="000030B4" w:rsidRDefault="000030B4" w:rsidP="00AD3CDA">
      <w:pPr>
        <w:pStyle w:val="ListNumber2"/>
        <w:spacing w:after="0"/>
        <w:ind w:left="851"/>
      </w:pPr>
      <w:r>
        <w:t>The new section 6B(ea) of the Education Regulation prescribes what information is needed to be provided to the Registrar where a school restarts providing distance education. The proprietor of the school has to provide the Registrar with the campus where the distance education is to be provided. It is not clear to the Committee what is meant by where distance education is provided given the students, teachers or staff involved and technology hosting facilities may be all widely dispersed. A more informative description in the explanatory statement, while not definitive, may have assisted in the interpretation and understanding of the meaning of the provision. Understanding the meaning of the outline of the provisions should not require reference to other unidentified provisions in the Bill. The outline of provisions should assist the reader in understanding the nature, impact and intended operation of the amendments being introduced.</w:t>
      </w:r>
    </w:p>
    <w:p w14:paraId="30BD4439" w14:textId="77777777" w:rsidR="000030B4" w:rsidRDefault="000030B4" w:rsidP="0057740E">
      <w:pPr>
        <w:pStyle w:val="ListNumber2"/>
        <w:spacing w:after="0"/>
        <w:ind w:left="851"/>
        <w:rPr>
          <w:b/>
          <w:bCs w:val="0"/>
        </w:rPr>
      </w:pPr>
      <w:r>
        <w:rPr>
          <w:b/>
          <w:bCs w:val="0"/>
        </w:rPr>
        <w:t>The Committee therefore recommends that consideration be given to amending the explanatory statement accompanying the Bill to provide further detail in outlining the clauses in the Bill.</w:t>
      </w:r>
    </w:p>
    <w:tbl>
      <w:tblPr>
        <w:tblStyle w:val="Recommendationbox"/>
        <w:tblW w:w="0" w:type="auto"/>
        <w:tblLook w:val="0600" w:firstRow="0" w:lastRow="0" w:firstColumn="0" w:lastColumn="0" w:noHBand="1" w:noVBand="1"/>
      </w:tblPr>
      <w:tblGrid>
        <w:gridCol w:w="8175"/>
      </w:tblGrid>
      <w:tr w:rsidR="000030B4" w14:paraId="5A51273F" w14:textId="77777777" w:rsidTr="000030B4">
        <w:tc>
          <w:tcPr>
            <w:tcW w:w="7891" w:type="dxa"/>
            <w:hideMark/>
          </w:tcPr>
          <w:p w14:paraId="67EF16F8" w14:textId="2515EB74" w:rsidR="000030B4" w:rsidRDefault="000030B4" w:rsidP="00AD3CDA">
            <w:pPr>
              <w:pStyle w:val="ListNumber2"/>
              <w:numPr>
                <w:ilvl w:val="0"/>
                <w:numId w:val="0"/>
              </w:numPr>
              <w:spacing w:before="0" w:after="0"/>
            </w:pPr>
            <w:r>
              <w:t>The Committee draws this matter to the attention of the Assembly and asks the Minister to respond prior to the Bill being debated.</w:t>
            </w:r>
          </w:p>
        </w:tc>
      </w:tr>
    </w:tbl>
    <w:p w14:paraId="7F7BD85F" w14:textId="2BCD9BDA" w:rsidR="002D13CB" w:rsidRDefault="002D13CB" w:rsidP="000030B4">
      <w:pPr>
        <w:pStyle w:val="Heading3"/>
      </w:pPr>
      <w:bookmarkStart w:id="120" w:name="_Toc165552840"/>
      <w:r w:rsidRPr="002E4B17">
        <w:t>E</w:t>
      </w:r>
      <w:r w:rsidRPr="00AD3CDA">
        <w:rPr>
          <w:spacing w:val="-4"/>
        </w:rPr>
        <w:t>ducation and Care Services National Law (ACT) Amendment Bill 2024</w:t>
      </w:r>
      <w:bookmarkEnd w:id="120"/>
    </w:p>
    <w:p w14:paraId="4D28AB7F" w14:textId="62B9113B" w:rsidR="002D13CB" w:rsidRDefault="002D13CB" w:rsidP="00AD3CDA">
      <w:pPr>
        <w:pStyle w:val="ListNumber2"/>
        <w:spacing w:after="60"/>
        <w:ind w:left="851"/>
      </w:pPr>
      <w:r>
        <w:t xml:space="preserve">This Bill will amend the </w:t>
      </w:r>
      <w:r w:rsidRPr="1C97ED85">
        <w:rPr>
          <w:i/>
          <w:iCs/>
        </w:rPr>
        <w:t>Education and Care Services National Law (ACT) Act 2011</w:t>
      </w:r>
      <w:r>
        <w:t xml:space="preserve"> (</w:t>
      </w:r>
      <w:r w:rsidR="0000302D">
        <w:t>‘</w:t>
      </w:r>
      <w:r>
        <w:t>National Law (ACT)</w:t>
      </w:r>
      <w:r w:rsidR="0000302D">
        <w:t>’</w:t>
      </w:r>
      <w:r>
        <w:t xml:space="preserve">) to incorporate Part 4 and section 49A of the Schedule to the </w:t>
      </w:r>
      <w:r w:rsidRPr="1C97ED85">
        <w:rPr>
          <w:i/>
          <w:iCs/>
        </w:rPr>
        <w:t>Education and Care Services National Law Act 2010</w:t>
      </w:r>
      <w:r>
        <w:t xml:space="preserve"> (Vic) (</w:t>
      </w:r>
      <w:r w:rsidR="0000302D">
        <w:t>‘V</w:t>
      </w:r>
      <w:r>
        <w:t>ictorian Act</w:t>
      </w:r>
      <w:r w:rsidR="0000302D">
        <w:t>’</w:t>
      </w:r>
      <w:r>
        <w:t xml:space="preserve">). The incorporation of those provisions will require applications to be made to the director-general for education and care services premises of three or more storeys to be approved in principle. Applications for approval in principle will be required prior to development and building approvals for construction or renovation of premises. The Bill aims to avoid the need for post-construction rectification works to meet regulatory approval. </w:t>
      </w:r>
    </w:p>
    <w:p w14:paraId="2C481210" w14:textId="77777777" w:rsidR="002D13CB" w:rsidRDefault="002D13CB" w:rsidP="00AD3CDA">
      <w:pPr>
        <w:pStyle w:val="ListNumber2"/>
        <w:spacing w:after="0"/>
        <w:ind w:left="851"/>
      </w:pPr>
      <w:r>
        <w:t>The Bill will also remove the requirement for amendments to the Victorian Act to be tabled in the Assembly within 6 sitting days of being passed by the Victorian Parliament. Instead, the Bill will prevent any amendment becoming law in the ACT until it is tabled, and any amendments will only be law until disallowed. Two previous consequential and technical amendments to the Victorian Act that were not tabled in the Assembly within 6 sitting days are also incorporated by the Bill.</w:t>
      </w:r>
    </w:p>
    <w:p w14:paraId="63E9AB01" w14:textId="77777777" w:rsidR="002D13CB" w:rsidRPr="00133AB1" w:rsidRDefault="002D13CB" w:rsidP="00AD3CDA">
      <w:pPr>
        <w:pStyle w:val="Heading4"/>
        <w:rPr>
          <w:rFonts w:eastAsia="Calibri"/>
          <w:i/>
          <w:lang w:eastAsia="en-AU"/>
        </w:rPr>
      </w:pPr>
      <w:bookmarkStart w:id="121" w:name="_Toc165454929"/>
      <w:bookmarkStart w:id="122" w:name="_Toc165552841"/>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21"/>
      <w:bookmarkEnd w:id="122"/>
    </w:p>
    <w:p w14:paraId="1652323D" w14:textId="77777777" w:rsidR="002D13CB" w:rsidRPr="00E83C75" w:rsidRDefault="002D13CB" w:rsidP="000030B4">
      <w:pPr>
        <w:pStyle w:val="Heading5"/>
        <w:spacing w:before="120"/>
      </w:pPr>
      <w:r w:rsidRPr="00E83C75">
        <w:t>Right to a fair trial (s</w:t>
      </w:r>
      <w:r>
        <w:t>ection</w:t>
      </w:r>
      <w:r w:rsidRPr="00E83C75">
        <w:t xml:space="preserve"> 21 </w:t>
      </w:r>
      <w:r>
        <w:t>HRA</w:t>
      </w:r>
      <w:r w:rsidRPr="00E83C75">
        <w:t xml:space="preserve">) </w:t>
      </w:r>
    </w:p>
    <w:p w14:paraId="6A5DFEB6" w14:textId="22C842C0" w:rsidR="002D13CB" w:rsidRDefault="002D13CB" w:rsidP="00AD3CDA">
      <w:pPr>
        <w:pStyle w:val="ListNumber2"/>
        <w:ind w:left="851"/>
      </w:pPr>
      <w:r>
        <w:t>The Bill will enable approvals in principle to be cancelled if the director-general is satisfied that the proposed premises are no longer suitable or constructed according to the plans used in granting approval in principle. A decision to cancel an approval in principle, like a</w:t>
      </w:r>
      <w:r w:rsidR="00CE02FD">
        <w:t> </w:t>
      </w:r>
      <w:r>
        <w:t xml:space="preserve">refusal to grant, amend or transfer an approval in principle, is subject to internal review or review by the ACT Civil and Administrative Tribunal. The explanatory statement accompanying the Bill provides a justification for any limitation of the right to a fair trial under section 21 of the HRA by this amendment. </w:t>
      </w:r>
    </w:p>
    <w:p w14:paraId="330180EE" w14:textId="77777777" w:rsidR="002D13CB" w:rsidRPr="00EB7097" w:rsidRDefault="002D13CB" w:rsidP="00AD3CDA">
      <w:pPr>
        <w:pStyle w:val="ListNumber2"/>
        <w:spacing w:after="0" w:line="264" w:lineRule="auto"/>
        <w:ind w:left="851"/>
        <w:rPr>
          <w:b/>
          <w:bCs w:val="0"/>
        </w:rPr>
      </w:pPr>
      <w:r w:rsidRPr="1C97ED85">
        <w:rPr>
          <w:b/>
        </w:rPr>
        <w:t>The Committee draws this matter to the attention of the Assembly, but does not require a response from the Minister.</w:t>
      </w:r>
    </w:p>
    <w:p w14:paraId="5BBC0B1E" w14:textId="2B04E3CC" w:rsidR="002D13CB" w:rsidRPr="00E83C75" w:rsidRDefault="002D13CB" w:rsidP="000030B4">
      <w:pPr>
        <w:pStyle w:val="Heading4"/>
      </w:pPr>
      <w:bookmarkStart w:id="123" w:name="_Toc165454930"/>
      <w:bookmarkStart w:id="124" w:name="_Toc165552842"/>
      <w:r w:rsidRPr="00E83C75">
        <w:t>Do any provisions of the Bill inappropriately delegate legislative powers?</w:t>
      </w:r>
      <w:r>
        <w:t>—</w:t>
      </w:r>
      <w:r w:rsidRPr="00E83C75">
        <w:rPr>
          <w:lang w:val="en-US"/>
        </w:rPr>
        <w:t xml:space="preserve">Committee </w:t>
      </w:r>
      <w:r>
        <w:rPr>
          <w:lang w:val="en-US"/>
        </w:rPr>
        <w:t>Resolution of Appointment paragraph (10)(a)(iv)</w:t>
      </w:r>
      <w:bookmarkEnd w:id="123"/>
      <w:bookmarkEnd w:id="124"/>
    </w:p>
    <w:p w14:paraId="580363E0" w14:textId="77777777" w:rsidR="002D13CB" w:rsidRDefault="002D13CB" w:rsidP="00AD3CDA">
      <w:pPr>
        <w:pStyle w:val="ListNumber2"/>
        <w:spacing w:after="60"/>
        <w:ind w:left="851"/>
      </w:pPr>
      <w:r>
        <w:t>The Committee notes that the Bill will amend the process by which legislation passed by the Victorian parliament is incorporated as part of the National Law (ACT) without being passed by the Assembly. The process of tabling and potential disallowance by the Assembly provided for in the National Law (ACT) will, however, remain.</w:t>
      </w:r>
    </w:p>
    <w:p w14:paraId="151B6A62" w14:textId="6BE0AAC8" w:rsidR="002D13CB" w:rsidRPr="00EB7097" w:rsidRDefault="002D13CB" w:rsidP="0000302D">
      <w:pPr>
        <w:pStyle w:val="ListNumber2"/>
        <w:spacing w:before="60" w:after="200"/>
        <w:ind w:left="851"/>
        <w:rPr>
          <w:b/>
          <w:bCs w:val="0"/>
        </w:rPr>
      </w:pPr>
      <w:r w:rsidRPr="1C97ED85">
        <w:rPr>
          <w:b/>
        </w:rPr>
        <w:t>The Committee draws this matter to the attention of the Assembly, but does not require a response from the Minister.</w:t>
      </w:r>
    </w:p>
    <w:p w14:paraId="57CCFB8E" w14:textId="77777777" w:rsidR="002D13CB" w:rsidRDefault="002D13CB" w:rsidP="000030B4">
      <w:pPr>
        <w:pStyle w:val="Heading3"/>
      </w:pPr>
      <w:bookmarkStart w:id="125" w:name="_Toc165552843"/>
      <w:r w:rsidRPr="00317C82">
        <w:t>Health (Improved Abortion Access) Amendment Bill 2024</w:t>
      </w:r>
      <w:bookmarkEnd w:id="125"/>
    </w:p>
    <w:p w14:paraId="6DDB5B23" w14:textId="77777777" w:rsidR="002D13CB" w:rsidRDefault="002D13CB" w:rsidP="0000302D">
      <w:pPr>
        <w:pStyle w:val="ListNumber2"/>
        <w:spacing w:before="60" w:after="0"/>
        <w:ind w:left="851"/>
      </w:pPr>
      <w:r>
        <w:t xml:space="preserve">This Bill will amend the </w:t>
      </w:r>
      <w:r w:rsidRPr="1C97ED85">
        <w:rPr>
          <w:i/>
          <w:iCs/>
        </w:rPr>
        <w:t>Health Act 1993</w:t>
      </w:r>
      <w:r>
        <w:t xml:space="preserve"> to:</w:t>
      </w:r>
    </w:p>
    <w:p w14:paraId="134444C7" w14:textId="4860EF19" w:rsidR="002D13CB" w:rsidRDefault="00AD3CDA" w:rsidP="00AD3CDA">
      <w:pPr>
        <w:pStyle w:val="ListNumber3"/>
        <w:spacing w:after="0"/>
      </w:pPr>
      <w:r>
        <w:t>a</w:t>
      </w:r>
      <w:r w:rsidR="002D13CB">
        <w:t xml:space="preserve">llow an abortifacient, a substance which prematurely ends a pregnancy, to be administered by nurse practitioners and registered midwives; and </w:t>
      </w:r>
    </w:p>
    <w:p w14:paraId="3D0F51E5" w14:textId="77777777" w:rsidR="002D13CB" w:rsidRDefault="002D13CB" w:rsidP="00AD3CDA">
      <w:pPr>
        <w:pStyle w:val="ListNumber3"/>
      </w:pPr>
      <w:r>
        <w:t>require health practitioners who refuse on religious or other conscientious grounds to carry out or assist with a medical or surgical abortion to transfer the person's care or provide contact information for a supplier of abortion services.</w:t>
      </w:r>
    </w:p>
    <w:p w14:paraId="0FC5A299" w14:textId="1EBB581B" w:rsidR="002D13CB" w:rsidRPr="00133AB1" w:rsidRDefault="002D13CB" w:rsidP="000030B4">
      <w:pPr>
        <w:pStyle w:val="Heading4"/>
        <w:rPr>
          <w:rFonts w:eastAsia="Calibri"/>
          <w:lang w:eastAsia="en-AU"/>
        </w:rPr>
      </w:pPr>
      <w:bookmarkStart w:id="126" w:name="_Toc165454932"/>
      <w:bookmarkStart w:id="127" w:name="_Toc165552844"/>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26"/>
      <w:bookmarkEnd w:id="127"/>
      <w:r>
        <w:rPr>
          <w:lang w:val="en-US"/>
        </w:rPr>
        <w:t xml:space="preserve"> </w:t>
      </w:r>
      <w:r w:rsidRPr="00E83C75">
        <w:rPr>
          <w:lang w:val="en-US"/>
        </w:rPr>
        <w:t xml:space="preserve"> </w:t>
      </w:r>
    </w:p>
    <w:p w14:paraId="2BFB8A58" w14:textId="77777777" w:rsidR="002D13CB" w:rsidRPr="00133AB1" w:rsidRDefault="002D13CB" w:rsidP="00AD3CDA">
      <w:pPr>
        <w:pStyle w:val="Heading4"/>
        <w:spacing w:before="160"/>
        <w:rPr>
          <w:rFonts w:eastAsia="Calibri"/>
          <w:i/>
          <w:lang w:eastAsia="en-AU"/>
        </w:rPr>
      </w:pPr>
      <w:bookmarkStart w:id="128" w:name="_Toc165454933"/>
      <w:bookmarkStart w:id="129" w:name="_Toc165552845"/>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28"/>
      <w:bookmarkEnd w:id="129"/>
    </w:p>
    <w:p w14:paraId="6BF725BC" w14:textId="77777777" w:rsidR="002D13CB" w:rsidRPr="00E83C75" w:rsidRDefault="002D13CB" w:rsidP="00AD3CDA">
      <w:pPr>
        <w:pStyle w:val="Heading5"/>
        <w:spacing w:before="160" w:after="0"/>
      </w:pPr>
      <w:r w:rsidRPr="00B1063D">
        <w:t>Freedom of thought, conscience, religion and belief</w:t>
      </w:r>
      <w:r>
        <w:t xml:space="preserve"> (section 14 HRA)</w:t>
      </w:r>
    </w:p>
    <w:p w14:paraId="036FA05A" w14:textId="77777777" w:rsidR="002D13CB" w:rsidRPr="005F7002" w:rsidRDefault="002D13CB" w:rsidP="00AD3CDA">
      <w:pPr>
        <w:pStyle w:val="Heading5"/>
        <w:spacing w:before="160" w:after="0"/>
      </w:pPr>
      <w:r w:rsidRPr="005F7002">
        <w:t>Freedom of expression (s</w:t>
      </w:r>
      <w:r>
        <w:t>ection</w:t>
      </w:r>
      <w:r w:rsidRPr="005F7002">
        <w:t xml:space="preserve"> 16 HRA)</w:t>
      </w:r>
    </w:p>
    <w:p w14:paraId="6C674454" w14:textId="464C2C96" w:rsidR="002D13CB" w:rsidRDefault="002D13CB" w:rsidP="00CE02FD">
      <w:pPr>
        <w:pStyle w:val="ListNumber2"/>
        <w:spacing w:after="60"/>
        <w:ind w:left="851"/>
      </w:pPr>
      <w:r>
        <w:t>It is currently an offence under section 81 of the Health Act for anyone other than a doctor to supply or administer an abortifacient for the purpose of ending a pregnancy. There are exceptions for pharmacists or persons assisting a pharmacist who supply an abortifacient in accordance with a prescription. The Bill will amend section 81 to also restrict the offence from applying to nurse practitioners and persons prescribed by regulation. The Bill will also create a Health Regulation 2024 which will prescribe for the purposes of section 81 a</w:t>
      </w:r>
      <w:r w:rsidR="00CE02FD">
        <w:t> </w:t>
      </w:r>
      <w:r>
        <w:t xml:space="preserve">midwife authorised under the </w:t>
      </w:r>
      <w:r w:rsidRPr="1C97ED85">
        <w:rPr>
          <w:i/>
          <w:iCs/>
        </w:rPr>
        <w:t>National Health Act 1953</w:t>
      </w:r>
      <w:r>
        <w:t xml:space="preserve"> (Cwlth).</w:t>
      </w:r>
    </w:p>
    <w:p w14:paraId="50B54E17" w14:textId="77777777" w:rsidR="002D13CB" w:rsidRDefault="002D13CB" w:rsidP="00AD3CDA">
      <w:pPr>
        <w:pStyle w:val="ListNumber2"/>
        <w:spacing w:after="60"/>
        <w:ind w:left="851"/>
      </w:pPr>
      <w:r>
        <w:t xml:space="preserve">Section 84A provides for authorised persons to refuse to provide an abortion service on religious or other conscientious grounds. The Bill will expand the definition of authorised persons to include those excluded from the offence in section 81. The Bill will also require those authorised persons who have a conscientious objection to provide information to the person requesting the abortion service or transfer the person's care. The authorised person must reasonably believe that the health practitioner or medical facility referred to can provide the abortion service and would not have a conscientious objection. </w:t>
      </w:r>
    </w:p>
    <w:p w14:paraId="5681A0B2" w14:textId="355F4ECB" w:rsidR="002D13CB" w:rsidRPr="00CE02FD" w:rsidRDefault="002D13CB" w:rsidP="002D13CB">
      <w:pPr>
        <w:pStyle w:val="ListNumber2"/>
        <w:ind w:left="851"/>
        <w:rPr>
          <w:spacing w:val="-2"/>
        </w:rPr>
      </w:pPr>
      <w:r w:rsidRPr="00CE02FD">
        <w:rPr>
          <w:spacing w:val="-2"/>
        </w:rPr>
        <w:t>By requiring authorised persons to provide information on abortion services or transfer a</w:t>
      </w:r>
      <w:r w:rsidR="00CE02FD">
        <w:rPr>
          <w:spacing w:val="-2"/>
        </w:rPr>
        <w:t> </w:t>
      </w:r>
      <w:r w:rsidRPr="00CE02FD">
        <w:rPr>
          <w:spacing w:val="-2"/>
        </w:rPr>
        <w:t>person's care to facilitate provision of abortion services, the Bill may limit the right to freedom of thought, conscience, religion and belief in section 14 of the HRA and the right to freedom of expression in section 16 of the HRA. The explanatory statement accompanying the Bill recognises these potential limitations and sets out why any limitation should be considered reasonable using the framework in section 28 of the HRA. The Committee refers that statement to the Assembly.</w:t>
      </w:r>
    </w:p>
    <w:p w14:paraId="45FEAC6C" w14:textId="77777777" w:rsidR="002D13CB" w:rsidRPr="003970CE" w:rsidRDefault="002D13CB" w:rsidP="002D13CB">
      <w:pPr>
        <w:pStyle w:val="ListNumber2"/>
        <w:ind w:left="851"/>
        <w:rPr>
          <w:b/>
          <w:bCs w:val="0"/>
        </w:rPr>
      </w:pPr>
      <w:r w:rsidRPr="1C97ED85">
        <w:rPr>
          <w:b/>
        </w:rPr>
        <w:t>The Committee draws this matter to the attention of the Assembly, but does not require a response from the Minister.</w:t>
      </w:r>
    </w:p>
    <w:p w14:paraId="56298A51" w14:textId="07FA17C8" w:rsidR="002D13CB" w:rsidRPr="00E83C75" w:rsidRDefault="002D13CB" w:rsidP="00AD3CDA">
      <w:pPr>
        <w:pStyle w:val="Heading4"/>
        <w:spacing w:after="0"/>
      </w:pPr>
      <w:bookmarkStart w:id="130" w:name="_Toc165454934"/>
      <w:bookmarkStart w:id="131" w:name="_Toc165552846"/>
      <w:r w:rsidRPr="00E83C75">
        <w:t>Do any provisions of the Bill inappropriately delegate legislative powers?</w:t>
      </w:r>
      <w:r>
        <w:t>—</w:t>
      </w:r>
      <w:r w:rsidRPr="00E83C75">
        <w:rPr>
          <w:lang w:val="en-US"/>
        </w:rPr>
        <w:t xml:space="preserve">Committee </w:t>
      </w:r>
      <w:r>
        <w:rPr>
          <w:lang w:val="en-US"/>
        </w:rPr>
        <w:t>Resolution of Appointment paragraph (10)(a)(iv)</w:t>
      </w:r>
      <w:bookmarkEnd w:id="130"/>
      <w:bookmarkEnd w:id="131"/>
    </w:p>
    <w:p w14:paraId="12AC3286" w14:textId="77777777" w:rsidR="002D13CB" w:rsidRPr="00E83C75" w:rsidRDefault="002D13CB" w:rsidP="00AD3CDA">
      <w:pPr>
        <w:pStyle w:val="Heading5"/>
        <w:spacing w:before="120"/>
      </w:pPr>
      <w:r>
        <w:t>Incorporation of laws or instruments</w:t>
      </w:r>
    </w:p>
    <w:p w14:paraId="731B0423" w14:textId="330CCF04" w:rsidR="002D13CB" w:rsidRDefault="002D13CB" w:rsidP="004A298E">
      <w:pPr>
        <w:pStyle w:val="ListNumber2"/>
        <w:ind w:left="851"/>
      </w:pPr>
      <w:r>
        <w:t>T</w:t>
      </w:r>
      <w:r w:rsidRPr="00CE02FD">
        <w:rPr>
          <w:spacing w:val="-4"/>
        </w:rPr>
        <w:t xml:space="preserve">he Bill will amend the regulation-making power in section 196 of the Act to allow regulations to apply, adopt or incorporate a law or instrument as in force from time to time. The explanatory statement outlines the need for this provision as due to the </w:t>
      </w:r>
      <w:r w:rsidR="000030B4">
        <w:rPr>
          <w:spacing w:val="-4"/>
        </w:rPr>
        <w:t>“</w:t>
      </w:r>
      <w:r w:rsidRPr="00CE02FD">
        <w:rPr>
          <w:spacing w:val="-4"/>
        </w:rPr>
        <w:t>rapidity of social and clinical expectations and developments in the reproductive health space</w:t>
      </w:r>
      <w:r w:rsidR="000030B4">
        <w:rPr>
          <w:spacing w:val="-4"/>
        </w:rPr>
        <w:t>”</w:t>
      </w:r>
      <w:r w:rsidRPr="00CE02FD">
        <w:rPr>
          <w:spacing w:val="-4"/>
        </w:rPr>
        <w:t xml:space="preserve"> and supporting </w:t>
      </w:r>
      <w:r w:rsidR="000030B4">
        <w:rPr>
          <w:spacing w:val="-4"/>
        </w:rPr>
        <w:t>“</w:t>
      </w:r>
      <w:r w:rsidRPr="00CE02FD">
        <w:rPr>
          <w:spacing w:val="-4"/>
        </w:rPr>
        <w:t>consistent standards of practice in the reproductive health space across Australia</w:t>
      </w:r>
      <w:r w:rsidR="000030B4">
        <w:rPr>
          <w:spacing w:val="-4"/>
        </w:rPr>
        <w:t>”</w:t>
      </w:r>
      <w:r w:rsidRPr="00CE02FD">
        <w:rPr>
          <w:spacing w:val="-4"/>
        </w:rPr>
        <w:t xml:space="preserve">. The Committee notes with approval that section 47(6) of the </w:t>
      </w:r>
      <w:r w:rsidRPr="00CE02FD">
        <w:rPr>
          <w:i/>
          <w:iCs/>
          <w:spacing w:val="-4"/>
        </w:rPr>
        <w:t xml:space="preserve">Legislation Act </w:t>
      </w:r>
      <w:r w:rsidRPr="00CE02FD">
        <w:rPr>
          <w:spacing w:val="-4"/>
        </w:rPr>
        <w:t>2001 is not displaced, requiring any incorporated law or instrument to be notified on the Legislation Register.</w:t>
      </w:r>
    </w:p>
    <w:p w14:paraId="6E7A9B2A" w14:textId="77777777" w:rsidR="002D13CB" w:rsidRPr="002D13CB" w:rsidRDefault="002D13CB" w:rsidP="00AD3CDA">
      <w:pPr>
        <w:pStyle w:val="ListNumber2"/>
        <w:ind w:left="851"/>
        <w:rPr>
          <w:spacing w:val="-2"/>
        </w:rPr>
      </w:pPr>
      <w:r w:rsidRPr="002D13CB">
        <w:rPr>
          <w:spacing w:val="-2"/>
        </w:rPr>
        <w:t xml:space="preserve">The Bill will also create a new Health Regulation which defines authorised midwife for the purposes of that regulation through reference to the National Health Act 1953 (Cwlth). The regulation also provides that section 47(6) of the Legislation Act does not apply to that Commonwealth Act. Authorisation for that regulation is provided in clause 4 of the Bill. The explanatory statement provides a justification for why section 47(6) is displaced, referencing the availability of the Commonwealth Act on the Federal Register of Legislation and the expectation that midwives would be aware of whether they were authorised under that Act. </w:t>
      </w:r>
    </w:p>
    <w:p w14:paraId="709F7C30" w14:textId="70F53F39" w:rsidR="002D13CB" w:rsidRDefault="002D13CB" w:rsidP="0000302D">
      <w:pPr>
        <w:pStyle w:val="ListNumber2"/>
        <w:spacing w:after="240"/>
        <w:ind w:left="851"/>
        <w:rPr>
          <w:b/>
          <w:bCs w:val="0"/>
        </w:rPr>
      </w:pPr>
      <w:r w:rsidRPr="1C97ED85">
        <w:rPr>
          <w:b/>
        </w:rPr>
        <w:t>The Committee draws this matter to the attention of the Assembly, but does not require a response from the Minister.</w:t>
      </w:r>
    </w:p>
    <w:p w14:paraId="7FF2045B" w14:textId="77777777" w:rsidR="00AD3CDA" w:rsidRDefault="00AD3CDA" w:rsidP="00AD3CDA">
      <w:pPr>
        <w:pStyle w:val="Heading3"/>
      </w:pPr>
      <w:bookmarkStart w:id="132" w:name="_Toc165552847"/>
      <w:r>
        <w:t>Housing and Consumer Affairs Legislation Amendment Bill 2024</w:t>
      </w:r>
      <w:bookmarkEnd w:id="132"/>
    </w:p>
    <w:p w14:paraId="029E14DE" w14:textId="77777777" w:rsidR="00AD3CDA" w:rsidRDefault="00AD3CDA" w:rsidP="00AD3CDA">
      <w:pPr>
        <w:pStyle w:val="ListNumber2"/>
        <w:ind w:left="851"/>
      </w:pPr>
      <w:r>
        <w:t xml:space="preserve">The Bill </w:t>
      </w:r>
      <w:r w:rsidRPr="00AD3CDA">
        <w:rPr>
          <w:spacing w:val="-2"/>
        </w:rPr>
        <w:t>amends</w:t>
      </w:r>
      <w:r>
        <w:t xml:space="preserve"> a range of legislation relating to housing and consumer affairs, including:</w:t>
      </w:r>
    </w:p>
    <w:p w14:paraId="05933B3B" w14:textId="77777777" w:rsidR="00AD3CDA" w:rsidRPr="00AD3CDA" w:rsidRDefault="00AD3CDA" w:rsidP="00AD3CDA">
      <w:pPr>
        <w:pStyle w:val="ListNumber3"/>
        <w:spacing w:before="60" w:after="60"/>
        <w:rPr>
          <w:spacing w:val="-2"/>
        </w:rPr>
      </w:pPr>
      <w:r w:rsidRPr="00AD3CDA">
        <w:rPr>
          <w:spacing w:val="-2"/>
        </w:rPr>
        <w:t xml:space="preserve">amending the </w:t>
      </w:r>
      <w:r w:rsidRPr="00AD3CDA">
        <w:rPr>
          <w:i/>
          <w:iCs/>
          <w:spacing w:val="-2"/>
        </w:rPr>
        <w:t>Residential Tenancies Act 1997</w:t>
      </w:r>
      <w:r w:rsidRPr="00AD3CDA">
        <w:rPr>
          <w:spacing w:val="-2"/>
        </w:rPr>
        <w:t xml:space="preserve"> to prevent rent increases within 12 months of a previous increase, make break lease clauses mandatory, clarify bond and condition report obligations for consecutive tenancy agreements, and make it easier for a tenant to end their tenancy after experiencing domestic and family violence;</w:t>
      </w:r>
    </w:p>
    <w:p w14:paraId="7C53EAD9" w14:textId="77777777" w:rsidR="00AD3CDA" w:rsidRDefault="00AD3CDA" w:rsidP="00AD3CDA">
      <w:pPr>
        <w:pStyle w:val="ListNumber3"/>
        <w:spacing w:before="60" w:after="60"/>
      </w:pPr>
      <w:r>
        <w:t xml:space="preserve">amending the </w:t>
      </w:r>
      <w:r>
        <w:rPr>
          <w:i/>
          <w:iCs/>
        </w:rPr>
        <w:t>Unit Titles (Management) Act 2011</w:t>
      </w:r>
      <w:r>
        <w:t xml:space="preserve"> to ensure information required to lease a unit can be obtained from the owners corporation;  </w:t>
      </w:r>
    </w:p>
    <w:p w14:paraId="3A65824E" w14:textId="47CA83AF" w:rsidR="00AD3CDA" w:rsidRDefault="00AD3CDA" w:rsidP="00AD3CDA">
      <w:pPr>
        <w:pStyle w:val="ListNumber3"/>
        <w:spacing w:before="60" w:after="60"/>
      </w:pPr>
      <w:r>
        <w:t>making various deregulation changes for charities and employment agents</w:t>
      </w:r>
      <w:r w:rsidR="00D7092E">
        <w:t>;</w:t>
      </w:r>
    </w:p>
    <w:p w14:paraId="6344C23A" w14:textId="77777777" w:rsidR="00AD3CDA" w:rsidRDefault="00AD3CDA" w:rsidP="00AD3CDA">
      <w:pPr>
        <w:pStyle w:val="ListNumber3"/>
        <w:spacing w:before="60" w:after="60"/>
      </w:pPr>
      <w:r>
        <w:t>restore information sharing between the Registrar for Land Titles and the Commissioner for ACT Revenue; and</w:t>
      </w:r>
    </w:p>
    <w:p w14:paraId="5FDC0761" w14:textId="77777777" w:rsidR="00AD3CDA" w:rsidRDefault="00AD3CDA" w:rsidP="00AD3CDA">
      <w:pPr>
        <w:pStyle w:val="ListNumber3"/>
        <w:spacing w:before="60" w:after="60"/>
      </w:pPr>
      <w:r>
        <w:t>strengthen the enforcement powers of the Commissioner for Fair Trading.</w:t>
      </w:r>
    </w:p>
    <w:p w14:paraId="17140C0D" w14:textId="66A32A92" w:rsidR="00AD3CDA" w:rsidRDefault="00AD3CDA" w:rsidP="00AD3CDA">
      <w:pPr>
        <w:pStyle w:val="Heading4"/>
        <w:keepNext w:val="0"/>
        <w:spacing w:before="200"/>
        <w:rPr>
          <w:rFonts w:eastAsia="Calibri"/>
          <w:lang w:eastAsia="en-AU"/>
        </w:rPr>
      </w:pPr>
      <w:bookmarkStart w:id="133" w:name="_Toc165552848"/>
      <w:r>
        <w:rPr>
          <w:rFonts w:eastAsia="Calibri"/>
          <w:lang w:eastAsia="en-AU"/>
        </w:rPr>
        <w:t>Do any provisions of the Bill amount to an undue trespass on personal rights and liberties?—</w:t>
      </w:r>
      <w:r>
        <w:rPr>
          <w:lang w:val="en-US"/>
        </w:rPr>
        <w:t>Committee Resolution of Appointment paragraph (10)(a)(i)</w:t>
      </w:r>
      <w:bookmarkEnd w:id="133"/>
      <w:r>
        <w:rPr>
          <w:lang w:val="en-US"/>
        </w:rPr>
        <w:t xml:space="preserve">  </w:t>
      </w:r>
    </w:p>
    <w:p w14:paraId="771F1334" w14:textId="77777777" w:rsidR="00AD3CDA" w:rsidRDefault="00AD3CDA" w:rsidP="00AD3CDA">
      <w:pPr>
        <w:pStyle w:val="Heading4"/>
        <w:keepNext w:val="0"/>
        <w:spacing w:before="160"/>
        <w:rPr>
          <w:rFonts w:eastAsia="Calibri"/>
          <w:i/>
          <w:lang w:eastAsia="en-AU"/>
        </w:rPr>
      </w:pPr>
      <w:bookmarkStart w:id="134" w:name="_Toc165552849"/>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34"/>
    </w:p>
    <w:p w14:paraId="7E30B2D7" w14:textId="77777777" w:rsidR="00AD3CDA" w:rsidRDefault="00AD3CDA" w:rsidP="00AD3CDA">
      <w:pPr>
        <w:pStyle w:val="Heading5"/>
        <w:keepNext w:val="0"/>
        <w:spacing w:before="160"/>
      </w:pPr>
      <w:r>
        <w:t xml:space="preserve">Right to privacy and reputation (section 12 HRA) </w:t>
      </w:r>
    </w:p>
    <w:p w14:paraId="2D49D32C" w14:textId="77777777" w:rsidR="00AD3CDA" w:rsidRDefault="00AD3CDA" w:rsidP="00AD3CDA">
      <w:pPr>
        <w:pStyle w:val="Heading5"/>
        <w:keepNext w:val="0"/>
        <w:spacing w:before="160"/>
      </w:pPr>
      <w:r>
        <w:t>Right to liberty and security of person (section 18 HRA)</w:t>
      </w:r>
    </w:p>
    <w:p w14:paraId="04371C93" w14:textId="77777777" w:rsidR="00AD3CDA" w:rsidRDefault="00AD3CDA" w:rsidP="00AD3CDA">
      <w:pPr>
        <w:pStyle w:val="Heading5"/>
        <w:keepNext w:val="0"/>
        <w:spacing w:before="160" w:after="0"/>
      </w:pPr>
      <w:r>
        <w:t xml:space="preserve">Right to a fair trial (section 21 HRA) </w:t>
      </w:r>
    </w:p>
    <w:p w14:paraId="514FE1DB" w14:textId="77777777" w:rsidR="00AD3CDA" w:rsidRDefault="00AD3CDA" w:rsidP="00AD3CDA">
      <w:pPr>
        <w:pStyle w:val="Heading5"/>
        <w:spacing w:before="120"/>
      </w:pPr>
      <w:r>
        <w:t>Rights in criminal proceedings (section 22 HRA)</w:t>
      </w:r>
    </w:p>
    <w:p w14:paraId="00988014" w14:textId="77777777" w:rsidR="00AD3CDA" w:rsidRDefault="00AD3CDA" w:rsidP="00AD3CDA">
      <w:pPr>
        <w:pStyle w:val="ListNumber2"/>
        <w:ind w:left="851"/>
      </w:pPr>
      <w:r>
        <w:t xml:space="preserve">The Bill </w:t>
      </w:r>
      <w:r w:rsidRPr="00AD3CDA">
        <w:rPr>
          <w:spacing w:val="-2"/>
        </w:rPr>
        <w:t>will</w:t>
      </w:r>
      <w:r>
        <w:t xml:space="preserve"> introduce or amend several strict liability offences or exceptions to offences. These include:</w:t>
      </w:r>
    </w:p>
    <w:p w14:paraId="757639DB" w14:textId="024DE411" w:rsidR="00AD3CDA" w:rsidRDefault="00AD3CDA" w:rsidP="00AD3CDA">
      <w:pPr>
        <w:pStyle w:val="ListNumber3"/>
        <w:spacing w:after="60"/>
      </w:pPr>
      <w:r>
        <w:t xml:space="preserve">moving the offence in the </w:t>
      </w:r>
      <w:r>
        <w:rPr>
          <w:i/>
          <w:iCs/>
        </w:rPr>
        <w:t>Agents Act 2003</w:t>
      </w:r>
      <w:r>
        <w:t xml:space="preserve"> for an employment agent to accept a benefit from a person seeking work who is not a model or performer;</w:t>
      </w:r>
    </w:p>
    <w:p w14:paraId="53968869" w14:textId="77777777" w:rsidR="00AD3CDA" w:rsidRDefault="00AD3CDA" w:rsidP="00AD3CDA">
      <w:pPr>
        <w:pStyle w:val="ListNumber3"/>
        <w:spacing w:after="60"/>
      </w:pPr>
      <w:r>
        <w:t xml:space="preserve">redrafting offences in the </w:t>
      </w:r>
      <w:r>
        <w:rPr>
          <w:i/>
          <w:iCs/>
        </w:rPr>
        <w:t>Charitable Collections Act 2003</w:t>
      </w:r>
      <w:r>
        <w:t xml:space="preserve"> to reflect the introduction of deemed licences for charities registered with the Australian Charities and Not-for-profits Commission;</w:t>
      </w:r>
    </w:p>
    <w:p w14:paraId="50FC0148" w14:textId="77777777" w:rsidR="00AD3CDA" w:rsidRDefault="00AD3CDA" w:rsidP="00AD3CDA">
      <w:pPr>
        <w:pStyle w:val="ListNumber3"/>
        <w:spacing w:after="60"/>
      </w:pPr>
      <w:r>
        <w:t xml:space="preserve">requiring a business, without reasonable excuse, to attend a compulsory conciliation for a consumer complaint under the </w:t>
      </w:r>
      <w:r>
        <w:rPr>
          <w:i/>
          <w:iCs/>
        </w:rPr>
        <w:t xml:space="preserve">Fair Trading (Australian Consumer Law) Act 1992. </w:t>
      </w:r>
      <w:r>
        <w:t>This offence will be enforceable through the issue of an infringement notice under the proposed Magistrates Court (Fair Trading Australian Consumer Law Infringement Notices) Regulation 2024 set out in Schedule 2 of the Bill;</w:t>
      </w:r>
    </w:p>
    <w:p w14:paraId="6EC9F887" w14:textId="4FE02413" w:rsidR="00AD3CDA" w:rsidRDefault="00AD3CDA" w:rsidP="00AD3CDA">
      <w:pPr>
        <w:pStyle w:val="ListNumber3"/>
        <w:spacing w:after="60"/>
      </w:pPr>
      <w:r>
        <w:t>consolidates various strict liability offences in the Residential Tenancies Act relating to advertisements for the lease of premises, including failing to include required information or including false or misleading required information. The Bill will also allow additional forms of required information to be prescribed;</w:t>
      </w:r>
      <w:r w:rsidR="00C31994">
        <w:t xml:space="preserve"> and</w:t>
      </w:r>
    </w:p>
    <w:p w14:paraId="555036EC" w14:textId="77777777" w:rsidR="00AD3CDA" w:rsidRDefault="00AD3CDA" w:rsidP="00AD3CDA">
      <w:pPr>
        <w:pStyle w:val="ListNumber3"/>
        <w:spacing w:after="60"/>
      </w:pPr>
      <w:r>
        <w:t>introducing an offence in the Residential Tenancies Act of unauthorised use or disclosure of information included in documents supporting a tenant's termination of a tenancy agreement due to family violence. An exception is provided for use or disclosure between 2 or more specified persons or entities or where use or disclosure is reasonably necessary to obtain legal advice;</w:t>
      </w:r>
    </w:p>
    <w:p w14:paraId="0157DA86" w14:textId="77777777" w:rsidR="00AD3CDA" w:rsidRDefault="00AD3CDA" w:rsidP="00AD3CDA">
      <w:pPr>
        <w:pStyle w:val="ListNumber2"/>
        <w:ind w:left="851"/>
      </w:pPr>
      <w:r>
        <w:t xml:space="preserve">The </w:t>
      </w:r>
      <w:r w:rsidRPr="00AD3CDA">
        <w:rPr>
          <w:spacing w:val="-2"/>
        </w:rPr>
        <w:t>amendments</w:t>
      </w:r>
      <w:r>
        <w:t xml:space="preserve"> to the Charitable Collections Act include minor changes to the grounds on which the director-general may amend, suspend or cancel a licence to make charitable collections, including for breach of fundraising principles determined by the Minister. By amending the exercise of decision-making authority which gives rise to obligations of procedural fairness the Bill may limit the right to a fair trial in section 21 of the HRA. The amendments will also remake offences for unlawfully conducting collections and unlawfully taking part in collections. As the penalties for these offences can include a term of imprisonment the Bill may limit the right to liberty in section 18 of the HRA.</w:t>
      </w:r>
    </w:p>
    <w:p w14:paraId="2266F18A" w14:textId="77777777" w:rsidR="00AD3CDA" w:rsidRDefault="00AD3CDA" w:rsidP="00AD3CDA">
      <w:pPr>
        <w:pStyle w:val="ListNumber2"/>
        <w:ind w:left="851"/>
      </w:pPr>
      <w:r>
        <w:t xml:space="preserve">The Bill will </w:t>
      </w:r>
      <w:r w:rsidRPr="00AD3CDA">
        <w:rPr>
          <w:spacing w:val="-2"/>
        </w:rPr>
        <w:t>also</w:t>
      </w:r>
      <w:r>
        <w:t xml:space="preserve"> make various amendments which may limit the protection of privacy provided by section 12 of the HRA. These include:</w:t>
      </w:r>
    </w:p>
    <w:p w14:paraId="624D1113" w14:textId="5978669F" w:rsidR="00AD3CDA" w:rsidRDefault="00AD3CDA" w:rsidP="00AD3CDA">
      <w:pPr>
        <w:pStyle w:val="ListNumber3"/>
        <w:spacing w:before="60" w:after="60"/>
      </w:pPr>
      <w:r>
        <w:t xml:space="preserve">amending the </w:t>
      </w:r>
      <w:r>
        <w:rPr>
          <w:i/>
          <w:iCs/>
        </w:rPr>
        <w:t>Land Titles Act 1925</w:t>
      </w:r>
      <w:r>
        <w:t xml:space="preserve"> and Land Titles Regulation 2015 to provide for the Registrar-General for land titles to share information, including prescribed details used to verify a purchaser's identity, with the Commissioner for ACT Revenue;</w:t>
      </w:r>
      <w:r w:rsidR="00C31994">
        <w:t xml:space="preserve"> and</w:t>
      </w:r>
    </w:p>
    <w:p w14:paraId="4194F85B" w14:textId="5BECD898" w:rsidR="00AD3CDA" w:rsidRPr="00AD3CDA" w:rsidRDefault="00AD3CDA" w:rsidP="00AD3CDA">
      <w:pPr>
        <w:pStyle w:val="ListNumber3"/>
        <w:spacing w:before="60" w:after="60"/>
        <w:rPr>
          <w:spacing w:val="-2"/>
        </w:rPr>
      </w:pPr>
      <w:r w:rsidRPr="00AD3CDA">
        <w:rPr>
          <w:spacing w:val="-2"/>
        </w:rPr>
        <w:t>amendments to the Residential Tenancies Act to allow termination of a tenancy agreement due to experiences of family violence. A tenant is able to leave their tenancy with immediate effect where the</w:t>
      </w:r>
      <w:r w:rsidR="008E3B22">
        <w:rPr>
          <w:spacing w:val="-2"/>
        </w:rPr>
        <w:t>y</w:t>
      </w:r>
      <w:r w:rsidRPr="00AD3CDA">
        <w:rPr>
          <w:spacing w:val="-2"/>
        </w:rPr>
        <w:t xml:space="preserve"> provide various supporting documents, including protection or family court orders and declarations from a competent person. Use or disclosure of information in the tenant's supporting documents will be an offence. A lessor has to notify the Territory of the termination and any remaining co-tenants. Remaining co-tenants may chose to remain in the tenancy, including refunding the departing tenant's portion of the bond, or terminate the tenancy. </w:t>
      </w:r>
    </w:p>
    <w:p w14:paraId="0B08932E" w14:textId="77777777" w:rsidR="00AD3CDA" w:rsidRDefault="00AD3CDA" w:rsidP="00AD3CDA">
      <w:pPr>
        <w:pStyle w:val="ListNumber2"/>
        <w:spacing w:after="60"/>
        <w:ind w:left="851"/>
      </w:pPr>
      <w:r>
        <w:t xml:space="preserve">Each of these </w:t>
      </w:r>
      <w:r w:rsidRPr="00AD3CDA">
        <w:rPr>
          <w:spacing w:val="-2"/>
        </w:rPr>
        <w:t>potential</w:t>
      </w:r>
      <w:r>
        <w:t xml:space="preserve"> limitations is recognised in the explanatory statement accompanying the Bill along with a statement setting out why they should be considered reasonable using the framework set out in section 28 of the HRA. The Committee refers that statement to the Assembly.</w:t>
      </w:r>
    </w:p>
    <w:p w14:paraId="6302F033" w14:textId="77777777" w:rsidR="00AD3CDA" w:rsidRDefault="00AD3CDA" w:rsidP="00AD3CDA">
      <w:pPr>
        <w:pStyle w:val="ListNumber2"/>
        <w:spacing w:before="60" w:after="60"/>
        <w:ind w:left="851"/>
      </w:pPr>
      <w:r>
        <w:t xml:space="preserve">The Committee also wishes to acknowledge the explanatory statement's detailed and highly helpful approach to both the human rights considerations and outline of provisions, including the use of examples of how various provisions will operate together and the comparisons between current and proposed provisions along with reasons for why the changes were being introduced. </w:t>
      </w:r>
    </w:p>
    <w:p w14:paraId="7726A23C" w14:textId="7F6C942E" w:rsidR="00AD3CDA" w:rsidRPr="00AD3CDA" w:rsidRDefault="00AD3CDA" w:rsidP="00AD3CDA">
      <w:pPr>
        <w:pStyle w:val="ListNumber2"/>
        <w:spacing w:before="60" w:after="60"/>
        <w:ind w:left="851"/>
        <w:rPr>
          <w:b/>
          <w:bCs w:val="0"/>
        </w:rPr>
      </w:pPr>
      <w:r>
        <w:rPr>
          <w:b/>
          <w:bCs w:val="0"/>
        </w:rPr>
        <w:t>The Committee draws these matters to the attention of the Assembly, but does not require a response from the Minister.</w:t>
      </w:r>
    </w:p>
    <w:p w14:paraId="316C26DD" w14:textId="03B94F5F" w:rsidR="002D13CB" w:rsidRDefault="002D13CB" w:rsidP="000030B4">
      <w:pPr>
        <w:pStyle w:val="Heading3"/>
      </w:pPr>
      <w:bookmarkStart w:id="135" w:name="_Toc165552850"/>
      <w:r w:rsidRPr="00CF5ACB">
        <w:t>Nature Conservation Amendment Bill 2024</w:t>
      </w:r>
      <w:bookmarkEnd w:id="135"/>
    </w:p>
    <w:p w14:paraId="1D1BB5A4" w14:textId="77777777" w:rsidR="002D13CB" w:rsidRDefault="002D13CB" w:rsidP="004A298E">
      <w:pPr>
        <w:pStyle w:val="ListNumber2"/>
        <w:spacing w:line="271" w:lineRule="auto"/>
        <w:ind w:left="851"/>
      </w:pPr>
      <w:r>
        <w:t xml:space="preserve">This Bill will amend the </w:t>
      </w:r>
      <w:r w:rsidRPr="1C97ED85">
        <w:rPr>
          <w:i/>
          <w:iCs/>
        </w:rPr>
        <w:t>Nature Conservation Act 2014</w:t>
      </w:r>
      <w:r>
        <w:t xml:space="preserve"> to amend various strict liability offences and correct drafting errors and omissions.</w:t>
      </w:r>
    </w:p>
    <w:p w14:paraId="4B1427C0" w14:textId="70CD6F42" w:rsidR="002D13CB" w:rsidRPr="00133AB1" w:rsidRDefault="002D13CB" w:rsidP="004A298E">
      <w:pPr>
        <w:pStyle w:val="Heading4"/>
        <w:spacing w:before="160"/>
        <w:rPr>
          <w:rFonts w:eastAsia="Calibri"/>
          <w:lang w:eastAsia="en-AU"/>
        </w:rPr>
      </w:pPr>
      <w:bookmarkStart w:id="136" w:name="_Toc165454936"/>
      <w:bookmarkStart w:id="137" w:name="_Toc165552851"/>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36"/>
      <w:bookmarkEnd w:id="137"/>
      <w:r>
        <w:rPr>
          <w:lang w:val="en-US"/>
        </w:rPr>
        <w:t xml:space="preserve"> </w:t>
      </w:r>
      <w:r w:rsidRPr="00E83C75">
        <w:rPr>
          <w:lang w:val="en-US"/>
        </w:rPr>
        <w:t xml:space="preserve"> </w:t>
      </w:r>
    </w:p>
    <w:p w14:paraId="5F45BC0D" w14:textId="77777777" w:rsidR="002D13CB" w:rsidRPr="00133AB1" w:rsidRDefault="002D13CB" w:rsidP="00AD3CDA">
      <w:pPr>
        <w:pStyle w:val="Heading4"/>
        <w:spacing w:before="160"/>
        <w:rPr>
          <w:rFonts w:eastAsia="Calibri"/>
          <w:i/>
          <w:lang w:eastAsia="en-AU"/>
        </w:rPr>
      </w:pPr>
      <w:bookmarkStart w:id="138" w:name="_Toc165454937"/>
      <w:bookmarkStart w:id="139" w:name="_Toc165552852"/>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38"/>
      <w:bookmarkEnd w:id="139"/>
    </w:p>
    <w:p w14:paraId="114C2D9F" w14:textId="77777777" w:rsidR="002D13CB" w:rsidRDefault="002D13CB" w:rsidP="00AD3CDA">
      <w:pPr>
        <w:pStyle w:val="Heading5"/>
        <w:spacing w:before="160"/>
      </w:pPr>
      <w:r w:rsidRPr="0067269D">
        <w:t>Right to privacy and reputation (s</w:t>
      </w:r>
      <w:r>
        <w:t>ection</w:t>
      </w:r>
      <w:r w:rsidRPr="0067269D">
        <w:t xml:space="preserve"> 12 HRA)</w:t>
      </w:r>
      <w:r w:rsidRPr="0050715F">
        <w:t xml:space="preserve"> </w:t>
      </w:r>
    </w:p>
    <w:p w14:paraId="327ED9A5" w14:textId="77777777" w:rsidR="002D13CB" w:rsidRPr="00E83C75" w:rsidRDefault="002D13CB" w:rsidP="00AD3CDA">
      <w:pPr>
        <w:pStyle w:val="Heading5"/>
        <w:spacing w:before="160"/>
      </w:pPr>
      <w:r w:rsidRPr="00E83C75">
        <w:t>Righ</w:t>
      </w:r>
      <w:r>
        <w:t>t to freedom of movement (section 13 HRA</w:t>
      </w:r>
      <w:r w:rsidRPr="00E83C75">
        <w:t>)</w:t>
      </w:r>
    </w:p>
    <w:p w14:paraId="47706136" w14:textId="77777777" w:rsidR="002D13CB" w:rsidRDefault="002D13CB" w:rsidP="00AD3CDA">
      <w:pPr>
        <w:pStyle w:val="Heading5"/>
        <w:spacing w:before="160"/>
      </w:pPr>
      <w:r w:rsidRPr="00E83C75">
        <w:t>Right</w:t>
      </w:r>
      <w:r>
        <w:t>s in criminal proceedings</w:t>
      </w:r>
      <w:r w:rsidRPr="00E83C75">
        <w:t xml:space="preserve"> (s</w:t>
      </w:r>
      <w:r>
        <w:t>ection</w:t>
      </w:r>
      <w:r w:rsidRPr="00E83C75">
        <w:t xml:space="preserve"> 22 </w:t>
      </w:r>
      <w:r w:rsidRPr="005F7002">
        <w:t>HRA</w:t>
      </w:r>
      <w:r w:rsidRPr="00E83C75">
        <w:t>)</w:t>
      </w:r>
    </w:p>
    <w:p w14:paraId="3D4E3F64" w14:textId="77777777" w:rsidR="002D13CB" w:rsidRDefault="002D13CB" w:rsidP="004A298E">
      <w:pPr>
        <w:pStyle w:val="ListNumber2"/>
        <w:spacing w:after="60"/>
        <w:ind w:left="851"/>
      </w:pPr>
      <w:r>
        <w:t>The Bill will amend various strict liability offences in the Act relating to use of reserves, including introducing exceptions to some offences. For example, the amendments will extend offences to include remaining in a reserve without an entry fee or allowing an animal to remain in a reserve, and feeding any animal in a reserve. These strict liability offences and exceptions may limit the presumption of innocence protected as a right in criminal proceedings in section 22 of the HRA.</w:t>
      </w:r>
    </w:p>
    <w:p w14:paraId="7DE2B2F2" w14:textId="77777777" w:rsidR="002D13CB" w:rsidRPr="00CE02FD" w:rsidRDefault="002D13CB" w:rsidP="004A298E">
      <w:pPr>
        <w:pStyle w:val="ListNumber2"/>
        <w:spacing w:before="60" w:after="60"/>
        <w:ind w:left="851"/>
        <w:rPr>
          <w:spacing w:val="-2"/>
        </w:rPr>
      </w:pPr>
      <w:r w:rsidRPr="00CE02FD">
        <w:rPr>
          <w:spacing w:val="-2"/>
        </w:rPr>
        <w:t>The Act currently authorises a conservation officer to direct a person to leave a reserve if they are believed to have acted in an offensive way or in a way that creates a public nuisance, or that they will commit an offence against the Act. Not complying with a direction to leave is an offence. The Bill will extend the scope of a direction to leave to include a prohibition against re-entering a reserve. The prohibition on re-entry is limited to up to 24 hours unless a closed reserve declaration is in place. By preventing a person from re-entering a reserve the Bill may limit the right to freedom of movement in section 13 of the HRA.</w:t>
      </w:r>
    </w:p>
    <w:p w14:paraId="7CF7E306" w14:textId="77777777" w:rsidR="002D13CB" w:rsidRDefault="002D13CB" w:rsidP="004A298E">
      <w:pPr>
        <w:pStyle w:val="ListNumber2"/>
        <w:spacing w:after="80"/>
        <w:ind w:left="851"/>
      </w:pPr>
      <w:r>
        <w:t>The Bill will also authorise a conservation officer to stop a vehicle where the officer suspects the vehicle, or something in the vehicle is connected with an offence against the Act. This will expand the power beyond the current basis of where a plant or animal is suspected of being unlawfully in the vehicle. By expanding the power to stop a vehicle for the time necessary to allow an officer to enter and inspect the vehicle the Bill may limit the protection of privacy provided by section 12 of the HRA.</w:t>
      </w:r>
    </w:p>
    <w:p w14:paraId="4CCD59C9" w14:textId="77777777" w:rsidR="002D13CB" w:rsidRDefault="002D13CB" w:rsidP="004A298E">
      <w:pPr>
        <w:pStyle w:val="ListNumber2"/>
        <w:spacing w:after="80"/>
        <w:ind w:left="851"/>
      </w:pPr>
      <w:r>
        <w:t>The explanatory statement accompanying the Bill recognises these potential limitations and provides for why they should be considered reasonable using the framework in section 28 of the HRA. The Committee refers that statement to the Assembly.</w:t>
      </w:r>
    </w:p>
    <w:p w14:paraId="7CFA508D" w14:textId="77777777" w:rsidR="002D13CB" w:rsidRDefault="002D13CB" w:rsidP="002D13CB">
      <w:pPr>
        <w:pStyle w:val="ListNumber2"/>
        <w:ind w:left="851"/>
        <w:rPr>
          <w:b/>
          <w:bCs w:val="0"/>
        </w:rPr>
      </w:pPr>
      <w:r w:rsidRPr="1C97ED85">
        <w:rPr>
          <w:b/>
        </w:rPr>
        <w:t>The Committee draws these matters to the attention of the Assembly, but does not require a response from the Minister.</w:t>
      </w:r>
    </w:p>
    <w:p w14:paraId="29F13DF1" w14:textId="2A51F706" w:rsidR="002D13CB" w:rsidRPr="00133AB1" w:rsidRDefault="002D13CB" w:rsidP="004A298E">
      <w:pPr>
        <w:pStyle w:val="Heading4"/>
        <w:spacing w:before="200"/>
        <w:rPr>
          <w:rFonts w:eastAsia="Calibri"/>
          <w:lang w:eastAsia="en-AU"/>
        </w:rPr>
      </w:pPr>
      <w:bookmarkStart w:id="140" w:name="_Toc165454938"/>
      <w:bookmarkStart w:id="141" w:name="_Toc165552853"/>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40"/>
      <w:bookmarkEnd w:id="141"/>
      <w:r>
        <w:rPr>
          <w:lang w:val="en-US"/>
        </w:rPr>
        <w:t xml:space="preserve"> </w:t>
      </w:r>
      <w:r w:rsidRPr="00E83C75">
        <w:rPr>
          <w:lang w:val="en-US"/>
        </w:rPr>
        <w:t xml:space="preserve"> </w:t>
      </w:r>
    </w:p>
    <w:p w14:paraId="26E1FED3" w14:textId="77777777" w:rsidR="002D13CB" w:rsidRPr="00133AB1" w:rsidRDefault="002D13CB" w:rsidP="004A298E">
      <w:pPr>
        <w:pStyle w:val="Heading4"/>
        <w:spacing w:before="160"/>
        <w:rPr>
          <w:rFonts w:eastAsia="Calibri"/>
          <w:i/>
          <w:lang w:eastAsia="en-AU"/>
        </w:rPr>
      </w:pPr>
      <w:bookmarkStart w:id="142" w:name="_Toc165454939"/>
      <w:bookmarkStart w:id="143" w:name="_Toc165552854"/>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42"/>
      <w:bookmarkEnd w:id="143"/>
    </w:p>
    <w:p w14:paraId="46F9A7F0" w14:textId="77777777" w:rsidR="002D13CB" w:rsidRPr="005F7002" w:rsidRDefault="002D13CB" w:rsidP="004A298E">
      <w:pPr>
        <w:pStyle w:val="Heading5"/>
        <w:spacing w:before="160"/>
      </w:pPr>
      <w:r w:rsidRPr="005F7002">
        <w:t>Freedom of expression (s</w:t>
      </w:r>
      <w:r>
        <w:t>ection</w:t>
      </w:r>
      <w:r w:rsidRPr="005F7002">
        <w:t xml:space="preserve"> 16 HRA)</w:t>
      </w:r>
    </w:p>
    <w:p w14:paraId="72AC805F" w14:textId="7AF5D97F" w:rsidR="002D13CB" w:rsidRDefault="002D13CB" w:rsidP="002D13CB">
      <w:pPr>
        <w:pStyle w:val="ListNumber2"/>
        <w:ind w:left="851"/>
      </w:pPr>
      <w:r>
        <w:t xml:space="preserve">Section 256 of the Act allows a conservator to make an activities declaration which restricts or prohibits activities on a reserve if they believe the activity may have a negative impact on the reserve. Carrying out an activity in breach of such a restriction or prohibition is an offence. The Bill will extend the power to make an activities declaration to include where the activity in question may have a negative impact on a person in the reserve. The explanatory statement, in outlining this amendment, states that a negative impact </w:t>
      </w:r>
      <w:r w:rsidR="000030B4">
        <w:t>“</w:t>
      </w:r>
      <w:r>
        <w:t>may include activities that have an adverse social impact on reserve users such as activities that create excessive noise (use of loud generators for example), dust, offensive odours, etc</w:t>
      </w:r>
      <w:r w:rsidR="000030B4">
        <w:t>”</w:t>
      </w:r>
      <w:r>
        <w:t>.</w:t>
      </w:r>
    </w:p>
    <w:p w14:paraId="5EC5A2B6" w14:textId="77777777" w:rsidR="002D13CB" w:rsidRDefault="002D13CB" w:rsidP="0000302D">
      <w:pPr>
        <w:pStyle w:val="ListNumber2"/>
        <w:spacing w:after="60"/>
        <w:ind w:left="851"/>
      </w:pPr>
      <w:r>
        <w:t xml:space="preserve">By restricting activities in a reserve on the basis that they may have a negative impact on other users of the reserve, the Bill may allow restriction of otherwise legitimate protests and other forms of expression, possibly limiting the right to freedom of expression in section 16 of the HRA. </w:t>
      </w:r>
    </w:p>
    <w:p w14:paraId="5F001707" w14:textId="77777777" w:rsidR="002D13CB" w:rsidRDefault="002D13CB" w:rsidP="004A298E">
      <w:pPr>
        <w:pStyle w:val="ListNumber2"/>
        <w:spacing w:after="0"/>
        <w:ind w:left="851"/>
      </w:pPr>
      <w:r>
        <w:t xml:space="preserve">The possible limitation of freedom of expression is not recognised in the explanatory statement. </w:t>
      </w:r>
      <w:r w:rsidRPr="1C97ED85">
        <w:rPr>
          <w:b/>
        </w:rPr>
        <w:t xml:space="preserve">The Committee requests information from the Minister on why any limitation of freedom of expression in the Bill should be considered reasonable using the framework set out in section 28 of the HRA. Consideration should also be given to amending the explanatory statement to include this justification. </w:t>
      </w:r>
    </w:p>
    <w:tbl>
      <w:tblPr>
        <w:tblStyle w:val="Recommendationbox"/>
        <w:tblW w:w="0" w:type="auto"/>
        <w:tblLook w:val="0600" w:firstRow="0" w:lastRow="0" w:firstColumn="0" w:lastColumn="0" w:noHBand="1" w:noVBand="1"/>
      </w:tblPr>
      <w:tblGrid>
        <w:gridCol w:w="8175"/>
      </w:tblGrid>
      <w:tr w:rsidR="002D13CB" w14:paraId="51DD2CD0" w14:textId="77777777" w:rsidTr="004C342A">
        <w:tc>
          <w:tcPr>
            <w:tcW w:w="7891" w:type="dxa"/>
          </w:tcPr>
          <w:p w14:paraId="21804B80" w14:textId="77777777" w:rsidR="002D13CB" w:rsidRPr="006B0503" w:rsidRDefault="002D13CB" w:rsidP="00AD3CDA">
            <w:pPr>
              <w:pStyle w:val="ListNumber2"/>
              <w:numPr>
                <w:ilvl w:val="0"/>
                <w:numId w:val="0"/>
              </w:numPr>
              <w:spacing w:before="0" w:after="0"/>
            </w:pPr>
            <w:r w:rsidRPr="006B0503">
              <w:t>The Committee draws this matter to the attention of the Assembly and asks the Minister to respond with sufficient time to allow the Committee to consider the response prior to the Bill being debated.</w:t>
            </w:r>
          </w:p>
        </w:tc>
      </w:tr>
    </w:tbl>
    <w:p w14:paraId="2D0D140F" w14:textId="77777777" w:rsidR="002D13CB" w:rsidRDefault="002D13CB" w:rsidP="004A298E">
      <w:pPr>
        <w:pStyle w:val="Heading3"/>
        <w:spacing w:before="200"/>
      </w:pPr>
      <w:bookmarkStart w:id="144" w:name="_Toc165552855"/>
      <w:r w:rsidRPr="00CF5ACB">
        <w:t>Planning and Environment Legislation Amendment Bill 2024</w:t>
      </w:r>
      <w:bookmarkEnd w:id="144"/>
    </w:p>
    <w:p w14:paraId="69C75DE3" w14:textId="77777777" w:rsidR="002D13CB" w:rsidRDefault="002D13CB" w:rsidP="002D13CB">
      <w:pPr>
        <w:pStyle w:val="ListNumber2"/>
        <w:ind w:left="851"/>
      </w:pPr>
      <w:r>
        <w:t>This Bill is an omnibus bill to enable minor legislative amendments related to the portfolio responsibilities of the Environment, Planning and Sustainable Development Directorate. The amendments include:</w:t>
      </w:r>
    </w:p>
    <w:p w14:paraId="2069B086" w14:textId="77777777" w:rsidR="002D13CB" w:rsidRDefault="002D13CB" w:rsidP="004A298E">
      <w:pPr>
        <w:pStyle w:val="ListNumber3"/>
        <w:spacing w:before="60" w:after="60"/>
      </w:pPr>
      <w:r>
        <w:t xml:space="preserve">creating a power for the Minister to determine fees under the </w:t>
      </w:r>
      <w:r w:rsidRPr="1C97ED85">
        <w:rPr>
          <w:i/>
          <w:iCs/>
        </w:rPr>
        <w:t>Climate Change and Greenhouse Gas Reduction Act 2010</w:t>
      </w:r>
      <w:r>
        <w:t xml:space="preserve">; </w:t>
      </w:r>
    </w:p>
    <w:p w14:paraId="11A5BD1B" w14:textId="191E915D" w:rsidR="002D13CB" w:rsidRDefault="002D13CB" w:rsidP="004A298E">
      <w:pPr>
        <w:pStyle w:val="ListNumber3"/>
        <w:spacing w:before="60" w:after="60"/>
      </w:pPr>
      <w:r>
        <w:t>clarifying the Commissioner</w:t>
      </w:r>
      <w:r w:rsidR="00CE02FD">
        <w:t>’</w:t>
      </w:r>
      <w:r>
        <w:t xml:space="preserve">s functions under the </w:t>
      </w:r>
      <w:r w:rsidRPr="1C97ED85">
        <w:rPr>
          <w:i/>
          <w:iCs/>
        </w:rPr>
        <w:t>Commissioner for Sustainability and the Environment Act 1993</w:t>
      </w:r>
      <w:r>
        <w:t xml:space="preserve">; </w:t>
      </w:r>
    </w:p>
    <w:p w14:paraId="1E545FAC" w14:textId="77777777" w:rsidR="002D13CB" w:rsidRDefault="002D13CB" w:rsidP="004A298E">
      <w:pPr>
        <w:pStyle w:val="ListNumber3"/>
        <w:spacing w:before="60" w:after="60"/>
      </w:pPr>
      <w:r>
        <w:t xml:space="preserve">enabling the Minister to notify a statement of priorities to assist the ACT Heritage Council in discharging its responsibilities under the </w:t>
      </w:r>
      <w:r w:rsidRPr="1C97ED85">
        <w:rPr>
          <w:i/>
          <w:iCs/>
        </w:rPr>
        <w:t>Heritage Act 2004</w:t>
      </w:r>
      <w:r>
        <w:t xml:space="preserve">; </w:t>
      </w:r>
    </w:p>
    <w:p w14:paraId="25E6F911" w14:textId="77777777" w:rsidR="002D13CB" w:rsidRDefault="002D13CB" w:rsidP="004A298E">
      <w:pPr>
        <w:pStyle w:val="ListNumber3"/>
        <w:spacing w:before="60" w:after="60"/>
      </w:pPr>
      <w:r>
        <w:t xml:space="preserve">amending the </w:t>
      </w:r>
      <w:r w:rsidRPr="1C97ED85">
        <w:rPr>
          <w:i/>
          <w:iCs/>
        </w:rPr>
        <w:t>Nature Conservation Act 2014</w:t>
      </w:r>
      <w:r>
        <w:t xml:space="preserve"> to allow a conservation officer exercising a function under the Act to enter a reserve after it is closed without unintentionally committing an offence; </w:t>
      </w:r>
    </w:p>
    <w:p w14:paraId="28EDC1C4" w14:textId="77777777" w:rsidR="002D13CB" w:rsidRDefault="002D13CB" w:rsidP="004A298E">
      <w:pPr>
        <w:pStyle w:val="ListNumber3"/>
        <w:spacing w:before="60" w:after="60"/>
      </w:pPr>
      <w:r>
        <w:t xml:space="preserve">amending the commencement date for uncommenced provisions of the </w:t>
      </w:r>
      <w:r w:rsidRPr="1C97ED85">
        <w:rPr>
          <w:i/>
          <w:iCs/>
        </w:rPr>
        <w:t>Professional Engineers Act 2023</w:t>
      </w:r>
      <w:r>
        <w:t xml:space="preserve"> from 11 October 2024</w:t>
      </w:r>
      <w:r>
        <w:rPr>
          <w:rStyle w:val="FootnoteReference"/>
        </w:rPr>
        <w:footnoteReference w:id="3"/>
      </w:r>
      <w:r>
        <w:t xml:space="preserve"> to 6 March 2025 to support the transition period for applications for registration; and </w:t>
      </w:r>
    </w:p>
    <w:p w14:paraId="442F45B5" w14:textId="77777777" w:rsidR="002D13CB" w:rsidRDefault="002D13CB" w:rsidP="004A298E">
      <w:pPr>
        <w:pStyle w:val="ListNumber3"/>
        <w:spacing w:before="60" w:after="60"/>
      </w:pPr>
      <w:r>
        <w:t xml:space="preserve">updating registration and renewal requirements for surveyors registered in the ACT following the commencement of Automatic Deemed Mutual Registration. </w:t>
      </w:r>
    </w:p>
    <w:p w14:paraId="649211DC" w14:textId="15CB8FE8" w:rsidR="002D13CB" w:rsidRPr="00133AB1" w:rsidRDefault="002D13CB" w:rsidP="000030B4">
      <w:pPr>
        <w:pStyle w:val="Heading4"/>
        <w:rPr>
          <w:rFonts w:eastAsia="Calibri"/>
          <w:lang w:eastAsia="en-AU"/>
        </w:rPr>
      </w:pPr>
      <w:bookmarkStart w:id="145" w:name="_Toc165454941"/>
      <w:bookmarkStart w:id="146" w:name="_Toc165552856"/>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45"/>
      <w:bookmarkEnd w:id="146"/>
      <w:r>
        <w:rPr>
          <w:lang w:val="en-US"/>
        </w:rPr>
        <w:t xml:space="preserve"> </w:t>
      </w:r>
      <w:r w:rsidRPr="00E83C75">
        <w:rPr>
          <w:lang w:val="en-US"/>
        </w:rPr>
        <w:t xml:space="preserve"> </w:t>
      </w:r>
    </w:p>
    <w:p w14:paraId="52C40E58" w14:textId="77777777" w:rsidR="002D13CB" w:rsidRPr="00133AB1" w:rsidRDefault="002D13CB" w:rsidP="00AD3CDA">
      <w:pPr>
        <w:pStyle w:val="Heading4"/>
        <w:spacing w:before="160"/>
        <w:rPr>
          <w:rFonts w:eastAsia="Calibri"/>
          <w:i/>
          <w:lang w:eastAsia="en-AU"/>
        </w:rPr>
      </w:pPr>
      <w:bookmarkStart w:id="147" w:name="_Toc165454942"/>
      <w:bookmarkStart w:id="148" w:name="_Toc165552857"/>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47"/>
      <w:bookmarkEnd w:id="148"/>
    </w:p>
    <w:p w14:paraId="4667359D" w14:textId="77777777" w:rsidR="002D13CB" w:rsidRDefault="002D13CB" w:rsidP="00AD3CDA">
      <w:pPr>
        <w:pStyle w:val="Heading5"/>
        <w:spacing w:before="160"/>
      </w:pPr>
      <w:r w:rsidRPr="0067269D">
        <w:t>Right to privacy and reputation (s</w:t>
      </w:r>
      <w:r>
        <w:t>ection</w:t>
      </w:r>
      <w:r w:rsidRPr="0067269D">
        <w:t xml:space="preserve"> 12 HRA)</w:t>
      </w:r>
      <w:r w:rsidRPr="0050715F">
        <w:t xml:space="preserve"> </w:t>
      </w:r>
    </w:p>
    <w:p w14:paraId="0080943E" w14:textId="77777777" w:rsidR="002D13CB" w:rsidRDefault="002D13CB" w:rsidP="00AD3CDA">
      <w:pPr>
        <w:pStyle w:val="Heading5"/>
        <w:spacing w:before="160"/>
      </w:pPr>
      <w:r w:rsidRPr="00E83C75">
        <w:t>Right</w:t>
      </w:r>
      <w:r>
        <w:t>s in criminal proceedings</w:t>
      </w:r>
      <w:r w:rsidRPr="00E83C75">
        <w:t xml:space="preserve"> (s</w:t>
      </w:r>
      <w:r>
        <w:t>ection</w:t>
      </w:r>
      <w:r w:rsidRPr="00E83C75">
        <w:t xml:space="preserve"> 22 </w:t>
      </w:r>
      <w:r w:rsidRPr="005F7002">
        <w:t>HRA</w:t>
      </w:r>
      <w:r w:rsidRPr="00E83C75">
        <w:t>)</w:t>
      </w:r>
    </w:p>
    <w:p w14:paraId="5FC3B795" w14:textId="77777777" w:rsidR="002D13CB" w:rsidRPr="00E83C75" w:rsidRDefault="002D13CB" w:rsidP="00AD3CDA">
      <w:pPr>
        <w:pStyle w:val="Heading5"/>
        <w:spacing w:before="160"/>
      </w:pPr>
      <w:r>
        <w:t>R</w:t>
      </w:r>
      <w:r w:rsidRPr="004B74F3">
        <w:t>ight to work and other work</w:t>
      </w:r>
      <w:r>
        <w:t>-</w:t>
      </w:r>
      <w:r w:rsidRPr="004B74F3">
        <w:t>related</w:t>
      </w:r>
      <w:r>
        <w:t xml:space="preserve"> </w:t>
      </w:r>
      <w:r w:rsidRPr="004B74F3">
        <w:t>rights</w:t>
      </w:r>
      <w:r>
        <w:t xml:space="preserve"> (section 27B)</w:t>
      </w:r>
      <w:r w:rsidRPr="00E83C75">
        <w:t xml:space="preserve"> </w:t>
      </w:r>
    </w:p>
    <w:p w14:paraId="7266BDA6" w14:textId="77777777" w:rsidR="002D13CB" w:rsidRPr="00CF5ACB" w:rsidRDefault="002D13CB" w:rsidP="00AD3CDA">
      <w:pPr>
        <w:pStyle w:val="ListNumber2"/>
        <w:spacing w:before="60" w:after="60"/>
        <w:ind w:left="851"/>
      </w:pPr>
      <w:r>
        <w:t xml:space="preserve">The Bill will amend the </w:t>
      </w:r>
      <w:r w:rsidRPr="1C97ED85">
        <w:rPr>
          <w:i/>
          <w:iCs/>
        </w:rPr>
        <w:t>Surveyors Act 2007</w:t>
      </w:r>
      <w:r>
        <w:t xml:space="preserve"> to update registration and renewal requirements for surveyors registered in the ACT. In providing for eligibility requirements for registration and renewal the Bill may limit the right to work in section 27B of the HRA. The amendments will include the power of the surveyor-general to request information reasonably needed to decide the application. This may limit the protection of privacy provided by section 12 of the HRA.</w:t>
      </w:r>
    </w:p>
    <w:p w14:paraId="6A866B89" w14:textId="77777777" w:rsidR="002D13CB" w:rsidRDefault="002D13CB" w:rsidP="002D13CB">
      <w:pPr>
        <w:pStyle w:val="ListNumber2"/>
        <w:ind w:left="851"/>
      </w:pPr>
      <w:r>
        <w:t>The amendment to the Nature Conservation Act 2014 will create an exception to the offence of entering a reserve in contravention of a closed reserve declaration where a conservation officer is exercising a function under the Act. By introducing an exception for which the defendant bears an evidential onus, the Bill may limit the presumption of innocence protected as a right in criminal proceedings in section 22 of the HRA.</w:t>
      </w:r>
    </w:p>
    <w:p w14:paraId="41D845B4" w14:textId="77777777" w:rsidR="002D13CB" w:rsidRDefault="002D13CB" w:rsidP="002D13CB">
      <w:pPr>
        <w:pStyle w:val="ListNumber2"/>
        <w:ind w:left="851"/>
        <w:rPr>
          <w:b/>
          <w:bCs w:val="0"/>
        </w:rPr>
      </w:pPr>
      <w:r>
        <w:t>These potential limitations are recognised in the explanatory statement accompanying the Bill along with why they should be considered reasonable using the framework set out in section 28 of the HRA. The Committee refers that statement to the Assembly.</w:t>
      </w:r>
      <w:r w:rsidRPr="1C97ED85">
        <w:rPr>
          <w:b/>
        </w:rPr>
        <w:t xml:space="preserve"> </w:t>
      </w:r>
    </w:p>
    <w:p w14:paraId="20F6E98D" w14:textId="77777777" w:rsidR="002D13CB" w:rsidRDefault="002D13CB" w:rsidP="002D13CB">
      <w:pPr>
        <w:pStyle w:val="ListNumber2"/>
        <w:ind w:left="851"/>
        <w:rPr>
          <w:b/>
          <w:bCs w:val="0"/>
        </w:rPr>
      </w:pPr>
      <w:r w:rsidRPr="1C97ED85">
        <w:rPr>
          <w:b/>
        </w:rPr>
        <w:t>The Committee draws these matters to the attention of the Assembly, but does not require a response from the Minister.</w:t>
      </w:r>
    </w:p>
    <w:p w14:paraId="3B6A93ED" w14:textId="1AA3E25C" w:rsidR="002D13CB" w:rsidRPr="00E83C75" w:rsidRDefault="002D13CB" w:rsidP="000030B4">
      <w:pPr>
        <w:pStyle w:val="Heading4"/>
      </w:pPr>
      <w:bookmarkStart w:id="149" w:name="_Toc165454943"/>
      <w:bookmarkStart w:id="150" w:name="_Toc165552858"/>
      <w:r w:rsidRPr="00E83C75">
        <w:t>Do any provisions of the Bill inappropriately delegate legislative powers?</w:t>
      </w:r>
      <w:r>
        <w:t>—</w:t>
      </w:r>
      <w:r w:rsidRPr="00E83C75">
        <w:rPr>
          <w:lang w:val="en-US"/>
        </w:rPr>
        <w:t xml:space="preserve">Committee </w:t>
      </w:r>
      <w:r>
        <w:rPr>
          <w:lang w:val="en-US"/>
        </w:rPr>
        <w:t>Resolution of Appointment paragraph (10)(a)(iv)</w:t>
      </w:r>
      <w:bookmarkEnd w:id="149"/>
      <w:bookmarkEnd w:id="150"/>
    </w:p>
    <w:p w14:paraId="02B9AC70" w14:textId="77777777" w:rsidR="002D13CB" w:rsidRPr="00E83C75" w:rsidRDefault="002D13CB" w:rsidP="00AD3CDA">
      <w:pPr>
        <w:pStyle w:val="Heading5"/>
        <w:spacing w:before="160"/>
      </w:pPr>
      <w:r>
        <w:t>Incorporation of laws or instruments</w:t>
      </w:r>
    </w:p>
    <w:p w14:paraId="28190727" w14:textId="02D4511B" w:rsidR="002D13CB" w:rsidRDefault="002D13CB" w:rsidP="00AD3CDA">
      <w:pPr>
        <w:pStyle w:val="ListNumber2"/>
        <w:spacing w:before="60" w:after="60"/>
        <w:ind w:left="851"/>
      </w:pPr>
      <w:r>
        <w:t xml:space="preserve">The Bill will amend the Surveyors Act to allow practice directions to apply, adopt or incorporate a law or instrument as in force from time to time. The explanatory statement in outlining this amendment, states that incorporation will </w:t>
      </w:r>
      <w:r w:rsidR="000030B4">
        <w:t>“</w:t>
      </w:r>
      <w:r>
        <w:t xml:space="preserve"> enable the surveyor-general to be agile and responsive to changing circumstances within the parameters of the practice directions</w:t>
      </w:r>
      <w:r w:rsidR="000030B4">
        <w:t>”</w:t>
      </w:r>
      <w:r>
        <w:t>. The Committee notes with approval that the requirement to notify any incorporated instrument is not displaced.</w:t>
      </w:r>
    </w:p>
    <w:p w14:paraId="63341B11" w14:textId="4A297EB4" w:rsidR="002D13CB" w:rsidRDefault="002D13CB" w:rsidP="00AD3CDA">
      <w:pPr>
        <w:pStyle w:val="ListNumber2"/>
        <w:spacing w:before="60" w:after="60"/>
        <w:ind w:left="851"/>
        <w:rPr>
          <w:b/>
          <w:bCs w:val="0"/>
        </w:rPr>
      </w:pPr>
      <w:r w:rsidRPr="1C97ED85">
        <w:rPr>
          <w:b/>
        </w:rPr>
        <w:t>The Committee draws these matters to the attention of the Assembly, but does not require a response from the Minister.</w:t>
      </w:r>
    </w:p>
    <w:p w14:paraId="60FF38FC" w14:textId="77777777" w:rsidR="002D13CB" w:rsidRDefault="002D13CB" w:rsidP="000030B4">
      <w:pPr>
        <w:pStyle w:val="Heading3"/>
      </w:pPr>
      <w:bookmarkStart w:id="151" w:name="_Toc165552859"/>
      <w:r w:rsidRPr="00CF5ACB">
        <w:t>Victims of Crime (Financial Assistance) Amendment Bill 2024</w:t>
      </w:r>
      <w:bookmarkEnd w:id="151"/>
    </w:p>
    <w:p w14:paraId="3A3A0545" w14:textId="77777777" w:rsidR="002D13CB" w:rsidRDefault="002D13CB" w:rsidP="002D13CB">
      <w:pPr>
        <w:pStyle w:val="ListNumber2"/>
        <w:ind w:left="851"/>
      </w:pPr>
      <w:r>
        <w:t xml:space="preserve">This Bill will amend the </w:t>
      </w:r>
      <w:r w:rsidRPr="1C97ED85">
        <w:rPr>
          <w:i/>
          <w:iCs/>
        </w:rPr>
        <w:t>Victims of Crime (Financial Assistance) Act 2016</w:t>
      </w:r>
      <w:r>
        <w:t xml:space="preserve">  to: </w:t>
      </w:r>
    </w:p>
    <w:p w14:paraId="5EE90D38" w14:textId="1ECDE7B3" w:rsidR="002D13CB" w:rsidRDefault="002D13CB" w:rsidP="00AD3CDA">
      <w:pPr>
        <w:pStyle w:val="ListNumber3"/>
        <w:spacing w:before="60" w:after="60"/>
      </w:pPr>
      <w:r>
        <w:t>implement a number of recommendations from the Projects Assisting Victims</w:t>
      </w:r>
      <w:r w:rsidR="0000302D">
        <w:t>’</w:t>
      </w:r>
      <w:r>
        <w:t xml:space="preserve"> Experiences and Recovery Review which was tabled in the Legislative Assembly on 21 June 2021; </w:t>
      </w:r>
    </w:p>
    <w:p w14:paraId="2DACFF6D" w14:textId="77777777" w:rsidR="002D13CB" w:rsidRDefault="002D13CB" w:rsidP="00AD3CDA">
      <w:pPr>
        <w:pStyle w:val="ListNumber3"/>
        <w:spacing w:before="60" w:after="60"/>
      </w:pPr>
      <w:r>
        <w:t xml:space="preserve">ensure victims of historical acts of violence are eligible for financial assistance under the Act; </w:t>
      </w:r>
    </w:p>
    <w:p w14:paraId="60CFC985" w14:textId="77777777" w:rsidR="002D13CB" w:rsidRDefault="002D13CB" w:rsidP="00AD3CDA">
      <w:pPr>
        <w:pStyle w:val="ListNumber3"/>
        <w:spacing w:before="60" w:after="60"/>
      </w:pPr>
      <w:r>
        <w:t xml:space="preserve">expand the financial assistance scheme to ensure victims of intimate image abuse offences are eligible for financial assistance; and </w:t>
      </w:r>
    </w:p>
    <w:p w14:paraId="1E72D3C0" w14:textId="77777777" w:rsidR="002D13CB" w:rsidRDefault="002D13CB" w:rsidP="00AD3CDA">
      <w:pPr>
        <w:pStyle w:val="ListNumber3"/>
        <w:spacing w:before="60" w:after="60"/>
      </w:pPr>
      <w:r>
        <w:t xml:space="preserve">reduce red tape and administrative burden on both Victim Support ACT and victims of crime. </w:t>
      </w:r>
    </w:p>
    <w:p w14:paraId="36323DD3" w14:textId="765068F7" w:rsidR="002D13CB" w:rsidRPr="00133AB1" w:rsidRDefault="002D13CB" w:rsidP="00AD3CDA">
      <w:pPr>
        <w:pStyle w:val="Heading4"/>
        <w:spacing w:before="160"/>
        <w:rPr>
          <w:rFonts w:eastAsia="Calibri"/>
          <w:lang w:eastAsia="en-AU"/>
        </w:rPr>
      </w:pPr>
      <w:bookmarkStart w:id="152" w:name="_Toc165454945"/>
      <w:bookmarkStart w:id="153" w:name="_Toc165552860"/>
      <w:r w:rsidRPr="00133AB1">
        <w:rPr>
          <w:rFonts w:eastAsia="Calibri"/>
          <w:lang w:eastAsia="en-AU"/>
        </w:rPr>
        <w:t>Do any provisions of the Bill amount to an undue trespass on personal rights and liberties?—</w:t>
      </w:r>
      <w:r w:rsidRPr="00E83C75">
        <w:rPr>
          <w:lang w:val="en-US"/>
        </w:rPr>
        <w:t xml:space="preserve">Committee </w:t>
      </w:r>
      <w:r>
        <w:rPr>
          <w:lang w:val="en-US"/>
        </w:rPr>
        <w:t>Resolution of Appointment paragraph (10)(a)(i)</w:t>
      </w:r>
      <w:bookmarkEnd w:id="152"/>
      <w:bookmarkEnd w:id="153"/>
      <w:r>
        <w:rPr>
          <w:lang w:val="en-US"/>
        </w:rPr>
        <w:t xml:space="preserve"> </w:t>
      </w:r>
      <w:r w:rsidRPr="00E83C75">
        <w:rPr>
          <w:lang w:val="en-US"/>
        </w:rPr>
        <w:t xml:space="preserve"> </w:t>
      </w:r>
    </w:p>
    <w:p w14:paraId="407A8FA9" w14:textId="77777777" w:rsidR="002D13CB" w:rsidRPr="00133AB1" w:rsidRDefault="002D13CB" w:rsidP="00AD3CDA">
      <w:pPr>
        <w:pStyle w:val="Heading4"/>
        <w:spacing w:before="120"/>
        <w:rPr>
          <w:rFonts w:eastAsia="Calibri"/>
          <w:i/>
          <w:lang w:eastAsia="en-AU"/>
        </w:rPr>
      </w:pPr>
      <w:bookmarkStart w:id="154" w:name="_Toc165454946"/>
      <w:bookmarkStart w:id="155" w:name="_Toc165552861"/>
      <w:r w:rsidRPr="00133AB1">
        <w:rPr>
          <w:rFonts w:eastAsia="Calibri"/>
          <w:lang w:eastAsia="en-AU"/>
        </w:rPr>
        <w:t xml:space="preserve">Report under section 38 of the </w:t>
      </w:r>
      <w:r w:rsidRPr="00133AB1">
        <w:rPr>
          <w:rFonts w:eastAsia="Calibri"/>
          <w:i/>
          <w:lang w:eastAsia="en-AU"/>
        </w:rPr>
        <w:t xml:space="preserve">Human Rights Act 2004 </w:t>
      </w:r>
      <w:r w:rsidRPr="00133AB1">
        <w:rPr>
          <w:rFonts w:eastAsia="Calibri"/>
          <w:lang w:eastAsia="en-AU"/>
        </w:rPr>
        <w:t>(HRA)</w:t>
      </w:r>
      <w:bookmarkEnd w:id="154"/>
      <w:bookmarkEnd w:id="155"/>
    </w:p>
    <w:p w14:paraId="38E60F3A" w14:textId="77777777" w:rsidR="002D13CB" w:rsidRPr="00E83C75" w:rsidRDefault="002D13CB" w:rsidP="00AD3CDA">
      <w:pPr>
        <w:pStyle w:val="Heading5"/>
        <w:spacing w:before="120"/>
      </w:pPr>
      <w:r w:rsidRPr="00E83C75">
        <w:t>Right to a fair trial (s</w:t>
      </w:r>
      <w:r>
        <w:t>ection</w:t>
      </w:r>
      <w:r w:rsidRPr="00E83C75">
        <w:t xml:space="preserve"> 21 </w:t>
      </w:r>
      <w:r>
        <w:t>HRA</w:t>
      </w:r>
      <w:r w:rsidRPr="00E83C75">
        <w:t xml:space="preserve">) </w:t>
      </w:r>
    </w:p>
    <w:p w14:paraId="6CE2ECD3" w14:textId="77777777" w:rsidR="002D13CB" w:rsidRPr="00783B5C" w:rsidRDefault="002D13CB" w:rsidP="00AD3CDA">
      <w:pPr>
        <w:pStyle w:val="ListNumber2"/>
        <w:spacing w:before="60" w:after="60"/>
        <w:ind w:left="851"/>
      </w:pPr>
      <w:r>
        <w:t>The Bill will insert a new provision into the Act to prevent the disclosure of various applications for financial assistance made under the Act. The application material will not be admissible in court proceedings and no one can be compelled to produce or disclose the application material or provide information about its contents. Application material can still be admitted or compelled in court proceedings under the Act or for offences of dishonesty involving the material.</w:t>
      </w:r>
    </w:p>
    <w:p w14:paraId="58A442CD" w14:textId="77777777" w:rsidR="002D13CB" w:rsidRDefault="002D13CB" w:rsidP="00AD3CDA">
      <w:pPr>
        <w:pStyle w:val="ListNumber2"/>
        <w:spacing w:before="60" w:after="60"/>
        <w:ind w:left="851"/>
      </w:pPr>
      <w:r>
        <w:t>By withholding information which may be potentially relevant to a court proceeding the Bill may limit the right to a fair trial in section 21 of the HRA. The explanatory statement accompanying the Bill recognises this potential limitation and sets out why it should be considered reasonable using the framework in section 28 of the HRA. The Committee refers that statement to the Assembly.</w:t>
      </w:r>
    </w:p>
    <w:p w14:paraId="30A39EE5" w14:textId="200702E9" w:rsidR="002D13CB" w:rsidRPr="00DB16BA" w:rsidRDefault="002D13CB" w:rsidP="002D13CB">
      <w:pPr>
        <w:pStyle w:val="ListNumber2"/>
        <w:ind w:left="851"/>
        <w:rPr>
          <w:b/>
          <w:bCs w:val="0"/>
        </w:rPr>
      </w:pPr>
      <w:r w:rsidRPr="1C97ED85">
        <w:rPr>
          <w:b/>
        </w:rPr>
        <w:t>The Committee draws these matters to the attention of the Assembly, but does not require a response from the Minister.</w:t>
      </w:r>
    </w:p>
    <w:p w14:paraId="10138AAA" w14:textId="71CA371B" w:rsidR="002D13CB" w:rsidRDefault="002D13CB" w:rsidP="000030B4">
      <w:pPr>
        <w:pStyle w:val="Heading20"/>
      </w:pPr>
      <w:bookmarkStart w:id="156" w:name="_Toc165552862"/>
      <w:r>
        <w:t>Proposed Amendments—Comment</w:t>
      </w:r>
      <w:bookmarkEnd w:id="156"/>
    </w:p>
    <w:p w14:paraId="58BB5C92" w14:textId="77777777" w:rsidR="002D13CB" w:rsidRDefault="002D13CB" w:rsidP="000030B4">
      <w:pPr>
        <w:pStyle w:val="Heading3"/>
      </w:pPr>
      <w:bookmarkStart w:id="157" w:name="_Toc165552863"/>
      <w:r>
        <w:t>Voluntary Assisted Dying Bill 2023</w:t>
      </w:r>
      <w:bookmarkEnd w:id="157"/>
      <w:r>
        <w:t xml:space="preserve"> </w:t>
      </w:r>
    </w:p>
    <w:p w14:paraId="26DB2B73" w14:textId="77777777" w:rsidR="002D13CB" w:rsidRDefault="002D13CB" w:rsidP="002D13CB">
      <w:pPr>
        <w:pStyle w:val="ListNumber2"/>
        <w:ind w:left="851"/>
      </w:pPr>
      <w:r>
        <w:t>On 29 April 2024, the Committee received proposed government amendments to the Voluntary Assisted Dying Bill 2023. These amendments included:</w:t>
      </w:r>
    </w:p>
    <w:p w14:paraId="411EAF86" w14:textId="77777777" w:rsidR="002D13CB" w:rsidRDefault="002D13CB" w:rsidP="00AD3CDA">
      <w:pPr>
        <w:pStyle w:val="ListNumber2"/>
        <w:numPr>
          <w:ilvl w:val="2"/>
          <w:numId w:val="1"/>
        </w:numPr>
        <w:spacing w:before="60" w:after="0"/>
      </w:pPr>
      <w:r>
        <w:t>changes to various definitions used in the Bill or for specific provisions, including the definition of an advanced condition, disability, and the meaning of treatment;</w:t>
      </w:r>
    </w:p>
    <w:p w14:paraId="51406BDD" w14:textId="77777777" w:rsidR="002D13CB" w:rsidRDefault="002D13CB" w:rsidP="00AD3CDA">
      <w:pPr>
        <w:pStyle w:val="ListNumber2"/>
        <w:numPr>
          <w:ilvl w:val="2"/>
          <w:numId w:val="1"/>
        </w:numPr>
        <w:spacing w:before="60" w:after="0"/>
      </w:pPr>
      <w:r>
        <w:t xml:space="preserve">allowing the use of couriers to deliver approved substances; </w:t>
      </w:r>
    </w:p>
    <w:p w14:paraId="2F76E25D" w14:textId="037DC530" w:rsidR="002D13CB" w:rsidRDefault="002D13CB" w:rsidP="00AD3CDA">
      <w:pPr>
        <w:pStyle w:val="ListNumber2"/>
        <w:numPr>
          <w:ilvl w:val="2"/>
          <w:numId w:val="1"/>
        </w:numPr>
        <w:spacing w:before="60" w:after="0"/>
      </w:pPr>
      <w:r>
        <w:t>membership and operation of the Voluntary Assisted Dying Oversight Board (</w:t>
      </w:r>
      <w:r w:rsidR="000030B4">
        <w:t>“</w:t>
      </w:r>
      <w:r>
        <w:t>the Board</w:t>
      </w:r>
      <w:r w:rsidR="000030B4">
        <w:t>”</w:t>
      </w:r>
      <w:r>
        <w:t xml:space="preserve">); </w:t>
      </w:r>
      <w:r w:rsidR="00C31994">
        <w:t>and</w:t>
      </w:r>
    </w:p>
    <w:p w14:paraId="7ED6E4E5" w14:textId="77777777" w:rsidR="002D13CB" w:rsidRDefault="002D13CB" w:rsidP="00AD3CDA">
      <w:pPr>
        <w:pStyle w:val="ListNumber2"/>
        <w:numPr>
          <w:ilvl w:val="2"/>
          <w:numId w:val="1"/>
        </w:numPr>
        <w:spacing w:before="60" w:after="0"/>
      </w:pPr>
      <w:r>
        <w:t>changes to some of the procedural steps to better align them with expected practice; and</w:t>
      </w:r>
    </w:p>
    <w:p w14:paraId="1518209A" w14:textId="77777777" w:rsidR="002D13CB" w:rsidRDefault="002D13CB" w:rsidP="00AD3CDA">
      <w:pPr>
        <w:pStyle w:val="ListNumber2"/>
        <w:keepNext/>
        <w:numPr>
          <w:ilvl w:val="2"/>
          <w:numId w:val="1"/>
        </w:numPr>
        <w:spacing w:before="60" w:after="0"/>
      </w:pPr>
      <w:r>
        <w:t>clarifying the intended operation and scope of various provisions.</w:t>
      </w:r>
    </w:p>
    <w:p w14:paraId="59A76DB7" w14:textId="146196F7" w:rsidR="002D13CB" w:rsidRDefault="002D13CB" w:rsidP="00AD3CDA">
      <w:pPr>
        <w:pStyle w:val="Heading4"/>
        <w:rPr>
          <w:rFonts w:eastAsia="Calibri"/>
          <w:lang w:eastAsia="en-AU"/>
        </w:rPr>
      </w:pPr>
      <w:bookmarkStart w:id="158" w:name="_Toc165454949"/>
      <w:bookmarkStart w:id="159" w:name="_Toc165552864"/>
      <w:r w:rsidRPr="5B1D68B5">
        <w:rPr>
          <w:rFonts w:eastAsia="Calibri"/>
          <w:lang w:eastAsia="en-AU"/>
        </w:rPr>
        <w:t>Do any provisions of the Bill amount to an undue trespass on personal rights and liberties?—</w:t>
      </w:r>
      <w:r w:rsidRPr="5B1D68B5">
        <w:rPr>
          <w:lang w:val="en-US"/>
        </w:rPr>
        <w:t>Committee Resolution of Appointment paragraph (10)(a)(i)</w:t>
      </w:r>
      <w:bookmarkEnd w:id="158"/>
      <w:bookmarkEnd w:id="159"/>
      <w:r w:rsidRPr="5B1D68B5">
        <w:rPr>
          <w:lang w:val="en-US"/>
        </w:rPr>
        <w:t xml:space="preserve">  </w:t>
      </w:r>
    </w:p>
    <w:p w14:paraId="0728E10C" w14:textId="77777777" w:rsidR="002D13CB" w:rsidRDefault="002D13CB" w:rsidP="00AD3CDA">
      <w:pPr>
        <w:pStyle w:val="Heading4"/>
        <w:spacing w:before="120"/>
        <w:rPr>
          <w:rFonts w:eastAsia="Calibri"/>
          <w:i/>
          <w:lang w:eastAsia="en-AU"/>
        </w:rPr>
      </w:pPr>
      <w:bookmarkStart w:id="160" w:name="_Toc165454950"/>
      <w:bookmarkStart w:id="161" w:name="_Toc165552865"/>
      <w:r w:rsidRPr="5B1D68B5">
        <w:rPr>
          <w:rFonts w:eastAsia="Calibri"/>
          <w:lang w:eastAsia="en-AU"/>
        </w:rPr>
        <w:t xml:space="preserve">Report under section 38 of the </w:t>
      </w:r>
      <w:r w:rsidRPr="5B1D68B5">
        <w:rPr>
          <w:rFonts w:eastAsia="Calibri"/>
          <w:i/>
          <w:lang w:eastAsia="en-AU"/>
        </w:rPr>
        <w:t xml:space="preserve">Human Rights Act 2004 </w:t>
      </w:r>
      <w:r w:rsidRPr="5B1D68B5">
        <w:rPr>
          <w:rFonts w:eastAsia="Calibri"/>
          <w:lang w:eastAsia="en-AU"/>
        </w:rPr>
        <w:t>(HRA)</w:t>
      </w:r>
      <w:bookmarkEnd w:id="160"/>
      <w:bookmarkEnd w:id="161"/>
    </w:p>
    <w:p w14:paraId="464E3B7D" w14:textId="77777777" w:rsidR="002D13CB" w:rsidRDefault="002D13CB" w:rsidP="00AD3CDA">
      <w:pPr>
        <w:pStyle w:val="Heading5"/>
        <w:spacing w:before="120"/>
      </w:pPr>
      <w:r>
        <w:t>Right to privacy and reputation (section 12 HRA)</w:t>
      </w:r>
    </w:p>
    <w:p w14:paraId="424CF1BE" w14:textId="0A4DA1D0" w:rsidR="002D13CB" w:rsidRDefault="002D13CB" w:rsidP="00AD3CDA">
      <w:pPr>
        <w:pStyle w:val="ListNumber2"/>
        <w:ind w:left="851"/>
      </w:pPr>
      <w:r>
        <w:t>The proposed amendments include extending authority to share information, including allowing the Board to use or share information with a relevant entity when referring a</w:t>
      </w:r>
      <w:r w:rsidR="00CE02FD">
        <w:t> </w:t>
      </w:r>
      <w:r>
        <w:t>matter to that entity, and for information held in the register to be shared by the director-general with a medicines and poisons inspector. By allowing the sharing of what may be personal information, including sensitive or health information, the Bill may limit the protection of privacy provided by section 12 of the HRA. The Bill will also amend the process for administering an approved substance to require the presence of an eligible witness. Providing for an adult to be present where an approved substance is administered by a practitioner may also limit the protection of privacy under the HRA.</w:t>
      </w:r>
    </w:p>
    <w:p w14:paraId="1CE2DCDE" w14:textId="77777777" w:rsidR="002D13CB" w:rsidRDefault="002D13CB" w:rsidP="00AD3CDA">
      <w:pPr>
        <w:pStyle w:val="ListNumber2"/>
        <w:ind w:left="851"/>
      </w:pPr>
      <w:r>
        <w:t>The supplementary explanatory statement accompanying the proposed amendments recognises this potential imitation and sets out why they should be considered reasonable using the framework in section 28 of the HRA. The Committee refers that statement to the Assembly.</w:t>
      </w:r>
    </w:p>
    <w:p w14:paraId="463FF821" w14:textId="77777777" w:rsidR="002D13CB" w:rsidRDefault="002D13CB" w:rsidP="00AD3CDA">
      <w:pPr>
        <w:pStyle w:val="ListNumber2"/>
        <w:ind w:left="851"/>
      </w:pPr>
      <w:r>
        <w:t xml:space="preserve">The Committee notes that the proposed amendments will amend clause 150 of the Bill by removing reference to relevant provisions. Clause 150 provides for a medicines and poisons inspector to exercise powers under Chapter 7 of the </w:t>
      </w:r>
      <w:r w:rsidRPr="1C97ED85">
        <w:rPr>
          <w:i/>
          <w:iCs/>
        </w:rPr>
        <w:t>Medicines, Poisons and Therapeutic Goods Act 2008</w:t>
      </w:r>
      <w:r>
        <w:t xml:space="preserve">. That chapter includes authority for inspectors to enter premises, inspect or examine anything on the premises, to seize items, require provision of names and addresses, and for the execution of search warrants. The Bill will limit the application of these powers to specified relevant provisions in the Bill. By removing reference to the relevant provisions, the proposed amendments will expand the availability of the enforcement powers provided for in clause 150. The proposed amendments may therefore limit the protection of privacy provided in section 12 of the HRA. </w:t>
      </w:r>
    </w:p>
    <w:p w14:paraId="1F1EEEC5" w14:textId="77777777" w:rsidR="002D13CB" w:rsidRDefault="002D13CB" w:rsidP="002D13CB">
      <w:pPr>
        <w:pStyle w:val="ListNumber2"/>
        <w:ind w:left="851"/>
      </w:pPr>
      <w:r>
        <w:t>The supplementary explanatory statement, in outlining the proposed amendments to clause 150, states:</w:t>
      </w:r>
    </w:p>
    <w:p w14:paraId="00BABACF" w14:textId="2B56A82B" w:rsidR="002D13CB" w:rsidRDefault="002D13CB" w:rsidP="00AD3CDA">
      <w:pPr>
        <w:pStyle w:val="Quote"/>
        <w:spacing w:before="120" w:after="120"/>
      </w:pPr>
      <w:r w:rsidRPr="0044081C">
        <w:t xml:space="preserve">Reflecting the practice in other jurisdictions, medicines and poisons inspector </w:t>
      </w:r>
      <w:r>
        <w:t xml:space="preserve">(sic) </w:t>
      </w:r>
      <w:r w:rsidRPr="0044081C">
        <w:t>require enforcement powers beyond matters that deal with substances to providing enforcement for the VAD substance to allow inspectors to investigate and enforce compliance with the ensure Act. For example, the coordinating practitioners providing notice to the VAD Board in accordance with the Act</w:t>
      </w:r>
      <w:r w:rsidR="00CE02FD">
        <w:t>.</w:t>
      </w:r>
    </w:p>
    <w:p w14:paraId="169D565E" w14:textId="77777777" w:rsidR="002D13CB" w:rsidRPr="0044081C" w:rsidRDefault="002D13CB" w:rsidP="00AD3CDA">
      <w:pPr>
        <w:pStyle w:val="ListNumber2"/>
        <w:ind w:left="851"/>
      </w:pPr>
      <w:r>
        <w:t xml:space="preserve">The Committee is concerned that this outline of the provision does not recognise the potential limitation of privacy protection of the broadened enforcement powers nor provide a justification for that limitation. </w:t>
      </w:r>
      <w:r w:rsidRPr="1C97ED85">
        <w:rPr>
          <w:b/>
        </w:rPr>
        <w:t>The Committee therefore requests further information from the Minister for why any limitation of the protection of privacy by proposed amendments to clause 150 of the Bill should be considered reasonable using the framework in section 28 of the HRA and asks for consideration to be given to including that information in any supplementary explanatory statement accompanying the proposed amendments.</w:t>
      </w:r>
    </w:p>
    <w:tbl>
      <w:tblPr>
        <w:tblStyle w:val="Recommendationbox"/>
        <w:tblW w:w="0" w:type="auto"/>
        <w:tblLook w:val="0600" w:firstRow="0" w:lastRow="0" w:firstColumn="0" w:lastColumn="0" w:noHBand="1" w:noVBand="1"/>
      </w:tblPr>
      <w:tblGrid>
        <w:gridCol w:w="8175"/>
      </w:tblGrid>
      <w:tr w:rsidR="002D13CB" w14:paraId="02717A28" w14:textId="77777777" w:rsidTr="004C342A">
        <w:tc>
          <w:tcPr>
            <w:tcW w:w="7891" w:type="dxa"/>
          </w:tcPr>
          <w:p w14:paraId="2D070C59" w14:textId="77777777" w:rsidR="002D13CB" w:rsidRPr="006B0503" w:rsidRDefault="002D13CB" w:rsidP="00AD3CDA">
            <w:pPr>
              <w:pStyle w:val="ListNumber2"/>
              <w:numPr>
                <w:ilvl w:val="0"/>
                <w:numId w:val="0"/>
              </w:numPr>
              <w:spacing w:before="40" w:after="0"/>
            </w:pPr>
            <w:r w:rsidRPr="006B0503">
              <w:t>The Committee draws this matter to the attention of the Assembly and asks the Minister to respond with sufficient time to allow the Committee to consider the response prior to the Bill being debated.</w:t>
            </w:r>
          </w:p>
        </w:tc>
      </w:tr>
    </w:tbl>
    <w:p w14:paraId="5667F4C2" w14:textId="1F59225D" w:rsidR="002D13CB" w:rsidRDefault="0057740E" w:rsidP="000030B4">
      <w:pPr>
        <w:pStyle w:val="Heading20"/>
      </w:pPr>
      <w:bookmarkStart w:id="162" w:name="_Toc165552866"/>
      <w:r>
        <w:t>R</w:t>
      </w:r>
      <w:r w:rsidR="002D13CB">
        <w:t>esponses—No comment</w:t>
      </w:r>
      <w:bookmarkEnd w:id="162"/>
    </w:p>
    <w:p w14:paraId="6D259CB7" w14:textId="4F19B76B" w:rsidR="002D13CB" w:rsidRDefault="002D13CB" w:rsidP="002D13CB">
      <w:pPr>
        <w:pStyle w:val="ListNumber2"/>
        <w:ind w:left="851"/>
      </w:pPr>
      <w:r>
        <w:t>The Committee received response</w:t>
      </w:r>
      <w:r w:rsidR="008E3B22">
        <w:t>s</w:t>
      </w:r>
      <w:r>
        <w:t xml:space="preserve"> to the Committee’s comments on the following Bill</w:t>
      </w:r>
      <w:r w:rsidR="008F546F">
        <w:t>s</w:t>
      </w:r>
      <w:r>
        <w:t xml:space="preserve"> and has no further comments:</w:t>
      </w:r>
    </w:p>
    <w:p w14:paraId="56FA16A9" w14:textId="054A6B86" w:rsidR="002D13CB" w:rsidRPr="0057740E" w:rsidRDefault="002D13CB" w:rsidP="002D13CB">
      <w:pPr>
        <w:pStyle w:val="ListNumber3"/>
      </w:pPr>
      <w:r w:rsidRPr="0057740E">
        <w:t>Biosecurity Legislation Amendment Bill 2024</w:t>
      </w:r>
      <w:r w:rsidR="00724EC9">
        <w:t>; and</w:t>
      </w:r>
    </w:p>
    <w:p w14:paraId="534426BD" w14:textId="243F6594" w:rsidR="002D13CB" w:rsidRPr="0057740E" w:rsidRDefault="002D13CB" w:rsidP="002D13CB">
      <w:pPr>
        <w:pStyle w:val="ListNumber3"/>
      </w:pPr>
      <w:r w:rsidRPr="0057740E">
        <w:t>Crimes (Sentencing) Amendment Bill 2024</w:t>
      </w:r>
      <w:r w:rsidR="00724EC9">
        <w:t>.</w:t>
      </w:r>
    </w:p>
    <w:p w14:paraId="788EF63A" w14:textId="56EA8BFE" w:rsidR="002D13CB" w:rsidRDefault="002D13CB" w:rsidP="002D13CB">
      <w:pPr>
        <w:pStyle w:val="ListNumber2"/>
        <w:ind w:left="851"/>
      </w:pPr>
      <w:r>
        <w:t>Th</w:t>
      </w:r>
      <w:r w:rsidR="008E3B22">
        <w:t>ese</w:t>
      </w:r>
      <w:r>
        <w:t xml:space="preserve"> responses can be viewed </w:t>
      </w:r>
      <w:hyperlink r:id="rId18" w:history="1">
        <w:r w:rsidRPr="00E0054C">
          <w:rPr>
            <w:rStyle w:val="Hyperlink"/>
          </w:rPr>
          <w:t>online</w:t>
        </w:r>
      </w:hyperlink>
      <w:r w:rsidRPr="00E0054C">
        <w:rPr>
          <w:rStyle w:val="FootnoteReference"/>
        </w:rPr>
        <w:footnoteReference w:id="4"/>
      </w:r>
      <w:r w:rsidRPr="00E0054C">
        <w:t>.</w:t>
      </w:r>
    </w:p>
    <w:bookmarkEnd w:id="102"/>
    <w:p w14:paraId="1F88F98C" w14:textId="02FDE27F" w:rsidR="00CE02FD" w:rsidRDefault="002D13CB" w:rsidP="002D13CB">
      <w:pPr>
        <w:pStyle w:val="ListNumber2"/>
        <w:ind w:left="851"/>
      </w:pPr>
      <w:r>
        <w:t>The Committee wishes to thank the Minister and Member for their helpful responses.</w:t>
      </w:r>
    </w:p>
    <w:p w14:paraId="1B0752BD" w14:textId="7936E1E4" w:rsidR="002D13CB" w:rsidRPr="00CE02FD" w:rsidRDefault="00CE02FD" w:rsidP="00CE02FD">
      <w:pPr>
        <w:spacing w:line="259" w:lineRule="auto"/>
        <w:rPr>
          <w:rFonts w:cstheme="minorHAnsi"/>
          <w:bCs/>
          <w:color w:val="000000" w:themeColor="text1"/>
          <w:szCs w:val="20"/>
        </w:rPr>
      </w:pPr>
      <w:r>
        <w:br w:type="page"/>
      </w:r>
    </w:p>
    <w:p w14:paraId="4E27F9C1" w14:textId="7644E313" w:rsidR="007E2BE2" w:rsidRDefault="007E2BE2" w:rsidP="007E2BE2">
      <w:pPr>
        <w:pStyle w:val="Heading1"/>
      </w:pPr>
      <w:bookmarkStart w:id="163" w:name="_Toc165552867"/>
      <w:bookmarkEnd w:id="103"/>
      <w:bookmarkEnd w:id="98"/>
      <w:r>
        <w:t>Subordinate Legislation</w:t>
      </w:r>
      <w:bookmarkEnd w:id="163"/>
      <w:r>
        <w:t xml:space="preserve"> </w:t>
      </w:r>
    </w:p>
    <w:p w14:paraId="2FCCABFB" w14:textId="6BE43D1D" w:rsidR="002C12B6" w:rsidRDefault="002C12B6" w:rsidP="000030B4">
      <w:pPr>
        <w:pStyle w:val="Heading20"/>
      </w:pPr>
      <w:bookmarkStart w:id="164" w:name="_Toc165552868"/>
      <w:r>
        <w:t>Disallowable Instruments</w:t>
      </w:r>
      <w:r w:rsidR="000D032A">
        <w:t>—</w:t>
      </w:r>
      <w:r>
        <w:t>No comment</w:t>
      </w:r>
      <w:bookmarkEnd w:id="164"/>
    </w:p>
    <w:p w14:paraId="59EE9798" w14:textId="77777777" w:rsidR="002C12B6" w:rsidRDefault="002C12B6" w:rsidP="0071654A">
      <w:pPr>
        <w:pStyle w:val="ListNumber2"/>
        <w:ind w:left="851"/>
      </w:pPr>
      <w:r>
        <w:t>The Committee has examined the following disallowable instruments and has no comments on them:</w:t>
      </w:r>
    </w:p>
    <w:p w14:paraId="31947D85" w14:textId="77777777" w:rsidR="009950A0" w:rsidRPr="00FD6464" w:rsidRDefault="009950A0" w:rsidP="00246DE0">
      <w:pPr>
        <w:pStyle w:val="Bodycopy"/>
        <w:numPr>
          <w:ilvl w:val="0"/>
          <w:numId w:val="12"/>
        </w:numPr>
        <w:spacing w:after="0" w:line="280" w:lineRule="exact"/>
        <w:rPr>
          <w:b/>
          <w:spacing w:val="-4"/>
        </w:rPr>
      </w:pPr>
      <w:r w:rsidRPr="00FD6464">
        <w:rPr>
          <w:b/>
          <w:spacing w:val="-6"/>
        </w:rPr>
        <w:t>Disallowable Instrument DI2024-23 being the Integrity Commission (Acting Commissioner)</w:t>
      </w:r>
      <w:r w:rsidRPr="00FD6464">
        <w:rPr>
          <w:b/>
          <w:spacing w:val="-4"/>
        </w:rPr>
        <w:t xml:space="preserve"> Appointment 2024 (No 1) made under sections 25 and 40 of the </w:t>
      </w:r>
      <w:r w:rsidRPr="00FD6464">
        <w:rPr>
          <w:i/>
          <w:spacing w:val="-4"/>
        </w:rPr>
        <w:t>Integrity Commission Act 2018</w:t>
      </w:r>
      <w:r w:rsidRPr="00FD6464">
        <w:rPr>
          <w:b/>
          <w:spacing w:val="-4"/>
        </w:rPr>
        <w:t xml:space="preserve"> appoints a specified person acting ACT Integrity Commissioner. </w:t>
      </w:r>
    </w:p>
    <w:p w14:paraId="28A01416" w14:textId="0679EA5B"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DI2024-25 being the University of Canberra Council Appointment 2024 (No 1) made under section 11 of the </w:t>
      </w:r>
      <w:r w:rsidRPr="009950A0">
        <w:rPr>
          <w:i/>
          <w:spacing w:val="-2"/>
        </w:rPr>
        <w:t>University of Canberra Act 1989</w:t>
      </w:r>
      <w:r w:rsidRPr="009950A0">
        <w:rPr>
          <w:b/>
          <w:spacing w:val="-2"/>
        </w:rPr>
        <w:t xml:space="preserve"> reappoints a specified person as a member of the University of Canberra Council for a</w:t>
      </w:r>
      <w:r w:rsidR="00FD6464">
        <w:rPr>
          <w:b/>
          <w:spacing w:val="-2"/>
        </w:rPr>
        <w:t> </w:t>
      </w:r>
      <w:r w:rsidRPr="009950A0">
        <w:rPr>
          <w:b/>
          <w:spacing w:val="-2"/>
        </w:rPr>
        <w:t xml:space="preserve">period of one year. </w:t>
      </w:r>
    </w:p>
    <w:p w14:paraId="202F4F62"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DI2024-30 being the Road Transport (General) Application of Road Transport Legislation (Manuka Oval) Declaration 2024 (No 1) made under section 12 of the </w:t>
      </w:r>
      <w:r w:rsidRPr="009950A0">
        <w:rPr>
          <w:i/>
          <w:spacing w:val="-2"/>
        </w:rPr>
        <w:t>Road Transport (General) Act 1999</w:t>
      </w:r>
      <w:r w:rsidRPr="009950A0">
        <w:rPr>
          <w:b/>
          <w:spacing w:val="-2"/>
        </w:rPr>
        <w:t xml:space="preserve"> disapplies section 205 of the Road Transport (Road Rules) Regulation to support parking arrangements for major sporting events at Manuka Oval from 29 February 2024 to 31 December 2024. </w:t>
      </w:r>
    </w:p>
    <w:p w14:paraId="52052FB4"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DI2024-31 being the Children and Young People (Therapeutic Support Panel Chair) Appointment 2024 (No 1) made under section 501F of the </w:t>
      </w:r>
      <w:r w:rsidRPr="009950A0">
        <w:rPr>
          <w:i/>
          <w:spacing w:val="-2"/>
        </w:rPr>
        <w:t>Children and Young People Act 2008</w:t>
      </w:r>
      <w:r w:rsidRPr="009950A0">
        <w:rPr>
          <w:b/>
          <w:spacing w:val="-2"/>
        </w:rPr>
        <w:t xml:space="preserve"> appoints a specified person as chair of the Therapeutic Support Panel for Children and Young People. </w:t>
      </w:r>
    </w:p>
    <w:p w14:paraId="2C03E2B6"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DI2024-37 being the Major Events (Winter Sports Season Events) Notice 2024 made under section 9 of the </w:t>
      </w:r>
      <w:r w:rsidRPr="009950A0">
        <w:rPr>
          <w:i/>
          <w:spacing w:val="-2"/>
        </w:rPr>
        <w:t>Major Events Act 2014</w:t>
      </w:r>
      <w:r w:rsidRPr="009950A0">
        <w:rPr>
          <w:b/>
          <w:spacing w:val="-2"/>
        </w:rPr>
        <w:t xml:space="preserve"> applies the provisions of the Act to 21 matches, which form the Winter Sports Season in the ACT, at GIO Stadium and Manuka Oval from 22 March to 15 September 2024. </w:t>
      </w:r>
    </w:p>
    <w:p w14:paraId="2C1D1D2F" w14:textId="77777777" w:rsidR="009950A0" w:rsidRPr="009950A0" w:rsidRDefault="009950A0" w:rsidP="00C034BE">
      <w:pPr>
        <w:pStyle w:val="Bodycopy"/>
        <w:keepLines/>
        <w:numPr>
          <w:ilvl w:val="0"/>
          <w:numId w:val="12"/>
        </w:numPr>
        <w:spacing w:after="0" w:line="280" w:lineRule="exact"/>
        <w:ind w:left="1208" w:hanging="357"/>
        <w:rPr>
          <w:b/>
          <w:spacing w:val="-2"/>
        </w:rPr>
      </w:pPr>
      <w:r w:rsidRPr="009950A0">
        <w:rPr>
          <w:b/>
          <w:spacing w:val="-2"/>
        </w:rPr>
        <w:t xml:space="preserve">Disallowable Instrument DI2024-38 being the Children and Young People (Death Review Committee) Appointment 2024 (No 1) made under section 727D of the </w:t>
      </w:r>
      <w:r w:rsidRPr="009950A0">
        <w:rPr>
          <w:i/>
          <w:spacing w:val="-2"/>
        </w:rPr>
        <w:t>Children and Young People Act 2008</w:t>
      </w:r>
      <w:r w:rsidRPr="009950A0">
        <w:rPr>
          <w:b/>
          <w:spacing w:val="-2"/>
        </w:rPr>
        <w:t xml:space="preserve"> appoints a specified person as member of the Children and Young People Death Review Committee. </w:t>
      </w:r>
    </w:p>
    <w:p w14:paraId="73F56F56"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DI2024-39 being the Children and Young People (Death Review Committee) Appointment 2024 (No 2) made under section 727D of the </w:t>
      </w:r>
      <w:r w:rsidRPr="009950A0">
        <w:rPr>
          <w:i/>
          <w:spacing w:val="-2"/>
        </w:rPr>
        <w:t>Children and Young People Act 2008</w:t>
      </w:r>
      <w:r w:rsidRPr="009950A0">
        <w:rPr>
          <w:b/>
          <w:spacing w:val="-2"/>
        </w:rPr>
        <w:t xml:space="preserve"> appoints a specified person as member of the Children and Young People Death Review Committee. </w:t>
      </w:r>
    </w:p>
    <w:p w14:paraId="29BD1939"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DI2024-42 being the Long Service Leave (Portable Schemes) Governing Board Appointment 2024 (No 1) made under section 79E of the </w:t>
      </w:r>
      <w:r w:rsidRPr="009950A0">
        <w:rPr>
          <w:i/>
          <w:spacing w:val="-2"/>
        </w:rPr>
        <w:t xml:space="preserve">Long Service Leave (Portable Schemes) Act 2009 </w:t>
      </w:r>
      <w:r w:rsidRPr="009950A0">
        <w:rPr>
          <w:b/>
          <w:bCs/>
          <w:iCs/>
          <w:spacing w:val="-2"/>
        </w:rPr>
        <w:t xml:space="preserve">and section 78 of the </w:t>
      </w:r>
      <w:r w:rsidRPr="009950A0">
        <w:rPr>
          <w:i/>
          <w:spacing w:val="-2"/>
        </w:rPr>
        <w:t>Financial Management Act 1996</w:t>
      </w:r>
      <w:r w:rsidRPr="009950A0">
        <w:rPr>
          <w:b/>
          <w:spacing w:val="-2"/>
        </w:rPr>
        <w:t xml:space="preserve"> appoints a specified person as a member of the Long Service Leave Governing Board, representing employer organisations. </w:t>
      </w:r>
    </w:p>
    <w:p w14:paraId="567D7799"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DI2024-43 being the Gaming Machine (Fees—Authorisation Surrender Waiver) Determination 2024 (No 1) made under section 177 of the </w:t>
      </w:r>
      <w:r w:rsidRPr="009950A0">
        <w:rPr>
          <w:i/>
          <w:spacing w:val="-2"/>
        </w:rPr>
        <w:t xml:space="preserve">Gaming </w:t>
      </w:r>
      <w:r w:rsidRPr="009950A0">
        <w:rPr>
          <w:i/>
          <w:spacing w:val="-6"/>
        </w:rPr>
        <w:t>Machine Act 2004</w:t>
      </w:r>
      <w:r w:rsidRPr="009950A0">
        <w:rPr>
          <w:b/>
          <w:spacing w:val="-6"/>
        </w:rPr>
        <w:t xml:space="preserve"> revokes DI2023-184 and gives effect to the waiver of fees and charges</w:t>
      </w:r>
      <w:r w:rsidRPr="009950A0">
        <w:rPr>
          <w:b/>
          <w:spacing w:val="-2"/>
        </w:rPr>
        <w:t xml:space="preserve"> related to the </w:t>
      </w:r>
      <w:r w:rsidRPr="009950A0">
        <w:rPr>
          <w:b/>
          <w:i/>
          <w:iCs/>
          <w:spacing w:val="-2"/>
        </w:rPr>
        <w:t>Gaming Machine Voluntary Authorisation Surrender Scheme 2024</w:t>
      </w:r>
      <w:r w:rsidRPr="009950A0">
        <w:rPr>
          <w:b/>
          <w:spacing w:val="-2"/>
        </w:rPr>
        <w:t xml:space="preserve">. </w:t>
      </w:r>
    </w:p>
    <w:p w14:paraId="266204E5"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DI2024-44 being the Taxation Administration (Amounts Payable—Utilities (Network Facilities Tax)) Determination 2024 made under section 139 of the </w:t>
      </w:r>
      <w:r w:rsidRPr="009950A0">
        <w:rPr>
          <w:i/>
          <w:spacing w:val="-2"/>
        </w:rPr>
        <w:t>Taxation Administration Act 1999</w:t>
      </w:r>
      <w:r w:rsidRPr="009950A0">
        <w:rPr>
          <w:b/>
          <w:spacing w:val="-2"/>
        </w:rPr>
        <w:t xml:space="preserve"> revokes DI2023-32 and determines a new rate for the calculation of Utilities Network Facilities Tax payable under the </w:t>
      </w:r>
      <w:r w:rsidRPr="009950A0">
        <w:rPr>
          <w:b/>
          <w:i/>
          <w:iCs/>
          <w:spacing w:val="-2"/>
        </w:rPr>
        <w:t>Utilities (Network Facilities Tax) Act 2006</w:t>
      </w:r>
      <w:r w:rsidRPr="009950A0">
        <w:rPr>
          <w:b/>
          <w:spacing w:val="-2"/>
        </w:rPr>
        <w:t xml:space="preserve">. </w:t>
      </w:r>
    </w:p>
    <w:p w14:paraId="196296A4"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DI2024-45 being the Children and Young People (Therapeutic Support Panel) Appointment 2024 (No 2)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7639D60F"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DI2024-46 being the Children and Young People (Therapeutic Support Panel) Appointment 2024 (No 3)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23D5FE67"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DI2024-47 being the Children and Young People (Therapeutic Support Panel) Appointment 2024 (No 5)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638D801F"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DI2024-48 being the Children and Young People (Therapeutic Support Panel) Appointment 2024 (No 6)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467902C6"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DI2024-49 being the Children and Young People (Therapeutic Support Panel) Appointment 2024 (No 7)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2B6C33C8" w14:textId="77777777" w:rsidR="009950A0" w:rsidRPr="009950A0" w:rsidRDefault="009950A0" w:rsidP="00C034BE">
      <w:pPr>
        <w:pStyle w:val="Bodycopy"/>
        <w:keepLines/>
        <w:numPr>
          <w:ilvl w:val="0"/>
          <w:numId w:val="12"/>
        </w:numPr>
        <w:spacing w:after="0" w:line="280" w:lineRule="exact"/>
        <w:ind w:left="1208" w:hanging="357"/>
        <w:rPr>
          <w:b/>
          <w:spacing w:val="-2"/>
        </w:rPr>
      </w:pPr>
      <w:r w:rsidRPr="009950A0">
        <w:rPr>
          <w:b/>
          <w:spacing w:val="-2"/>
        </w:rPr>
        <w:t xml:space="preserve">Disallowable Instrument DI2024-50 being the Children and Young People (Therapeutic Support Panel) Appointment 2024 (No 8)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710B4EED"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DI2024-51 being the Children and Young People (Therapeutic Support Panel) Appointment 2024 (No 9)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59DFE10B"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DI2024-52 being the Children and Young People (Therapeutic Support Panel) Appointment 2024 (No 10) made under section 501E of the </w:t>
      </w:r>
      <w:r w:rsidRPr="009950A0">
        <w:rPr>
          <w:i/>
          <w:spacing w:val="-2"/>
        </w:rPr>
        <w:t>Children and Young People Act 2008</w:t>
      </w:r>
      <w:r w:rsidRPr="009950A0">
        <w:rPr>
          <w:b/>
          <w:spacing w:val="-2"/>
        </w:rPr>
        <w:t xml:space="preserve"> appoints a specified person as a member of the Therapeutic Support Panel for Children and Young People for a period of 4 years. </w:t>
      </w:r>
    </w:p>
    <w:p w14:paraId="7CC94214" w14:textId="77777777" w:rsidR="009950A0" w:rsidRPr="009950A0" w:rsidRDefault="009950A0" w:rsidP="00246DE0">
      <w:pPr>
        <w:pStyle w:val="Bodycopy"/>
        <w:numPr>
          <w:ilvl w:val="0"/>
          <w:numId w:val="12"/>
        </w:numPr>
        <w:spacing w:after="0" w:line="280" w:lineRule="exact"/>
        <w:rPr>
          <w:b/>
          <w:spacing w:val="-2"/>
        </w:rPr>
      </w:pPr>
      <w:r w:rsidRPr="009950A0">
        <w:rPr>
          <w:b/>
          <w:spacing w:val="-2"/>
        </w:rPr>
        <w:t xml:space="preserve">Disallowable Instrument DI2024-53 being the Litter (Fees) Determination 2024 made under s 25 of the </w:t>
      </w:r>
      <w:r w:rsidRPr="009950A0">
        <w:rPr>
          <w:i/>
          <w:spacing w:val="-2"/>
        </w:rPr>
        <w:t>Litter Act 2004</w:t>
      </w:r>
      <w:r w:rsidRPr="009950A0">
        <w:rPr>
          <w:b/>
          <w:spacing w:val="-2"/>
        </w:rPr>
        <w:t xml:space="preserve"> determines the fees payable for the 2023-2024 financial year the purposes of the Act. </w:t>
      </w:r>
    </w:p>
    <w:p w14:paraId="4FF8E65C" w14:textId="7412BF31" w:rsidR="009950A0" w:rsidRDefault="009950A0" w:rsidP="000030B4">
      <w:pPr>
        <w:pStyle w:val="Heading20"/>
      </w:pPr>
      <w:bookmarkStart w:id="165" w:name="_Toc165552869"/>
      <w:r>
        <w:t>Disallowable Instruments—Comment</w:t>
      </w:r>
      <w:bookmarkEnd w:id="165"/>
    </w:p>
    <w:p w14:paraId="1AAA433F" w14:textId="77777777" w:rsidR="009950A0" w:rsidRDefault="009950A0" w:rsidP="00CE02FD">
      <w:pPr>
        <w:pStyle w:val="ListNumber2"/>
        <w:keepNext/>
        <w:ind w:left="851"/>
      </w:pPr>
      <w:r>
        <w:t>The Committee has examined the following disallowable instruments and offers these comments on them:</w:t>
      </w:r>
    </w:p>
    <w:p w14:paraId="10E289FA" w14:textId="77777777" w:rsidR="009950A0" w:rsidRDefault="009950A0" w:rsidP="009950A0">
      <w:pPr>
        <w:keepNext/>
        <w:keepLines/>
        <w:spacing w:before="120" w:after="120"/>
        <w:outlineLvl w:val="2"/>
        <w:rPr>
          <w:rFonts w:ascii="Montserrat" w:eastAsia="Times New Roman" w:hAnsi="Montserrat" w:cs="Times New Roman"/>
          <w:b/>
          <w:color w:val="7492CD"/>
          <w:w w:val="90"/>
          <w:kern w:val="2"/>
          <w:sz w:val="28"/>
          <w:szCs w:val="24"/>
        </w:rPr>
      </w:pPr>
      <w:bookmarkStart w:id="166" w:name="_Toc165377049"/>
      <w:bookmarkStart w:id="167" w:name="_Toc165454955"/>
      <w:bookmarkStart w:id="168" w:name="_Toc165552870"/>
      <w:bookmarkStart w:id="169" w:name="_Toc130810355"/>
      <w:r>
        <w:rPr>
          <w:rFonts w:ascii="Montserrat" w:eastAsia="Times New Roman" w:hAnsi="Montserrat" w:cs="Times New Roman"/>
          <w:b/>
          <w:color w:val="7492CD"/>
          <w:w w:val="90"/>
          <w:kern w:val="2"/>
          <w:sz w:val="28"/>
          <w:szCs w:val="24"/>
        </w:rPr>
        <w:t>Human Rights Issues</w:t>
      </w:r>
      <w:bookmarkEnd w:id="166"/>
      <w:bookmarkEnd w:id="167"/>
      <w:bookmarkEnd w:id="168"/>
    </w:p>
    <w:p w14:paraId="5DD3F73D" w14:textId="77777777" w:rsidR="009950A0" w:rsidRPr="00634C54" w:rsidRDefault="009950A0" w:rsidP="00246DE0">
      <w:pPr>
        <w:pStyle w:val="Bodycopy"/>
        <w:numPr>
          <w:ilvl w:val="0"/>
          <w:numId w:val="12"/>
        </w:numPr>
        <w:spacing w:before="120" w:after="120" w:line="280" w:lineRule="exact"/>
        <w:ind w:left="1208" w:hanging="357"/>
        <w:rPr>
          <w:b/>
        </w:rPr>
      </w:pPr>
      <w:r w:rsidRPr="009950A0">
        <w:rPr>
          <w:b/>
          <w:spacing w:val="-2"/>
        </w:rPr>
        <w:t>Disallowable</w:t>
      </w:r>
      <w:r>
        <w:rPr>
          <w:b/>
        </w:rPr>
        <w:t xml:space="preserve"> Instrument</w:t>
      </w:r>
      <w:r w:rsidRPr="00451C85">
        <w:rPr>
          <w:b/>
        </w:rPr>
        <w:t xml:space="preserve"> </w:t>
      </w:r>
      <w:r>
        <w:rPr>
          <w:b/>
        </w:rPr>
        <w:t>DI2024-21</w:t>
      </w:r>
      <w:r w:rsidRPr="00451C85">
        <w:rPr>
          <w:b/>
        </w:rPr>
        <w:t xml:space="preserve"> being the </w:t>
      </w:r>
      <w:r>
        <w:rPr>
          <w:b/>
        </w:rPr>
        <w:t xml:space="preserve">Plant Diseases (Red Imported Fire Ant Importation Restrictions) Declaration 2024 made under </w:t>
      </w:r>
      <w:bookmarkStart w:id="170" w:name="_Hlk163379832"/>
      <w:r>
        <w:rPr>
          <w:b/>
        </w:rPr>
        <w:t xml:space="preserve">sections 7, 8 and 12 of the </w:t>
      </w:r>
      <w:r>
        <w:rPr>
          <w:i/>
        </w:rPr>
        <w:t>Plant Diseases Act 2002</w:t>
      </w:r>
      <w:r w:rsidRPr="00236BDD">
        <w:rPr>
          <w:b/>
        </w:rPr>
        <w:t xml:space="preserve"> </w:t>
      </w:r>
      <w:r>
        <w:rPr>
          <w:b/>
        </w:rPr>
        <w:t>declares red imported fire ant (</w:t>
      </w:r>
      <w:r w:rsidRPr="00634C54">
        <w:rPr>
          <w:b/>
          <w:i/>
          <w:iCs/>
        </w:rPr>
        <w:t>Solenopsis invicta)</w:t>
      </w:r>
      <w:r w:rsidRPr="00634C54">
        <w:rPr>
          <w:b/>
        </w:rPr>
        <w:t xml:space="preserve"> (fire ant) as a pest and prohibits its introduction in the ACT.</w:t>
      </w:r>
    </w:p>
    <w:bookmarkEnd w:id="170"/>
    <w:p w14:paraId="27C0BA93" w14:textId="77777777" w:rsidR="009950A0" w:rsidRPr="00FD6464" w:rsidRDefault="009950A0" w:rsidP="00FD6464">
      <w:pPr>
        <w:pStyle w:val="ListNumber2"/>
        <w:ind w:left="851"/>
        <w:rPr>
          <w:spacing w:val="-2"/>
        </w:rPr>
      </w:pPr>
      <w:r w:rsidRPr="00FD6464">
        <w:t>This</w:t>
      </w:r>
      <w:r w:rsidRPr="00FD6464">
        <w:rPr>
          <w:spacing w:val="-2"/>
        </w:rPr>
        <w:t xml:space="preserve"> instrument, made under sections 7, 8 and 12 of the </w:t>
      </w:r>
      <w:r w:rsidRPr="00FD6464">
        <w:rPr>
          <w:i/>
          <w:iCs/>
          <w:spacing w:val="-2"/>
        </w:rPr>
        <w:t>Plant Diseases Act 2002</w:t>
      </w:r>
      <w:r w:rsidRPr="00FD6464">
        <w:rPr>
          <w:spacing w:val="-2"/>
        </w:rPr>
        <w:t>, declares the red imported fire ant (</w:t>
      </w:r>
      <w:r w:rsidRPr="00FD6464">
        <w:rPr>
          <w:i/>
          <w:iCs/>
          <w:spacing w:val="-2"/>
        </w:rPr>
        <w:t xml:space="preserve">Solenopsis invicta) </w:t>
      </w:r>
      <w:r w:rsidRPr="00FD6464">
        <w:rPr>
          <w:spacing w:val="-2"/>
        </w:rPr>
        <w:t>(</w:t>
      </w:r>
      <w:r w:rsidRPr="00182F50">
        <w:rPr>
          <w:bCs w:val="0"/>
          <w:spacing w:val="-2"/>
        </w:rPr>
        <w:t>fire ant</w:t>
      </w:r>
      <w:r w:rsidRPr="00FD6464">
        <w:rPr>
          <w:spacing w:val="-2"/>
        </w:rPr>
        <w:t>)</w:t>
      </w:r>
      <w:r w:rsidRPr="00FD6464">
        <w:rPr>
          <w:i/>
          <w:iCs/>
          <w:spacing w:val="-2"/>
        </w:rPr>
        <w:t xml:space="preserve"> </w:t>
      </w:r>
      <w:r w:rsidRPr="00FD6464">
        <w:rPr>
          <w:spacing w:val="-2"/>
        </w:rPr>
        <w:t xml:space="preserve">as a pest and prohibits its introduction into the ACT.  The explanatory statement for the instrument discusses human rights issues, focusing on the right to privacy and reputation, protected by section 12 of the </w:t>
      </w:r>
      <w:r w:rsidRPr="00FD6464">
        <w:rPr>
          <w:i/>
          <w:iCs/>
          <w:spacing w:val="-2"/>
        </w:rPr>
        <w:t>Human Rights Act 2004</w:t>
      </w:r>
      <w:r w:rsidRPr="00FD6464">
        <w:rPr>
          <w:spacing w:val="-2"/>
        </w:rPr>
        <w:t>.  The right is engaged because the instrument requires the production of certain certificates, on request by an inspector.  The discussion concludes:</w:t>
      </w:r>
    </w:p>
    <w:p w14:paraId="27C263F5" w14:textId="77777777" w:rsidR="009950A0" w:rsidRPr="00634C54" w:rsidRDefault="009950A0" w:rsidP="009950A0">
      <w:pPr>
        <w:pStyle w:val="Quote"/>
      </w:pPr>
      <w:r w:rsidRPr="00634C54">
        <w:t>Biosecurity events and the measures required to appropriately manage them are situationally specific and the requirement to create and maintain certificates are appropriately adapted for management of risks related to fire ants.</w:t>
      </w:r>
    </w:p>
    <w:p w14:paraId="67817D93" w14:textId="77777777" w:rsidR="009950A0" w:rsidRPr="00634C54" w:rsidRDefault="009950A0" w:rsidP="009950A0">
      <w:pPr>
        <w:pStyle w:val="Quote"/>
      </w:pPr>
      <w:r w:rsidRPr="00634C54">
        <w:t>The Act is subject to several safeguards to minimise the impact on the right to privacy, including:</w:t>
      </w:r>
    </w:p>
    <w:p w14:paraId="6DBB6CDB" w14:textId="77777777" w:rsidR="009950A0" w:rsidRPr="00634C54" w:rsidRDefault="009950A0" w:rsidP="00246DE0">
      <w:pPr>
        <w:pStyle w:val="Quote"/>
        <w:numPr>
          <w:ilvl w:val="0"/>
          <w:numId w:val="13"/>
        </w:numPr>
      </w:pPr>
      <w:r w:rsidRPr="00634C54">
        <w:t>limitations on when a premises can be entered (section 21)</w:t>
      </w:r>
    </w:p>
    <w:p w14:paraId="4A4C0272" w14:textId="77777777" w:rsidR="009950A0" w:rsidRPr="00634C54" w:rsidRDefault="009950A0" w:rsidP="00246DE0">
      <w:pPr>
        <w:pStyle w:val="Quote"/>
        <w:numPr>
          <w:ilvl w:val="0"/>
          <w:numId w:val="13"/>
        </w:numPr>
      </w:pPr>
      <w:r w:rsidRPr="00634C54">
        <w:t>the requirement to produce an identity card (section 22).</w:t>
      </w:r>
    </w:p>
    <w:p w14:paraId="6106B70A" w14:textId="144AEE2D" w:rsidR="009950A0" w:rsidRPr="00634C54" w:rsidRDefault="009950A0" w:rsidP="009950A0">
      <w:pPr>
        <w:pStyle w:val="Quote"/>
      </w:pPr>
      <w:r w:rsidRPr="00634C54">
        <w:t>The use of certificates to verify compliance with biosecurity treatments or conditions is a commonly used and well-understood method to manage biosecurity risk</w:t>
      </w:r>
      <w:r w:rsidR="00C034BE">
        <w:t>.</w:t>
      </w:r>
    </w:p>
    <w:p w14:paraId="59A8DC7D" w14:textId="77777777" w:rsidR="009950A0" w:rsidRDefault="009950A0" w:rsidP="00FD6464">
      <w:pPr>
        <w:pStyle w:val="ListNumber2"/>
        <w:ind w:left="851"/>
        <w:rPr>
          <w:b/>
          <w:bCs w:val="0"/>
        </w:rPr>
      </w:pPr>
      <w:r w:rsidRPr="009950A0">
        <w:rPr>
          <w:b/>
          <w:bCs w:val="0"/>
        </w:rPr>
        <w:t>The Committee draws the attention of the Legislative Assembly to the discussion of human rights issues in the explanatory statement for this instrument.</w:t>
      </w:r>
    </w:p>
    <w:p w14:paraId="3E1F89CB" w14:textId="77777777" w:rsidR="009950A0" w:rsidRPr="009950A0" w:rsidRDefault="009950A0" w:rsidP="00FD6464">
      <w:pPr>
        <w:pStyle w:val="ListNumber2"/>
        <w:ind w:left="851"/>
        <w:rPr>
          <w:b/>
          <w:bCs w:val="0"/>
        </w:rPr>
      </w:pPr>
      <w:r w:rsidRPr="009950A0">
        <w:rPr>
          <w:rFonts w:ascii="Calibri" w:eastAsia="Calibri" w:hAnsi="Calibri" w:cs="Calibri"/>
          <w:b/>
          <w:color w:val="000000"/>
        </w:rPr>
        <w:t>This comment does not require a response from the Minister.</w:t>
      </w:r>
    </w:p>
    <w:p w14:paraId="5AF5F72D" w14:textId="77777777" w:rsidR="009950A0" w:rsidRDefault="009950A0" w:rsidP="009950A0">
      <w:pPr>
        <w:keepNext/>
        <w:keepLines/>
        <w:spacing w:before="120" w:after="200"/>
        <w:outlineLvl w:val="2"/>
        <w:rPr>
          <w:rFonts w:ascii="Montserrat" w:eastAsia="Times New Roman" w:hAnsi="Montserrat" w:cs="Times New Roman"/>
          <w:b/>
          <w:color w:val="7492CD"/>
          <w:w w:val="90"/>
          <w:kern w:val="2"/>
          <w:sz w:val="28"/>
          <w:szCs w:val="24"/>
        </w:rPr>
      </w:pPr>
      <w:bookmarkStart w:id="171" w:name="_Toc165377050"/>
      <w:bookmarkStart w:id="172" w:name="_Toc165454956"/>
      <w:bookmarkStart w:id="173" w:name="_Toc165552871"/>
      <w:r>
        <w:rPr>
          <w:rFonts w:ascii="Montserrat" w:eastAsia="Times New Roman" w:hAnsi="Montserrat" w:cs="Times New Roman"/>
          <w:b/>
          <w:color w:val="7492CD"/>
          <w:w w:val="90"/>
          <w:kern w:val="2"/>
          <w:sz w:val="28"/>
          <w:szCs w:val="24"/>
        </w:rPr>
        <w:t>Drafting issue</w:t>
      </w:r>
      <w:bookmarkEnd w:id="171"/>
      <w:bookmarkEnd w:id="172"/>
      <w:bookmarkEnd w:id="173"/>
    </w:p>
    <w:p w14:paraId="29186FA9" w14:textId="77777777" w:rsidR="009950A0" w:rsidRPr="00FD6464" w:rsidRDefault="009950A0" w:rsidP="00246DE0">
      <w:pPr>
        <w:pStyle w:val="Bodycopy"/>
        <w:numPr>
          <w:ilvl w:val="0"/>
          <w:numId w:val="12"/>
        </w:numPr>
        <w:spacing w:before="120" w:after="120" w:line="280" w:lineRule="exact"/>
        <w:ind w:left="1208" w:hanging="357"/>
        <w:rPr>
          <w:b/>
          <w:spacing w:val="-4"/>
        </w:rPr>
      </w:pPr>
      <w:r w:rsidRPr="00FD6464">
        <w:rPr>
          <w:b/>
          <w:spacing w:val="-4"/>
        </w:rPr>
        <w:t xml:space="preserve">Disallowable Instrument DI2024-22 being the Animal Welfare Code of Practice Revocation 2024 (No 1) made under section 22 of the </w:t>
      </w:r>
      <w:r w:rsidRPr="00FD6464">
        <w:rPr>
          <w:i/>
          <w:spacing w:val="-4"/>
        </w:rPr>
        <w:t>Animal Welfare Act 1992</w:t>
      </w:r>
      <w:r w:rsidRPr="00FD6464">
        <w:rPr>
          <w:b/>
          <w:spacing w:val="-4"/>
        </w:rPr>
        <w:t xml:space="preserve"> revokes DI1993-165, DI1993-166, DI1997-28, DI1997-110, due to an administrative error. </w:t>
      </w:r>
    </w:p>
    <w:p w14:paraId="298078F8" w14:textId="77777777" w:rsidR="009950A0" w:rsidRDefault="009950A0" w:rsidP="00FD6464">
      <w:pPr>
        <w:pStyle w:val="ListNumber2"/>
        <w:ind w:left="851"/>
      </w:pPr>
      <w:r>
        <w:t xml:space="preserve">This instrument, made under </w:t>
      </w:r>
      <w:r w:rsidRPr="00634C54">
        <w:t xml:space="preserve">section 22 </w:t>
      </w:r>
      <w:r>
        <w:t xml:space="preserve">of the </w:t>
      </w:r>
      <w:r w:rsidRPr="00634C54">
        <w:rPr>
          <w:i/>
          <w:iCs/>
        </w:rPr>
        <w:t>Animal Welfare Act 1992</w:t>
      </w:r>
      <w:r>
        <w:t>,</w:t>
      </w:r>
      <w:r w:rsidRPr="00634C54">
        <w:t xml:space="preserve"> revokes </w:t>
      </w:r>
      <w:r>
        <w:t>four specified i</w:t>
      </w:r>
      <w:bookmarkStart w:id="174" w:name="_Hlk163381236"/>
      <w:r>
        <w:t>nstruments</w:t>
      </w:r>
      <w:bookmarkEnd w:id="174"/>
      <w:r>
        <w:t xml:space="preserve"> relating to codes of practice, under that Act.  The Committee notes that the explanatory statement for the instrument states:</w:t>
      </w:r>
    </w:p>
    <w:p w14:paraId="40AD7C03" w14:textId="77777777" w:rsidR="009950A0" w:rsidRPr="00B627E6" w:rsidRDefault="009950A0" w:rsidP="00182F50">
      <w:pPr>
        <w:pStyle w:val="Quote"/>
        <w:spacing w:before="120" w:after="0"/>
      </w:pPr>
      <w:r w:rsidRPr="00B627E6">
        <w:t>This instrument revokes the following instruments:</w:t>
      </w:r>
    </w:p>
    <w:p w14:paraId="5A7B6896" w14:textId="77777777" w:rsidR="009950A0" w:rsidRPr="00182F50" w:rsidRDefault="009950A0" w:rsidP="00182F50">
      <w:pPr>
        <w:pStyle w:val="Quote"/>
        <w:numPr>
          <w:ilvl w:val="0"/>
          <w:numId w:val="22"/>
        </w:numPr>
        <w:spacing w:before="120" w:after="0"/>
      </w:pPr>
      <w:r w:rsidRPr="00182F50">
        <w:t>DI1993-165 – Animal Welfare (Animals at Saleyards) Code of Practice Approval 1993;</w:t>
      </w:r>
    </w:p>
    <w:p w14:paraId="4B68391A" w14:textId="77777777" w:rsidR="009950A0" w:rsidRPr="00182F50" w:rsidRDefault="009950A0" w:rsidP="00182F50">
      <w:pPr>
        <w:pStyle w:val="Quote"/>
        <w:numPr>
          <w:ilvl w:val="0"/>
          <w:numId w:val="22"/>
        </w:numPr>
        <w:spacing w:before="120" w:after="0"/>
      </w:pPr>
      <w:r w:rsidRPr="00182F50">
        <w:t>DI1993-166 – Animal Welfare (Livestock and Poultry) Code of Practice Approval 1993;</w:t>
      </w:r>
    </w:p>
    <w:p w14:paraId="786388E3" w14:textId="77777777" w:rsidR="009950A0" w:rsidRPr="00B627E6" w:rsidRDefault="009950A0" w:rsidP="00182F50">
      <w:pPr>
        <w:pStyle w:val="Quote"/>
        <w:numPr>
          <w:ilvl w:val="0"/>
          <w:numId w:val="22"/>
        </w:numPr>
        <w:spacing w:before="120" w:after="0"/>
      </w:pPr>
      <w:r w:rsidRPr="00B627E6">
        <w:t>DI1997-28 – Animal Welfare (Recreational and Sport Fishing) Code of Practice Approval 1997; and</w:t>
      </w:r>
    </w:p>
    <w:p w14:paraId="1D8762A1" w14:textId="77777777" w:rsidR="009950A0" w:rsidRPr="00B627E6" w:rsidRDefault="009950A0" w:rsidP="00182F50">
      <w:pPr>
        <w:pStyle w:val="Quote"/>
        <w:numPr>
          <w:ilvl w:val="0"/>
          <w:numId w:val="22"/>
        </w:numPr>
        <w:spacing w:before="120" w:after="0"/>
      </w:pPr>
      <w:r w:rsidRPr="00B627E6">
        <w:t>DI1997-110 – Animal Welfare (Fox Control) Code of Practice Approval 1997.</w:t>
      </w:r>
    </w:p>
    <w:p w14:paraId="6DDF7F32" w14:textId="77777777" w:rsidR="009950A0" w:rsidRPr="00B627E6" w:rsidRDefault="009950A0" w:rsidP="00182F50">
      <w:pPr>
        <w:pStyle w:val="Quote"/>
        <w:spacing w:before="120" w:after="0"/>
      </w:pPr>
      <w:r w:rsidRPr="00B627E6">
        <w:t>Due to an administrative error at the time of gazetting, the above instruments have never had a code of practice accompanying the respective instrument on the Legislation Register website.</w:t>
      </w:r>
    </w:p>
    <w:p w14:paraId="321F90A9" w14:textId="77777777" w:rsidR="009950A0" w:rsidRPr="00B627E6" w:rsidRDefault="009950A0" w:rsidP="00182F50">
      <w:pPr>
        <w:pStyle w:val="Quote"/>
        <w:spacing w:before="120" w:after="0"/>
      </w:pPr>
      <w:r>
        <w:t>The</w:t>
      </w:r>
      <w:r w:rsidRPr="00B627E6">
        <w:t xml:space="preserve"> Recreational and Sport Fishing Code of Practice has been added to a review work plan as a low priority, however, it has been determined there is no requirement to review the remaining three codes of practice at this point time.</w:t>
      </w:r>
    </w:p>
    <w:p w14:paraId="7FFD61A8" w14:textId="77777777" w:rsidR="009950A0" w:rsidRPr="00FD6464" w:rsidRDefault="009950A0" w:rsidP="00182F50">
      <w:pPr>
        <w:pStyle w:val="ListNumber2"/>
        <w:spacing w:before="120"/>
        <w:ind w:left="851"/>
        <w:rPr>
          <w:b/>
          <w:bCs w:val="0"/>
        </w:rPr>
      </w:pPr>
      <w:r w:rsidRPr="00FD6464">
        <w:rPr>
          <w:b/>
          <w:bCs w:val="0"/>
        </w:rPr>
        <w:t>This comment does not require a response from the Minister.</w:t>
      </w:r>
    </w:p>
    <w:p w14:paraId="36986810" w14:textId="77777777" w:rsidR="009950A0" w:rsidRDefault="009950A0" w:rsidP="009950A0">
      <w:pPr>
        <w:keepNext/>
        <w:keepLines/>
        <w:spacing w:before="120" w:after="200"/>
        <w:outlineLvl w:val="2"/>
        <w:rPr>
          <w:rFonts w:ascii="Montserrat" w:eastAsia="Times New Roman" w:hAnsi="Montserrat" w:cs="Times New Roman"/>
          <w:b/>
          <w:color w:val="7492CD"/>
          <w:w w:val="90"/>
          <w:kern w:val="2"/>
          <w:sz w:val="28"/>
          <w:szCs w:val="24"/>
        </w:rPr>
      </w:pPr>
      <w:bookmarkStart w:id="175" w:name="_Toc165377051"/>
      <w:bookmarkStart w:id="176" w:name="_Toc165454957"/>
      <w:bookmarkStart w:id="177" w:name="_Toc165552872"/>
      <w:r>
        <w:rPr>
          <w:rFonts w:ascii="Montserrat" w:eastAsia="Times New Roman" w:hAnsi="Montserrat" w:cs="Times New Roman"/>
          <w:b/>
          <w:color w:val="7492CD"/>
          <w:w w:val="90"/>
          <w:kern w:val="2"/>
          <w:sz w:val="28"/>
          <w:szCs w:val="24"/>
        </w:rPr>
        <w:t>Human Rights Issues</w:t>
      </w:r>
      <w:bookmarkEnd w:id="175"/>
      <w:bookmarkEnd w:id="176"/>
      <w:bookmarkEnd w:id="177"/>
    </w:p>
    <w:p w14:paraId="0FDCF55F" w14:textId="77777777" w:rsidR="009950A0" w:rsidRPr="00842199" w:rsidRDefault="009950A0" w:rsidP="00246DE0">
      <w:pPr>
        <w:pStyle w:val="Bodycopy"/>
        <w:numPr>
          <w:ilvl w:val="0"/>
          <w:numId w:val="12"/>
        </w:numPr>
        <w:spacing w:before="120" w:after="120" w:line="280" w:lineRule="exact"/>
        <w:ind w:left="1208" w:hanging="357"/>
        <w:rPr>
          <w:b/>
        </w:rPr>
      </w:pPr>
      <w:r>
        <w:rPr>
          <w:b/>
        </w:rPr>
        <w:t>Disallowable Instrument</w:t>
      </w:r>
      <w:r w:rsidRPr="00451C85">
        <w:rPr>
          <w:b/>
        </w:rPr>
        <w:t xml:space="preserve"> </w:t>
      </w:r>
      <w:r>
        <w:rPr>
          <w:b/>
        </w:rPr>
        <w:t>DI2024-24</w:t>
      </w:r>
      <w:r w:rsidRPr="00451C85">
        <w:rPr>
          <w:b/>
        </w:rPr>
        <w:t xml:space="preserve"> being the </w:t>
      </w:r>
      <w:r>
        <w:rPr>
          <w:b/>
        </w:rPr>
        <w:t xml:space="preserve">Human Rights Commission (Public Servant) Process 2024 (No 1) made under section 94D of the </w:t>
      </w:r>
      <w:r>
        <w:rPr>
          <w:i/>
        </w:rPr>
        <w:t>Human Rights Commission Act 2005</w:t>
      </w:r>
      <w:r>
        <w:rPr>
          <w:b/>
        </w:rPr>
        <w:t xml:space="preserve">. </w:t>
      </w:r>
    </w:p>
    <w:p w14:paraId="2ABE02E6" w14:textId="77777777" w:rsidR="009950A0" w:rsidRDefault="009950A0" w:rsidP="00FD6464">
      <w:pPr>
        <w:pStyle w:val="ListNumber2"/>
        <w:ind w:left="851"/>
      </w:pPr>
      <w:r w:rsidRPr="00B627E6">
        <w:t xml:space="preserve">This instrument is made under section 94D </w:t>
      </w:r>
      <w:r>
        <w:t xml:space="preserve">of the </w:t>
      </w:r>
      <w:r w:rsidRPr="00B627E6">
        <w:rPr>
          <w:i/>
          <w:iCs/>
        </w:rPr>
        <w:t>Human Rights Commission Act 2005</w:t>
      </w:r>
      <w:r w:rsidRPr="00B627E6">
        <w:t>, which allows the Executive to determine a separate process for the ACT Human Rights Commission (</w:t>
      </w:r>
      <w:r w:rsidRPr="00182F50">
        <w:rPr>
          <w:bCs w:val="0"/>
        </w:rPr>
        <w:t>Commission</w:t>
      </w:r>
      <w:r w:rsidRPr="00B627E6">
        <w:t>) to follow when dealing with complaints made about a public servant who is a health care worker acting inconsistently with the National Code of Conduct for Health Care Workers</w:t>
      </w:r>
      <w:r>
        <w:t xml:space="preserve">.  The explanatory statement for the instrument discusses human rights issues, by reference to the right to recognition and equality before the law (which is limited by the instrument) and the right to a fair trial, protected by sections </w:t>
      </w:r>
      <w:r w:rsidRPr="005F5839">
        <w:t>8</w:t>
      </w:r>
      <w:r>
        <w:t xml:space="preserve"> and 21 of the </w:t>
      </w:r>
      <w:r>
        <w:rPr>
          <w:i/>
          <w:iCs/>
        </w:rPr>
        <w:t>Human Rights Act 2004</w:t>
      </w:r>
      <w:r>
        <w:t>, respectively.</w:t>
      </w:r>
    </w:p>
    <w:p w14:paraId="5681ECAC" w14:textId="77777777" w:rsidR="009950A0" w:rsidRDefault="009950A0" w:rsidP="00FD6464">
      <w:pPr>
        <w:pStyle w:val="ListNumber2"/>
        <w:ind w:left="851"/>
      </w:pPr>
      <w:r>
        <w:t>In relation to the right to recognition and equality before the law, the explanatory statement states:</w:t>
      </w:r>
    </w:p>
    <w:p w14:paraId="51616863" w14:textId="77777777" w:rsidR="009950A0" w:rsidRPr="005F5839" w:rsidRDefault="009950A0" w:rsidP="0072783D">
      <w:pPr>
        <w:pStyle w:val="Quote"/>
      </w:pPr>
      <w:r w:rsidRPr="005F5839">
        <w:t xml:space="preserve">The </w:t>
      </w:r>
      <w:r>
        <w:t>[</w:t>
      </w:r>
      <w:r w:rsidRPr="005F5839">
        <w:t xml:space="preserve">Code </w:t>
      </w:r>
      <w:r>
        <w:t xml:space="preserve">of Conduct for Health Care Workers, set out in Part 2 of the </w:t>
      </w:r>
      <w:r>
        <w:rPr>
          <w:i/>
          <w:iCs/>
        </w:rPr>
        <w:t xml:space="preserve">Human Rights Commission Regulation </w:t>
      </w:r>
      <w:r w:rsidRPr="005F5839">
        <w:rPr>
          <w:i/>
          <w:iCs/>
        </w:rPr>
        <w:t>2023</w:t>
      </w:r>
      <w:r>
        <w:t xml:space="preserve">] </w:t>
      </w:r>
      <w:r w:rsidRPr="005F5839">
        <w:t>will apply to public servants, and therefore public servants will be subject to all the requirements described in the Regulation. This instrument simply allows for a separate process to apply to complaints in relation to public servants, in light of the likely interaction between breaches of the Code, and a misconduct process which is already robustly regulated. Accordingly, the ability to determine a separate process for public servants is the least restrictive approach to achieving the objectives of the Act in relation to the conduct of public servants.</w:t>
      </w:r>
    </w:p>
    <w:p w14:paraId="20EE7901" w14:textId="77777777" w:rsidR="009950A0" w:rsidRDefault="009950A0" w:rsidP="00FD6464">
      <w:pPr>
        <w:pStyle w:val="ListNumber2"/>
        <w:ind w:left="851"/>
      </w:pPr>
      <w:r>
        <w:t>The Committee takes this to relate to the fact that the instrument introduces a new process, additional to the existing processes.</w:t>
      </w:r>
    </w:p>
    <w:p w14:paraId="77A4E96F" w14:textId="77777777" w:rsidR="009950A0" w:rsidRDefault="009950A0" w:rsidP="00FD6464">
      <w:pPr>
        <w:pStyle w:val="ListNumber2"/>
        <w:ind w:left="851"/>
      </w:pPr>
      <w:r>
        <w:t>In relation to the rights to a fair trial, the explanatory statement states:</w:t>
      </w:r>
    </w:p>
    <w:p w14:paraId="0C9C51DF" w14:textId="77777777" w:rsidR="009950A0" w:rsidRPr="0072783D" w:rsidRDefault="009950A0" w:rsidP="0072783D">
      <w:pPr>
        <w:pStyle w:val="Quote"/>
        <w:rPr>
          <w:spacing w:val="-2"/>
        </w:rPr>
      </w:pPr>
      <w:r w:rsidRPr="0072783D">
        <w:rPr>
          <w:spacing w:val="-2"/>
        </w:rPr>
        <w:t xml:space="preserve">This instrument provides for a separate process for consideration of public servant complaints. Such a determination will relate to the process for consideration of a complaint, rather than altering the requirements of the Code set out in the Regulations. As the instrument relates to process, it will not create additional remedies in relation to public servants but may vary the timing within which the Commission may exercise various powers in relation to public servant complaints. </w:t>
      </w:r>
    </w:p>
    <w:p w14:paraId="63FD85F1" w14:textId="77777777" w:rsidR="009950A0" w:rsidRPr="0072783D" w:rsidRDefault="009950A0" w:rsidP="00CE02FD">
      <w:pPr>
        <w:pStyle w:val="Quote"/>
        <w:spacing w:before="0" w:after="0"/>
        <w:rPr>
          <w:spacing w:val="-4"/>
        </w:rPr>
      </w:pPr>
      <w:r w:rsidRPr="0072783D">
        <w:rPr>
          <w:spacing w:val="-4"/>
        </w:rPr>
        <w:t xml:space="preserve">For example, Item 2 of the Schedule for the instrument provides that unless otherwise agreed by the public sector standards Commissioner, a final order must not be issued in relation to a complaint until the process for preliminary assessment and investigation (if any) of any alleged inappropriate behaviour or misconduct under the relevant enterprise agreement and the </w:t>
      </w:r>
      <w:r w:rsidRPr="0072783D">
        <w:rPr>
          <w:i/>
          <w:iCs/>
          <w:spacing w:val="-4"/>
        </w:rPr>
        <w:t>Public Sector Management Act 1994</w:t>
      </w:r>
      <w:r w:rsidRPr="0072783D">
        <w:rPr>
          <w:spacing w:val="-4"/>
        </w:rPr>
        <w:t xml:space="preserve"> is complete. Item 3 of the Schedule for the instrument also allows the Commission to extend an interim order for any period of time required by the public sector standards Commissioner to complete the consideration of the complaint. </w:t>
      </w:r>
    </w:p>
    <w:p w14:paraId="100855A8" w14:textId="77777777" w:rsidR="009950A0" w:rsidRPr="005A0D5B" w:rsidRDefault="009950A0" w:rsidP="0000302D">
      <w:pPr>
        <w:pStyle w:val="Quote"/>
        <w:spacing w:after="120"/>
        <w:rPr>
          <w:i/>
          <w:iCs/>
        </w:rPr>
      </w:pPr>
      <w:r w:rsidRPr="005A0D5B">
        <w:rPr>
          <w:i/>
          <w:iCs/>
        </w:rPr>
        <w:t>Legitimate purpose (s28(2)(b), HR Act)</w:t>
      </w:r>
    </w:p>
    <w:p w14:paraId="2ACABF1C" w14:textId="77777777" w:rsidR="009950A0" w:rsidRPr="005A0D5B" w:rsidRDefault="009950A0" w:rsidP="00CE02FD">
      <w:pPr>
        <w:pStyle w:val="Quote"/>
        <w:spacing w:before="120" w:after="120"/>
      </w:pPr>
      <w:r w:rsidRPr="005A0D5B">
        <w:t>A power to delay final prohibition or condition orders being made, is necessary to facilitate the streamlining of the investigation and consideration of public servant complaints, and the minimisation of any duplication in consideration of a public servant complaint by the Commission and consideration of similar substantive issues as part of a misconduct procedure. This is discussed above in relation to the s8 right to recognition and equality before the law.</w:t>
      </w:r>
    </w:p>
    <w:p w14:paraId="3F126E0A" w14:textId="77777777" w:rsidR="009950A0" w:rsidRPr="005A0D5B" w:rsidRDefault="009950A0" w:rsidP="0000302D">
      <w:pPr>
        <w:pStyle w:val="Quote"/>
        <w:spacing w:after="120"/>
        <w:rPr>
          <w:i/>
          <w:iCs/>
        </w:rPr>
      </w:pPr>
      <w:r w:rsidRPr="005A0D5B">
        <w:rPr>
          <w:i/>
          <w:iCs/>
        </w:rPr>
        <w:t>Rational connection between the limitation and the purpose (s28(2)(d), HR Act)</w:t>
      </w:r>
    </w:p>
    <w:p w14:paraId="41143971" w14:textId="77777777" w:rsidR="009950A0" w:rsidRPr="0072783D" w:rsidRDefault="009950A0" w:rsidP="0000302D">
      <w:pPr>
        <w:pStyle w:val="Quote"/>
        <w:spacing w:before="120" w:after="120"/>
        <w:rPr>
          <w:spacing w:val="-2"/>
        </w:rPr>
      </w:pPr>
      <w:r w:rsidRPr="0072783D">
        <w:rPr>
          <w:spacing w:val="-2"/>
        </w:rPr>
        <w:t>Providing for the power to vary the process for consideration of a public servant complaint, including the timeframes for exercise of particular powers, will facilitate implementing a more efficient and effective process for managing such complaints.</w:t>
      </w:r>
    </w:p>
    <w:p w14:paraId="3FEC8CA7" w14:textId="77777777" w:rsidR="009950A0" w:rsidRPr="005A0D5B" w:rsidRDefault="009950A0" w:rsidP="0000302D">
      <w:pPr>
        <w:pStyle w:val="Quote"/>
        <w:spacing w:before="120" w:after="120"/>
      </w:pPr>
      <w:r w:rsidRPr="005A0D5B">
        <w:t>Accordingly, there is a rational connection between the purpose, and the proposed power to make a determination affecting the process for handling public service complaints.</w:t>
      </w:r>
    </w:p>
    <w:p w14:paraId="70DCAC05" w14:textId="77777777" w:rsidR="009950A0" w:rsidRPr="005A0D5B" w:rsidRDefault="009950A0" w:rsidP="0000302D">
      <w:pPr>
        <w:pStyle w:val="Quote"/>
        <w:spacing w:after="120"/>
        <w:rPr>
          <w:i/>
          <w:iCs/>
        </w:rPr>
      </w:pPr>
      <w:r w:rsidRPr="005A0D5B">
        <w:rPr>
          <w:i/>
          <w:iCs/>
        </w:rPr>
        <w:t>Proportionality (s28(2)(e), HR Act)</w:t>
      </w:r>
    </w:p>
    <w:p w14:paraId="5CC03559" w14:textId="77777777" w:rsidR="009950A0" w:rsidRPr="005A0D5B" w:rsidRDefault="009950A0" w:rsidP="00CE02FD">
      <w:pPr>
        <w:pStyle w:val="Quote"/>
        <w:spacing w:before="120" w:after="120"/>
      </w:pPr>
      <w:r w:rsidRPr="005A0D5B">
        <w:t>Public servant complaints will have the benefit of the same safeguards as other complaints (as set out above). For example, the decision-making principles in section 94F, which require that the decision maker is bound by the rules of natural justice, will continue to apply, as will the rights in Division 5.4 of the Act, to review of prohibition or condition orders, and the issuing of public statements, on application of a relevant party, to the ACT Civil and Administrative Tribunal.</w:t>
      </w:r>
    </w:p>
    <w:p w14:paraId="54CB8926" w14:textId="77777777" w:rsidR="009950A0" w:rsidRPr="005A0D5B" w:rsidRDefault="009950A0" w:rsidP="0000302D">
      <w:pPr>
        <w:pStyle w:val="Quote"/>
        <w:spacing w:before="120" w:after="120"/>
      </w:pPr>
      <w:r w:rsidRPr="005A0D5B">
        <w:t>The instrument provides that the timeframes for making prohibition and condition orders, and the duration of interim orders, may be extended as needed. Delay or deferral of a final prohibition or condition order is necessary to lever existing mechanisms for dealing with misconduct issues. Accordingly it may be necessary for interim orders to be extended by the Commission (this is so that, where the delivery of a health service by an individual is reasonably believed to pose a serious public health or safety concern, the public would continue to be protected for the duration of the misconduct process).</w:t>
      </w:r>
    </w:p>
    <w:p w14:paraId="1F594D46" w14:textId="77777777" w:rsidR="009950A0" w:rsidRPr="005A0D5B" w:rsidRDefault="009950A0" w:rsidP="0000302D">
      <w:pPr>
        <w:pStyle w:val="Quote"/>
        <w:spacing w:before="120" w:after="120"/>
      </w:pPr>
      <w:r w:rsidRPr="005A0D5B">
        <w:t>The interaction between complaints to the Commission in respect of breaches of the Code, and the process required for a misconduct procedure is likely to be complex, varied and may require significant operational detail.</w:t>
      </w:r>
    </w:p>
    <w:p w14:paraId="3FF6416F" w14:textId="77777777" w:rsidR="009950A0" w:rsidRPr="005A0D5B" w:rsidRDefault="009950A0" w:rsidP="0000302D">
      <w:pPr>
        <w:pStyle w:val="Quote"/>
        <w:spacing w:before="120" w:after="120"/>
      </w:pPr>
      <w:r w:rsidRPr="005A0D5B">
        <w:t xml:space="preserve">The procedure for dealing with such complaints may need to be adapted over time to respond to the operational requirements of the relevant public sector entities, the Public Sector Standards Commissioner and the Commission. Accordingly, it is necessary for this instrument to document such a procedure. </w:t>
      </w:r>
    </w:p>
    <w:p w14:paraId="65391258" w14:textId="1563DF16" w:rsidR="009950A0" w:rsidRPr="005A0D5B" w:rsidRDefault="009950A0" w:rsidP="00CE02FD">
      <w:pPr>
        <w:pStyle w:val="Quote"/>
        <w:spacing w:before="120" w:after="120"/>
      </w:pPr>
      <w:r w:rsidRPr="005A0D5B">
        <w:t>The Executive is also reasonably satisfied that a health care worker subject to a</w:t>
      </w:r>
      <w:r w:rsidR="00CE02FD">
        <w:t> </w:t>
      </w:r>
      <w:r w:rsidRPr="005A0D5B">
        <w:t xml:space="preserve">public servant complaint has no less protection under the procedures outlined in this instrument than that given to another health care worker who is the subject of a prohibition or condition order, or public statement, to which section 94F applies. This is because the process outlined in this instrument does not make provision in relation to the matters outlined section 94F and so those matters apply equally to public servants who are health workers as well as health workers who are not public servants. </w:t>
      </w:r>
    </w:p>
    <w:p w14:paraId="59819DB2" w14:textId="77777777" w:rsidR="009950A0" w:rsidRPr="0072783D" w:rsidRDefault="009950A0" w:rsidP="00CE02FD">
      <w:pPr>
        <w:pStyle w:val="Quote"/>
        <w:spacing w:before="120" w:after="120"/>
        <w:rPr>
          <w:spacing w:val="-2"/>
        </w:rPr>
      </w:pPr>
      <w:r w:rsidRPr="0072783D">
        <w:rPr>
          <w:spacing w:val="-2"/>
        </w:rPr>
        <w:t>The procedure put in place by this instrument allows for more effective and efficient management of complaints which intersect with a misconduct procedure, whilst maintaining safeguards to ensure fair and transparent decision making.</w:t>
      </w:r>
    </w:p>
    <w:p w14:paraId="5C8BACCC" w14:textId="77777777" w:rsidR="009950A0" w:rsidRPr="0048639A" w:rsidRDefault="009950A0" w:rsidP="00FD6464">
      <w:pPr>
        <w:pStyle w:val="ListNumber2"/>
        <w:ind w:left="851"/>
        <w:rPr>
          <w:rFonts w:ascii="Calibri" w:eastAsia="Calibri" w:hAnsi="Calibri" w:cs="Calibri"/>
          <w:b/>
          <w:color w:val="000000"/>
        </w:rPr>
      </w:pPr>
      <w:r w:rsidRPr="0048639A">
        <w:rPr>
          <w:rFonts w:ascii="Calibri" w:eastAsia="Calibri" w:hAnsi="Calibri" w:cs="Calibri"/>
          <w:b/>
          <w:color w:val="000000"/>
        </w:rPr>
        <w:t>The Committee draws the attention of the Legislative Assembly to the discussion of human rights issues in the explanatory statement for</w:t>
      </w:r>
      <w:r>
        <w:rPr>
          <w:rFonts w:ascii="Calibri" w:eastAsia="Calibri" w:hAnsi="Calibri" w:cs="Calibri"/>
          <w:b/>
          <w:color w:val="000000"/>
        </w:rPr>
        <w:t xml:space="preserve"> this instrument</w:t>
      </w:r>
      <w:r w:rsidRPr="0048639A">
        <w:rPr>
          <w:rFonts w:ascii="Calibri" w:eastAsia="Calibri" w:hAnsi="Calibri" w:cs="Calibri"/>
          <w:b/>
          <w:color w:val="000000"/>
        </w:rPr>
        <w:t>.</w:t>
      </w:r>
    </w:p>
    <w:p w14:paraId="757106F7" w14:textId="77777777" w:rsidR="009950A0" w:rsidRPr="009A5578" w:rsidRDefault="009950A0" w:rsidP="0000302D">
      <w:pPr>
        <w:pStyle w:val="ListNumber2"/>
        <w:spacing w:after="240"/>
        <w:ind w:left="851"/>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0C253169" w14:textId="77777777" w:rsidR="009950A0" w:rsidRDefault="009950A0" w:rsidP="0000302D">
      <w:pPr>
        <w:keepNext/>
        <w:keepLines/>
        <w:spacing w:before="120" w:after="0"/>
        <w:outlineLvl w:val="2"/>
        <w:rPr>
          <w:rFonts w:ascii="Montserrat" w:eastAsia="Times New Roman" w:hAnsi="Montserrat" w:cs="Times New Roman"/>
          <w:b/>
          <w:color w:val="7492CD"/>
          <w:w w:val="90"/>
          <w:kern w:val="2"/>
          <w:sz w:val="28"/>
          <w:szCs w:val="24"/>
        </w:rPr>
      </w:pPr>
      <w:bookmarkStart w:id="178" w:name="_Toc165377052"/>
      <w:bookmarkStart w:id="179" w:name="_Toc165454958"/>
      <w:bookmarkStart w:id="180" w:name="_Toc165552873"/>
      <w:r>
        <w:rPr>
          <w:rFonts w:ascii="Montserrat" w:eastAsia="Times New Roman" w:hAnsi="Montserrat" w:cs="Times New Roman"/>
          <w:b/>
          <w:color w:val="7492CD"/>
          <w:w w:val="90"/>
          <w:kern w:val="2"/>
          <w:sz w:val="28"/>
          <w:szCs w:val="24"/>
        </w:rPr>
        <w:t>Human Rights Issues</w:t>
      </w:r>
      <w:bookmarkEnd w:id="178"/>
      <w:bookmarkEnd w:id="179"/>
      <w:bookmarkEnd w:id="180"/>
    </w:p>
    <w:p w14:paraId="09E55068" w14:textId="2FA97CB0" w:rsidR="009950A0" w:rsidRPr="00182F50" w:rsidRDefault="009950A0" w:rsidP="00246DE0">
      <w:pPr>
        <w:pStyle w:val="Bodycopy"/>
        <w:numPr>
          <w:ilvl w:val="0"/>
          <w:numId w:val="12"/>
        </w:numPr>
        <w:spacing w:before="120" w:after="120" w:line="280" w:lineRule="exact"/>
        <w:ind w:left="1208" w:hanging="357"/>
        <w:rPr>
          <w:b/>
          <w:spacing w:val="-4"/>
        </w:rPr>
      </w:pPr>
      <w:r w:rsidRPr="00182F50">
        <w:rPr>
          <w:b/>
          <w:spacing w:val="-4"/>
        </w:rPr>
        <w:t xml:space="preserve">Disallowable Instrument DI2024-26 being the Road Transport (General) Application of Road Transport Legislation (IEG Rally) Declaration 2024 (No 1) made under section 13 of the </w:t>
      </w:r>
      <w:r w:rsidRPr="00182F50">
        <w:rPr>
          <w:i/>
          <w:spacing w:val="-4"/>
        </w:rPr>
        <w:t>Road Transport (General) Act 1999</w:t>
      </w:r>
      <w:r w:rsidRPr="00182F50">
        <w:rPr>
          <w:b/>
          <w:spacing w:val="-4"/>
        </w:rPr>
        <w:t xml:space="preserve"> provides that certain parts of the road transport legislation do not apply to a designated vehicle or the driver of a</w:t>
      </w:r>
      <w:r w:rsidR="0072783D" w:rsidRPr="00182F50">
        <w:rPr>
          <w:b/>
          <w:spacing w:val="-4"/>
        </w:rPr>
        <w:t> </w:t>
      </w:r>
      <w:r w:rsidRPr="00182F50">
        <w:rPr>
          <w:b/>
          <w:spacing w:val="-4"/>
        </w:rPr>
        <w:t xml:space="preserve">designated vehicle, </w:t>
      </w:r>
      <w:r w:rsidR="0072783D" w:rsidRPr="00182F50">
        <w:rPr>
          <w:b/>
          <w:spacing w:val="-4"/>
        </w:rPr>
        <w:t>w</w:t>
      </w:r>
      <w:r w:rsidRPr="00182F50">
        <w:rPr>
          <w:b/>
          <w:spacing w:val="-4"/>
        </w:rPr>
        <w:t xml:space="preserve">hile participating in a </w:t>
      </w:r>
      <w:r w:rsidR="000030B4">
        <w:rPr>
          <w:b/>
          <w:spacing w:val="-4"/>
        </w:rPr>
        <w:t>“</w:t>
      </w:r>
      <w:r w:rsidRPr="00182F50">
        <w:rPr>
          <w:b/>
          <w:spacing w:val="-4"/>
        </w:rPr>
        <w:t>special stage</w:t>
      </w:r>
      <w:r w:rsidR="000030B4">
        <w:rPr>
          <w:b/>
          <w:spacing w:val="-4"/>
        </w:rPr>
        <w:t>”</w:t>
      </w:r>
      <w:r w:rsidRPr="00182F50">
        <w:rPr>
          <w:b/>
          <w:spacing w:val="-4"/>
        </w:rPr>
        <w:t xml:space="preserve"> of the event while aspecial stage is </w:t>
      </w:r>
      <w:r w:rsidR="000030B4">
        <w:rPr>
          <w:b/>
          <w:spacing w:val="-4"/>
        </w:rPr>
        <w:t>“</w:t>
      </w:r>
      <w:r w:rsidRPr="00182F50">
        <w:rPr>
          <w:b/>
          <w:spacing w:val="-4"/>
        </w:rPr>
        <w:t>active</w:t>
      </w:r>
      <w:r w:rsidR="000030B4">
        <w:rPr>
          <w:b/>
          <w:spacing w:val="-4"/>
        </w:rPr>
        <w:t>”</w:t>
      </w:r>
      <w:r w:rsidRPr="00182F50">
        <w:rPr>
          <w:b/>
          <w:spacing w:val="-4"/>
        </w:rPr>
        <w:t xml:space="preserve">. </w:t>
      </w:r>
    </w:p>
    <w:p w14:paraId="3D4A4F4B" w14:textId="48B31462" w:rsidR="009950A0" w:rsidRPr="00182F50" w:rsidRDefault="009950A0" w:rsidP="00246DE0">
      <w:pPr>
        <w:pStyle w:val="Bodycopy"/>
        <w:numPr>
          <w:ilvl w:val="0"/>
          <w:numId w:val="12"/>
        </w:numPr>
        <w:spacing w:before="120" w:after="120" w:line="280" w:lineRule="exact"/>
        <w:ind w:left="1208" w:hanging="357"/>
        <w:rPr>
          <w:b/>
          <w:spacing w:val="-4"/>
        </w:rPr>
      </w:pPr>
      <w:r w:rsidRPr="00182F50">
        <w:rPr>
          <w:b/>
          <w:spacing w:val="-4"/>
        </w:rPr>
        <w:t xml:space="preserve">Disallowable Instrument DI2024-27 being the Road Transport (General) Application of Road Transport Legislation (IEG Rally) Declaration 2024 (No 2) made under section 13 of the </w:t>
      </w:r>
      <w:r w:rsidRPr="00182F50">
        <w:rPr>
          <w:i/>
          <w:spacing w:val="-4"/>
        </w:rPr>
        <w:t>Road Transport (General) Act 1999</w:t>
      </w:r>
      <w:r w:rsidRPr="00182F50">
        <w:rPr>
          <w:b/>
          <w:spacing w:val="-4"/>
        </w:rPr>
        <w:t xml:space="preserve"> provides that certain parts of the road transport legislation do not apply to a designated vehicle or the driver of a designated vehicle, While participating in a </w:t>
      </w:r>
      <w:r w:rsidR="000030B4">
        <w:rPr>
          <w:b/>
          <w:spacing w:val="-4"/>
        </w:rPr>
        <w:t>“</w:t>
      </w:r>
      <w:r w:rsidRPr="00182F50">
        <w:rPr>
          <w:b/>
          <w:spacing w:val="-4"/>
        </w:rPr>
        <w:t>special stage</w:t>
      </w:r>
      <w:r w:rsidR="000030B4">
        <w:rPr>
          <w:b/>
          <w:spacing w:val="-4"/>
        </w:rPr>
        <w:t>”</w:t>
      </w:r>
      <w:r w:rsidRPr="00182F50">
        <w:rPr>
          <w:b/>
          <w:spacing w:val="-4"/>
        </w:rPr>
        <w:t xml:space="preserve"> of the event while a special stage is </w:t>
      </w:r>
      <w:r w:rsidR="000030B4">
        <w:rPr>
          <w:b/>
          <w:spacing w:val="-4"/>
        </w:rPr>
        <w:t>“</w:t>
      </w:r>
      <w:r w:rsidRPr="00182F50">
        <w:rPr>
          <w:b/>
          <w:spacing w:val="-4"/>
        </w:rPr>
        <w:t>active</w:t>
      </w:r>
      <w:r w:rsidR="000030B4">
        <w:rPr>
          <w:b/>
          <w:spacing w:val="-4"/>
        </w:rPr>
        <w:t>”</w:t>
      </w:r>
      <w:r w:rsidRPr="00182F50">
        <w:rPr>
          <w:b/>
          <w:spacing w:val="-4"/>
        </w:rPr>
        <w:t xml:space="preserve">. </w:t>
      </w:r>
    </w:p>
    <w:p w14:paraId="66D0BBD9" w14:textId="45D854A2" w:rsidR="009950A0" w:rsidRPr="00842199" w:rsidRDefault="009950A0" w:rsidP="00246DE0">
      <w:pPr>
        <w:pStyle w:val="Bodycopy"/>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DI2024-40</w:t>
      </w:r>
      <w:r w:rsidRPr="00451C85">
        <w:rPr>
          <w:b/>
        </w:rPr>
        <w:t xml:space="preserve"> being the </w:t>
      </w:r>
      <w:r>
        <w:rPr>
          <w:b/>
        </w:rPr>
        <w:t xml:space="preserve">Road Transport (General) Application of Road Transport Legislation (White Wolf Test) Declaration 2024 (No 1) made under section 13 of the </w:t>
      </w:r>
      <w:r>
        <w:rPr>
          <w:i/>
        </w:rPr>
        <w:t>Road Transport (General) Act 1999</w:t>
      </w:r>
      <w:r w:rsidRPr="00236BDD">
        <w:rPr>
          <w:b/>
        </w:rPr>
        <w:t xml:space="preserve"> </w:t>
      </w:r>
      <w:r>
        <w:rPr>
          <w:b/>
        </w:rPr>
        <w:t xml:space="preserve">disapplies certain parts of road transport legislation and </w:t>
      </w:r>
      <w:r w:rsidRPr="0072783D">
        <w:rPr>
          <w:b/>
          <w:i/>
          <w:iCs/>
        </w:rPr>
        <w:t>Motor Accident Injuries Act 2019</w:t>
      </w:r>
      <w:r>
        <w:rPr>
          <w:b/>
        </w:rPr>
        <w:t xml:space="preserve"> to a designated vehicle or the driver of a designated vehicle while participating in a </w:t>
      </w:r>
      <w:r w:rsidR="000030B4">
        <w:rPr>
          <w:b/>
        </w:rPr>
        <w:t>“</w:t>
      </w:r>
      <w:r>
        <w:rPr>
          <w:b/>
        </w:rPr>
        <w:t>special stage</w:t>
      </w:r>
      <w:r w:rsidR="000030B4">
        <w:rPr>
          <w:b/>
        </w:rPr>
        <w:t>”</w:t>
      </w:r>
      <w:r>
        <w:rPr>
          <w:b/>
        </w:rPr>
        <w:t xml:space="preserve"> of the White Wolf Racing Test Day on 18 March 2024. </w:t>
      </w:r>
    </w:p>
    <w:p w14:paraId="70C3583C" w14:textId="6D728F4B" w:rsidR="009950A0" w:rsidRPr="005904DA" w:rsidRDefault="009950A0" w:rsidP="00FD6464">
      <w:pPr>
        <w:pStyle w:val="ListNumber2"/>
        <w:ind w:left="851"/>
        <w:rPr>
          <w:rFonts w:ascii="Calibri" w:eastAsia="Calibri" w:hAnsi="Calibri" w:cs="Calibri"/>
          <w:bCs w:val="0"/>
          <w:color w:val="000000"/>
        </w:rPr>
      </w:pPr>
      <w:r w:rsidRPr="00FD6464">
        <w:t>E</w:t>
      </w:r>
      <w:r w:rsidRPr="00FD6464">
        <w:rPr>
          <w:spacing w:val="-2"/>
        </w:rPr>
        <w:t>ach</w:t>
      </w:r>
      <w:r w:rsidRPr="005904DA">
        <w:rPr>
          <w:rFonts w:ascii="Calibri" w:eastAsia="Calibri" w:hAnsi="Calibri" w:cs="Calibri"/>
          <w:color w:val="000000"/>
          <w:spacing w:val="-2"/>
        </w:rPr>
        <w:t xml:space="preserve"> of the instruments mentioned above is made under section 13 of the </w:t>
      </w:r>
      <w:r w:rsidRPr="005904DA">
        <w:rPr>
          <w:rFonts w:ascii="Calibri" w:eastAsia="Calibri" w:hAnsi="Calibri" w:cs="Calibri"/>
          <w:i/>
          <w:iCs/>
          <w:color w:val="000000"/>
          <w:spacing w:val="-2"/>
        </w:rPr>
        <w:t>Road Transport (General) Act 1999</w:t>
      </w:r>
      <w:r w:rsidRPr="005904DA">
        <w:rPr>
          <w:rFonts w:ascii="Calibri" w:eastAsia="Calibri" w:hAnsi="Calibri" w:cs="Calibri"/>
          <w:color w:val="000000"/>
          <w:spacing w:val="-2"/>
        </w:rPr>
        <w:t xml:space="preserve">, which allows the Minister to </w:t>
      </w:r>
      <w:r w:rsidRPr="005904DA">
        <w:rPr>
          <w:rFonts w:ascii="Calibri" w:eastAsia="Calibri" w:hAnsi="Calibri" w:cs="Calibri"/>
          <w:color w:val="000000"/>
          <w:spacing w:val="-2"/>
          <w:lang w:eastAsia="en-AU"/>
        </w:rPr>
        <w:t>declare</w:t>
      </w:r>
      <w:r w:rsidRPr="005904DA">
        <w:rPr>
          <w:rFonts w:ascii="Calibri" w:eastAsia="Calibri" w:hAnsi="Calibri" w:cs="Calibri"/>
          <w:color w:val="000000"/>
          <w:spacing w:val="-2"/>
        </w:rPr>
        <w:t xml:space="preserve"> that the road transport legislation, or a provision of the road transport legislation, does not apply to a vehicle, person or animal in a place or circumstance stated in the declaration. </w:t>
      </w:r>
      <w:r>
        <w:rPr>
          <w:rFonts w:ascii="Calibri" w:eastAsia="Calibri" w:hAnsi="Calibri" w:cs="Calibri"/>
          <w:color w:val="000000"/>
          <w:spacing w:val="-2"/>
        </w:rPr>
        <w:t xml:space="preserve">  </w:t>
      </w:r>
      <w:r w:rsidRPr="005904DA">
        <w:rPr>
          <w:rFonts w:ascii="Calibri" w:eastAsia="Calibri" w:hAnsi="Calibri" w:cs="Calibri"/>
          <w:color w:val="000000"/>
          <w:spacing w:val="-2"/>
        </w:rPr>
        <w:t xml:space="preserve">For the first instrument, the declaration provides that the </w:t>
      </w:r>
      <w:r w:rsidRPr="005904DA">
        <w:rPr>
          <w:rFonts w:ascii="Calibri" w:eastAsia="Calibri" w:hAnsi="Calibri" w:cs="Calibri"/>
          <w:i/>
          <w:iCs/>
          <w:color w:val="000000"/>
          <w:spacing w:val="-2"/>
        </w:rPr>
        <w:t xml:space="preserve">Motor Accident Injuries </w:t>
      </w:r>
      <w:r w:rsidRPr="005A0D5B">
        <w:rPr>
          <w:rFonts w:ascii="Calibri" w:eastAsia="Calibri" w:hAnsi="Calibri" w:cs="Calibri"/>
          <w:i/>
          <w:iCs/>
          <w:color w:val="000000"/>
          <w:spacing w:val="-2"/>
        </w:rPr>
        <w:t>Act 2019</w:t>
      </w:r>
      <w:r w:rsidRPr="005904DA">
        <w:rPr>
          <w:rFonts w:ascii="Calibri" w:eastAsia="Calibri" w:hAnsi="Calibri" w:cs="Calibri"/>
          <w:color w:val="000000"/>
          <w:spacing w:val="-2"/>
        </w:rPr>
        <w:t xml:space="preserve">, </w:t>
      </w:r>
      <w:bookmarkStart w:id="181" w:name="_Hlk159155000"/>
      <w:r w:rsidRPr="005904DA">
        <w:rPr>
          <w:rFonts w:ascii="Calibri" w:eastAsia="Calibri" w:hAnsi="Calibri" w:cs="Calibri"/>
          <w:color w:val="000000"/>
          <w:spacing w:val="-2"/>
        </w:rPr>
        <w:t>and various other specified provisions of the motor traffic legislation, do</w:t>
      </w:r>
      <w:r>
        <w:rPr>
          <w:rFonts w:ascii="Calibri" w:eastAsia="Calibri" w:hAnsi="Calibri" w:cs="Calibri"/>
          <w:color w:val="000000"/>
          <w:spacing w:val="-2"/>
        </w:rPr>
        <w:t xml:space="preserve"> no</w:t>
      </w:r>
      <w:r w:rsidRPr="005904DA">
        <w:rPr>
          <w:rFonts w:ascii="Calibri" w:eastAsia="Calibri" w:hAnsi="Calibri" w:cs="Calibri"/>
          <w:color w:val="000000"/>
          <w:spacing w:val="-2"/>
        </w:rPr>
        <w:t xml:space="preserve">t apply in relation </w:t>
      </w:r>
      <w:bookmarkStart w:id="182" w:name="_Hlk163384372"/>
      <w:r w:rsidRPr="005904DA">
        <w:rPr>
          <w:rFonts w:ascii="Calibri" w:eastAsia="Calibri" w:hAnsi="Calibri" w:cs="Calibri"/>
          <w:color w:val="000000"/>
          <w:spacing w:val="-2"/>
        </w:rPr>
        <w:t xml:space="preserve">to the </w:t>
      </w:r>
      <w:r>
        <w:rPr>
          <w:rFonts w:ascii="Calibri" w:eastAsia="Calibri" w:hAnsi="Calibri" w:cs="Calibri"/>
          <w:color w:val="000000"/>
          <w:spacing w:val="-2"/>
        </w:rPr>
        <w:t>IEG Test Rally 1</w:t>
      </w:r>
      <w:r w:rsidRPr="005904DA">
        <w:rPr>
          <w:rFonts w:ascii="Calibri" w:eastAsia="Calibri" w:hAnsi="Calibri" w:cs="Calibri"/>
          <w:color w:val="000000"/>
          <w:spacing w:val="-2"/>
        </w:rPr>
        <w:t xml:space="preserve">, scheduled to </w:t>
      </w:r>
      <w:r>
        <w:rPr>
          <w:rFonts w:ascii="Calibri" w:eastAsia="Calibri" w:hAnsi="Calibri" w:cs="Calibri"/>
          <w:color w:val="000000"/>
          <w:spacing w:val="-2"/>
        </w:rPr>
        <w:t>take place between 26 February and 1 March 2024</w:t>
      </w:r>
      <w:bookmarkEnd w:id="181"/>
      <w:bookmarkEnd w:id="182"/>
      <w:r w:rsidRPr="005904DA">
        <w:rPr>
          <w:rFonts w:ascii="Calibri" w:eastAsia="Calibri" w:hAnsi="Calibri" w:cs="Calibri"/>
          <w:color w:val="000000"/>
          <w:spacing w:val="-2"/>
        </w:rPr>
        <w:t xml:space="preserve">. For the second instrument, similarly, the declaration provides that the Motor Accident Injuries Act, and </w:t>
      </w:r>
      <w:r>
        <w:rPr>
          <w:rFonts w:ascii="Calibri" w:eastAsia="Calibri" w:hAnsi="Calibri" w:cs="Calibri"/>
          <w:color w:val="000000"/>
          <w:spacing w:val="-2"/>
        </w:rPr>
        <w:t xml:space="preserve">the same </w:t>
      </w:r>
      <w:r w:rsidRPr="005904DA">
        <w:rPr>
          <w:rFonts w:ascii="Calibri" w:eastAsia="Calibri" w:hAnsi="Calibri" w:cs="Calibri"/>
          <w:color w:val="000000"/>
          <w:spacing w:val="-2"/>
        </w:rPr>
        <w:t>specified provisions of the motor traffic legislation, do not apply in relation to</w:t>
      </w:r>
      <w:r>
        <w:rPr>
          <w:rFonts w:ascii="Calibri" w:eastAsia="Calibri" w:hAnsi="Calibri" w:cs="Calibri"/>
          <w:color w:val="000000"/>
          <w:spacing w:val="-2"/>
        </w:rPr>
        <w:t xml:space="preserve"> </w:t>
      </w:r>
      <w:r w:rsidRPr="005904DA">
        <w:rPr>
          <w:rFonts w:ascii="Calibri" w:eastAsia="Calibri" w:hAnsi="Calibri" w:cs="Calibri"/>
          <w:color w:val="000000"/>
          <w:spacing w:val="-2"/>
        </w:rPr>
        <w:t xml:space="preserve">the </w:t>
      </w:r>
      <w:r>
        <w:rPr>
          <w:rFonts w:ascii="Calibri" w:eastAsia="Calibri" w:hAnsi="Calibri" w:cs="Calibri"/>
          <w:color w:val="000000"/>
          <w:spacing w:val="-2"/>
        </w:rPr>
        <w:t>IEG Test Rally 2</w:t>
      </w:r>
      <w:r w:rsidRPr="005904DA">
        <w:rPr>
          <w:rFonts w:ascii="Calibri" w:eastAsia="Calibri" w:hAnsi="Calibri" w:cs="Calibri"/>
          <w:color w:val="000000"/>
          <w:spacing w:val="-2"/>
        </w:rPr>
        <w:t xml:space="preserve">, scheduled to </w:t>
      </w:r>
      <w:r>
        <w:rPr>
          <w:rFonts w:ascii="Calibri" w:eastAsia="Calibri" w:hAnsi="Calibri" w:cs="Calibri"/>
          <w:color w:val="000000"/>
          <w:spacing w:val="-2"/>
        </w:rPr>
        <w:t>take place between 26 and 29 March 2024</w:t>
      </w:r>
      <w:r w:rsidRPr="005904DA">
        <w:rPr>
          <w:rFonts w:ascii="Calibri" w:eastAsia="Calibri" w:hAnsi="Calibri" w:cs="Calibri"/>
          <w:color w:val="000000"/>
        </w:rPr>
        <w:t>.</w:t>
      </w:r>
      <w:r>
        <w:rPr>
          <w:rFonts w:ascii="Calibri" w:eastAsia="Calibri" w:hAnsi="Calibri" w:cs="Calibri"/>
          <w:color w:val="000000"/>
        </w:rPr>
        <w:t xml:space="preserve">  The third instrument, similarly, provides that the Motor Accident Injuries Act and various other specified provisions of the motor traffic legislation </w:t>
      </w:r>
      <w:r w:rsidRPr="005904DA">
        <w:rPr>
          <w:rFonts w:ascii="Calibri" w:eastAsia="Calibri" w:hAnsi="Calibri" w:cs="Calibri"/>
          <w:color w:val="000000"/>
          <w:spacing w:val="-2"/>
        </w:rPr>
        <w:t>do</w:t>
      </w:r>
      <w:r>
        <w:rPr>
          <w:rFonts w:ascii="Calibri" w:eastAsia="Calibri" w:hAnsi="Calibri" w:cs="Calibri"/>
          <w:color w:val="000000"/>
          <w:spacing w:val="-2"/>
        </w:rPr>
        <w:t xml:space="preserve"> no</w:t>
      </w:r>
      <w:r w:rsidRPr="005904DA">
        <w:rPr>
          <w:rFonts w:ascii="Calibri" w:eastAsia="Calibri" w:hAnsi="Calibri" w:cs="Calibri"/>
          <w:color w:val="000000"/>
          <w:spacing w:val="-2"/>
        </w:rPr>
        <w:t xml:space="preserve">t apply in relation to </w:t>
      </w:r>
      <w:r w:rsidRPr="00E00679">
        <w:rPr>
          <w:rFonts w:ascii="Calibri" w:eastAsia="Calibri" w:hAnsi="Calibri" w:cs="Calibri"/>
          <w:color w:val="000000"/>
          <w:spacing w:val="-2"/>
        </w:rPr>
        <w:t xml:space="preserve">a </w:t>
      </w:r>
      <w:r w:rsidR="000030B4">
        <w:rPr>
          <w:rFonts w:ascii="Calibri" w:eastAsia="Calibri" w:hAnsi="Calibri" w:cs="Calibri"/>
          <w:color w:val="000000"/>
          <w:spacing w:val="-2"/>
        </w:rPr>
        <w:t>“</w:t>
      </w:r>
      <w:r w:rsidRPr="00E00679">
        <w:rPr>
          <w:rFonts w:ascii="Calibri" w:eastAsia="Calibri" w:hAnsi="Calibri" w:cs="Calibri"/>
          <w:color w:val="000000"/>
          <w:spacing w:val="-2"/>
        </w:rPr>
        <w:t>special stage</w:t>
      </w:r>
      <w:r w:rsidR="000030B4">
        <w:rPr>
          <w:rFonts w:ascii="Calibri" w:eastAsia="Calibri" w:hAnsi="Calibri" w:cs="Calibri"/>
          <w:color w:val="000000"/>
          <w:spacing w:val="-2"/>
        </w:rPr>
        <w:t>”</w:t>
      </w:r>
      <w:r w:rsidRPr="00E00679">
        <w:rPr>
          <w:rFonts w:ascii="Calibri" w:eastAsia="Calibri" w:hAnsi="Calibri" w:cs="Calibri"/>
          <w:color w:val="000000"/>
          <w:spacing w:val="-2"/>
        </w:rPr>
        <w:t xml:space="preserve"> of the White Wolf Racing Test Day</w:t>
      </w:r>
      <w:r w:rsidRPr="005904DA">
        <w:rPr>
          <w:rFonts w:ascii="Calibri" w:eastAsia="Calibri" w:hAnsi="Calibri" w:cs="Calibri"/>
          <w:color w:val="000000"/>
          <w:spacing w:val="-2"/>
        </w:rPr>
        <w:t xml:space="preserve">, scheduled to </w:t>
      </w:r>
      <w:r>
        <w:rPr>
          <w:rFonts w:ascii="Calibri" w:eastAsia="Calibri" w:hAnsi="Calibri" w:cs="Calibri"/>
          <w:color w:val="000000"/>
          <w:spacing w:val="-2"/>
        </w:rPr>
        <w:t>take place on 18 March 2024.</w:t>
      </w:r>
    </w:p>
    <w:p w14:paraId="111CDEED" w14:textId="77777777" w:rsidR="009950A0" w:rsidRPr="005904DA" w:rsidRDefault="009950A0" w:rsidP="00FD6464">
      <w:pPr>
        <w:pStyle w:val="ListNumber2"/>
        <w:ind w:left="851"/>
        <w:rPr>
          <w:rFonts w:ascii="Calibri" w:eastAsia="Calibri" w:hAnsi="Calibri" w:cs="Calibri"/>
          <w:bCs w:val="0"/>
          <w:color w:val="000000"/>
        </w:rPr>
      </w:pPr>
      <w:r w:rsidRPr="005904DA">
        <w:rPr>
          <w:rFonts w:ascii="Calibri" w:eastAsia="Calibri" w:hAnsi="Calibri" w:cs="Calibri"/>
          <w:color w:val="000000"/>
        </w:rPr>
        <w:t xml:space="preserve">The </w:t>
      </w:r>
      <w:r w:rsidRPr="00FD6464">
        <w:t>Committee</w:t>
      </w:r>
      <w:r w:rsidRPr="005904DA">
        <w:rPr>
          <w:rFonts w:ascii="Calibri" w:eastAsia="Calibri" w:hAnsi="Calibri" w:cs="Calibri"/>
          <w:color w:val="000000"/>
        </w:rPr>
        <w:t xml:space="preserve"> notes that the </w:t>
      </w:r>
      <w:r w:rsidRPr="005904DA">
        <w:rPr>
          <w:rFonts w:ascii="Calibri" w:eastAsia="Calibri" w:hAnsi="Calibri" w:cs="Calibri"/>
          <w:color w:val="000000"/>
          <w:lang w:eastAsia="en-AU"/>
        </w:rPr>
        <w:t>explanatory</w:t>
      </w:r>
      <w:r w:rsidRPr="005904DA">
        <w:rPr>
          <w:rFonts w:ascii="Calibri" w:eastAsia="Calibri" w:hAnsi="Calibri" w:cs="Calibri"/>
          <w:color w:val="000000"/>
        </w:rPr>
        <w:t xml:space="preserve"> statement for the first instrument discusses human rights issues:</w:t>
      </w:r>
    </w:p>
    <w:p w14:paraId="1BA0D795" w14:textId="77777777" w:rsidR="009950A0" w:rsidRPr="009267E9" w:rsidRDefault="009950A0" w:rsidP="0000302D">
      <w:pPr>
        <w:pStyle w:val="Quote"/>
        <w:spacing w:before="160" w:after="160"/>
        <w:rPr>
          <w:b/>
          <w:bCs/>
        </w:rPr>
      </w:pPr>
      <w:r w:rsidRPr="009267E9">
        <w:rPr>
          <w:b/>
          <w:bCs/>
        </w:rPr>
        <w:t xml:space="preserve">Human rights implications </w:t>
      </w:r>
    </w:p>
    <w:p w14:paraId="047B2C6D" w14:textId="77777777" w:rsidR="009950A0" w:rsidRPr="009A5578" w:rsidRDefault="009950A0" w:rsidP="0000302D">
      <w:pPr>
        <w:pStyle w:val="Quote"/>
        <w:spacing w:before="160" w:after="160"/>
        <w:rPr>
          <w:bCs/>
        </w:rPr>
      </w:pPr>
      <w:r w:rsidRPr="009A5578">
        <w:rPr>
          <w:bCs/>
        </w:rPr>
        <w:t xml:space="preserve">During the development of this instrument, due regard was given to its effect and the operation of the rally in relation to the compatibility with human rights as set out in the </w:t>
      </w:r>
      <w:r w:rsidRPr="009A5578">
        <w:rPr>
          <w:bCs/>
          <w:i/>
          <w:iCs/>
        </w:rPr>
        <w:t>Human Rights Act 2004</w:t>
      </w:r>
      <w:r w:rsidRPr="009A5578">
        <w:rPr>
          <w:bCs/>
        </w:rPr>
        <w:t xml:space="preserve"> (HRA). </w:t>
      </w:r>
    </w:p>
    <w:p w14:paraId="0463F50B" w14:textId="77777777" w:rsidR="009950A0" w:rsidRPr="009A5578" w:rsidRDefault="009950A0" w:rsidP="0000302D">
      <w:pPr>
        <w:pStyle w:val="Quote"/>
        <w:spacing w:before="160" w:after="160"/>
        <w:rPr>
          <w:bCs/>
        </w:rPr>
      </w:pPr>
      <w:r w:rsidRPr="009A5578">
        <w:rPr>
          <w:bCs/>
        </w:rPr>
        <w:t xml:space="preserve">Section 28 of the HRA provides that human rights may be subject only to reasonable limits set by laws that can be demonstrably justified in a free and democratic society. </w:t>
      </w:r>
    </w:p>
    <w:p w14:paraId="09BC5741" w14:textId="77777777" w:rsidR="009950A0" w:rsidRPr="009A5578" w:rsidRDefault="009950A0" w:rsidP="0000302D">
      <w:pPr>
        <w:pStyle w:val="Quote"/>
        <w:spacing w:before="160" w:after="160"/>
        <w:rPr>
          <w:bCs/>
        </w:rPr>
      </w:pPr>
      <w:r w:rsidRPr="009A5578">
        <w:rPr>
          <w:bCs/>
        </w:rPr>
        <w:t xml:space="preserve">Section 28 (2) of the HRA provides that in deciding whether a limit on a human right is reasonable, all relevant factors must be considered, including: </w:t>
      </w:r>
    </w:p>
    <w:p w14:paraId="196C0B31" w14:textId="4DFD4D5C" w:rsidR="009950A0" w:rsidRPr="009A5578" w:rsidRDefault="009950A0" w:rsidP="0000302D">
      <w:pPr>
        <w:pStyle w:val="Quote"/>
        <w:spacing w:before="160" w:after="160"/>
        <w:rPr>
          <w:bCs/>
        </w:rPr>
      </w:pPr>
      <w:r w:rsidRPr="009A5578">
        <w:rPr>
          <w:bCs/>
        </w:rPr>
        <w:t>a)</w:t>
      </w:r>
      <w:r w:rsidR="009267E9">
        <w:rPr>
          <w:bCs/>
        </w:rPr>
        <w:tab/>
      </w:r>
      <w:r w:rsidRPr="009A5578">
        <w:rPr>
          <w:bCs/>
        </w:rPr>
        <w:t xml:space="preserve">the nature of the right affected </w:t>
      </w:r>
    </w:p>
    <w:p w14:paraId="60F62194" w14:textId="53BEC2BF" w:rsidR="009950A0" w:rsidRPr="009A5578" w:rsidRDefault="009950A0" w:rsidP="0000302D">
      <w:pPr>
        <w:pStyle w:val="Quote"/>
        <w:spacing w:before="160" w:after="160"/>
        <w:rPr>
          <w:bCs/>
        </w:rPr>
      </w:pPr>
      <w:r w:rsidRPr="009A5578">
        <w:rPr>
          <w:bCs/>
        </w:rPr>
        <w:t>b)</w:t>
      </w:r>
      <w:r w:rsidR="009267E9">
        <w:rPr>
          <w:bCs/>
        </w:rPr>
        <w:tab/>
      </w:r>
      <w:r w:rsidRPr="009A5578">
        <w:rPr>
          <w:bCs/>
        </w:rPr>
        <w:t xml:space="preserve">the importance of the limitation </w:t>
      </w:r>
    </w:p>
    <w:p w14:paraId="5D730F3E" w14:textId="44E29AB1" w:rsidR="009950A0" w:rsidRPr="009A5578" w:rsidRDefault="009950A0" w:rsidP="0000302D">
      <w:pPr>
        <w:pStyle w:val="Quote"/>
        <w:spacing w:before="160" w:after="160"/>
        <w:rPr>
          <w:bCs/>
        </w:rPr>
      </w:pPr>
      <w:r w:rsidRPr="009A5578">
        <w:rPr>
          <w:bCs/>
        </w:rPr>
        <w:t>c)</w:t>
      </w:r>
      <w:r w:rsidR="009267E9">
        <w:rPr>
          <w:bCs/>
        </w:rPr>
        <w:tab/>
      </w:r>
      <w:r w:rsidRPr="009A5578">
        <w:rPr>
          <w:bCs/>
        </w:rPr>
        <w:t xml:space="preserve">the nature and extent of the limitation </w:t>
      </w:r>
    </w:p>
    <w:p w14:paraId="221CAD9E" w14:textId="47CA8DB8" w:rsidR="009950A0" w:rsidRPr="009A5578" w:rsidRDefault="009950A0" w:rsidP="0000302D">
      <w:pPr>
        <w:pStyle w:val="Quote"/>
        <w:spacing w:before="160" w:after="160"/>
        <w:rPr>
          <w:bCs/>
        </w:rPr>
      </w:pPr>
      <w:r w:rsidRPr="009A5578">
        <w:rPr>
          <w:bCs/>
        </w:rPr>
        <w:t>d)</w:t>
      </w:r>
      <w:r w:rsidR="009267E9">
        <w:rPr>
          <w:bCs/>
        </w:rPr>
        <w:tab/>
      </w:r>
      <w:r w:rsidRPr="009A5578">
        <w:rPr>
          <w:bCs/>
        </w:rPr>
        <w:t xml:space="preserve">the relationship between the limitation and its purpose </w:t>
      </w:r>
    </w:p>
    <w:p w14:paraId="413D560C" w14:textId="29EEA370" w:rsidR="009950A0" w:rsidRPr="009A5578" w:rsidRDefault="009950A0" w:rsidP="0000302D">
      <w:pPr>
        <w:pStyle w:val="Quote"/>
        <w:spacing w:before="160" w:after="160"/>
        <w:rPr>
          <w:bCs/>
        </w:rPr>
      </w:pPr>
      <w:r w:rsidRPr="009A5578">
        <w:rPr>
          <w:bCs/>
        </w:rPr>
        <w:t>e)</w:t>
      </w:r>
      <w:r w:rsidR="009267E9">
        <w:rPr>
          <w:bCs/>
        </w:rPr>
        <w:tab/>
      </w:r>
      <w:r w:rsidRPr="009A5578">
        <w:rPr>
          <w:bCs/>
        </w:rPr>
        <w:t xml:space="preserve">any less restrictive means reasonably available to achieve the purpose the limitation seeks to achieve. </w:t>
      </w:r>
    </w:p>
    <w:p w14:paraId="691AE76B" w14:textId="77777777" w:rsidR="009950A0" w:rsidRPr="009A5578" w:rsidRDefault="009950A0" w:rsidP="0000302D">
      <w:pPr>
        <w:pStyle w:val="Quote"/>
        <w:spacing w:before="160" w:after="160"/>
        <w:rPr>
          <w:bCs/>
        </w:rPr>
      </w:pPr>
      <w:r w:rsidRPr="009A5578">
        <w:rPr>
          <w:bCs/>
        </w:rPr>
        <w:t xml:space="preserve">Section 13 of the HRA provides a right for people to move freely within the ACT. </w:t>
      </w:r>
    </w:p>
    <w:p w14:paraId="482CE4A3" w14:textId="77777777" w:rsidR="009950A0" w:rsidRPr="009A5578" w:rsidRDefault="009950A0" w:rsidP="0000302D">
      <w:pPr>
        <w:pStyle w:val="Quote"/>
        <w:spacing w:before="160" w:after="160"/>
        <w:rPr>
          <w:bCs/>
        </w:rPr>
      </w:pPr>
      <w:r w:rsidRPr="009A5578">
        <w:rPr>
          <w:bCs/>
        </w:rPr>
        <w:t>The declarations in this instrument do not, in and of themselves, restrict a person’s freedom of movement within the Territory; however, closing parts of the forest in which the event will take place to members of the public will restrict the free movement of people in that area during the event. As multiple provisions of the road transport legislation are being disapplied for the event to operate, vehicles will be travelling in parts of the forest in excess of the usual speed limits and in a manner not consistent with the road rules. As such, the restriction on the free movement of people in those parts of the forest at those times is considered reasonable and proportionate to ensure safety of non-participants and represents the least restrictive approach that enables the event to proceed.</w:t>
      </w:r>
    </w:p>
    <w:p w14:paraId="7D4C2936" w14:textId="77777777" w:rsidR="009950A0" w:rsidRPr="005904DA" w:rsidRDefault="009950A0" w:rsidP="00FD6464">
      <w:pPr>
        <w:pStyle w:val="ListNumber2"/>
        <w:ind w:left="851"/>
        <w:rPr>
          <w:rFonts w:ascii="Calibri" w:eastAsia="Calibri" w:hAnsi="Calibri" w:cs="Calibri"/>
          <w:bCs w:val="0"/>
          <w:color w:val="000000"/>
          <w:lang w:eastAsia="en-AU"/>
        </w:rPr>
      </w:pPr>
      <w:r w:rsidRPr="005904DA">
        <w:rPr>
          <w:rFonts w:ascii="Calibri" w:eastAsia="Calibri" w:hAnsi="Calibri" w:cs="Calibri"/>
          <w:color w:val="000000"/>
          <w:lang w:eastAsia="en-AU"/>
        </w:rPr>
        <w:t xml:space="preserve">A </w:t>
      </w:r>
      <w:r w:rsidRPr="00FD6464">
        <w:t>similar</w:t>
      </w:r>
      <w:r w:rsidRPr="005904DA">
        <w:rPr>
          <w:rFonts w:ascii="Calibri" w:eastAsia="Calibri" w:hAnsi="Calibri" w:cs="Calibri"/>
          <w:color w:val="000000"/>
          <w:lang w:eastAsia="en-AU"/>
        </w:rPr>
        <w:t xml:space="preserve"> statement appears in the explanatory statement</w:t>
      </w:r>
      <w:r>
        <w:rPr>
          <w:rFonts w:ascii="Calibri" w:eastAsia="Calibri" w:hAnsi="Calibri" w:cs="Calibri"/>
          <w:color w:val="000000"/>
          <w:lang w:eastAsia="en-AU"/>
        </w:rPr>
        <w:t>s</w:t>
      </w:r>
      <w:r w:rsidRPr="005904DA">
        <w:rPr>
          <w:rFonts w:ascii="Calibri" w:eastAsia="Calibri" w:hAnsi="Calibri" w:cs="Calibri"/>
          <w:color w:val="000000"/>
          <w:lang w:eastAsia="en-AU"/>
        </w:rPr>
        <w:t xml:space="preserve"> for the second </w:t>
      </w:r>
      <w:r>
        <w:rPr>
          <w:rFonts w:ascii="Calibri" w:eastAsia="Calibri" w:hAnsi="Calibri" w:cs="Calibri"/>
          <w:color w:val="000000"/>
          <w:lang w:eastAsia="en-AU"/>
        </w:rPr>
        <w:t xml:space="preserve">and third </w:t>
      </w:r>
      <w:r w:rsidRPr="005904DA">
        <w:rPr>
          <w:rFonts w:ascii="Calibri" w:eastAsia="Calibri" w:hAnsi="Calibri" w:cs="Calibri"/>
          <w:color w:val="000000"/>
          <w:lang w:eastAsia="en-AU"/>
        </w:rPr>
        <w:t>instrument</w:t>
      </w:r>
      <w:r>
        <w:rPr>
          <w:rFonts w:ascii="Calibri" w:eastAsia="Calibri" w:hAnsi="Calibri" w:cs="Calibri"/>
          <w:color w:val="000000"/>
          <w:lang w:eastAsia="en-AU"/>
        </w:rPr>
        <w:t>s</w:t>
      </w:r>
      <w:r w:rsidRPr="005904DA">
        <w:rPr>
          <w:rFonts w:ascii="Calibri" w:eastAsia="Calibri" w:hAnsi="Calibri" w:cs="Calibri"/>
          <w:color w:val="000000"/>
          <w:lang w:eastAsia="en-AU"/>
        </w:rPr>
        <w:t xml:space="preserve"> mentioned above.</w:t>
      </w:r>
    </w:p>
    <w:p w14:paraId="6DD60150" w14:textId="77777777" w:rsidR="009950A0" w:rsidRPr="005904DA" w:rsidRDefault="009950A0" w:rsidP="00FD6464">
      <w:pPr>
        <w:pStyle w:val="ListNumber2"/>
        <w:ind w:left="851"/>
        <w:rPr>
          <w:rFonts w:ascii="Calibri" w:eastAsia="Calibri" w:hAnsi="Calibri" w:cs="Calibri"/>
          <w:b/>
          <w:color w:val="000000"/>
          <w:lang w:eastAsia="en-AU"/>
        </w:rPr>
      </w:pPr>
      <w:r w:rsidRPr="005904DA">
        <w:rPr>
          <w:rFonts w:ascii="Calibri" w:eastAsia="Calibri" w:hAnsi="Calibri" w:cs="Calibri"/>
          <w:b/>
          <w:color w:val="000000"/>
          <w:lang w:eastAsia="en-AU"/>
        </w:rPr>
        <w:t>The Committee draws the attention of the Legislative Assembly to the discussion of human rights issues in the explanatory statements for these instruments.</w:t>
      </w:r>
    </w:p>
    <w:p w14:paraId="45FD4E47" w14:textId="77777777" w:rsidR="009950A0" w:rsidRPr="005904DA" w:rsidRDefault="009950A0" w:rsidP="0000302D">
      <w:pPr>
        <w:pStyle w:val="ListNumber2"/>
        <w:spacing w:after="240"/>
        <w:ind w:left="851"/>
        <w:rPr>
          <w:rFonts w:ascii="Calibri" w:eastAsia="Calibri" w:hAnsi="Calibri" w:cs="Calibri"/>
          <w:b/>
          <w:color w:val="000000"/>
          <w:lang w:eastAsia="en-AU"/>
        </w:rPr>
      </w:pPr>
      <w:r w:rsidRPr="005904DA">
        <w:rPr>
          <w:rFonts w:ascii="Calibri" w:eastAsia="Calibri" w:hAnsi="Calibri" w:cs="Calibri"/>
          <w:b/>
          <w:color w:val="000000"/>
          <w:lang w:eastAsia="en-AU"/>
        </w:rPr>
        <w:t>This comment does not require a response from the Minister.</w:t>
      </w:r>
    </w:p>
    <w:p w14:paraId="21B0C925" w14:textId="77777777" w:rsidR="009950A0" w:rsidRDefault="009950A0" w:rsidP="00CE02FD">
      <w:pPr>
        <w:keepNext/>
        <w:keepLines/>
        <w:spacing w:before="120" w:after="120"/>
        <w:outlineLvl w:val="2"/>
        <w:rPr>
          <w:rFonts w:ascii="Montserrat" w:eastAsia="Times New Roman" w:hAnsi="Montserrat" w:cs="Times New Roman"/>
          <w:b/>
          <w:color w:val="7492CD"/>
          <w:w w:val="90"/>
          <w:kern w:val="2"/>
          <w:sz w:val="28"/>
          <w:szCs w:val="24"/>
        </w:rPr>
      </w:pPr>
      <w:bookmarkStart w:id="183" w:name="_Toc165377053"/>
      <w:bookmarkStart w:id="184" w:name="_Toc165454959"/>
      <w:bookmarkStart w:id="185" w:name="_Toc165552874"/>
      <w:r>
        <w:rPr>
          <w:rFonts w:ascii="Montserrat" w:eastAsia="Times New Roman" w:hAnsi="Montserrat" w:cs="Times New Roman"/>
          <w:b/>
          <w:color w:val="7492CD"/>
          <w:w w:val="90"/>
          <w:kern w:val="2"/>
          <w:sz w:val="28"/>
          <w:szCs w:val="24"/>
        </w:rPr>
        <w:t>Human Rights Issues</w:t>
      </w:r>
      <w:bookmarkEnd w:id="183"/>
      <w:bookmarkEnd w:id="184"/>
      <w:bookmarkEnd w:id="185"/>
    </w:p>
    <w:p w14:paraId="162151A2" w14:textId="77777777" w:rsidR="009950A0" w:rsidRPr="00842199" w:rsidRDefault="009950A0" w:rsidP="00246DE0">
      <w:pPr>
        <w:pStyle w:val="Bodycopy"/>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DI2024-28</w:t>
      </w:r>
      <w:r w:rsidRPr="00451C85">
        <w:rPr>
          <w:b/>
        </w:rPr>
        <w:t xml:space="preserve"> being the </w:t>
      </w:r>
      <w:r>
        <w:rPr>
          <w:b/>
        </w:rPr>
        <w:t xml:space="preserve">Electronic Conveyancing National Law (ACT) Operating Requirements 2024 made under sections 22 and 25 of the </w:t>
      </w:r>
      <w:r>
        <w:rPr>
          <w:i/>
        </w:rPr>
        <w:t>Electronic Conveyancing National Law (ACT)</w:t>
      </w:r>
      <w:r w:rsidRPr="00236BDD">
        <w:rPr>
          <w:b/>
        </w:rPr>
        <w:t xml:space="preserve"> </w:t>
      </w:r>
      <w:r>
        <w:rPr>
          <w:b/>
        </w:rPr>
        <w:t xml:space="preserve">determines the Electronic Conveyancing National Law (ACT) Operating Requirements (Operating Requirements) relating to operation of an Electronic Lodgement Network by Electronic Lodgement Network Operators. </w:t>
      </w:r>
    </w:p>
    <w:p w14:paraId="17456861" w14:textId="77777777" w:rsidR="009950A0" w:rsidRDefault="009950A0" w:rsidP="0000302D">
      <w:pPr>
        <w:pStyle w:val="Bodycopy"/>
        <w:keepLines/>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DI2024-29</w:t>
      </w:r>
      <w:r w:rsidRPr="00451C85">
        <w:rPr>
          <w:b/>
        </w:rPr>
        <w:t xml:space="preserve"> being the </w:t>
      </w:r>
      <w:r>
        <w:rPr>
          <w:b/>
        </w:rPr>
        <w:t xml:space="preserve">Electronic Conveyancing National Law (ACT) Participation Rules 2024 sections 23 and 25 of the </w:t>
      </w:r>
      <w:r>
        <w:rPr>
          <w:i/>
        </w:rPr>
        <w:t>Electronic Conveyancing National Law (ACT)</w:t>
      </w:r>
      <w:r w:rsidRPr="00236BDD">
        <w:rPr>
          <w:b/>
        </w:rPr>
        <w:t xml:space="preserve"> </w:t>
      </w:r>
      <w:r>
        <w:rPr>
          <w:b/>
        </w:rPr>
        <w:t xml:space="preserve">determines the Participation Rules for subscribers to an Electronic Lodgement Network in the Australian Capital Territory. </w:t>
      </w:r>
    </w:p>
    <w:p w14:paraId="5CC21160" w14:textId="77777777" w:rsidR="009950A0" w:rsidRDefault="009950A0" w:rsidP="009267E9">
      <w:pPr>
        <w:pStyle w:val="ListNumber2"/>
        <w:spacing w:before="120"/>
        <w:ind w:left="851"/>
        <w:rPr>
          <w:rFonts w:eastAsia="Calibri"/>
          <w:szCs w:val="22"/>
        </w:rPr>
      </w:pPr>
      <w:r w:rsidRPr="009267E9">
        <w:rPr>
          <w:spacing w:val="-2"/>
        </w:rPr>
        <w:t xml:space="preserve">The instruments mentioned above are made under sections 22 and 25 and sections 23 and 25 of the </w:t>
      </w:r>
      <w:r w:rsidRPr="009267E9">
        <w:rPr>
          <w:i/>
          <w:spacing w:val="-2"/>
        </w:rPr>
        <w:t>Electronic Conveyancing National Law (ACT)</w:t>
      </w:r>
      <w:r w:rsidRPr="009267E9">
        <w:rPr>
          <w:iCs/>
          <w:spacing w:val="-2"/>
        </w:rPr>
        <w:t xml:space="preserve">, respectively.  The first instrument mentioned above determines </w:t>
      </w:r>
      <w:r w:rsidRPr="009267E9">
        <w:rPr>
          <w:rFonts w:eastAsia="Calibri"/>
          <w:spacing w:val="-2"/>
          <w:szCs w:val="22"/>
        </w:rPr>
        <w:t>Electronic Conveyancing National Law (ACT) Operating Requirements (Operating Requirements) relating to operation of an Electronic Lodgment Network (</w:t>
      </w:r>
      <w:r w:rsidRPr="009267E9">
        <w:rPr>
          <w:rFonts w:eastAsia="Calibri"/>
          <w:b/>
          <w:spacing w:val="-2"/>
          <w:szCs w:val="22"/>
        </w:rPr>
        <w:t>ELN</w:t>
      </w:r>
      <w:r w:rsidRPr="009267E9">
        <w:rPr>
          <w:rFonts w:eastAsia="Calibri"/>
          <w:spacing w:val="-2"/>
          <w:szCs w:val="22"/>
        </w:rPr>
        <w:t>) by Electronic Lodgment Network Operators (</w:t>
      </w:r>
      <w:r w:rsidRPr="009267E9">
        <w:rPr>
          <w:rFonts w:eastAsia="Calibri"/>
          <w:b/>
          <w:spacing w:val="-2"/>
          <w:szCs w:val="22"/>
        </w:rPr>
        <w:t>ELNOs</w:t>
      </w:r>
      <w:r w:rsidRPr="009267E9">
        <w:rPr>
          <w:rFonts w:eastAsia="Calibri"/>
          <w:spacing w:val="-2"/>
          <w:szCs w:val="22"/>
        </w:rPr>
        <w:t>).  The second instrument mentioned above determines Participation Rules for subscribers to an ELN in the ACT</w:t>
      </w:r>
      <w:r>
        <w:rPr>
          <w:rFonts w:eastAsia="Calibri"/>
          <w:szCs w:val="22"/>
        </w:rPr>
        <w:t>.</w:t>
      </w:r>
    </w:p>
    <w:p w14:paraId="1C217C4C" w14:textId="77777777" w:rsidR="009950A0" w:rsidRDefault="009950A0" w:rsidP="00FD6464">
      <w:pPr>
        <w:pStyle w:val="ListNumber2"/>
        <w:ind w:left="851"/>
        <w:rPr>
          <w:rFonts w:eastAsia="Calibri"/>
          <w:szCs w:val="22"/>
        </w:rPr>
      </w:pPr>
      <w:r>
        <w:rPr>
          <w:rFonts w:eastAsia="Calibri"/>
          <w:szCs w:val="22"/>
        </w:rPr>
        <w:t xml:space="preserve">In </w:t>
      </w:r>
      <w:r w:rsidRPr="00FD6464">
        <w:t>each</w:t>
      </w:r>
      <w:r>
        <w:rPr>
          <w:rFonts w:eastAsia="Calibri"/>
          <w:szCs w:val="22"/>
        </w:rPr>
        <w:t xml:space="preserve"> case, </w:t>
      </w:r>
      <w:r w:rsidRPr="00FD6464">
        <w:t>the</w:t>
      </w:r>
      <w:r>
        <w:rPr>
          <w:rFonts w:eastAsia="Calibri"/>
          <w:szCs w:val="22"/>
        </w:rPr>
        <w:t xml:space="preserve"> instrument replaces an earlier version of the relevant regulatory document.  The explanatory statement for each instrument identifies the changes made to the previous version.</w:t>
      </w:r>
    </w:p>
    <w:p w14:paraId="4BAA4314" w14:textId="77777777" w:rsidR="009950A0" w:rsidRDefault="009950A0" w:rsidP="00FD6464">
      <w:pPr>
        <w:pStyle w:val="ListNumber2"/>
        <w:ind w:left="851"/>
        <w:rPr>
          <w:rFonts w:eastAsia="Calibri"/>
          <w:szCs w:val="22"/>
        </w:rPr>
      </w:pPr>
      <w:r>
        <w:rPr>
          <w:rFonts w:eastAsia="Calibri"/>
          <w:szCs w:val="22"/>
        </w:rPr>
        <w:t xml:space="preserve">For each </w:t>
      </w:r>
      <w:r w:rsidRPr="00FD6464">
        <w:t>instrument</w:t>
      </w:r>
      <w:r>
        <w:rPr>
          <w:rFonts w:eastAsia="Calibri"/>
          <w:szCs w:val="22"/>
        </w:rPr>
        <w:t>, the explanatory statement discusses human rights issues, by reference to the right to privacy and reputation, protected by section 12 of the</w:t>
      </w:r>
      <w:r w:rsidRPr="00625062">
        <w:rPr>
          <w:rFonts w:eastAsia="Calibri"/>
          <w:i/>
          <w:iCs/>
          <w:szCs w:val="22"/>
        </w:rPr>
        <w:t xml:space="preserve"> Human </w:t>
      </w:r>
      <w:r>
        <w:rPr>
          <w:rFonts w:eastAsia="Calibri"/>
          <w:i/>
          <w:iCs/>
          <w:szCs w:val="22"/>
        </w:rPr>
        <w:t>R</w:t>
      </w:r>
      <w:r w:rsidRPr="00625062">
        <w:rPr>
          <w:rFonts w:eastAsia="Calibri"/>
          <w:i/>
          <w:iCs/>
          <w:szCs w:val="22"/>
        </w:rPr>
        <w:t>ights Act 2004</w:t>
      </w:r>
      <w:r>
        <w:rPr>
          <w:rFonts w:eastAsia="Calibri"/>
          <w:szCs w:val="22"/>
        </w:rPr>
        <w:t>.  In each case, the right is engaged because the instrument involves the collection of personal information.</w:t>
      </w:r>
    </w:p>
    <w:p w14:paraId="5DDC3D71" w14:textId="77777777" w:rsidR="009950A0" w:rsidRDefault="009950A0" w:rsidP="00FD6464">
      <w:pPr>
        <w:pStyle w:val="ListNumber2"/>
        <w:ind w:left="851"/>
        <w:rPr>
          <w:rFonts w:eastAsia="Calibri"/>
          <w:szCs w:val="22"/>
        </w:rPr>
      </w:pPr>
      <w:r>
        <w:rPr>
          <w:rFonts w:eastAsia="Calibri"/>
          <w:szCs w:val="22"/>
        </w:rPr>
        <w:t xml:space="preserve">The </w:t>
      </w:r>
      <w:r w:rsidRPr="00FD6464">
        <w:t>explanatory</w:t>
      </w:r>
      <w:r>
        <w:rPr>
          <w:rFonts w:eastAsia="Calibri"/>
          <w:szCs w:val="22"/>
        </w:rPr>
        <w:t xml:space="preserve"> statement for the first instrument mentioned above states:</w:t>
      </w:r>
    </w:p>
    <w:p w14:paraId="652DF675" w14:textId="77777777" w:rsidR="009950A0" w:rsidRPr="009267E9" w:rsidRDefault="009950A0" w:rsidP="009267E9">
      <w:pPr>
        <w:pStyle w:val="Quote"/>
        <w:rPr>
          <w:b/>
          <w:bCs/>
        </w:rPr>
      </w:pPr>
      <w:r w:rsidRPr="009267E9">
        <w:rPr>
          <w:b/>
          <w:bCs/>
        </w:rPr>
        <w:t xml:space="preserve">Human Rights </w:t>
      </w:r>
    </w:p>
    <w:p w14:paraId="2F54E19D" w14:textId="77777777" w:rsidR="009950A0" w:rsidRPr="00701DEE" w:rsidRDefault="009950A0" w:rsidP="009267E9">
      <w:pPr>
        <w:pStyle w:val="Quote"/>
        <w:rPr>
          <w:bCs/>
        </w:rPr>
      </w:pPr>
      <w:r w:rsidRPr="00701DEE">
        <w:rPr>
          <w:bCs/>
        </w:rPr>
        <w:t xml:space="preserve">Section 12 of the </w:t>
      </w:r>
      <w:r w:rsidRPr="00701DEE">
        <w:rPr>
          <w:bCs/>
          <w:i/>
          <w:iCs/>
        </w:rPr>
        <w:t>Human Rights Act 2004</w:t>
      </w:r>
      <w:r w:rsidRPr="00701DEE">
        <w:rPr>
          <w:bCs/>
        </w:rPr>
        <w:t xml:space="preserve"> (HRA) provides that everyone has the right not to have his or her privacy, family, home or correspondence interfered with unlawfully or arbitrarily and not to have his or her reputation unlawfully attacked. The proposed disallowable instrument introduces changes to the Operating Requirements of the ELN by ELNOs. As the ELN contains individual’s personal information for the purpose of lodging land title registry instruments and other documents, the changes engage the right to privacy under section 12.   </w:t>
      </w:r>
    </w:p>
    <w:p w14:paraId="66600838" w14:textId="77777777" w:rsidR="009950A0" w:rsidRPr="00701DEE" w:rsidRDefault="009950A0" w:rsidP="009267E9">
      <w:pPr>
        <w:pStyle w:val="Quote"/>
        <w:rPr>
          <w:bCs/>
        </w:rPr>
      </w:pPr>
      <w:r w:rsidRPr="00701DEE">
        <w:rPr>
          <w:bCs/>
        </w:rPr>
        <w:t xml:space="preserve">The proposed change to the Operating Requirements is primarily future focused, regarding the obligation of ELNOs capacity to perform interoperable transactions from late 2025, and as such neither limit nor positively engage these rights at this time. </w:t>
      </w:r>
    </w:p>
    <w:p w14:paraId="0D28316D" w14:textId="77777777" w:rsidR="009950A0" w:rsidRDefault="009950A0" w:rsidP="00FD6464">
      <w:pPr>
        <w:pStyle w:val="ListNumber2"/>
        <w:ind w:left="851"/>
        <w:rPr>
          <w:rFonts w:eastAsia="Calibri"/>
          <w:szCs w:val="22"/>
        </w:rPr>
      </w:pPr>
      <w:r w:rsidRPr="00FD6464">
        <w:t>The</w:t>
      </w:r>
      <w:r>
        <w:rPr>
          <w:rFonts w:eastAsia="Calibri"/>
          <w:szCs w:val="22"/>
        </w:rPr>
        <w:t xml:space="preserve"> </w:t>
      </w:r>
      <w:r w:rsidRPr="00FD6464">
        <w:t>explanatory</w:t>
      </w:r>
      <w:r>
        <w:rPr>
          <w:rFonts w:eastAsia="Calibri"/>
          <w:szCs w:val="22"/>
        </w:rPr>
        <w:t xml:space="preserve"> statement for the second instrument mentioned above states:</w:t>
      </w:r>
    </w:p>
    <w:p w14:paraId="59FCD759" w14:textId="77777777" w:rsidR="009950A0" w:rsidRPr="009267E9" w:rsidRDefault="009950A0" w:rsidP="009267E9">
      <w:pPr>
        <w:pStyle w:val="Quote"/>
        <w:rPr>
          <w:b/>
          <w:bCs/>
        </w:rPr>
      </w:pPr>
      <w:r w:rsidRPr="009267E9">
        <w:rPr>
          <w:b/>
          <w:bCs/>
        </w:rPr>
        <w:t xml:space="preserve">Human Rights </w:t>
      </w:r>
    </w:p>
    <w:p w14:paraId="53DE4660" w14:textId="77777777" w:rsidR="009950A0" w:rsidRPr="00701DEE" w:rsidRDefault="009950A0" w:rsidP="009267E9">
      <w:pPr>
        <w:pStyle w:val="Quote"/>
        <w:rPr>
          <w:bCs/>
        </w:rPr>
      </w:pPr>
      <w:r w:rsidRPr="00701DEE">
        <w:rPr>
          <w:bCs/>
        </w:rPr>
        <w:t xml:space="preserve">Section 12 of the </w:t>
      </w:r>
      <w:r w:rsidRPr="001873FD">
        <w:rPr>
          <w:bCs/>
          <w:i/>
          <w:iCs/>
        </w:rPr>
        <w:t>Human Rights Act 2004</w:t>
      </w:r>
      <w:r w:rsidRPr="00701DEE">
        <w:rPr>
          <w:bCs/>
        </w:rPr>
        <w:t xml:space="preserve"> (HRA) provides that everyone has the right not to have his or her privacy, family, home or correspondence interfered with unlawfully or arbitrarily and not to have his or her reputation unlawfully attacked. The proposed disallowable instrument introduces minor changes to the Participation Rules for subscribers of the ELN in the Australian Capital Territory that primarily relate to changes in the Model Operating Requirements Version 7 about interoperability of ELNOs. As the ELN contains individual’s personal information for the purpose of lodging land title registry instruments and other documents, the changes engage the right to privacy under section 12.   </w:t>
      </w:r>
    </w:p>
    <w:p w14:paraId="113EB0F0" w14:textId="77777777" w:rsidR="009950A0" w:rsidRDefault="009950A0" w:rsidP="00FD6464">
      <w:pPr>
        <w:pStyle w:val="ListNumber2"/>
        <w:ind w:left="851"/>
        <w:rPr>
          <w:rFonts w:eastAsia="Calibri"/>
          <w:szCs w:val="22"/>
        </w:rPr>
      </w:pPr>
      <w:r>
        <w:rPr>
          <w:rFonts w:eastAsia="Calibri"/>
          <w:szCs w:val="22"/>
        </w:rPr>
        <w:t xml:space="preserve">The </w:t>
      </w:r>
      <w:r w:rsidRPr="00FD6464">
        <w:t>explanatory</w:t>
      </w:r>
      <w:r>
        <w:rPr>
          <w:rFonts w:eastAsia="Calibri"/>
          <w:szCs w:val="22"/>
        </w:rPr>
        <w:t xml:space="preserve"> statement for the second instrument does not otherwise address the privacy issue.</w:t>
      </w:r>
    </w:p>
    <w:p w14:paraId="2D16956B" w14:textId="13F44506" w:rsidR="009950A0" w:rsidRDefault="009950A0" w:rsidP="00FD6464">
      <w:pPr>
        <w:pStyle w:val="ListNumber2"/>
        <w:ind w:left="851"/>
        <w:rPr>
          <w:rFonts w:eastAsia="Calibri"/>
          <w:b/>
          <w:bCs w:val="0"/>
          <w:szCs w:val="22"/>
        </w:rPr>
      </w:pPr>
      <w:r>
        <w:rPr>
          <w:rFonts w:eastAsia="Calibri"/>
          <w:b/>
          <w:szCs w:val="22"/>
        </w:rPr>
        <w:t xml:space="preserve">The Committee seeks the Minister’s advice as to the privacy implications of the second instrument </w:t>
      </w:r>
      <w:r w:rsidRPr="00701DEE">
        <w:rPr>
          <w:rFonts w:eastAsia="Calibri"/>
          <w:b/>
          <w:szCs w:val="22"/>
        </w:rPr>
        <w:t>mentioned abov</w:t>
      </w:r>
      <w:r>
        <w:rPr>
          <w:rFonts w:eastAsia="Calibri"/>
          <w:b/>
          <w:szCs w:val="22"/>
        </w:rPr>
        <w:t>e (i</w:t>
      </w:r>
      <w:r w:rsidR="009267E9">
        <w:rPr>
          <w:rFonts w:eastAsia="Calibri"/>
          <w:b/>
          <w:szCs w:val="22"/>
        </w:rPr>
        <w:t>.</w:t>
      </w:r>
      <w:r>
        <w:rPr>
          <w:rFonts w:eastAsia="Calibri"/>
          <w:b/>
          <w:szCs w:val="22"/>
        </w:rPr>
        <w:t>e</w:t>
      </w:r>
      <w:r w:rsidR="009267E9">
        <w:rPr>
          <w:rFonts w:eastAsia="Calibri"/>
          <w:b/>
          <w:szCs w:val="22"/>
        </w:rPr>
        <w:t>.</w:t>
      </w:r>
      <w:r>
        <w:rPr>
          <w:rFonts w:eastAsia="Calibri"/>
          <w:b/>
          <w:szCs w:val="22"/>
        </w:rPr>
        <w:t xml:space="preserve"> DI2024-29).</w:t>
      </w:r>
    </w:p>
    <w:tbl>
      <w:tblPr>
        <w:tblStyle w:val="Recommendationbox"/>
        <w:tblW w:w="0" w:type="auto"/>
        <w:tblLook w:val="04A0" w:firstRow="1" w:lastRow="0" w:firstColumn="1" w:lastColumn="0" w:noHBand="0" w:noVBand="1"/>
      </w:tblPr>
      <w:tblGrid>
        <w:gridCol w:w="8175"/>
      </w:tblGrid>
      <w:tr w:rsidR="009950A0" w:rsidRPr="005904DA" w14:paraId="7C588A00" w14:textId="77777777" w:rsidTr="005C3AF2">
        <w:trPr>
          <w:trHeight w:val="1297"/>
        </w:trPr>
        <w:tc>
          <w:tcPr>
            <w:tcW w:w="8391" w:type="dxa"/>
          </w:tcPr>
          <w:p w14:paraId="566F067B" w14:textId="77777777" w:rsidR="009950A0" w:rsidRPr="005904DA" w:rsidRDefault="009950A0" w:rsidP="005C3AF2">
            <w:pPr>
              <w:spacing w:before="80" w:after="120"/>
              <w:rPr>
                <w:rFonts w:ascii="Calibri" w:eastAsia="Calibri" w:hAnsi="Calibri" w:cs="Calibri"/>
                <w:color w:val="000000"/>
                <w:szCs w:val="20"/>
              </w:rPr>
            </w:pPr>
            <w:r w:rsidRPr="005904DA">
              <w:rPr>
                <w:rFonts w:ascii="Calibri" w:eastAsia="Calibri" w:hAnsi="Calibri" w:cs="Calibri"/>
                <w:color w:val="000000"/>
                <w:szCs w:val="20"/>
              </w:rPr>
              <w:t>This comment requires a response from the Minister. The Committee would be grateful if the Minister could respond before the Legislative Assembly’s capacity to move to disallow the instrument expires.</w:t>
            </w:r>
          </w:p>
        </w:tc>
      </w:tr>
    </w:tbl>
    <w:p w14:paraId="6BB322B9" w14:textId="77777777" w:rsidR="009950A0" w:rsidRDefault="009950A0" w:rsidP="009950A0">
      <w:pPr>
        <w:keepNext/>
        <w:keepLines/>
        <w:spacing w:before="120" w:after="200"/>
        <w:outlineLvl w:val="2"/>
        <w:rPr>
          <w:rFonts w:ascii="Montserrat" w:eastAsia="Times New Roman" w:hAnsi="Montserrat" w:cs="Times New Roman"/>
          <w:b/>
          <w:color w:val="7492CD"/>
          <w:w w:val="90"/>
          <w:kern w:val="2"/>
          <w:sz w:val="28"/>
          <w:szCs w:val="24"/>
        </w:rPr>
      </w:pPr>
      <w:bookmarkStart w:id="186" w:name="_Toc165377054"/>
      <w:bookmarkStart w:id="187" w:name="_Toc165454960"/>
      <w:bookmarkStart w:id="188" w:name="_Toc165552875"/>
      <w:r>
        <w:rPr>
          <w:rFonts w:ascii="Montserrat" w:eastAsia="Times New Roman" w:hAnsi="Montserrat" w:cs="Times New Roman"/>
          <w:b/>
          <w:color w:val="7492CD"/>
          <w:w w:val="90"/>
          <w:kern w:val="2"/>
          <w:sz w:val="28"/>
          <w:szCs w:val="24"/>
        </w:rPr>
        <w:t xml:space="preserve">Disapplication of subsection 47(5) of the </w:t>
      </w:r>
      <w:r>
        <w:rPr>
          <w:rFonts w:ascii="Montserrat" w:eastAsia="Times New Roman" w:hAnsi="Montserrat" w:cs="Times New Roman"/>
          <w:b/>
          <w:i/>
          <w:iCs/>
          <w:color w:val="7492CD"/>
          <w:w w:val="90"/>
          <w:kern w:val="2"/>
          <w:sz w:val="28"/>
          <w:szCs w:val="24"/>
        </w:rPr>
        <w:t xml:space="preserve">Legislation Act 2001 / </w:t>
      </w:r>
      <w:r>
        <w:rPr>
          <w:rFonts w:ascii="Montserrat" w:eastAsia="Times New Roman" w:hAnsi="Montserrat" w:cs="Times New Roman"/>
          <w:b/>
          <w:color w:val="7492CD"/>
          <w:w w:val="90"/>
          <w:kern w:val="2"/>
          <w:sz w:val="28"/>
          <w:szCs w:val="24"/>
        </w:rPr>
        <w:t>Human Rights Issues</w:t>
      </w:r>
      <w:bookmarkEnd w:id="186"/>
      <w:bookmarkEnd w:id="187"/>
      <w:bookmarkEnd w:id="188"/>
    </w:p>
    <w:p w14:paraId="524815CE" w14:textId="77777777" w:rsidR="009950A0" w:rsidRDefault="009950A0" w:rsidP="00246DE0">
      <w:pPr>
        <w:pStyle w:val="Bodycopy"/>
        <w:numPr>
          <w:ilvl w:val="0"/>
          <w:numId w:val="12"/>
        </w:numPr>
        <w:spacing w:before="120" w:after="120" w:line="280" w:lineRule="exact"/>
        <w:ind w:left="1208" w:hanging="357"/>
        <w:rPr>
          <w:b/>
        </w:rPr>
      </w:pPr>
      <w:r>
        <w:rPr>
          <w:b/>
        </w:rPr>
        <w:t>Disallowable Instrument</w:t>
      </w:r>
      <w:r w:rsidRPr="00451C85">
        <w:rPr>
          <w:b/>
        </w:rPr>
        <w:t xml:space="preserve"> </w:t>
      </w:r>
      <w:r>
        <w:rPr>
          <w:b/>
        </w:rPr>
        <w:t>DI2024-32</w:t>
      </w:r>
      <w:r w:rsidRPr="00451C85">
        <w:rPr>
          <w:b/>
        </w:rPr>
        <w:t xml:space="preserve"> being the </w:t>
      </w:r>
      <w:r>
        <w:rPr>
          <w:b/>
        </w:rPr>
        <w:t xml:space="preserve">Professional Engineers (Qualifications, Experience and Competencies) Determination 2024 made under section 83 of the </w:t>
      </w:r>
      <w:r>
        <w:rPr>
          <w:i/>
        </w:rPr>
        <w:t>Professional Engineers Act 2023</w:t>
      </w:r>
      <w:r w:rsidRPr="00236BDD">
        <w:rPr>
          <w:b/>
        </w:rPr>
        <w:t xml:space="preserve"> </w:t>
      </w:r>
      <w:r>
        <w:rPr>
          <w:b/>
        </w:rPr>
        <w:t>determines the qualifications, experience and competencies required for an individual to be eligible to be registered as a professional engineer.</w:t>
      </w:r>
    </w:p>
    <w:p w14:paraId="327970C1" w14:textId="77777777" w:rsidR="009950A0" w:rsidRDefault="009950A0" w:rsidP="00246DE0">
      <w:pPr>
        <w:pStyle w:val="Bodycopy"/>
        <w:numPr>
          <w:ilvl w:val="0"/>
          <w:numId w:val="12"/>
        </w:numPr>
        <w:spacing w:before="120" w:after="120" w:line="280" w:lineRule="exact"/>
        <w:ind w:left="1208" w:hanging="357"/>
        <w:rPr>
          <w:b/>
        </w:rPr>
      </w:pPr>
      <w:r>
        <w:rPr>
          <w:b/>
        </w:rPr>
        <w:t>Disallowable Instrument</w:t>
      </w:r>
      <w:r w:rsidRPr="00451C85">
        <w:rPr>
          <w:b/>
        </w:rPr>
        <w:t xml:space="preserve"> </w:t>
      </w:r>
      <w:r>
        <w:rPr>
          <w:b/>
        </w:rPr>
        <w:t>DI2024-33</w:t>
      </w:r>
      <w:r w:rsidRPr="00451C85">
        <w:rPr>
          <w:b/>
        </w:rPr>
        <w:t xml:space="preserve"> being the </w:t>
      </w:r>
      <w:r>
        <w:rPr>
          <w:b/>
        </w:rPr>
        <w:t xml:space="preserve">Professional Engineers (Fees) Determination 2024 made under section 88 of the </w:t>
      </w:r>
      <w:r>
        <w:rPr>
          <w:i/>
        </w:rPr>
        <w:t>Professional Engineers Act 2023</w:t>
      </w:r>
      <w:r w:rsidRPr="00236BDD">
        <w:rPr>
          <w:b/>
        </w:rPr>
        <w:t xml:space="preserve"> </w:t>
      </w:r>
      <w:r>
        <w:rPr>
          <w:b/>
        </w:rPr>
        <w:t xml:space="preserve">determines fees for the period prior to 6 March 2025 and the period on and after 6 March 2025, when it becomes mandatory to be registered under the Act. </w:t>
      </w:r>
    </w:p>
    <w:p w14:paraId="77E76BAF" w14:textId="77777777" w:rsidR="009950A0" w:rsidRDefault="009950A0" w:rsidP="00FD6464">
      <w:pPr>
        <w:pStyle w:val="ListNumber2"/>
        <w:ind w:left="851"/>
        <w:rPr>
          <w:bCs w:val="0"/>
        </w:rPr>
      </w:pPr>
      <w:bookmarkStart w:id="189" w:name="_Hlk163387970"/>
      <w:r>
        <w:t>The first instrument</w:t>
      </w:r>
      <w:bookmarkEnd w:id="189"/>
      <w:r>
        <w:t xml:space="preserve"> mentioned above, </w:t>
      </w:r>
      <w:r w:rsidRPr="00701DEE">
        <w:t xml:space="preserve">made under section 83 of the </w:t>
      </w:r>
      <w:r w:rsidRPr="00701DEE">
        <w:rPr>
          <w:i/>
        </w:rPr>
        <w:t>Professional Engineers Act 2023</w:t>
      </w:r>
      <w:r>
        <w:rPr>
          <w:iCs/>
        </w:rPr>
        <w:t xml:space="preserve">, </w:t>
      </w:r>
      <w:r w:rsidRPr="00701DEE">
        <w:t>determines the qualifications, experience and competencies required for an individual to be eligible to be registered as a professional engineer</w:t>
      </w:r>
      <w:r>
        <w:t>.  Section 4 of the instrument provides:</w:t>
      </w:r>
    </w:p>
    <w:p w14:paraId="041B1509" w14:textId="246211F0" w:rsidR="009950A0" w:rsidRPr="009267E9" w:rsidRDefault="009950A0" w:rsidP="00CE02FD">
      <w:pPr>
        <w:pStyle w:val="Quote"/>
        <w:spacing w:before="120" w:after="120"/>
        <w:rPr>
          <w:b/>
          <w:bCs/>
        </w:rPr>
      </w:pPr>
      <w:r w:rsidRPr="009267E9">
        <w:rPr>
          <w:b/>
          <w:bCs/>
        </w:rPr>
        <w:t>4</w:t>
      </w:r>
      <w:r w:rsidR="006531D6">
        <w:rPr>
          <w:b/>
          <w:bCs/>
        </w:rPr>
        <w:tab/>
      </w:r>
      <w:r w:rsidRPr="009267E9">
        <w:rPr>
          <w:b/>
          <w:bCs/>
        </w:rPr>
        <w:t>Disapplication of Legislation Act</w:t>
      </w:r>
    </w:p>
    <w:p w14:paraId="1E02A282" w14:textId="77777777" w:rsidR="009950A0" w:rsidRPr="006531D6" w:rsidRDefault="009950A0" w:rsidP="00CE02FD">
      <w:pPr>
        <w:pStyle w:val="Quote"/>
        <w:spacing w:before="120" w:after="120"/>
        <w:ind w:left="1418"/>
        <w:rPr>
          <w:bCs/>
          <w:spacing w:val="-4"/>
        </w:rPr>
      </w:pPr>
      <w:r w:rsidRPr="006531D6">
        <w:rPr>
          <w:bCs/>
          <w:spacing w:val="-4"/>
        </w:rPr>
        <w:t xml:space="preserve">The </w:t>
      </w:r>
      <w:r w:rsidRPr="006531D6">
        <w:rPr>
          <w:bCs/>
          <w:i/>
          <w:iCs/>
          <w:spacing w:val="-4"/>
        </w:rPr>
        <w:t>Legislation Act 2001</w:t>
      </w:r>
      <w:r w:rsidRPr="006531D6">
        <w:rPr>
          <w:bCs/>
          <w:spacing w:val="-4"/>
        </w:rPr>
        <w:t>, section 47(5) does not apply to the following documents as in force on the day this instrument commences and applied by this instrument:</w:t>
      </w:r>
    </w:p>
    <w:p w14:paraId="66211D75" w14:textId="332C2F71" w:rsidR="009950A0" w:rsidRPr="001873FD" w:rsidRDefault="009950A0" w:rsidP="00CE02FD">
      <w:pPr>
        <w:pStyle w:val="Quote"/>
        <w:numPr>
          <w:ilvl w:val="0"/>
          <w:numId w:val="15"/>
        </w:numPr>
        <w:spacing w:before="120" w:after="120"/>
        <w:rPr>
          <w:bCs/>
        </w:rPr>
      </w:pPr>
      <w:r w:rsidRPr="001873FD">
        <w:rPr>
          <w:bCs/>
        </w:rPr>
        <w:t>the Washington Accord 1989</w:t>
      </w:r>
    </w:p>
    <w:p w14:paraId="1F73EF3E" w14:textId="731952EA" w:rsidR="009950A0" w:rsidRPr="001873FD" w:rsidRDefault="009950A0" w:rsidP="00CE02FD">
      <w:pPr>
        <w:pStyle w:val="Quote"/>
        <w:numPr>
          <w:ilvl w:val="0"/>
          <w:numId w:val="15"/>
        </w:numPr>
        <w:spacing w:before="120" w:after="120"/>
        <w:rPr>
          <w:bCs/>
        </w:rPr>
      </w:pPr>
      <w:r w:rsidRPr="001873FD">
        <w:rPr>
          <w:bCs/>
        </w:rPr>
        <w:t xml:space="preserve">the </w:t>
      </w:r>
      <w:r w:rsidRPr="001873FD">
        <w:rPr>
          <w:bCs/>
          <w:i/>
          <w:iCs/>
        </w:rPr>
        <w:t>Migration (LIN 19/051: Specification of Occupations and Assessing Authorities) Instrument 2019</w:t>
      </w:r>
      <w:r w:rsidRPr="001873FD">
        <w:rPr>
          <w:bCs/>
        </w:rPr>
        <w:t xml:space="preserve"> (Cth)</w:t>
      </w:r>
    </w:p>
    <w:p w14:paraId="3DADD9EB" w14:textId="34CA0D4E" w:rsidR="009950A0" w:rsidRPr="001873FD" w:rsidRDefault="009950A0" w:rsidP="00CE02FD">
      <w:pPr>
        <w:pStyle w:val="Quote"/>
        <w:numPr>
          <w:ilvl w:val="0"/>
          <w:numId w:val="15"/>
        </w:numPr>
        <w:spacing w:before="120" w:after="120"/>
        <w:rPr>
          <w:bCs/>
        </w:rPr>
      </w:pPr>
      <w:r w:rsidRPr="001873FD">
        <w:rPr>
          <w:bCs/>
        </w:rPr>
        <w:t>the</w:t>
      </w:r>
      <w:r w:rsidRPr="001873FD">
        <w:rPr>
          <w:bCs/>
          <w:i/>
          <w:iCs/>
        </w:rPr>
        <w:t xml:space="preserve"> Migration (LIN 19/260: Assessing Authorities for Subclass 494 Visas) Instrument 2019 </w:t>
      </w:r>
      <w:r w:rsidRPr="001873FD">
        <w:rPr>
          <w:bCs/>
        </w:rPr>
        <w:t>(Cth)</w:t>
      </w:r>
    </w:p>
    <w:p w14:paraId="518DCF48" w14:textId="2D8EDEBC" w:rsidR="009950A0" w:rsidRPr="001873FD" w:rsidRDefault="009950A0" w:rsidP="00CE02FD">
      <w:pPr>
        <w:pStyle w:val="Quote"/>
        <w:numPr>
          <w:ilvl w:val="0"/>
          <w:numId w:val="15"/>
        </w:numPr>
        <w:spacing w:before="120" w:after="120"/>
        <w:rPr>
          <w:bCs/>
        </w:rPr>
      </w:pPr>
      <w:r w:rsidRPr="001873FD">
        <w:rPr>
          <w:bCs/>
        </w:rPr>
        <w:t xml:space="preserve">the </w:t>
      </w:r>
      <w:r w:rsidRPr="001873FD">
        <w:rPr>
          <w:bCs/>
          <w:i/>
          <w:iCs/>
        </w:rPr>
        <w:t xml:space="preserve">Migration (LIN 19/049: Specification of Occupations and Assessing Authorities— Subclass 186 Visa) Instrument 2019 </w:t>
      </w:r>
      <w:r w:rsidRPr="001873FD">
        <w:rPr>
          <w:bCs/>
        </w:rPr>
        <w:t>(Cth)</w:t>
      </w:r>
    </w:p>
    <w:p w14:paraId="4855DEDD" w14:textId="5D03925C" w:rsidR="009950A0" w:rsidRPr="001873FD" w:rsidRDefault="009950A0" w:rsidP="00CE02FD">
      <w:pPr>
        <w:pStyle w:val="Quote"/>
        <w:numPr>
          <w:ilvl w:val="0"/>
          <w:numId w:val="15"/>
        </w:numPr>
        <w:spacing w:before="120" w:after="120"/>
        <w:rPr>
          <w:bCs/>
        </w:rPr>
      </w:pPr>
      <w:r w:rsidRPr="001873FD">
        <w:rPr>
          <w:bCs/>
        </w:rPr>
        <w:t>Australian Engineering Competency Standards Stage 2</w:t>
      </w:r>
    </w:p>
    <w:p w14:paraId="215398BB" w14:textId="6D12B8DF" w:rsidR="009950A0" w:rsidRPr="001873FD" w:rsidRDefault="009950A0" w:rsidP="00CE02FD">
      <w:pPr>
        <w:pStyle w:val="Quote"/>
        <w:numPr>
          <w:ilvl w:val="0"/>
          <w:numId w:val="15"/>
        </w:numPr>
        <w:spacing w:before="120" w:after="120"/>
        <w:rPr>
          <w:bCs/>
        </w:rPr>
      </w:pPr>
      <w:r w:rsidRPr="001873FD">
        <w:rPr>
          <w:bCs/>
        </w:rPr>
        <w:t>International Professional Engineers Agreement</w:t>
      </w:r>
    </w:p>
    <w:p w14:paraId="1F170C9C" w14:textId="59804BFA" w:rsidR="009950A0" w:rsidRPr="001873FD" w:rsidRDefault="009950A0" w:rsidP="00CE02FD">
      <w:pPr>
        <w:pStyle w:val="Quote"/>
        <w:numPr>
          <w:ilvl w:val="0"/>
          <w:numId w:val="15"/>
        </w:numPr>
        <w:spacing w:before="120" w:after="120"/>
        <w:rPr>
          <w:bCs/>
        </w:rPr>
      </w:pPr>
      <w:r w:rsidRPr="001873FD">
        <w:rPr>
          <w:bCs/>
        </w:rPr>
        <w:t>the APEC agreement</w:t>
      </w:r>
      <w:r w:rsidR="009267E9">
        <w:rPr>
          <w:bCs/>
        </w:rPr>
        <w:t>.</w:t>
      </w:r>
    </w:p>
    <w:p w14:paraId="524B8BDF" w14:textId="77777777" w:rsidR="009950A0" w:rsidRDefault="009950A0" w:rsidP="00FD6464">
      <w:pPr>
        <w:pStyle w:val="ListNumber2"/>
        <w:ind w:left="851"/>
        <w:rPr>
          <w:bCs w:val="0"/>
        </w:rPr>
      </w:pPr>
      <w:r>
        <w:t xml:space="preserve">The Committee notes that it has consistently raised concern about the disapplication of subsection 47(5) of the </w:t>
      </w:r>
      <w:r>
        <w:rPr>
          <w:i/>
          <w:iCs/>
        </w:rPr>
        <w:t xml:space="preserve">Legislation Act </w:t>
      </w:r>
      <w:r w:rsidRPr="001873FD">
        <w:t>20001</w:t>
      </w:r>
      <w:r>
        <w:t xml:space="preserve">, which is aimed at ensuring that </w:t>
      </w:r>
      <w:r>
        <w:rPr>
          <w:u w:val="single"/>
        </w:rPr>
        <w:t>all</w:t>
      </w:r>
      <w:r w:rsidRPr="001873FD">
        <w:t xml:space="preserve"> </w:t>
      </w:r>
      <w:r>
        <w:t>material relied on by a statutory instrument is freely-available (at no cost) to users of legislation, through the ACT Legislation Register.</w:t>
      </w:r>
    </w:p>
    <w:p w14:paraId="3741C3A0" w14:textId="77777777" w:rsidR="009950A0" w:rsidRDefault="009950A0" w:rsidP="00FD6464">
      <w:pPr>
        <w:pStyle w:val="ListNumber2"/>
        <w:ind w:left="851"/>
        <w:rPr>
          <w:bCs w:val="0"/>
        </w:rPr>
      </w:pPr>
      <w:r>
        <w:t>In this case, the Committee notes that the Note to section 4 of this instrument states:</w:t>
      </w:r>
    </w:p>
    <w:p w14:paraId="70FAB441" w14:textId="77777777" w:rsidR="009950A0" w:rsidRPr="00E60136" w:rsidRDefault="009950A0" w:rsidP="009267E9">
      <w:pPr>
        <w:pStyle w:val="Quote"/>
        <w:ind w:left="1701" w:hanging="567"/>
      </w:pPr>
      <w:r w:rsidRPr="00E60136">
        <w:rPr>
          <w:i/>
        </w:rPr>
        <w:t>Note</w:t>
      </w:r>
      <w:r w:rsidRPr="00E60136">
        <w:rPr>
          <w:i/>
        </w:rPr>
        <w:tab/>
      </w:r>
      <w:r w:rsidRPr="009267E9">
        <w:rPr>
          <w:spacing w:val="-4"/>
        </w:rPr>
        <w:t>The documents applied by this instrument do not need to be notified under the Legislation Act because s 47(5) does not apply (see Legislation Act, s 47(7)).</w:t>
      </w:r>
    </w:p>
    <w:p w14:paraId="5CE2075D" w14:textId="77777777" w:rsidR="009950A0" w:rsidRPr="00E60136" w:rsidRDefault="009950A0" w:rsidP="006531D6">
      <w:pPr>
        <w:pStyle w:val="Quote"/>
        <w:ind w:left="1701"/>
      </w:pPr>
      <w:r w:rsidRPr="00E60136">
        <w:t xml:space="preserve">Engineers Australia is the Australian Signatory to the Washington Accord. The Washington Accord is accessible at </w:t>
      </w:r>
      <w:hyperlink r:id="rId19" w:history="1">
        <w:r w:rsidRPr="00E60136">
          <w:t>www.ieagreements.org/accords/washington/</w:t>
        </w:r>
      </w:hyperlink>
      <w:r w:rsidRPr="00E60136">
        <w:t>.</w:t>
      </w:r>
    </w:p>
    <w:p w14:paraId="66416E66" w14:textId="77777777" w:rsidR="009950A0" w:rsidRPr="00E60136" w:rsidRDefault="009950A0" w:rsidP="006531D6">
      <w:pPr>
        <w:pStyle w:val="Quote"/>
        <w:ind w:left="1701"/>
      </w:pPr>
      <w:r w:rsidRPr="00E60136">
        <w:t xml:space="preserve">The Commonwealth migration determinations are accessible at </w:t>
      </w:r>
      <w:hyperlink r:id="rId20" w:history="1">
        <w:r w:rsidRPr="00E60136">
          <w:t>www.https://www.legislation.gov.au</w:t>
        </w:r>
      </w:hyperlink>
      <w:r w:rsidRPr="00E60136">
        <w:t>.</w:t>
      </w:r>
    </w:p>
    <w:p w14:paraId="7735234E" w14:textId="77777777" w:rsidR="009950A0" w:rsidRPr="00E60136" w:rsidRDefault="009950A0" w:rsidP="006531D6">
      <w:pPr>
        <w:pStyle w:val="Quote"/>
        <w:ind w:left="1701"/>
      </w:pPr>
      <w:r w:rsidRPr="00E60136">
        <w:t>The Australian Engineering Competency Standards Stage are accessible at Engineers Australia (</w:t>
      </w:r>
      <w:hyperlink r:id="rId21" w:history="1">
        <w:r w:rsidRPr="00E60136">
          <w:t>www.engineersaustralia.org.au</w:t>
        </w:r>
      </w:hyperlink>
      <w:r w:rsidRPr="00E60136">
        <w:t>)</w:t>
      </w:r>
    </w:p>
    <w:p w14:paraId="4C9868E3" w14:textId="77777777" w:rsidR="009950A0" w:rsidRPr="00E60136" w:rsidRDefault="009950A0" w:rsidP="006531D6">
      <w:pPr>
        <w:pStyle w:val="Quote"/>
        <w:ind w:left="1701"/>
      </w:pPr>
      <w:r w:rsidRPr="00E60136">
        <w:t xml:space="preserve">The International Professional Engineers Agreement is available at </w:t>
      </w:r>
      <w:hyperlink r:id="rId22" w:history="1">
        <w:r w:rsidRPr="00E60136">
          <w:t>www.ieagreements.org/agreements/ipea</w:t>
        </w:r>
      </w:hyperlink>
    </w:p>
    <w:p w14:paraId="0DFCA88E" w14:textId="77777777" w:rsidR="009950A0" w:rsidRPr="001873FD" w:rsidRDefault="009950A0" w:rsidP="006531D6">
      <w:pPr>
        <w:pStyle w:val="Quote"/>
        <w:ind w:left="1701"/>
        <w:rPr>
          <w:rFonts w:ascii="Times New Roman" w:hAnsi="Times New Roman" w:cs="Times New Roman"/>
          <w:b/>
          <w:iCs/>
          <w:sz w:val="20"/>
        </w:rPr>
      </w:pPr>
      <w:r w:rsidRPr="00E60136">
        <w:t xml:space="preserve">The APEC Agreement is available at </w:t>
      </w:r>
      <w:hyperlink r:id="rId23" w:history="1">
        <w:r w:rsidRPr="00E60136">
          <w:t>www.ieagreements.org/agreements/apec</w:t>
        </w:r>
      </w:hyperlink>
      <w:r w:rsidRPr="001873FD">
        <w:rPr>
          <w:rFonts w:ascii="Times New Roman" w:hAnsi="Times New Roman" w:cs="Times New Roman"/>
          <w:iCs/>
          <w:sz w:val="20"/>
        </w:rPr>
        <w:t>.</w:t>
      </w:r>
    </w:p>
    <w:p w14:paraId="30DB0C21" w14:textId="77777777" w:rsidR="009950A0" w:rsidRDefault="009950A0" w:rsidP="00FD6464">
      <w:pPr>
        <w:pStyle w:val="ListNumber2"/>
        <w:ind w:left="851"/>
        <w:rPr>
          <w:iCs/>
        </w:rPr>
      </w:pPr>
      <w:r>
        <w:rPr>
          <w:iCs/>
        </w:rPr>
        <w:t xml:space="preserve">The </w:t>
      </w:r>
      <w:r w:rsidRPr="00FD6464">
        <w:t>availability</w:t>
      </w:r>
      <w:r>
        <w:rPr>
          <w:iCs/>
        </w:rPr>
        <w:t xml:space="preserve"> of the relevant documents is also discussed in the explanatory statement for the instrument.  As a result, the Committee is less concerned about the disapplication of subsection 47(5) of the Legislation Act, in this instance.</w:t>
      </w:r>
    </w:p>
    <w:p w14:paraId="5E6D1ED6" w14:textId="77777777" w:rsidR="009950A0" w:rsidRDefault="009950A0" w:rsidP="00FD6464">
      <w:pPr>
        <w:pStyle w:val="ListNumber2"/>
        <w:ind w:left="851"/>
        <w:rPr>
          <w:iCs/>
        </w:rPr>
      </w:pPr>
      <w:r>
        <w:rPr>
          <w:iCs/>
        </w:rPr>
        <w:t xml:space="preserve">The </w:t>
      </w:r>
      <w:r w:rsidRPr="00FD6464">
        <w:t>explanatory</w:t>
      </w:r>
      <w:r>
        <w:rPr>
          <w:iCs/>
        </w:rPr>
        <w:t xml:space="preserve"> statement goes on to discuss human rights issues, by reference to the right to work, protected by section 27B of the </w:t>
      </w:r>
      <w:r>
        <w:rPr>
          <w:i/>
        </w:rPr>
        <w:t>Human Rights Act 2004</w:t>
      </w:r>
      <w:r>
        <w:rPr>
          <w:iCs/>
        </w:rPr>
        <w:t>:</w:t>
      </w:r>
    </w:p>
    <w:p w14:paraId="1B44D136" w14:textId="77777777" w:rsidR="009950A0" w:rsidRPr="009267E9" w:rsidRDefault="009950A0" w:rsidP="009267E9">
      <w:pPr>
        <w:pStyle w:val="Quote"/>
        <w:rPr>
          <w:b/>
          <w:bCs/>
        </w:rPr>
      </w:pPr>
      <w:r w:rsidRPr="009267E9">
        <w:rPr>
          <w:b/>
          <w:bCs/>
        </w:rPr>
        <w:t>Human Rights</w:t>
      </w:r>
    </w:p>
    <w:p w14:paraId="3A1AB373" w14:textId="77777777" w:rsidR="009950A0" w:rsidRPr="00E60136" w:rsidRDefault="009950A0" w:rsidP="009267E9">
      <w:pPr>
        <w:pStyle w:val="Quote"/>
        <w:rPr>
          <w:bCs/>
        </w:rPr>
      </w:pPr>
      <w:r w:rsidRPr="00E60136">
        <w:rPr>
          <w:bCs/>
        </w:rPr>
        <w:t>The Standing Committee on Justice and Community Safety (Legislative Scrutiny Role) terms of reference require consideration of human rights impacts, among other matters.</w:t>
      </w:r>
    </w:p>
    <w:p w14:paraId="2D630A69" w14:textId="77777777" w:rsidR="009950A0" w:rsidRPr="00E60136" w:rsidRDefault="009950A0" w:rsidP="009267E9">
      <w:pPr>
        <w:pStyle w:val="Quote"/>
        <w:rPr>
          <w:bCs/>
        </w:rPr>
      </w:pPr>
      <w:r w:rsidRPr="00E60136">
        <w:rPr>
          <w:bCs/>
        </w:rPr>
        <w:t xml:space="preserve">Section 27B (1) of the </w:t>
      </w:r>
      <w:r w:rsidRPr="00E60136">
        <w:rPr>
          <w:bCs/>
          <w:i/>
          <w:iCs/>
        </w:rPr>
        <w:t>Human Rights Act 2004</w:t>
      </w:r>
      <w:r w:rsidRPr="00E60136">
        <w:rPr>
          <w:bCs/>
        </w:rPr>
        <w:t xml:space="preserve"> (HRA) expressly provides that the practice of a trade, occupation or professional may be regulated by law. Determining eligibility criteria such as qualifications, experience and competencies is common practice in occupational registration schemes.</w:t>
      </w:r>
    </w:p>
    <w:p w14:paraId="4B932A7F" w14:textId="77777777" w:rsidR="009950A0" w:rsidRPr="00E60136" w:rsidRDefault="009950A0" w:rsidP="009267E9">
      <w:pPr>
        <w:pStyle w:val="Quote"/>
        <w:rPr>
          <w:bCs/>
        </w:rPr>
      </w:pPr>
      <w:r w:rsidRPr="00E60136">
        <w:rPr>
          <w:bCs/>
        </w:rPr>
        <w:t xml:space="preserve">A detailed human rights assessment is contained in the </w:t>
      </w:r>
      <w:hyperlink r:id="rId24" w:history="1">
        <w:r w:rsidRPr="00E60136">
          <w:rPr>
            <w:bCs/>
          </w:rPr>
          <w:t>Explanatory Statement</w:t>
        </w:r>
      </w:hyperlink>
      <w:r w:rsidRPr="00E60136">
        <w:rPr>
          <w:bCs/>
        </w:rPr>
        <w:t xml:space="preserve"> to the Act including consideration of the impact of the introduction of a professional engineers registration scheme in the ACT on section 27B of the HRA.</w:t>
      </w:r>
    </w:p>
    <w:p w14:paraId="67D2277F" w14:textId="77777777" w:rsidR="009950A0" w:rsidRPr="00E60136" w:rsidRDefault="009950A0" w:rsidP="009267E9">
      <w:pPr>
        <w:pStyle w:val="Quote"/>
        <w:rPr>
          <w:bCs/>
        </w:rPr>
      </w:pPr>
      <w:r w:rsidRPr="00E60136">
        <w:rPr>
          <w:bCs/>
        </w:rPr>
        <w:t>Any engagement with or limitation on the right to work in section 27B of the HRA is considered reasonable and justifiable.</w:t>
      </w:r>
    </w:p>
    <w:p w14:paraId="0442196B" w14:textId="77777777" w:rsidR="009950A0" w:rsidRPr="00E60136" w:rsidRDefault="009950A0" w:rsidP="00FD6464">
      <w:pPr>
        <w:pStyle w:val="ListNumber2"/>
        <w:ind w:left="851"/>
      </w:pPr>
      <w:r>
        <w:rPr>
          <w:rFonts w:eastAsia="Calibri"/>
        </w:rPr>
        <w:t xml:space="preserve">The </w:t>
      </w:r>
      <w:r w:rsidRPr="00FD6464">
        <w:t>second</w:t>
      </w:r>
      <w:r>
        <w:rPr>
          <w:rFonts w:eastAsia="Calibri"/>
        </w:rPr>
        <w:t xml:space="preserve"> instrument mentioned </w:t>
      </w:r>
      <w:r w:rsidRPr="00E60136">
        <w:rPr>
          <w:rFonts w:eastAsia="Calibri"/>
        </w:rPr>
        <w:t>above</w:t>
      </w:r>
      <w:r>
        <w:rPr>
          <w:rFonts w:eastAsia="Calibri"/>
        </w:rPr>
        <w:t xml:space="preserve">, </w:t>
      </w:r>
      <w:r w:rsidRPr="00E60136">
        <w:t xml:space="preserve">made under </w:t>
      </w:r>
      <w:r>
        <w:t>s</w:t>
      </w:r>
      <w:r w:rsidRPr="00E60136">
        <w:t xml:space="preserve">ection 88 of the </w:t>
      </w:r>
      <w:r w:rsidRPr="00E60136">
        <w:rPr>
          <w:i/>
        </w:rPr>
        <w:t>Professional Engineers Act 2023</w:t>
      </w:r>
      <w:r>
        <w:rPr>
          <w:iCs/>
        </w:rPr>
        <w:t>,</w:t>
      </w:r>
      <w:r w:rsidRPr="00E60136">
        <w:t xml:space="preserve"> determine</w:t>
      </w:r>
      <w:r>
        <w:t>s</w:t>
      </w:r>
      <w:r w:rsidRPr="00E60136">
        <w:t xml:space="preserve"> fees for the </w:t>
      </w:r>
      <w:r>
        <w:t xml:space="preserve">Act, for the </w:t>
      </w:r>
      <w:r w:rsidRPr="00E60136">
        <w:t xml:space="preserve">period prior to 6 March 2025 and </w:t>
      </w:r>
      <w:r>
        <w:t xml:space="preserve">for </w:t>
      </w:r>
      <w:r w:rsidRPr="00E60136">
        <w:t>the period on and after 6 March 2025</w:t>
      </w:r>
      <w:r>
        <w:t>,</w:t>
      </w:r>
      <w:r w:rsidRPr="00E60136">
        <w:t xml:space="preserve"> when it becomes mandatory to be registered under the Act. </w:t>
      </w:r>
      <w:r>
        <w:t xml:space="preserve"> The Committee notes that the explanatory statement for the second instrument contains a discussion of human rights issues, in similar terms to the discussion in the explanatory statement for the first instrument. </w:t>
      </w:r>
    </w:p>
    <w:p w14:paraId="0373F904" w14:textId="77777777" w:rsidR="009950A0" w:rsidRPr="005904DA" w:rsidRDefault="009950A0" w:rsidP="00FD6464">
      <w:pPr>
        <w:pStyle w:val="ListNumber2"/>
        <w:ind w:left="851"/>
        <w:rPr>
          <w:rFonts w:ascii="Calibri" w:eastAsia="Calibri" w:hAnsi="Calibri" w:cs="Calibri"/>
          <w:b/>
          <w:color w:val="000000"/>
          <w:lang w:eastAsia="en-AU"/>
        </w:rPr>
      </w:pPr>
      <w:bookmarkStart w:id="190" w:name="_Hlk164592935"/>
      <w:r w:rsidRPr="005904DA">
        <w:rPr>
          <w:rFonts w:ascii="Calibri" w:eastAsia="Calibri" w:hAnsi="Calibri" w:cs="Calibri"/>
          <w:b/>
          <w:color w:val="000000"/>
          <w:lang w:eastAsia="en-AU"/>
        </w:rPr>
        <w:t>The Committee draws the attention of the Legislative Assembly to the discussion of human rights issues in the explanatory statement</w:t>
      </w:r>
      <w:r>
        <w:rPr>
          <w:rFonts w:ascii="Calibri" w:eastAsia="Calibri" w:hAnsi="Calibri" w:cs="Calibri"/>
          <w:b/>
          <w:color w:val="000000"/>
          <w:lang w:eastAsia="en-AU"/>
        </w:rPr>
        <w:t>s</w:t>
      </w:r>
      <w:r w:rsidRPr="005904DA">
        <w:rPr>
          <w:rFonts w:ascii="Calibri" w:eastAsia="Calibri" w:hAnsi="Calibri" w:cs="Calibri"/>
          <w:b/>
          <w:color w:val="000000"/>
          <w:lang w:eastAsia="en-AU"/>
        </w:rPr>
        <w:t xml:space="preserve"> for t</w:t>
      </w:r>
      <w:r>
        <w:rPr>
          <w:rFonts w:ascii="Calibri" w:eastAsia="Calibri" w:hAnsi="Calibri" w:cs="Calibri"/>
          <w:b/>
          <w:color w:val="000000"/>
          <w:lang w:eastAsia="en-AU"/>
        </w:rPr>
        <w:t>hese</w:t>
      </w:r>
      <w:r w:rsidRPr="005904DA">
        <w:rPr>
          <w:rFonts w:ascii="Calibri" w:eastAsia="Calibri" w:hAnsi="Calibri" w:cs="Calibri"/>
          <w:b/>
          <w:color w:val="000000"/>
          <w:lang w:eastAsia="en-AU"/>
        </w:rPr>
        <w:t xml:space="preserve"> instrument</w:t>
      </w:r>
      <w:r>
        <w:rPr>
          <w:rFonts w:ascii="Calibri" w:eastAsia="Calibri" w:hAnsi="Calibri" w:cs="Calibri"/>
          <w:b/>
          <w:color w:val="000000"/>
          <w:lang w:eastAsia="en-AU"/>
        </w:rPr>
        <w:t>s</w:t>
      </w:r>
      <w:r w:rsidRPr="005904DA">
        <w:rPr>
          <w:rFonts w:ascii="Calibri" w:eastAsia="Calibri" w:hAnsi="Calibri" w:cs="Calibri"/>
          <w:b/>
          <w:color w:val="000000"/>
          <w:lang w:eastAsia="en-AU"/>
        </w:rPr>
        <w:t>.</w:t>
      </w:r>
    </w:p>
    <w:bookmarkEnd w:id="190"/>
    <w:p w14:paraId="1324CE38" w14:textId="77777777" w:rsidR="009950A0" w:rsidRPr="005904DA" w:rsidRDefault="009950A0" w:rsidP="00FD6464">
      <w:pPr>
        <w:pStyle w:val="ListNumber2"/>
        <w:ind w:left="851"/>
        <w:rPr>
          <w:rFonts w:ascii="Calibri" w:eastAsia="Calibri" w:hAnsi="Calibri" w:cs="Calibri"/>
          <w:b/>
          <w:color w:val="000000"/>
          <w:lang w:eastAsia="en-AU"/>
        </w:rPr>
      </w:pPr>
      <w:r w:rsidRPr="005904DA">
        <w:rPr>
          <w:rFonts w:ascii="Calibri" w:eastAsia="Calibri" w:hAnsi="Calibri" w:cs="Calibri"/>
          <w:b/>
          <w:color w:val="000000"/>
          <w:lang w:eastAsia="en-AU"/>
        </w:rPr>
        <w:t>This comment does not require a response from the Minister.</w:t>
      </w:r>
    </w:p>
    <w:p w14:paraId="29EC71D2" w14:textId="77777777" w:rsidR="009950A0" w:rsidRPr="00C25438" w:rsidRDefault="009950A0" w:rsidP="00CE02FD">
      <w:pPr>
        <w:keepNext/>
        <w:keepLines/>
        <w:spacing w:before="240" w:after="200"/>
        <w:outlineLvl w:val="2"/>
        <w:rPr>
          <w:rFonts w:ascii="Montserrat" w:eastAsia="Times New Roman" w:hAnsi="Montserrat" w:cs="Times New Roman"/>
          <w:b/>
          <w:color w:val="7492CD"/>
          <w:w w:val="90"/>
          <w:kern w:val="2"/>
          <w:sz w:val="28"/>
          <w:szCs w:val="24"/>
        </w:rPr>
      </w:pPr>
      <w:bookmarkStart w:id="191" w:name="_Toc165377055"/>
      <w:bookmarkStart w:id="192" w:name="_Toc165454961"/>
      <w:bookmarkStart w:id="193" w:name="_Toc165552876"/>
      <w:r>
        <w:rPr>
          <w:rFonts w:ascii="Montserrat" w:eastAsia="Times New Roman" w:hAnsi="Montserrat" w:cs="Times New Roman"/>
          <w:b/>
          <w:color w:val="7492CD"/>
          <w:w w:val="90"/>
          <w:kern w:val="2"/>
          <w:sz w:val="28"/>
          <w:szCs w:val="24"/>
        </w:rPr>
        <w:t xml:space="preserve">Disapplication of subsection 47(5) of the </w:t>
      </w:r>
      <w:r>
        <w:rPr>
          <w:rFonts w:ascii="Montserrat" w:eastAsia="Times New Roman" w:hAnsi="Montserrat" w:cs="Times New Roman"/>
          <w:b/>
          <w:i/>
          <w:iCs/>
          <w:color w:val="7492CD"/>
          <w:w w:val="90"/>
          <w:kern w:val="2"/>
          <w:sz w:val="28"/>
          <w:szCs w:val="24"/>
        </w:rPr>
        <w:t xml:space="preserve">Legislation Act 2001 </w:t>
      </w:r>
      <w:r>
        <w:rPr>
          <w:rFonts w:ascii="Montserrat" w:eastAsia="Times New Roman" w:hAnsi="Montserrat" w:cs="Times New Roman"/>
          <w:b/>
          <w:color w:val="7492CD"/>
          <w:w w:val="90"/>
          <w:kern w:val="2"/>
          <w:sz w:val="28"/>
          <w:szCs w:val="24"/>
        </w:rPr>
        <w:t>/ Human Rights Issues</w:t>
      </w:r>
      <w:bookmarkEnd w:id="191"/>
      <w:bookmarkEnd w:id="192"/>
      <w:bookmarkEnd w:id="193"/>
    </w:p>
    <w:p w14:paraId="6ED74F51" w14:textId="4F388B47" w:rsidR="009950A0" w:rsidRDefault="009950A0" w:rsidP="00246DE0">
      <w:pPr>
        <w:pStyle w:val="Bodycopy"/>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DI2024-34</w:t>
      </w:r>
      <w:r w:rsidRPr="00451C85">
        <w:rPr>
          <w:b/>
        </w:rPr>
        <w:t xml:space="preserve"> being the </w:t>
      </w:r>
      <w:r>
        <w:rPr>
          <w:b/>
        </w:rPr>
        <w:t xml:space="preserve">Construction Occupations (Licensing) (Distributed Energy Resource) Declaration 2024 made under subsection 31D(3) of the </w:t>
      </w:r>
      <w:r>
        <w:rPr>
          <w:i/>
        </w:rPr>
        <w:t>Construction Occupations (Licensing) Regulation 2004</w:t>
      </w:r>
      <w:r w:rsidRPr="00236BDD">
        <w:rPr>
          <w:b/>
        </w:rPr>
        <w:t xml:space="preserve"> </w:t>
      </w:r>
      <w:r>
        <w:rPr>
          <w:b/>
        </w:rPr>
        <w:t xml:space="preserve">declares the things the Minister has determined are a </w:t>
      </w:r>
      <w:r w:rsidR="000030B4">
        <w:rPr>
          <w:b/>
        </w:rPr>
        <w:t>“</w:t>
      </w:r>
      <w:r>
        <w:rPr>
          <w:b/>
        </w:rPr>
        <w:t>distributed energy resource</w:t>
      </w:r>
      <w:r w:rsidR="000030B4">
        <w:rPr>
          <w:b/>
        </w:rPr>
        <w:t>”</w:t>
      </w:r>
      <w:r>
        <w:rPr>
          <w:b/>
        </w:rPr>
        <w:t>.</w:t>
      </w:r>
      <w:r w:rsidRPr="00E00679">
        <w:rPr>
          <w:b/>
        </w:rPr>
        <w:t xml:space="preserve"> </w:t>
      </w:r>
    </w:p>
    <w:p w14:paraId="550AC1F2" w14:textId="519878BB" w:rsidR="009950A0" w:rsidRDefault="009950A0" w:rsidP="00246DE0">
      <w:pPr>
        <w:pStyle w:val="Bodycopy"/>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DI2024-35</w:t>
      </w:r>
      <w:r w:rsidRPr="00451C85">
        <w:rPr>
          <w:b/>
        </w:rPr>
        <w:t xml:space="preserve"> being the </w:t>
      </w:r>
      <w:r>
        <w:rPr>
          <w:b/>
        </w:rPr>
        <w:t xml:space="preserve">Construction Occupations (Licensing) (Qualifications) Declaration 2024 made under section 13 of the </w:t>
      </w:r>
      <w:r>
        <w:rPr>
          <w:i/>
        </w:rPr>
        <w:t>Construction Occupations (Licensing) Regulation 2004</w:t>
      </w:r>
      <w:r w:rsidRPr="00236BDD">
        <w:rPr>
          <w:b/>
        </w:rPr>
        <w:t xml:space="preserve"> </w:t>
      </w:r>
      <w:r>
        <w:rPr>
          <w:b/>
        </w:rPr>
        <w:t>revokes DI2023-1 and declares the qualifications requirements necessary for an entity to be eligible to be licensed in a</w:t>
      </w:r>
      <w:r w:rsidR="00EC5581">
        <w:rPr>
          <w:b/>
        </w:rPr>
        <w:t> </w:t>
      </w:r>
      <w:r>
        <w:rPr>
          <w:b/>
        </w:rPr>
        <w:t xml:space="preserve">construction occupation or occupation class. </w:t>
      </w:r>
    </w:p>
    <w:p w14:paraId="18BF53EF" w14:textId="0E42B9D8" w:rsidR="009950A0" w:rsidRPr="00842199" w:rsidRDefault="009950A0" w:rsidP="00246DE0">
      <w:pPr>
        <w:pStyle w:val="Bodycopy"/>
        <w:numPr>
          <w:ilvl w:val="0"/>
          <w:numId w:val="12"/>
        </w:numPr>
        <w:spacing w:before="120" w:after="120" w:line="280" w:lineRule="exact"/>
        <w:ind w:left="1208" w:hanging="357"/>
        <w:rPr>
          <w:b/>
        </w:rPr>
      </w:pPr>
      <w:r w:rsidRPr="00246DE0">
        <w:rPr>
          <w:b/>
          <w:spacing w:val="-2"/>
        </w:rPr>
        <w:t>Disallowable</w:t>
      </w:r>
      <w:r>
        <w:rPr>
          <w:b/>
        </w:rPr>
        <w:t xml:space="preserve"> Instrument</w:t>
      </w:r>
      <w:r w:rsidRPr="00451C85">
        <w:rPr>
          <w:b/>
        </w:rPr>
        <w:t xml:space="preserve"> </w:t>
      </w:r>
      <w:r>
        <w:rPr>
          <w:b/>
        </w:rPr>
        <w:t>DI2024-41</w:t>
      </w:r>
      <w:r w:rsidRPr="00451C85">
        <w:rPr>
          <w:b/>
        </w:rPr>
        <w:t xml:space="preserve"> being the </w:t>
      </w:r>
      <w:r>
        <w:rPr>
          <w:b/>
        </w:rPr>
        <w:t xml:space="preserve">Construction Occupations (Licensing) (Qualifications) Declaration 2024 (No 2) made under section 13 of the </w:t>
      </w:r>
      <w:r>
        <w:rPr>
          <w:i/>
        </w:rPr>
        <w:t>Construction Occupations (Licensing) Regulation 2004</w:t>
      </w:r>
      <w:r w:rsidRPr="00236BDD">
        <w:rPr>
          <w:b/>
        </w:rPr>
        <w:t xml:space="preserve"> </w:t>
      </w:r>
      <w:r>
        <w:rPr>
          <w:b/>
        </w:rPr>
        <w:t>revokes DI2024-35 and declares the qualifications requirements necessary for an entity to be eligible to be licensed in a</w:t>
      </w:r>
      <w:r w:rsidR="00EC5581">
        <w:rPr>
          <w:b/>
        </w:rPr>
        <w:t> </w:t>
      </w:r>
      <w:r>
        <w:rPr>
          <w:b/>
        </w:rPr>
        <w:t xml:space="preserve">construction occupation or occupation class. </w:t>
      </w:r>
    </w:p>
    <w:p w14:paraId="7F03A454" w14:textId="6ED387AF" w:rsidR="009950A0" w:rsidRDefault="009950A0" w:rsidP="00FD6464">
      <w:pPr>
        <w:pStyle w:val="ListNumber2"/>
        <w:ind w:left="851"/>
        <w:rPr>
          <w:bCs w:val="0"/>
        </w:rPr>
      </w:pPr>
      <w:r>
        <w:t xml:space="preserve">The first instrument mentioned above is </w:t>
      </w:r>
      <w:r w:rsidRPr="000A7E1C">
        <w:t>made under s</w:t>
      </w:r>
      <w:r>
        <w:t>ubsection</w:t>
      </w:r>
      <w:r w:rsidRPr="000A7E1C">
        <w:t xml:space="preserve"> 31D</w:t>
      </w:r>
      <w:r>
        <w:t>(3)</w:t>
      </w:r>
      <w:r w:rsidRPr="000A7E1C">
        <w:t xml:space="preserve"> of the </w:t>
      </w:r>
      <w:r w:rsidRPr="000A7E1C">
        <w:rPr>
          <w:i/>
        </w:rPr>
        <w:t>Construction Occupations (Licensing) Regulation 2004</w:t>
      </w:r>
      <w:r>
        <w:rPr>
          <w:iCs/>
        </w:rPr>
        <w:t xml:space="preserve">, which allows the Minister to </w:t>
      </w:r>
      <w:r w:rsidRPr="00EF5F0E">
        <w:rPr>
          <w:iCs/>
        </w:rPr>
        <w:t>declare a thing to be a</w:t>
      </w:r>
      <w:r>
        <w:rPr>
          <w:iCs/>
        </w:rPr>
        <w:t xml:space="preserve"> </w:t>
      </w:r>
      <w:r w:rsidR="000030B4">
        <w:rPr>
          <w:iCs/>
        </w:rPr>
        <w:t>“</w:t>
      </w:r>
      <w:r w:rsidRPr="00EF5F0E">
        <w:rPr>
          <w:iCs/>
        </w:rPr>
        <w:t>distributed energy resource</w:t>
      </w:r>
      <w:r w:rsidR="000030B4">
        <w:rPr>
          <w:iCs/>
        </w:rPr>
        <w:t>”</w:t>
      </w:r>
      <w:r>
        <w:rPr>
          <w:iCs/>
        </w:rPr>
        <w:t xml:space="preserve">.  This is relevant for </w:t>
      </w:r>
      <w:r>
        <w:t>subsection 31D(1) of the Regulation, which allows t</w:t>
      </w:r>
      <w:r w:rsidRPr="00EF5F0E">
        <w:t xml:space="preserve">he Australian Capital Territory Construction Occupations Registrar, on application, </w:t>
      </w:r>
      <w:r>
        <w:t xml:space="preserve">to </w:t>
      </w:r>
      <w:r w:rsidRPr="00EF5F0E">
        <w:t>endorse an electrical contractor licence or an unrestricted electrician licence to authorise the licensee to do, or to supervise,  distributed energy resource work</w:t>
      </w:r>
      <w:r>
        <w:t xml:space="preserve"> (</w:t>
      </w:r>
      <w:r w:rsidRPr="00EF5F0E">
        <w:t xml:space="preserve">if </w:t>
      </w:r>
      <w:r>
        <w:t xml:space="preserve">the Registrar is </w:t>
      </w:r>
      <w:r w:rsidRPr="00EF5F0E">
        <w:t>satisfied that the licensee is competent to do, or to supervise, the work</w:t>
      </w:r>
      <w:r>
        <w:t>).</w:t>
      </w:r>
    </w:p>
    <w:p w14:paraId="49C426AC" w14:textId="77777777" w:rsidR="009950A0" w:rsidRDefault="009950A0" w:rsidP="00FD6464">
      <w:pPr>
        <w:pStyle w:val="ListNumber2"/>
        <w:ind w:left="851"/>
        <w:rPr>
          <w:bCs w:val="0"/>
        </w:rPr>
      </w:pPr>
      <w:r>
        <w:t xml:space="preserve">The second instrument mentioned above, </w:t>
      </w:r>
      <w:r w:rsidRPr="00E00679">
        <w:t xml:space="preserve">made under section 13 of the </w:t>
      </w:r>
      <w:r w:rsidRPr="00E00679">
        <w:rPr>
          <w:i/>
          <w:iCs/>
        </w:rPr>
        <w:t>Construction Occupations (Licensing) Regulation 2004</w:t>
      </w:r>
      <w:r>
        <w:t>,</w:t>
      </w:r>
      <w:r w:rsidRPr="00E00679">
        <w:t xml:space="preserve"> revokes </w:t>
      </w:r>
      <w:r>
        <w:t>an existing instrument (</w:t>
      </w:r>
      <w:r w:rsidRPr="00E00679">
        <w:t>DI2023-1</w:t>
      </w:r>
      <w:r>
        <w:t>)</w:t>
      </w:r>
      <w:r w:rsidRPr="00E00679">
        <w:t xml:space="preserve"> and declares the qualifications requirements necessary for an entity to be eligible to be licensed in a construction occupation or occupation class.</w:t>
      </w:r>
    </w:p>
    <w:p w14:paraId="050C6D94" w14:textId="77777777" w:rsidR="009950A0" w:rsidRDefault="009950A0" w:rsidP="00FD6464">
      <w:pPr>
        <w:pStyle w:val="ListNumber2"/>
        <w:ind w:left="851"/>
        <w:rPr>
          <w:bCs w:val="0"/>
        </w:rPr>
      </w:pPr>
      <w:r>
        <w:t xml:space="preserve">The third instrument mentioned above, </w:t>
      </w:r>
      <w:r w:rsidRPr="00E00679">
        <w:t>made under s</w:t>
      </w:r>
      <w:r>
        <w:t>ection</w:t>
      </w:r>
      <w:r w:rsidRPr="00E00679">
        <w:t xml:space="preserve"> 13 of the </w:t>
      </w:r>
      <w:r w:rsidRPr="00E00679">
        <w:rPr>
          <w:i/>
          <w:iCs/>
        </w:rPr>
        <w:t>Construction Occupations (Licensing) Regulation 2004</w:t>
      </w:r>
      <w:r>
        <w:t xml:space="preserve">, revokes the second instrument mentioned above and </w:t>
      </w:r>
      <w:r w:rsidRPr="00E00679">
        <w:t>declares the qualifications requirements necessary for an entity to be eligible to be licensed in a construction occupation or occupation class.</w:t>
      </w:r>
      <w:r>
        <w:t xml:space="preserve">  The Committee notes that the explanatory statement for the third  instrument mentioned above states:</w:t>
      </w:r>
    </w:p>
    <w:p w14:paraId="48D4791E" w14:textId="315C163B" w:rsidR="009950A0" w:rsidRPr="00EE54F2" w:rsidRDefault="009950A0" w:rsidP="009267E9">
      <w:pPr>
        <w:pStyle w:val="Quote"/>
      </w:pPr>
      <w:r w:rsidRPr="00EE54F2">
        <w:t xml:space="preserve">This updated instrument makes minor and technical updates to assist with operational requirements relating to the new licensing endorsement for electricians undertaking work on distributed energy resources. There are no additional changes to the instrument. The </w:t>
      </w:r>
      <w:hyperlink r:id="rId25" w:history="1">
        <w:r w:rsidRPr="00EE54F2">
          <w:t>Explanatory Statement</w:t>
        </w:r>
      </w:hyperlink>
      <w:r w:rsidRPr="00EE54F2">
        <w:t xml:space="preserve"> for the </w:t>
      </w:r>
      <w:hyperlink r:id="rId26" w:history="1">
        <w:r w:rsidRPr="00EE54F2">
          <w:rPr>
            <w:i/>
            <w:iCs/>
          </w:rPr>
          <w:t>Construction Occupations (Licensing) (Qualifications) Declaration 2024</w:t>
        </w:r>
      </w:hyperlink>
      <w:r w:rsidRPr="00EE54F2">
        <w:t xml:space="preserve"> (DI2024</w:t>
      </w:r>
      <w:r w:rsidR="00EC5581">
        <w:noBreakHyphen/>
      </w:r>
      <w:r w:rsidRPr="00EE54F2">
        <w:t>35) provides information on the changes made in that instrument.</w:t>
      </w:r>
    </w:p>
    <w:p w14:paraId="1A375023" w14:textId="77777777" w:rsidR="009950A0" w:rsidRDefault="009950A0" w:rsidP="0000302D">
      <w:pPr>
        <w:pStyle w:val="ListNumber2"/>
        <w:keepNext/>
        <w:ind w:left="851"/>
        <w:rPr>
          <w:bCs w:val="0"/>
        </w:rPr>
      </w:pPr>
      <w:r>
        <w:t>Sections 3 and 4 of the first instrument mentioned above provide:</w:t>
      </w:r>
    </w:p>
    <w:p w14:paraId="570A1931" w14:textId="77777777" w:rsidR="009950A0" w:rsidRPr="009267E9" w:rsidRDefault="009950A0" w:rsidP="0000302D">
      <w:pPr>
        <w:pStyle w:val="Quote"/>
        <w:keepNext/>
        <w:spacing w:before="120" w:after="60"/>
        <w:rPr>
          <w:b/>
          <w:bCs/>
        </w:rPr>
      </w:pPr>
      <w:r w:rsidRPr="009267E9">
        <w:rPr>
          <w:b/>
          <w:bCs/>
        </w:rPr>
        <w:t>3</w:t>
      </w:r>
      <w:r w:rsidRPr="009267E9">
        <w:rPr>
          <w:b/>
          <w:bCs/>
        </w:rPr>
        <w:tab/>
        <w:t>Declared Distributed Energy Resources</w:t>
      </w:r>
    </w:p>
    <w:p w14:paraId="39755BC5" w14:textId="7494F2FC" w:rsidR="009950A0" w:rsidRPr="00EF5F0E" w:rsidRDefault="009950A0" w:rsidP="0000302D">
      <w:pPr>
        <w:pStyle w:val="Quote"/>
        <w:spacing w:before="120" w:after="60"/>
        <w:ind w:left="1843" w:hanging="425"/>
        <w:rPr>
          <w:bCs/>
        </w:rPr>
      </w:pPr>
      <w:r w:rsidRPr="00EF5F0E">
        <w:rPr>
          <w:bCs/>
        </w:rPr>
        <w:t>(1)</w:t>
      </w:r>
      <w:r w:rsidR="006531D6">
        <w:rPr>
          <w:bCs/>
        </w:rPr>
        <w:tab/>
      </w:r>
      <w:r w:rsidRPr="00EF5F0E">
        <w:rPr>
          <w:bCs/>
        </w:rPr>
        <w:t>I declare the following things to be a distributed energy resource:</w:t>
      </w:r>
    </w:p>
    <w:p w14:paraId="664E6EC7" w14:textId="77777777" w:rsidR="009950A0" w:rsidRPr="00EF5F0E" w:rsidRDefault="009950A0" w:rsidP="0000302D">
      <w:pPr>
        <w:pStyle w:val="Quote"/>
        <w:numPr>
          <w:ilvl w:val="0"/>
          <w:numId w:val="18"/>
        </w:numPr>
        <w:spacing w:before="120" w:after="60"/>
        <w:rPr>
          <w:bCs/>
        </w:rPr>
      </w:pPr>
      <w:r w:rsidRPr="00EF5F0E">
        <w:rPr>
          <w:bCs/>
        </w:rPr>
        <w:t>solar photovoltaic panels which are subject to AS/NZS 5033;</w:t>
      </w:r>
    </w:p>
    <w:p w14:paraId="69FCBCCE" w14:textId="77777777" w:rsidR="009950A0" w:rsidRPr="00EF5F0E" w:rsidRDefault="009950A0" w:rsidP="0000302D">
      <w:pPr>
        <w:pStyle w:val="Quote"/>
        <w:numPr>
          <w:ilvl w:val="0"/>
          <w:numId w:val="18"/>
        </w:numPr>
        <w:spacing w:before="120" w:after="60"/>
        <w:rPr>
          <w:bCs/>
        </w:rPr>
      </w:pPr>
      <w:r w:rsidRPr="00EF5F0E">
        <w:rPr>
          <w:bCs/>
        </w:rPr>
        <w:t>grid-connected inverters, as part of a solar photovoltaic system, which are subject to AS/NZS 4777; and</w:t>
      </w:r>
    </w:p>
    <w:p w14:paraId="1FE415FC" w14:textId="77777777" w:rsidR="009950A0" w:rsidRPr="00EF5F0E" w:rsidRDefault="009950A0" w:rsidP="0000302D">
      <w:pPr>
        <w:pStyle w:val="Quote"/>
        <w:numPr>
          <w:ilvl w:val="0"/>
          <w:numId w:val="18"/>
        </w:numPr>
        <w:spacing w:before="120" w:after="60"/>
        <w:rPr>
          <w:bCs/>
        </w:rPr>
      </w:pPr>
      <w:r w:rsidRPr="00EF5F0E">
        <w:rPr>
          <w:bCs/>
        </w:rPr>
        <w:t xml:space="preserve">grid connected battery energy storage systems which are subject to AS/NZS 5139. </w:t>
      </w:r>
    </w:p>
    <w:p w14:paraId="0C2C34A6" w14:textId="77777777" w:rsidR="009950A0" w:rsidRPr="009267E9" w:rsidRDefault="009950A0" w:rsidP="0000302D">
      <w:pPr>
        <w:pStyle w:val="Quote"/>
        <w:spacing w:before="120" w:after="60"/>
        <w:rPr>
          <w:b/>
          <w:bCs/>
        </w:rPr>
      </w:pPr>
      <w:r w:rsidRPr="009267E9">
        <w:rPr>
          <w:b/>
          <w:bCs/>
        </w:rPr>
        <w:t>4</w:t>
      </w:r>
      <w:r w:rsidRPr="009267E9">
        <w:rPr>
          <w:b/>
          <w:bCs/>
        </w:rPr>
        <w:tab/>
        <w:t>Disapplication of Legislation Act</w:t>
      </w:r>
    </w:p>
    <w:p w14:paraId="16EC7E74" w14:textId="77777777" w:rsidR="009950A0" w:rsidRPr="00EF5F0E" w:rsidRDefault="009950A0" w:rsidP="0000302D">
      <w:pPr>
        <w:pStyle w:val="Quote"/>
        <w:spacing w:before="120" w:after="60"/>
        <w:ind w:left="1843" w:hanging="425"/>
        <w:rPr>
          <w:bCs/>
        </w:rPr>
      </w:pPr>
      <w:r w:rsidRPr="00EF5F0E">
        <w:rPr>
          <w:bCs/>
        </w:rPr>
        <w:t>(1)</w:t>
      </w:r>
      <w:r w:rsidRPr="00EF5F0E">
        <w:rPr>
          <w:bCs/>
        </w:rPr>
        <w:tab/>
        <w:t xml:space="preserve">The </w:t>
      </w:r>
      <w:r w:rsidRPr="00C25438">
        <w:rPr>
          <w:bCs/>
          <w:i/>
          <w:iCs/>
        </w:rPr>
        <w:t>Legislation Act 2001</w:t>
      </w:r>
      <w:r w:rsidRPr="00EF5F0E">
        <w:rPr>
          <w:bCs/>
        </w:rPr>
        <w:t>, section 47 (5) does not apply to the following documents as in force on the day this instrument commences and applied by this instrument:</w:t>
      </w:r>
    </w:p>
    <w:p w14:paraId="09BBD9D2" w14:textId="77777777" w:rsidR="009950A0" w:rsidRPr="00EF5F0E" w:rsidRDefault="009950A0" w:rsidP="0000302D">
      <w:pPr>
        <w:pStyle w:val="Quote"/>
        <w:numPr>
          <w:ilvl w:val="0"/>
          <w:numId w:val="19"/>
        </w:numPr>
        <w:spacing w:before="120" w:after="60"/>
        <w:rPr>
          <w:bCs/>
        </w:rPr>
      </w:pPr>
      <w:r w:rsidRPr="00EF5F0E">
        <w:rPr>
          <w:bCs/>
        </w:rPr>
        <w:t>AS/NZS 5003</w:t>
      </w:r>
    </w:p>
    <w:p w14:paraId="06A0112E" w14:textId="77777777" w:rsidR="009950A0" w:rsidRPr="00EF5F0E" w:rsidRDefault="009950A0" w:rsidP="0000302D">
      <w:pPr>
        <w:pStyle w:val="Quote"/>
        <w:numPr>
          <w:ilvl w:val="0"/>
          <w:numId w:val="19"/>
        </w:numPr>
        <w:spacing w:before="120" w:after="60"/>
        <w:rPr>
          <w:bCs/>
        </w:rPr>
      </w:pPr>
      <w:r w:rsidRPr="00EF5F0E">
        <w:rPr>
          <w:bCs/>
        </w:rPr>
        <w:t>AS/NZS 4777</w:t>
      </w:r>
    </w:p>
    <w:p w14:paraId="45BFB48D" w14:textId="77777777" w:rsidR="009950A0" w:rsidRPr="00EF5F0E" w:rsidRDefault="009950A0" w:rsidP="0000302D">
      <w:pPr>
        <w:pStyle w:val="Quote"/>
        <w:numPr>
          <w:ilvl w:val="0"/>
          <w:numId w:val="19"/>
        </w:numPr>
        <w:spacing w:before="120" w:after="60"/>
        <w:rPr>
          <w:bCs/>
        </w:rPr>
      </w:pPr>
      <w:r w:rsidRPr="00EF5F0E">
        <w:rPr>
          <w:bCs/>
        </w:rPr>
        <w:t>AS/NZS 5139</w:t>
      </w:r>
    </w:p>
    <w:p w14:paraId="585B8891" w14:textId="77777777" w:rsidR="006531D6" w:rsidRDefault="009950A0" w:rsidP="0000302D">
      <w:pPr>
        <w:pStyle w:val="Quote"/>
        <w:spacing w:before="120" w:after="60"/>
        <w:ind w:left="1843" w:hanging="709"/>
        <w:rPr>
          <w:bCs/>
        </w:rPr>
      </w:pPr>
      <w:r w:rsidRPr="00EF5F0E">
        <w:rPr>
          <w:bCs/>
          <w:i/>
        </w:rPr>
        <w:t>Note</w:t>
      </w:r>
      <w:r w:rsidRPr="00EF5F0E">
        <w:rPr>
          <w:bCs/>
        </w:rPr>
        <w:tab/>
        <w:t>The documents applied by this instrument do not need to be notified under the Legislation Act because s 47 (5) does not apply (see Legislation Act, s 47 (7)).</w:t>
      </w:r>
    </w:p>
    <w:p w14:paraId="1BBAFBD6" w14:textId="335ED699" w:rsidR="009950A0" w:rsidRPr="00EF5F0E" w:rsidRDefault="009950A0" w:rsidP="0000302D">
      <w:pPr>
        <w:pStyle w:val="Quote"/>
        <w:spacing w:before="120" w:after="60"/>
        <w:ind w:left="1843"/>
        <w:rPr>
          <w:bCs/>
        </w:rPr>
      </w:pPr>
      <w:r w:rsidRPr="00EF5F0E">
        <w:rPr>
          <w:bCs/>
        </w:rPr>
        <w:t>Australian Standards are available for purchase at </w:t>
      </w:r>
      <w:hyperlink r:id="rId27" w:tgtFrame="_blank" w:tooltip="http://www.standards.org.au/" w:history="1">
        <w:r w:rsidRPr="00EF5F0E">
          <w:rPr>
            <w:bCs/>
          </w:rPr>
          <w:t>www.standards.org.au</w:t>
        </w:r>
      </w:hyperlink>
    </w:p>
    <w:p w14:paraId="6F5C0885" w14:textId="01568931" w:rsidR="009950A0" w:rsidRDefault="009950A0" w:rsidP="00FD6464">
      <w:pPr>
        <w:pStyle w:val="ListNumber2"/>
        <w:ind w:left="851"/>
        <w:rPr>
          <w:bCs w:val="0"/>
          <w:spacing w:val="-2"/>
        </w:rPr>
      </w:pPr>
      <w:r w:rsidRPr="00FD6464">
        <w:t>The</w:t>
      </w:r>
      <w:r>
        <w:rPr>
          <w:spacing w:val="-2"/>
        </w:rPr>
        <w:t xml:space="preserve"> </w:t>
      </w:r>
      <w:r w:rsidRPr="00FD6464">
        <w:t>Committee</w:t>
      </w:r>
      <w:r>
        <w:rPr>
          <w:spacing w:val="-2"/>
        </w:rPr>
        <w:t xml:space="preserve"> has consistently noted that the ef</w:t>
      </w:r>
      <w:r w:rsidRPr="00793B1F">
        <w:rPr>
          <w:spacing w:val="-2"/>
        </w:rPr>
        <w:t xml:space="preserve">fect of subsection 47(5) </w:t>
      </w:r>
      <w:r>
        <w:rPr>
          <w:spacing w:val="-2"/>
        </w:rPr>
        <w:t xml:space="preserve">of the </w:t>
      </w:r>
      <w:r w:rsidRPr="00EF5F0E">
        <w:rPr>
          <w:i/>
          <w:iCs/>
          <w:spacing w:val="-2"/>
        </w:rPr>
        <w:t>Legislation Act 2001</w:t>
      </w:r>
      <w:r>
        <w:rPr>
          <w:spacing w:val="-2"/>
        </w:rPr>
        <w:t xml:space="preserve"> </w:t>
      </w:r>
      <w:r w:rsidRPr="00793B1F">
        <w:rPr>
          <w:spacing w:val="-2"/>
        </w:rPr>
        <w:t xml:space="preserve">is that any </w:t>
      </w:r>
      <w:r>
        <w:rPr>
          <w:spacing w:val="-2"/>
        </w:rPr>
        <w:t>external document</w:t>
      </w:r>
      <w:r w:rsidRPr="00793B1F">
        <w:rPr>
          <w:spacing w:val="-2"/>
        </w:rPr>
        <w:t xml:space="preserve"> that is relied upon (ie, by being </w:t>
      </w:r>
      <w:r w:rsidR="000030B4">
        <w:rPr>
          <w:spacing w:val="-2"/>
        </w:rPr>
        <w:t>“</w:t>
      </w:r>
      <w:r w:rsidRPr="00793B1F">
        <w:rPr>
          <w:spacing w:val="-2"/>
        </w:rPr>
        <w:t>applied, adopted or incorporated</w:t>
      </w:r>
      <w:r w:rsidR="000030B4">
        <w:rPr>
          <w:spacing w:val="-2"/>
        </w:rPr>
        <w:t>”</w:t>
      </w:r>
      <w:r w:rsidRPr="00793B1F">
        <w:rPr>
          <w:spacing w:val="-2"/>
        </w:rPr>
        <w:t>) by th</w:t>
      </w:r>
      <w:r>
        <w:rPr>
          <w:spacing w:val="-2"/>
        </w:rPr>
        <w:t xml:space="preserve">is instrument </w:t>
      </w:r>
      <w:r w:rsidRPr="00793B1F">
        <w:rPr>
          <w:spacing w:val="-2"/>
        </w:rPr>
        <w:t xml:space="preserve">would have to be published on the ACT Legislation Register, as a </w:t>
      </w:r>
      <w:r w:rsidR="000030B4">
        <w:rPr>
          <w:spacing w:val="-2"/>
        </w:rPr>
        <w:t>“</w:t>
      </w:r>
      <w:r w:rsidRPr="00793B1F">
        <w:rPr>
          <w:spacing w:val="-2"/>
        </w:rPr>
        <w:t>notifiable</w:t>
      </w:r>
      <w:r w:rsidR="000030B4">
        <w:rPr>
          <w:spacing w:val="-2"/>
        </w:rPr>
        <w:t>”</w:t>
      </w:r>
      <w:r w:rsidRPr="00793B1F">
        <w:rPr>
          <w:spacing w:val="-2"/>
        </w:rPr>
        <w:t xml:space="preserve"> instrument (for section 10 of the Legislation Act). This, in turn, ensures that users of legislation have free access to all the material that they need, in order to understand the full scope and effect of an instrument such as this. The Committee has always taken a strong view that such access is important. As a result, the Committee generally does not look favourably on the disapplication of subsections 47(5) </w:t>
      </w:r>
      <w:r>
        <w:rPr>
          <w:spacing w:val="-2"/>
        </w:rPr>
        <w:t>(</w:t>
      </w:r>
      <w:r w:rsidRPr="00793B1F">
        <w:rPr>
          <w:spacing w:val="-2"/>
        </w:rPr>
        <w:t>and (6)</w:t>
      </w:r>
      <w:r>
        <w:rPr>
          <w:spacing w:val="-2"/>
        </w:rPr>
        <w:t>)</w:t>
      </w:r>
      <w:r w:rsidRPr="00793B1F">
        <w:rPr>
          <w:spacing w:val="-2"/>
        </w:rPr>
        <w:t xml:space="preserve"> of the Legislation Act and seeks an explanation as to why disapplication is necessary, in a particular case.</w:t>
      </w:r>
    </w:p>
    <w:p w14:paraId="38BFD6F8" w14:textId="77777777" w:rsidR="009950A0" w:rsidRDefault="009950A0" w:rsidP="00FD6464">
      <w:pPr>
        <w:pStyle w:val="ListNumber2"/>
        <w:ind w:left="851"/>
        <w:rPr>
          <w:bCs w:val="0"/>
        </w:rPr>
      </w:pPr>
      <w:r>
        <w:t>The Committee notes that, for this instrument, the explanatory statement states:</w:t>
      </w:r>
    </w:p>
    <w:p w14:paraId="32A6BD4A" w14:textId="77777777" w:rsidR="009950A0" w:rsidRPr="00C25438" w:rsidRDefault="009950A0" w:rsidP="0000302D">
      <w:pPr>
        <w:pStyle w:val="Quote"/>
        <w:spacing w:before="120" w:after="120"/>
      </w:pPr>
      <w:r w:rsidRPr="00C25438">
        <w:rPr>
          <w:b/>
        </w:rPr>
        <w:t>Clause 4</w:t>
      </w:r>
      <w:r w:rsidRPr="00C25438">
        <w:t xml:space="preserve"> disapplies the requirement in section 47 (5) of the </w:t>
      </w:r>
      <w:r w:rsidRPr="00C25438">
        <w:rPr>
          <w:i/>
          <w:iCs/>
        </w:rPr>
        <w:t>Legislation Act 2001</w:t>
      </w:r>
      <w:r w:rsidRPr="00C25438">
        <w:t>. Section 47 (5) provides that the text of an instrument applied or incorporated as in force at a particular time in a disallowable instrument is taken to be a notifiable instrument made under the relevant instrument, and therefore must be published on the Legislation Register.</w:t>
      </w:r>
    </w:p>
    <w:p w14:paraId="41B88784" w14:textId="77777777" w:rsidR="009950A0" w:rsidRPr="00C25438" w:rsidRDefault="009950A0" w:rsidP="0000302D">
      <w:pPr>
        <w:pStyle w:val="Quote"/>
        <w:spacing w:before="120" w:after="120"/>
      </w:pPr>
      <w:r w:rsidRPr="00C25438">
        <w:t xml:space="preserve">This instrument incorporates three Australian and New Zealand standards. The standards are technical standards used by electricians to meet regulatory requirements across jurisdictions. Electricians have knowledge of the standards relevant to undertaking their professional services. </w:t>
      </w:r>
    </w:p>
    <w:p w14:paraId="5F339F4E" w14:textId="77777777" w:rsidR="009950A0" w:rsidRPr="00C25438" w:rsidRDefault="009950A0" w:rsidP="0000302D">
      <w:pPr>
        <w:pStyle w:val="Quote"/>
        <w:spacing w:before="120" w:after="120"/>
      </w:pPr>
      <w:r w:rsidRPr="00C25438">
        <w:t xml:space="preserve">The standards referenced are available for purchase from </w:t>
      </w:r>
      <w:hyperlink r:id="rId28" w:history="1">
        <w:r w:rsidRPr="00C25438">
          <w:t>www.standards.org.au</w:t>
        </w:r>
      </w:hyperlink>
      <w:r w:rsidRPr="00C25438">
        <w:t>. There are challenges relating to the ability to provide public access to Australian Standards due to copyright issues.</w:t>
      </w:r>
    </w:p>
    <w:p w14:paraId="5A7350B2" w14:textId="77777777" w:rsidR="009950A0" w:rsidRPr="00C25438" w:rsidRDefault="009950A0" w:rsidP="0000302D">
      <w:pPr>
        <w:pStyle w:val="Quote"/>
        <w:spacing w:before="120" w:after="120"/>
      </w:pPr>
      <w:r>
        <w:t>S</w:t>
      </w:r>
      <w:r w:rsidRPr="00C25438">
        <w:t>tandards Australia has recently released an initiative (Reader Room) that provides limited, no-fee access to the entire catalogue of Australian Standards for non</w:t>
      </w:r>
      <w:r w:rsidRPr="00C25438">
        <w:noBreakHyphen/>
        <w:t>commercial purposes, that is for personal, domestic or household use. This initiative provides access for free to a maximum of three standards every 12 months, with access for 24 hours at a time. The Reader Room is available at </w:t>
      </w:r>
      <w:hyperlink r:id="rId29" w:history="1">
        <w:r w:rsidRPr="00C25438">
          <w:t>https://readerroom.standards.org.au/</w:t>
        </w:r>
      </w:hyperlink>
      <w:r w:rsidRPr="00C25438">
        <w:t>. As these standards are Australian and New Zealand Standards (International Standards), they are not currently available via the Reader Room. Standards Australia is looking to expand the standards available via the Reader Room in the future.</w:t>
      </w:r>
    </w:p>
    <w:p w14:paraId="14EBA2F2" w14:textId="77777777" w:rsidR="009950A0" w:rsidRDefault="009950A0" w:rsidP="00FD6464">
      <w:pPr>
        <w:pStyle w:val="ListNumber2"/>
        <w:ind w:left="851"/>
        <w:rPr>
          <w:bCs w:val="0"/>
        </w:rPr>
      </w:pPr>
      <w:r>
        <w:t>The Committee is pleased to see this development in the accessibility of Australian Standards.</w:t>
      </w:r>
    </w:p>
    <w:p w14:paraId="2ED6CF12" w14:textId="77777777" w:rsidR="009950A0" w:rsidRDefault="009950A0" w:rsidP="00FD6464">
      <w:pPr>
        <w:pStyle w:val="ListNumber2"/>
        <w:ind w:left="851"/>
        <w:rPr>
          <w:bCs w:val="0"/>
        </w:rPr>
      </w:pPr>
      <w:r>
        <w:t xml:space="preserve">The Committee notes that the explanatory statement for the instrument goes on to discuss human rights issues, focussing on the right to work, protected by section 27B of the </w:t>
      </w:r>
      <w:r>
        <w:rPr>
          <w:i/>
          <w:iCs/>
        </w:rPr>
        <w:t>Human Rights Act 2004</w:t>
      </w:r>
      <w:r>
        <w:t>:</w:t>
      </w:r>
    </w:p>
    <w:p w14:paraId="01D29F03" w14:textId="77777777" w:rsidR="009950A0" w:rsidRPr="009267E9" w:rsidRDefault="009950A0" w:rsidP="00CE02FD">
      <w:pPr>
        <w:pStyle w:val="Quote"/>
        <w:spacing w:before="120" w:after="120"/>
        <w:rPr>
          <w:b/>
          <w:bCs/>
        </w:rPr>
      </w:pPr>
      <w:r w:rsidRPr="009267E9">
        <w:rPr>
          <w:b/>
          <w:bCs/>
        </w:rPr>
        <w:t>Human Rights</w:t>
      </w:r>
    </w:p>
    <w:p w14:paraId="082AF5C8" w14:textId="77777777" w:rsidR="009950A0" w:rsidRPr="00DB4240" w:rsidRDefault="009950A0" w:rsidP="00CE02FD">
      <w:pPr>
        <w:pStyle w:val="Quote"/>
        <w:spacing w:before="120" w:after="120"/>
        <w:rPr>
          <w:bCs/>
        </w:rPr>
      </w:pPr>
      <w:r w:rsidRPr="00DB4240">
        <w:rPr>
          <w:bCs/>
        </w:rPr>
        <w:t>The Standing Committee on Justice and Community Safety (Legislative Scrutiny</w:t>
      </w:r>
      <w:r>
        <w:rPr>
          <w:bCs/>
        </w:rPr>
        <w:t xml:space="preserve"> </w:t>
      </w:r>
      <w:r w:rsidRPr="00DB4240">
        <w:rPr>
          <w:bCs/>
        </w:rPr>
        <w:t xml:space="preserve">Role) terms of reference require consideration of human rights impacts of subordinate legislation, among other matters. There are no human rights impacts related to this instrument. </w:t>
      </w:r>
    </w:p>
    <w:p w14:paraId="7323BC44" w14:textId="77777777" w:rsidR="009950A0" w:rsidRPr="00DB4240" w:rsidRDefault="009950A0" w:rsidP="00CE02FD">
      <w:pPr>
        <w:pStyle w:val="Quote"/>
        <w:spacing w:before="120" w:after="120"/>
        <w:rPr>
          <w:bCs/>
        </w:rPr>
      </w:pPr>
      <w:r w:rsidRPr="00DB4240">
        <w:rPr>
          <w:bCs/>
        </w:rPr>
        <w:t>Section 27B (1) of the </w:t>
      </w:r>
      <w:r w:rsidRPr="00DB4240">
        <w:rPr>
          <w:bCs/>
          <w:i/>
          <w:iCs/>
        </w:rPr>
        <w:t>Human Rights Act 2004</w:t>
      </w:r>
      <w:r w:rsidRPr="00DB4240">
        <w:rPr>
          <w:bCs/>
        </w:rPr>
        <w:t xml:space="preserve"> (HRA) expressly provides that the practice of a trade, occupation or professional may be regulated by law. </w:t>
      </w:r>
    </w:p>
    <w:p w14:paraId="710940D7" w14:textId="77777777" w:rsidR="009950A0" w:rsidRPr="00DB4240" w:rsidRDefault="009950A0" w:rsidP="00CE02FD">
      <w:pPr>
        <w:pStyle w:val="Quote"/>
        <w:spacing w:before="120" w:after="120"/>
        <w:rPr>
          <w:bCs/>
        </w:rPr>
      </w:pPr>
      <w:r w:rsidRPr="00DB4240">
        <w:rPr>
          <w:bCs/>
        </w:rPr>
        <w:t xml:space="preserve">A detailed assessment of the human rights implications of the addition of a licence endorsement requirement for electricians to undertake work on certain distributed energy resources was contained in the </w:t>
      </w:r>
      <w:hyperlink r:id="rId30" w:history="1">
        <w:r w:rsidRPr="00DB4240">
          <w:rPr>
            <w:bCs/>
          </w:rPr>
          <w:t>explanatory statement</w:t>
        </w:r>
      </w:hyperlink>
      <w:r w:rsidRPr="00DB4240">
        <w:rPr>
          <w:bCs/>
        </w:rPr>
        <w:t xml:space="preserve"> to the </w:t>
      </w:r>
      <w:r w:rsidRPr="00DB4240">
        <w:rPr>
          <w:bCs/>
          <w:i/>
          <w:iCs/>
        </w:rPr>
        <w:t>Building and Construction Legislation Amendment Act 2023</w:t>
      </w:r>
      <w:r w:rsidRPr="00DB4240">
        <w:rPr>
          <w:bCs/>
        </w:rPr>
        <w:t xml:space="preserve">. </w:t>
      </w:r>
    </w:p>
    <w:p w14:paraId="0B097158" w14:textId="77777777" w:rsidR="009950A0" w:rsidRPr="00E00679" w:rsidRDefault="009950A0" w:rsidP="00FD6464">
      <w:pPr>
        <w:pStyle w:val="ListNumber2"/>
        <w:ind w:left="851"/>
        <w:rPr>
          <w:rFonts w:ascii="Calibri" w:eastAsia="Calibri" w:hAnsi="Calibri" w:cs="Calibri"/>
          <w:color w:val="000000"/>
          <w:lang w:eastAsia="en-AU"/>
        </w:rPr>
      </w:pPr>
      <w:r>
        <w:rPr>
          <w:rFonts w:ascii="Calibri" w:eastAsia="Calibri" w:hAnsi="Calibri" w:cs="Calibri"/>
          <w:color w:val="000000"/>
          <w:lang w:eastAsia="en-AU"/>
        </w:rPr>
        <w:t xml:space="preserve">The </w:t>
      </w:r>
      <w:r w:rsidRPr="00FD6464">
        <w:t>Committee</w:t>
      </w:r>
      <w:r>
        <w:rPr>
          <w:rFonts w:ascii="Calibri" w:eastAsia="Calibri" w:hAnsi="Calibri" w:cs="Calibri"/>
          <w:color w:val="000000"/>
          <w:lang w:eastAsia="en-AU"/>
        </w:rPr>
        <w:t xml:space="preserve"> notes that a similar statement appears in the explanatory statements for the second and third instruments mentioned above.</w:t>
      </w:r>
    </w:p>
    <w:p w14:paraId="044DEC8D" w14:textId="77777777" w:rsidR="009950A0" w:rsidRPr="005904DA" w:rsidRDefault="009950A0" w:rsidP="00FD6464">
      <w:pPr>
        <w:pStyle w:val="ListNumber2"/>
        <w:ind w:left="851"/>
        <w:rPr>
          <w:rFonts w:ascii="Calibri" w:eastAsia="Calibri" w:hAnsi="Calibri" w:cs="Calibri"/>
          <w:b/>
          <w:color w:val="000000"/>
          <w:lang w:eastAsia="en-AU"/>
        </w:rPr>
      </w:pPr>
      <w:r w:rsidRPr="005904DA">
        <w:rPr>
          <w:rFonts w:ascii="Calibri" w:eastAsia="Calibri" w:hAnsi="Calibri" w:cs="Calibri"/>
          <w:b/>
          <w:color w:val="000000"/>
          <w:lang w:eastAsia="en-AU"/>
        </w:rPr>
        <w:t xml:space="preserve">The Committee draws the attention of the Legislative Assembly to the discussion of human rights issues in the explanatory statement for </w:t>
      </w:r>
      <w:r>
        <w:rPr>
          <w:rFonts w:ascii="Calibri" w:eastAsia="Calibri" w:hAnsi="Calibri" w:cs="Calibri"/>
          <w:b/>
          <w:color w:val="000000"/>
          <w:lang w:eastAsia="en-AU"/>
        </w:rPr>
        <w:t>these</w:t>
      </w:r>
      <w:r w:rsidRPr="005904DA">
        <w:rPr>
          <w:rFonts w:ascii="Calibri" w:eastAsia="Calibri" w:hAnsi="Calibri" w:cs="Calibri"/>
          <w:b/>
          <w:color w:val="000000"/>
          <w:lang w:eastAsia="en-AU"/>
        </w:rPr>
        <w:t xml:space="preserve"> instrument</w:t>
      </w:r>
      <w:r>
        <w:rPr>
          <w:rFonts w:ascii="Calibri" w:eastAsia="Calibri" w:hAnsi="Calibri" w:cs="Calibri"/>
          <w:b/>
          <w:color w:val="000000"/>
          <w:lang w:eastAsia="en-AU"/>
        </w:rPr>
        <w:t>s</w:t>
      </w:r>
      <w:r w:rsidRPr="005904DA">
        <w:rPr>
          <w:rFonts w:ascii="Calibri" w:eastAsia="Calibri" w:hAnsi="Calibri" w:cs="Calibri"/>
          <w:b/>
          <w:color w:val="000000"/>
          <w:lang w:eastAsia="en-AU"/>
        </w:rPr>
        <w:t>.</w:t>
      </w:r>
    </w:p>
    <w:p w14:paraId="3C789DD0" w14:textId="77777777" w:rsidR="009950A0" w:rsidRDefault="009950A0" w:rsidP="00FD6464">
      <w:pPr>
        <w:pStyle w:val="ListNumber2"/>
        <w:ind w:left="851"/>
        <w:rPr>
          <w:b/>
        </w:rPr>
      </w:pPr>
      <w:r>
        <w:rPr>
          <w:b/>
        </w:rPr>
        <w:t>This comment does not require a response from the Minister.</w:t>
      </w:r>
    </w:p>
    <w:p w14:paraId="7A4AFE10" w14:textId="77777777" w:rsidR="009950A0" w:rsidRDefault="009950A0" w:rsidP="00CE02FD">
      <w:pPr>
        <w:keepNext/>
        <w:keepLines/>
        <w:spacing w:before="240" w:after="120"/>
        <w:outlineLvl w:val="2"/>
        <w:rPr>
          <w:rFonts w:ascii="Montserrat" w:eastAsia="Times New Roman" w:hAnsi="Montserrat" w:cs="Times New Roman"/>
          <w:b/>
          <w:color w:val="7492CD"/>
          <w:w w:val="90"/>
          <w:kern w:val="2"/>
          <w:sz w:val="28"/>
          <w:szCs w:val="24"/>
        </w:rPr>
      </w:pPr>
      <w:bookmarkStart w:id="194" w:name="_Toc165377056"/>
      <w:bookmarkStart w:id="195" w:name="_Toc165454962"/>
      <w:bookmarkStart w:id="196" w:name="_Toc165552877"/>
      <w:r>
        <w:rPr>
          <w:rFonts w:ascii="Montserrat" w:eastAsia="Times New Roman" w:hAnsi="Montserrat" w:cs="Times New Roman"/>
          <w:b/>
          <w:color w:val="7492CD"/>
          <w:w w:val="90"/>
          <w:kern w:val="2"/>
          <w:sz w:val="28"/>
          <w:szCs w:val="24"/>
        </w:rPr>
        <w:t>Minor drafting issue</w:t>
      </w:r>
      <w:bookmarkEnd w:id="194"/>
      <w:bookmarkEnd w:id="195"/>
      <w:bookmarkEnd w:id="196"/>
    </w:p>
    <w:p w14:paraId="2A01B349" w14:textId="77777777" w:rsidR="009950A0" w:rsidRDefault="009950A0" w:rsidP="00246DE0">
      <w:pPr>
        <w:pStyle w:val="Bodycopy"/>
        <w:numPr>
          <w:ilvl w:val="0"/>
          <w:numId w:val="12"/>
        </w:numPr>
        <w:spacing w:before="120" w:after="120" w:line="280" w:lineRule="exact"/>
        <w:ind w:left="1208" w:hanging="357"/>
        <w:rPr>
          <w:b/>
        </w:rPr>
      </w:pPr>
      <w:bookmarkStart w:id="197" w:name="_Hlk164598991"/>
      <w:r>
        <w:rPr>
          <w:b/>
        </w:rPr>
        <w:t xml:space="preserve">Disallowable </w:t>
      </w:r>
      <w:r w:rsidRPr="00246DE0">
        <w:rPr>
          <w:b/>
          <w:spacing w:val="-2"/>
        </w:rPr>
        <w:t>Instrument</w:t>
      </w:r>
      <w:r w:rsidRPr="00451C85">
        <w:rPr>
          <w:b/>
        </w:rPr>
        <w:t xml:space="preserve"> </w:t>
      </w:r>
      <w:r>
        <w:rPr>
          <w:b/>
        </w:rPr>
        <w:t>DI2024-54</w:t>
      </w:r>
      <w:r w:rsidRPr="00451C85">
        <w:rPr>
          <w:b/>
        </w:rPr>
        <w:t xml:space="preserve"> being the </w:t>
      </w:r>
      <w:r>
        <w:rPr>
          <w:b/>
        </w:rPr>
        <w:t xml:space="preserve">ACT Teacher Quality Institute Board Appointment 2024 (No 1) made </w:t>
      </w:r>
      <w:bookmarkStart w:id="198" w:name="_Hlk164600070"/>
      <w:r>
        <w:rPr>
          <w:b/>
        </w:rPr>
        <w:t xml:space="preserve">under sections 14 and 15 of the </w:t>
      </w:r>
      <w:r>
        <w:rPr>
          <w:i/>
        </w:rPr>
        <w:t xml:space="preserve">ACT Teacher Quality Institute Act 2010 </w:t>
      </w:r>
      <w:r>
        <w:rPr>
          <w:b/>
        </w:rPr>
        <w:t xml:space="preserve">and sections 78 and 79 of the </w:t>
      </w:r>
      <w:r w:rsidRPr="00EE54F2">
        <w:rPr>
          <w:bCs/>
          <w:i/>
          <w:iCs/>
        </w:rPr>
        <w:t>Fin</w:t>
      </w:r>
      <w:r>
        <w:rPr>
          <w:i/>
        </w:rPr>
        <w:t>ancial Management Act 1996</w:t>
      </w:r>
      <w:r w:rsidRPr="00236BDD">
        <w:rPr>
          <w:b/>
        </w:rPr>
        <w:t xml:space="preserve"> </w:t>
      </w:r>
      <w:bookmarkEnd w:id="198"/>
      <w:r>
        <w:rPr>
          <w:b/>
        </w:rPr>
        <w:t xml:space="preserve">appoints a specified person as a member, nominated by the Australian Catholic University (ACT Campus), of the Board of the ACT Teacher Quality Institute. </w:t>
      </w:r>
    </w:p>
    <w:p w14:paraId="1E47BA95" w14:textId="77777777" w:rsidR="009950A0" w:rsidRDefault="009950A0" w:rsidP="00FD6464">
      <w:pPr>
        <w:pStyle w:val="ListNumber2"/>
        <w:ind w:left="851"/>
        <w:rPr>
          <w:bCs w:val="0"/>
        </w:rPr>
      </w:pPr>
      <w:r>
        <w:t xml:space="preserve">This instrument appoints a specified person as a member </w:t>
      </w:r>
      <w:r w:rsidRPr="00EE54F2">
        <w:t>of the Board of the ACT Teacher Quality Institute.</w:t>
      </w:r>
      <w:r>
        <w:t xml:space="preserve">  The formal part of the instrument states that it is made </w:t>
      </w:r>
      <w:r w:rsidRPr="00EE54F2">
        <w:t xml:space="preserve">under sections 14 and 15 of the </w:t>
      </w:r>
      <w:bookmarkStart w:id="199" w:name="_Hlk164600169"/>
      <w:r w:rsidRPr="00EE54F2">
        <w:rPr>
          <w:i/>
          <w:iCs/>
        </w:rPr>
        <w:t xml:space="preserve">ACT Teacher Quality Institute Act </w:t>
      </w:r>
      <w:bookmarkEnd w:id="199"/>
      <w:r w:rsidRPr="00EE54F2">
        <w:rPr>
          <w:i/>
          <w:iCs/>
        </w:rPr>
        <w:t>2010</w:t>
      </w:r>
      <w:r w:rsidRPr="00EE54F2">
        <w:t xml:space="preserve"> and sections 78 and 79 of the </w:t>
      </w:r>
      <w:r w:rsidRPr="00EE54F2">
        <w:rPr>
          <w:i/>
          <w:iCs/>
        </w:rPr>
        <w:t>Financial Management Act 1996</w:t>
      </w:r>
      <w:r>
        <w:t xml:space="preserve">.  The Committee notes that section 14 of the </w:t>
      </w:r>
      <w:r w:rsidRPr="00EE54F2">
        <w:t>ACT Teacher Quality Institute Act</w:t>
      </w:r>
      <w:r>
        <w:t xml:space="preserve"> establishes the Board.  Section 15 of that Act then states that members must be appointed on the recommendation of various organisations and to replace various specified interests,</w:t>
      </w:r>
    </w:p>
    <w:p w14:paraId="40CDAF69" w14:textId="67DC7AF5" w:rsidR="009950A0" w:rsidRDefault="009950A0" w:rsidP="00FD6464">
      <w:pPr>
        <w:pStyle w:val="ListNumber2"/>
        <w:ind w:left="851"/>
        <w:rPr>
          <w:bCs w:val="0"/>
        </w:rPr>
      </w:pPr>
      <w:r>
        <w:t>S</w:t>
      </w:r>
      <w:r w:rsidRPr="00EE54F2">
        <w:t>ection</w:t>
      </w:r>
      <w:r>
        <w:t xml:space="preserve"> </w:t>
      </w:r>
      <w:r w:rsidRPr="00EE54F2">
        <w:t xml:space="preserve">78 of the </w:t>
      </w:r>
      <w:r w:rsidRPr="00EE54F2">
        <w:rPr>
          <w:i/>
          <w:iCs/>
        </w:rPr>
        <w:t>Financial Management Act 1996</w:t>
      </w:r>
      <w:r>
        <w:rPr>
          <w:i/>
          <w:iCs/>
        </w:rPr>
        <w:t xml:space="preserve"> </w:t>
      </w:r>
      <w:r>
        <w:t>(m</w:t>
      </w:r>
      <w:r w:rsidRPr="00EE54F2">
        <w:t>entioned in section 14 of the ACT Teacher Quality Institute Act</w:t>
      </w:r>
      <w:r>
        <w:t xml:space="preserve">) provides for the </w:t>
      </w:r>
      <w:r w:rsidR="000030B4">
        <w:t>“</w:t>
      </w:r>
      <w:r w:rsidRPr="00EE54F2">
        <w:t>Appointment of governing board members generally</w:t>
      </w:r>
      <w:r w:rsidR="000030B4">
        <w:t>”</w:t>
      </w:r>
      <w:r>
        <w:t xml:space="preserve">.  Section 79 (which is mentioned in section 15 of the </w:t>
      </w:r>
      <w:r w:rsidRPr="00EE54F2">
        <w:t>ACT Teacher Quality Institute Act</w:t>
      </w:r>
      <w:r>
        <w:t xml:space="preserve">) then deals with the </w:t>
      </w:r>
      <w:r w:rsidR="000030B4">
        <w:t>“</w:t>
      </w:r>
      <w:r w:rsidRPr="00EE54F2">
        <w:t>Appointment of chair and deputy chair</w:t>
      </w:r>
      <w:r w:rsidR="000030B4">
        <w:t>”</w:t>
      </w:r>
      <w:r>
        <w:t>.</w:t>
      </w:r>
    </w:p>
    <w:p w14:paraId="2DCF1B59" w14:textId="77777777" w:rsidR="009950A0" w:rsidRDefault="009950A0" w:rsidP="00FD6464">
      <w:pPr>
        <w:pStyle w:val="ListNumber2"/>
        <w:ind w:left="851"/>
        <w:rPr>
          <w:bCs w:val="0"/>
        </w:rPr>
      </w:pPr>
      <w:r>
        <w:t xml:space="preserve">The person specified in the instrument is appointed only as a member of the Board.  As a result, the reference to section 79 of the </w:t>
      </w:r>
      <w:r w:rsidRPr="00EE54F2">
        <w:t>Financial Management Act</w:t>
      </w:r>
      <w:r>
        <w:t xml:space="preserve"> would appear to be unnecessary.</w:t>
      </w:r>
    </w:p>
    <w:p w14:paraId="7D58F4C1" w14:textId="77777777" w:rsidR="009950A0" w:rsidRDefault="009950A0" w:rsidP="00FD6464">
      <w:pPr>
        <w:pStyle w:val="ListNumber2"/>
        <w:ind w:left="851"/>
        <w:rPr>
          <w:b/>
        </w:rPr>
      </w:pPr>
      <w:r>
        <w:rPr>
          <w:b/>
        </w:rPr>
        <w:t>This comment does not require a response from the Minister.</w:t>
      </w:r>
    </w:p>
    <w:p w14:paraId="58B27EA2" w14:textId="77777777" w:rsidR="009950A0" w:rsidRPr="002E5741" w:rsidRDefault="009950A0" w:rsidP="00CE02FD">
      <w:pPr>
        <w:keepNext/>
        <w:keepLines/>
        <w:spacing w:before="240" w:after="120"/>
        <w:outlineLvl w:val="2"/>
        <w:rPr>
          <w:rFonts w:ascii="Montserrat" w:eastAsia="Times New Roman" w:hAnsi="Montserrat" w:cs="Times New Roman"/>
          <w:b/>
          <w:color w:val="7492CD"/>
          <w:w w:val="90"/>
          <w:kern w:val="2"/>
          <w:sz w:val="28"/>
          <w:szCs w:val="24"/>
        </w:rPr>
      </w:pPr>
      <w:bookmarkStart w:id="200" w:name="_Toc165377057"/>
      <w:bookmarkStart w:id="201" w:name="_Toc165454963"/>
      <w:bookmarkStart w:id="202" w:name="_Toc165552878"/>
      <w:bookmarkEnd w:id="197"/>
      <w:r w:rsidRPr="002E5741">
        <w:rPr>
          <w:rFonts w:ascii="Montserrat" w:eastAsia="Times New Roman" w:hAnsi="Montserrat" w:cs="Times New Roman"/>
          <w:b/>
          <w:color w:val="7492CD"/>
          <w:w w:val="90"/>
          <w:kern w:val="2"/>
          <w:sz w:val="28"/>
          <w:szCs w:val="24"/>
        </w:rPr>
        <w:t>No Human Rights Issues</w:t>
      </w:r>
      <w:bookmarkEnd w:id="169"/>
      <w:bookmarkEnd w:id="200"/>
      <w:bookmarkEnd w:id="201"/>
      <w:bookmarkEnd w:id="202"/>
    </w:p>
    <w:p w14:paraId="52B0E3B1" w14:textId="77777777" w:rsidR="009950A0" w:rsidRPr="00842199" w:rsidRDefault="009950A0" w:rsidP="00246DE0">
      <w:pPr>
        <w:pStyle w:val="Bodycopy"/>
        <w:numPr>
          <w:ilvl w:val="0"/>
          <w:numId w:val="12"/>
        </w:numPr>
        <w:spacing w:before="120" w:after="120" w:line="280" w:lineRule="exact"/>
        <w:ind w:left="1208" w:hanging="357"/>
        <w:rPr>
          <w:b/>
        </w:rPr>
      </w:pPr>
      <w:bookmarkStart w:id="203" w:name="_Hlk148265584"/>
      <w:r>
        <w:rPr>
          <w:b/>
        </w:rPr>
        <w:t xml:space="preserve">Disallowable </w:t>
      </w:r>
      <w:r w:rsidRPr="00246DE0">
        <w:rPr>
          <w:b/>
          <w:spacing w:val="-2"/>
        </w:rPr>
        <w:t>Instrument</w:t>
      </w:r>
      <w:r w:rsidRPr="00451C85">
        <w:rPr>
          <w:b/>
        </w:rPr>
        <w:t xml:space="preserve"> </w:t>
      </w:r>
      <w:r>
        <w:rPr>
          <w:b/>
        </w:rPr>
        <w:t>DI2024-36</w:t>
      </w:r>
      <w:r w:rsidRPr="00451C85">
        <w:rPr>
          <w:b/>
        </w:rPr>
        <w:t xml:space="preserve"> being the </w:t>
      </w:r>
      <w:r>
        <w:rPr>
          <w:b/>
        </w:rPr>
        <w:t xml:space="preserve">Construction Occupations (Licensing) (Fees) Determination 2024 (No 1) </w:t>
      </w:r>
      <w:bookmarkStart w:id="204" w:name="_Hlk164594387"/>
      <w:r>
        <w:rPr>
          <w:b/>
        </w:rPr>
        <w:t xml:space="preserve">made under section 127 of the </w:t>
      </w:r>
      <w:r>
        <w:rPr>
          <w:i/>
        </w:rPr>
        <w:t>Construction Occupations (Licensing) Act 2004</w:t>
      </w:r>
      <w:r w:rsidRPr="00236BDD">
        <w:rPr>
          <w:b/>
        </w:rPr>
        <w:t xml:space="preserve"> </w:t>
      </w:r>
      <w:r>
        <w:rPr>
          <w:b/>
        </w:rPr>
        <w:t>revokes DI2023-126 and determines fees payable for the purposes of the Act</w:t>
      </w:r>
      <w:bookmarkEnd w:id="204"/>
      <w:r>
        <w:rPr>
          <w:b/>
        </w:rPr>
        <w:t xml:space="preserve">. </w:t>
      </w:r>
    </w:p>
    <w:p w14:paraId="671BEB25" w14:textId="77777777" w:rsidR="009950A0" w:rsidRDefault="009950A0" w:rsidP="00FD6464">
      <w:pPr>
        <w:pStyle w:val="ListNumber2"/>
        <w:ind w:left="851"/>
      </w:pPr>
      <w:r w:rsidRPr="002E5741">
        <w:rPr>
          <w:rFonts w:eastAsia="Calibri"/>
        </w:rPr>
        <w:t>Th</w:t>
      </w:r>
      <w:r>
        <w:rPr>
          <w:rFonts w:eastAsia="Calibri"/>
        </w:rPr>
        <w:t xml:space="preserve">is </w:t>
      </w:r>
      <w:r w:rsidRPr="00FD6464">
        <w:t>instrument</w:t>
      </w:r>
      <w:r>
        <w:rPr>
          <w:rFonts w:eastAsia="Calibri"/>
        </w:rPr>
        <w:t xml:space="preserve">, </w:t>
      </w:r>
      <w:r w:rsidRPr="00E00679">
        <w:t xml:space="preserve">made under section 127 of the </w:t>
      </w:r>
      <w:r w:rsidRPr="00E00679">
        <w:rPr>
          <w:i/>
          <w:iCs/>
        </w:rPr>
        <w:t>Construction Occupations (Licensing) Act 2004</w:t>
      </w:r>
      <w:r>
        <w:rPr>
          <w:i/>
          <w:iCs/>
        </w:rPr>
        <w:t xml:space="preserve">, </w:t>
      </w:r>
      <w:r w:rsidRPr="00E00679">
        <w:t>determines fees payable for the purposes of th</w:t>
      </w:r>
      <w:r>
        <w:t>at</w:t>
      </w:r>
      <w:r w:rsidRPr="00E00679">
        <w:t xml:space="preserve"> Act</w:t>
      </w:r>
      <w:r>
        <w:t>.</w:t>
      </w:r>
    </w:p>
    <w:p w14:paraId="3518CF39" w14:textId="77777777" w:rsidR="009950A0" w:rsidRPr="00241311" w:rsidRDefault="009950A0" w:rsidP="00FD6464">
      <w:pPr>
        <w:pStyle w:val="ListNumber2"/>
        <w:ind w:left="851"/>
        <w:rPr>
          <w:rFonts w:ascii="Calibri" w:eastAsia="Calibri" w:hAnsi="Calibri" w:cs="Calibri"/>
          <w:bCs w:val="0"/>
          <w:color w:val="000000"/>
        </w:rPr>
      </w:pPr>
      <w:bookmarkStart w:id="205" w:name="_Hlk148272887"/>
      <w:bookmarkEnd w:id="203"/>
      <w:r>
        <w:rPr>
          <w:rFonts w:ascii="Calibri" w:eastAsia="Calibri" w:hAnsi="Calibri" w:cs="Calibri"/>
          <w:color w:val="000000"/>
        </w:rPr>
        <w:t xml:space="preserve">The </w:t>
      </w:r>
      <w:r w:rsidRPr="00FD6464">
        <w:t>Committee</w:t>
      </w:r>
      <w:r>
        <w:rPr>
          <w:rFonts w:ascii="Calibri" w:eastAsia="Calibri" w:hAnsi="Calibri" w:cs="Calibri"/>
          <w:color w:val="000000"/>
        </w:rPr>
        <w:t xml:space="preserve"> notes that the explanatory statement for the instruments contains a statement to the effect that no human rights are engaged by the instrument.</w:t>
      </w:r>
    </w:p>
    <w:p w14:paraId="13D27CF3" w14:textId="77777777" w:rsidR="009950A0" w:rsidRPr="0048639A" w:rsidRDefault="009950A0" w:rsidP="00FD6464">
      <w:pPr>
        <w:pStyle w:val="ListNumber2"/>
        <w:ind w:left="851"/>
        <w:rPr>
          <w:rFonts w:ascii="Calibri" w:eastAsia="Calibri" w:hAnsi="Calibri" w:cs="Calibri"/>
          <w:b/>
          <w:color w:val="000000"/>
        </w:rPr>
      </w:pPr>
      <w:bookmarkStart w:id="206" w:name="_Hlk163380496"/>
      <w:r w:rsidRPr="0048639A">
        <w:rPr>
          <w:rFonts w:ascii="Calibri" w:eastAsia="Calibri" w:hAnsi="Calibri" w:cs="Calibri"/>
          <w:b/>
          <w:color w:val="000000"/>
        </w:rPr>
        <w:t>The Committee draws the attention of the Legislative Assembly to the discussion of human rights issues in the explanatory statement for</w:t>
      </w:r>
      <w:r>
        <w:rPr>
          <w:rFonts w:ascii="Calibri" w:eastAsia="Calibri" w:hAnsi="Calibri" w:cs="Calibri"/>
          <w:b/>
          <w:color w:val="000000"/>
        </w:rPr>
        <w:t xml:space="preserve"> </w:t>
      </w:r>
      <w:r w:rsidRPr="0048639A">
        <w:rPr>
          <w:rFonts w:ascii="Calibri" w:eastAsia="Calibri" w:hAnsi="Calibri" w:cs="Calibri"/>
          <w:b/>
          <w:color w:val="000000"/>
        </w:rPr>
        <w:t>th</w:t>
      </w:r>
      <w:r>
        <w:rPr>
          <w:rFonts w:ascii="Calibri" w:eastAsia="Calibri" w:hAnsi="Calibri" w:cs="Calibri"/>
          <w:b/>
          <w:color w:val="000000"/>
        </w:rPr>
        <w:t>is instrument</w:t>
      </w:r>
      <w:r w:rsidRPr="0048639A">
        <w:rPr>
          <w:rFonts w:ascii="Calibri" w:eastAsia="Calibri" w:hAnsi="Calibri" w:cs="Calibri"/>
          <w:b/>
          <w:color w:val="000000"/>
        </w:rPr>
        <w:t>.</w:t>
      </w:r>
    </w:p>
    <w:p w14:paraId="0D103572" w14:textId="77777777" w:rsidR="009950A0" w:rsidRPr="0048639A" w:rsidRDefault="009950A0" w:rsidP="0000302D">
      <w:pPr>
        <w:pStyle w:val="ListNumber2"/>
        <w:spacing w:after="240"/>
        <w:ind w:left="851"/>
        <w:rPr>
          <w:rFonts w:ascii="Calibri" w:eastAsia="Calibri" w:hAnsi="Calibri" w:cs="Calibri"/>
          <w:b/>
          <w:color w:val="000000"/>
        </w:rPr>
      </w:pPr>
      <w:bookmarkStart w:id="207" w:name="_Hlk150685589"/>
      <w:r w:rsidRPr="0048639A">
        <w:rPr>
          <w:rFonts w:ascii="Calibri" w:eastAsia="Calibri" w:hAnsi="Calibri" w:cs="Calibri"/>
          <w:b/>
          <w:color w:val="000000"/>
        </w:rPr>
        <w:t xml:space="preserve">This comment </w:t>
      </w:r>
      <w:bookmarkEnd w:id="207"/>
      <w:r w:rsidRPr="0048639A">
        <w:rPr>
          <w:rFonts w:ascii="Calibri" w:eastAsia="Calibri" w:hAnsi="Calibri" w:cs="Calibri"/>
          <w:b/>
          <w:color w:val="000000"/>
        </w:rPr>
        <w:t>does not require a response from the Minister.</w:t>
      </w:r>
    </w:p>
    <w:p w14:paraId="547B1E16" w14:textId="74C2DB1B" w:rsidR="009950A0" w:rsidRDefault="009950A0" w:rsidP="000030B4">
      <w:pPr>
        <w:pStyle w:val="Heading20"/>
      </w:pPr>
      <w:bookmarkStart w:id="208" w:name="_Toc165552879"/>
      <w:bookmarkStart w:id="209" w:name="_Hlk135239681"/>
      <w:bookmarkEnd w:id="205"/>
      <w:bookmarkEnd w:id="206"/>
      <w:r>
        <w:t>Subordinate Laws</w:t>
      </w:r>
      <w:r w:rsidR="00246DE0">
        <w:t>—</w:t>
      </w:r>
      <w:r>
        <w:t>Comment</w:t>
      </w:r>
      <w:bookmarkEnd w:id="208"/>
    </w:p>
    <w:p w14:paraId="123E0431" w14:textId="77777777" w:rsidR="009950A0" w:rsidRDefault="009950A0" w:rsidP="00FD6464">
      <w:pPr>
        <w:pStyle w:val="ListNumber2"/>
        <w:ind w:left="851"/>
      </w:pPr>
      <w:r>
        <w:t>The Committee has examined the following subordinate laws and offers these comments on them:</w:t>
      </w:r>
    </w:p>
    <w:bookmarkEnd w:id="209"/>
    <w:p w14:paraId="7033893D" w14:textId="77777777" w:rsidR="009950A0" w:rsidRPr="00842199" w:rsidRDefault="009950A0" w:rsidP="00246DE0">
      <w:pPr>
        <w:pStyle w:val="Bodycopy"/>
        <w:numPr>
          <w:ilvl w:val="0"/>
          <w:numId w:val="12"/>
        </w:numPr>
        <w:spacing w:before="120" w:after="120" w:line="280" w:lineRule="exact"/>
        <w:ind w:left="1208" w:hanging="357"/>
        <w:rPr>
          <w:b/>
        </w:rPr>
      </w:pPr>
      <w:r w:rsidRPr="00246DE0">
        <w:rPr>
          <w:b/>
          <w:spacing w:val="-2"/>
        </w:rPr>
        <w:t>Subordinate</w:t>
      </w:r>
      <w:r>
        <w:rPr>
          <w:b/>
        </w:rPr>
        <w:t xml:space="preserve"> Law</w:t>
      </w:r>
      <w:r w:rsidRPr="00451C85">
        <w:rPr>
          <w:b/>
        </w:rPr>
        <w:t xml:space="preserve"> </w:t>
      </w:r>
      <w:r>
        <w:rPr>
          <w:b/>
        </w:rPr>
        <w:t>SL2024-2</w:t>
      </w:r>
      <w:r w:rsidRPr="00451C85">
        <w:rPr>
          <w:b/>
        </w:rPr>
        <w:t xml:space="preserve"> being the </w:t>
      </w:r>
      <w:r>
        <w:rPr>
          <w:b/>
        </w:rPr>
        <w:t xml:space="preserve">Magistrates Court (Building Infringement Notices) Amendment Regulation 2024 (No 1) made under the </w:t>
      </w:r>
      <w:r>
        <w:rPr>
          <w:i/>
        </w:rPr>
        <w:t>Magistrates Court Act 1930</w:t>
      </w:r>
      <w:r w:rsidRPr="00236BDD">
        <w:rPr>
          <w:b/>
        </w:rPr>
        <w:t xml:space="preserve"> </w:t>
      </w:r>
      <w:r>
        <w:rPr>
          <w:b/>
        </w:rPr>
        <w:t xml:space="preserve">enables infringement notices to be issued for certain offences against the </w:t>
      </w:r>
      <w:r w:rsidRPr="00E60136">
        <w:rPr>
          <w:b/>
          <w:i/>
          <w:iCs/>
        </w:rPr>
        <w:t>Building Act 2024</w:t>
      </w:r>
      <w:r>
        <w:rPr>
          <w:b/>
        </w:rPr>
        <w:t xml:space="preserve">. </w:t>
      </w:r>
    </w:p>
    <w:p w14:paraId="0424E745" w14:textId="77777777" w:rsidR="009950A0" w:rsidRPr="00301740" w:rsidRDefault="009950A0" w:rsidP="009950A0">
      <w:pPr>
        <w:keepNext/>
        <w:keepLines/>
        <w:spacing w:before="200" w:after="120"/>
        <w:outlineLvl w:val="3"/>
        <w:rPr>
          <w:rFonts w:ascii="Montserrat SemiBold" w:eastAsia="Calibri" w:hAnsi="Montserrat SemiBold" w:cs="Times New Roman"/>
          <w:i/>
          <w:iCs/>
          <w:color w:val="2F5496"/>
          <w:w w:val="90"/>
          <w:kern w:val="2"/>
          <w:sz w:val="24"/>
          <w:szCs w:val="24"/>
          <w:lang w:eastAsia="en-AU"/>
        </w:rPr>
      </w:pPr>
      <w:bookmarkStart w:id="210" w:name="_Toc165377059"/>
      <w:bookmarkStart w:id="211" w:name="_Toc165454965"/>
      <w:bookmarkStart w:id="212" w:name="_Toc165552880"/>
      <w:r w:rsidRPr="00301740">
        <w:rPr>
          <w:rFonts w:ascii="Montserrat SemiBold" w:eastAsia="Calibri" w:hAnsi="Montserrat SemiBold" w:cs="Times New Roman"/>
          <w:iCs/>
          <w:color w:val="2F5496"/>
          <w:w w:val="90"/>
          <w:kern w:val="2"/>
          <w:sz w:val="24"/>
          <w:szCs w:val="24"/>
          <w:lang w:eastAsia="en-AU"/>
        </w:rPr>
        <w:t xml:space="preserve">Report under section 38 of the </w:t>
      </w:r>
      <w:r w:rsidRPr="00301740">
        <w:rPr>
          <w:rFonts w:ascii="Montserrat SemiBold" w:eastAsia="Calibri" w:hAnsi="Montserrat SemiBold" w:cs="Times New Roman"/>
          <w:i/>
          <w:iCs/>
          <w:color w:val="2F5496"/>
          <w:w w:val="90"/>
          <w:kern w:val="2"/>
          <w:sz w:val="24"/>
          <w:szCs w:val="24"/>
          <w:lang w:eastAsia="en-AU"/>
        </w:rPr>
        <w:t xml:space="preserve">Human Rights Act 2004 </w:t>
      </w:r>
      <w:r w:rsidRPr="00301740">
        <w:rPr>
          <w:rFonts w:ascii="Montserrat SemiBold" w:eastAsia="Calibri" w:hAnsi="Montserrat SemiBold" w:cs="Times New Roman"/>
          <w:iCs/>
          <w:color w:val="2F5496"/>
          <w:w w:val="90"/>
          <w:kern w:val="2"/>
          <w:sz w:val="24"/>
          <w:szCs w:val="24"/>
          <w:lang w:eastAsia="en-AU"/>
        </w:rPr>
        <w:t>(HRA)</w:t>
      </w:r>
      <w:bookmarkEnd w:id="210"/>
      <w:bookmarkEnd w:id="211"/>
      <w:bookmarkEnd w:id="212"/>
    </w:p>
    <w:p w14:paraId="16C8EA28" w14:textId="77777777" w:rsidR="009950A0" w:rsidRPr="00301740" w:rsidRDefault="009950A0" w:rsidP="0000302D">
      <w:pPr>
        <w:keepNext/>
        <w:keepLines/>
        <w:spacing w:before="120" w:after="120"/>
        <w:outlineLvl w:val="4"/>
        <w:rPr>
          <w:rFonts w:ascii="Montserrat" w:eastAsia="Times New Roman" w:hAnsi="Montserrat" w:cs="Times New Roman"/>
          <w:iCs/>
          <w:color w:val="2F5496"/>
          <w:w w:val="90"/>
          <w:kern w:val="2"/>
          <w:sz w:val="23"/>
          <w:szCs w:val="20"/>
        </w:rPr>
      </w:pPr>
      <w:r w:rsidRPr="00301740">
        <w:rPr>
          <w:rFonts w:ascii="Montserrat" w:eastAsia="Times New Roman" w:hAnsi="Montserrat" w:cs="Times New Roman"/>
          <w:iCs/>
          <w:color w:val="2F5496"/>
          <w:w w:val="90"/>
          <w:kern w:val="2"/>
          <w:sz w:val="23"/>
          <w:szCs w:val="20"/>
        </w:rPr>
        <w:t>Rights in criminal proceedings (section 22 HRA)</w:t>
      </w:r>
    </w:p>
    <w:p w14:paraId="34CBBAD4" w14:textId="77777777" w:rsidR="009950A0" w:rsidRDefault="009950A0" w:rsidP="00FD6464">
      <w:pPr>
        <w:pStyle w:val="ListNumber2"/>
        <w:ind w:left="851"/>
        <w:rPr>
          <w:rFonts w:ascii="Calibri" w:eastAsia="Calibri" w:hAnsi="Calibri" w:cs="Calibri"/>
          <w:bCs w:val="0"/>
          <w:color w:val="000000"/>
        </w:rPr>
      </w:pPr>
      <w:r w:rsidRPr="00FD6464">
        <w:t>Part</w:t>
      </w:r>
      <w:r w:rsidRPr="00301740">
        <w:rPr>
          <w:rFonts w:ascii="Calibri" w:eastAsia="Calibri" w:hAnsi="Calibri" w:cs="Calibri"/>
          <w:color w:val="000000"/>
        </w:rPr>
        <w:t xml:space="preserve"> 3.8 of </w:t>
      </w:r>
      <w:r w:rsidRPr="00FD6464">
        <w:t>the</w:t>
      </w:r>
      <w:r w:rsidRPr="00301740">
        <w:rPr>
          <w:rFonts w:ascii="Calibri" w:eastAsia="Calibri" w:hAnsi="Calibri" w:cs="Calibri"/>
          <w:color w:val="000000"/>
        </w:rPr>
        <w:t xml:space="preserve"> </w:t>
      </w:r>
      <w:r w:rsidRPr="00301740">
        <w:rPr>
          <w:rFonts w:ascii="Calibri" w:eastAsia="Calibri" w:hAnsi="Calibri" w:cs="Calibri"/>
          <w:i/>
          <w:iCs/>
          <w:color w:val="000000"/>
        </w:rPr>
        <w:t>Magistrates Court Act 1930</w:t>
      </w:r>
      <w:r w:rsidRPr="00301740">
        <w:rPr>
          <w:rFonts w:ascii="Calibri" w:eastAsia="Calibri" w:hAnsi="Calibri" w:cs="Calibri"/>
          <w:color w:val="000000"/>
        </w:rPr>
        <w:t xml:space="preserve"> creates a system of infringement notices for certain offences, as an alternative to prosecution.  Under section 119 of that Act, regulations may be made prescribing offences as infringement notice offences.  This subordinate law is made for section 119 and will allow infringement notices to be issued in relation to certain offences under the </w:t>
      </w:r>
      <w:r>
        <w:rPr>
          <w:rFonts w:ascii="Calibri" w:eastAsia="Calibri" w:hAnsi="Calibri" w:cs="Calibri"/>
          <w:i/>
          <w:iCs/>
          <w:color w:val="000000"/>
        </w:rPr>
        <w:t xml:space="preserve">Building Act </w:t>
      </w:r>
      <w:r w:rsidRPr="00301740">
        <w:rPr>
          <w:rFonts w:ascii="Calibri" w:eastAsia="Calibri" w:hAnsi="Calibri" w:cs="Calibri"/>
          <w:i/>
          <w:iCs/>
          <w:color w:val="000000"/>
        </w:rPr>
        <w:t xml:space="preserve"> 202</w:t>
      </w:r>
      <w:r>
        <w:rPr>
          <w:rFonts w:ascii="Calibri" w:eastAsia="Calibri" w:hAnsi="Calibri" w:cs="Calibri"/>
          <w:i/>
          <w:iCs/>
          <w:color w:val="000000"/>
        </w:rPr>
        <w:t>4</w:t>
      </w:r>
      <w:r w:rsidRPr="00301740">
        <w:rPr>
          <w:rFonts w:ascii="Calibri" w:eastAsia="Calibri" w:hAnsi="Calibri" w:cs="Calibri"/>
          <w:color w:val="000000"/>
        </w:rPr>
        <w:t>.</w:t>
      </w:r>
    </w:p>
    <w:p w14:paraId="06CB16A2" w14:textId="77777777" w:rsidR="009950A0" w:rsidRDefault="009950A0" w:rsidP="00FD6464">
      <w:pPr>
        <w:pStyle w:val="ListNumber2"/>
        <w:ind w:left="851"/>
        <w:rPr>
          <w:rFonts w:ascii="Calibri" w:eastAsia="Calibri" w:hAnsi="Calibri" w:cs="Calibri"/>
          <w:bCs w:val="0"/>
          <w:color w:val="000000"/>
        </w:rPr>
      </w:pPr>
      <w:r>
        <w:rPr>
          <w:rFonts w:ascii="Calibri" w:eastAsia="Calibri" w:hAnsi="Calibri" w:cs="Calibri"/>
          <w:color w:val="000000"/>
        </w:rPr>
        <w:t xml:space="preserve">The </w:t>
      </w:r>
      <w:r w:rsidRPr="00FD6464">
        <w:t>Committee</w:t>
      </w:r>
      <w:r>
        <w:rPr>
          <w:rFonts w:ascii="Calibri" w:eastAsia="Calibri" w:hAnsi="Calibri" w:cs="Calibri"/>
          <w:color w:val="000000"/>
        </w:rPr>
        <w:t xml:space="preserve"> notes that it has become accustomed to the explanatory statements for subordinate laws made under section 119 of the Magistrates Court Act to discuss human rights, by reference to the rights in criminal proceedings, protected by section 22 of the </w:t>
      </w:r>
      <w:r>
        <w:rPr>
          <w:rFonts w:ascii="Calibri" w:eastAsia="Calibri" w:hAnsi="Calibri" w:cs="Calibri"/>
          <w:i/>
          <w:iCs/>
          <w:color w:val="000000"/>
        </w:rPr>
        <w:t>Human Rights Act 2004</w:t>
      </w:r>
      <w:r>
        <w:rPr>
          <w:rFonts w:ascii="Calibri" w:eastAsia="Calibri" w:hAnsi="Calibri" w:cs="Calibri"/>
          <w:color w:val="000000"/>
        </w:rPr>
        <w:t>.  The particular issue is the reliance on strict liability offences, which goes against the presumption of innocence, enshrined in subsection 22(1) of the Human Rights Act.</w:t>
      </w:r>
    </w:p>
    <w:p w14:paraId="3830007F" w14:textId="77777777" w:rsidR="009950A0" w:rsidRDefault="009950A0" w:rsidP="00FD6464">
      <w:pPr>
        <w:pStyle w:val="ListNumber2"/>
        <w:ind w:left="851"/>
        <w:rPr>
          <w:rFonts w:ascii="Calibri" w:eastAsia="Calibri" w:hAnsi="Calibri" w:cs="Calibri"/>
          <w:bCs w:val="0"/>
          <w:color w:val="000000"/>
        </w:rPr>
      </w:pPr>
      <w:r>
        <w:rPr>
          <w:rFonts w:ascii="Calibri" w:eastAsia="Calibri" w:hAnsi="Calibri" w:cs="Calibri"/>
          <w:color w:val="000000"/>
        </w:rPr>
        <w:t xml:space="preserve">The </w:t>
      </w:r>
      <w:r w:rsidRPr="00FD6464">
        <w:t>Committee</w:t>
      </w:r>
      <w:r>
        <w:rPr>
          <w:rFonts w:ascii="Calibri" w:eastAsia="Calibri" w:hAnsi="Calibri" w:cs="Calibri"/>
          <w:color w:val="000000"/>
        </w:rPr>
        <w:t xml:space="preserve"> notes that, for this subordinate law, the explanatory statement states:</w:t>
      </w:r>
    </w:p>
    <w:p w14:paraId="248FD218" w14:textId="77777777" w:rsidR="009950A0" w:rsidRPr="009267E9" w:rsidRDefault="009950A0" w:rsidP="009267E9">
      <w:pPr>
        <w:pStyle w:val="Quote"/>
        <w:rPr>
          <w:b/>
          <w:bCs/>
        </w:rPr>
      </w:pPr>
      <w:r w:rsidRPr="009267E9">
        <w:rPr>
          <w:b/>
          <w:bCs/>
        </w:rPr>
        <w:t xml:space="preserve"> CONSISTENCY WITH HUMAN RIGHTS</w:t>
      </w:r>
    </w:p>
    <w:p w14:paraId="3C7BA0E9" w14:textId="77777777" w:rsidR="009950A0" w:rsidRPr="00BC5879" w:rsidRDefault="009950A0" w:rsidP="009267E9">
      <w:pPr>
        <w:pStyle w:val="Quote"/>
        <w:rPr>
          <w:bCs/>
        </w:rPr>
      </w:pPr>
      <w:r w:rsidRPr="00BC5879">
        <w:rPr>
          <w:bCs/>
        </w:rPr>
        <w:t xml:space="preserve">Assessment has already been undertaken during the development of the regulation, and </w:t>
      </w:r>
      <w:bookmarkStart w:id="213" w:name="_Hlk163390433"/>
      <w:r w:rsidRPr="00BC5879">
        <w:rPr>
          <w:bCs/>
        </w:rPr>
        <w:t xml:space="preserve">due regard was given to its compatibility with human rights </w:t>
      </w:r>
      <w:bookmarkEnd w:id="213"/>
      <w:r w:rsidRPr="00BC5879">
        <w:rPr>
          <w:bCs/>
        </w:rPr>
        <w:t xml:space="preserve">as set out in the </w:t>
      </w:r>
      <w:r w:rsidRPr="00BC5879">
        <w:rPr>
          <w:bCs/>
          <w:i/>
          <w:iCs/>
        </w:rPr>
        <w:t>Human Rights Act 2004</w:t>
      </w:r>
      <w:r w:rsidRPr="00BC5879">
        <w:rPr>
          <w:bCs/>
        </w:rPr>
        <w:t>.</w:t>
      </w:r>
    </w:p>
    <w:p w14:paraId="6DD8DB57" w14:textId="4012DC19" w:rsidR="009950A0" w:rsidRDefault="009950A0" w:rsidP="006531D6">
      <w:pPr>
        <w:pStyle w:val="ListNumber2"/>
        <w:spacing w:after="0"/>
        <w:ind w:left="851"/>
        <w:rPr>
          <w:rFonts w:ascii="Calibri" w:eastAsia="Calibri" w:hAnsi="Calibri" w:cs="Calibri"/>
          <w:bCs w:val="0"/>
          <w:color w:val="000000"/>
        </w:rPr>
      </w:pPr>
      <w:r>
        <w:rPr>
          <w:rFonts w:ascii="Calibri" w:eastAsia="Calibri" w:hAnsi="Calibri" w:cs="Calibri"/>
          <w:color w:val="000000"/>
        </w:rPr>
        <w:t xml:space="preserve">The </w:t>
      </w:r>
      <w:r w:rsidRPr="00FD6464">
        <w:t>Committee</w:t>
      </w:r>
      <w:r>
        <w:rPr>
          <w:rFonts w:ascii="Calibri" w:eastAsia="Calibri" w:hAnsi="Calibri" w:cs="Calibri"/>
          <w:color w:val="000000"/>
        </w:rPr>
        <w:t xml:space="preserve"> considers that it is not sufficient for an explanatory statement to state that </w:t>
      </w:r>
      <w:r w:rsidR="000030B4">
        <w:rPr>
          <w:rFonts w:ascii="Calibri" w:eastAsia="Calibri" w:hAnsi="Calibri" w:cs="Calibri"/>
          <w:color w:val="000000"/>
        </w:rPr>
        <w:t>“</w:t>
      </w:r>
      <w:r w:rsidRPr="00BC5879">
        <w:rPr>
          <w:rFonts w:ascii="Calibri" w:eastAsia="Calibri" w:hAnsi="Calibri" w:cs="Calibri"/>
          <w:color w:val="000000"/>
        </w:rPr>
        <w:t xml:space="preserve">due regard was given to </w:t>
      </w:r>
      <w:r>
        <w:rPr>
          <w:rFonts w:ascii="Calibri" w:eastAsia="Calibri" w:hAnsi="Calibri" w:cs="Calibri"/>
          <w:color w:val="000000"/>
        </w:rPr>
        <w:t>…</w:t>
      </w:r>
      <w:r w:rsidRPr="00BC5879">
        <w:rPr>
          <w:rFonts w:ascii="Calibri" w:eastAsia="Calibri" w:hAnsi="Calibri" w:cs="Calibri"/>
          <w:color w:val="000000"/>
        </w:rPr>
        <w:t xml:space="preserve"> compatibility with human rights</w:t>
      </w:r>
      <w:r w:rsidR="000030B4">
        <w:rPr>
          <w:rFonts w:ascii="Calibri" w:eastAsia="Calibri" w:hAnsi="Calibri" w:cs="Calibri"/>
          <w:color w:val="000000"/>
        </w:rPr>
        <w:t>”</w:t>
      </w:r>
      <w:r>
        <w:rPr>
          <w:rFonts w:ascii="Calibri" w:eastAsia="Calibri" w:hAnsi="Calibri" w:cs="Calibri"/>
          <w:color w:val="000000"/>
        </w:rPr>
        <w:t xml:space="preserve"> in the development of a subordinate law.  The Committee considers that an explanatory statement should identify any human rights engaged by a subordinate law and justify any derogation of those rights.</w:t>
      </w:r>
    </w:p>
    <w:tbl>
      <w:tblPr>
        <w:tblStyle w:val="Recommendationbox"/>
        <w:tblpPr w:leftFromText="180" w:rightFromText="180" w:vertAnchor="text" w:horzAnchor="margin" w:tblpXSpec="right" w:tblpY="297"/>
        <w:tblW w:w="8219" w:type="dxa"/>
        <w:tblInd w:w="0" w:type="dxa"/>
        <w:tblLook w:val="0600" w:firstRow="0" w:lastRow="0" w:firstColumn="0" w:lastColumn="0" w:noHBand="1" w:noVBand="1"/>
      </w:tblPr>
      <w:tblGrid>
        <w:gridCol w:w="8219"/>
      </w:tblGrid>
      <w:tr w:rsidR="009D251E" w:rsidRPr="005904DA" w14:paraId="59E14D35" w14:textId="77777777" w:rsidTr="00727B8C">
        <w:tc>
          <w:tcPr>
            <w:tcW w:w="7935" w:type="dxa"/>
            <w:hideMark/>
          </w:tcPr>
          <w:p w14:paraId="01C0BB62" w14:textId="77777777" w:rsidR="009D251E" w:rsidRPr="005904DA" w:rsidRDefault="009D251E" w:rsidP="00727B8C">
            <w:pPr>
              <w:spacing w:before="80" w:after="120"/>
              <w:rPr>
                <w:rFonts w:ascii="Calibri" w:eastAsia="Calibri" w:hAnsi="Calibri" w:cs="Calibri"/>
                <w:bCs/>
                <w:color w:val="000000"/>
                <w:szCs w:val="20"/>
              </w:rPr>
            </w:pPr>
            <w:r w:rsidRPr="005904DA">
              <w:rPr>
                <w:rFonts w:ascii="Calibri" w:eastAsia="Calibri" w:hAnsi="Calibri" w:cs="Calibri"/>
                <w:bCs/>
                <w:color w:val="000000"/>
                <w:spacing w:val="-2"/>
                <w:szCs w:val="20"/>
              </w:rPr>
              <w:t xml:space="preserve">The Committee draws this </w:t>
            </w:r>
            <w:r>
              <w:rPr>
                <w:rFonts w:ascii="Calibri" w:eastAsia="Calibri" w:hAnsi="Calibri" w:cs="Calibri"/>
                <w:bCs/>
                <w:color w:val="000000"/>
                <w:spacing w:val="-2"/>
                <w:szCs w:val="20"/>
              </w:rPr>
              <w:t>subordinate law</w:t>
            </w:r>
            <w:r w:rsidRPr="005904DA">
              <w:rPr>
                <w:rFonts w:ascii="Calibri" w:eastAsia="Calibri" w:hAnsi="Calibri" w:cs="Calibri"/>
                <w:bCs/>
                <w:color w:val="000000"/>
                <w:spacing w:val="-2"/>
                <w:szCs w:val="20"/>
              </w:rPr>
              <w:t xml:space="preserve"> to the attention of the Legislative Assembly, under paragraph 10(d) of the Committee’s Resolution of Appointment, on the basis that the explanatory statement for the </w:t>
            </w:r>
            <w:r>
              <w:rPr>
                <w:rFonts w:ascii="Calibri" w:eastAsia="Calibri" w:hAnsi="Calibri" w:cs="Calibri"/>
                <w:bCs/>
                <w:color w:val="000000"/>
                <w:spacing w:val="-2"/>
                <w:szCs w:val="20"/>
              </w:rPr>
              <w:t xml:space="preserve">subordinate law does </w:t>
            </w:r>
            <w:r w:rsidRPr="005904DA">
              <w:rPr>
                <w:rFonts w:ascii="Calibri" w:eastAsia="Calibri" w:hAnsi="Calibri" w:cs="Calibri"/>
                <w:bCs/>
                <w:color w:val="000000"/>
                <w:spacing w:val="-2"/>
                <w:szCs w:val="20"/>
              </w:rPr>
              <w:t xml:space="preserve">not meet the technical or stylistic standards expected by the Committee, and asks the Minister to respond before the Legislative Assembly’s capacity to move to disallow the </w:t>
            </w:r>
            <w:r>
              <w:rPr>
                <w:rFonts w:ascii="Calibri" w:eastAsia="Calibri" w:hAnsi="Calibri" w:cs="Calibri"/>
                <w:bCs/>
                <w:color w:val="000000"/>
                <w:spacing w:val="-2"/>
                <w:szCs w:val="20"/>
              </w:rPr>
              <w:t>subordinate law</w:t>
            </w:r>
            <w:r w:rsidRPr="005904DA">
              <w:rPr>
                <w:rFonts w:ascii="Calibri" w:eastAsia="Calibri" w:hAnsi="Calibri" w:cs="Calibri"/>
                <w:bCs/>
                <w:color w:val="000000"/>
                <w:spacing w:val="-2"/>
                <w:szCs w:val="20"/>
              </w:rPr>
              <w:t xml:space="preserve"> expires</w:t>
            </w:r>
            <w:r w:rsidRPr="005904DA">
              <w:rPr>
                <w:rFonts w:ascii="Calibri" w:eastAsia="Calibri" w:hAnsi="Calibri" w:cs="Calibri"/>
                <w:bCs/>
                <w:color w:val="000000"/>
                <w:szCs w:val="20"/>
              </w:rPr>
              <w:t>.</w:t>
            </w:r>
          </w:p>
        </w:tc>
      </w:tr>
    </w:tbl>
    <w:p w14:paraId="0E0B30DA" w14:textId="0458F9BE" w:rsidR="009950A0" w:rsidRDefault="009950A0" w:rsidP="006531D6">
      <w:pPr>
        <w:pStyle w:val="Bodycopy"/>
        <w:numPr>
          <w:ilvl w:val="0"/>
          <w:numId w:val="12"/>
        </w:numPr>
        <w:spacing w:after="120" w:line="280" w:lineRule="exact"/>
        <w:ind w:left="1208" w:hanging="357"/>
        <w:rPr>
          <w:b/>
        </w:rPr>
      </w:pPr>
      <w:r>
        <w:rPr>
          <w:b/>
        </w:rPr>
        <w:t>Subordinate Law</w:t>
      </w:r>
      <w:r w:rsidRPr="00451C85">
        <w:rPr>
          <w:b/>
        </w:rPr>
        <w:t xml:space="preserve"> </w:t>
      </w:r>
      <w:r>
        <w:rPr>
          <w:b/>
        </w:rPr>
        <w:t>SL2024-3</w:t>
      </w:r>
      <w:r w:rsidRPr="00451C85">
        <w:rPr>
          <w:b/>
        </w:rPr>
        <w:t xml:space="preserve"> being the </w:t>
      </w:r>
      <w:r>
        <w:rPr>
          <w:b/>
        </w:rPr>
        <w:t xml:space="preserve">Professional Engineers Regulation 2024 made under the </w:t>
      </w:r>
      <w:r>
        <w:rPr>
          <w:i/>
        </w:rPr>
        <w:t>Professional Engineers Act 2023</w:t>
      </w:r>
      <w:r w:rsidRPr="00236BDD">
        <w:rPr>
          <w:b/>
        </w:rPr>
        <w:t xml:space="preserve"> </w:t>
      </w:r>
      <w:r>
        <w:rPr>
          <w:b/>
        </w:rPr>
        <w:t xml:space="preserve">provides for the monitoring and enforcement of compliance with the Act and impose obligations on people registered about the provision of professional engineering services. </w:t>
      </w:r>
    </w:p>
    <w:p w14:paraId="5E5DE35A" w14:textId="77777777" w:rsidR="009950A0" w:rsidRPr="00301740" w:rsidRDefault="009950A0" w:rsidP="009950A0">
      <w:pPr>
        <w:keepNext/>
        <w:keepLines/>
        <w:spacing w:before="200" w:after="120"/>
        <w:outlineLvl w:val="3"/>
        <w:rPr>
          <w:rFonts w:ascii="Montserrat SemiBold" w:eastAsia="Calibri" w:hAnsi="Montserrat SemiBold" w:cs="Times New Roman"/>
          <w:i/>
          <w:iCs/>
          <w:color w:val="2F5496"/>
          <w:w w:val="90"/>
          <w:kern w:val="2"/>
          <w:sz w:val="24"/>
          <w:szCs w:val="24"/>
          <w:lang w:eastAsia="en-AU"/>
        </w:rPr>
      </w:pPr>
      <w:bookmarkStart w:id="214" w:name="_Toc165377060"/>
      <w:bookmarkStart w:id="215" w:name="_Toc165454966"/>
      <w:bookmarkStart w:id="216" w:name="_Toc165552881"/>
      <w:r w:rsidRPr="00301740">
        <w:rPr>
          <w:rFonts w:ascii="Montserrat SemiBold" w:eastAsia="Calibri" w:hAnsi="Montserrat SemiBold" w:cs="Times New Roman"/>
          <w:iCs/>
          <w:color w:val="2F5496"/>
          <w:w w:val="90"/>
          <w:kern w:val="2"/>
          <w:sz w:val="24"/>
          <w:szCs w:val="24"/>
          <w:lang w:eastAsia="en-AU"/>
        </w:rPr>
        <w:t xml:space="preserve">Report under section 38 of the </w:t>
      </w:r>
      <w:r w:rsidRPr="00301740">
        <w:rPr>
          <w:rFonts w:ascii="Montserrat SemiBold" w:eastAsia="Calibri" w:hAnsi="Montserrat SemiBold" w:cs="Times New Roman"/>
          <w:i/>
          <w:iCs/>
          <w:color w:val="2F5496"/>
          <w:w w:val="90"/>
          <w:kern w:val="2"/>
          <w:sz w:val="24"/>
          <w:szCs w:val="24"/>
          <w:lang w:eastAsia="en-AU"/>
        </w:rPr>
        <w:t xml:space="preserve">Human Rights Act 2004 </w:t>
      </w:r>
      <w:r w:rsidRPr="00301740">
        <w:rPr>
          <w:rFonts w:ascii="Montserrat SemiBold" w:eastAsia="Calibri" w:hAnsi="Montserrat SemiBold" w:cs="Times New Roman"/>
          <w:iCs/>
          <w:color w:val="2F5496"/>
          <w:w w:val="90"/>
          <w:kern w:val="2"/>
          <w:sz w:val="24"/>
          <w:szCs w:val="24"/>
          <w:lang w:eastAsia="en-AU"/>
        </w:rPr>
        <w:t>(HRA)</w:t>
      </w:r>
      <w:bookmarkEnd w:id="214"/>
      <w:bookmarkEnd w:id="215"/>
      <w:bookmarkEnd w:id="216"/>
    </w:p>
    <w:p w14:paraId="52E7CA76" w14:textId="77777777" w:rsidR="009950A0" w:rsidRDefault="009950A0" w:rsidP="00CE02FD">
      <w:pPr>
        <w:keepNext/>
        <w:keepLines/>
        <w:spacing w:before="120" w:after="120"/>
        <w:outlineLvl w:val="4"/>
        <w:rPr>
          <w:rFonts w:ascii="Montserrat" w:eastAsia="Times New Roman" w:hAnsi="Montserrat" w:cs="Times New Roman"/>
          <w:iCs/>
          <w:color w:val="2F5496"/>
          <w:w w:val="90"/>
          <w:kern w:val="2"/>
          <w:sz w:val="23"/>
          <w:szCs w:val="20"/>
        </w:rPr>
      </w:pPr>
      <w:r w:rsidRPr="00301740">
        <w:rPr>
          <w:rFonts w:ascii="Montserrat" w:eastAsia="Times New Roman" w:hAnsi="Montserrat" w:cs="Times New Roman"/>
          <w:iCs/>
          <w:color w:val="2F5496"/>
          <w:w w:val="90"/>
          <w:kern w:val="2"/>
          <w:sz w:val="23"/>
          <w:szCs w:val="20"/>
        </w:rPr>
        <w:t xml:space="preserve">Right </w:t>
      </w:r>
      <w:r>
        <w:rPr>
          <w:rFonts w:ascii="Montserrat" w:eastAsia="Times New Roman" w:hAnsi="Montserrat" w:cs="Times New Roman"/>
          <w:iCs/>
          <w:color w:val="2F5496"/>
          <w:w w:val="90"/>
          <w:kern w:val="2"/>
          <w:sz w:val="23"/>
          <w:szCs w:val="20"/>
        </w:rPr>
        <w:t>to work (sec</w:t>
      </w:r>
      <w:r w:rsidRPr="00301740">
        <w:rPr>
          <w:rFonts w:ascii="Montserrat" w:eastAsia="Times New Roman" w:hAnsi="Montserrat" w:cs="Times New Roman"/>
          <w:iCs/>
          <w:color w:val="2F5496"/>
          <w:w w:val="90"/>
          <w:kern w:val="2"/>
          <w:sz w:val="23"/>
          <w:szCs w:val="20"/>
        </w:rPr>
        <w:t xml:space="preserve">tion </w:t>
      </w:r>
      <w:r>
        <w:rPr>
          <w:rFonts w:ascii="Montserrat" w:eastAsia="Times New Roman" w:hAnsi="Montserrat" w:cs="Times New Roman"/>
          <w:iCs/>
          <w:color w:val="2F5496"/>
          <w:w w:val="90"/>
          <w:kern w:val="2"/>
          <w:sz w:val="23"/>
          <w:szCs w:val="20"/>
        </w:rPr>
        <w:t>27B</w:t>
      </w:r>
      <w:r w:rsidRPr="00301740">
        <w:rPr>
          <w:rFonts w:ascii="Montserrat" w:eastAsia="Times New Roman" w:hAnsi="Montserrat" w:cs="Times New Roman"/>
          <w:iCs/>
          <w:color w:val="2F5496"/>
          <w:w w:val="90"/>
          <w:kern w:val="2"/>
          <w:sz w:val="23"/>
          <w:szCs w:val="20"/>
        </w:rPr>
        <w:t xml:space="preserve"> HRA)</w:t>
      </w:r>
    </w:p>
    <w:p w14:paraId="214EF7BF" w14:textId="77777777" w:rsidR="009950A0" w:rsidRDefault="009950A0" w:rsidP="00FD6464">
      <w:pPr>
        <w:pStyle w:val="ListNumber2"/>
        <w:ind w:left="851"/>
      </w:pPr>
      <w:r>
        <w:t xml:space="preserve">The subordinate law is made under section 89 of the </w:t>
      </w:r>
      <w:r>
        <w:rPr>
          <w:i/>
          <w:iCs/>
        </w:rPr>
        <w:t>Professional Engineers Act 2023</w:t>
      </w:r>
      <w:r>
        <w:t>.  According to the explanatory statement, the subordinate law:</w:t>
      </w:r>
    </w:p>
    <w:p w14:paraId="6D831CEC" w14:textId="5135F8B2" w:rsidR="009950A0" w:rsidRPr="0091787C" w:rsidRDefault="009950A0" w:rsidP="00CE02FD">
      <w:pPr>
        <w:pStyle w:val="Quote"/>
        <w:numPr>
          <w:ilvl w:val="0"/>
          <w:numId w:val="16"/>
        </w:numPr>
        <w:spacing w:before="120" w:after="120"/>
        <w:ind w:left="1208" w:hanging="357"/>
      </w:pPr>
      <w:r w:rsidRPr="0091787C">
        <w:t>provides the Professional Engineers Registrar with the ability to issue a</w:t>
      </w:r>
      <w:r w:rsidR="009D251E">
        <w:t> </w:t>
      </w:r>
      <w:r w:rsidRPr="0091787C">
        <w:t>registration for a shorter registration period than the default 3-year term. This is limited at this time to circumstances where a person applies for an additional area of engineering following the issuing of their original registration so that registrations for all areas of engineering expire at the same time.</w:t>
      </w:r>
    </w:p>
    <w:p w14:paraId="59F96EF6" w14:textId="77777777" w:rsidR="009950A0" w:rsidRPr="0091787C" w:rsidRDefault="009950A0" w:rsidP="00CE02FD">
      <w:pPr>
        <w:pStyle w:val="Quote"/>
        <w:numPr>
          <w:ilvl w:val="0"/>
          <w:numId w:val="16"/>
        </w:numPr>
        <w:spacing w:before="120" w:after="120"/>
        <w:ind w:left="1208" w:hanging="357"/>
      </w:pPr>
      <w:r w:rsidRPr="0091787C">
        <w:t>provides for how the term of registrations issued prior to 6 March 2025 will be determined.</w:t>
      </w:r>
    </w:p>
    <w:p w14:paraId="5122BC7E" w14:textId="77777777" w:rsidR="009950A0" w:rsidRPr="0091787C" w:rsidRDefault="009950A0" w:rsidP="00CE02FD">
      <w:pPr>
        <w:pStyle w:val="Quote"/>
        <w:numPr>
          <w:ilvl w:val="0"/>
          <w:numId w:val="16"/>
        </w:numPr>
        <w:spacing w:before="120" w:after="120"/>
        <w:ind w:left="1208" w:hanging="357"/>
      </w:pPr>
      <w:r w:rsidRPr="0091787C">
        <w:t>establishes statutory conditions on registration in circumstances where an applicant for registration does not meet the additional requirements prescribed in the qualifications, experience and competencies determination for providing professional engineering services to the building and construction industry.</w:t>
      </w:r>
    </w:p>
    <w:p w14:paraId="6BEB100B" w14:textId="77777777" w:rsidR="009267E9" w:rsidRDefault="009950A0" w:rsidP="009267E9">
      <w:pPr>
        <w:pStyle w:val="ListNumber2"/>
        <w:ind w:left="851"/>
      </w:pPr>
      <w:r>
        <w:t xml:space="preserve">The explanatory statement for the subordinate law discusses human rights issues, by reference to the right to work, protected by subsection 27B(1) of the </w:t>
      </w:r>
      <w:r>
        <w:rPr>
          <w:i/>
          <w:iCs/>
        </w:rPr>
        <w:t>Human Rights Act 2004</w:t>
      </w:r>
      <w:r>
        <w:t>.  It states (in part):</w:t>
      </w:r>
    </w:p>
    <w:p w14:paraId="47960E2F" w14:textId="0FF9F14C" w:rsidR="009950A0" w:rsidRPr="009267E9" w:rsidRDefault="009950A0" w:rsidP="009D251E">
      <w:pPr>
        <w:pStyle w:val="Quote"/>
        <w:rPr>
          <w:rFonts w:cstheme="minorHAnsi"/>
          <w:color w:val="000000" w:themeColor="text1"/>
        </w:rPr>
      </w:pPr>
      <w:r w:rsidRPr="009267E9">
        <w:t xml:space="preserve">This regulation could be seen to engage and limit the right to work (section 27B(1) of the </w:t>
      </w:r>
      <w:r w:rsidRPr="009267E9">
        <w:rPr>
          <w:i/>
          <w:iCs/>
        </w:rPr>
        <w:t>Human Rights Act 2004</w:t>
      </w:r>
      <w:r w:rsidRPr="009267E9">
        <w:t xml:space="preserve"> (HRA)) by restricting work that an individual can undertake.</w:t>
      </w:r>
    </w:p>
    <w:p w14:paraId="62AAEEFF" w14:textId="77777777" w:rsidR="009950A0" w:rsidRPr="0091787C" w:rsidRDefault="009950A0" w:rsidP="00CE02FD">
      <w:pPr>
        <w:pStyle w:val="Quote"/>
        <w:spacing w:before="120" w:after="120"/>
      </w:pPr>
      <w:r w:rsidRPr="0091787C">
        <w:t xml:space="preserve">A detailed human rights assessment is contained in the </w:t>
      </w:r>
      <w:hyperlink r:id="rId31" w:history="1">
        <w:r w:rsidRPr="0091787C">
          <w:t>Explanatory Statement</w:t>
        </w:r>
      </w:hyperlink>
      <w:r w:rsidRPr="0091787C">
        <w:t xml:space="preserve"> to the Act including consideration of the impact of the introduction of a professional engineers registration scheme in the ACT on section 27B of the HRA.</w:t>
      </w:r>
    </w:p>
    <w:p w14:paraId="529FA93E" w14:textId="77777777" w:rsidR="009950A0" w:rsidRPr="0091787C" w:rsidRDefault="009950A0" w:rsidP="00CE02FD">
      <w:pPr>
        <w:pStyle w:val="Quote"/>
        <w:spacing w:before="120" w:after="120"/>
      </w:pPr>
      <w:r w:rsidRPr="0091787C">
        <w:t>The statutory condition on registration established in this regulation is considered reasonable and proportionate to the objectives of the Professional Engineers Registration Scheme established by the Act. Section 27B(1) of the HRA expressly provides that the practice of a trade, occupation or profession may be regulated by law.</w:t>
      </w:r>
    </w:p>
    <w:p w14:paraId="522C8BFC" w14:textId="77777777" w:rsidR="009950A0" w:rsidRDefault="009950A0" w:rsidP="00FD6464">
      <w:pPr>
        <w:pStyle w:val="ListNumber2"/>
        <w:ind w:left="851"/>
        <w:rPr>
          <w:rFonts w:ascii="Calibri" w:hAnsi="Calibri" w:cs="Calibri"/>
          <w:b/>
          <w:bCs w:val="0"/>
          <w:szCs w:val="22"/>
          <w:lang w:eastAsia="en-AU"/>
        </w:rPr>
      </w:pPr>
      <w:r>
        <w:rPr>
          <w:rFonts w:ascii="Calibri" w:hAnsi="Calibri" w:cs="Calibri"/>
          <w:b/>
          <w:szCs w:val="22"/>
          <w:lang w:eastAsia="en-AU"/>
        </w:rPr>
        <w:t xml:space="preserve">The </w:t>
      </w:r>
      <w:r w:rsidRPr="00E95E87">
        <w:rPr>
          <w:rFonts w:ascii="Calibri" w:hAnsi="Calibri" w:cs="Calibri"/>
          <w:b/>
          <w:szCs w:val="22"/>
          <w:lang w:eastAsia="en-AU"/>
        </w:rPr>
        <w:t>Committee draws the attention of the Legislative Assembly to the discussion of human rights issues in the explanatory statement</w:t>
      </w:r>
      <w:r>
        <w:rPr>
          <w:rFonts w:ascii="Calibri" w:hAnsi="Calibri" w:cs="Calibri"/>
          <w:b/>
          <w:szCs w:val="22"/>
          <w:lang w:eastAsia="en-AU"/>
        </w:rPr>
        <w:t xml:space="preserve"> </w:t>
      </w:r>
      <w:r w:rsidRPr="00E95E87">
        <w:rPr>
          <w:rFonts w:ascii="Calibri" w:hAnsi="Calibri" w:cs="Calibri"/>
          <w:b/>
          <w:szCs w:val="22"/>
          <w:lang w:eastAsia="en-AU"/>
        </w:rPr>
        <w:t>for th</w:t>
      </w:r>
      <w:r>
        <w:rPr>
          <w:rFonts w:ascii="Calibri" w:hAnsi="Calibri" w:cs="Calibri"/>
          <w:b/>
          <w:szCs w:val="22"/>
          <w:lang w:eastAsia="en-AU"/>
        </w:rPr>
        <w:t>is subordinate law</w:t>
      </w:r>
      <w:r w:rsidRPr="00E95E87">
        <w:rPr>
          <w:rFonts w:ascii="Calibri" w:hAnsi="Calibri" w:cs="Calibri"/>
          <w:b/>
          <w:szCs w:val="22"/>
          <w:lang w:eastAsia="en-AU"/>
        </w:rPr>
        <w:t>.</w:t>
      </w:r>
    </w:p>
    <w:p w14:paraId="120321EF" w14:textId="77777777" w:rsidR="009950A0" w:rsidRPr="00817DA7" w:rsidRDefault="009950A0" w:rsidP="00FD6464">
      <w:pPr>
        <w:pStyle w:val="ListNumber2"/>
        <w:ind w:left="851"/>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require a response from the Minister.</w:t>
      </w:r>
    </w:p>
    <w:p w14:paraId="1D398A12" w14:textId="05059B1D" w:rsidR="009950A0" w:rsidRDefault="009950A0" w:rsidP="000030B4">
      <w:pPr>
        <w:pStyle w:val="Heading3"/>
      </w:pPr>
      <w:bookmarkStart w:id="217" w:name="_Toc165377061"/>
      <w:bookmarkStart w:id="218" w:name="_Toc165454967"/>
      <w:bookmarkStart w:id="219" w:name="_Toc165552882"/>
      <w:r>
        <w:t xml:space="preserve">No discussion of </w:t>
      </w:r>
      <w:r w:rsidR="0000302D">
        <w:t>H</w:t>
      </w:r>
      <w:r>
        <w:t xml:space="preserve">uman </w:t>
      </w:r>
      <w:r w:rsidR="0000302D">
        <w:t>R</w:t>
      </w:r>
      <w:r>
        <w:t>ights Issues</w:t>
      </w:r>
      <w:bookmarkEnd w:id="217"/>
      <w:bookmarkEnd w:id="218"/>
      <w:bookmarkEnd w:id="219"/>
    </w:p>
    <w:p w14:paraId="43728983" w14:textId="77777777" w:rsidR="009950A0" w:rsidRDefault="009950A0" w:rsidP="00246DE0">
      <w:pPr>
        <w:pStyle w:val="Bodycopy"/>
        <w:numPr>
          <w:ilvl w:val="0"/>
          <w:numId w:val="12"/>
        </w:numPr>
        <w:spacing w:before="120" w:after="120" w:line="280" w:lineRule="exact"/>
        <w:ind w:left="1208" w:hanging="357"/>
        <w:rPr>
          <w:b/>
        </w:rPr>
      </w:pPr>
      <w:r>
        <w:rPr>
          <w:b/>
        </w:rPr>
        <w:t>Subordinate Law</w:t>
      </w:r>
      <w:r w:rsidRPr="00451C85">
        <w:rPr>
          <w:b/>
        </w:rPr>
        <w:t xml:space="preserve"> </w:t>
      </w:r>
      <w:r>
        <w:rPr>
          <w:b/>
        </w:rPr>
        <w:t>SL2024-4</w:t>
      </w:r>
      <w:r w:rsidRPr="00451C85">
        <w:rPr>
          <w:b/>
        </w:rPr>
        <w:t xml:space="preserve"> being the </w:t>
      </w:r>
      <w:r>
        <w:rPr>
          <w:b/>
        </w:rPr>
        <w:t xml:space="preserve">Education Amendment Regulation 2024 (No 1) made under the </w:t>
      </w:r>
      <w:r>
        <w:rPr>
          <w:i/>
        </w:rPr>
        <w:t>Education Act 2004</w:t>
      </w:r>
      <w:r w:rsidRPr="00236BDD">
        <w:rPr>
          <w:b/>
        </w:rPr>
        <w:t xml:space="preserve"> </w:t>
      </w:r>
      <w:r>
        <w:rPr>
          <w:b/>
        </w:rPr>
        <w:t xml:space="preserve">amends the Education Regulation 2005. </w:t>
      </w:r>
    </w:p>
    <w:p w14:paraId="1C12508A" w14:textId="03E9BDB0" w:rsidR="009950A0" w:rsidRDefault="009950A0" w:rsidP="00FD6464">
      <w:pPr>
        <w:pStyle w:val="ListNumber2"/>
        <w:ind w:left="851"/>
        <w:rPr>
          <w:rFonts w:ascii="Calibri" w:hAnsi="Calibri" w:cs="Calibri"/>
          <w:szCs w:val="22"/>
          <w:lang w:eastAsia="en-AU"/>
        </w:rPr>
      </w:pPr>
      <w:r w:rsidRPr="00D01FDA">
        <w:rPr>
          <w:rFonts w:ascii="Calibri" w:hAnsi="Calibri" w:cs="Calibri"/>
          <w:szCs w:val="22"/>
          <w:lang w:eastAsia="en-AU"/>
        </w:rPr>
        <w:t xml:space="preserve">This </w:t>
      </w:r>
      <w:r w:rsidRPr="00FD6464">
        <w:t>subordinate</w:t>
      </w:r>
      <w:r w:rsidRPr="00D01FDA">
        <w:rPr>
          <w:rFonts w:ascii="Calibri" w:hAnsi="Calibri" w:cs="Calibri"/>
          <w:szCs w:val="22"/>
          <w:lang w:eastAsia="en-AU"/>
        </w:rPr>
        <w:t xml:space="preserve"> law (according to the explanatory statement) </w:t>
      </w:r>
      <w:r>
        <w:rPr>
          <w:rFonts w:ascii="Calibri" w:hAnsi="Calibri" w:cs="Calibri"/>
          <w:szCs w:val="22"/>
          <w:lang w:eastAsia="en-AU"/>
        </w:rPr>
        <w:t xml:space="preserve">makes </w:t>
      </w:r>
      <w:r w:rsidR="000030B4">
        <w:rPr>
          <w:rFonts w:ascii="Calibri" w:hAnsi="Calibri" w:cs="Calibri"/>
          <w:szCs w:val="22"/>
          <w:lang w:eastAsia="en-AU"/>
        </w:rPr>
        <w:t>“</w:t>
      </w:r>
      <w:r w:rsidRPr="00D01FDA">
        <w:rPr>
          <w:rFonts w:ascii="Calibri" w:hAnsi="Calibri" w:cs="Calibri"/>
          <w:szCs w:val="22"/>
          <w:lang w:eastAsia="en-AU"/>
        </w:rPr>
        <w:t>two minor amendment</w:t>
      </w:r>
      <w:r>
        <w:rPr>
          <w:rFonts w:ascii="Calibri" w:hAnsi="Calibri" w:cs="Calibri"/>
          <w:szCs w:val="22"/>
          <w:lang w:eastAsia="en-AU"/>
        </w:rPr>
        <w:t>s</w:t>
      </w:r>
      <w:r w:rsidR="000030B4">
        <w:rPr>
          <w:rFonts w:ascii="Calibri" w:hAnsi="Calibri" w:cs="Calibri"/>
          <w:szCs w:val="22"/>
          <w:lang w:eastAsia="en-AU"/>
        </w:rPr>
        <w:t>”</w:t>
      </w:r>
      <w:r>
        <w:rPr>
          <w:rFonts w:ascii="Calibri" w:hAnsi="Calibri" w:cs="Calibri"/>
          <w:szCs w:val="22"/>
          <w:lang w:eastAsia="en-AU"/>
        </w:rPr>
        <w:t xml:space="preserve"> that are required to </w:t>
      </w:r>
      <w:r w:rsidR="000030B4">
        <w:rPr>
          <w:rFonts w:ascii="Calibri" w:hAnsi="Calibri" w:cs="Calibri"/>
          <w:szCs w:val="22"/>
          <w:lang w:eastAsia="en-AU"/>
        </w:rPr>
        <w:t>“</w:t>
      </w:r>
      <w:r>
        <w:rPr>
          <w:rFonts w:ascii="Calibri" w:hAnsi="Calibri" w:cs="Calibri"/>
          <w:szCs w:val="22"/>
          <w:lang w:eastAsia="en-AU"/>
        </w:rPr>
        <w:t>update</w:t>
      </w:r>
      <w:r w:rsidR="000030B4">
        <w:rPr>
          <w:rFonts w:ascii="Calibri" w:hAnsi="Calibri" w:cs="Calibri"/>
          <w:szCs w:val="22"/>
          <w:lang w:eastAsia="en-AU"/>
        </w:rPr>
        <w:t>”</w:t>
      </w:r>
      <w:r>
        <w:rPr>
          <w:rFonts w:ascii="Calibri" w:hAnsi="Calibri" w:cs="Calibri"/>
          <w:szCs w:val="22"/>
          <w:lang w:eastAsia="en-AU"/>
        </w:rPr>
        <w:t xml:space="preserve">the </w:t>
      </w:r>
      <w:r>
        <w:rPr>
          <w:rFonts w:ascii="Calibri" w:hAnsi="Calibri" w:cs="Calibri"/>
          <w:i/>
          <w:iCs/>
          <w:szCs w:val="22"/>
          <w:lang w:eastAsia="en-AU"/>
        </w:rPr>
        <w:t>Education Regulation 2005</w:t>
      </w:r>
      <w:r>
        <w:rPr>
          <w:rFonts w:ascii="Calibri" w:hAnsi="Calibri" w:cs="Calibri"/>
          <w:szCs w:val="22"/>
          <w:lang w:eastAsia="en-AU"/>
        </w:rPr>
        <w:t>:</w:t>
      </w:r>
    </w:p>
    <w:p w14:paraId="05A891D5" w14:textId="77777777" w:rsidR="009950A0" w:rsidRPr="00D01FDA" w:rsidRDefault="009950A0" w:rsidP="00CE02FD">
      <w:pPr>
        <w:pStyle w:val="Quote"/>
        <w:spacing w:before="120" w:after="120"/>
      </w:pPr>
      <w:r w:rsidRPr="00D01FDA">
        <w:t xml:space="preserve">Firstly, Schedule 1 must be amended to include Evelyn Scott School and Shirley Smith High School, as the ACT’s two newest high schools, and Section 96 must be amended to resolve a drafting error following amendments passed through the Education Amendment Bill 2022. </w:t>
      </w:r>
    </w:p>
    <w:p w14:paraId="2EEF47BC" w14:textId="77777777" w:rsidR="009950A0" w:rsidRDefault="009950A0" w:rsidP="00CE02FD">
      <w:pPr>
        <w:pStyle w:val="Quote"/>
        <w:spacing w:before="120" w:after="120"/>
      </w:pPr>
      <w:r w:rsidRPr="00D01FDA">
        <w:t xml:space="preserve">Schedule 1 must be updated to include the two new schools, as they are currently unable to appoint student members to their school board. Section 96 must be updated to clarify notifiable changes. </w:t>
      </w:r>
    </w:p>
    <w:p w14:paraId="2C9FC958" w14:textId="77777777" w:rsidR="009950A0" w:rsidRDefault="009950A0" w:rsidP="00CE02FD">
      <w:pPr>
        <w:pStyle w:val="ListNumber2"/>
        <w:spacing w:after="0"/>
        <w:ind w:left="851"/>
        <w:rPr>
          <w:rFonts w:ascii="Calibri" w:eastAsia="Calibri" w:hAnsi="Calibri" w:cs="Calibri"/>
          <w:bCs w:val="0"/>
          <w:color w:val="000000"/>
        </w:rPr>
      </w:pPr>
      <w:r>
        <w:rPr>
          <w:rFonts w:ascii="Calibri" w:eastAsia="Calibri" w:hAnsi="Calibri" w:cs="Calibri"/>
          <w:color w:val="000000"/>
        </w:rPr>
        <w:t xml:space="preserve">The </w:t>
      </w:r>
      <w:r w:rsidRPr="00FD6464">
        <w:t>Committee</w:t>
      </w:r>
      <w:r>
        <w:rPr>
          <w:rFonts w:ascii="Calibri" w:eastAsia="Calibri" w:hAnsi="Calibri" w:cs="Calibri"/>
          <w:color w:val="000000"/>
        </w:rPr>
        <w:t xml:space="preserve"> notes that th</w:t>
      </w:r>
      <w:r w:rsidRPr="005904DA">
        <w:rPr>
          <w:rFonts w:ascii="Calibri" w:eastAsia="Calibri" w:hAnsi="Calibri" w:cs="Calibri"/>
          <w:color w:val="000000"/>
        </w:rPr>
        <w:t xml:space="preserve">ere is </w:t>
      </w:r>
      <w:r w:rsidRPr="005904DA">
        <w:rPr>
          <w:rFonts w:ascii="Calibri" w:eastAsia="Calibri" w:hAnsi="Calibri" w:cs="Calibri"/>
          <w:color w:val="000000"/>
          <w:u w:val="single"/>
        </w:rPr>
        <w:t>no</w:t>
      </w:r>
      <w:r w:rsidRPr="005904DA">
        <w:rPr>
          <w:rFonts w:ascii="Calibri" w:eastAsia="Calibri" w:hAnsi="Calibri" w:cs="Calibri"/>
          <w:color w:val="000000"/>
        </w:rPr>
        <w:t xml:space="preserve"> discussion of possible human rights issues raised by the subordinate law, to assist the Committee in its (expanded) role under section 38 of the </w:t>
      </w:r>
      <w:r w:rsidRPr="005904DA">
        <w:rPr>
          <w:rFonts w:ascii="Calibri" w:eastAsia="Calibri" w:hAnsi="Calibri" w:cs="Calibri"/>
          <w:i/>
          <w:iCs/>
          <w:color w:val="000000"/>
        </w:rPr>
        <w:t>Human Rights Act 2004</w:t>
      </w:r>
      <w:r w:rsidRPr="005904DA">
        <w:rPr>
          <w:rFonts w:ascii="Calibri" w:eastAsia="Calibri" w:hAnsi="Calibri" w:cs="Calibri"/>
          <w:color w:val="000000"/>
        </w:rPr>
        <w:t>.</w:t>
      </w:r>
    </w:p>
    <w:tbl>
      <w:tblPr>
        <w:tblStyle w:val="Recommendationbox"/>
        <w:tblpPr w:leftFromText="180" w:rightFromText="180" w:vertAnchor="text" w:horzAnchor="margin" w:tblpXSpec="right" w:tblpY="48"/>
        <w:tblW w:w="8388" w:type="dxa"/>
        <w:tblInd w:w="0" w:type="dxa"/>
        <w:tblLook w:val="0600" w:firstRow="0" w:lastRow="0" w:firstColumn="0" w:lastColumn="0" w:noHBand="1" w:noVBand="1"/>
      </w:tblPr>
      <w:tblGrid>
        <w:gridCol w:w="8388"/>
      </w:tblGrid>
      <w:tr w:rsidR="009D251E" w:rsidRPr="005904DA" w14:paraId="0D25FB0E" w14:textId="77777777" w:rsidTr="009D251E">
        <w:tc>
          <w:tcPr>
            <w:tcW w:w="8104" w:type="dxa"/>
            <w:hideMark/>
          </w:tcPr>
          <w:p w14:paraId="62345822" w14:textId="77777777" w:rsidR="009D251E" w:rsidRPr="005904DA" w:rsidRDefault="009D251E" w:rsidP="009D251E">
            <w:pPr>
              <w:spacing w:before="80" w:after="120"/>
              <w:ind w:left="32"/>
              <w:rPr>
                <w:rFonts w:ascii="Calibri" w:eastAsia="Calibri" w:hAnsi="Calibri" w:cs="Calibri"/>
                <w:bCs/>
                <w:color w:val="000000"/>
                <w:szCs w:val="20"/>
              </w:rPr>
            </w:pPr>
            <w:bookmarkStart w:id="220" w:name="_Hlk150688924"/>
            <w:r w:rsidRPr="005904DA">
              <w:rPr>
                <w:rFonts w:ascii="Calibri" w:eastAsia="Calibri" w:hAnsi="Calibri" w:cs="Calibri"/>
                <w:bCs/>
                <w:color w:val="000000"/>
                <w:spacing w:val="-2"/>
                <w:szCs w:val="20"/>
              </w:rPr>
              <w:t xml:space="preserve">The Committee draws this </w:t>
            </w:r>
            <w:r>
              <w:rPr>
                <w:rFonts w:ascii="Calibri" w:eastAsia="Calibri" w:hAnsi="Calibri" w:cs="Calibri"/>
                <w:bCs/>
                <w:color w:val="000000"/>
                <w:spacing w:val="-2"/>
                <w:szCs w:val="20"/>
              </w:rPr>
              <w:t>subordinate law</w:t>
            </w:r>
            <w:r w:rsidRPr="005904DA">
              <w:rPr>
                <w:rFonts w:ascii="Calibri" w:eastAsia="Calibri" w:hAnsi="Calibri" w:cs="Calibri"/>
                <w:bCs/>
                <w:color w:val="000000"/>
                <w:spacing w:val="-2"/>
                <w:szCs w:val="20"/>
              </w:rPr>
              <w:t xml:space="preserve"> to the attention of the Legislative Assembly, under paragraph 10(d) of the Committee’s Resolution of Appointment, on the basis that the explanatory statement for the </w:t>
            </w:r>
            <w:r>
              <w:rPr>
                <w:rFonts w:ascii="Calibri" w:eastAsia="Calibri" w:hAnsi="Calibri" w:cs="Calibri"/>
                <w:bCs/>
                <w:color w:val="000000"/>
                <w:spacing w:val="-2"/>
                <w:szCs w:val="20"/>
              </w:rPr>
              <w:t xml:space="preserve">subordinate law does </w:t>
            </w:r>
            <w:r w:rsidRPr="005904DA">
              <w:rPr>
                <w:rFonts w:ascii="Calibri" w:eastAsia="Calibri" w:hAnsi="Calibri" w:cs="Calibri"/>
                <w:bCs/>
                <w:color w:val="000000"/>
                <w:spacing w:val="-2"/>
                <w:szCs w:val="20"/>
              </w:rPr>
              <w:t xml:space="preserve">not meet the technical or stylistic standards expected by the Committee, and asks the Minister to respond before the Legislative Assembly’s capacity to move to disallow the </w:t>
            </w:r>
            <w:r>
              <w:rPr>
                <w:rFonts w:ascii="Calibri" w:eastAsia="Calibri" w:hAnsi="Calibri" w:cs="Calibri"/>
                <w:bCs/>
                <w:color w:val="000000"/>
                <w:spacing w:val="-2"/>
                <w:szCs w:val="20"/>
              </w:rPr>
              <w:t>subordinate law</w:t>
            </w:r>
            <w:r w:rsidRPr="005904DA">
              <w:rPr>
                <w:rFonts w:ascii="Calibri" w:eastAsia="Calibri" w:hAnsi="Calibri" w:cs="Calibri"/>
                <w:bCs/>
                <w:color w:val="000000"/>
                <w:spacing w:val="-2"/>
                <w:szCs w:val="20"/>
              </w:rPr>
              <w:t xml:space="preserve"> expires</w:t>
            </w:r>
            <w:r w:rsidRPr="005904DA">
              <w:rPr>
                <w:rFonts w:ascii="Calibri" w:eastAsia="Calibri" w:hAnsi="Calibri" w:cs="Calibri"/>
                <w:bCs/>
                <w:color w:val="000000"/>
                <w:szCs w:val="20"/>
              </w:rPr>
              <w:t>.</w:t>
            </w:r>
          </w:p>
        </w:tc>
      </w:tr>
    </w:tbl>
    <w:p w14:paraId="54096BDB" w14:textId="7B712CE2" w:rsidR="004A298E" w:rsidRDefault="0057740E" w:rsidP="004A298E">
      <w:pPr>
        <w:pStyle w:val="Heading20"/>
      </w:pPr>
      <w:bookmarkStart w:id="221" w:name="_Toc165552883"/>
      <w:r>
        <w:t>R</w:t>
      </w:r>
      <w:r w:rsidR="004A298E">
        <w:t>esponses—No comment</w:t>
      </w:r>
      <w:bookmarkEnd w:id="221"/>
    </w:p>
    <w:p w14:paraId="087B9B1C" w14:textId="567BE707" w:rsidR="004A298E" w:rsidRDefault="004A298E" w:rsidP="004A298E">
      <w:pPr>
        <w:pStyle w:val="ListNumber2"/>
        <w:ind w:left="851"/>
      </w:pPr>
      <w:r>
        <w:t>The Committee received response</w:t>
      </w:r>
      <w:r w:rsidR="0057740E">
        <w:t>s</w:t>
      </w:r>
      <w:r>
        <w:t xml:space="preserve"> to the Committee’s comments on the following </w:t>
      </w:r>
      <w:r w:rsidR="0057740E">
        <w:t>subordinate legislation</w:t>
      </w:r>
      <w:r>
        <w:t xml:space="preserve"> and has no further comments:</w:t>
      </w:r>
    </w:p>
    <w:p w14:paraId="5BE8B3C9" w14:textId="315394EC" w:rsidR="0057740E" w:rsidRPr="0057740E" w:rsidRDefault="0057740E" w:rsidP="0057740E">
      <w:pPr>
        <w:pStyle w:val="ListNumber3"/>
      </w:pPr>
      <w:r w:rsidRPr="0057740E">
        <w:t>Disallowable Instrument DI2023-243 being the Motor Accident Injuries (Significant Occupational Impact Assessment) Guidelines 2023</w:t>
      </w:r>
      <w:r w:rsidR="00724EC9">
        <w:t>;</w:t>
      </w:r>
      <w:r w:rsidRPr="0057740E">
        <w:t xml:space="preserve"> </w:t>
      </w:r>
    </w:p>
    <w:p w14:paraId="09460170" w14:textId="2491CF81" w:rsidR="0057740E" w:rsidRPr="0057740E" w:rsidRDefault="0057740E" w:rsidP="0057740E">
      <w:pPr>
        <w:pStyle w:val="ListNumber3"/>
      </w:pPr>
      <w:r w:rsidRPr="0057740E">
        <w:t>Disallowable Instrument DI2023-310 being the Motor Accident Injuries (Treatment and Care) Guidelines 2023</w:t>
      </w:r>
      <w:r w:rsidR="00724EC9">
        <w:t>;</w:t>
      </w:r>
      <w:r w:rsidRPr="0057740E">
        <w:t xml:space="preserve"> </w:t>
      </w:r>
    </w:p>
    <w:p w14:paraId="5DB1C9E0" w14:textId="5E33CBD9" w:rsidR="0057740E" w:rsidRPr="0057740E" w:rsidRDefault="0057740E" w:rsidP="0057740E">
      <w:pPr>
        <w:pStyle w:val="ListNumber3"/>
      </w:pPr>
      <w:r w:rsidRPr="0057740E">
        <w:t>Disallowable Instrument DI2023-311 being the Motor Accident Injuries (Quality of Life Benefit) Guidelines 2023</w:t>
      </w:r>
      <w:r w:rsidR="00724EC9">
        <w:t>;</w:t>
      </w:r>
      <w:r w:rsidRPr="0057740E">
        <w:t xml:space="preserve"> </w:t>
      </w:r>
    </w:p>
    <w:p w14:paraId="089A8C51" w14:textId="517D8EE6" w:rsidR="0057740E" w:rsidRPr="0057740E" w:rsidRDefault="0057740E" w:rsidP="0057740E">
      <w:pPr>
        <w:pStyle w:val="ListNumber3"/>
      </w:pPr>
      <w:r w:rsidRPr="0057740E">
        <w:t>Disallowable Instrument DI2023-313 being the Motor Accident Injuries (Significant Occupational Impact Assessment Referral) Guidelines 2023</w:t>
      </w:r>
      <w:r w:rsidR="00724EC9">
        <w:t>;</w:t>
      </w:r>
      <w:r w:rsidRPr="0057740E">
        <w:t xml:space="preserve"> </w:t>
      </w:r>
    </w:p>
    <w:p w14:paraId="2C05AF28" w14:textId="51C2F7E4" w:rsidR="0057740E" w:rsidRPr="0057740E" w:rsidRDefault="0057740E" w:rsidP="0057740E">
      <w:pPr>
        <w:pStyle w:val="ListNumber3"/>
      </w:pPr>
      <w:r w:rsidRPr="0057740E">
        <w:t>Subordinate Law SL2023-31 being the Magistrates Court (Public Unleased Land Infringement Notices) Amendment Regulation 2023 (No 1)</w:t>
      </w:r>
      <w:r w:rsidR="00724EC9">
        <w:t>; and</w:t>
      </w:r>
    </w:p>
    <w:p w14:paraId="5E650708" w14:textId="035C2EA2" w:rsidR="0057740E" w:rsidRPr="0057740E" w:rsidRDefault="0057740E" w:rsidP="0057740E">
      <w:pPr>
        <w:pStyle w:val="ListNumber3"/>
        <w:rPr>
          <w:spacing w:val="-4"/>
        </w:rPr>
      </w:pPr>
      <w:r w:rsidRPr="0057740E">
        <w:rPr>
          <w:spacing w:val="-4"/>
        </w:rPr>
        <w:t>Subordinate Law SL2023-36 being the Court Procedures Amendment Rules 2023 (No 2).</w:t>
      </w:r>
    </w:p>
    <w:p w14:paraId="3E427CCF" w14:textId="0CFF8988" w:rsidR="004A298E" w:rsidRDefault="004A298E" w:rsidP="0057740E">
      <w:pPr>
        <w:pStyle w:val="ListNumber2"/>
        <w:ind w:left="851"/>
      </w:pPr>
      <w:r>
        <w:t>Th</w:t>
      </w:r>
      <w:r w:rsidR="0057740E">
        <w:t>ese</w:t>
      </w:r>
      <w:r>
        <w:t xml:space="preserve"> responses can be viewed </w:t>
      </w:r>
      <w:hyperlink r:id="rId32" w:history="1">
        <w:r w:rsidRPr="00E0054C">
          <w:rPr>
            <w:rStyle w:val="Hyperlink"/>
          </w:rPr>
          <w:t>online</w:t>
        </w:r>
      </w:hyperlink>
      <w:r w:rsidRPr="00E0054C">
        <w:rPr>
          <w:rStyle w:val="FootnoteReference"/>
        </w:rPr>
        <w:footnoteReference w:id="5"/>
      </w:r>
      <w:r w:rsidRPr="00E0054C">
        <w:t>.</w:t>
      </w:r>
    </w:p>
    <w:p w14:paraId="17BAF143" w14:textId="24EC50E8" w:rsidR="004A298E" w:rsidRDefault="004A298E" w:rsidP="004A298E">
      <w:pPr>
        <w:pStyle w:val="ListNumber2"/>
        <w:ind w:left="851"/>
      </w:pPr>
      <w:r>
        <w:t>The Committee wishes to thank the Minister</w:t>
      </w:r>
      <w:r w:rsidR="0057740E">
        <w:t xml:space="preserve">s </w:t>
      </w:r>
      <w:r>
        <w:t>for their helpful responses.</w:t>
      </w:r>
    </w:p>
    <w:p w14:paraId="6390A3AD" w14:textId="77777777" w:rsidR="00FD6464" w:rsidRDefault="00FD6464" w:rsidP="00354391">
      <w:pPr>
        <w:pStyle w:val="Paper"/>
        <w:spacing w:before="2160" w:after="0" w:line="233" w:lineRule="auto"/>
        <w:rPr>
          <w:rFonts w:ascii="Calibri" w:hAnsi="Calibri" w:cs="Calibri"/>
          <w:sz w:val="22"/>
          <w:szCs w:val="22"/>
          <w:lang w:eastAsia="en-AU"/>
        </w:rPr>
      </w:pPr>
    </w:p>
    <w:p w14:paraId="4E0B2DFC" w14:textId="402BD9FD" w:rsidR="00354391" w:rsidRDefault="00354391" w:rsidP="00CE02FD">
      <w:pPr>
        <w:pStyle w:val="Paper"/>
        <w:spacing w:before="1560" w:after="0" w:line="233" w:lineRule="auto"/>
        <w:rPr>
          <w:rFonts w:ascii="Calibri" w:hAnsi="Calibri" w:cs="Calibri"/>
          <w:sz w:val="22"/>
          <w:szCs w:val="22"/>
          <w:lang w:eastAsia="en-AU"/>
        </w:rPr>
      </w:pPr>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01F045E3"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w:t>
      </w:r>
      <w:r w:rsidR="005E778F">
        <w:rPr>
          <w:rFonts w:ascii="Calibri" w:hAnsi="Calibri" w:cs="Calibri"/>
          <w:sz w:val="22"/>
          <w:szCs w:val="22"/>
          <w:lang w:eastAsia="en-AU"/>
        </w:rPr>
        <w:t>May</w:t>
      </w:r>
      <w:r>
        <w:rPr>
          <w:rFonts w:ascii="Calibri" w:hAnsi="Calibri" w:cs="Calibri"/>
          <w:sz w:val="22"/>
          <w:szCs w:val="22"/>
          <w:lang w:eastAsia="en-AU"/>
        </w:rPr>
        <w:t xml:space="preserve"> 202</w:t>
      </w:r>
      <w:bookmarkStart w:id="222" w:name="_Toc145944788"/>
      <w:bookmarkStart w:id="223" w:name="_Toc148444512"/>
      <w:bookmarkEnd w:id="220"/>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224" w:name="_Toc165552884"/>
      <w:r w:rsidRPr="00C618BF">
        <w:rPr>
          <w:rFonts w:ascii="Montserrat" w:eastAsiaTheme="majorEastAsia" w:hAnsi="Montserrat" w:cstheme="majorBidi"/>
          <w:b/>
          <w:color w:val="1A234C"/>
          <w:w w:val="90"/>
          <w:sz w:val="36"/>
          <w:szCs w:val="32"/>
        </w:rPr>
        <w:t>Outstanding responses</w:t>
      </w:r>
      <w:bookmarkEnd w:id="222"/>
      <w:bookmarkEnd w:id="223"/>
      <w:bookmarkEnd w:id="224"/>
    </w:p>
    <w:p w14:paraId="7C38B152" w14:textId="77777777" w:rsidR="00354391" w:rsidRDefault="00354391" w:rsidP="000030B4">
      <w:pPr>
        <w:pStyle w:val="Heading20"/>
      </w:pPr>
      <w:bookmarkStart w:id="225" w:name="_Toc165552885"/>
      <w:bookmarkStart w:id="226" w:name="_Toc145944790"/>
      <w:bookmarkStart w:id="227" w:name="_Toc148444514"/>
      <w:r>
        <w:t>Bills/Subordinate Legislation</w:t>
      </w:r>
      <w:bookmarkEnd w:id="225"/>
    </w:p>
    <w:p w14:paraId="25F77F9E" w14:textId="77777777" w:rsidR="00354391" w:rsidRPr="00BC5EBB" w:rsidRDefault="00354391" w:rsidP="000030B4">
      <w:pPr>
        <w:pStyle w:val="Heading3"/>
      </w:pPr>
      <w:bookmarkStart w:id="228" w:name="_Toc160699165"/>
      <w:bookmarkStart w:id="229" w:name="_Toc161141760"/>
      <w:bookmarkStart w:id="230" w:name="_Toc165552886"/>
      <w:r>
        <w:t>Report 28, dated 3 May 2023</w:t>
      </w:r>
      <w:bookmarkEnd w:id="228"/>
      <w:bookmarkEnd w:id="229"/>
      <w:bookmarkEnd w:id="230"/>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231" w:name="_Toc160699166"/>
      <w:bookmarkStart w:id="232" w:name="_Toc161141761"/>
      <w:bookmarkStart w:id="233" w:name="_Toc162463782"/>
      <w:bookmarkStart w:id="234" w:name="_Toc165377065"/>
      <w:bookmarkStart w:id="235" w:name="_Toc165454971"/>
      <w:bookmarkStart w:id="236" w:name="_Toc165552887"/>
      <w:bookmarkEnd w:id="226"/>
      <w:bookmarkEnd w:id="227"/>
      <w:r w:rsidRPr="00C618BF">
        <w:rPr>
          <w:rFonts w:ascii="Montserrat SemiBold" w:eastAsiaTheme="majorEastAsia" w:hAnsi="Montserrat SemiBold" w:cstheme="majorBidi"/>
          <w:iCs/>
          <w:color w:val="2F5496"/>
          <w:w w:val="90"/>
          <w:sz w:val="24"/>
          <w:szCs w:val="24"/>
        </w:rPr>
        <w:t>Bill</w:t>
      </w:r>
      <w:bookmarkEnd w:id="231"/>
      <w:bookmarkEnd w:id="232"/>
      <w:bookmarkEnd w:id="233"/>
      <w:bookmarkEnd w:id="234"/>
      <w:bookmarkEnd w:id="235"/>
      <w:bookmarkEnd w:id="236"/>
    </w:p>
    <w:p w14:paraId="2767724A" w14:textId="77777777" w:rsidR="00354391" w:rsidRDefault="00354391" w:rsidP="00246DE0">
      <w:pPr>
        <w:numPr>
          <w:ilvl w:val="0"/>
          <w:numId w:val="6"/>
        </w:numPr>
        <w:spacing w:before="120" w:after="120" w:line="280" w:lineRule="auto"/>
      </w:pPr>
      <w:r w:rsidRPr="00C618BF">
        <w:t>Modern Slavery Legislation Amendment Bill 2023</w:t>
      </w:r>
    </w:p>
    <w:p w14:paraId="2CC139C4" w14:textId="77777777" w:rsidR="00354391" w:rsidRDefault="00354391" w:rsidP="000030B4">
      <w:pPr>
        <w:pStyle w:val="Heading3"/>
      </w:pPr>
      <w:bookmarkStart w:id="237" w:name="_Toc160699169"/>
      <w:bookmarkStart w:id="238" w:name="_Toc161141764"/>
      <w:bookmarkStart w:id="239" w:name="_Toc165552888"/>
      <w:r>
        <w:t>Report 38, dated 30 January 2024</w:t>
      </w:r>
      <w:bookmarkEnd w:id="237"/>
      <w:bookmarkEnd w:id="238"/>
      <w:bookmarkEnd w:id="239"/>
    </w:p>
    <w:p w14:paraId="0BD1F264" w14:textId="7DDC4E9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240" w:name="_Toc160699170"/>
      <w:bookmarkStart w:id="241" w:name="_Toc161141765"/>
      <w:bookmarkStart w:id="242" w:name="_Toc162463784"/>
      <w:bookmarkStart w:id="243" w:name="_Toc165377067"/>
      <w:bookmarkStart w:id="244" w:name="_Toc165454973"/>
      <w:bookmarkStart w:id="245" w:name="_Toc165552889"/>
      <w:r w:rsidRPr="00C618BF">
        <w:rPr>
          <w:rFonts w:ascii="Montserrat SemiBold" w:eastAsiaTheme="majorEastAsia" w:hAnsi="Montserrat SemiBold" w:cstheme="majorBidi"/>
          <w:iCs/>
          <w:color w:val="2F5496"/>
          <w:w w:val="90"/>
          <w:sz w:val="24"/>
          <w:szCs w:val="24"/>
        </w:rPr>
        <w:t>Bill</w:t>
      </w:r>
      <w:bookmarkEnd w:id="240"/>
      <w:bookmarkEnd w:id="241"/>
      <w:bookmarkEnd w:id="242"/>
      <w:bookmarkEnd w:id="243"/>
      <w:bookmarkEnd w:id="244"/>
      <w:bookmarkEnd w:id="245"/>
    </w:p>
    <w:p w14:paraId="678F902B" w14:textId="77777777" w:rsidR="00354391" w:rsidRDefault="00354391" w:rsidP="00246DE0">
      <w:pPr>
        <w:pStyle w:val="ListParagraph"/>
        <w:numPr>
          <w:ilvl w:val="0"/>
          <w:numId w:val="7"/>
        </w:numPr>
        <w:spacing w:before="120" w:after="120" w:line="281" w:lineRule="auto"/>
        <w:ind w:left="714" w:hanging="357"/>
        <w:contextualSpacing w:val="0"/>
      </w:pPr>
      <w:r>
        <w:t>Property Developers Bill 2023</w:t>
      </w:r>
    </w:p>
    <w:p w14:paraId="2B2741E6" w14:textId="1F55F0E4" w:rsidR="00354391" w:rsidRDefault="00354391" w:rsidP="000030B4">
      <w:pPr>
        <w:pStyle w:val="Heading3"/>
      </w:pPr>
      <w:bookmarkStart w:id="246" w:name="_Toc165552890"/>
      <w:r>
        <w:t>Report 39, dated 12 March 2024</w:t>
      </w:r>
      <w:bookmarkEnd w:id="246"/>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247" w:name="_Toc162463786"/>
      <w:bookmarkStart w:id="248" w:name="_Toc165377069"/>
      <w:bookmarkStart w:id="249" w:name="_Toc165454975"/>
      <w:bookmarkStart w:id="250" w:name="_Toc165552891"/>
      <w:r w:rsidRPr="00C618BF">
        <w:rPr>
          <w:rFonts w:ascii="Montserrat SemiBold" w:eastAsiaTheme="majorEastAsia" w:hAnsi="Montserrat SemiBold" w:cstheme="majorBidi"/>
          <w:iCs/>
          <w:color w:val="2F5496"/>
          <w:w w:val="90"/>
          <w:sz w:val="24"/>
          <w:szCs w:val="24"/>
        </w:rPr>
        <w:t>Bill</w:t>
      </w:r>
      <w:bookmarkEnd w:id="247"/>
      <w:bookmarkEnd w:id="248"/>
      <w:bookmarkEnd w:id="249"/>
      <w:bookmarkEnd w:id="250"/>
    </w:p>
    <w:p w14:paraId="5A8F27FA" w14:textId="4456B121" w:rsidR="00354391" w:rsidRDefault="006F678C" w:rsidP="00246DE0">
      <w:pPr>
        <w:pStyle w:val="ListParagraph"/>
        <w:numPr>
          <w:ilvl w:val="0"/>
          <w:numId w:val="7"/>
        </w:numPr>
        <w:spacing w:before="120" w:after="120" w:line="281" w:lineRule="auto"/>
        <w:ind w:left="714" w:hanging="357"/>
        <w:contextualSpacing w:val="0"/>
      </w:pPr>
      <w:r>
        <w:t>Civil Law (Wrongs) Amendment Bill 2024</w:t>
      </w:r>
    </w:p>
    <w:p w14:paraId="68C6EE69" w14:textId="6A0B27EB" w:rsidR="006F678C" w:rsidRDefault="006F678C" w:rsidP="00246DE0">
      <w:pPr>
        <w:pStyle w:val="ListParagraph"/>
        <w:numPr>
          <w:ilvl w:val="0"/>
          <w:numId w:val="7"/>
        </w:numPr>
        <w:spacing w:before="120" w:after="120" w:line="281" w:lineRule="auto"/>
        <w:ind w:left="714" w:hanging="357"/>
        <w:contextualSpacing w:val="0"/>
      </w:pPr>
      <w:r>
        <w:t>Environment Protection (Fossil Fuel Company Advertising) Amendment Bill 2024</w:t>
      </w:r>
    </w:p>
    <w:sectPr w:rsidR="006F678C" w:rsidSect="00CE02FD">
      <w:footerReference w:type="even" r:id="rId33"/>
      <w:footerReference w:type="default" r:id="rId34"/>
      <w:pgSz w:w="11906" w:h="16838"/>
      <w:pgMar w:top="1134" w:right="1440" w:bottom="567"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2B4E347-D223-4600-9A8C-A22EE9DC169F}"/>
    <w:embedBold r:id="rId2" w:fontKey="{89F88A56-4F62-486A-BFE0-EB9705B0D45B}"/>
    <w:embedItalic r:id="rId3" w:fontKey="{3A6D81D5-77EF-4301-88AC-EC49D559A8DD}"/>
    <w:embedBoldItalic r:id="rId4" w:fontKey="{9B1C492C-34F8-4478-8B3B-FA082E170B1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embedRegular r:id="rId5" w:fontKey="{06D0369F-1429-4132-A3D0-9F73F4B708D4}"/>
    <w:embedBold r:id="rId6" w:fontKey="{54902E4E-BB33-4DF1-8A4D-9D0D51A8DF7A}"/>
    <w:embedBoldItalic r:id="rId7" w:fontKey="{5544CAAE-3F70-4587-BAD6-D81DE256F2B3}"/>
  </w:font>
  <w:font w:name="Montserrat SemiBold">
    <w:panose1 w:val="00000700000000000000"/>
    <w:charset w:val="00"/>
    <w:family w:val="auto"/>
    <w:pitch w:val="variable"/>
    <w:sig w:usb0="2000020F" w:usb1="00000003" w:usb2="00000000" w:usb3="00000000" w:csb0="00000197" w:csb1="00000000"/>
    <w:embedRegular r:id="rId8" w:fontKey="{591F3389-617B-49C7-963F-AE619CB4B4C4}"/>
    <w:embedItalic r:id="rId9" w:fontKey="{0928E3F5-A7D0-4C98-BDFE-0B7A0330C0A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2C438F53-CF5A-441F-8D87-6C10E086B231}"/>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0DBD30CA"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D86F7E">
      <w:rPr>
        <w:rFonts w:ascii="Montserrat SemiBold" w:hAnsi="Montserrat SemiBold" w:cstheme="majorHAnsi"/>
        <w:noProof/>
        <w:color w:val="2F5496"/>
        <w:w w:val="90"/>
        <w:sz w:val="18"/>
        <w:szCs w:val="18"/>
      </w:rPr>
      <w:t>Scrutiny Report 41</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430A2E6"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86F7E">
      <w:rPr>
        <w:rFonts w:ascii="Montserrat SemiBold" w:hAnsi="Montserrat SemiBold" w:cstheme="majorHAnsi"/>
        <w:noProof/>
        <w:color w:val="2F5496"/>
        <w:w w:val="90"/>
        <w:sz w:val="18"/>
        <w:szCs w:val="18"/>
      </w:rPr>
      <w:t>Scrutiny Report 41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0098696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D86F7E">
      <w:rPr>
        <w:rFonts w:cstheme="minorHAnsi"/>
        <w:noProof/>
        <w:color w:val="404040" w:themeColor="text1" w:themeTint="BF"/>
      </w:rPr>
      <w:t>Standing Committee on Justice and Community Safety (Legislative Scrutiny Role)</w:t>
    </w:r>
    <w:r w:rsidR="00D86F7E">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843FE52" w:rsidR="00836FFE" w:rsidRPr="00C8358A" w:rsidRDefault="00D86F7E"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73F0139C"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D86F7E">
      <w:rPr>
        <w:rFonts w:cstheme="minorHAnsi"/>
        <w:noProof/>
        <w:color w:val="404040" w:themeColor="text1" w:themeTint="BF"/>
      </w:rPr>
      <w:t>May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39809065"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86F7E">
      <w:rPr>
        <w:rFonts w:ascii="Montserrat SemiBold" w:hAnsi="Montserrat SemiBold" w:cstheme="majorHAnsi"/>
        <w:noProof/>
        <w:color w:val="2F5496"/>
        <w:w w:val="90"/>
        <w:sz w:val="18"/>
        <w:szCs w:val="18"/>
      </w:rPr>
      <w:t>Scrutiny Report 41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26C8F4A2"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D86F7E">
      <w:rPr>
        <w:rFonts w:ascii="Montserrat SemiBold" w:hAnsi="Montserrat SemiBold" w:cstheme="majorHAnsi"/>
        <w:noProof/>
        <w:color w:val="2F5496"/>
        <w:w w:val="90"/>
        <w:sz w:val="18"/>
        <w:szCs w:val="18"/>
      </w:rPr>
      <w:t>Scrutiny Report 41</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3CE4190F"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D86F7E">
      <w:rPr>
        <w:rFonts w:ascii="Montserrat SemiBold" w:hAnsi="Montserrat SemiBold" w:cstheme="majorHAnsi"/>
        <w:noProof/>
        <w:color w:val="2F5496"/>
        <w:w w:val="90"/>
        <w:sz w:val="18"/>
        <w:szCs w:val="18"/>
      </w:rPr>
      <w:t>Scrutiny Report 41</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765B7F17" w14:textId="77777777" w:rsidR="000030B4" w:rsidRDefault="000030B4" w:rsidP="000030B4">
      <w:pPr>
        <w:pStyle w:val="FootnoteText"/>
      </w:pPr>
      <w:r>
        <w:rPr>
          <w:rStyle w:val="FootnoteReference"/>
        </w:rPr>
        <w:footnoteRef/>
      </w:r>
      <w:r>
        <w:t xml:space="preserve"> </w:t>
      </w:r>
      <w:r w:rsidRPr="000030B4">
        <w:t>The Committee notes that the explanatory statement misdescribes the amendments to section 35 as involving the Director-General in establishing procedures to encourage school attendance. The explanatory statement also describes connecting parents and children with support services as only occurring with the parent's consent unless otherwise required by law without making it clear that these protections are not provided under the Education Act.</w:t>
      </w:r>
      <w:r>
        <w:t xml:space="preserve"> </w:t>
      </w:r>
    </w:p>
  </w:footnote>
  <w:footnote w:id="2">
    <w:p w14:paraId="2F278214" w14:textId="77777777" w:rsidR="000030B4" w:rsidRDefault="000030B4" w:rsidP="000030B4">
      <w:pPr>
        <w:pStyle w:val="FootnoteText"/>
      </w:pPr>
      <w:r>
        <w:rPr>
          <w:rStyle w:val="FootnoteReference"/>
        </w:rPr>
        <w:footnoteRef/>
      </w:r>
      <w:r>
        <w:t xml:space="preserve"> </w:t>
      </w:r>
      <w:r w:rsidRPr="000030B4">
        <w:t>For example, the description of proposed section 127BB(2) in the introduction refers to the Registrar being able to determine a regulatory fee for the enrolment of students in registered schools undertaking distance education, who do not live in the ACT. It is unclear if this is meant to involve a fee for each student who does not live in the ACT and who undertakes distance education at the school, or for each student in a school which is registered to provide distance education. The Bill merely states that the registrar may determine a fee for the enrolment of students in registered schools who do not live in the ACT, leaving the connection with distance education to be inferred from the requirement of the school to be registered before it can provide distance education in subsection (1) of the provision.</w:t>
      </w:r>
      <w:r>
        <w:t xml:space="preserve"> </w:t>
      </w:r>
    </w:p>
  </w:footnote>
  <w:footnote w:id="3">
    <w:p w14:paraId="64DA27AE" w14:textId="77777777" w:rsidR="002D13CB" w:rsidRDefault="002D13CB" w:rsidP="002D13CB">
      <w:pPr>
        <w:pStyle w:val="FootnoteText"/>
      </w:pPr>
      <w:r>
        <w:rPr>
          <w:rStyle w:val="FootnoteReference"/>
        </w:rPr>
        <w:footnoteRef/>
      </w:r>
      <w:r>
        <w:t xml:space="preserve"> The Committee notes that the explanatory statement incorrectly refers to the current default commencement date of the Professional Engineers Act 2023 to be 11 October 2023 (see page 4).</w:t>
      </w:r>
    </w:p>
  </w:footnote>
  <w:footnote w:id="4">
    <w:p w14:paraId="3E8059E8" w14:textId="675C0A20" w:rsidR="002D13CB" w:rsidRPr="002D13CB" w:rsidRDefault="002D13CB" w:rsidP="00E0054C">
      <w:pPr>
        <w:pStyle w:val="FootnoteText"/>
        <w:rPr>
          <w:lang w:val="en-US"/>
        </w:rPr>
      </w:pPr>
      <w:r>
        <w:rPr>
          <w:rStyle w:val="FootnoteReference"/>
        </w:rPr>
        <w:footnoteRef/>
      </w:r>
      <w:r>
        <w:t xml:space="preserve"> </w:t>
      </w:r>
      <w:r w:rsidR="00E0054C" w:rsidRPr="006B2534">
        <w:rPr>
          <w:sz w:val="19"/>
          <w:szCs w:val="19"/>
          <w:lang w:val="en-US"/>
        </w:rPr>
        <w:t xml:space="preserve">Available at </w:t>
      </w:r>
      <w:hyperlink r:id="rId1" w:history="1">
        <w:r w:rsidR="00E0054C" w:rsidRPr="006B2534">
          <w:rPr>
            <w:rStyle w:val="Hyperlink"/>
            <w:sz w:val="19"/>
            <w:szCs w:val="19"/>
          </w:rPr>
          <w:t>https://www.parliament.act.gov.au/parliamentary-business/in-committees/committees/JCS_Scrutiny/responses-to-comments-on-bills</w:t>
        </w:r>
      </w:hyperlink>
      <w:r w:rsidR="00E0054C" w:rsidRPr="006B2534">
        <w:rPr>
          <w:sz w:val="19"/>
          <w:szCs w:val="19"/>
          <w:lang w:val="en-US"/>
        </w:rPr>
        <w:t xml:space="preserve">. </w:t>
      </w:r>
    </w:p>
  </w:footnote>
  <w:footnote w:id="5">
    <w:p w14:paraId="79C64591" w14:textId="2FA98F12" w:rsidR="004A298E" w:rsidRPr="002D13CB" w:rsidRDefault="004A298E" w:rsidP="004A298E">
      <w:pPr>
        <w:pStyle w:val="FootnoteText"/>
        <w:rPr>
          <w:lang w:val="en-US"/>
        </w:rPr>
      </w:pPr>
      <w:r>
        <w:rPr>
          <w:rStyle w:val="FootnoteReference"/>
        </w:rPr>
        <w:footnoteRef/>
      </w:r>
      <w:r>
        <w:t xml:space="preserve"> </w:t>
      </w:r>
      <w:r w:rsidRPr="006B2534">
        <w:rPr>
          <w:sz w:val="19"/>
          <w:szCs w:val="19"/>
          <w:lang w:val="en-US"/>
        </w:rPr>
        <w:t xml:space="preserve">Available at </w:t>
      </w:r>
      <w:hyperlink r:id="rId2" w:history="1">
        <w:r w:rsidR="0057740E">
          <w:rPr>
            <w:rStyle w:val="Hyperlink"/>
            <w:sz w:val="19"/>
            <w:szCs w:val="19"/>
          </w:rPr>
          <w:t>https://www.parliament.act.gov.au/parliamentary-business/in-committees/committees/JCS_Scrutiny/response-to-comments-on-subordinate-legislation</w:t>
        </w:r>
      </w:hyperlink>
      <w:r w:rsidRPr="006B2534">
        <w:rPr>
          <w:sz w:val="19"/>
          <w:szCs w:val="19"/>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5605" w14:textId="77777777" w:rsidR="00D86F7E" w:rsidRDefault="00D86F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04D7E" w14:textId="77777777" w:rsidR="00D86F7E" w:rsidRDefault="00D86F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 w15:restartNumberingAfterBreak="0">
    <w:nsid w:val="03905FCE"/>
    <w:multiLevelType w:val="multilevel"/>
    <w:tmpl w:val="23A4A112"/>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3" w:hanging="851"/>
      </w:pPr>
      <w:rPr>
        <w:rFonts w:asciiTheme="minorHAnsi" w:hAnsiTheme="minorHAnsi" w:hint="default"/>
        <w:b w:val="0"/>
        <w:bCs w:val="0"/>
        <w:i w:val="0"/>
        <w:iCs w:val="0"/>
        <w:sz w:val="22"/>
      </w:rPr>
    </w:lvl>
    <w:lvl w:ilvl="2">
      <w:start w:val="1"/>
      <w:numFmt w:val="lowerLetter"/>
      <w:pStyle w:val="ListNumber3"/>
      <w:lvlText w:val="%3)"/>
      <w:lvlJc w:val="left"/>
      <w:pPr>
        <w:ind w:left="1418" w:hanging="567"/>
      </w:pPr>
      <w:rPr>
        <w:rFonts w:hint="default"/>
        <w:i w:val="0"/>
        <w:iCs w:val="0"/>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2" w15:restartNumberingAfterBreak="0">
    <w:nsid w:val="081947F9"/>
    <w:multiLevelType w:val="hybridMultilevel"/>
    <w:tmpl w:val="15BAF52E"/>
    <w:lvl w:ilvl="0" w:tplc="0C090017">
      <w:start w:val="1"/>
      <w:numFmt w:val="lowerLetter"/>
      <w:lvlText w:val="%1)"/>
      <w:lvlJc w:val="left"/>
      <w:pPr>
        <w:ind w:left="1211" w:hanging="360"/>
      </w:pPr>
      <w:rPr>
        <w:rFonts w:hint="default"/>
      </w:rPr>
    </w:lvl>
    <w:lvl w:ilvl="1" w:tplc="AE907CEC">
      <w:start w:val="1"/>
      <w:numFmt w:val="lowerLetter"/>
      <w:lvlText w:val="%2."/>
      <w:lvlJc w:val="left"/>
      <w:pPr>
        <w:ind w:left="1931" w:hanging="360"/>
      </w:pPr>
      <w:rPr>
        <w:rFonts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BD7E9F"/>
    <w:multiLevelType w:val="hybridMultilevel"/>
    <w:tmpl w:val="684C993C"/>
    <w:lvl w:ilvl="0" w:tplc="20886AF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51F0436"/>
    <w:multiLevelType w:val="hybridMultilevel"/>
    <w:tmpl w:val="7570E676"/>
    <w:lvl w:ilvl="0" w:tplc="687E266A">
      <w:start w:val="1"/>
      <w:numFmt w:val="lowerLetter"/>
      <w:lvlText w:val="(%1)"/>
      <w:lvlJc w:val="left"/>
      <w:pPr>
        <w:ind w:left="1440" w:hanging="360"/>
      </w:pPr>
      <w:rPr>
        <w:rFonts w:ascii="Times New Roman" w:eastAsia="Times New Roman" w:hAnsi="Times New Roman" w:cs="Times New Roman"/>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9E06410"/>
    <w:multiLevelType w:val="hybridMultilevel"/>
    <w:tmpl w:val="9C9A5EB2"/>
    <w:lvl w:ilvl="0" w:tplc="C0167E6A">
      <w:numFmt w:val="bullet"/>
      <w:lvlText w:val="•"/>
      <w:lvlJc w:val="lef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7" w15:restartNumberingAfterBreak="0">
    <w:nsid w:val="1D4D4F93"/>
    <w:multiLevelType w:val="hybridMultilevel"/>
    <w:tmpl w:val="14660BB4"/>
    <w:lvl w:ilvl="0" w:tplc="C4A6985A">
      <w:start w:val="1"/>
      <w:numFmt w:val="lowerLetter"/>
      <w:lvlText w:val="(%1)"/>
      <w:lvlJc w:val="left"/>
      <w:pPr>
        <w:ind w:left="1854" w:hanging="360"/>
      </w:pPr>
      <w:rPr>
        <w:rFonts w:hint="default"/>
      </w:r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 w15:restartNumberingAfterBreak="0">
    <w:nsid w:val="1DB26522"/>
    <w:multiLevelType w:val="hybridMultilevel"/>
    <w:tmpl w:val="8E501822"/>
    <w:lvl w:ilvl="0" w:tplc="0C090017">
      <w:start w:val="1"/>
      <w:numFmt w:val="lowerLetter"/>
      <w:lvlText w:val="%1)"/>
      <w:lvlJc w:val="left"/>
      <w:pPr>
        <w:ind w:left="1494" w:hanging="360"/>
      </w:pPr>
      <w:rPr>
        <w:rFonts w:hint="default"/>
      </w:rPr>
    </w:lvl>
    <w:lvl w:ilvl="1" w:tplc="497EB930">
      <w:start w:val="1"/>
      <w:numFmt w:val="lowerLetter"/>
      <w:lvlText w:val="(%2)"/>
      <w:lvlJc w:val="left"/>
      <w:pPr>
        <w:ind w:left="2214" w:hanging="360"/>
      </w:pPr>
      <w:rPr>
        <w:rFonts w:hint="default"/>
      </w:r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9" w15:restartNumberingAfterBreak="0">
    <w:nsid w:val="26276BF5"/>
    <w:multiLevelType w:val="hybridMultilevel"/>
    <w:tmpl w:val="C7744A4A"/>
    <w:lvl w:ilvl="0" w:tplc="C4A6985A">
      <w:start w:val="1"/>
      <w:numFmt w:val="lowerLetter"/>
      <w:lvlText w:val="(%1)"/>
      <w:lvlJc w:val="left"/>
      <w:pPr>
        <w:ind w:left="3086" w:hanging="360"/>
      </w:pPr>
      <w:rPr>
        <w:rFonts w:hint="default"/>
      </w:rPr>
    </w:lvl>
    <w:lvl w:ilvl="1" w:tplc="0C090019" w:tentative="1">
      <w:start w:val="1"/>
      <w:numFmt w:val="lowerLetter"/>
      <w:lvlText w:val="%2."/>
      <w:lvlJc w:val="left"/>
      <w:pPr>
        <w:ind w:left="3806" w:hanging="360"/>
      </w:pPr>
    </w:lvl>
    <w:lvl w:ilvl="2" w:tplc="0C09001B" w:tentative="1">
      <w:start w:val="1"/>
      <w:numFmt w:val="lowerRoman"/>
      <w:lvlText w:val="%3."/>
      <w:lvlJc w:val="right"/>
      <w:pPr>
        <w:ind w:left="4526" w:hanging="180"/>
      </w:pPr>
    </w:lvl>
    <w:lvl w:ilvl="3" w:tplc="0C09000F" w:tentative="1">
      <w:start w:val="1"/>
      <w:numFmt w:val="decimal"/>
      <w:lvlText w:val="%4."/>
      <w:lvlJc w:val="left"/>
      <w:pPr>
        <w:ind w:left="5246" w:hanging="360"/>
      </w:pPr>
    </w:lvl>
    <w:lvl w:ilvl="4" w:tplc="0C090019" w:tentative="1">
      <w:start w:val="1"/>
      <w:numFmt w:val="lowerLetter"/>
      <w:lvlText w:val="%5."/>
      <w:lvlJc w:val="left"/>
      <w:pPr>
        <w:ind w:left="5966" w:hanging="360"/>
      </w:pPr>
    </w:lvl>
    <w:lvl w:ilvl="5" w:tplc="0C09001B" w:tentative="1">
      <w:start w:val="1"/>
      <w:numFmt w:val="lowerRoman"/>
      <w:lvlText w:val="%6."/>
      <w:lvlJc w:val="right"/>
      <w:pPr>
        <w:ind w:left="6686" w:hanging="180"/>
      </w:pPr>
    </w:lvl>
    <w:lvl w:ilvl="6" w:tplc="0C09000F" w:tentative="1">
      <w:start w:val="1"/>
      <w:numFmt w:val="decimal"/>
      <w:lvlText w:val="%7."/>
      <w:lvlJc w:val="left"/>
      <w:pPr>
        <w:ind w:left="7406" w:hanging="360"/>
      </w:pPr>
    </w:lvl>
    <w:lvl w:ilvl="7" w:tplc="0C090019" w:tentative="1">
      <w:start w:val="1"/>
      <w:numFmt w:val="lowerLetter"/>
      <w:lvlText w:val="%8."/>
      <w:lvlJc w:val="left"/>
      <w:pPr>
        <w:ind w:left="8126" w:hanging="360"/>
      </w:pPr>
    </w:lvl>
    <w:lvl w:ilvl="8" w:tplc="0C09001B" w:tentative="1">
      <w:start w:val="1"/>
      <w:numFmt w:val="lowerRoman"/>
      <w:lvlText w:val="%9."/>
      <w:lvlJc w:val="right"/>
      <w:pPr>
        <w:ind w:left="8846" w:hanging="180"/>
      </w:pPr>
    </w:lvl>
  </w:abstractNum>
  <w:abstractNum w:abstractNumId="10" w15:restartNumberingAfterBreak="0">
    <w:nsid w:val="268E435F"/>
    <w:multiLevelType w:val="hybridMultilevel"/>
    <w:tmpl w:val="D020FD4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1"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B02FFB"/>
    <w:multiLevelType w:val="hybridMultilevel"/>
    <w:tmpl w:val="B67E9828"/>
    <w:lvl w:ilvl="0" w:tplc="687E266A">
      <w:start w:val="1"/>
      <w:numFmt w:val="lowerLetter"/>
      <w:lvlText w:val="(%1)"/>
      <w:lvlJc w:val="left"/>
      <w:pPr>
        <w:ind w:left="1440" w:hanging="360"/>
      </w:pPr>
      <w:rPr>
        <w:rFonts w:ascii="Times New Roman" w:eastAsia="Times New Roman" w:hAnsi="Times New Roman" w:cs="Times New Roman"/>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2017E91"/>
    <w:multiLevelType w:val="hybridMultilevel"/>
    <w:tmpl w:val="AE1CFF34"/>
    <w:lvl w:ilvl="0" w:tplc="0C090017">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6416CA5"/>
    <w:multiLevelType w:val="hybridMultilevel"/>
    <w:tmpl w:val="8B387AB8"/>
    <w:lvl w:ilvl="0" w:tplc="C4A6985A">
      <w:start w:val="1"/>
      <w:numFmt w:val="lowerLetter"/>
      <w:lvlText w:val="(%1)"/>
      <w:lvlJc w:val="left"/>
      <w:pPr>
        <w:ind w:left="2203" w:hanging="360"/>
      </w:pPr>
      <w:rPr>
        <w:rFonts w:hint="default"/>
      </w:rPr>
    </w:lvl>
    <w:lvl w:ilvl="1" w:tplc="0C090019" w:tentative="1">
      <w:start w:val="1"/>
      <w:numFmt w:val="lowerLetter"/>
      <w:lvlText w:val="%2."/>
      <w:lvlJc w:val="left"/>
      <w:pPr>
        <w:ind w:left="2923" w:hanging="360"/>
      </w:pPr>
    </w:lvl>
    <w:lvl w:ilvl="2" w:tplc="0C09001B" w:tentative="1">
      <w:start w:val="1"/>
      <w:numFmt w:val="lowerRoman"/>
      <w:lvlText w:val="%3."/>
      <w:lvlJc w:val="right"/>
      <w:pPr>
        <w:ind w:left="3643" w:hanging="180"/>
      </w:pPr>
    </w:lvl>
    <w:lvl w:ilvl="3" w:tplc="0C09000F" w:tentative="1">
      <w:start w:val="1"/>
      <w:numFmt w:val="decimal"/>
      <w:lvlText w:val="%4."/>
      <w:lvlJc w:val="left"/>
      <w:pPr>
        <w:ind w:left="4363" w:hanging="360"/>
      </w:pPr>
    </w:lvl>
    <w:lvl w:ilvl="4" w:tplc="0C090019" w:tentative="1">
      <w:start w:val="1"/>
      <w:numFmt w:val="lowerLetter"/>
      <w:lvlText w:val="%5."/>
      <w:lvlJc w:val="left"/>
      <w:pPr>
        <w:ind w:left="5083" w:hanging="360"/>
      </w:pPr>
    </w:lvl>
    <w:lvl w:ilvl="5" w:tplc="0C09001B" w:tentative="1">
      <w:start w:val="1"/>
      <w:numFmt w:val="lowerRoman"/>
      <w:lvlText w:val="%6."/>
      <w:lvlJc w:val="right"/>
      <w:pPr>
        <w:ind w:left="5803" w:hanging="180"/>
      </w:pPr>
    </w:lvl>
    <w:lvl w:ilvl="6" w:tplc="0C09000F" w:tentative="1">
      <w:start w:val="1"/>
      <w:numFmt w:val="decimal"/>
      <w:lvlText w:val="%7."/>
      <w:lvlJc w:val="left"/>
      <w:pPr>
        <w:ind w:left="6523" w:hanging="360"/>
      </w:pPr>
    </w:lvl>
    <w:lvl w:ilvl="7" w:tplc="0C090019" w:tentative="1">
      <w:start w:val="1"/>
      <w:numFmt w:val="lowerLetter"/>
      <w:lvlText w:val="%8."/>
      <w:lvlJc w:val="left"/>
      <w:pPr>
        <w:ind w:left="7243" w:hanging="360"/>
      </w:pPr>
    </w:lvl>
    <w:lvl w:ilvl="8" w:tplc="0C09001B" w:tentative="1">
      <w:start w:val="1"/>
      <w:numFmt w:val="lowerRoman"/>
      <w:lvlText w:val="%9."/>
      <w:lvlJc w:val="right"/>
      <w:pPr>
        <w:ind w:left="7963" w:hanging="180"/>
      </w:pPr>
    </w:lvl>
  </w:abstractNum>
  <w:abstractNum w:abstractNumId="18" w15:restartNumberingAfterBreak="0">
    <w:nsid w:val="4BB934BB"/>
    <w:multiLevelType w:val="hybridMultilevel"/>
    <w:tmpl w:val="8B387AB8"/>
    <w:lvl w:ilvl="0" w:tplc="FFFFFFFF">
      <w:start w:val="1"/>
      <w:numFmt w:val="lowerLetter"/>
      <w:lvlText w:val="(%1)"/>
      <w:lvlJc w:val="left"/>
      <w:pPr>
        <w:ind w:left="2203" w:hanging="360"/>
      </w:pPr>
      <w:rPr>
        <w:rFonts w:hint="default"/>
      </w:rPr>
    </w:lvl>
    <w:lvl w:ilvl="1" w:tplc="FFFFFFFF" w:tentative="1">
      <w:start w:val="1"/>
      <w:numFmt w:val="lowerLetter"/>
      <w:lvlText w:val="%2."/>
      <w:lvlJc w:val="left"/>
      <w:pPr>
        <w:ind w:left="2923" w:hanging="360"/>
      </w:pPr>
    </w:lvl>
    <w:lvl w:ilvl="2" w:tplc="FFFFFFFF" w:tentative="1">
      <w:start w:val="1"/>
      <w:numFmt w:val="lowerRoman"/>
      <w:lvlText w:val="%3."/>
      <w:lvlJc w:val="right"/>
      <w:pPr>
        <w:ind w:left="3643" w:hanging="180"/>
      </w:pPr>
    </w:lvl>
    <w:lvl w:ilvl="3" w:tplc="FFFFFFFF" w:tentative="1">
      <w:start w:val="1"/>
      <w:numFmt w:val="decimal"/>
      <w:lvlText w:val="%4."/>
      <w:lvlJc w:val="left"/>
      <w:pPr>
        <w:ind w:left="4363" w:hanging="360"/>
      </w:pPr>
    </w:lvl>
    <w:lvl w:ilvl="4" w:tplc="FFFFFFFF" w:tentative="1">
      <w:start w:val="1"/>
      <w:numFmt w:val="lowerLetter"/>
      <w:lvlText w:val="%5."/>
      <w:lvlJc w:val="left"/>
      <w:pPr>
        <w:ind w:left="5083" w:hanging="360"/>
      </w:pPr>
    </w:lvl>
    <w:lvl w:ilvl="5" w:tplc="FFFFFFFF" w:tentative="1">
      <w:start w:val="1"/>
      <w:numFmt w:val="lowerRoman"/>
      <w:lvlText w:val="%6."/>
      <w:lvlJc w:val="right"/>
      <w:pPr>
        <w:ind w:left="5803" w:hanging="180"/>
      </w:pPr>
    </w:lvl>
    <w:lvl w:ilvl="6" w:tplc="FFFFFFFF" w:tentative="1">
      <w:start w:val="1"/>
      <w:numFmt w:val="decimal"/>
      <w:lvlText w:val="%7."/>
      <w:lvlJc w:val="left"/>
      <w:pPr>
        <w:ind w:left="6523" w:hanging="360"/>
      </w:pPr>
    </w:lvl>
    <w:lvl w:ilvl="7" w:tplc="FFFFFFFF" w:tentative="1">
      <w:start w:val="1"/>
      <w:numFmt w:val="lowerLetter"/>
      <w:lvlText w:val="%8."/>
      <w:lvlJc w:val="left"/>
      <w:pPr>
        <w:ind w:left="7243" w:hanging="360"/>
      </w:pPr>
    </w:lvl>
    <w:lvl w:ilvl="8" w:tplc="FFFFFFFF" w:tentative="1">
      <w:start w:val="1"/>
      <w:numFmt w:val="lowerRoman"/>
      <w:lvlText w:val="%9."/>
      <w:lvlJc w:val="right"/>
      <w:pPr>
        <w:ind w:left="7963" w:hanging="180"/>
      </w:pPr>
    </w:lvl>
  </w:abstractNum>
  <w:abstractNum w:abstractNumId="19" w15:restartNumberingAfterBreak="0">
    <w:nsid w:val="5F726B5D"/>
    <w:multiLevelType w:val="hybridMultilevel"/>
    <w:tmpl w:val="AFC48682"/>
    <w:lvl w:ilvl="0" w:tplc="C0167E6A">
      <w:numFmt w:val="bullet"/>
      <w:lvlText w:val="•"/>
      <w:lvlJc w:val="left"/>
      <w:pPr>
        <w:ind w:left="1211" w:hanging="360"/>
      </w:pPr>
      <w:rPr>
        <w:rFonts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0"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2" w15:restartNumberingAfterBreak="0">
    <w:nsid w:val="68792E24"/>
    <w:multiLevelType w:val="hybridMultilevel"/>
    <w:tmpl w:val="B800459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4D85C43"/>
    <w:multiLevelType w:val="hybridMultilevel"/>
    <w:tmpl w:val="90EC362E"/>
    <w:lvl w:ilvl="0" w:tplc="AE907CE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num w:numId="1" w16cid:durableId="1975600845">
    <w:abstractNumId w:val="1"/>
  </w:num>
  <w:num w:numId="2" w16cid:durableId="1348370003">
    <w:abstractNumId w:val="15"/>
  </w:num>
  <w:num w:numId="3" w16cid:durableId="734426583">
    <w:abstractNumId w:val="16"/>
  </w:num>
  <w:num w:numId="4" w16cid:durableId="164395069">
    <w:abstractNumId w:val="21"/>
  </w:num>
  <w:num w:numId="5" w16cid:durableId="1683431788">
    <w:abstractNumId w:val="2"/>
  </w:num>
  <w:num w:numId="6" w16cid:durableId="1813056974">
    <w:abstractNumId w:val="11"/>
  </w:num>
  <w:num w:numId="7" w16cid:durableId="1057509707">
    <w:abstractNumId w:val="12"/>
  </w:num>
  <w:num w:numId="8" w16cid:durableId="1713766522">
    <w:abstractNumId w:val="22"/>
  </w:num>
  <w:num w:numId="9" w16cid:durableId="368190092">
    <w:abstractNumId w:val="4"/>
  </w:num>
  <w:num w:numId="10" w16cid:durableId="1289093253">
    <w:abstractNumId w:val="5"/>
  </w:num>
  <w:num w:numId="11" w16cid:durableId="526917691">
    <w:abstractNumId w:val="13"/>
  </w:num>
  <w:num w:numId="12" w16cid:durableId="1966543254">
    <w:abstractNumId w:val="19"/>
  </w:num>
  <w:num w:numId="13" w16cid:durableId="1913808776">
    <w:abstractNumId w:val="8"/>
  </w:num>
  <w:num w:numId="14" w16cid:durableId="1810367362">
    <w:abstractNumId w:val="14"/>
  </w:num>
  <w:num w:numId="15" w16cid:durableId="145436921">
    <w:abstractNumId w:val="7"/>
  </w:num>
  <w:num w:numId="16" w16cid:durableId="699404364">
    <w:abstractNumId w:val="23"/>
  </w:num>
  <w:num w:numId="17" w16cid:durableId="1811553095">
    <w:abstractNumId w:val="9"/>
  </w:num>
  <w:num w:numId="18" w16cid:durableId="1029724260">
    <w:abstractNumId w:val="17"/>
  </w:num>
  <w:num w:numId="19" w16cid:durableId="704208806">
    <w:abstractNumId w:val="18"/>
  </w:num>
  <w:num w:numId="20" w16cid:durableId="1724986244">
    <w:abstractNumId w:val="0"/>
  </w:num>
  <w:num w:numId="21" w16cid:durableId="102848121">
    <w:abstractNumId w:val="10"/>
  </w:num>
  <w:num w:numId="22" w16cid:durableId="117457192">
    <w:abstractNumId w:val="6"/>
  </w:num>
  <w:num w:numId="23" w16cid:durableId="6143379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08420525">
    <w:abstractNumId w:val="1"/>
  </w:num>
  <w:num w:numId="25" w16cid:durableId="1520658867">
    <w:abstractNumId w:val="1"/>
  </w:num>
  <w:num w:numId="26" w16cid:durableId="1073351017">
    <w:abstractNumId w:val="1"/>
  </w:num>
  <w:num w:numId="27" w16cid:durableId="1687251153">
    <w:abstractNumId w:val="1"/>
  </w:num>
  <w:num w:numId="28" w16cid:durableId="434524053">
    <w:abstractNumId w:val="1"/>
  </w:num>
  <w:num w:numId="29" w16cid:durableId="1445538498">
    <w:abstractNumId w:val="1"/>
  </w:num>
  <w:num w:numId="30" w16cid:durableId="844709463">
    <w:abstractNumId w:val="1"/>
  </w:num>
  <w:num w:numId="31" w16cid:durableId="1107118173">
    <w:abstractNumId w:val="1"/>
  </w:num>
  <w:num w:numId="32" w16cid:durableId="459959652">
    <w:abstractNumId w:val="1"/>
  </w:num>
  <w:num w:numId="33" w16cid:durableId="667363374">
    <w:abstractNumId w:val="1"/>
  </w:num>
  <w:num w:numId="34" w16cid:durableId="1535728769">
    <w:abstractNumId w:val="1"/>
  </w:num>
  <w:num w:numId="35" w16cid:durableId="97152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48430714">
    <w:abstractNumId w:val="1"/>
  </w:num>
  <w:num w:numId="37" w16cid:durableId="1575044141">
    <w:abstractNumId w:val="1"/>
  </w:num>
  <w:num w:numId="38" w16cid:durableId="1227715991">
    <w:abstractNumId w:val="1"/>
  </w:num>
  <w:num w:numId="39" w16cid:durableId="890120009">
    <w:abstractNumId w:val="1"/>
  </w:num>
  <w:num w:numId="40" w16cid:durableId="1049258759">
    <w:abstractNumId w:val="1"/>
  </w:num>
  <w:num w:numId="41" w16cid:durableId="1190294146">
    <w:abstractNumId w:val="1"/>
  </w:num>
  <w:num w:numId="42" w16cid:durableId="881477972">
    <w:abstractNumId w:val="1"/>
  </w:num>
  <w:num w:numId="43" w16cid:durableId="1065762966">
    <w:abstractNumId w:val="1"/>
  </w:num>
  <w:num w:numId="44" w16cid:durableId="2706849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0302D"/>
    <w:rsid w:val="000030B4"/>
    <w:rsid w:val="00024F1A"/>
    <w:rsid w:val="000257F7"/>
    <w:rsid w:val="00026854"/>
    <w:rsid w:val="00030FBC"/>
    <w:rsid w:val="00034056"/>
    <w:rsid w:val="00047DD3"/>
    <w:rsid w:val="00051C47"/>
    <w:rsid w:val="000523B7"/>
    <w:rsid w:val="00056797"/>
    <w:rsid w:val="00064DFF"/>
    <w:rsid w:val="00066FEB"/>
    <w:rsid w:val="0006752F"/>
    <w:rsid w:val="00070E76"/>
    <w:rsid w:val="00082D9E"/>
    <w:rsid w:val="000A3713"/>
    <w:rsid w:val="000C328F"/>
    <w:rsid w:val="000D032A"/>
    <w:rsid w:val="000D5BCA"/>
    <w:rsid w:val="000D70A2"/>
    <w:rsid w:val="000E556C"/>
    <w:rsid w:val="000E5592"/>
    <w:rsid w:val="000F42DF"/>
    <w:rsid w:val="001028F2"/>
    <w:rsid w:val="00122290"/>
    <w:rsid w:val="00122931"/>
    <w:rsid w:val="00123781"/>
    <w:rsid w:val="0013051B"/>
    <w:rsid w:val="00136FD6"/>
    <w:rsid w:val="00137AEE"/>
    <w:rsid w:val="00146BB2"/>
    <w:rsid w:val="0014714E"/>
    <w:rsid w:val="00156E52"/>
    <w:rsid w:val="001738A0"/>
    <w:rsid w:val="0018105F"/>
    <w:rsid w:val="00181A84"/>
    <w:rsid w:val="001825E5"/>
    <w:rsid w:val="00182F50"/>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1F3EC3"/>
    <w:rsid w:val="00205761"/>
    <w:rsid w:val="002101BE"/>
    <w:rsid w:val="00214315"/>
    <w:rsid w:val="00216BB7"/>
    <w:rsid w:val="00232882"/>
    <w:rsid w:val="00246DE0"/>
    <w:rsid w:val="00250DD6"/>
    <w:rsid w:val="002A11C6"/>
    <w:rsid w:val="002A33D1"/>
    <w:rsid w:val="002B04B1"/>
    <w:rsid w:val="002B1016"/>
    <w:rsid w:val="002C0BBA"/>
    <w:rsid w:val="002C12B6"/>
    <w:rsid w:val="002C2F3D"/>
    <w:rsid w:val="002D13CB"/>
    <w:rsid w:val="002E3FE4"/>
    <w:rsid w:val="002E40C7"/>
    <w:rsid w:val="003173D4"/>
    <w:rsid w:val="00320782"/>
    <w:rsid w:val="00321063"/>
    <w:rsid w:val="003360D8"/>
    <w:rsid w:val="003374C0"/>
    <w:rsid w:val="00341B54"/>
    <w:rsid w:val="00343EFF"/>
    <w:rsid w:val="00344DF6"/>
    <w:rsid w:val="00346C40"/>
    <w:rsid w:val="00354391"/>
    <w:rsid w:val="00362801"/>
    <w:rsid w:val="0036775A"/>
    <w:rsid w:val="00384662"/>
    <w:rsid w:val="003871FB"/>
    <w:rsid w:val="00387938"/>
    <w:rsid w:val="0039584B"/>
    <w:rsid w:val="003B5AA8"/>
    <w:rsid w:val="003C3CF9"/>
    <w:rsid w:val="003C3E0B"/>
    <w:rsid w:val="003E2C7C"/>
    <w:rsid w:val="003F0BCC"/>
    <w:rsid w:val="00402758"/>
    <w:rsid w:val="00412E82"/>
    <w:rsid w:val="00440E90"/>
    <w:rsid w:val="004508F1"/>
    <w:rsid w:val="00456DCF"/>
    <w:rsid w:val="0045759B"/>
    <w:rsid w:val="004608D6"/>
    <w:rsid w:val="0046189E"/>
    <w:rsid w:val="00471E8B"/>
    <w:rsid w:val="00480A55"/>
    <w:rsid w:val="00483210"/>
    <w:rsid w:val="004A298E"/>
    <w:rsid w:val="004B2147"/>
    <w:rsid w:val="004D6EB4"/>
    <w:rsid w:val="004E5149"/>
    <w:rsid w:val="004F44AC"/>
    <w:rsid w:val="005004BB"/>
    <w:rsid w:val="0050715F"/>
    <w:rsid w:val="00510D89"/>
    <w:rsid w:val="005141C3"/>
    <w:rsid w:val="0051686C"/>
    <w:rsid w:val="005204E8"/>
    <w:rsid w:val="0052148B"/>
    <w:rsid w:val="005254DB"/>
    <w:rsid w:val="00525ED8"/>
    <w:rsid w:val="005269B6"/>
    <w:rsid w:val="00526CC9"/>
    <w:rsid w:val="005430F9"/>
    <w:rsid w:val="0054639F"/>
    <w:rsid w:val="00552B10"/>
    <w:rsid w:val="005676FF"/>
    <w:rsid w:val="0057740E"/>
    <w:rsid w:val="00581218"/>
    <w:rsid w:val="00584DCB"/>
    <w:rsid w:val="00585320"/>
    <w:rsid w:val="0059268F"/>
    <w:rsid w:val="005B2F75"/>
    <w:rsid w:val="005D0971"/>
    <w:rsid w:val="005D1067"/>
    <w:rsid w:val="005D5548"/>
    <w:rsid w:val="005E778F"/>
    <w:rsid w:val="005F21CC"/>
    <w:rsid w:val="00603039"/>
    <w:rsid w:val="00603367"/>
    <w:rsid w:val="006043AE"/>
    <w:rsid w:val="00611D9C"/>
    <w:rsid w:val="006225F0"/>
    <w:rsid w:val="00623507"/>
    <w:rsid w:val="00624316"/>
    <w:rsid w:val="006243AA"/>
    <w:rsid w:val="006323F8"/>
    <w:rsid w:val="00647E8B"/>
    <w:rsid w:val="006531D6"/>
    <w:rsid w:val="006718E3"/>
    <w:rsid w:val="0068014A"/>
    <w:rsid w:val="006A7A61"/>
    <w:rsid w:val="006B2534"/>
    <w:rsid w:val="006B28A8"/>
    <w:rsid w:val="006B48BE"/>
    <w:rsid w:val="006C15B9"/>
    <w:rsid w:val="006C194B"/>
    <w:rsid w:val="006D1243"/>
    <w:rsid w:val="006D363A"/>
    <w:rsid w:val="006E54B5"/>
    <w:rsid w:val="006E7A95"/>
    <w:rsid w:val="006F04A2"/>
    <w:rsid w:val="006F1A93"/>
    <w:rsid w:val="006F678C"/>
    <w:rsid w:val="006F7562"/>
    <w:rsid w:val="00700A3A"/>
    <w:rsid w:val="00706FF2"/>
    <w:rsid w:val="00707154"/>
    <w:rsid w:val="00713B50"/>
    <w:rsid w:val="00714F6B"/>
    <w:rsid w:val="0071654A"/>
    <w:rsid w:val="00716E75"/>
    <w:rsid w:val="00724E68"/>
    <w:rsid w:val="00724EC9"/>
    <w:rsid w:val="0072783D"/>
    <w:rsid w:val="00727B8C"/>
    <w:rsid w:val="0074595F"/>
    <w:rsid w:val="007469DE"/>
    <w:rsid w:val="00757C24"/>
    <w:rsid w:val="007661BA"/>
    <w:rsid w:val="00770A26"/>
    <w:rsid w:val="00777CC8"/>
    <w:rsid w:val="0078151A"/>
    <w:rsid w:val="00783B5C"/>
    <w:rsid w:val="00786912"/>
    <w:rsid w:val="00792238"/>
    <w:rsid w:val="00792CC2"/>
    <w:rsid w:val="007959F7"/>
    <w:rsid w:val="007A00D9"/>
    <w:rsid w:val="007A6EB9"/>
    <w:rsid w:val="007A7A8B"/>
    <w:rsid w:val="007B4BD7"/>
    <w:rsid w:val="007C1747"/>
    <w:rsid w:val="007C371D"/>
    <w:rsid w:val="007C3F24"/>
    <w:rsid w:val="007D613E"/>
    <w:rsid w:val="007E2BE2"/>
    <w:rsid w:val="007F4C62"/>
    <w:rsid w:val="00804756"/>
    <w:rsid w:val="008068F5"/>
    <w:rsid w:val="00821ABD"/>
    <w:rsid w:val="00824ED1"/>
    <w:rsid w:val="008319F6"/>
    <w:rsid w:val="008361AC"/>
    <w:rsid w:val="00836FFE"/>
    <w:rsid w:val="008379EB"/>
    <w:rsid w:val="00847624"/>
    <w:rsid w:val="00853E99"/>
    <w:rsid w:val="00867574"/>
    <w:rsid w:val="00877A94"/>
    <w:rsid w:val="008942F3"/>
    <w:rsid w:val="008A2C56"/>
    <w:rsid w:val="008A4E88"/>
    <w:rsid w:val="008A4F44"/>
    <w:rsid w:val="008A5C65"/>
    <w:rsid w:val="008A6130"/>
    <w:rsid w:val="008B350E"/>
    <w:rsid w:val="008C491C"/>
    <w:rsid w:val="008D102D"/>
    <w:rsid w:val="008D2249"/>
    <w:rsid w:val="008D331F"/>
    <w:rsid w:val="008D63A1"/>
    <w:rsid w:val="008D72C9"/>
    <w:rsid w:val="008E3B22"/>
    <w:rsid w:val="008E750D"/>
    <w:rsid w:val="008F2EA9"/>
    <w:rsid w:val="008F546F"/>
    <w:rsid w:val="00917B49"/>
    <w:rsid w:val="009267E9"/>
    <w:rsid w:val="009276CD"/>
    <w:rsid w:val="009503FE"/>
    <w:rsid w:val="009613DB"/>
    <w:rsid w:val="00965E05"/>
    <w:rsid w:val="009661FD"/>
    <w:rsid w:val="00976637"/>
    <w:rsid w:val="0098200A"/>
    <w:rsid w:val="009950A0"/>
    <w:rsid w:val="009A15B5"/>
    <w:rsid w:val="009A2EDC"/>
    <w:rsid w:val="009B4EFF"/>
    <w:rsid w:val="009C2830"/>
    <w:rsid w:val="009D251E"/>
    <w:rsid w:val="009D331A"/>
    <w:rsid w:val="009E088A"/>
    <w:rsid w:val="009E08A7"/>
    <w:rsid w:val="009E19D2"/>
    <w:rsid w:val="009F1080"/>
    <w:rsid w:val="009F40CC"/>
    <w:rsid w:val="009F5A83"/>
    <w:rsid w:val="00A070D4"/>
    <w:rsid w:val="00A120B4"/>
    <w:rsid w:val="00A146A0"/>
    <w:rsid w:val="00A1687B"/>
    <w:rsid w:val="00A16C6D"/>
    <w:rsid w:val="00A22811"/>
    <w:rsid w:val="00A23A3E"/>
    <w:rsid w:val="00A53703"/>
    <w:rsid w:val="00A61515"/>
    <w:rsid w:val="00A6597B"/>
    <w:rsid w:val="00A67677"/>
    <w:rsid w:val="00A71EFF"/>
    <w:rsid w:val="00A850DA"/>
    <w:rsid w:val="00AA3491"/>
    <w:rsid w:val="00AA719E"/>
    <w:rsid w:val="00AC5875"/>
    <w:rsid w:val="00AD3CDA"/>
    <w:rsid w:val="00AE1E06"/>
    <w:rsid w:val="00AE6E38"/>
    <w:rsid w:val="00AF3CB4"/>
    <w:rsid w:val="00AF7746"/>
    <w:rsid w:val="00B0149E"/>
    <w:rsid w:val="00B02BB7"/>
    <w:rsid w:val="00B053AB"/>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806BF"/>
    <w:rsid w:val="00B949D1"/>
    <w:rsid w:val="00B97AC7"/>
    <w:rsid w:val="00BA15C5"/>
    <w:rsid w:val="00BC0651"/>
    <w:rsid w:val="00BC0F7F"/>
    <w:rsid w:val="00BC35B6"/>
    <w:rsid w:val="00BC3626"/>
    <w:rsid w:val="00BC5EBB"/>
    <w:rsid w:val="00BE0AB2"/>
    <w:rsid w:val="00BE5EF8"/>
    <w:rsid w:val="00BF0851"/>
    <w:rsid w:val="00BF3890"/>
    <w:rsid w:val="00BF72B9"/>
    <w:rsid w:val="00C02510"/>
    <w:rsid w:val="00C034BE"/>
    <w:rsid w:val="00C1016B"/>
    <w:rsid w:val="00C16DCB"/>
    <w:rsid w:val="00C21E49"/>
    <w:rsid w:val="00C24037"/>
    <w:rsid w:val="00C31994"/>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CD7AFC"/>
    <w:rsid w:val="00CE02FD"/>
    <w:rsid w:val="00D039DD"/>
    <w:rsid w:val="00D1197C"/>
    <w:rsid w:val="00D23E3A"/>
    <w:rsid w:val="00D279F3"/>
    <w:rsid w:val="00D35642"/>
    <w:rsid w:val="00D376C4"/>
    <w:rsid w:val="00D556BF"/>
    <w:rsid w:val="00D66DD2"/>
    <w:rsid w:val="00D7092E"/>
    <w:rsid w:val="00D7159D"/>
    <w:rsid w:val="00D776BD"/>
    <w:rsid w:val="00D86F7E"/>
    <w:rsid w:val="00D90E56"/>
    <w:rsid w:val="00D9519E"/>
    <w:rsid w:val="00D97152"/>
    <w:rsid w:val="00DA7289"/>
    <w:rsid w:val="00DD0188"/>
    <w:rsid w:val="00DD1B5F"/>
    <w:rsid w:val="00DE56A4"/>
    <w:rsid w:val="00DF5370"/>
    <w:rsid w:val="00E0054C"/>
    <w:rsid w:val="00E12092"/>
    <w:rsid w:val="00E12E39"/>
    <w:rsid w:val="00E20929"/>
    <w:rsid w:val="00E26635"/>
    <w:rsid w:val="00E30B82"/>
    <w:rsid w:val="00E34A48"/>
    <w:rsid w:val="00E36BD9"/>
    <w:rsid w:val="00E463C3"/>
    <w:rsid w:val="00E4679F"/>
    <w:rsid w:val="00E479EA"/>
    <w:rsid w:val="00E53E60"/>
    <w:rsid w:val="00E64B9D"/>
    <w:rsid w:val="00E71138"/>
    <w:rsid w:val="00E84638"/>
    <w:rsid w:val="00E879B9"/>
    <w:rsid w:val="00E917D2"/>
    <w:rsid w:val="00E93618"/>
    <w:rsid w:val="00EB00DE"/>
    <w:rsid w:val="00EB179D"/>
    <w:rsid w:val="00EB3179"/>
    <w:rsid w:val="00EC5581"/>
    <w:rsid w:val="00ED2558"/>
    <w:rsid w:val="00ED2984"/>
    <w:rsid w:val="00ED3906"/>
    <w:rsid w:val="00EE5AEE"/>
    <w:rsid w:val="00EE5B62"/>
    <w:rsid w:val="00EF13C6"/>
    <w:rsid w:val="00EF64D1"/>
    <w:rsid w:val="00F101AB"/>
    <w:rsid w:val="00F1796D"/>
    <w:rsid w:val="00F335D1"/>
    <w:rsid w:val="00F335D3"/>
    <w:rsid w:val="00F4296C"/>
    <w:rsid w:val="00F4391C"/>
    <w:rsid w:val="00F4685A"/>
    <w:rsid w:val="00F55EC1"/>
    <w:rsid w:val="00F64542"/>
    <w:rsid w:val="00F7135D"/>
    <w:rsid w:val="00F746ED"/>
    <w:rsid w:val="00F7656C"/>
    <w:rsid w:val="00F82F18"/>
    <w:rsid w:val="00F873F4"/>
    <w:rsid w:val="00F9280D"/>
    <w:rsid w:val="00FA78F1"/>
    <w:rsid w:val="00FB72F9"/>
    <w:rsid w:val="00FD6464"/>
    <w:rsid w:val="00FE0009"/>
    <w:rsid w:val="00FE3043"/>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0030B4"/>
    <w:pPr>
      <w:numPr>
        <w:numId w:val="0"/>
      </w:num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0030B4"/>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numbere"/>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2"/>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3"/>
      </w:numPr>
      <w:autoSpaceDE w:val="0"/>
      <w:autoSpaceDN w:val="0"/>
      <w:adjustRightInd w:val="0"/>
      <w:spacing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048888">
      <w:bodyDiv w:val="1"/>
      <w:marLeft w:val="0"/>
      <w:marRight w:val="0"/>
      <w:marTop w:val="0"/>
      <w:marBottom w:val="0"/>
      <w:divBdr>
        <w:top w:val="none" w:sz="0" w:space="0" w:color="auto"/>
        <w:left w:val="none" w:sz="0" w:space="0" w:color="auto"/>
        <w:bottom w:val="none" w:sz="0" w:space="0" w:color="auto"/>
        <w:right w:val="none" w:sz="0" w:space="0" w:color="auto"/>
      </w:divBdr>
    </w:div>
    <w:div w:id="715813361">
      <w:bodyDiv w:val="1"/>
      <w:marLeft w:val="0"/>
      <w:marRight w:val="0"/>
      <w:marTop w:val="0"/>
      <w:marBottom w:val="0"/>
      <w:divBdr>
        <w:top w:val="none" w:sz="0" w:space="0" w:color="auto"/>
        <w:left w:val="none" w:sz="0" w:space="0" w:color="auto"/>
        <w:bottom w:val="none" w:sz="0" w:space="0" w:color="auto"/>
        <w:right w:val="none" w:sz="0" w:space="0" w:color="auto"/>
      </w:divBdr>
    </w:div>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69707322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 w:id="203765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arliament.act.gov.au/parliamentary-business/in-committees/committees/JCS_Scrutiny/responses-to-comments-on-bills" TargetMode="External"/><Relationship Id="rId26" Type="http://schemas.openxmlformats.org/officeDocument/2006/relationships/hyperlink" Target="https://www.legislation.act.gov.au/di/2024-35/" TargetMode="External"/><Relationship Id="rId3" Type="http://schemas.openxmlformats.org/officeDocument/2006/relationships/styles" Target="styles.xml"/><Relationship Id="rId21" Type="http://schemas.openxmlformats.org/officeDocument/2006/relationships/hyperlink" Target="http://www.engineersaustralia.org.au" TargetMode="Externa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s://www.legislation.act.gov.au/View/es/db_69374/current/html/db_69374.html"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www.https://www.legislation.gov.au/" TargetMode="External"/><Relationship Id="rId29" Type="http://schemas.openxmlformats.org/officeDocument/2006/relationships/hyperlink" Target="https://readerroom.standard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legislation.act.gov.au/View/es/db_66967/20230323-80626/html/db_66967.html" TargetMode="External"/><Relationship Id="rId32" Type="http://schemas.openxmlformats.org/officeDocument/2006/relationships/hyperlink" Target="https://www.parliament.act.gov.au/parliamentary-business/in-committees/committees/JCS_Scrutiny/response-to-comments-on-subordinate-legislatio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www.ieagreements.org/agreements/apec" TargetMode="External"/><Relationship Id="rId28" Type="http://schemas.openxmlformats.org/officeDocument/2006/relationships/hyperlink" Target="http://www.standards.org.au" TargetMode="External"/><Relationship Id="rId36"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www.ieagreements.org/accords/washington/" TargetMode="External"/><Relationship Id="rId31" Type="http://schemas.openxmlformats.org/officeDocument/2006/relationships/hyperlink" Target="https://www.legislation.act.gov.au/View/es/db_66967/20230323-80626/html/db_66967.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www.ieagreements.org/agreements/ipea" TargetMode="External"/><Relationship Id="rId27" Type="http://schemas.openxmlformats.org/officeDocument/2006/relationships/hyperlink" Target="http://www.standards.org.au/" TargetMode="External"/><Relationship Id="rId30" Type="http://schemas.openxmlformats.org/officeDocument/2006/relationships/hyperlink" Target="https://www.legislation.act.gov.au/b/db_68404/"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www.parliament.act.gov.au/parliamentary-business/in-committees/committees/JCS_Scrutiny/response-to-comments-on-subordinate-legislation" TargetMode="External"/><Relationship Id="rId1" Type="http://schemas.openxmlformats.org/officeDocument/2006/relationships/hyperlink" Target="https://www.parliament.act.gov.au/parliamentary-business/in-committees/committees/JCS_Scrutiny/responses-to-comments-on-bill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3D5F1D"/>
    <w:rsid w:val="00407E18"/>
    <w:rsid w:val="00465034"/>
    <w:rsid w:val="0047394C"/>
    <w:rsid w:val="005A1920"/>
    <w:rsid w:val="005F0866"/>
    <w:rsid w:val="00695922"/>
    <w:rsid w:val="006D2E2B"/>
    <w:rsid w:val="007376EF"/>
    <w:rsid w:val="0077148B"/>
    <w:rsid w:val="00782EDE"/>
    <w:rsid w:val="008170C4"/>
    <w:rsid w:val="0083543A"/>
    <w:rsid w:val="00876FDA"/>
    <w:rsid w:val="008927B5"/>
    <w:rsid w:val="008F75D9"/>
    <w:rsid w:val="00970294"/>
    <w:rsid w:val="009F6D59"/>
    <w:rsid w:val="00B551B6"/>
    <w:rsid w:val="00C83312"/>
    <w:rsid w:val="00DC17BA"/>
    <w:rsid w:val="00F4175F"/>
    <w:rsid w:val="00FE77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14054</Words>
  <Characters>80110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93977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2</cp:revision>
  <cp:lastPrinted>2024-05-07T02:02:00Z</cp:lastPrinted>
  <dcterms:created xsi:type="dcterms:W3CDTF">2024-05-07T02:05:00Z</dcterms:created>
  <dcterms:modified xsi:type="dcterms:W3CDTF">2024-05-07T02:05:00Z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