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7942C"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5CF15DA" w14:textId="77777777" w:rsidR="00E06613" w:rsidRDefault="00E06613" w:rsidP="00AD7D31">
      <w:pPr>
        <w:spacing w:after="0" w:line="240" w:lineRule="auto"/>
        <w:rPr>
          <w:sz w:val="24"/>
          <w:szCs w:val="24"/>
        </w:rPr>
      </w:pPr>
    </w:p>
    <w:p w14:paraId="7B545124" w14:textId="77777777" w:rsidR="00613AD5" w:rsidRDefault="00613AD5" w:rsidP="00912782">
      <w:pPr>
        <w:tabs>
          <w:tab w:val="left" w:pos="5812"/>
        </w:tabs>
        <w:spacing w:after="0" w:line="240" w:lineRule="auto"/>
        <w:rPr>
          <w:sz w:val="24"/>
          <w:szCs w:val="24"/>
        </w:rPr>
      </w:pPr>
    </w:p>
    <w:p w14:paraId="2C161053" w14:textId="77777777" w:rsidR="00613AD5" w:rsidRDefault="00613AD5" w:rsidP="00912782">
      <w:pPr>
        <w:tabs>
          <w:tab w:val="left" w:pos="5812"/>
        </w:tabs>
        <w:spacing w:after="0" w:line="240" w:lineRule="auto"/>
        <w:rPr>
          <w:sz w:val="24"/>
          <w:szCs w:val="24"/>
        </w:rPr>
      </w:pPr>
    </w:p>
    <w:p w14:paraId="78058ADB" w14:textId="223DFA6F" w:rsidR="00E97B04" w:rsidRDefault="00E97B04" w:rsidP="00912782">
      <w:pPr>
        <w:tabs>
          <w:tab w:val="left" w:pos="5812"/>
        </w:tabs>
        <w:spacing w:after="0" w:line="240" w:lineRule="auto"/>
        <w:rPr>
          <w:sz w:val="24"/>
          <w:szCs w:val="24"/>
        </w:rPr>
      </w:pPr>
      <w:r>
        <w:rPr>
          <w:sz w:val="24"/>
          <w:szCs w:val="24"/>
        </w:rPr>
        <w:t>Mr Jeremy Hanson MLA</w:t>
      </w:r>
    </w:p>
    <w:p w14:paraId="5AD6E520" w14:textId="77777777" w:rsidR="00E97B04" w:rsidRPr="00E97B04" w:rsidRDefault="00E97B04" w:rsidP="00E97B04">
      <w:pPr>
        <w:tabs>
          <w:tab w:val="left" w:pos="5812"/>
        </w:tabs>
        <w:spacing w:after="0" w:line="240" w:lineRule="auto"/>
        <w:rPr>
          <w:sz w:val="24"/>
          <w:szCs w:val="24"/>
        </w:rPr>
      </w:pPr>
      <w:r w:rsidRPr="00E97B04">
        <w:rPr>
          <w:sz w:val="24"/>
          <w:szCs w:val="24"/>
        </w:rPr>
        <w:t>Chair</w:t>
      </w:r>
    </w:p>
    <w:p w14:paraId="0120D1AC" w14:textId="3EBD2E05" w:rsidR="00E97B04" w:rsidRPr="00E97B04" w:rsidRDefault="00E97B04" w:rsidP="00E97B04">
      <w:pPr>
        <w:tabs>
          <w:tab w:val="left" w:pos="5812"/>
        </w:tabs>
        <w:spacing w:after="0" w:line="240" w:lineRule="auto"/>
        <w:rPr>
          <w:sz w:val="24"/>
          <w:szCs w:val="24"/>
        </w:rPr>
      </w:pPr>
      <w:r w:rsidRPr="00E97B04">
        <w:rPr>
          <w:sz w:val="24"/>
          <w:szCs w:val="24"/>
        </w:rPr>
        <w:t>Standing Committee on Justice and Community Safety</w:t>
      </w:r>
    </w:p>
    <w:p w14:paraId="7A7DA2F7" w14:textId="32827AC2" w:rsidR="00613AD5" w:rsidRDefault="00AB5FB8" w:rsidP="00E97B04">
      <w:pPr>
        <w:tabs>
          <w:tab w:val="left" w:pos="5812"/>
        </w:tabs>
        <w:spacing w:after="0" w:line="240" w:lineRule="auto"/>
        <w:rPr>
          <w:sz w:val="24"/>
          <w:szCs w:val="24"/>
        </w:rPr>
      </w:pPr>
      <w:hyperlink r:id="rId11" w:history="1">
        <w:r w:rsidR="00613AD5" w:rsidRPr="00E131A7">
          <w:rPr>
            <w:rStyle w:val="Hyperlink"/>
            <w:sz w:val="24"/>
            <w:szCs w:val="24"/>
          </w:rPr>
          <w:t>LA_Committee_JCS@act.gov.au</w:t>
        </w:r>
      </w:hyperlink>
    </w:p>
    <w:p w14:paraId="7EE005AC" w14:textId="6DDDC815" w:rsidR="00912782" w:rsidRPr="00A05B96" w:rsidRDefault="00912782" w:rsidP="00E97B04">
      <w:pPr>
        <w:tabs>
          <w:tab w:val="left" w:pos="5812"/>
        </w:tabs>
        <w:spacing w:after="0" w:line="240" w:lineRule="auto"/>
      </w:pPr>
    </w:p>
    <w:p w14:paraId="00ABF8E5" w14:textId="77777777" w:rsidR="00613AD5" w:rsidRDefault="00613AD5" w:rsidP="00AD7D31">
      <w:pPr>
        <w:spacing w:after="0" w:line="240" w:lineRule="auto"/>
        <w:rPr>
          <w:sz w:val="24"/>
          <w:szCs w:val="24"/>
          <w:lang w:val="en-US"/>
        </w:rPr>
      </w:pPr>
    </w:p>
    <w:p w14:paraId="4ECBD707" w14:textId="77A7EFEB" w:rsidR="00AD7D31" w:rsidRDefault="00AD7D31" w:rsidP="00AD7D31">
      <w:pPr>
        <w:spacing w:after="0" w:line="240" w:lineRule="auto"/>
        <w:rPr>
          <w:sz w:val="24"/>
          <w:szCs w:val="24"/>
          <w:lang w:val="en-US"/>
        </w:rPr>
      </w:pPr>
      <w:r w:rsidRPr="00A031A0">
        <w:rPr>
          <w:sz w:val="24"/>
          <w:szCs w:val="24"/>
          <w:lang w:val="en-US"/>
        </w:rPr>
        <w:t xml:space="preserve">Dear </w:t>
      </w:r>
      <w:r w:rsidR="00E97B04">
        <w:rPr>
          <w:sz w:val="24"/>
          <w:szCs w:val="24"/>
          <w:lang w:val="en-US"/>
        </w:rPr>
        <w:t>Mr Hanson</w:t>
      </w:r>
    </w:p>
    <w:p w14:paraId="289F79F2" w14:textId="7D87338F" w:rsidR="000F7EB8" w:rsidRPr="00E836EE" w:rsidRDefault="00E97B04" w:rsidP="00121405">
      <w:pPr>
        <w:spacing w:before="240" w:after="0" w:line="240" w:lineRule="auto"/>
        <w:rPr>
          <w:rFonts w:eastAsia="Times New Roman"/>
          <w:sz w:val="24"/>
          <w:szCs w:val="24"/>
        </w:rPr>
      </w:pPr>
      <w:r w:rsidRPr="00E836EE">
        <w:rPr>
          <w:sz w:val="24"/>
          <w:szCs w:val="24"/>
        </w:rPr>
        <w:t xml:space="preserve">Thank you for the Scrutiny Report No. 10 of 2 November 2021 and the Standing Committee on Justice and Community Safety’s (the Committee) comments on subordinate legislation </w:t>
      </w:r>
      <w:r w:rsidRPr="00E836EE">
        <w:rPr>
          <w:i/>
          <w:sz w:val="24"/>
          <w:szCs w:val="24"/>
        </w:rPr>
        <w:t xml:space="preserve">Disallowable Instruments </w:t>
      </w:r>
      <w:r w:rsidR="000F7EB8" w:rsidRPr="00E836EE">
        <w:rPr>
          <w:rFonts w:eastAsia="Times New Roman"/>
          <w:sz w:val="24"/>
          <w:szCs w:val="24"/>
        </w:rPr>
        <w:t xml:space="preserve">DI2021-205, Medicines, Poisons and Therapeutic Goods (Vaccinations by Pharmacists) Direction 2021 (No 2) </w:t>
      </w:r>
      <w:r w:rsidR="00583080">
        <w:rPr>
          <w:rFonts w:eastAsia="Times New Roman"/>
          <w:sz w:val="24"/>
          <w:szCs w:val="24"/>
        </w:rPr>
        <w:t xml:space="preserve">(Direction No 2) </w:t>
      </w:r>
      <w:r w:rsidR="000F7EB8" w:rsidRPr="00E836EE">
        <w:rPr>
          <w:rFonts w:eastAsia="Times New Roman"/>
          <w:sz w:val="24"/>
          <w:szCs w:val="24"/>
        </w:rPr>
        <w:t>and DI2021-207, Medicines, Poisons and Therapeutic Goods (Vaccinations by Pharmacists) Direction 2021 (No 3)</w:t>
      </w:r>
      <w:r w:rsidR="00583080">
        <w:rPr>
          <w:rFonts w:eastAsia="Times New Roman"/>
          <w:sz w:val="24"/>
          <w:szCs w:val="24"/>
        </w:rPr>
        <w:t xml:space="preserve"> (Direction No 3)</w:t>
      </w:r>
      <w:r w:rsidR="000F7EB8" w:rsidRPr="00E836EE">
        <w:rPr>
          <w:rFonts w:eastAsia="Times New Roman"/>
          <w:sz w:val="24"/>
          <w:szCs w:val="24"/>
        </w:rPr>
        <w:t>.</w:t>
      </w:r>
    </w:p>
    <w:p w14:paraId="4E614FB0" w14:textId="097226EB" w:rsidR="00616D68" w:rsidRDefault="00616D68" w:rsidP="00121405">
      <w:pPr>
        <w:pStyle w:val="Header"/>
        <w:tabs>
          <w:tab w:val="left" w:pos="720"/>
        </w:tabs>
        <w:spacing w:before="240"/>
        <w:rPr>
          <w:noProof/>
          <w:sz w:val="24"/>
          <w:szCs w:val="24"/>
        </w:rPr>
      </w:pPr>
      <w:r w:rsidRPr="00777E75">
        <w:rPr>
          <w:noProof/>
          <w:sz w:val="24"/>
          <w:szCs w:val="24"/>
        </w:rPr>
        <w:t>I thank the Committee for its consideration of the</w:t>
      </w:r>
      <w:r>
        <w:rPr>
          <w:noProof/>
          <w:sz w:val="24"/>
          <w:szCs w:val="24"/>
        </w:rPr>
        <w:t xml:space="preserve"> </w:t>
      </w:r>
      <w:r w:rsidR="00583080">
        <w:rPr>
          <w:noProof/>
          <w:sz w:val="24"/>
          <w:szCs w:val="24"/>
        </w:rPr>
        <w:t>these two Directions</w:t>
      </w:r>
      <w:r>
        <w:rPr>
          <w:noProof/>
          <w:sz w:val="24"/>
          <w:szCs w:val="24"/>
        </w:rPr>
        <w:t xml:space="preserve">, </w:t>
      </w:r>
      <w:r w:rsidRPr="00777E75">
        <w:rPr>
          <w:noProof/>
          <w:sz w:val="24"/>
          <w:szCs w:val="24"/>
        </w:rPr>
        <w:t xml:space="preserve">and provide the following comments in relation to the matters on which the Committee has requested a response. </w:t>
      </w:r>
    </w:p>
    <w:p w14:paraId="627AC4EA" w14:textId="037FD9DC" w:rsidR="00583080" w:rsidRPr="00777E75" w:rsidRDefault="00583080" w:rsidP="00121405">
      <w:pPr>
        <w:pStyle w:val="Header"/>
        <w:tabs>
          <w:tab w:val="left" w:pos="720"/>
        </w:tabs>
        <w:spacing w:before="240"/>
        <w:rPr>
          <w:noProof/>
          <w:sz w:val="24"/>
          <w:szCs w:val="24"/>
        </w:rPr>
      </w:pPr>
      <w:r>
        <w:rPr>
          <w:noProof/>
          <w:sz w:val="24"/>
          <w:szCs w:val="24"/>
        </w:rPr>
        <w:t xml:space="preserve">The Committee has sought advice as to the significance of two changes made to the Explanatory Statement for Direction No 3, compared with the Explanatory Statement for Direction No 2. In short, my advice is that neither of these changes is particularly significant. </w:t>
      </w:r>
    </w:p>
    <w:p w14:paraId="433CDFFD" w14:textId="0246918E" w:rsidR="00616D68" w:rsidRDefault="00A450B1" w:rsidP="00121405">
      <w:pPr>
        <w:spacing w:before="240" w:after="0" w:line="240" w:lineRule="auto"/>
        <w:rPr>
          <w:sz w:val="24"/>
          <w:szCs w:val="24"/>
          <w:u w:val="single"/>
        </w:rPr>
      </w:pPr>
      <w:r>
        <w:rPr>
          <w:sz w:val="24"/>
          <w:szCs w:val="24"/>
          <w:u w:val="single"/>
        </w:rPr>
        <w:t>Age limit for vaccination by pharmacists</w:t>
      </w:r>
    </w:p>
    <w:p w14:paraId="02BDB5F3" w14:textId="77777777" w:rsidR="00BE5D25" w:rsidRDefault="00BE5D25" w:rsidP="00BE5D25">
      <w:pPr>
        <w:spacing w:before="240" w:after="0" w:line="240" w:lineRule="auto"/>
        <w:rPr>
          <w:sz w:val="24"/>
          <w:szCs w:val="24"/>
        </w:rPr>
      </w:pPr>
      <w:r>
        <w:rPr>
          <w:sz w:val="24"/>
          <w:szCs w:val="24"/>
        </w:rPr>
        <w:t>The Committee noted the age stated in the explanatory statements for both instruments was amended from “12 years” in Direction No 2 to ”10 years” in Direction No 3 for the following sentence:</w:t>
      </w:r>
    </w:p>
    <w:p w14:paraId="42F9CA99" w14:textId="77777777" w:rsidR="00BE5D25" w:rsidRDefault="00BE5D25" w:rsidP="00BE5D25">
      <w:pPr>
        <w:spacing w:before="240" w:after="0" w:line="240" w:lineRule="auto"/>
        <w:ind w:left="720"/>
        <w:rPr>
          <w:sz w:val="24"/>
          <w:szCs w:val="24"/>
        </w:rPr>
      </w:pPr>
      <w:r w:rsidRPr="00BE62D7">
        <w:rPr>
          <w:sz w:val="24"/>
          <w:szCs w:val="24"/>
        </w:rPr>
        <w:t>The intent of establishing this age limit is to provide flexibility should a COVID vaccine be approved or provisionally approved for use in children younger than 1</w:t>
      </w:r>
      <w:r>
        <w:rPr>
          <w:sz w:val="24"/>
          <w:szCs w:val="24"/>
        </w:rPr>
        <w:t>0</w:t>
      </w:r>
      <w:r w:rsidRPr="00BE62D7">
        <w:rPr>
          <w:sz w:val="24"/>
          <w:szCs w:val="24"/>
        </w:rPr>
        <w:t xml:space="preserve"> years in the future.</w:t>
      </w:r>
    </w:p>
    <w:p w14:paraId="03DE2695" w14:textId="1B4F2E21" w:rsidR="00BE5D25" w:rsidRDefault="00BE5D25" w:rsidP="00BE5D25">
      <w:pPr>
        <w:spacing w:before="240" w:after="0" w:line="240" w:lineRule="auto"/>
        <w:rPr>
          <w:sz w:val="24"/>
          <w:szCs w:val="24"/>
        </w:rPr>
      </w:pPr>
      <w:r>
        <w:rPr>
          <w:sz w:val="24"/>
          <w:szCs w:val="24"/>
        </w:rPr>
        <w:t>I acknowledge the error made in the explanatory statement for Direction No 3, which should have remained “12 years”. This minor error is not considered to have an impact on the purpose or effect of the instrument.</w:t>
      </w:r>
    </w:p>
    <w:p w14:paraId="2DB3C445" w14:textId="77777777" w:rsidR="00EF4431" w:rsidRDefault="00EF4431" w:rsidP="00121405">
      <w:pPr>
        <w:spacing w:before="240" w:after="0" w:line="240" w:lineRule="auto"/>
        <w:rPr>
          <w:sz w:val="24"/>
          <w:szCs w:val="24"/>
        </w:rPr>
      </w:pPr>
    </w:p>
    <w:p w14:paraId="01EDB796" w14:textId="7051C4D6" w:rsidR="00A450B1" w:rsidRDefault="00A450B1" w:rsidP="00121405">
      <w:pPr>
        <w:spacing w:before="240" w:after="0" w:line="240" w:lineRule="auto"/>
        <w:rPr>
          <w:sz w:val="24"/>
          <w:szCs w:val="24"/>
          <w:u w:val="single"/>
        </w:rPr>
      </w:pPr>
      <w:r>
        <w:rPr>
          <w:sz w:val="24"/>
          <w:szCs w:val="24"/>
          <w:u w:val="single"/>
        </w:rPr>
        <w:t>Age limit for AstraZeneca</w:t>
      </w:r>
    </w:p>
    <w:p w14:paraId="5518842F" w14:textId="500F9622" w:rsidR="00A450B1" w:rsidRDefault="00A450B1" w:rsidP="00121405">
      <w:pPr>
        <w:spacing w:before="240" w:after="0" w:line="240" w:lineRule="auto"/>
        <w:rPr>
          <w:sz w:val="24"/>
          <w:szCs w:val="24"/>
        </w:rPr>
      </w:pPr>
      <w:r>
        <w:rPr>
          <w:sz w:val="24"/>
          <w:szCs w:val="24"/>
        </w:rPr>
        <w:t>The Committee noted that the condition that restricted pharmacists and intern pharmacists from administering the COVID-19 AstraZeneca vaccine to people who are 50 years or older was omitted from the explanatory statement for the Direction No 3.</w:t>
      </w:r>
    </w:p>
    <w:p w14:paraId="23B12659" w14:textId="24E07A51" w:rsidR="007D3F5C" w:rsidRDefault="007D3F5C" w:rsidP="00121405">
      <w:pPr>
        <w:spacing w:before="240" w:after="0" w:line="240" w:lineRule="auto"/>
        <w:rPr>
          <w:sz w:val="24"/>
          <w:szCs w:val="24"/>
        </w:rPr>
      </w:pPr>
      <w:r w:rsidRPr="007D3F5C">
        <w:rPr>
          <w:sz w:val="24"/>
          <w:szCs w:val="24"/>
        </w:rPr>
        <w:t xml:space="preserve">The Committee </w:t>
      </w:r>
      <w:r>
        <w:rPr>
          <w:sz w:val="24"/>
          <w:szCs w:val="24"/>
        </w:rPr>
        <w:t>noted</w:t>
      </w:r>
      <w:r w:rsidRPr="007D3F5C">
        <w:rPr>
          <w:sz w:val="24"/>
          <w:szCs w:val="24"/>
        </w:rPr>
        <w:t xml:space="preserve"> that the </w:t>
      </w:r>
      <w:r>
        <w:rPr>
          <w:sz w:val="24"/>
          <w:szCs w:val="24"/>
        </w:rPr>
        <w:t xml:space="preserve">following </w:t>
      </w:r>
      <w:r w:rsidRPr="007D3F5C">
        <w:rPr>
          <w:sz w:val="24"/>
          <w:szCs w:val="24"/>
        </w:rPr>
        <w:t xml:space="preserve">paragraph in the explanatory statement for </w:t>
      </w:r>
      <w:r>
        <w:rPr>
          <w:sz w:val="24"/>
          <w:szCs w:val="24"/>
        </w:rPr>
        <w:t>Direction No 2</w:t>
      </w:r>
      <w:r w:rsidRPr="007D3F5C">
        <w:rPr>
          <w:sz w:val="24"/>
          <w:szCs w:val="24"/>
        </w:rPr>
        <w:t xml:space="preserve"> is omitted from the explanatory statement for </w:t>
      </w:r>
      <w:r>
        <w:rPr>
          <w:sz w:val="24"/>
          <w:szCs w:val="24"/>
        </w:rPr>
        <w:t>Direction No </w:t>
      </w:r>
      <w:r w:rsidR="000833EB">
        <w:rPr>
          <w:sz w:val="24"/>
          <w:szCs w:val="24"/>
        </w:rPr>
        <w:t>3:</w:t>
      </w:r>
    </w:p>
    <w:p w14:paraId="70CB4252" w14:textId="5312EEC8" w:rsidR="007D3F5C" w:rsidRDefault="007D3F5C" w:rsidP="000833EB">
      <w:pPr>
        <w:spacing w:before="240" w:after="0" w:line="240" w:lineRule="auto"/>
        <w:ind w:left="720"/>
        <w:rPr>
          <w:sz w:val="24"/>
          <w:szCs w:val="24"/>
        </w:rPr>
      </w:pPr>
      <w:r w:rsidRPr="000833EB">
        <w:rPr>
          <w:sz w:val="24"/>
          <w:szCs w:val="24"/>
        </w:rPr>
        <w:t>The condition which restricted pharmacists and intern pharmacists from administering the COVID-19 AstraZeneca vaccine to people who are 50 years of age or older is removed </w:t>
      </w:r>
      <w:r w:rsidRPr="000833EB">
        <w:rPr>
          <w:i/>
          <w:iCs/>
          <w:sz w:val="24"/>
          <w:szCs w:val="24"/>
        </w:rPr>
        <w:t>in this version of the Vaccination Standards</w:t>
      </w:r>
      <w:r w:rsidR="000833EB">
        <w:rPr>
          <w:sz w:val="24"/>
          <w:szCs w:val="24"/>
        </w:rPr>
        <w:t xml:space="preserve"> [emphasis added]</w:t>
      </w:r>
      <w:r w:rsidRPr="000833EB">
        <w:rPr>
          <w:sz w:val="24"/>
          <w:szCs w:val="24"/>
        </w:rPr>
        <w:t>. By removing this condition, both pharmacists and intern pharmacists will be able to administer the AstraZeneca vaccine subject to requirements to follow ATAGI clinical guidance and obtain written informed consent outlined in Part B, section 1 of the Standards.</w:t>
      </w:r>
    </w:p>
    <w:p w14:paraId="04872327" w14:textId="417F705E" w:rsidR="007D3F5C" w:rsidRDefault="007D3F5C" w:rsidP="00121405">
      <w:pPr>
        <w:spacing w:before="240" w:after="0" w:line="240" w:lineRule="auto"/>
        <w:rPr>
          <w:sz w:val="24"/>
          <w:szCs w:val="24"/>
        </w:rPr>
      </w:pPr>
      <w:r>
        <w:rPr>
          <w:sz w:val="24"/>
          <w:szCs w:val="24"/>
        </w:rPr>
        <w:t>This</w:t>
      </w:r>
      <w:r w:rsidR="000833EB">
        <w:rPr>
          <w:sz w:val="24"/>
          <w:szCs w:val="24"/>
        </w:rPr>
        <w:t xml:space="preserve"> was not included in the Explanatory Statement for Direction No 3</w:t>
      </w:r>
      <w:r>
        <w:rPr>
          <w:sz w:val="24"/>
          <w:szCs w:val="24"/>
        </w:rPr>
        <w:t xml:space="preserve"> because the relevant clause </w:t>
      </w:r>
      <w:r w:rsidR="000833EB">
        <w:rPr>
          <w:sz w:val="24"/>
          <w:szCs w:val="24"/>
        </w:rPr>
        <w:t>had already been</w:t>
      </w:r>
      <w:r>
        <w:rPr>
          <w:sz w:val="24"/>
          <w:szCs w:val="24"/>
        </w:rPr>
        <w:t xml:space="preserve"> removed </w:t>
      </w:r>
      <w:r w:rsidR="000833EB">
        <w:rPr>
          <w:sz w:val="24"/>
          <w:szCs w:val="24"/>
        </w:rPr>
        <w:t>through</w:t>
      </w:r>
      <w:r>
        <w:rPr>
          <w:sz w:val="24"/>
          <w:szCs w:val="24"/>
        </w:rPr>
        <w:t xml:space="preserve"> Direction No 2</w:t>
      </w:r>
      <w:r w:rsidR="000833EB">
        <w:rPr>
          <w:sz w:val="24"/>
          <w:szCs w:val="24"/>
        </w:rPr>
        <w:t>. T</w:t>
      </w:r>
      <w:r>
        <w:rPr>
          <w:sz w:val="24"/>
          <w:szCs w:val="24"/>
        </w:rPr>
        <w:t>herefore</w:t>
      </w:r>
      <w:r w:rsidR="000833EB">
        <w:rPr>
          <w:sz w:val="24"/>
          <w:szCs w:val="24"/>
        </w:rPr>
        <w:t>,</w:t>
      </w:r>
      <w:r>
        <w:rPr>
          <w:sz w:val="24"/>
          <w:szCs w:val="24"/>
        </w:rPr>
        <w:t xml:space="preserve"> </w:t>
      </w:r>
      <w:r w:rsidR="000833EB">
        <w:rPr>
          <w:sz w:val="24"/>
          <w:szCs w:val="24"/>
        </w:rPr>
        <w:t xml:space="preserve">the version of the Vaccination Standards in effect immediately prior to the notification of Direction No 3 did not include the condition </w:t>
      </w:r>
      <w:r w:rsidR="000833EB" w:rsidRPr="000833EB">
        <w:rPr>
          <w:sz w:val="24"/>
          <w:szCs w:val="24"/>
        </w:rPr>
        <w:t>restrict</w:t>
      </w:r>
      <w:r w:rsidR="000833EB">
        <w:rPr>
          <w:sz w:val="24"/>
          <w:szCs w:val="24"/>
        </w:rPr>
        <w:t>ing</w:t>
      </w:r>
      <w:r w:rsidR="000833EB" w:rsidRPr="000833EB">
        <w:rPr>
          <w:sz w:val="24"/>
          <w:szCs w:val="24"/>
        </w:rPr>
        <w:t xml:space="preserve"> pharmacists and intern pharmacists from administering the COVID-19 AstraZeneca vaccine to people who are 50 years of age or older</w:t>
      </w:r>
      <w:r>
        <w:rPr>
          <w:sz w:val="24"/>
          <w:szCs w:val="24"/>
        </w:rPr>
        <w:t>.</w:t>
      </w:r>
    </w:p>
    <w:p w14:paraId="62D49E1A" w14:textId="741018ED" w:rsidR="00E836EE" w:rsidRPr="00496CCB" w:rsidRDefault="00E836EE" w:rsidP="00121405">
      <w:pPr>
        <w:spacing w:before="240" w:after="0" w:line="240" w:lineRule="auto"/>
        <w:rPr>
          <w:sz w:val="24"/>
          <w:szCs w:val="24"/>
        </w:rPr>
      </w:pPr>
      <w:r>
        <w:rPr>
          <w:sz w:val="24"/>
          <w:szCs w:val="24"/>
        </w:rPr>
        <w:t xml:space="preserve">I </w:t>
      </w:r>
      <w:r w:rsidR="000833EB">
        <w:rPr>
          <w:sz w:val="24"/>
          <w:szCs w:val="24"/>
        </w:rPr>
        <w:t xml:space="preserve">hope </w:t>
      </w:r>
      <w:r>
        <w:rPr>
          <w:sz w:val="24"/>
          <w:szCs w:val="24"/>
        </w:rPr>
        <w:t xml:space="preserve">this information addresses the Committee’s comments. </w:t>
      </w:r>
    </w:p>
    <w:p w14:paraId="65634B31" w14:textId="15BCDD54" w:rsidR="00AD7D31" w:rsidRDefault="00AD7D31" w:rsidP="00121405">
      <w:pPr>
        <w:spacing w:before="240" w:after="0" w:line="240" w:lineRule="auto"/>
        <w:rPr>
          <w:sz w:val="24"/>
          <w:szCs w:val="24"/>
        </w:rPr>
      </w:pPr>
      <w:r w:rsidRPr="00A031A0">
        <w:rPr>
          <w:sz w:val="24"/>
          <w:szCs w:val="24"/>
        </w:rPr>
        <w:t>Yours sincerely</w:t>
      </w:r>
    </w:p>
    <w:p w14:paraId="09839DA3" w14:textId="77777777" w:rsidR="00E97B04" w:rsidRPr="00A031A0" w:rsidRDefault="00E97B04" w:rsidP="00AD7D31">
      <w:pPr>
        <w:spacing w:after="0" w:line="240" w:lineRule="auto"/>
        <w:rPr>
          <w:sz w:val="24"/>
          <w:szCs w:val="24"/>
        </w:rPr>
      </w:pPr>
    </w:p>
    <w:p w14:paraId="52E8ECF9" w14:textId="77777777" w:rsidR="00EF4431" w:rsidRDefault="00EF4431" w:rsidP="00AD7D31">
      <w:pPr>
        <w:spacing w:after="0" w:line="240" w:lineRule="auto"/>
        <w:rPr>
          <w:sz w:val="24"/>
          <w:szCs w:val="24"/>
        </w:rPr>
      </w:pPr>
    </w:p>
    <w:p w14:paraId="4FFEEAC6" w14:textId="77777777" w:rsidR="008D37E0" w:rsidRPr="00A031A0" w:rsidRDefault="008D37E0" w:rsidP="00AD7D31">
      <w:pPr>
        <w:spacing w:after="0" w:line="240" w:lineRule="auto"/>
        <w:rPr>
          <w:sz w:val="24"/>
          <w:szCs w:val="24"/>
        </w:rPr>
      </w:pPr>
    </w:p>
    <w:p w14:paraId="018192CA" w14:textId="77777777" w:rsidR="00AD7D31" w:rsidRPr="00A919EF"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5202599F" w14:textId="77777777" w:rsidR="0036465B" w:rsidRDefault="0036465B" w:rsidP="0036465B">
      <w:pPr>
        <w:tabs>
          <w:tab w:val="left" w:pos="3240"/>
        </w:tabs>
        <w:spacing w:after="0" w:line="240" w:lineRule="auto"/>
        <w:rPr>
          <w:rFonts w:ascii="Times New Roman" w:hAnsi="Times New Roman"/>
          <w:sz w:val="24"/>
          <w:szCs w:val="24"/>
        </w:rPr>
      </w:pPr>
    </w:p>
    <w:p w14:paraId="736BF4AE" w14:textId="77777777" w:rsidR="0036465B" w:rsidRDefault="0036465B" w:rsidP="0036465B">
      <w:pPr>
        <w:tabs>
          <w:tab w:val="left" w:pos="3240"/>
        </w:tabs>
        <w:spacing w:after="0" w:line="240" w:lineRule="auto"/>
        <w:rPr>
          <w:rFonts w:ascii="Times New Roman" w:hAnsi="Times New Roman"/>
          <w:sz w:val="24"/>
          <w:szCs w:val="24"/>
        </w:rPr>
      </w:pPr>
    </w:p>
    <w:p w14:paraId="20249C01" w14:textId="77777777" w:rsidR="0036465B" w:rsidRDefault="0036465B" w:rsidP="0036465B">
      <w:pPr>
        <w:tabs>
          <w:tab w:val="left" w:pos="3240"/>
        </w:tabs>
        <w:spacing w:after="0" w:line="240" w:lineRule="auto"/>
        <w:rPr>
          <w:rFonts w:ascii="Times New Roman" w:hAnsi="Times New Roman"/>
          <w:sz w:val="24"/>
          <w:szCs w:val="24"/>
        </w:rPr>
      </w:pPr>
    </w:p>
    <w:p w14:paraId="00E9A468" w14:textId="77777777" w:rsidR="0036465B" w:rsidRDefault="0036465B" w:rsidP="0036465B">
      <w:pPr>
        <w:tabs>
          <w:tab w:val="left" w:pos="3240"/>
        </w:tabs>
        <w:spacing w:after="0" w:line="240" w:lineRule="auto"/>
        <w:rPr>
          <w:rFonts w:ascii="Times New Roman" w:hAnsi="Times New Roman"/>
          <w:sz w:val="24"/>
          <w:szCs w:val="24"/>
        </w:rPr>
      </w:pPr>
    </w:p>
    <w:p w14:paraId="3B0C03E1" w14:textId="77777777" w:rsidR="0036465B" w:rsidRDefault="0036465B" w:rsidP="0036465B">
      <w:pPr>
        <w:tabs>
          <w:tab w:val="left" w:pos="3240"/>
        </w:tabs>
        <w:spacing w:after="0" w:line="240" w:lineRule="auto"/>
        <w:rPr>
          <w:rFonts w:ascii="Times New Roman" w:hAnsi="Times New Roman"/>
          <w:sz w:val="24"/>
          <w:szCs w:val="24"/>
        </w:rPr>
      </w:pPr>
    </w:p>
    <w:p w14:paraId="5C8533F9" w14:textId="77777777" w:rsidR="0036465B" w:rsidRDefault="0036465B" w:rsidP="0036465B">
      <w:pPr>
        <w:tabs>
          <w:tab w:val="left" w:pos="3240"/>
        </w:tabs>
        <w:spacing w:after="0" w:line="240" w:lineRule="auto"/>
        <w:rPr>
          <w:rFonts w:ascii="Times New Roman" w:hAnsi="Times New Roman"/>
          <w:sz w:val="24"/>
          <w:szCs w:val="24"/>
        </w:rPr>
      </w:pPr>
    </w:p>
    <w:p w14:paraId="77143EEA" w14:textId="77777777" w:rsidR="0036465B" w:rsidRDefault="0036465B" w:rsidP="0036465B">
      <w:pPr>
        <w:tabs>
          <w:tab w:val="left" w:pos="3240"/>
        </w:tabs>
        <w:spacing w:after="0" w:line="240" w:lineRule="auto"/>
        <w:rPr>
          <w:rFonts w:ascii="Times New Roman" w:hAnsi="Times New Roman"/>
          <w:sz w:val="24"/>
          <w:szCs w:val="24"/>
        </w:rPr>
      </w:pPr>
    </w:p>
    <w:p w14:paraId="51DB376E" w14:textId="77777777" w:rsidR="0036465B" w:rsidRDefault="0036465B" w:rsidP="0036465B">
      <w:pPr>
        <w:tabs>
          <w:tab w:val="left" w:pos="3240"/>
        </w:tabs>
        <w:spacing w:after="0" w:line="240" w:lineRule="auto"/>
        <w:rPr>
          <w:rFonts w:ascii="Times New Roman" w:hAnsi="Times New Roman"/>
          <w:sz w:val="24"/>
          <w:szCs w:val="24"/>
        </w:rPr>
      </w:pPr>
    </w:p>
    <w:p w14:paraId="29AF06E7" w14:textId="1B59C5F1" w:rsidR="00725519" w:rsidRPr="00C05754" w:rsidRDefault="00F14007" w:rsidP="0036465B">
      <w:pPr>
        <w:tabs>
          <w:tab w:val="left" w:pos="3240"/>
        </w:tabs>
        <w:spacing w:after="0" w:line="240" w:lineRule="auto"/>
        <w:rPr>
          <w:rFonts w:asciiTheme="minorHAnsi" w:hAnsiTheme="minorHAnsi" w:cstheme="minorHAnsi"/>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3AA8A037" wp14:editId="72171E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A8A03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725519" w:rsidRPr="00C05754" w:rsidSect="0036465B">
      <w:headerReference w:type="first" r:id="rId12"/>
      <w:footerReference w:type="first" r:id="rId13"/>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29655" w14:textId="77777777" w:rsidR="00495849" w:rsidRDefault="00495849" w:rsidP="00AD7D31">
      <w:pPr>
        <w:spacing w:after="0" w:line="240" w:lineRule="auto"/>
      </w:pPr>
      <w:r>
        <w:separator/>
      </w:r>
    </w:p>
  </w:endnote>
  <w:endnote w:type="continuationSeparator" w:id="0">
    <w:p w14:paraId="0919388E" w14:textId="77777777" w:rsidR="00495849" w:rsidRDefault="00495849"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93A1" w14:textId="77777777" w:rsidR="00804EA0" w:rsidRDefault="008C5119" w:rsidP="00804EA0">
    <w:pPr>
      <w:pStyle w:val="Footer"/>
      <w:jc w:val="center"/>
    </w:pPr>
    <w:r>
      <w:rPr>
        <w:noProof/>
        <w:lang w:eastAsia="en-AU"/>
      </w:rPr>
      <w:drawing>
        <wp:anchor distT="0" distB="0" distL="114300" distR="114300" simplePos="0" relativeHeight="251671549" behindDoc="1" locked="0" layoutInCell="1" allowOverlap="1" wp14:anchorId="7E67E90F" wp14:editId="7364DA4F">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2167D0C2" w14:textId="77777777" w:rsidTr="00804EA0">
      <w:trPr>
        <w:trHeight w:val="340"/>
        <w:jc w:val="right"/>
      </w:trPr>
      <w:tc>
        <w:tcPr>
          <w:tcW w:w="6804" w:type="dxa"/>
          <w:gridSpan w:val="4"/>
          <w:tcBorders>
            <w:top w:val="nil"/>
            <w:bottom w:val="single" w:sz="4" w:space="0" w:color="724793"/>
          </w:tcBorders>
        </w:tcPr>
        <w:p w14:paraId="100B6D2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737661DA" w14:textId="77777777" w:rsidTr="008670B1">
      <w:trPr>
        <w:trHeight w:val="20"/>
        <w:jc w:val="right"/>
      </w:trPr>
      <w:tc>
        <w:tcPr>
          <w:tcW w:w="425" w:type="dxa"/>
          <w:tcBorders>
            <w:top w:val="single" w:sz="4" w:space="0" w:color="724793"/>
            <w:bottom w:val="nil"/>
          </w:tcBorders>
          <w:vAlign w:val="center"/>
        </w:tcPr>
        <w:p w14:paraId="26C0568E"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3BC54247"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198C7C94"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7F17FE42" wp14:editId="56822A07">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D84D8"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3D940AF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5A9338B7" wp14:editId="5CF3AD14">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615B8"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6F043106" w14:textId="77777777" w:rsidTr="008670B1">
      <w:trPr>
        <w:trHeight w:val="20"/>
        <w:jc w:val="right"/>
      </w:trPr>
      <w:tc>
        <w:tcPr>
          <w:tcW w:w="425" w:type="dxa"/>
          <w:tcBorders>
            <w:top w:val="nil"/>
            <w:bottom w:val="nil"/>
          </w:tcBorders>
          <w:vAlign w:val="center"/>
        </w:tcPr>
        <w:p w14:paraId="1F94CF2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ADBAE7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0B43C7FD" wp14:editId="425BE1B8">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CA01E"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48C0AD8C"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59EF1B25" wp14:editId="44F14956">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4B7AB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w:t>
          </w:r>
          <w:r w:rsidR="00804EA0" w:rsidRPr="00910ED5">
            <w:rPr>
              <w:color w:val="724793" w:themeColor="accent2"/>
              <w:spacing w:val="-4"/>
              <w:sz w:val="18"/>
              <w:szCs w:val="18"/>
            </w:rPr>
            <w:t>MLA</w:t>
          </w:r>
          <w:proofErr w:type="spellEnd"/>
        </w:p>
      </w:tc>
      <w:tc>
        <w:tcPr>
          <w:tcW w:w="2551" w:type="dxa"/>
          <w:vAlign w:val="center"/>
        </w:tcPr>
        <w:p w14:paraId="22CEB50B"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77973B7C" wp14:editId="7FD1FCA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A8DA21"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rachelss_</w:t>
          </w:r>
          <w:r w:rsidR="00804EA0" w:rsidRPr="00910ED5">
            <w:rPr>
              <w:color w:val="724793" w:themeColor="accent2"/>
              <w:spacing w:val="-4"/>
              <w:sz w:val="18"/>
              <w:szCs w:val="18"/>
            </w:rPr>
            <w:t>mla</w:t>
          </w:r>
          <w:proofErr w:type="spellEnd"/>
        </w:p>
      </w:tc>
    </w:tr>
  </w:tbl>
  <w:p w14:paraId="0ED99EB5" w14:textId="77777777" w:rsidR="008C5119" w:rsidRDefault="008C5119" w:rsidP="00804EA0">
    <w:pPr>
      <w:pStyle w:val="Footer"/>
      <w:jc w:val="center"/>
    </w:pPr>
  </w:p>
  <w:p w14:paraId="4DAA2C0B"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ADD2E" w14:textId="77777777" w:rsidR="00495849" w:rsidRDefault="00495849" w:rsidP="00AD7D31">
      <w:pPr>
        <w:spacing w:after="0" w:line="240" w:lineRule="auto"/>
      </w:pPr>
      <w:r>
        <w:separator/>
      </w:r>
    </w:p>
  </w:footnote>
  <w:footnote w:type="continuationSeparator" w:id="0">
    <w:p w14:paraId="536A759E" w14:textId="77777777" w:rsidR="00495849" w:rsidRDefault="00495849"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C91D"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2604E12" wp14:editId="439FB3E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0C64518" wp14:editId="31558AD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6C5A2F"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73C75AAA"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w:t>
    </w:r>
    <w:bookmarkStart w:id="0" w:name="_GoBack"/>
    <w:bookmarkEnd w:id="0"/>
    <w:r>
      <w:t>s Strait Islander Affairs</w:t>
    </w:r>
  </w:p>
  <w:p w14:paraId="41EE12C9"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39BBAA14" wp14:editId="6F788A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32E404"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0C6"/>
    <w:multiLevelType w:val="hybridMultilevel"/>
    <w:tmpl w:val="C682F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5B"/>
    <w:rsid w:val="00003B4A"/>
    <w:rsid w:val="000125FC"/>
    <w:rsid w:val="00027AFE"/>
    <w:rsid w:val="0006371F"/>
    <w:rsid w:val="000833EB"/>
    <w:rsid w:val="000C331E"/>
    <w:rsid w:val="000E438E"/>
    <w:rsid w:val="000F7EB8"/>
    <w:rsid w:val="00121405"/>
    <w:rsid w:val="00131016"/>
    <w:rsid w:val="001450DC"/>
    <w:rsid w:val="001804F3"/>
    <w:rsid w:val="001851B2"/>
    <w:rsid w:val="00195EAD"/>
    <w:rsid w:val="001A469C"/>
    <w:rsid w:val="001D7389"/>
    <w:rsid w:val="00240F3E"/>
    <w:rsid w:val="002450E9"/>
    <w:rsid w:val="002575D0"/>
    <w:rsid w:val="002D4441"/>
    <w:rsid w:val="002E1D40"/>
    <w:rsid w:val="00313E4A"/>
    <w:rsid w:val="00352C20"/>
    <w:rsid w:val="0036465B"/>
    <w:rsid w:val="003B33E5"/>
    <w:rsid w:val="003E4068"/>
    <w:rsid w:val="0041104E"/>
    <w:rsid w:val="004517FA"/>
    <w:rsid w:val="00495849"/>
    <w:rsid w:val="005351C5"/>
    <w:rsid w:val="0055749D"/>
    <w:rsid w:val="00583080"/>
    <w:rsid w:val="005C4787"/>
    <w:rsid w:val="005E7DE1"/>
    <w:rsid w:val="00613AD5"/>
    <w:rsid w:val="0061634E"/>
    <w:rsid w:val="00616D68"/>
    <w:rsid w:val="0064748B"/>
    <w:rsid w:val="00655CD8"/>
    <w:rsid w:val="00696899"/>
    <w:rsid w:val="006A1B70"/>
    <w:rsid w:val="006C6335"/>
    <w:rsid w:val="006F4E04"/>
    <w:rsid w:val="00712BA7"/>
    <w:rsid w:val="00725519"/>
    <w:rsid w:val="00742013"/>
    <w:rsid w:val="00751F7B"/>
    <w:rsid w:val="00795E1D"/>
    <w:rsid w:val="007B465C"/>
    <w:rsid w:val="007D3F5C"/>
    <w:rsid w:val="007D7FAC"/>
    <w:rsid w:val="007F5BA8"/>
    <w:rsid w:val="00804EA0"/>
    <w:rsid w:val="00806ACB"/>
    <w:rsid w:val="00834846"/>
    <w:rsid w:val="00855531"/>
    <w:rsid w:val="008670B1"/>
    <w:rsid w:val="008A04F4"/>
    <w:rsid w:val="008C5119"/>
    <w:rsid w:val="008D15E5"/>
    <w:rsid w:val="008D37E0"/>
    <w:rsid w:val="0090148E"/>
    <w:rsid w:val="00905F4F"/>
    <w:rsid w:val="00912782"/>
    <w:rsid w:val="0093309F"/>
    <w:rsid w:val="009B6D21"/>
    <w:rsid w:val="009C2877"/>
    <w:rsid w:val="009F62D6"/>
    <w:rsid w:val="00A031A0"/>
    <w:rsid w:val="00A05C39"/>
    <w:rsid w:val="00A2718B"/>
    <w:rsid w:val="00A450B1"/>
    <w:rsid w:val="00A6097C"/>
    <w:rsid w:val="00A919EF"/>
    <w:rsid w:val="00AB46C1"/>
    <w:rsid w:val="00AB5FB8"/>
    <w:rsid w:val="00AD7D31"/>
    <w:rsid w:val="00AF08DA"/>
    <w:rsid w:val="00AF2B15"/>
    <w:rsid w:val="00B33A5C"/>
    <w:rsid w:val="00B85096"/>
    <w:rsid w:val="00B91F55"/>
    <w:rsid w:val="00BE5D25"/>
    <w:rsid w:val="00C04DFF"/>
    <w:rsid w:val="00C05754"/>
    <w:rsid w:val="00C12B5F"/>
    <w:rsid w:val="00C22431"/>
    <w:rsid w:val="00CA0045"/>
    <w:rsid w:val="00CA4B9B"/>
    <w:rsid w:val="00D87D95"/>
    <w:rsid w:val="00DD766A"/>
    <w:rsid w:val="00E04CC9"/>
    <w:rsid w:val="00E04FD9"/>
    <w:rsid w:val="00E06613"/>
    <w:rsid w:val="00E80BC3"/>
    <w:rsid w:val="00E836EE"/>
    <w:rsid w:val="00E97B04"/>
    <w:rsid w:val="00EA7B1C"/>
    <w:rsid w:val="00EB388C"/>
    <w:rsid w:val="00ED5634"/>
    <w:rsid w:val="00EE6CA3"/>
    <w:rsid w:val="00EF0A8B"/>
    <w:rsid w:val="00EF4431"/>
    <w:rsid w:val="00F14007"/>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DB9"/>
  <w15:chartTrackingRefBased/>
  <w15:docId w15:val="{5B9609C4-CA24-436C-A78F-EE3E04F3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UnresolvedMention">
    <w:name w:val="Unresolved Mention"/>
    <w:basedOn w:val="DefaultParagraphFont"/>
    <w:uiPriority w:val="99"/>
    <w:semiHidden/>
    <w:unhideWhenUsed/>
    <w:rsid w:val="0061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0841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_Committee_JCS@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F7E4-3824-4C59-B915-9C17F781FCF1}">
  <ds:schemaRefs>
    <ds:schemaRef ds:uri="4d47241e-7224-40da-83d9-1113ff4a4334"/>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1FCC49CB-D6A6-490B-A0BA-58DEE0603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D1FD9892-CBD1-4FB3-8214-E0DA168D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Shannon, Anne</cp:lastModifiedBy>
  <cp:revision>3</cp:revision>
  <cp:lastPrinted>2021-11-19T02:17:00Z</cp:lastPrinted>
  <dcterms:created xsi:type="dcterms:W3CDTF">2021-11-23T00:42:00Z</dcterms:created>
  <dcterms:modified xsi:type="dcterms:W3CDTF">2021-11-23T00:43:00Z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