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1pt;margin-top:.000105pt;width:544.35pt;height:123.75pt;mso-position-horizontal-relative:page;mso-position-vertical-relative:page;z-index:15730176" id="docshapegroup1" coordorigin="1020,0" coordsize="10887,2475">
            <v:shape style="position:absolute;left:1169;top:0;width:10737;height:2475" type="#_x0000_t75" id="docshape2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0;top:2225;width:1566;height:240" type="#_x0000_t202" id="docshape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Chris</w:t>
                    </w:r>
                    <w:r>
                      <w:rPr>
                        <w:b/>
                        <w:color w:val="221F1F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221F1F"/>
                        <w:sz w:val="24"/>
                      </w:rPr>
                      <w:t>Steel</w:t>
                    </w:r>
                    <w:r>
                      <w:rPr>
                        <w:b/>
                        <w:color w:val="221F1F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221F1F"/>
                        <w:sz w:val="24"/>
                      </w:rPr>
                      <w:t>MLA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4446</wp:posOffset>
            </wp:positionH>
            <wp:positionV relativeFrom="page">
              <wp:posOffset>9217042</wp:posOffset>
            </wp:positionV>
            <wp:extent cx="2446323" cy="1475339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323" cy="147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spacing w:before="56"/>
        <w:ind w:left="100" w:right="6434" w:firstLine="0"/>
        <w:jc w:val="left"/>
        <w:rPr>
          <w:sz w:val="22"/>
        </w:rPr>
      </w:pPr>
      <w:r>
        <w:rPr>
          <w:sz w:val="22"/>
        </w:rPr>
        <w:t>Minister for Transport and City Services</w:t>
      </w:r>
      <w:r>
        <w:rPr>
          <w:spacing w:val="-47"/>
          <w:sz w:val="22"/>
        </w:rPr>
        <w:t> </w:t>
      </w:r>
      <w:r>
        <w:rPr>
          <w:sz w:val="22"/>
        </w:rPr>
        <w:t>Minister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Skills</w:t>
      </w:r>
    </w:p>
    <w:p>
      <w:pPr>
        <w:spacing w:line="417" w:lineRule="auto" w:before="0"/>
        <w:ind w:left="100" w:right="7216" w:firstLine="0"/>
        <w:jc w:val="left"/>
        <w:rPr>
          <w:sz w:val="22"/>
        </w:rPr>
      </w:pPr>
      <w:r>
        <w:rPr>
          <w:sz w:val="22"/>
        </w:rPr>
        <w:t>Special Minister of State</w:t>
      </w:r>
      <w:r>
        <w:rPr>
          <w:spacing w:val="1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Murrumbidgee</w:t>
      </w:r>
    </w:p>
    <w:p>
      <w:pPr>
        <w:pStyle w:val="BodyText"/>
        <w:spacing w:before="3"/>
        <w:rPr>
          <w:sz w:val="9"/>
        </w:rPr>
      </w:pPr>
      <w:r>
        <w:rPr/>
        <w:pict>
          <v:shape style="position:absolute;margin-left:53.900002pt;margin-top:6.856172pt;width:487.55pt;height:.1pt;mso-position-horizontal-relative:page;mso-position-vertical-relative:paragraph;z-index:-15728640;mso-wrap-distance-left:0;mso-wrap-distance-right:0" id="docshape4" coordorigin="1078,137" coordsize="9751,0" path="m1078,137l10829,13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51"/>
        <w:ind w:left="100" w:right="7216"/>
      </w:pPr>
      <w:r>
        <w:rPr/>
        <w:t>Mr Jeremy Hanson CSC MLA</w:t>
      </w:r>
      <w:r>
        <w:rPr>
          <w:spacing w:val="-52"/>
        </w:rPr>
        <w:t> </w:t>
      </w:r>
      <w:r>
        <w:rPr/>
        <w:t>Chair</w:t>
      </w:r>
    </w:p>
    <w:p>
      <w:pPr>
        <w:pStyle w:val="BodyText"/>
        <w:spacing w:line="242" w:lineRule="auto"/>
        <w:ind w:left="100" w:right="2139"/>
      </w:pPr>
      <w:r>
        <w:rPr/>
        <w:t>Standing Committee on Justice and Community Safety (Legislative Scrutiny Role)</w:t>
      </w:r>
      <w:r>
        <w:rPr>
          <w:spacing w:val="-53"/>
        </w:rPr>
        <w:t> </w:t>
      </w:r>
      <w:hyperlink r:id="rId7">
        <w:r>
          <w:rPr>
            <w:color w:val="0462C1"/>
            <w:u w:val="single" w:color="0462C1"/>
          </w:rPr>
          <w:t>Scrutiny@parliament.act.gov.au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52"/>
        <w:ind w:left="100"/>
      </w:pPr>
      <w:r>
        <w:rPr/>
        <w:t>Dear</w:t>
      </w:r>
      <w:r>
        <w:rPr>
          <w:spacing w:val="-3"/>
        </w:rPr>
        <w:t> </w:t>
      </w:r>
      <w:r>
        <w:rPr/>
        <w:t>Mr</w:t>
      </w:r>
      <w:r>
        <w:rPr>
          <w:spacing w:val="-2"/>
        </w:rPr>
        <w:t> </w:t>
      </w:r>
      <w:r>
        <w:rPr/>
        <w:t>Hanson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00" w:right="154"/>
      </w:pPr>
      <w:r>
        <w:rPr/>
        <w:t>I thank the Standing Committee on Justice and Community Safety (Legislative Scrutiny Role)</w:t>
      </w:r>
      <w:r>
        <w:rPr>
          <w:spacing w:val="1"/>
        </w:rPr>
        <w:t> </w:t>
      </w:r>
      <w:r>
        <w:rPr/>
        <w:t>(Committee)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comments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Litter</w:t>
      </w:r>
      <w:r>
        <w:rPr>
          <w:spacing w:val="-2"/>
        </w:rPr>
        <w:t> </w:t>
      </w:r>
      <w:r>
        <w:rPr/>
        <w:t>(Amenity</w:t>
      </w:r>
      <w:r>
        <w:rPr>
          <w:spacing w:val="-2"/>
        </w:rPr>
        <w:t> </w:t>
      </w:r>
      <w:r>
        <w:rPr/>
        <w:t>Impact)</w:t>
      </w:r>
      <w:r>
        <w:rPr>
          <w:spacing w:val="-4"/>
        </w:rPr>
        <w:t> </w:t>
      </w:r>
      <w:r>
        <w:rPr/>
        <w:t>Code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(Code),</w:t>
      </w:r>
      <w:r>
        <w:rPr>
          <w:spacing w:val="-3"/>
        </w:rPr>
        <w:t> </w:t>
      </w:r>
      <w:r>
        <w:rPr/>
        <w:t>as</w:t>
      </w:r>
      <w:r>
        <w:rPr>
          <w:spacing w:val="-51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Scrutiny</w:t>
      </w:r>
      <w:r>
        <w:rPr>
          <w:spacing w:val="-1"/>
        </w:rPr>
        <w:t> </w:t>
      </w:r>
      <w:r>
        <w:rPr/>
        <w:t>Report</w:t>
      </w:r>
      <w:r>
        <w:rPr>
          <w:spacing w:val="2"/>
        </w:rPr>
        <w:t> </w:t>
      </w:r>
      <w:r>
        <w:rPr/>
        <w:t>2</w:t>
      </w:r>
      <w:r>
        <w:rPr>
          <w:spacing w:val="-1"/>
        </w:rPr>
        <w:t> </w:t>
      </w:r>
      <w:r>
        <w:rPr/>
        <w:t>(Report)</w:t>
      </w:r>
      <w:r>
        <w:rPr>
          <w:spacing w:val="-2"/>
        </w:rPr>
        <w:t> </w:t>
      </w:r>
      <w:r>
        <w:rPr/>
        <w:t>dated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March 2021.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154"/>
      </w:pPr>
      <w:r>
        <w:rPr/>
        <w:t>The Report noted the relevance of the </w:t>
      </w:r>
      <w:r>
        <w:rPr>
          <w:i/>
        </w:rPr>
        <w:t>Human Rights Act 2004 </w:t>
      </w:r>
      <w:r>
        <w:rPr/>
        <w:t>(HRA) and that the explanatory</w:t>
      </w:r>
      <w:r>
        <w:rPr>
          <w:spacing w:val="1"/>
        </w:rPr>
        <w:t> </w:t>
      </w:r>
      <w:r>
        <w:rPr/>
        <w:t>statement to the Code did not meet the technical or stylistic standards expected by the Committee.</w:t>
      </w:r>
      <w:r>
        <w:rPr>
          <w:spacing w:val="-52"/>
        </w:rPr>
        <w:t> </w:t>
      </w:r>
      <w:r>
        <w:rPr/>
        <w:t>It was recommended the explanatory statement to the Code be amended to fully reflect the nature</w:t>
      </w:r>
      <w:r>
        <w:rPr>
          <w:spacing w:val="1"/>
        </w:rPr>
        <w:t> </w:t>
      </w:r>
      <w:r>
        <w:rPr/>
        <w:t>and extent of human rights engaged. The explanatory statement to the Code has been amended to</w:t>
      </w:r>
      <w:r>
        <w:rPr>
          <w:spacing w:val="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detail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rights</w:t>
      </w:r>
      <w:r>
        <w:rPr>
          <w:spacing w:val="-2"/>
        </w:rPr>
        <w:t> </w:t>
      </w:r>
      <w:r>
        <w:rPr/>
        <w:t>concerned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rights</w:t>
      </w:r>
      <w:r>
        <w:rPr>
          <w:spacing w:val="-52"/>
        </w:rPr>
        <w:t> </w:t>
      </w:r>
      <w:r>
        <w:rPr/>
        <w:t>are addressed. A copy of the explanatory statement is provided at </w:t>
      </w:r>
      <w:r>
        <w:rPr>
          <w:u w:val="single"/>
        </w:rPr>
        <w:t>Attachment A</w:t>
      </w:r>
      <w:r>
        <w:rPr/>
        <w:t> and summarised</w:t>
      </w:r>
      <w:r>
        <w:rPr>
          <w:spacing w:val="1"/>
        </w:rPr>
        <w:t> </w:t>
      </w:r>
      <w:r>
        <w:rPr/>
        <w:t>below.</w:t>
      </w:r>
    </w:p>
    <w:p>
      <w:pPr>
        <w:pStyle w:val="BodyText"/>
        <w:spacing w:before="1"/>
      </w:pPr>
    </w:p>
    <w:p>
      <w:pPr>
        <w:pStyle w:val="BodyText"/>
        <w:ind w:left="100" w:right="411"/>
      </w:pPr>
      <w:r>
        <w:rPr/>
        <w:t>The regulatory framework for managing amenity impacts set out in the </w:t>
      </w:r>
      <w:r>
        <w:rPr>
          <w:i/>
        </w:rPr>
        <w:t>Litter Act 2004 </w:t>
      </w:r>
      <w:r>
        <w:rPr/>
        <w:t>(Litter Act),</w:t>
      </w:r>
      <w:r>
        <w:rPr>
          <w:spacing w:val="-52"/>
        </w:rPr>
        <w:t> </w:t>
      </w:r>
      <w:r>
        <w:rPr/>
        <w:t>including the Code, was identified as engaging the right to equality before the law and the right to</w:t>
      </w:r>
      <w:r>
        <w:rPr>
          <w:spacing w:val="-52"/>
        </w:rPr>
        <w:t> </w:t>
      </w:r>
      <w:r>
        <w:rPr/>
        <w:t>privacy, sections 8 and 12 of the HRA respectively. Addressing hoarding on open private property</w:t>
      </w:r>
      <w:r>
        <w:rPr>
          <w:spacing w:val="1"/>
        </w:rPr>
        <w:t> </w:t>
      </w:r>
      <w:r>
        <w:rPr/>
        <w:t>may disproportionately affect lower income earners or persons with a mental health disorder or</w:t>
      </w:r>
      <w:r>
        <w:rPr>
          <w:spacing w:val="1"/>
        </w:rPr>
        <w:t> </w:t>
      </w:r>
      <w:r>
        <w:rPr/>
        <w:t>mental</w:t>
      </w:r>
      <w:r>
        <w:rPr>
          <w:spacing w:val="-2"/>
        </w:rPr>
        <w:t> </w:t>
      </w:r>
      <w:r>
        <w:rPr/>
        <w:t>illness.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00" w:right="201"/>
      </w:pPr>
      <w:r>
        <w:rPr/>
        <w:t>Hoarding on residential properties is a multifaceted issue that can involve vulnerable people who</w:t>
      </w:r>
      <w:r>
        <w:rPr>
          <w:spacing w:val="1"/>
        </w:rPr>
        <w:t> </w:t>
      </w:r>
      <w:r>
        <w:rPr/>
        <w:t>lack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resolve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amenity</w:t>
      </w:r>
      <w:r>
        <w:rPr>
          <w:spacing w:val="-3"/>
        </w:rPr>
        <w:t> </w:t>
      </w:r>
      <w:r>
        <w:rPr/>
        <w:t>impacts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own.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Code</w:t>
      </w:r>
      <w:r>
        <w:rPr>
          <w:spacing w:val="-5"/>
        </w:rPr>
        <w:t> </w:t>
      </w:r>
      <w:r>
        <w:rPr/>
        <w:t>serves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guide</w:t>
      </w:r>
      <w:r>
        <w:rPr>
          <w:spacing w:val="-1"/>
        </w:rPr>
        <w:t> </w:t>
      </w:r>
      <w:r>
        <w:rPr/>
        <w:t>authorised</w:t>
      </w:r>
      <w:r>
        <w:rPr>
          <w:spacing w:val="-51"/>
        </w:rPr>
        <w:t> </w:t>
      </w:r>
      <w:r>
        <w:rPr/>
        <w:t>officers in addressing amenity impacts caused by hoarding through a staged, holistic and</w:t>
      </w:r>
      <w:r>
        <w:rPr>
          <w:spacing w:val="1"/>
        </w:rPr>
        <w:t> </w:t>
      </w:r>
      <w:r>
        <w:rPr/>
        <w:t>proportionate approach</w:t>
      </w:r>
      <w:r>
        <w:rPr>
          <w:spacing w:val="-1"/>
        </w:rPr>
        <w:t> </w:t>
      </w:r>
      <w:r>
        <w:rPr/>
        <w:t>tailored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59" w:lineRule="auto" w:before="1"/>
        <w:ind w:left="100" w:right="154"/>
      </w:pPr>
      <w:r>
        <w:rPr/>
        <w:t>The Code upholds education and awareness on support services and advocacy groups as priority at</w:t>
      </w:r>
      <w:r>
        <w:rPr>
          <w:spacing w:val="1"/>
        </w:rPr>
        <w:t> </w:t>
      </w:r>
      <w:r>
        <w:rPr/>
        <w:t>all</w:t>
      </w:r>
      <w:r>
        <w:rPr>
          <w:spacing w:val="-2"/>
        </w:rPr>
        <w:t> </w:t>
      </w:r>
      <w:r>
        <w:rPr/>
        <w:t>stages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addressing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amenity</w:t>
      </w:r>
      <w:r>
        <w:rPr>
          <w:spacing w:val="-1"/>
        </w:rPr>
        <w:t> </w:t>
      </w:r>
      <w:r>
        <w:rPr/>
        <w:t>impact.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done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interagency</w:t>
      </w:r>
      <w:r>
        <w:rPr>
          <w:spacing w:val="5"/>
        </w:rPr>
        <w:t> </w:t>
      </w:r>
      <w:r>
        <w:rPr/>
        <w:t>approach,</w:t>
      </w:r>
      <w:r>
        <w:rPr>
          <w:spacing w:val="-3"/>
        </w:rPr>
        <w:t> </w:t>
      </w:r>
      <w:r>
        <w:rPr/>
        <w:t>where</w:t>
      </w:r>
      <w:r>
        <w:rPr>
          <w:spacing w:val="-1"/>
        </w:rPr>
        <w:t> </w:t>
      </w:r>
      <w:r>
        <w:rPr/>
        <w:t>all</w:t>
      </w:r>
    </w:p>
    <w:p>
      <w:pPr>
        <w:pStyle w:val="BodyText"/>
        <w:spacing w:before="10"/>
      </w:pPr>
    </w:p>
    <w:p>
      <w:pPr>
        <w:spacing w:before="64"/>
        <w:ind w:left="4598" w:right="0" w:firstLine="0"/>
        <w:jc w:val="left"/>
        <w:rPr>
          <w:sz w:val="18"/>
        </w:rPr>
      </w:pPr>
      <w:r>
        <w:rPr>
          <w:b/>
          <w:color w:val="714692"/>
          <w:spacing w:val="-4"/>
          <w:sz w:val="18"/>
        </w:rPr>
        <w:t>ACT</w:t>
      </w:r>
      <w:r>
        <w:rPr>
          <w:b/>
          <w:color w:val="714692"/>
          <w:sz w:val="18"/>
        </w:rPr>
        <w:t> </w:t>
      </w:r>
      <w:r>
        <w:rPr>
          <w:b/>
          <w:color w:val="714692"/>
          <w:spacing w:val="-4"/>
          <w:sz w:val="18"/>
        </w:rPr>
        <w:t>Legislative</w:t>
      </w:r>
      <w:r>
        <w:rPr>
          <w:b/>
          <w:color w:val="714692"/>
          <w:spacing w:val="-19"/>
          <w:sz w:val="18"/>
        </w:rPr>
        <w:t> </w:t>
      </w:r>
      <w:r>
        <w:rPr>
          <w:b/>
          <w:color w:val="714692"/>
          <w:spacing w:val="-4"/>
          <w:sz w:val="18"/>
        </w:rPr>
        <w:t>Assembly</w:t>
      </w:r>
      <w:r>
        <w:rPr>
          <w:b/>
          <w:color w:val="714692"/>
          <w:spacing w:val="-8"/>
          <w:sz w:val="18"/>
        </w:rPr>
        <w:t> </w:t>
      </w:r>
      <w:r>
        <w:rPr>
          <w:color w:val="714692"/>
          <w:spacing w:val="-4"/>
          <w:sz w:val="18"/>
        </w:rPr>
        <w:t>London</w:t>
      </w:r>
      <w:r>
        <w:rPr>
          <w:color w:val="714692"/>
          <w:spacing w:val="-9"/>
          <w:sz w:val="18"/>
        </w:rPr>
        <w:t> </w:t>
      </w:r>
      <w:r>
        <w:rPr>
          <w:color w:val="714692"/>
          <w:spacing w:val="-4"/>
          <w:sz w:val="18"/>
        </w:rPr>
        <w:t>Circuit,</w:t>
      </w:r>
      <w:r>
        <w:rPr>
          <w:color w:val="714692"/>
          <w:spacing w:val="-7"/>
          <w:sz w:val="18"/>
        </w:rPr>
        <w:t> </w:t>
      </w:r>
      <w:r>
        <w:rPr>
          <w:color w:val="714692"/>
          <w:spacing w:val="-4"/>
          <w:sz w:val="18"/>
        </w:rPr>
        <w:t>GPO</w:t>
      </w:r>
      <w:r>
        <w:rPr>
          <w:color w:val="714692"/>
          <w:spacing w:val="-6"/>
          <w:sz w:val="18"/>
        </w:rPr>
        <w:t> </w:t>
      </w:r>
      <w:r>
        <w:rPr>
          <w:color w:val="714692"/>
          <w:spacing w:val="-4"/>
          <w:sz w:val="18"/>
        </w:rPr>
        <w:t>Box</w:t>
      </w:r>
      <w:r>
        <w:rPr>
          <w:color w:val="714692"/>
          <w:spacing w:val="-9"/>
          <w:sz w:val="18"/>
        </w:rPr>
        <w:t> </w:t>
      </w:r>
      <w:r>
        <w:rPr>
          <w:color w:val="714692"/>
          <w:spacing w:val="-4"/>
          <w:sz w:val="18"/>
        </w:rPr>
        <w:t>1020,</w:t>
      </w:r>
      <w:r>
        <w:rPr>
          <w:color w:val="714692"/>
          <w:spacing w:val="-7"/>
          <w:sz w:val="18"/>
        </w:rPr>
        <w:t> </w:t>
      </w:r>
      <w:r>
        <w:rPr>
          <w:color w:val="714692"/>
          <w:spacing w:val="-3"/>
          <w:sz w:val="18"/>
        </w:rPr>
        <w:t>Canberra</w:t>
      </w:r>
      <w:r>
        <w:rPr>
          <w:color w:val="714692"/>
          <w:spacing w:val="-7"/>
          <w:sz w:val="18"/>
        </w:rPr>
        <w:t> </w:t>
      </w:r>
      <w:r>
        <w:rPr>
          <w:color w:val="714692"/>
          <w:spacing w:val="-3"/>
          <w:sz w:val="18"/>
        </w:rPr>
        <w:t>ACT</w:t>
      </w:r>
      <w:r>
        <w:rPr>
          <w:color w:val="714692"/>
          <w:spacing w:val="-8"/>
          <w:sz w:val="18"/>
        </w:rPr>
        <w:t> </w:t>
      </w:r>
      <w:r>
        <w:rPr>
          <w:color w:val="714692"/>
          <w:spacing w:val="-3"/>
          <w:sz w:val="18"/>
        </w:rPr>
        <w:t>2601</w:t>
      </w:r>
    </w:p>
    <w:p>
      <w:pPr>
        <w:pStyle w:val="BodyText"/>
        <w:spacing w:before="6"/>
        <w:rPr>
          <w:sz w:val="4"/>
        </w:rPr>
      </w:pPr>
      <w:r>
        <w:rPr/>
        <w:pict>
          <v:group style="position:absolute;margin-left:260.809998pt;margin-top:3.963794pt;width:283.650pt;height:18.350pt;mso-position-horizontal-relative:page;mso-position-vertical-relative:paragraph;z-index:-15728128;mso-wrap-distance-left:0;mso-wrap-distance-right:0" id="docshapegroup5" coordorigin="5216,79" coordsize="5673,367">
            <v:rect style="position:absolute;left:5216;top:79;width:5673;height:10" id="docshape6" filled="true" fillcolor="#714692" stroked="false">
              <v:fill type="solid"/>
            </v:rect>
            <v:shape style="position:absolute;left:7486;top:128;width:255;height:255" type="#_x0000_t75" id="docshape7" stroked="false">
              <v:imagedata r:id="rId8" o:title=""/>
            </v:shape>
            <v:shape style="position:absolute;left:9318;top:158;width:265;height:198" type="#_x0000_t75" id="docshape8" stroked="false">
              <v:imagedata r:id="rId9" o:title=""/>
            </v:shape>
            <v:shape style="position:absolute;left:7832;top:265;width:1180;height:180" type="#_x0000_t202" id="docshape9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714692"/>
                        <w:spacing w:val="-3"/>
                        <w:sz w:val="18"/>
                      </w:rPr>
                      <w:t>+61</w:t>
                    </w:r>
                    <w:r>
                      <w:rPr>
                        <w:color w:val="714692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714692"/>
                        <w:spacing w:val="-3"/>
                        <w:sz w:val="18"/>
                      </w:rPr>
                      <w:t>2</w:t>
                    </w:r>
                    <w:r>
                      <w:rPr>
                        <w:color w:val="714692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714692"/>
                        <w:spacing w:val="-3"/>
                        <w:sz w:val="18"/>
                      </w:rPr>
                      <w:t>6205</w:t>
                    </w:r>
                    <w:r>
                      <w:rPr>
                        <w:color w:val="714692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714692"/>
                        <w:spacing w:val="-3"/>
                        <w:sz w:val="18"/>
                      </w:rPr>
                      <w:t>1470</w:t>
                    </w:r>
                  </w:p>
                </w:txbxContent>
              </v:textbox>
              <w10:wrap type="none"/>
            </v:shape>
            <v:shape style="position:absolute;left:9623;top:237;width:1229;height:180" type="#_x0000_t202" id="docshape1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hyperlink r:id="rId10">
                      <w:r>
                        <w:rPr>
                          <w:color w:val="714692"/>
                          <w:spacing w:val="-3"/>
                          <w:sz w:val="18"/>
                        </w:rPr>
                        <w:t>steel@act.gov.au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4437"/>
        <w:rPr>
          <w:sz w:val="2"/>
        </w:rPr>
      </w:pPr>
      <w:r>
        <w:rPr>
          <w:sz w:val="2"/>
        </w:rPr>
        <w:pict>
          <v:group style="width:276.55pt;height:.5pt;mso-position-horizontal-relative:char;mso-position-vertical-relative:line" id="docshapegroup11" coordorigin="0,0" coordsize="5531,10">
            <v:rect style="position:absolute;left:0;top:0;width:5531;height:10" id="docshape12" filled="true" fillcolor="#71469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</w:p>
    <w:p>
      <w:pPr>
        <w:tabs>
          <w:tab w:pos="7049" w:val="left" w:leader="none"/>
          <w:tab w:pos="8991" w:val="left" w:leader="none"/>
        </w:tabs>
        <w:spacing w:before="69"/>
        <w:ind w:left="491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3495040</wp:posOffset>
            </wp:positionH>
            <wp:positionV relativeFrom="paragraph">
              <wp:posOffset>-6599</wp:posOffset>
            </wp:positionV>
            <wp:extent cx="203200" cy="161925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4823205</wp:posOffset>
            </wp:positionH>
            <wp:positionV relativeFrom="paragraph">
              <wp:posOffset>-27821</wp:posOffset>
            </wp:positionV>
            <wp:extent cx="180975" cy="178434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6076315</wp:posOffset>
            </wp:positionH>
            <wp:positionV relativeFrom="paragraph">
              <wp:posOffset>-24316</wp:posOffset>
            </wp:positionV>
            <wp:extent cx="168275" cy="168275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14692"/>
          <w:position w:val="-1"/>
          <w:sz w:val="18"/>
        </w:rPr>
        <w:t>@ChrisSteelMLA</w:t>
        <w:tab/>
      </w:r>
      <w:r>
        <w:rPr>
          <w:color w:val="714692"/>
          <w:sz w:val="18"/>
        </w:rPr>
        <w:t>chrissteellabor</w:t>
        <w:tab/>
        <w:t>chrissteelmla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0" w:bottom="0" w:left="920" w:right="900"/>
        </w:sectPr>
      </w:pPr>
    </w:p>
    <w:p>
      <w:pPr>
        <w:pStyle w:val="BodyText"/>
        <w:spacing w:line="259" w:lineRule="auto" w:before="27"/>
        <w:ind w:left="100" w:right="545"/>
      </w:pPr>
      <w:r>
        <w:rPr/>
        <w:t>means of addressing an amenity impact have been exhausted prior to regulatory action being</w:t>
      </w:r>
      <w:r>
        <w:rPr>
          <w:spacing w:val="1"/>
        </w:rPr>
        <w:t> </w:t>
      </w:r>
      <w:r>
        <w:rPr/>
        <w:t>considered, recognising the complexity of hoarding cases and ensuring areas of government that</w:t>
      </w:r>
      <w:r>
        <w:rPr>
          <w:spacing w:val="-52"/>
        </w:rPr>
        <w:t> </w:t>
      </w:r>
      <w:r>
        <w:rPr/>
        <w:t>already specialise in the issue are involved. This is achieved in collaboration with the individual</w:t>
      </w:r>
      <w:r>
        <w:rPr>
          <w:spacing w:val="1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amenity impact.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 w:right="201"/>
      </w:pPr>
      <w:r>
        <w:rPr/>
        <w:t>Where a regulatory approach is taken as a last resort, no offence provisions apply. The Code is not</w:t>
      </w:r>
      <w:r>
        <w:rPr>
          <w:spacing w:val="1"/>
        </w:rPr>
        <w:t> </w:t>
      </w:r>
      <w:r>
        <w:rPr/>
        <w:t>intended to criminalise hoarding; rather, the aim is to connect individuals with the right support and</w:t>
      </w:r>
      <w:r>
        <w:rPr>
          <w:spacing w:val="-52"/>
        </w:rPr>
        <w:t> </w:t>
      </w:r>
      <w:r>
        <w:rPr/>
        <w:t>cooperate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them</w:t>
      </w:r>
      <w:r>
        <w:rPr>
          <w:spacing w:val="1"/>
        </w:rPr>
        <w:t> </w:t>
      </w:r>
      <w:r>
        <w:rPr/>
        <w:t>over time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 lasting solutions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discrimination.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7"/>
      </w:pP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Litter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around</w:t>
      </w:r>
      <w:r>
        <w:rPr>
          <w:spacing w:val="-4"/>
        </w:rPr>
        <w:t> </w:t>
      </w:r>
      <w:r>
        <w:rPr/>
        <w:t>establishing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code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to</w:t>
      </w:r>
      <w:r>
        <w:rPr>
          <w:spacing w:val="-51"/>
        </w:rPr>
        <w:t> </w:t>
      </w:r>
      <w:r>
        <w:rPr/>
        <w:t>compliment similar provisions in the </w:t>
      </w:r>
      <w:r>
        <w:rPr>
          <w:i/>
        </w:rPr>
        <w:t>Public Health Act 1997. </w:t>
      </w:r>
      <w:r>
        <w:rPr/>
        <w:t>The Code reflects contemporary and</w:t>
      </w:r>
      <w:r>
        <w:rPr>
          <w:spacing w:val="1"/>
        </w:rPr>
        <w:t> </w:t>
      </w:r>
      <w:r>
        <w:rPr/>
        <w:t>best-practice methods around hoarding and commits to a review after three years so that it may be</w:t>
      </w:r>
      <w:r>
        <w:rPr>
          <w:spacing w:val="1"/>
        </w:rPr>
        <w:t> </w:t>
      </w:r>
      <w:r>
        <w:rPr/>
        <w:t>updated</w:t>
      </w:r>
      <w:r>
        <w:rPr>
          <w:spacing w:val="2"/>
        </w:rPr>
        <w:t> </w:t>
      </w:r>
      <w:r>
        <w:rPr/>
        <w:t>as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space</w:t>
      </w:r>
      <w:r>
        <w:rPr>
          <w:spacing w:val="-2"/>
        </w:rPr>
        <w:t> </w:t>
      </w:r>
      <w:r>
        <w:rPr/>
        <w:t>progresses.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570"/>
      </w:pPr>
      <w:r>
        <w:rPr/>
        <w:t>I thank the Committee for its consideration and trust the information provided responds to their</w:t>
      </w:r>
      <w:r>
        <w:rPr>
          <w:spacing w:val="-52"/>
        </w:rPr>
        <w:t> </w:t>
      </w:r>
      <w:r>
        <w:rPr/>
        <w:t>comments.</w:t>
      </w:r>
    </w:p>
    <w:p>
      <w:pPr>
        <w:pStyle w:val="BodyText"/>
      </w:pPr>
    </w:p>
    <w:p>
      <w:pPr>
        <w:pStyle w:val="BodyText"/>
        <w:ind w:left="100"/>
      </w:pPr>
      <w:r>
        <w:rPr/>
        <w:t>Yours</w:t>
      </w:r>
      <w:r>
        <w:rPr>
          <w:spacing w:val="-3"/>
        </w:rPr>
        <w:t> </w:t>
      </w:r>
      <w:r>
        <w:rPr/>
        <w:t>sincerely</w:t>
      </w:r>
    </w:p>
    <w:p>
      <w:pPr>
        <w:pStyle w:val="BodyText"/>
        <w:spacing w:before="3"/>
        <w:rPr>
          <w:sz w:val="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751308</wp:posOffset>
            </wp:positionH>
            <wp:positionV relativeFrom="paragraph">
              <wp:posOffset>40704</wp:posOffset>
            </wp:positionV>
            <wp:extent cx="1045663" cy="500062"/>
            <wp:effectExtent l="0" t="0" r="0" b="0"/>
            <wp:wrapTopAndBottom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663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"/>
        <w:ind w:left="100"/>
      </w:pPr>
      <w:r>
        <w:rPr/>
        <w:t>Chris</w:t>
      </w:r>
      <w:r>
        <w:rPr>
          <w:spacing w:val="-2"/>
        </w:rPr>
        <w:t> </w:t>
      </w:r>
      <w:r>
        <w:rPr/>
        <w:t>Steel</w:t>
      </w:r>
      <w:r>
        <w:rPr>
          <w:spacing w:val="-1"/>
        </w:rPr>
        <w:t> </w:t>
      </w:r>
      <w:r>
        <w:rPr/>
        <w:t>MLA</w:t>
      </w:r>
    </w:p>
    <w:p>
      <w:pPr>
        <w:pStyle w:val="BodyText"/>
        <w:ind w:left="100"/>
      </w:pPr>
      <w:r>
        <w:rPr/>
        <w:t>Minister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City</w:t>
      </w:r>
      <w:r>
        <w:rPr>
          <w:spacing w:val="-3"/>
        </w:rPr>
        <w:t> </w:t>
      </w:r>
      <w:r>
        <w:rPr/>
        <w:t>Services</w:t>
      </w:r>
    </w:p>
    <w:sectPr>
      <w:pgSz w:w="11910" w:h="16840"/>
      <w:pgMar w:top="52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crutiny@parliament.act.gov.au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mailto:steel@act.gov.au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2021-07-05T23:07:33Z</dcterms:created>
  <dcterms:modified xsi:type="dcterms:W3CDTF">2021-07-05T23:07:33Z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2021-07-05T00:00:00Z</vt:filetime>
  </property>
</Properties>
</file>