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7FE" w:rsidRPr="00104A8B" w:rsidRDefault="009517FE" w:rsidP="009517FE">
      <w:pPr>
        <w:spacing w:before="7560" w:after="240" w:line="259" w:lineRule="auto"/>
        <w:jc w:val="right"/>
        <w:rPr>
          <w:rFonts w:ascii="Arial Narrow" w:hAnsi="Arial Narrow"/>
          <w:sz w:val="42"/>
          <w:szCs w:val="42"/>
        </w:rPr>
      </w:pPr>
      <w:bookmarkStart w:id="0" w:name="_Toc500938167"/>
      <w:bookmarkStart w:id="1" w:name="_Toc500947015"/>
      <w:bookmarkStart w:id="2" w:name="_Toc501547024"/>
      <w:bookmarkStart w:id="3" w:name="_Toc501547379"/>
      <w:bookmarkStart w:id="4" w:name="_Toc505005664"/>
      <w:bookmarkStart w:id="5" w:name="_Toc505153755"/>
      <w:bookmarkStart w:id="6" w:name="_Toc508283423"/>
      <w:bookmarkStart w:id="7" w:name="_Toc510081779"/>
      <w:bookmarkStart w:id="8" w:name="_Toc511812216"/>
      <w:bookmarkStart w:id="9" w:name="_Toc512240154"/>
      <w:bookmarkStart w:id="10" w:name="_Toc513192151"/>
      <w:bookmarkStart w:id="11" w:name="_Toc514832413"/>
      <w:bookmarkStart w:id="12" w:name="_Toc514837957"/>
      <w:r w:rsidRPr="00104A8B">
        <w:rPr>
          <w:rFonts w:ascii="Arial Narrow" w:hAnsi="Arial Narrow"/>
          <w:sz w:val="42"/>
          <w:szCs w:val="42"/>
        </w:rPr>
        <w:t>Standing Committee on Justice and Community Safety (Legislative Scrutiny Role)</w:t>
      </w:r>
    </w:p>
    <w:p w:rsidR="000B0846" w:rsidRPr="00104A8B" w:rsidRDefault="000B0846" w:rsidP="001F1D6D">
      <w:pPr>
        <w:pStyle w:val="Heading1"/>
        <w:spacing w:before="2200"/>
      </w:pPr>
      <w:r w:rsidRPr="00104A8B">
        <w:t>S</w:t>
      </w:r>
      <w:r w:rsidR="00907785" w:rsidRPr="00104A8B">
        <w:t xml:space="preserve">crutiny Report </w:t>
      </w:r>
      <w:bookmarkEnd w:id="0"/>
      <w:bookmarkEnd w:id="1"/>
      <w:bookmarkEnd w:id="2"/>
      <w:bookmarkEnd w:id="3"/>
      <w:bookmarkEnd w:id="4"/>
      <w:bookmarkEnd w:id="5"/>
      <w:bookmarkEnd w:id="6"/>
      <w:bookmarkEnd w:id="7"/>
      <w:bookmarkEnd w:id="8"/>
      <w:bookmarkEnd w:id="9"/>
      <w:bookmarkEnd w:id="10"/>
      <w:bookmarkEnd w:id="11"/>
      <w:bookmarkEnd w:id="12"/>
      <w:r w:rsidR="005915CD">
        <w:t>3</w:t>
      </w:r>
      <w:r w:rsidR="00901791">
        <w:t>9</w:t>
      </w:r>
    </w:p>
    <w:p w:rsidR="00D4210F" w:rsidRPr="00104A8B" w:rsidRDefault="00901791" w:rsidP="00A014F1">
      <w:pPr>
        <w:spacing w:before="1800" w:after="240"/>
        <w:jc w:val="right"/>
        <w:rPr>
          <w:sz w:val="24"/>
          <w:szCs w:val="24"/>
        </w:rPr>
      </w:pPr>
      <w:r>
        <w:rPr>
          <w:sz w:val="24"/>
          <w:szCs w:val="24"/>
        </w:rPr>
        <w:t>17</w:t>
      </w:r>
      <w:r w:rsidR="00701E54">
        <w:rPr>
          <w:sz w:val="24"/>
          <w:szCs w:val="24"/>
        </w:rPr>
        <w:t xml:space="preserve"> February 2020</w:t>
      </w:r>
    </w:p>
    <w:p w:rsidR="00D4210F" w:rsidRPr="00104A8B" w:rsidRDefault="00D4210F" w:rsidP="00D4210F">
      <w:r w:rsidRPr="00104A8B">
        <w:br w:type="page"/>
      </w:r>
    </w:p>
    <w:p w:rsidR="000B0846" w:rsidRPr="00104A8B" w:rsidRDefault="000B0846" w:rsidP="000B0846">
      <w:pPr>
        <w:spacing w:before="1800" w:after="240"/>
        <w:jc w:val="right"/>
      </w:pPr>
    </w:p>
    <w:p w:rsidR="00AE4D51" w:rsidRPr="00104A8B" w:rsidRDefault="00AE4D51" w:rsidP="00AC094E">
      <w:pPr>
        <w:pStyle w:val="Heading2"/>
        <w:rPr>
          <w:rFonts w:asciiTheme="minorHAnsi" w:hAnsiTheme="minorHAnsi"/>
        </w:rPr>
        <w:sectPr w:rsidR="00AE4D51" w:rsidRPr="00104A8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bookmarkStart w:id="13" w:name="_Toc500938168"/>
      <w:bookmarkStart w:id="14" w:name="_Toc500947016"/>
    </w:p>
    <w:p w:rsidR="002A185D" w:rsidRPr="00104A8B" w:rsidRDefault="002A185D" w:rsidP="00AC094E">
      <w:pPr>
        <w:pStyle w:val="Heading2"/>
        <w:rPr>
          <w:rFonts w:asciiTheme="minorHAnsi" w:hAnsiTheme="minorHAnsi"/>
        </w:rPr>
      </w:pPr>
      <w:bookmarkStart w:id="15" w:name="_Toc502671580"/>
      <w:bookmarkStart w:id="16" w:name="_Toc502671759"/>
      <w:bookmarkStart w:id="17" w:name="_Toc502671864"/>
      <w:bookmarkStart w:id="18" w:name="_Toc502672797"/>
      <w:bookmarkStart w:id="19" w:name="_Toc514768035"/>
      <w:bookmarkStart w:id="20" w:name="_Toc514837958"/>
      <w:bookmarkStart w:id="21" w:name="_Toc518297244"/>
      <w:bookmarkStart w:id="22" w:name="_Toc519069302"/>
      <w:bookmarkStart w:id="23" w:name="_Toc519069363"/>
      <w:bookmarkStart w:id="24" w:name="_Toc519520730"/>
      <w:bookmarkStart w:id="25" w:name="_Toc520188709"/>
      <w:bookmarkStart w:id="26" w:name="_Toc521054226"/>
      <w:bookmarkStart w:id="27" w:name="_Toc521054313"/>
      <w:bookmarkStart w:id="28" w:name="_Toc521054385"/>
      <w:bookmarkStart w:id="29" w:name="_Toc523753608"/>
      <w:bookmarkStart w:id="30" w:name="_Toc523814157"/>
      <w:bookmarkStart w:id="31" w:name="_Toc523900448"/>
      <w:bookmarkStart w:id="32" w:name="_Toc526855809"/>
      <w:bookmarkStart w:id="33" w:name="_Toc528155835"/>
      <w:bookmarkStart w:id="34" w:name="_Toc528157194"/>
      <w:bookmarkStart w:id="35" w:name="_Toc528310847"/>
      <w:bookmarkStart w:id="36" w:name="_Toc529974526"/>
      <w:bookmarkStart w:id="37" w:name="_Toc530039421"/>
      <w:bookmarkStart w:id="38" w:name="_Toc536527669"/>
      <w:bookmarkStart w:id="39" w:name="_Toc536527832"/>
      <w:bookmarkStart w:id="40" w:name="_Toc536615370"/>
      <w:bookmarkStart w:id="41" w:name="_Toc172148"/>
      <w:bookmarkStart w:id="42" w:name="_Toc506073"/>
      <w:bookmarkStart w:id="43" w:name="_Toc945917"/>
      <w:bookmarkStart w:id="44" w:name="_Toc965807"/>
      <w:bookmarkStart w:id="45" w:name="_Toc2839571"/>
      <w:bookmarkStart w:id="46" w:name="_Toc2850231"/>
      <w:bookmarkStart w:id="47" w:name="_Toc3271208"/>
      <w:bookmarkStart w:id="48" w:name="_Toc4588269"/>
      <w:bookmarkStart w:id="49" w:name="_Toc4652915"/>
      <w:bookmarkStart w:id="50" w:name="_Toc5003657"/>
      <w:bookmarkStart w:id="51" w:name="_Toc6211030"/>
      <w:bookmarkStart w:id="52" w:name="_Toc9499988"/>
      <w:bookmarkStart w:id="53" w:name="_Toc14266110"/>
      <w:bookmarkStart w:id="54" w:name="_Toc14334599"/>
      <w:bookmarkStart w:id="55" w:name="_Toc14775949"/>
      <w:bookmarkStart w:id="56" w:name="_Toc15285027"/>
      <w:bookmarkStart w:id="57" w:name="_Toc15630647"/>
      <w:bookmarkStart w:id="58" w:name="_Toc18415319"/>
      <w:bookmarkStart w:id="59" w:name="_Toc18487687"/>
      <w:bookmarkStart w:id="60" w:name="_Toc19708390"/>
      <w:bookmarkStart w:id="61" w:name="_Toc20131679"/>
      <w:bookmarkStart w:id="62" w:name="_Toc21595437"/>
      <w:bookmarkStart w:id="63" w:name="_Toc22025438"/>
      <w:bookmarkStart w:id="64" w:name="_Toc24463701"/>
      <w:bookmarkStart w:id="65" w:name="_Toc24617698"/>
      <w:bookmarkStart w:id="66" w:name="_Toc25050770"/>
      <w:bookmarkStart w:id="67" w:name="_Toc31202134"/>
      <w:bookmarkStart w:id="68" w:name="_Toc31202255"/>
      <w:bookmarkStart w:id="69" w:name="_Toc32390195"/>
      <w:bookmarkStart w:id="70" w:name="_Toc32566836"/>
      <w:bookmarkStart w:id="71" w:name="_Toc500938169"/>
      <w:bookmarkStart w:id="72" w:name="_Toc500947017"/>
      <w:bookmarkStart w:id="73" w:name="_Toc501547026"/>
      <w:bookmarkStart w:id="74" w:name="_Toc501547381"/>
      <w:bookmarkStart w:id="75" w:name="_Toc505005665"/>
      <w:bookmarkStart w:id="76" w:name="_Toc505153756"/>
      <w:bookmarkStart w:id="77" w:name="_Toc508283424"/>
      <w:bookmarkStart w:id="78" w:name="_Toc510081780"/>
      <w:bookmarkStart w:id="79" w:name="_Toc511812217"/>
      <w:bookmarkStart w:id="80" w:name="_Toc512240155"/>
      <w:bookmarkStart w:id="81" w:name="_Toc513192152"/>
      <w:bookmarkStart w:id="82" w:name="_Toc514832414"/>
      <w:bookmarkEnd w:id="13"/>
      <w:bookmarkEnd w:id="14"/>
      <w:r w:rsidRPr="00104A8B">
        <w:rPr>
          <w:rFonts w:asciiTheme="minorHAnsi" w:hAnsiTheme="minorHAnsi"/>
        </w:rPr>
        <w:lastRenderedPageBreak/>
        <w:t>The Committee</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0B0846" w:rsidRPr="00104A8B" w:rsidRDefault="000B0846" w:rsidP="002A185D">
      <w:pPr>
        <w:pStyle w:val="Heading3"/>
        <w:rPr>
          <w:rFonts w:asciiTheme="minorHAnsi" w:hAnsiTheme="minorHAnsi"/>
        </w:rPr>
      </w:pPr>
      <w:bookmarkStart w:id="83" w:name="_Toc514837959"/>
      <w:bookmarkStart w:id="84" w:name="_Toc514943593"/>
      <w:bookmarkStart w:id="85" w:name="_Toc515352036"/>
      <w:bookmarkStart w:id="86" w:name="_Toc518297245"/>
      <w:bookmarkStart w:id="87" w:name="_Toc519069303"/>
      <w:bookmarkStart w:id="88" w:name="_Toc519069364"/>
      <w:bookmarkStart w:id="89" w:name="_Toc519520731"/>
      <w:bookmarkStart w:id="90" w:name="_Toc520188710"/>
      <w:bookmarkStart w:id="91" w:name="_Toc521054227"/>
      <w:bookmarkStart w:id="92" w:name="_Toc521054314"/>
      <w:bookmarkStart w:id="93" w:name="_Toc521054386"/>
      <w:bookmarkStart w:id="94" w:name="_Toc523753609"/>
      <w:bookmarkStart w:id="95" w:name="_Toc523814158"/>
      <w:bookmarkStart w:id="96" w:name="_Toc523900449"/>
      <w:bookmarkStart w:id="97" w:name="_Toc526855810"/>
      <w:bookmarkStart w:id="98" w:name="_Toc528155836"/>
      <w:bookmarkStart w:id="99" w:name="_Toc528157195"/>
      <w:bookmarkStart w:id="100" w:name="_Toc528310848"/>
      <w:bookmarkStart w:id="101" w:name="_Toc529974527"/>
      <w:bookmarkStart w:id="102" w:name="_Toc530039422"/>
      <w:bookmarkStart w:id="103" w:name="_Toc536527670"/>
      <w:bookmarkStart w:id="104" w:name="_Toc536527833"/>
      <w:bookmarkStart w:id="105" w:name="_Toc536615371"/>
      <w:bookmarkStart w:id="106" w:name="_Toc172149"/>
      <w:bookmarkStart w:id="107" w:name="_Toc506074"/>
      <w:bookmarkStart w:id="108" w:name="_Toc945918"/>
      <w:bookmarkStart w:id="109" w:name="_Toc965808"/>
      <w:bookmarkStart w:id="110" w:name="_Toc2839572"/>
      <w:bookmarkStart w:id="111" w:name="_Toc2850232"/>
      <w:bookmarkStart w:id="112" w:name="_Toc3271209"/>
      <w:bookmarkStart w:id="113" w:name="_Toc4588270"/>
      <w:bookmarkStart w:id="114" w:name="_Toc4652916"/>
      <w:bookmarkStart w:id="115" w:name="_Toc5003658"/>
      <w:bookmarkStart w:id="116" w:name="_Toc6211031"/>
      <w:bookmarkStart w:id="117" w:name="_Toc9499989"/>
      <w:bookmarkStart w:id="118" w:name="_Toc14266111"/>
      <w:bookmarkStart w:id="119" w:name="_Toc14334600"/>
      <w:bookmarkStart w:id="120" w:name="_Toc14775950"/>
      <w:bookmarkStart w:id="121" w:name="_Toc15285028"/>
      <w:bookmarkStart w:id="122" w:name="_Toc15630648"/>
      <w:bookmarkStart w:id="123" w:name="_Toc18415320"/>
      <w:bookmarkStart w:id="124" w:name="_Toc18487688"/>
      <w:bookmarkStart w:id="125" w:name="_Toc19708391"/>
      <w:bookmarkStart w:id="126" w:name="_Toc20131680"/>
      <w:bookmarkStart w:id="127" w:name="_Toc21595438"/>
      <w:bookmarkStart w:id="128" w:name="_Toc22025439"/>
      <w:bookmarkStart w:id="129" w:name="_Toc24463702"/>
      <w:bookmarkStart w:id="130" w:name="_Toc24617699"/>
      <w:bookmarkStart w:id="131" w:name="_Toc25050771"/>
      <w:bookmarkStart w:id="132" w:name="_Toc31202135"/>
      <w:bookmarkStart w:id="133" w:name="_Toc31202256"/>
      <w:bookmarkStart w:id="134" w:name="_Toc32390196"/>
      <w:bookmarkStart w:id="135" w:name="_Toc32566837"/>
      <w:r w:rsidRPr="00104A8B">
        <w:rPr>
          <w:rFonts w:asciiTheme="minorHAnsi" w:hAnsiTheme="minorHAnsi"/>
        </w:rPr>
        <w:t>C</w:t>
      </w:r>
      <w:r w:rsidR="00474136" w:rsidRPr="00104A8B">
        <w:rPr>
          <w:rFonts w:asciiTheme="minorHAnsi" w:hAnsiTheme="minorHAnsi"/>
        </w:rPr>
        <w:t>ommittee Membership</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rsidR="000B0846" w:rsidRPr="00104A8B" w:rsidRDefault="00941D2C" w:rsidP="009C4F5B">
      <w:pPr>
        <w:pStyle w:val="ListParagraph"/>
        <w:ind w:left="0"/>
      </w:pPr>
      <w:r w:rsidRPr="00104A8B">
        <w:t>Mrs Giulia Jones</w:t>
      </w:r>
      <w:r w:rsidR="00A919BD" w:rsidRPr="00104A8B">
        <w:t xml:space="preserve"> MLA </w:t>
      </w:r>
      <w:r w:rsidR="000B0846" w:rsidRPr="00104A8B">
        <w:t>(Chair)</w:t>
      </w:r>
    </w:p>
    <w:p w:rsidR="000B0846" w:rsidRPr="00104A8B" w:rsidRDefault="000B0846" w:rsidP="009C4F5B">
      <w:pPr>
        <w:pStyle w:val="ListParagraph"/>
        <w:ind w:left="0"/>
      </w:pPr>
      <w:r w:rsidRPr="00104A8B">
        <w:t>Ms Bec Cody MLA (Deputy Chair)</w:t>
      </w:r>
    </w:p>
    <w:p w:rsidR="000B0846" w:rsidRPr="00104A8B" w:rsidRDefault="003C4A44" w:rsidP="009C4F5B">
      <w:pPr>
        <w:pStyle w:val="ListParagraph"/>
        <w:spacing w:after="360"/>
        <w:ind w:left="0"/>
      </w:pPr>
      <w:r>
        <w:t>Mr Deepak-Raj Gupta ML</w:t>
      </w:r>
      <w:r w:rsidR="000B0846" w:rsidRPr="00104A8B">
        <w:t>A</w:t>
      </w:r>
    </w:p>
    <w:p w:rsidR="000B0846" w:rsidRPr="00104A8B" w:rsidRDefault="000B0846" w:rsidP="002A185D">
      <w:pPr>
        <w:pStyle w:val="Heading3"/>
        <w:rPr>
          <w:rFonts w:asciiTheme="minorHAnsi" w:hAnsiTheme="minorHAnsi"/>
        </w:rPr>
      </w:pPr>
      <w:bookmarkStart w:id="136" w:name="_Toc500938170"/>
      <w:bookmarkStart w:id="137" w:name="_Toc500947018"/>
      <w:bookmarkStart w:id="138" w:name="_Toc501547027"/>
      <w:bookmarkStart w:id="139" w:name="_Toc501547382"/>
      <w:bookmarkStart w:id="140" w:name="_Toc505005666"/>
      <w:bookmarkStart w:id="141" w:name="_Toc505153757"/>
      <w:bookmarkStart w:id="142" w:name="_Toc508283425"/>
      <w:bookmarkStart w:id="143" w:name="_Toc510081781"/>
      <w:bookmarkStart w:id="144" w:name="_Toc511812218"/>
      <w:bookmarkStart w:id="145" w:name="_Toc512240156"/>
      <w:bookmarkStart w:id="146" w:name="_Toc513192153"/>
      <w:bookmarkStart w:id="147" w:name="_Toc514832415"/>
      <w:bookmarkStart w:id="148" w:name="_Toc514837960"/>
      <w:bookmarkStart w:id="149" w:name="_Toc514943594"/>
      <w:bookmarkStart w:id="150" w:name="_Toc515352037"/>
      <w:bookmarkStart w:id="151" w:name="_Toc518297246"/>
      <w:bookmarkStart w:id="152" w:name="_Toc519069304"/>
      <w:bookmarkStart w:id="153" w:name="_Toc519069365"/>
      <w:bookmarkStart w:id="154" w:name="_Toc519520732"/>
      <w:bookmarkStart w:id="155" w:name="_Toc520188711"/>
      <w:bookmarkStart w:id="156" w:name="_Toc521054228"/>
      <w:bookmarkStart w:id="157" w:name="_Toc521054315"/>
      <w:bookmarkStart w:id="158" w:name="_Toc521054387"/>
      <w:bookmarkStart w:id="159" w:name="_Toc523753610"/>
      <w:bookmarkStart w:id="160" w:name="_Toc523814159"/>
      <w:bookmarkStart w:id="161" w:name="_Toc523900450"/>
      <w:bookmarkStart w:id="162" w:name="_Toc526855811"/>
      <w:bookmarkStart w:id="163" w:name="_Toc528155837"/>
      <w:bookmarkStart w:id="164" w:name="_Toc528157196"/>
      <w:bookmarkStart w:id="165" w:name="_Toc528310849"/>
      <w:bookmarkStart w:id="166" w:name="_Toc529974528"/>
      <w:bookmarkStart w:id="167" w:name="_Toc530039423"/>
      <w:bookmarkStart w:id="168" w:name="_Toc536527671"/>
      <w:bookmarkStart w:id="169" w:name="_Toc536527834"/>
      <w:bookmarkStart w:id="170" w:name="_Toc536615372"/>
      <w:bookmarkStart w:id="171" w:name="_Toc172150"/>
      <w:bookmarkStart w:id="172" w:name="_Toc506075"/>
      <w:bookmarkStart w:id="173" w:name="_Toc945919"/>
      <w:bookmarkStart w:id="174" w:name="_Toc965809"/>
      <w:bookmarkStart w:id="175" w:name="_Toc2839573"/>
      <w:bookmarkStart w:id="176" w:name="_Toc2850233"/>
      <w:bookmarkStart w:id="177" w:name="_Toc3271210"/>
      <w:bookmarkStart w:id="178" w:name="_Toc4588271"/>
      <w:bookmarkStart w:id="179" w:name="_Toc4652917"/>
      <w:bookmarkStart w:id="180" w:name="_Toc5003659"/>
      <w:bookmarkStart w:id="181" w:name="_Toc6211032"/>
      <w:bookmarkStart w:id="182" w:name="_Toc9499990"/>
      <w:bookmarkStart w:id="183" w:name="_Toc14266112"/>
      <w:bookmarkStart w:id="184" w:name="_Toc14334601"/>
      <w:bookmarkStart w:id="185" w:name="_Toc14775951"/>
      <w:bookmarkStart w:id="186" w:name="_Toc15285029"/>
      <w:bookmarkStart w:id="187" w:name="_Toc15630649"/>
      <w:bookmarkStart w:id="188" w:name="_Toc18415321"/>
      <w:bookmarkStart w:id="189" w:name="_Toc18487689"/>
      <w:bookmarkStart w:id="190" w:name="_Toc19708392"/>
      <w:bookmarkStart w:id="191" w:name="_Toc20131681"/>
      <w:bookmarkStart w:id="192" w:name="_Toc21595439"/>
      <w:bookmarkStart w:id="193" w:name="_Toc22025440"/>
      <w:bookmarkStart w:id="194" w:name="_Toc24463703"/>
      <w:bookmarkStart w:id="195" w:name="_Toc24617700"/>
      <w:bookmarkStart w:id="196" w:name="_Toc25050772"/>
      <w:bookmarkStart w:id="197" w:name="_Toc31202136"/>
      <w:bookmarkStart w:id="198" w:name="_Toc31202257"/>
      <w:bookmarkStart w:id="199" w:name="_Toc32390197"/>
      <w:bookmarkStart w:id="200" w:name="_Toc32566838"/>
      <w:r w:rsidRPr="00104A8B">
        <w:rPr>
          <w:rFonts w:asciiTheme="minorHAnsi" w:hAnsiTheme="minorHAnsi"/>
        </w:rPr>
        <w:t>S</w:t>
      </w:r>
      <w:bookmarkEnd w:id="136"/>
      <w:r w:rsidR="00474136" w:rsidRPr="00104A8B">
        <w:rPr>
          <w:rFonts w:asciiTheme="minorHAnsi" w:hAnsiTheme="minorHAnsi"/>
        </w:rPr>
        <w:t>ecretariat</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rsidR="005D7839" w:rsidRDefault="00AA0952" w:rsidP="009C4F5B">
      <w:pPr>
        <w:pStyle w:val="ListParagraph"/>
        <w:ind w:left="0"/>
      </w:pPr>
      <w:r>
        <w:t xml:space="preserve">Mr Andrew Snedden </w:t>
      </w:r>
      <w:r w:rsidR="005D7839">
        <w:t>(Secretary)</w:t>
      </w:r>
    </w:p>
    <w:p w:rsidR="000B0846" w:rsidRPr="00104A8B" w:rsidRDefault="00BA64E2" w:rsidP="009C4F5B">
      <w:pPr>
        <w:pStyle w:val="ListParagraph"/>
        <w:ind w:left="0"/>
      </w:pPr>
      <w:r>
        <w:t xml:space="preserve">Ms Anne Shannon </w:t>
      </w:r>
      <w:r w:rsidR="000B0846" w:rsidRPr="00104A8B">
        <w:t>(Assistant Secretary)</w:t>
      </w:r>
    </w:p>
    <w:p w:rsidR="000B0846" w:rsidRPr="00104A8B" w:rsidRDefault="000B0846" w:rsidP="009C4F5B">
      <w:pPr>
        <w:pStyle w:val="ListParagraph"/>
        <w:ind w:left="0"/>
      </w:pPr>
      <w:r w:rsidRPr="00104A8B">
        <w:t>Mr Stephen Argument (Legal Adviser—Subordinate Legislation)</w:t>
      </w:r>
    </w:p>
    <w:p w:rsidR="000B0846" w:rsidRDefault="000B0846" w:rsidP="009C4F5B">
      <w:pPr>
        <w:pStyle w:val="ListParagraph"/>
        <w:spacing w:after="360"/>
        <w:ind w:left="0"/>
      </w:pPr>
      <w:r w:rsidRPr="00104A8B">
        <w:t>Mr Daniel Stewart (Legal Adviser—Bills)</w:t>
      </w:r>
    </w:p>
    <w:p w:rsidR="000B0846" w:rsidRPr="00104A8B" w:rsidRDefault="000B0846" w:rsidP="002A185D">
      <w:pPr>
        <w:pStyle w:val="Heading3"/>
        <w:rPr>
          <w:rFonts w:asciiTheme="minorHAnsi" w:hAnsiTheme="minorHAnsi"/>
        </w:rPr>
      </w:pPr>
      <w:bookmarkStart w:id="201" w:name="_Toc500938171"/>
      <w:bookmarkStart w:id="202" w:name="_Toc500947019"/>
      <w:bookmarkStart w:id="203" w:name="_Toc501547028"/>
      <w:bookmarkStart w:id="204" w:name="_Toc501547383"/>
      <w:bookmarkStart w:id="205" w:name="_Toc505005667"/>
      <w:bookmarkStart w:id="206" w:name="_Toc505153758"/>
      <w:bookmarkStart w:id="207" w:name="_Toc508283426"/>
      <w:bookmarkStart w:id="208" w:name="_Toc510081782"/>
      <w:bookmarkStart w:id="209" w:name="_Toc511812219"/>
      <w:bookmarkStart w:id="210" w:name="_Toc512240157"/>
      <w:bookmarkStart w:id="211" w:name="_Toc513192154"/>
      <w:bookmarkStart w:id="212" w:name="_Toc514832416"/>
      <w:bookmarkStart w:id="213" w:name="_Toc514837961"/>
      <w:bookmarkStart w:id="214" w:name="_Toc514943595"/>
      <w:bookmarkStart w:id="215" w:name="_Toc515352038"/>
      <w:bookmarkStart w:id="216" w:name="_Toc518297247"/>
      <w:bookmarkStart w:id="217" w:name="_Toc519069305"/>
      <w:bookmarkStart w:id="218" w:name="_Toc519069366"/>
      <w:bookmarkStart w:id="219" w:name="_Toc519520733"/>
      <w:bookmarkStart w:id="220" w:name="_Toc520188712"/>
      <w:bookmarkStart w:id="221" w:name="_Toc521054229"/>
      <w:bookmarkStart w:id="222" w:name="_Toc521054316"/>
      <w:bookmarkStart w:id="223" w:name="_Toc521054388"/>
      <w:bookmarkStart w:id="224" w:name="_Toc523753611"/>
      <w:bookmarkStart w:id="225" w:name="_Toc523814160"/>
      <w:bookmarkStart w:id="226" w:name="_Toc523900451"/>
      <w:bookmarkStart w:id="227" w:name="_Toc526855812"/>
      <w:bookmarkStart w:id="228" w:name="_Toc528155838"/>
      <w:bookmarkStart w:id="229" w:name="_Toc528157197"/>
      <w:bookmarkStart w:id="230" w:name="_Toc528310850"/>
      <w:bookmarkStart w:id="231" w:name="_Toc529974529"/>
      <w:bookmarkStart w:id="232" w:name="_Toc530039424"/>
      <w:bookmarkStart w:id="233" w:name="_Toc536527672"/>
      <w:bookmarkStart w:id="234" w:name="_Toc536527835"/>
      <w:bookmarkStart w:id="235" w:name="_Toc536615373"/>
      <w:bookmarkStart w:id="236" w:name="_Toc172151"/>
      <w:bookmarkStart w:id="237" w:name="_Toc506076"/>
      <w:bookmarkStart w:id="238" w:name="_Toc945920"/>
      <w:bookmarkStart w:id="239" w:name="_Toc965810"/>
      <w:bookmarkStart w:id="240" w:name="_Toc2839574"/>
      <w:bookmarkStart w:id="241" w:name="_Toc2850234"/>
      <w:bookmarkStart w:id="242" w:name="_Toc3271211"/>
      <w:bookmarkStart w:id="243" w:name="_Toc4588272"/>
      <w:bookmarkStart w:id="244" w:name="_Toc4652918"/>
      <w:bookmarkStart w:id="245" w:name="_Toc5003660"/>
      <w:bookmarkStart w:id="246" w:name="_Toc6211033"/>
      <w:bookmarkStart w:id="247" w:name="_Toc9499991"/>
      <w:bookmarkStart w:id="248" w:name="_Toc14266113"/>
      <w:bookmarkStart w:id="249" w:name="_Toc14334602"/>
      <w:bookmarkStart w:id="250" w:name="_Toc14775952"/>
      <w:bookmarkStart w:id="251" w:name="_Toc15285030"/>
      <w:bookmarkStart w:id="252" w:name="_Toc15630650"/>
      <w:bookmarkStart w:id="253" w:name="_Toc18415322"/>
      <w:bookmarkStart w:id="254" w:name="_Toc18487690"/>
      <w:bookmarkStart w:id="255" w:name="_Toc19708393"/>
      <w:bookmarkStart w:id="256" w:name="_Toc20131682"/>
      <w:bookmarkStart w:id="257" w:name="_Toc21595440"/>
      <w:bookmarkStart w:id="258" w:name="_Toc22025441"/>
      <w:bookmarkStart w:id="259" w:name="_Toc24463704"/>
      <w:bookmarkStart w:id="260" w:name="_Toc24617701"/>
      <w:bookmarkStart w:id="261" w:name="_Toc25050773"/>
      <w:bookmarkStart w:id="262" w:name="_Toc31202137"/>
      <w:bookmarkStart w:id="263" w:name="_Toc31202258"/>
      <w:bookmarkStart w:id="264" w:name="_Toc32390198"/>
      <w:bookmarkStart w:id="265" w:name="_Toc32566839"/>
      <w:r w:rsidRPr="00104A8B">
        <w:rPr>
          <w:rFonts w:asciiTheme="minorHAnsi" w:hAnsiTheme="minorHAnsi"/>
        </w:rPr>
        <w:t>C</w:t>
      </w:r>
      <w:r w:rsidR="00474136" w:rsidRPr="00104A8B">
        <w:rPr>
          <w:rFonts w:asciiTheme="minorHAnsi" w:hAnsiTheme="minorHAnsi"/>
        </w:rPr>
        <w:t>ontact Information</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rsidR="000B0846" w:rsidRPr="00104A8B" w:rsidRDefault="000B0846" w:rsidP="009C4F5B">
      <w:pPr>
        <w:pStyle w:val="ListParagraph"/>
        <w:tabs>
          <w:tab w:val="left" w:pos="1260"/>
        </w:tabs>
        <w:ind w:left="0"/>
      </w:pPr>
      <w:r w:rsidRPr="00104A8B">
        <w:t>Telephone</w:t>
      </w:r>
      <w:r w:rsidRPr="00104A8B">
        <w:tab/>
        <w:t xml:space="preserve">02 6205 </w:t>
      </w:r>
      <w:r w:rsidR="00415478">
        <w:t>0199</w:t>
      </w:r>
    </w:p>
    <w:p w:rsidR="000B0846" w:rsidRPr="00104A8B" w:rsidRDefault="000B0846" w:rsidP="009C4F5B">
      <w:pPr>
        <w:pStyle w:val="ListParagraph"/>
        <w:tabs>
          <w:tab w:val="left" w:pos="1260"/>
        </w:tabs>
        <w:ind w:left="0"/>
      </w:pPr>
      <w:r w:rsidRPr="00104A8B">
        <w:t>Facsimile</w:t>
      </w:r>
      <w:r w:rsidRPr="00104A8B">
        <w:tab/>
        <w:t>02 6205 3109</w:t>
      </w:r>
    </w:p>
    <w:p w:rsidR="000B0846" w:rsidRPr="00104A8B" w:rsidRDefault="000B0846" w:rsidP="009C4F5B">
      <w:pPr>
        <w:pStyle w:val="ListParagraph"/>
        <w:tabs>
          <w:tab w:val="left" w:pos="1260"/>
        </w:tabs>
        <w:ind w:left="0"/>
      </w:pPr>
      <w:r w:rsidRPr="00104A8B">
        <w:t>Post</w:t>
      </w:r>
      <w:r w:rsidRPr="00104A8B">
        <w:tab/>
        <w:t>GPO Box 1020, CANBERRA ACT 2601</w:t>
      </w:r>
    </w:p>
    <w:p w:rsidR="000B0846" w:rsidRPr="00104A8B" w:rsidRDefault="000B0846" w:rsidP="009C4F5B">
      <w:pPr>
        <w:pStyle w:val="ListParagraph"/>
        <w:tabs>
          <w:tab w:val="left" w:pos="1260"/>
        </w:tabs>
        <w:ind w:left="0"/>
      </w:pPr>
      <w:r w:rsidRPr="00104A8B">
        <w:t>Email</w:t>
      </w:r>
      <w:r w:rsidRPr="00104A8B">
        <w:tab/>
        <w:t>scrutiny@parliament.act.gov.au</w:t>
      </w:r>
    </w:p>
    <w:p w:rsidR="000B0846" w:rsidRPr="00104A8B" w:rsidRDefault="000B0846" w:rsidP="009C4F5B">
      <w:pPr>
        <w:pStyle w:val="ListParagraph"/>
        <w:tabs>
          <w:tab w:val="left" w:pos="1260"/>
        </w:tabs>
        <w:spacing w:after="360"/>
        <w:ind w:left="0"/>
      </w:pPr>
      <w:r w:rsidRPr="00104A8B">
        <w:t>Website</w:t>
      </w:r>
      <w:r w:rsidRPr="00104A8B">
        <w:tab/>
        <w:t>www.parliament.act.gov.au</w:t>
      </w:r>
    </w:p>
    <w:p w:rsidR="000B0846" w:rsidRPr="00104A8B" w:rsidRDefault="000B0846" w:rsidP="002A185D">
      <w:pPr>
        <w:pStyle w:val="Heading3"/>
        <w:rPr>
          <w:rFonts w:asciiTheme="minorHAnsi" w:hAnsiTheme="minorHAnsi"/>
        </w:rPr>
      </w:pPr>
      <w:bookmarkStart w:id="266" w:name="_Toc500938172"/>
      <w:bookmarkStart w:id="267" w:name="_Toc500947020"/>
      <w:bookmarkStart w:id="268" w:name="_Toc501547029"/>
      <w:bookmarkStart w:id="269" w:name="_Toc501547384"/>
      <w:bookmarkStart w:id="270" w:name="_Toc505005668"/>
      <w:bookmarkStart w:id="271" w:name="_Toc505153759"/>
      <w:bookmarkStart w:id="272" w:name="_Toc508283427"/>
      <w:bookmarkStart w:id="273" w:name="_Toc510081783"/>
      <w:bookmarkStart w:id="274" w:name="_Toc511812220"/>
      <w:bookmarkStart w:id="275" w:name="_Toc512240158"/>
      <w:bookmarkStart w:id="276" w:name="_Toc513192155"/>
      <w:bookmarkStart w:id="277" w:name="_Toc514832417"/>
      <w:bookmarkStart w:id="278" w:name="_Toc514837962"/>
      <w:bookmarkStart w:id="279" w:name="_Toc514943596"/>
      <w:bookmarkStart w:id="280" w:name="_Toc515352039"/>
      <w:bookmarkStart w:id="281" w:name="_Toc518297248"/>
      <w:bookmarkStart w:id="282" w:name="_Toc519069306"/>
      <w:bookmarkStart w:id="283" w:name="_Toc519069367"/>
      <w:bookmarkStart w:id="284" w:name="_Toc519520734"/>
      <w:bookmarkStart w:id="285" w:name="_Toc520188713"/>
      <w:bookmarkStart w:id="286" w:name="_Toc521054230"/>
      <w:bookmarkStart w:id="287" w:name="_Toc521054317"/>
      <w:bookmarkStart w:id="288" w:name="_Toc521054389"/>
      <w:bookmarkStart w:id="289" w:name="_Toc523753612"/>
      <w:bookmarkStart w:id="290" w:name="_Toc523814161"/>
      <w:bookmarkStart w:id="291" w:name="_Toc523900452"/>
      <w:bookmarkStart w:id="292" w:name="_Toc526855813"/>
      <w:bookmarkStart w:id="293" w:name="_Toc528155839"/>
      <w:bookmarkStart w:id="294" w:name="_Toc528157198"/>
      <w:bookmarkStart w:id="295" w:name="_Toc528310851"/>
      <w:bookmarkStart w:id="296" w:name="_Toc529974530"/>
      <w:bookmarkStart w:id="297" w:name="_Toc530039425"/>
      <w:bookmarkStart w:id="298" w:name="_Toc536527673"/>
      <w:bookmarkStart w:id="299" w:name="_Toc536527836"/>
      <w:bookmarkStart w:id="300" w:name="_Toc536615374"/>
      <w:bookmarkStart w:id="301" w:name="_Toc172152"/>
      <w:bookmarkStart w:id="302" w:name="_Toc506077"/>
      <w:bookmarkStart w:id="303" w:name="_Toc945921"/>
      <w:bookmarkStart w:id="304" w:name="_Toc965811"/>
      <w:bookmarkStart w:id="305" w:name="_Toc2839575"/>
      <w:bookmarkStart w:id="306" w:name="_Toc2850235"/>
      <w:bookmarkStart w:id="307" w:name="_Toc3271212"/>
      <w:bookmarkStart w:id="308" w:name="_Toc4588273"/>
      <w:bookmarkStart w:id="309" w:name="_Toc4652919"/>
      <w:bookmarkStart w:id="310" w:name="_Toc5003661"/>
      <w:bookmarkStart w:id="311" w:name="_Toc6211034"/>
      <w:bookmarkStart w:id="312" w:name="_Toc9499992"/>
      <w:bookmarkStart w:id="313" w:name="_Toc14266114"/>
      <w:bookmarkStart w:id="314" w:name="_Toc14334603"/>
      <w:bookmarkStart w:id="315" w:name="_Toc14775953"/>
      <w:bookmarkStart w:id="316" w:name="_Toc15285031"/>
      <w:bookmarkStart w:id="317" w:name="_Toc15630651"/>
      <w:bookmarkStart w:id="318" w:name="_Toc18415323"/>
      <w:bookmarkStart w:id="319" w:name="_Toc18487691"/>
      <w:bookmarkStart w:id="320" w:name="_Toc19708394"/>
      <w:bookmarkStart w:id="321" w:name="_Toc20131683"/>
      <w:bookmarkStart w:id="322" w:name="_Toc21595441"/>
      <w:bookmarkStart w:id="323" w:name="_Toc22025442"/>
      <w:bookmarkStart w:id="324" w:name="_Toc24463705"/>
      <w:bookmarkStart w:id="325" w:name="_Toc24617702"/>
      <w:bookmarkStart w:id="326" w:name="_Toc25050774"/>
      <w:bookmarkStart w:id="327" w:name="_Toc31202138"/>
      <w:bookmarkStart w:id="328" w:name="_Toc31202259"/>
      <w:bookmarkStart w:id="329" w:name="_Toc32390199"/>
      <w:bookmarkStart w:id="330" w:name="_Toc32566840"/>
      <w:r w:rsidRPr="00104A8B">
        <w:rPr>
          <w:rFonts w:asciiTheme="minorHAnsi" w:hAnsiTheme="minorHAnsi"/>
        </w:rPr>
        <w:t>R</w:t>
      </w:r>
      <w:r w:rsidR="00474136" w:rsidRPr="00104A8B">
        <w:rPr>
          <w:rFonts w:asciiTheme="minorHAnsi" w:hAnsiTheme="minorHAnsi"/>
        </w:rPr>
        <w:t>ole of Committee</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rsidR="000B0846" w:rsidRPr="00104A8B" w:rsidRDefault="000B0846" w:rsidP="000B0846">
      <w:r w:rsidRPr="00104A8B">
        <w:t>The Committee examines all Bills and subordinate legislation presented to the Assembly. It does not make any comments on the policy aspects of the legislation. The Committee’s terms of reference contain principles of scrutiny that enable it to operate in the best traditions of totally non-partisan, non-political technical scrutiny of legislation. These traditions have been adopted, without exception, by all scrutiny committees in Australia. Non-partisan, non-policy scrutiny allows the Committee to help the Assembly pass into law Acts and subordinate legislation which comply with the ideals set out in its terms of reference.</w:t>
      </w:r>
    </w:p>
    <w:p w:rsidR="00045F75" w:rsidRPr="00104A8B" w:rsidRDefault="00652A64" w:rsidP="00AC094E">
      <w:pPr>
        <w:pStyle w:val="Heading2"/>
        <w:rPr>
          <w:rFonts w:asciiTheme="minorHAnsi" w:hAnsiTheme="minorHAnsi"/>
        </w:rPr>
      </w:pPr>
      <w:r w:rsidRPr="00104A8B">
        <w:rPr>
          <w:rFonts w:asciiTheme="minorHAnsi" w:hAnsiTheme="minorHAnsi"/>
        </w:rPr>
        <w:br w:type="page"/>
      </w:r>
      <w:bookmarkStart w:id="331" w:name="_Toc500938173"/>
      <w:bookmarkStart w:id="332" w:name="_Toc500947021"/>
      <w:bookmarkStart w:id="333" w:name="_Toc501547030"/>
      <w:bookmarkStart w:id="334" w:name="_Toc501547385"/>
      <w:bookmarkStart w:id="335" w:name="_Toc505005669"/>
      <w:bookmarkStart w:id="336" w:name="_Toc505153760"/>
      <w:bookmarkStart w:id="337" w:name="_Toc508283428"/>
      <w:bookmarkStart w:id="338" w:name="_Toc510081784"/>
      <w:bookmarkStart w:id="339" w:name="_Toc511812221"/>
      <w:bookmarkStart w:id="340" w:name="_Toc512240159"/>
      <w:bookmarkStart w:id="341" w:name="_Toc513192156"/>
      <w:bookmarkStart w:id="342" w:name="_Toc514832418"/>
      <w:bookmarkStart w:id="343" w:name="_Toc514837963"/>
      <w:bookmarkStart w:id="344" w:name="_Toc518297249"/>
      <w:bookmarkStart w:id="345" w:name="_Toc519069307"/>
      <w:bookmarkStart w:id="346" w:name="_Toc519069368"/>
      <w:bookmarkStart w:id="347" w:name="_Toc519520735"/>
      <w:bookmarkStart w:id="348" w:name="_Toc520188714"/>
      <w:bookmarkStart w:id="349" w:name="_Toc521054231"/>
      <w:bookmarkStart w:id="350" w:name="_Toc521054318"/>
      <w:bookmarkStart w:id="351" w:name="_Toc521054390"/>
      <w:bookmarkStart w:id="352" w:name="_Toc523753613"/>
      <w:bookmarkStart w:id="353" w:name="_Toc523814162"/>
      <w:bookmarkStart w:id="354" w:name="_Toc523900453"/>
      <w:bookmarkStart w:id="355" w:name="_Toc526855814"/>
      <w:bookmarkStart w:id="356" w:name="_Toc528155840"/>
      <w:bookmarkStart w:id="357" w:name="_Toc528157199"/>
      <w:bookmarkStart w:id="358" w:name="_Toc528310852"/>
      <w:bookmarkStart w:id="359" w:name="_Toc529974531"/>
      <w:bookmarkStart w:id="360" w:name="_Toc530039426"/>
      <w:bookmarkStart w:id="361" w:name="_Toc536527674"/>
      <w:bookmarkStart w:id="362" w:name="_Toc536527837"/>
      <w:bookmarkStart w:id="363" w:name="_Toc536615375"/>
      <w:bookmarkStart w:id="364" w:name="_Toc172153"/>
      <w:bookmarkStart w:id="365" w:name="_Toc506078"/>
      <w:bookmarkStart w:id="366" w:name="_Toc945922"/>
      <w:bookmarkStart w:id="367" w:name="_Toc965812"/>
      <w:bookmarkStart w:id="368" w:name="_Toc2839576"/>
      <w:bookmarkStart w:id="369" w:name="_Toc2850236"/>
      <w:bookmarkStart w:id="370" w:name="_Toc3271213"/>
      <w:bookmarkStart w:id="371" w:name="_Toc4588274"/>
      <w:bookmarkStart w:id="372" w:name="_Toc4652920"/>
      <w:bookmarkStart w:id="373" w:name="_Toc5003662"/>
      <w:bookmarkStart w:id="374" w:name="_Toc6211035"/>
      <w:bookmarkStart w:id="375" w:name="_Toc9499993"/>
      <w:bookmarkStart w:id="376" w:name="_Toc14266115"/>
      <w:bookmarkStart w:id="377" w:name="_Toc14334604"/>
      <w:bookmarkStart w:id="378" w:name="_Toc14775954"/>
      <w:bookmarkStart w:id="379" w:name="_Toc15285032"/>
      <w:bookmarkStart w:id="380" w:name="_Toc15630652"/>
      <w:bookmarkStart w:id="381" w:name="_Toc18415324"/>
      <w:bookmarkStart w:id="382" w:name="_Toc18487692"/>
      <w:bookmarkStart w:id="383" w:name="_Toc19708395"/>
      <w:bookmarkStart w:id="384" w:name="_Toc20131684"/>
      <w:bookmarkStart w:id="385" w:name="_Toc21595442"/>
      <w:bookmarkStart w:id="386" w:name="_Toc22025443"/>
      <w:bookmarkStart w:id="387" w:name="_Toc24463706"/>
      <w:bookmarkStart w:id="388" w:name="_Toc24617703"/>
      <w:bookmarkStart w:id="389" w:name="_Toc25050775"/>
      <w:bookmarkStart w:id="390" w:name="_Toc31202139"/>
      <w:bookmarkStart w:id="391" w:name="_Toc31202260"/>
      <w:bookmarkStart w:id="392" w:name="_Toc32390200"/>
      <w:bookmarkStart w:id="393" w:name="_Toc32566841"/>
      <w:r w:rsidR="00045F75" w:rsidRPr="00104A8B">
        <w:rPr>
          <w:rFonts w:asciiTheme="minorHAnsi" w:hAnsiTheme="minorHAnsi"/>
        </w:rPr>
        <w:lastRenderedPageBreak/>
        <w:t>Resolution of Appointment</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rsidR="00045F75" w:rsidRPr="00104A8B" w:rsidRDefault="00045F75" w:rsidP="00045F75">
      <w:r w:rsidRPr="00104A8B">
        <w:t>The Standing Committee on Justice and Community Safety when performing its legislative scrutiny role shall:</w:t>
      </w:r>
    </w:p>
    <w:p w:rsidR="00045F75" w:rsidRPr="00104A8B" w:rsidRDefault="00045F75" w:rsidP="00034823">
      <w:pPr>
        <w:pStyle w:val="ListParagraph"/>
        <w:numPr>
          <w:ilvl w:val="0"/>
          <w:numId w:val="11"/>
        </w:numPr>
        <w:tabs>
          <w:tab w:val="left" w:pos="540"/>
        </w:tabs>
        <w:ind w:left="540" w:hanging="537"/>
        <w:contextualSpacing w:val="0"/>
      </w:pPr>
      <w:r w:rsidRPr="00104A8B">
        <w:t>consider whether any instrument of a legislative nature made under an Act which is subject to disallowance and/or disapproval by the Assembly (including a regulation, rule or by-law):</w:t>
      </w:r>
    </w:p>
    <w:p w:rsidR="00045F75" w:rsidRPr="00104A8B" w:rsidRDefault="00045F75" w:rsidP="00034823">
      <w:pPr>
        <w:pStyle w:val="ListParagraph"/>
        <w:numPr>
          <w:ilvl w:val="1"/>
          <w:numId w:val="11"/>
        </w:numPr>
        <w:ind w:left="1080" w:hanging="540"/>
        <w:contextualSpacing w:val="0"/>
      </w:pPr>
      <w:r w:rsidRPr="00104A8B">
        <w:t xml:space="preserve">is in accord with the general objects of the Act under which it is made; </w:t>
      </w:r>
    </w:p>
    <w:p w:rsidR="00045F75" w:rsidRPr="00104A8B" w:rsidRDefault="00045F75" w:rsidP="00034823">
      <w:pPr>
        <w:pStyle w:val="ListParagraph"/>
        <w:numPr>
          <w:ilvl w:val="1"/>
          <w:numId w:val="11"/>
        </w:numPr>
        <w:ind w:left="1080" w:hanging="540"/>
        <w:contextualSpacing w:val="0"/>
      </w:pPr>
      <w:r w:rsidRPr="00104A8B">
        <w:t xml:space="preserve">unduly trespasses on rights previously established by law; </w:t>
      </w:r>
    </w:p>
    <w:p w:rsidR="00045F75" w:rsidRPr="00104A8B" w:rsidRDefault="00045F75" w:rsidP="00034823">
      <w:pPr>
        <w:pStyle w:val="ListParagraph"/>
        <w:numPr>
          <w:ilvl w:val="1"/>
          <w:numId w:val="11"/>
        </w:numPr>
        <w:ind w:left="1080" w:hanging="540"/>
        <w:contextualSpacing w:val="0"/>
      </w:pPr>
      <w:r w:rsidRPr="00104A8B">
        <w:t>makes rights, liberties and/or obligations unduly dependent upon non reviewable decisions; or</w:t>
      </w:r>
    </w:p>
    <w:p w:rsidR="00045F75" w:rsidRPr="00104A8B" w:rsidRDefault="00045F75" w:rsidP="00034823">
      <w:pPr>
        <w:pStyle w:val="ListParagraph"/>
        <w:numPr>
          <w:ilvl w:val="1"/>
          <w:numId w:val="11"/>
        </w:numPr>
        <w:ind w:left="1080" w:hanging="540"/>
        <w:contextualSpacing w:val="0"/>
      </w:pPr>
      <w:r w:rsidRPr="00104A8B">
        <w:t xml:space="preserve">contains matter which in the opinion of the Committee should properly be dealt with in an Act of the Legislative Assembly; </w:t>
      </w:r>
    </w:p>
    <w:p w:rsidR="00045F75" w:rsidRPr="00104A8B" w:rsidRDefault="00045F75" w:rsidP="00034823">
      <w:pPr>
        <w:pStyle w:val="ListParagraph"/>
        <w:numPr>
          <w:ilvl w:val="0"/>
          <w:numId w:val="11"/>
        </w:numPr>
        <w:ind w:left="540" w:hanging="537"/>
        <w:contextualSpacing w:val="0"/>
      </w:pPr>
      <w:r w:rsidRPr="00104A8B">
        <w:t>consider whether any explanatory statement or explanatory memorandum associated with legislation and any regulatory impact statement meets the technical or stylistic standards expected by the Committee;</w:t>
      </w:r>
    </w:p>
    <w:p w:rsidR="00045F75" w:rsidRPr="00104A8B" w:rsidRDefault="00045F75" w:rsidP="00034823">
      <w:pPr>
        <w:pStyle w:val="ListParagraph"/>
        <w:numPr>
          <w:ilvl w:val="0"/>
          <w:numId w:val="11"/>
        </w:numPr>
        <w:ind w:left="540" w:hanging="537"/>
        <w:contextualSpacing w:val="0"/>
      </w:pPr>
      <w:r w:rsidRPr="00104A8B">
        <w:t xml:space="preserve">consider whether the clauses of bills (and amendments proposed by the Government to its own bills) introduced into the Assembly: </w:t>
      </w:r>
    </w:p>
    <w:p w:rsidR="00045F75" w:rsidRPr="00104A8B" w:rsidRDefault="00045F75" w:rsidP="00034823">
      <w:pPr>
        <w:pStyle w:val="ListParagraph"/>
        <w:numPr>
          <w:ilvl w:val="1"/>
          <w:numId w:val="11"/>
        </w:numPr>
        <w:ind w:left="1080" w:hanging="540"/>
        <w:contextualSpacing w:val="0"/>
      </w:pPr>
      <w:r w:rsidRPr="00104A8B">
        <w:t xml:space="preserve">unduly trespass on personal rights and liberties; </w:t>
      </w:r>
    </w:p>
    <w:p w:rsidR="00045F75" w:rsidRPr="00104A8B" w:rsidRDefault="00045F75" w:rsidP="00034823">
      <w:pPr>
        <w:pStyle w:val="ListParagraph"/>
        <w:numPr>
          <w:ilvl w:val="1"/>
          <w:numId w:val="11"/>
        </w:numPr>
        <w:ind w:left="1080" w:hanging="540"/>
        <w:contextualSpacing w:val="0"/>
      </w:pPr>
      <w:r w:rsidRPr="00104A8B">
        <w:t xml:space="preserve">make rights, liberties and/or obligations unduly dependent upon insufficiently defined administrative powers; </w:t>
      </w:r>
    </w:p>
    <w:p w:rsidR="00045F75" w:rsidRPr="00104A8B" w:rsidRDefault="00045F75" w:rsidP="00034823">
      <w:pPr>
        <w:pStyle w:val="ListParagraph"/>
        <w:numPr>
          <w:ilvl w:val="1"/>
          <w:numId w:val="11"/>
        </w:numPr>
        <w:ind w:left="1080" w:hanging="540"/>
        <w:contextualSpacing w:val="0"/>
      </w:pPr>
      <w:r w:rsidRPr="00104A8B">
        <w:t xml:space="preserve">make rights, liberties and/or obligations unduly dependent upon non-reviewable decisions; </w:t>
      </w:r>
    </w:p>
    <w:p w:rsidR="00045F75" w:rsidRPr="00104A8B" w:rsidRDefault="00045F75" w:rsidP="00034823">
      <w:pPr>
        <w:pStyle w:val="ListParagraph"/>
        <w:numPr>
          <w:ilvl w:val="1"/>
          <w:numId w:val="11"/>
        </w:numPr>
        <w:ind w:left="1080" w:hanging="540"/>
        <w:contextualSpacing w:val="0"/>
      </w:pPr>
      <w:r w:rsidRPr="00104A8B">
        <w:t>inappropriately delegate legislative powers;  or</w:t>
      </w:r>
    </w:p>
    <w:p w:rsidR="00045F75" w:rsidRPr="00104A8B" w:rsidRDefault="00045F75" w:rsidP="00034823">
      <w:pPr>
        <w:pStyle w:val="ListParagraph"/>
        <w:numPr>
          <w:ilvl w:val="1"/>
          <w:numId w:val="11"/>
        </w:numPr>
        <w:ind w:left="1080" w:hanging="540"/>
        <w:contextualSpacing w:val="0"/>
      </w:pPr>
      <w:r w:rsidRPr="00104A8B">
        <w:t xml:space="preserve">insufficiently subject the exercise of legislative power to parliamentary scrutiny; </w:t>
      </w:r>
    </w:p>
    <w:p w:rsidR="00045F75" w:rsidRPr="00104A8B" w:rsidRDefault="00045F75" w:rsidP="00034823">
      <w:pPr>
        <w:pStyle w:val="ListParagraph"/>
        <w:numPr>
          <w:ilvl w:val="0"/>
          <w:numId w:val="11"/>
        </w:numPr>
        <w:ind w:left="540" w:hanging="537"/>
        <w:contextualSpacing w:val="0"/>
      </w:pPr>
      <w:r w:rsidRPr="00104A8B">
        <w:t xml:space="preserve">report to the Legislative Assembly about human rights issues raised by bills presented to the Assembly pursuant to section 38 of the </w:t>
      </w:r>
      <w:r w:rsidRPr="00104A8B">
        <w:rPr>
          <w:i/>
        </w:rPr>
        <w:t>Human Rights Act 2004</w:t>
      </w:r>
      <w:r w:rsidRPr="00104A8B">
        <w:t>; and</w:t>
      </w:r>
    </w:p>
    <w:p w:rsidR="00045F75" w:rsidRPr="00104A8B" w:rsidRDefault="00045F75" w:rsidP="00034823">
      <w:pPr>
        <w:pStyle w:val="ListParagraph"/>
        <w:numPr>
          <w:ilvl w:val="0"/>
          <w:numId w:val="11"/>
        </w:numPr>
        <w:ind w:left="540" w:hanging="537"/>
        <w:contextualSpacing w:val="0"/>
      </w:pPr>
      <w:r w:rsidRPr="00104A8B">
        <w:t>report to the Assembly on these or any related matter and if the Assembly is not sitting when the Committee is ready to report on bills and subordinate legislation, the Committee may send its report to the Speaker, or, in the absence of the Speaker, to the Deputy Speaker, who is authorised to give directions for its printing, publication and circulation.</w:t>
      </w:r>
    </w:p>
    <w:p w:rsidR="00126D9A" w:rsidRPr="00104A8B" w:rsidRDefault="00126D9A">
      <w:r w:rsidRPr="00104A8B">
        <w:br w:type="page"/>
      </w:r>
    </w:p>
    <w:p w:rsidR="00D3073F" w:rsidRDefault="00D447D3" w:rsidP="00EB384D">
      <w:pPr>
        <w:pStyle w:val="TOCHeading"/>
        <w:keepNext w:val="0"/>
        <w:keepLines w:val="0"/>
        <w:spacing w:before="120" w:after="360" w:line="500" w:lineRule="exact"/>
        <w:outlineLvl w:val="1"/>
        <w:rPr>
          <w:noProof/>
        </w:rPr>
      </w:pPr>
      <w:bookmarkStart w:id="394" w:name="_Toc514837964"/>
      <w:r w:rsidRPr="00104A8B">
        <w:rPr>
          <w:rFonts w:asciiTheme="minorHAnsi" w:eastAsia="Times New Roman" w:hAnsiTheme="minorHAnsi" w:cs="Times New Roman"/>
          <w:smallCaps/>
          <w:spacing w:val="20"/>
          <w:kern w:val="42"/>
          <w:sz w:val="44"/>
          <w:szCs w:val="44"/>
        </w:rPr>
        <w:lastRenderedPageBreak/>
        <w:t>Table of Contents</w:t>
      </w:r>
      <w:bookmarkEnd w:id="394"/>
      <w:r w:rsidR="00CD5AD5" w:rsidRPr="00104A8B">
        <w:rPr>
          <w:rFonts w:asciiTheme="minorHAnsi" w:hAnsiTheme="minorHAnsi"/>
        </w:rPr>
        <w:fldChar w:fldCharType="begin"/>
      </w:r>
      <w:r w:rsidR="00562E8A" w:rsidRPr="00104A8B">
        <w:rPr>
          <w:rFonts w:asciiTheme="minorHAnsi" w:hAnsiTheme="minorHAnsi"/>
        </w:rPr>
        <w:instrText xml:space="preserve"> TOC \h \z \u \t "Heading 2,1,Heading 3,2,Heading 4,3" </w:instrText>
      </w:r>
      <w:r w:rsidR="00CD5AD5" w:rsidRPr="00104A8B">
        <w:rPr>
          <w:rFonts w:asciiTheme="minorHAnsi" w:hAnsiTheme="minorHAnsi"/>
        </w:rPr>
        <w:fldChar w:fldCharType="separate"/>
      </w:r>
    </w:p>
    <w:p w:rsidR="00D3073F" w:rsidRDefault="005433B1">
      <w:pPr>
        <w:pStyle w:val="TOC1"/>
        <w:rPr>
          <w:rFonts w:asciiTheme="minorHAnsi" w:eastAsiaTheme="minorEastAsia" w:hAnsiTheme="minorHAnsi" w:cstheme="minorBidi"/>
          <w:b w:val="0"/>
          <w:bCs w:val="0"/>
          <w:smallCaps w:val="0"/>
          <w:noProof/>
          <w:spacing w:val="0"/>
          <w:sz w:val="22"/>
          <w:szCs w:val="22"/>
          <w:lang w:eastAsia="en-AU"/>
        </w:rPr>
      </w:pPr>
      <w:hyperlink w:anchor="_Toc32566842" w:history="1">
        <w:r w:rsidR="00D3073F" w:rsidRPr="00DC7062">
          <w:rPr>
            <w:rStyle w:val="Hyperlink"/>
            <w:rFonts w:eastAsia="Calibri"/>
            <w:noProof/>
            <w:lang w:eastAsia="en-AU"/>
          </w:rPr>
          <w:t>Bills</w:t>
        </w:r>
        <w:r w:rsidR="00D3073F">
          <w:rPr>
            <w:noProof/>
            <w:webHidden/>
          </w:rPr>
          <w:tab/>
        </w:r>
        <w:r w:rsidR="00D3073F">
          <w:rPr>
            <w:noProof/>
            <w:webHidden/>
          </w:rPr>
          <w:fldChar w:fldCharType="begin"/>
        </w:r>
        <w:r w:rsidR="00D3073F">
          <w:rPr>
            <w:noProof/>
            <w:webHidden/>
          </w:rPr>
          <w:instrText xml:space="preserve"> PAGEREF _Toc32566842 \h </w:instrText>
        </w:r>
        <w:r w:rsidR="00D3073F">
          <w:rPr>
            <w:noProof/>
            <w:webHidden/>
          </w:rPr>
        </w:r>
        <w:r w:rsidR="00D3073F">
          <w:rPr>
            <w:noProof/>
            <w:webHidden/>
          </w:rPr>
          <w:fldChar w:fldCharType="separate"/>
        </w:r>
        <w:r w:rsidR="00E77FC9">
          <w:rPr>
            <w:noProof/>
            <w:webHidden/>
          </w:rPr>
          <w:t>1</w:t>
        </w:r>
        <w:r w:rsidR="00D3073F">
          <w:rPr>
            <w:noProof/>
            <w:webHidden/>
          </w:rPr>
          <w:fldChar w:fldCharType="end"/>
        </w:r>
      </w:hyperlink>
    </w:p>
    <w:p w:rsidR="00D3073F" w:rsidRDefault="005433B1">
      <w:pPr>
        <w:pStyle w:val="TOC2"/>
        <w:rPr>
          <w:rFonts w:asciiTheme="minorHAnsi" w:eastAsiaTheme="minorEastAsia" w:hAnsiTheme="minorHAnsi" w:cstheme="minorBidi"/>
          <w:b w:val="0"/>
          <w:noProof/>
          <w:sz w:val="22"/>
          <w:szCs w:val="22"/>
          <w:lang w:eastAsia="en-AU"/>
        </w:rPr>
      </w:pPr>
      <w:hyperlink w:anchor="_Toc32566843" w:history="1">
        <w:r w:rsidR="00D3073F" w:rsidRPr="00DC7062">
          <w:rPr>
            <w:rStyle w:val="Hyperlink"/>
            <w:noProof/>
          </w:rPr>
          <w:t>Proposed amendments</w:t>
        </w:r>
        <w:r w:rsidR="00D3073F">
          <w:rPr>
            <w:noProof/>
            <w:webHidden/>
          </w:rPr>
          <w:tab/>
        </w:r>
        <w:r w:rsidR="00D3073F">
          <w:rPr>
            <w:noProof/>
            <w:webHidden/>
          </w:rPr>
          <w:fldChar w:fldCharType="begin"/>
        </w:r>
        <w:r w:rsidR="00D3073F">
          <w:rPr>
            <w:noProof/>
            <w:webHidden/>
          </w:rPr>
          <w:instrText xml:space="preserve"> PAGEREF _Toc32566843 \h </w:instrText>
        </w:r>
        <w:r w:rsidR="00D3073F">
          <w:rPr>
            <w:noProof/>
            <w:webHidden/>
          </w:rPr>
        </w:r>
        <w:r w:rsidR="00D3073F">
          <w:rPr>
            <w:noProof/>
            <w:webHidden/>
          </w:rPr>
          <w:fldChar w:fldCharType="separate"/>
        </w:r>
        <w:r w:rsidR="00E77FC9">
          <w:rPr>
            <w:noProof/>
            <w:webHidden/>
          </w:rPr>
          <w:t>1</w:t>
        </w:r>
        <w:r w:rsidR="00D3073F">
          <w:rPr>
            <w:noProof/>
            <w:webHidden/>
          </w:rPr>
          <w:fldChar w:fldCharType="end"/>
        </w:r>
      </w:hyperlink>
    </w:p>
    <w:p w:rsidR="00D3073F" w:rsidRDefault="005433B1">
      <w:pPr>
        <w:pStyle w:val="TOC1"/>
        <w:rPr>
          <w:rFonts w:asciiTheme="minorHAnsi" w:eastAsiaTheme="minorEastAsia" w:hAnsiTheme="minorHAnsi" w:cstheme="minorBidi"/>
          <w:b w:val="0"/>
          <w:bCs w:val="0"/>
          <w:smallCaps w:val="0"/>
          <w:noProof/>
          <w:spacing w:val="0"/>
          <w:sz w:val="22"/>
          <w:szCs w:val="22"/>
          <w:lang w:eastAsia="en-AU"/>
        </w:rPr>
      </w:pPr>
      <w:hyperlink w:anchor="_Toc32566844" w:history="1">
        <w:r w:rsidR="00D3073F" w:rsidRPr="00DC7062">
          <w:rPr>
            <w:rStyle w:val="Hyperlink"/>
            <w:rFonts w:eastAsia="Calibri"/>
            <w:noProof/>
            <w:lang w:eastAsia="en-AU"/>
          </w:rPr>
          <w:t>Subordinate Legislation</w:t>
        </w:r>
        <w:r w:rsidR="00D3073F">
          <w:rPr>
            <w:noProof/>
            <w:webHidden/>
          </w:rPr>
          <w:tab/>
        </w:r>
        <w:r w:rsidR="00D3073F">
          <w:rPr>
            <w:noProof/>
            <w:webHidden/>
          </w:rPr>
          <w:fldChar w:fldCharType="begin"/>
        </w:r>
        <w:r w:rsidR="00D3073F">
          <w:rPr>
            <w:noProof/>
            <w:webHidden/>
          </w:rPr>
          <w:instrText xml:space="preserve"> PAGEREF _Toc32566844 \h </w:instrText>
        </w:r>
        <w:r w:rsidR="00D3073F">
          <w:rPr>
            <w:noProof/>
            <w:webHidden/>
          </w:rPr>
        </w:r>
        <w:r w:rsidR="00D3073F">
          <w:rPr>
            <w:noProof/>
            <w:webHidden/>
          </w:rPr>
          <w:fldChar w:fldCharType="separate"/>
        </w:r>
        <w:r w:rsidR="00E77FC9">
          <w:rPr>
            <w:noProof/>
            <w:webHidden/>
          </w:rPr>
          <w:t>2</w:t>
        </w:r>
        <w:r w:rsidR="00D3073F">
          <w:rPr>
            <w:noProof/>
            <w:webHidden/>
          </w:rPr>
          <w:fldChar w:fldCharType="end"/>
        </w:r>
      </w:hyperlink>
    </w:p>
    <w:p w:rsidR="00D3073F" w:rsidRDefault="005433B1">
      <w:pPr>
        <w:pStyle w:val="TOC2"/>
        <w:rPr>
          <w:rFonts w:asciiTheme="minorHAnsi" w:eastAsiaTheme="minorEastAsia" w:hAnsiTheme="minorHAnsi" w:cstheme="minorBidi"/>
          <w:b w:val="0"/>
          <w:noProof/>
          <w:sz w:val="22"/>
          <w:szCs w:val="22"/>
          <w:lang w:eastAsia="en-AU"/>
        </w:rPr>
      </w:pPr>
      <w:hyperlink w:anchor="_Toc32566845" w:history="1">
        <w:r w:rsidR="00D3073F" w:rsidRPr="00DC7062">
          <w:rPr>
            <w:rStyle w:val="Hyperlink"/>
            <w:noProof/>
          </w:rPr>
          <w:t>Disallowable Instruments—No comment</w:t>
        </w:r>
        <w:r w:rsidR="00D3073F">
          <w:rPr>
            <w:noProof/>
            <w:webHidden/>
          </w:rPr>
          <w:tab/>
        </w:r>
        <w:r w:rsidR="00D3073F">
          <w:rPr>
            <w:noProof/>
            <w:webHidden/>
          </w:rPr>
          <w:fldChar w:fldCharType="begin"/>
        </w:r>
        <w:r w:rsidR="00D3073F">
          <w:rPr>
            <w:noProof/>
            <w:webHidden/>
          </w:rPr>
          <w:instrText xml:space="preserve"> PAGEREF _Toc32566845 \h </w:instrText>
        </w:r>
        <w:r w:rsidR="00D3073F">
          <w:rPr>
            <w:noProof/>
            <w:webHidden/>
          </w:rPr>
        </w:r>
        <w:r w:rsidR="00D3073F">
          <w:rPr>
            <w:noProof/>
            <w:webHidden/>
          </w:rPr>
          <w:fldChar w:fldCharType="separate"/>
        </w:r>
        <w:r w:rsidR="00E77FC9">
          <w:rPr>
            <w:noProof/>
            <w:webHidden/>
          </w:rPr>
          <w:t>2</w:t>
        </w:r>
        <w:r w:rsidR="00D3073F">
          <w:rPr>
            <w:noProof/>
            <w:webHidden/>
          </w:rPr>
          <w:fldChar w:fldCharType="end"/>
        </w:r>
      </w:hyperlink>
    </w:p>
    <w:p w:rsidR="00D3073F" w:rsidRDefault="005433B1">
      <w:pPr>
        <w:pStyle w:val="TOC2"/>
        <w:rPr>
          <w:rFonts w:asciiTheme="minorHAnsi" w:eastAsiaTheme="minorEastAsia" w:hAnsiTheme="minorHAnsi" w:cstheme="minorBidi"/>
          <w:b w:val="0"/>
          <w:noProof/>
          <w:sz w:val="22"/>
          <w:szCs w:val="22"/>
          <w:lang w:eastAsia="en-AU"/>
        </w:rPr>
      </w:pPr>
      <w:hyperlink w:anchor="_Toc32566846" w:history="1">
        <w:r w:rsidR="00D3073F" w:rsidRPr="00DC7062">
          <w:rPr>
            <w:rStyle w:val="Hyperlink"/>
            <w:rFonts w:eastAsia="Calibri"/>
            <w:noProof/>
            <w:lang w:eastAsia="en-AU"/>
          </w:rPr>
          <w:t>Disallowable Instruments—Comment</w:t>
        </w:r>
        <w:r w:rsidR="00D3073F">
          <w:rPr>
            <w:noProof/>
            <w:webHidden/>
          </w:rPr>
          <w:tab/>
        </w:r>
        <w:r w:rsidR="00D3073F">
          <w:rPr>
            <w:noProof/>
            <w:webHidden/>
          </w:rPr>
          <w:fldChar w:fldCharType="begin"/>
        </w:r>
        <w:r w:rsidR="00D3073F">
          <w:rPr>
            <w:noProof/>
            <w:webHidden/>
          </w:rPr>
          <w:instrText xml:space="preserve"> PAGEREF _Toc32566846 \h </w:instrText>
        </w:r>
        <w:r w:rsidR="00D3073F">
          <w:rPr>
            <w:noProof/>
            <w:webHidden/>
          </w:rPr>
        </w:r>
        <w:r w:rsidR="00D3073F">
          <w:rPr>
            <w:noProof/>
            <w:webHidden/>
          </w:rPr>
          <w:fldChar w:fldCharType="separate"/>
        </w:r>
        <w:r w:rsidR="00E77FC9">
          <w:rPr>
            <w:noProof/>
            <w:webHidden/>
          </w:rPr>
          <w:t>6</w:t>
        </w:r>
        <w:r w:rsidR="00D3073F">
          <w:rPr>
            <w:noProof/>
            <w:webHidden/>
          </w:rPr>
          <w:fldChar w:fldCharType="end"/>
        </w:r>
      </w:hyperlink>
    </w:p>
    <w:p w:rsidR="00D3073F" w:rsidRDefault="005433B1">
      <w:pPr>
        <w:pStyle w:val="TOC2"/>
        <w:rPr>
          <w:rFonts w:asciiTheme="minorHAnsi" w:eastAsiaTheme="minorEastAsia" w:hAnsiTheme="minorHAnsi" w:cstheme="minorBidi"/>
          <w:b w:val="0"/>
          <w:noProof/>
          <w:sz w:val="22"/>
          <w:szCs w:val="22"/>
          <w:lang w:eastAsia="en-AU"/>
        </w:rPr>
      </w:pPr>
      <w:hyperlink w:anchor="_Toc32566847" w:history="1">
        <w:r w:rsidR="00D3073F" w:rsidRPr="00DC7062">
          <w:rPr>
            <w:rStyle w:val="Hyperlink"/>
            <w:noProof/>
          </w:rPr>
          <w:t>Subordinate Laws—No comment</w:t>
        </w:r>
        <w:r w:rsidR="00D3073F">
          <w:rPr>
            <w:noProof/>
            <w:webHidden/>
          </w:rPr>
          <w:tab/>
        </w:r>
        <w:r w:rsidR="00D3073F">
          <w:rPr>
            <w:noProof/>
            <w:webHidden/>
          </w:rPr>
          <w:fldChar w:fldCharType="begin"/>
        </w:r>
        <w:r w:rsidR="00D3073F">
          <w:rPr>
            <w:noProof/>
            <w:webHidden/>
          </w:rPr>
          <w:instrText xml:space="preserve"> PAGEREF _Toc32566847 \h </w:instrText>
        </w:r>
        <w:r w:rsidR="00D3073F">
          <w:rPr>
            <w:noProof/>
            <w:webHidden/>
          </w:rPr>
        </w:r>
        <w:r w:rsidR="00D3073F">
          <w:rPr>
            <w:noProof/>
            <w:webHidden/>
          </w:rPr>
          <w:fldChar w:fldCharType="separate"/>
        </w:r>
        <w:r w:rsidR="00E77FC9">
          <w:rPr>
            <w:noProof/>
            <w:webHidden/>
          </w:rPr>
          <w:t>10</w:t>
        </w:r>
        <w:r w:rsidR="00D3073F">
          <w:rPr>
            <w:noProof/>
            <w:webHidden/>
          </w:rPr>
          <w:fldChar w:fldCharType="end"/>
        </w:r>
      </w:hyperlink>
    </w:p>
    <w:p w:rsidR="00D3073F" w:rsidRDefault="005433B1">
      <w:pPr>
        <w:pStyle w:val="TOC2"/>
        <w:rPr>
          <w:rFonts w:asciiTheme="minorHAnsi" w:eastAsiaTheme="minorEastAsia" w:hAnsiTheme="minorHAnsi" w:cstheme="minorBidi"/>
          <w:b w:val="0"/>
          <w:noProof/>
          <w:sz w:val="22"/>
          <w:szCs w:val="22"/>
          <w:lang w:eastAsia="en-AU"/>
        </w:rPr>
      </w:pPr>
      <w:hyperlink w:anchor="_Toc32566848" w:history="1">
        <w:r w:rsidR="00D3073F" w:rsidRPr="00DC7062">
          <w:rPr>
            <w:rStyle w:val="Hyperlink"/>
            <w:rFonts w:eastAsia="Calibri"/>
            <w:noProof/>
            <w:lang w:eastAsia="en-AU"/>
          </w:rPr>
          <w:t>Subordinate Law—Comment</w:t>
        </w:r>
        <w:r w:rsidR="00D3073F">
          <w:rPr>
            <w:noProof/>
            <w:webHidden/>
          </w:rPr>
          <w:tab/>
        </w:r>
        <w:r w:rsidR="00D3073F">
          <w:rPr>
            <w:noProof/>
            <w:webHidden/>
          </w:rPr>
          <w:fldChar w:fldCharType="begin"/>
        </w:r>
        <w:r w:rsidR="00D3073F">
          <w:rPr>
            <w:noProof/>
            <w:webHidden/>
          </w:rPr>
          <w:instrText xml:space="preserve"> PAGEREF _Toc32566848 \h </w:instrText>
        </w:r>
        <w:r w:rsidR="00D3073F">
          <w:rPr>
            <w:noProof/>
            <w:webHidden/>
          </w:rPr>
        </w:r>
        <w:r w:rsidR="00D3073F">
          <w:rPr>
            <w:noProof/>
            <w:webHidden/>
          </w:rPr>
          <w:fldChar w:fldCharType="separate"/>
        </w:r>
        <w:r w:rsidR="00E77FC9">
          <w:rPr>
            <w:noProof/>
            <w:webHidden/>
          </w:rPr>
          <w:t>11</w:t>
        </w:r>
        <w:r w:rsidR="00D3073F">
          <w:rPr>
            <w:noProof/>
            <w:webHidden/>
          </w:rPr>
          <w:fldChar w:fldCharType="end"/>
        </w:r>
      </w:hyperlink>
    </w:p>
    <w:p w:rsidR="00D3073F" w:rsidRDefault="005433B1">
      <w:pPr>
        <w:pStyle w:val="TOC1"/>
        <w:rPr>
          <w:rFonts w:asciiTheme="minorHAnsi" w:eastAsiaTheme="minorEastAsia" w:hAnsiTheme="minorHAnsi" w:cstheme="minorBidi"/>
          <w:b w:val="0"/>
          <w:bCs w:val="0"/>
          <w:smallCaps w:val="0"/>
          <w:noProof/>
          <w:spacing w:val="0"/>
          <w:sz w:val="22"/>
          <w:szCs w:val="22"/>
          <w:lang w:eastAsia="en-AU"/>
        </w:rPr>
      </w:pPr>
      <w:hyperlink w:anchor="_Toc32566849" w:history="1">
        <w:r w:rsidR="00D3073F" w:rsidRPr="00DC7062">
          <w:rPr>
            <w:rStyle w:val="Hyperlink"/>
            <w:rFonts w:eastAsia="Calibri"/>
            <w:noProof/>
            <w:lang w:eastAsia="en-AU"/>
          </w:rPr>
          <w:t>Regulatory Impact Statements</w:t>
        </w:r>
        <w:r w:rsidR="00D3073F">
          <w:rPr>
            <w:noProof/>
            <w:webHidden/>
          </w:rPr>
          <w:tab/>
        </w:r>
        <w:r w:rsidR="00D3073F">
          <w:rPr>
            <w:noProof/>
            <w:webHidden/>
          </w:rPr>
          <w:fldChar w:fldCharType="begin"/>
        </w:r>
        <w:r w:rsidR="00D3073F">
          <w:rPr>
            <w:noProof/>
            <w:webHidden/>
          </w:rPr>
          <w:instrText xml:space="preserve"> PAGEREF _Toc32566849 \h </w:instrText>
        </w:r>
        <w:r w:rsidR="00D3073F">
          <w:rPr>
            <w:noProof/>
            <w:webHidden/>
          </w:rPr>
        </w:r>
        <w:r w:rsidR="00D3073F">
          <w:rPr>
            <w:noProof/>
            <w:webHidden/>
          </w:rPr>
          <w:fldChar w:fldCharType="separate"/>
        </w:r>
        <w:r w:rsidR="00E77FC9">
          <w:rPr>
            <w:noProof/>
            <w:webHidden/>
          </w:rPr>
          <w:t>14</w:t>
        </w:r>
        <w:r w:rsidR="00D3073F">
          <w:rPr>
            <w:noProof/>
            <w:webHidden/>
          </w:rPr>
          <w:fldChar w:fldCharType="end"/>
        </w:r>
      </w:hyperlink>
    </w:p>
    <w:p w:rsidR="00D3073F" w:rsidRDefault="005433B1">
      <w:pPr>
        <w:pStyle w:val="TOC2"/>
        <w:rPr>
          <w:rFonts w:asciiTheme="minorHAnsi" w:eastAsiaTheme="minorEastAsia" w:hAnsiTheme="minorHAnsi" w:cstheme="minorBidi"/>
          <w:b w:val="0"/>
          <w:noProof/>
          <w:sz w:val="22"/>
          <w:szCs w:val="22"/>
          <w:lang w:eastAsia="en-AU"/>
        </w:rPr>
      </w:pPr>
      <w:hyperlink w:anchor="_Toc32566850" w:history="1">
        <w:r w:rsidR="00D3073F" w:rsidRPr="00DC7062">
          <w:rPr>
            <w:rStyle w:val="Hyperlink"/>
            <w:rFonts w:eastAsia="Calibri"/>
            <w:noProof/>
            <w:lang w:eastAsia="en-AU"/>
          </w:rPr>
          <w:t>Regulatory impact statements—No comment</w:t>
        </w:r>
        <w:r w:rsidR="00D3073F">
          <w:rPr>
            <w:noProof/>
            <w:webHidden/>
          </w:rPr>
          <w:tab/>
        </w:r>
        <w:r w:rsidR="00D3073F">
          <w:rPr>
            <w:noProof/>
            <w:webHidden/>
          </w:rPr>
          <w:fldChar w:fldCharType="begin"/>
        </w:r>
        <w:r w:rsidR="00D3073F">
          <w:rPr>
            <w:noProof/>
            <w:webHidden/>
          </w:rPr>
          <w:instrText xml:space="preserve"> PAGEREF _Toc32566850 \h </w:instrText>
        </w:r>
        <w:r w:rsidR="00D3073F">
          <w:rPr>
            <w:noProof/>
            <w:webHidden/>
          </w:rPr>
        </w:r>
        <w:r w:rsidR="00D3073F">
          <w:rPr>
            <w:noProof/>
            <w:webHidden/>
          </w:rPr>
          <w:fldChar w:fldCharType="separate"/>
        </w:r>
        <w:r w:rsidR="00E77FC9">
          <w:rPr>
            <w:noProof/>
            <w:webHidden/>
          </w:rPr>
          <w:t>14</w:t>
        </w:r>
        <w:r w:rsidR="00D3073F">
          <w:rPr>
            <w:noProof/>
            <w:webHidden/>
          </w:rPr>
          <w:fldChar w:fldCharType="end"/>
        </w:r>
      </w:hyperlink>
    </w:p>
    <w:p w:rsidR="00D3073F" w:rsidRDefault="005433B1">
      <w:pPr>
        <w:pStyle w:val="TOC2"/>
        <w:rPr>
          <w:rFonts w:asciiTheme="minorHAnsi" w:eastAsiaTheme="minorEastAsia" w:hAnsiTheme="minorHAnsi" w:cstheme="minorBidi"/>
          <w:b w:val="0"/>
          <w:noProof/>
          <w:sz w:val="22"/>
          <w:szCs w:val="22"/>
          <w:lang w:eastAsia="en-AU"/>
        </w:rPr>
      </w:pPr>
      <w:hyperlink w:anchor="_Toc32566851" w:history="1">
        <w:r w:rsidR="00D3073F" w:rsidRPr="00DC7062">
          <w:rPr>
            <w:rStyle w:val="Hyperlink"/>
            <w:rFonts w:eastAsia="Calibri"/>
            <w:noProof/>
            <w:lang w:eastAsia="en-AU"/>
          </w:rPr>
          <w:t>Regulatory impact statements—Comment</w:t>
        </w:r>
        <w:r w:rsidR="00D3073F">
          <w:rPr>
            <w:noProof/>
            <w:webHidden/>
          </w:rPr>
          <w:tab/>
        </w:r>
        <w:r w:rsidR="00D3073F">
          <w:rPr>
            <w:noProof/>
            <w:webHidden/>
          </w:rPr>
          <w:fldChar w:fldCharType="begin"/>
        </w:r>
        <w:r w:rsidR="00D3073F">
          <w:rPr>
            <w:noProof/>
            <w:webHidden/>
          </w:rPr>
          <w:instrText xml:space="preserve"> PAGEREF _Toc32566851 \h </w:instrText>
        </w:r>
        <w:r w:rsidR="00D3073F">
          <w:rPr>
            <w:noProof/>
            <w:webHidden/>
          </w:rPr>
        </w:r>
        <w:r w:rsidR="00D3073F">
          <w:rPr>
            <w:noProof/>
            <w:webHidden/>
          </w:rPr>
          <w:fldChar w:fldCharType="separate"/>
        </w:r>
        <w:r w:rsidR="00E77FC9">
          <w:rPr>
            <w:noProof/>
            <w:webHidden/>
          </w:rPr>
          <w:t>14</w:t>
        </w:r>
        <w:r w:rsidR="00D3073F">
          <w:rPr>
            <w:noProof/>
            <w:webHidden/>
          </w:rPr>
          <w:fldChar w:fldCharType="end"/>
        </w:r>
      </w:hyperlink>
    </w:p>
    <w:p w:rsidR="00D3073F" w:rsidRDefault="005433B1">
      <w:pPr>
        <w:pStyle w:val="TOC1"/>
        <w:rPr>
          <w:rFonts w:asciiTheme="minorHAnsi" w:eastAsiaTheme="minorEastAsia" w:hAnsiTheme="minorHAnsi" w:cstheme="minorBidi"/>
          <w:b w:val="0"/>
          <w:bCs w:val="0"/>
          <w:smallCaps w:val="0"/>
          <w:noProof/>
          <w:spacing w:val="0"/>
          <w:sz w:val="22"/>
          <w:szCs w:val="22"/>
          <w:lang w:eastAsia="en-AU"/>
        </w:rPr>
      </w:pPr>
      <w:hyperlink w:anchor="_Toc32566852" w:history="1">
        <w:r w:rsidR="00D3073F" w:rsidRPr="00DC7062">
          <w:rPr>
            <w:rStyle w:val="Hyperlink"/>
            <w:rFonts w:eastAsia="Calibri"/>
            <w:noProof/>
            <w:lang w:eastAsia="en-AU"/>
          </w:rPr>
          <w:t>Responses</w:t>
        </w:r>
        <w:r w:rsidR="00D3073F">
          <w:rPr>
            <w:noProof/>
            <w:webHidden/>
          </w:rPr>
          <w:tab/>
        </w:r>
        <w:r w:rsidR="00D3073F">
          <w:rPr>
            <w:noProof/>
            <w:webHidden/>
          </w:rPr>
          <w:fldChar w:fldCharType="begin"/>
        </w:r>
        <w:r w:rsidR="00D3073F">
          <w:rPr>
            <w:noProof/>
            <w:webHidden/>
          </w:rPr>
          <w:instrText xml:space="preserve"> PAGEREF _Toc32566852 \h </w:instrText>
        </w:r>
        <w:r w:rsidR="00D3073F">
          <w:rPr>
            <w:noProof/>
            <w:webHidden/>
          </w:rPr>
        </w:r>
        <w:r w:rsidR="00D3073F">
          <w:rPr>
            <w:noProof/>
            <w:webHidden/>
          </w:rPr>
          <w:fldChar w:fldCharType="separate"/>
        </w:r>
        <w:r w:rsidR="00E77FC9">
          <w:rPr>
            <w:noProof/>
            <w:webHidden/>
          </w:rPr>
          <w:t>16</w:t>
        </w:r>
        <w:r w:rsidR="00D3073F">
          <w:rPr>
            <w:noProof/>
            <w:webHidden/>
          </w:rPr>
          <w:fldChar w:fldCharType="end"/>
        </w:r>
      </w:hyperlink>
    </w:p>
    <w:p w:rsidR="00D3073F" w:rsidRDefault="005433B1">
      <w:pPr>
        <w:pStyle w:val="TOC1"/>
        <w:rPr>
          <w:rFonts w:asciiTheme="minorHAnsi" w:eastAsiaTheme="minorEastAsia" w:hAnsiTheme="minorHAnsi" w:cstheme="minorBidi"/>
          <w:b w:val="0"/>
          <w:bCs w:val="0"/>
          <w:smallCaps w:val="0"/>
          <w:noProof/>
          <w:spacing w:val="0"/>
          <w:sz w:val="22"/>
          <w:szCs w:val="22"/>
          <w:lang w:eastAsia="en-AU"/>
        </w:rPr>
      </w:pPr>
      <w:hyperlink w:anchor="_Toc32566854" w:history="1">
        <w:r w:rsidR="00D3073F" w:rsidRPr="00DC7062">
          <w:rPr>
            <w:rStyle w:val="Hyperlink"/>
            <w:noProof/>
          </w:rPr>
          <w:t>Outstanding Responses</w:t>
        </w:r>
        <w:r w:rsidR="00D3073F">
          <w:rPr>
            <w:noProof/>
            <w:webHidden/>
          </w:rPr>
          <w:tab/>
        </w:r>
        <w:r w:rsidR="00D3073F">
          <w:rPr>
            <w:noProof/>
            <w:webHidden/>
          </w:rPr>
          <w:fldChar w:fldCharType="begin"/>
        </w:r>
        <w:r w:rsidR="00D3073F">
          <w:rPr>
            <w:noProof/>
            <w:webHidden/>
          </w:rPr>
          <w:instrText xml:space="preserve"> PAGEREF _Toc32566854 \h </w:instrText>
        </w:r>
        <w:r w:rsidR="00D3073F">
          <w:rPr>
            <w:noProof/>
            <w:webHidden/>
          </w:rPr>
        </w:r>
        <w:r w:rsidR="00D3073F">
          <w:rPr>
            <w:noProof/>
            <w:webHidden/>
          </w:rPr>
          <w:fldChar w:fldCharType="separate"/>
        </w:r>
        <w:r w:rsidR="00E77FC9">
          <w:rPr>
            <w:noProof/>
            <w:webHidden/>
          </w:rPr>
          <w:t>17</w:t>
        </w:r>
        <w:r w:rsidR="00D3073F">
          <w:rPr>
            <w:noProof/>
            <w:webHidden/>
          </w:rPr>
          <w:fldChar w:fldCharType="end"/>
        </w:r>
      </w:hyperlink>
    </w:p>
    <w:p w:rsidR="00351AD0" w:rsidRPr="00104A8B" w:rsidRDefault="00CD5AD5" w:rsidP="007A4E51">
      <w:pPr>
        <w:pStyle w:val="TOC1"/>
      </w:pPr>
      <w:r w:rsidRPr="00104A8B">
        <w:fldChar w:fldCharType="end"/>
      </w:r>
    </w:p>
    <w:p w:rsidR="00351AD0" w:rsidRPr="00104A8B" w:rsidRDefault="00351AD0" w:rsidP="00351AD0">
      <w:pPr>
        <w:sectPr w:rsidR="00351AD0" w:rsidRPr="00104A8B" w:rsidSect="00E8247B">
          <w:headerReference w:type="even" r:id="rId15"/>
          <w:headerReference w:type="default" r:id="rId16"/>
          <w:footerReference w:type="even" r:id="rId17"/>
          <w:footerReference w:type="default" r:id="rId18"/>
          <w:headerReference w:type="first" r:id="rId19"/>
          <w:pgSz w:w="11906" w:h="16838"/>
          <w:pgMar w:top="1440" w:right="1440" w:bottom="1440" w:left="1440" w:header="708" w:footer="708" w:gutter="0"/>
          <w:pgNumType w:fmt="lowerRoman" w:start="1"/>
          <w:cols w:space="708"/>
          <w:docGrid w:linePitch="360"/>
        </w:sectPr>
      </w:pPr>
    </w:p>
    <w:p w:rsidR="00632981" w:rsidRPr="00104A8B" w:rsidRDefault="00632981">
      <w:pPr>
        <w:sectPr w:rsidR="00632981" w:rsidRPr="00104A8B" w:rsidSect="00351AD0">
          <w:headerReference w:type="even" r:id="rId20"/>
          <w:headerReference w:type="default" r:id="rId21"/>
          <w:footerReference w:type="even" r:id="rId22"/>
          <w:headerReference w:type="first" r:id="rId23"/>
          <w:type w:val="continuous"/>
          <w:pgSz w:w="11906" w:h="16838"/>
          <w:pgMar w:top="1440" w:right="1440" w:bottom="1440" w:left="1440" w:header="708" w:footer="708" w:gutter="0"/>
          <w:cols w:space="708"/>
          <w:docGrid w:linePitch="360"/>
        </w:sectPr>
      </w:pPr>
    </w:p>
    <w:p w:rsidR="00D20076" w:rsidRPr="00104A8B" w:rsidRDefault="00D20076" w:rsidP="00D20076">
      <w:pPr>
        <w:pStyle w:val="Heading2"/>
        <w:rPr>
          <w:rFonts w:asciiTheme="minorHAnsi" w:eastAsia="Calibri" w:hAnsiTheme="minorHAnsi"/>
          <w:lang w:eastAsia="en-AU"/>
        </w:rPr>
      </w:pPr>
      <w:bookmarkStart w:id="395" w:name="_Toc32566842"/>
      <w:bookmarkStart w:id="396" w:name="_Toc501448810"/>
      <w:bookmarkStart w:id="397" w:name="_Toc514837969"/>
      <w:r>
        <w:rPr>
          <w:rFonts w:asciiTheme="minorHAnsi" w:eastAsia="Calibri" w:hAnsiTheme="minorHAnsi"/>
          <w:lang w:eastAsia="en-AU"/>
        </w:rPr>
        <w:lastRenderedPageBreak/>
        <w:t>Bills</w:t>
      </w:r>
      <w:bookmarkEnd w:id="395"/>
    </w:p>
    <w:p w:rsidR="00D20076" w:rsidRPr="001C5D82" w:rsidRDefault="00D20076" w:rsidP="00D20076">
      <w:pPr>
        <w:pStyle w:val="Heading3"/>
      </w:pPr>
      <w:bookmarkStart w:id="398" w:name="_Toc505153767"/>
      <w:bookmarkStart w:id="399" w:name="_Toc32566843"/>
      <w:r w:rsidRPr="001C5D82">
        <w:t>Proposed amendments</w:t>
      </w:r>
      <w:bookmarkEnd w:id="398"/>
      <w:bookmarkEnd w:id="399"/>
    </w:p>
    <w:p w:rsidR="00D20076" w:rsidRPr="00D20076" w:rsidRDefault="00D20076" w:rsidP="00D20076">
      <w:pPr>
        <w:pStyle w:val="Heading4nonumber"/>
        <w:rPr>
          <w:b/>
        </w:rPr>
      </w:pPr>
      <w:r w:rsidRPr="00D20076">
        <w:rPr>
          <w:b/>
        </w:rPr>
        <w:t>Magistrates Court (Infringement Notices) Amendment Bill 2019</w:t>
      </w:r>
    </w:p>
    <w:p w:rsidR="00D20076" w:rsidRDefault="00D20076" w:rsidP="00D20076">
      <w:r>
        <w:t xml:space="preserve">The Committee has received proposed amendments to the </w:t>
      </w:r>
      <w:r w:rsidRPr="00A1585F">
        <w:t>Magistrates Court (Infringement Notices) Amendment Bill 2019</w:t>
      </w:r>
      <w:r>
        <w:t xml:space="preserve"> to be moved by Ms Caroline Le Couteur MLA. These amendments allow the commencement date of the Bill to be delayed, make clear that waiver of an infringement penalty has the same effect as if it had been paid, and set out the process where waiver of a penalty has been refused. The Committee has no comment on these amendments. </w:t>
      </w:r>
    </w:p>
    <w:p w:rsidR="00D20076" w:rsidRPr="00D20076" w:rsidRDefault="00D20076" w:rsidP="00D20076">
      <w:pPr>
        <w:pStyle w:val="Heading4nonumber"/>
        <w:rPr>
          <w:b/>
        </w:rPr>
      </w:pPr>
      <w:r w:rsidRPr="00D20076">
        <w:rPr>
          <w:b/>
        </w:rPr>
        <w:t>Unit Titles Amendment Bill 2019</w:t>
      </w:r>
    </w:p>
    <w:p w:rsidR="00D20076" w:rsidRDefault="00D20076" w:rsidP="00D20076">
      <w:pPr>
        <w:pStyle w:val="Heading5"/>
      </w:pPr>
      <w:r>
        <w:t>Amendments proposed by Ms Le Couteur MLA</w:t>
      </w:r>
    </w:p>
    <w:p w:rsidR="00D20076" w:rsidRDefault="00D20076" w:rsidP="00D20076">
      <w:r>
        <w:t xml:space="preserve">The Committee has received proposed amendments to the Unit Titles Legislation Amendment Bill 2019 to be moved by Ms Caroline Le Couteur MLA. These proposed amendments include: amendments to the </w:t>
      </w:r>
      <w:r w:rsidRPr="00E542E9">
        <w:rPr>
          <w:i/>
        </w:rPr>
        <w:t>C</w:t>
      </w:r>
      <w:r>
        <w:rPr>
          <w:i/>
        </w:rPr>
        <w:t xml:space="preserve">ivil Law (Sale of Residential </w:t>
      </w:r>
      <w:r w:rsidRPr="00E542E9">
        <w:rPr>
          <w:i/>
        </w:rPr>
        <w:t>Property) Act 2003</w:t>
      </w:r>
      <w:r>
        <w:t xml:space="preserve"> and </w:t>
      </w:r>
      <w:r w:rsidRPr="00E542E9">
        <w:rPr>
          <w:i/>
        </w:rPr>
        <w:t>Residential Tenancies Act 1997</w:t>
      </w:r>
      <w:r>
        <w:rPr>
          <w:i/>
        </w:rPr>
        <w:t xml:space="preserve"> </w:t>
      </w:r>
      <w:r>
        <w:t xml:space="preserve">to impose additional disclosure requirements relating to adaptable housing dwellings; amendments to the </w:t>
      </w:r>
      <w:r w:rsidRPr="00C54BA1">
        <w:rPr>
          <w:i/>
        </w:rPr>
        <w:t>Unit Titles (Management) Act 2011</w:t>
      </w:r>
      <w:r>
        <w:t xml:space="preserve"> preventing owners corporations by special resolution adopting an owners corporation’s rule which prohibits or restricts the installation, operation or maintenance of sustainability infrastructure in or on an owner’s unit; amendments to the </w:t>
      </w:r>
      <w:r w:rsidRPr="00C54BA1">
        <w:rPr>
          <w:i/>
        </w:rPr>
        <w:t>Unit Titles (Management) Act 2011</w:t>
      </w:r>
      <w:r>
        <w:t xml:space="preserve"> requiring additional information be provided at the first annual general meeting; and amendments to the default owners corporation rules in Schedule 1 of the </w:t>
      </w:r>
      <w:r w:rsidRPr="00C54BA1">
        <w:rPr>
          <w:i/>
        </w:rPr>
        <w:t>Unit Titles (Management) Regulation 2011</w:t>
      </w:r>
      <w:r>
        <w:t xml:space="preserve"> to prevent permission to erect sustainability infrastructure being unreasonably withheld.</w:t>
      </w:r>
    </w:p>
    <w:p w:rsidR="00D20076" w:rsidRDefault="00D20076" w:rsidP="00D20076">
      <w:r>
        <w:t>Under the proposed amendments, a person will commit a strict liability offence if they publish an advertisement for the sale of a unit which is an adaptable housing dwelling but which does not contain a statement to that effect, s</w:t>
      </w:r>
      <w:r w:rsidR="003E032C">
        <w:t>ubject to a maximum penalty of five</w:t>
      </w:r>
      <w:r>
        <w:t xml:space="preserve"> penalty units. By introducing a strict liability offence, the proposed amendments potentially limit the right to the presumption of innocence protected by section 22 of the HRA. The Committee has not received an explanatory statement accompanying the proposed amendments or other statement justifying the possible limitation. While the Committee acknowledges that the proposed penalty fo</w:t>
      </w:r>
      <w:r w:rsidR="003E032C">
        <w:t>r the strict liability is only five</w:t>
      </w:r>
      <w:r>
        <w:t xml:space="preserve"> penalty units, a justification for the strict liability element should be provided, particularly where an element of the offence (the unit is an adaptable housing dwelling) may in some cases be difficult to determine. </w:t>
      </w:r>
    </w:p>
    <w:p w:rsidR="00D20076" w:rsidRDefault="00D20076" w:rsidP="00D20076">
      <w:r w:rsidRPr="00D20076">
        <w:rPr>
          <w:spacing w:val="2"/>
        </w:rPr>
        <w:t>The proposed amendments will also require, where the unit is being rented or sold</w:t>
      </w:r>
      <w:r>
        <w:rPr>
          <w:spacing w:val="2"/>
        </w:rPr>
        <w:t>, disclosure that </w:t>
      </w:r>
      <w:r w:rsidRPr="00D20076">
        <w:rPr>
          <w:spacing w:val="2"/>
        </w:rPr>
        <w:t>the unit is an adaptable housing dwelling. The proposed amendments will define an adaptable housing dwelling as a dwelling that complies with Australian Standard AS 4299-1995 (Adaptable Housing). The proposed amendments will also require, when a unit which is an adaptable housing dwelling is being offered for sale, any contract for sale of the unit include documents and plans demonstrating compliance with that Standard. There is no requirement that the Standard be notified on the ACT legislation register or otherwise made available to the public.</w:t>
      </w:r>
      <w:r w:rsidRPr="00D20076">
        <w:rPr>
          <w:rStyle w:val="FootnoteReference"/>
          <w:spacing w:val="2"/>
        </w:rPr>
        <w:footnoteReference w:id="1"/>
      </w:r>
      <w:r w:rsidRPr="00D20076">
        <w:rPr>
          <w:spacing w:val="2"/>
        </w:rPr>
        <w:t xml:space="preserve"> There may also be</w:t>
      </w:r>
      <w:r>
        <w:t xml:space="preserve"> uncertainty over which is the rel</w:t>
      </w:r>
      <w:r w:rsidR="003E032C">
        <w:t>evant version of the Standard—</w:t>
      </w:r>
      <w:r>
        <w:t>the version of the Standard at the time of enactment of the Bill or as it is amended from time to time.</w:t>
      </w:r>
      <w:r>
        <w:rPr>
          <w:rStyle w:val="FootnoteReference"/>
        </w:rPr>
        <w:footnoteReference w:id="2"/>
      </w:r>
      <w:r>
        <w:t xml:space="preserve"> </w:t>
      </w:r>
    </w:p>
    <w:p w:rsidR="00D20076" w:rsidRDefault="00D20076" w:rsidP="00D20076">
      <w:r>
        <w:t>The Committee therefore requests a justification for defining adaptable housing dwelling through reference to an Australian Standard, which version of the Standard was intended, and in particular why it could be considered reasonable to include compliance with the standard as an element of a strict liability offence.</w:t>
      </w:r>
    </w:p>
    <w:p w:rsidR="00D20076" w:rsidRPr="00E83C75" w:rsidRDefault="00D20076" w:rsidP="00D20076">
      <w:pPr>
        <w:pStyle w:val="Bodycopy"/>
        <w:spacing w:line="280" w:lineRule="exact"/>
        <w:rPr>
          <w:b/>
        </w:rPr>
      </w:pPr>
      <w:r w:rsidRPr="00E83C75">
        <w:rPr>
          <w:b/>
        </w:rPr>
        <w:t>The Committee draws th</w:t>
      </w:r>
      <w:r>
        <w:rPr>
          <w:b/>
        </w:rPr>
        <w:t xml:space="preserve">ese matters </w:t>
      </w:r>
      <w:r w:rsidRPr="00E83C75">
        <w:rPr>
          <w:b/>
        </w:rPr>
        <w:t>to the attention of the Assembly, and asks the M</w:t>
      </w:r>
      <w:r>
        <w:rPr>
          <w:b/>
        </w:rPr>
        <w:t>ember</w:t>
      </w:r>
      <w:r w:rsidRPr="00E83C75">
        <w:rPr>
          <w:b/>
        </w:rPr>
        <w:t xml:space="preserve"> to respond.</w:t>
      </w:r>
    </w:p>
    <w:p w:rsidR="00D20076" w:rsidRDefault="00D20076" w:rsidP="00D20076">
      <w:pPr>
        <w:pStyle w:val="Heading5"/>
      </w:pPr>
      <w:r>
        <w:t>Amendments proposed by Mr Parton MLA</w:t>
      </w:r>
    </w:p>
    <w:p w:rsidR="00D20076" w:rsidRDefault="00D20076" w:rsidP="00D20076">
      <w:r>
        <w:t>On 31 January 2020, the Committee received proposed amendments to the Unit Titles Amendment Bill 2019 from Mr Mark Paton MLA. These amendments clarify the role of the owners corporations to lodge and pay for excess charges in relation to building insurance claims.</w:t>
      </w:r>
    </w:p>
    <w:p w:rsidR="00D20076" w:rsidRDefault="00D20076" w:rsidP="00D20076">
      <w:r>
        <w:t>The Committee has no comment on these amendments.</w:t>
      </w:r>
    </w:p>
    <w:p w:rsidR="00F23CCD" w:rsidRPr="00104A8B" w:rsidRDefault="00F23CCD" w:rsidP="00AC094E">
      <w:pPr>
        <w:pStyle w:val="Heading2"/>
        <w:rPr>
          <w:rFonts w:asciiTheme="minorHAnsi" w:eastAsia="Calibri" w:hAnsiTheme="minorHAnsi"/>
          <w:lang w:eastAsia="en-AU"/>
        </w:rPr>
      </w:pPr>
      <w:bookmarkStart w:id="400" w:name="_Toc32566844"/>
      <w:r w:rsidRPr="00104A8B">
        <w:rPr>
          <w:rFonts w:asciiTheme="minorHAnsi" w:eastAsia="Calibri" w:hAnsiTheme="minorHAnsi"/>
          <w:lang w:eastAsia="en-AU"/>
        </w:rPr>
        <w:t>Subordinate Legislation</w:t>
      </w:r>
      <w:bookmarkEnd w:id="396"/>
      <w:bookmarkEnd w:id="397"/>
      <w:bookmarkEnd w:id="400"/>
    </w:p>
    <w:p w:rsidR="003443EB" w:rsidRPr="00103E7B" w:rsidRDefault="003379D7" w:rsidP="00103E7B">
      <w:pPr>
        <w:pStyle w:val="Heading3"/>
      </w:pPr>
      <w:bookmarkStart w:id="401" w:name="_Toc32566845"/>
      <w:bookmarkStart w:id="402" w:name="_Toc338841796"/>
      <w:bookmarkStart w:id="403" w:name="_Hlk496454859"/>
      <w:bookmarkStart w:id="404" w:name="_Toc514837978"/>
      <w:bookmarkStart w:id="405" w:name="_Toc526855824"/>
      <w:bookmarkStart w:id="406" w:name="_Toc338841795"/>
      <w:bookmarkStart w:id="407" w:name="_Hlk483295725"/>
      <w:r w:rsidRPr="00103E7B">
        <w:t>Disallowable Instruments</w:t>
      </w:r>
      <w:r w:rsidR="003443EB" w:rsidRPr="00103E7B">
        <w:t>—No comment</w:t>
      </w:r>
      <w:bookmarkEnd w:id="401"/>
    </w:p>
    <w:p w:rsidR="003443EB" w:rsidRDefault="003443EB" w:rsidP="009B4153">
      <w:pPr>
        <w:widowControl w:val="0"/>
        <w:tabs>
          <w:tab w:val="left" w:pos="1276"/>
        </w:tabs>
        <w:rPr>
          <w:rFonts w:ascii="Calibri" w:hAnsi="Calibri" w:cs="Calibri"/>
          <w:color w:val="000000"/>
        </w:rPr>
      </w:pPr>
      <w:r w:rsidRPr="00987942">
        <w:rPr>
          <w:rFonts w:ascii="Calibri" w:hAnsi="Calibri" w:cs="Calibri"/>
          <w:color w:val="000000"/>
        </w:rPr>
        <w:t xml:space="preserve">The Committee has examined the </w:t>
      </w:r>
      <w:r w:rsidR="008B48A2">
        <w:rPr>
          <w:rFonts w:ascii="Calibri" w:hAnsi="Calibri" w:cs="Calibri"/>
          <w:color w:val="000000"/>
        </w:rPr>
        <w:t>following disallowable instruments and offers no comment on them</w:t>
      </w:r>
      <w:r w:rsidRPr="00987942">
        <w:rPr>
          <w:rFonts w:ascii="Calibri" w:hAnsi="Calibri" w:cs="Calibri"/>
          <w:color w:val="000000"/>
        </w:rPr>
        <w:t>:</w:t>
      </w:r>
    </w:p>
    <w:p w:rsidR="004A4A2A" w:rsidRPr="00842199" w:rsidRDefault="004A4A2A" w:rsidP="000D5EDC">
      <w:pPr>
        <w:pStyle w:val="Bodycopy"/>
        <w:numPr>
          <w:ilvl w:val="0"/>
          <w:numId w:val="27"/>
        </w:numPr>
        <w:tabs>
          <w:tab w:val="clear" w:pos="1276"/>
          <w:tab w:val="left" w:pos="0"/>
        </w:tabs>
        <w:spacing w:before="160" w:after="160" w:line="280" w:lineRule="exact"/>
        <w:ind w:left="360"/>
        <w:rPr>
          <w:b/>
        </w:rPr>
      </w:pPr>
      <w:bookmarkStart w:id="408" w:name="_Hlk504463130"/>
      <w:bookmarkEnd w:id="402"/>
      <w:bookmarkEnd w:id="403"/>
      <w:r>
        <w:rPr>
          <w:b/>
        </w:rPr>
        <w:t>Disallowable Instrument</w:t>
      </w:r>
      <w:r w:rsidRPr="00451C85">
        <w:rPr>
          <w:b/>
        </w:rPr>
        <w:t xml:space="preserve"> </w:t>
      </w:r>
      <w:r>
        <w:rPr>
          <w:b/>
        </w:rPr>
        <w:t>DI2019-253</w:t>
      </w:r>
      <w:r w:rsidRPr="00451C85">
        <w:rPr>
          <w:b/>
        </w:rPr>
        <w:t xml:space="preserve"> being the </w:t>
      </w:r>
      <w:r>
        <w:rPr>
          <w:b/>
        </w:rPr>
        <w:t xml:space="preserve">Public Place Names (Whitlam) Determination 2019 (No 1) made under section 3 of the </w:t>
      </w:r>
      <w:r>
        <w:rPr>
          <w:i/>
        </w:rPr>
        <w:t>Public Place Names Act 1989</w:t>
      </w:r>
      <w:r w:rsidRPr="00236BDD">
        <w:rPr>
          <w:b/>
        </w:rPr>
        <w:t xml:space="preserve"> </w:t>
      </w:r>
      <w:r>
        <w:rPr>
          <w:b/>
        </w:rPr>
        <w:t>determines the names of 22 roads in the Division of Whitlam.</w:t>
      </w:r>
    </w:p>
    <w:p w:rsidR="004A4A2A" w:rsidRPr="00842199" w:rsidRDefault="004A4A2A" w:rsidP="000D5EDC">
      <w:pPr>
        <w:pStyle w:val="Bodycopy"/>
        <w:numPr>
          <w:ilvl w:val="0"/>
          <w:numId w:val="27"/>
        </w:numPr>
        <w:tabs>
          <w:tab w:val="clear" w:pos="1276"/>
          <w:tab w:val="left" w:pos="0"/>
        </w:tabs>
        <w:spacing w:before="160" w:after="160" w:line="280" w:lineRule="exact"/>
        <w:ind w:left="360"/>
        <w:rPr>
          <w:b/>
        </w:rPr>
      </w:pPr>
      <w:r>
        <w:rPr>
          <w:b/>
        </w:rPr>
        <w:t>Disallowable Instrument</w:t>
      </w:r>
      <w:r w:rsidRPr="00451C85">
        <w:rPr>
          <w:b/>
        </w:rPr>
        <w:t xml:space="preserve"> </w:t>
      </w:r>
      <w:r>
        <w:rPr>
          <w:b/>
        </w:rPr>
        <w:t>DI2019-254</w:t>
      </w:r>
      <w:r w:rsidRPr="00451C85">
        <w:rPr>
          <w:b/>
        </w:rPr>
        <w:t xml:space="preserve"> being the </w:t>
      </w:r>
      <w:r>
        <w:rPr>
          <w:b/>
        </w:rPr>
        <w:t xml:space="preserve">Road Transport (General) Application of Road Transport Legislation Declaration 2019 (No 11) made under section 12 of the </w:t>
      </w:r>
      <w:r>
        <w:rPr>
          <w:i/>
        </w:rPr>
        <w:t>Road Transport (General) Act 1999</w:t>
      </w:r>
      <w:r w:rsidRPr="00236BDD">
        <w:rPr>
          <w:b/>
        </w:rPr>
        <w:t xml:space="preserve"> </w:t>
      </w:r>
      <w:r>
        <w:rPr>
          <w:b/>
        </w:rPr>
        <w:t xml:space="preserve">disapplies parking rules in specified areas to support </w:t>
      </w:r>
      <w:proofErr w:type="spellStart"/>
      <w:r>
        <w:rPr>
          <w:b/>
        </w:rPr>
        <w:t>SouthFest</w:t>
      </w:r>
      <w:proofErr w:type="spellEnd"/>
      <w:r>
        <w:rPr>
          <w:b/>
        </w:rPr>
        <w:t xml:space="preserve"> 2019.</w:t>
      </w:r>
    </w:p>
    <w:p w:rsidR="004A4A2A" w:rsidRPr="00842199" w:rsidRDefault="004A4A2A" w:rsidP="000D5EDC">
      <w:pPr>
        <w:pStyle w:val="Bodycopy"/>
        <w:numPr>
          <w:ilvl w:val="0"/>
          <w:numId w:val="27"/>
        </w:numPr>
        <w:tabs>
          <w:tab w:val="clear" w:pos="1276"/>
          <w:tab w:val="left" w:pos="0"/>
        </w:tabs>
        <w:spacing w:before="160" w:after="160" w:line="280" w:lineRule="exact"/>
        <w:ind w:left="360"/>
        <w:rPr>
          <w:b/>
        </w:rPr>
      </w:pPr>
      <w:r>
        <w:rPr>
          <w:b/>
        </w:rPr>
        <w:t>Disallowable Instrument</w:t>
      </w:r>
      <w:r w:rsidRPr="00451C85">
        <w:rPr>
          <w:b/>
        </w:rPr>
        <w:t xml:space="preserve"> </w:t>
      </w:r>
      <w:r>
        <w:rPr>
          <w:b/>
        </w:rPr>
        <w:t>DI2019-255</w:t>
      </w:r>
      <w:r w:rsidRPr="00451C85">
        <w:rPr>
          <w:b/>
        </w:rPr>
        <w:t xml:space="preserve"> being the </w:t>
      </w:r>
      <w:r>
        <w:rPr>
          <w:b/>
        </w:rPr>
        <w:t xml:space="preserve">Nature Conservation (Native Woodland) Action Plans 2019 made under sections 104 and 105 of the </w:t>
      </w:r>
      <w:r>
        <w:rPr>
          <w:i/>
        </w:rPr>
        <w:t>Nature Conservation Act 2014</w:t>
      </w:r>
      <w:r w:rsidRPr="00236BDD">
        <w:rPr>
          <w:b/>
        </w:rPr>
        <w:t xml:space="preserve"> </w:t>
      </w:r>
      <w:r>
        <w:rPr>
          <w:b/>
        </w:rPr>
        <w:t>revokes DI2004</w:t>
      </w:r>
      <w:r>
        <w:rPr>
          <w:b/>
        </w:rPr>
        <w:noBreakHyphen/>
        <w:t>52 and DI2016-210 and sets out the final version of specified action plans.</w:t>
      </w:r>
    </w:p>
    <w:p w:rsidR="004A4A2A" w:rsidRPr="00842199" w:rsidRDefault="004A4A2A" w:rsidP="000D5EDC">
      <w:pPr>
        <w:pStyle w:val="Bodycopy"/>
        <w:numPr>
          <w:ilvl w:val="0"/>
          <w:numId w:val="27"/>
        </w:numPr>
        <w:tabs>
          <w:tab w:val="clear" w:pos="1276"/>
          <w:tab w:val="left" w:pos="0"/>
        </w:tabs>
        <w:spacing w:before="160" w:after="160" w:line="280" w:lineRule="exact"/>
        <w:ind w:left="360"/>
        <w:rPr>
          <w:b/>
        </w:rPr>
      </w:pPr>
      <w:r>
        <w:rPr>
          <w:b/>
        </w:rPr>
        <w:t>Disallowable Instrument</w:t>
      </w:r>
      <w:r w:rsidRPr="00451C85">
        <w:rPr>
          <w:b/>
        </w:rPr>
        <w:t xml:space="preserve"> </w:t>
      </w:r>
      <w:r>
        <w:rPr>
          <w:b/>
        </w:rPr>
        <w:t>DI2019-256</w:t>
      </w:r>
      <w:r w:rsidRPr="00451C85">
        <w:rPr>
          <w:b/>
        </w:rPr>
        <w:t xml:space="preserve"> being the </w:t>
      </w:r>
      <w:r>
        <w:rPr>
          <w:b/>
        </w:rPr>
        <w:t xml:space="preserve">Government Procurement (Non-Public Employee Member) Appointment 2019 (No 1) made under section 12 of the </w:t>
      </w:r>
      <w:r>
        <w:rPr>
          <w:i/>
        </w:rPr>
        <w:t>Government Procurement Act 2001</w:t>
      </w:r>
      <w:r w:rsidRPr="00236BDD">
        <w:rPr>
          <w:b/>
        </w:rPr>
        <w:t xml:space="preserve"> </w:t>
      </w:r>
      <w:r>
        <w:rPr>
          <w:b/>
        </w:rPr>
        <w:t>appoints a specified person as a part-time non-public employee member of the Government Procurement Board.</w:t>
      </w:r>
    </w:p>
    <w:p w:rsidR="004A4A2A" w:rsidRPr="00842199" w:rsidRDefault="004A4A2A" w:rsidP="000D5EDC">
      <w:pPr>
        <w:pStyle w:val="Bodycopy"/>
        <w:numPr>
          <w:ilvl w:val="0"/>
          <w:numId w:val="27"/>
        </w:numPr>
        <w:tabs>
          <w:tab w:val="clear" w:pos="1276"/>
          <w:tab w:val="left" w:pos="0"/>
        </w:tabs>
        <w:spacing w:before="160" w:after="160" w:line="280" w:lineRule="exact"/>
        <w:ind w:left="360"/>
        <w:rPr>
          <w:b/>
        </w:rPr>
      </w:pPr>
      <w:r>
        <w:rPr>
          <w:b/>
        </w:rPr>
        <w:t>Disallowable Instrument</w:t>
      </w:r>
      <w:r w:rsidRPr="00451C85">
        <w:rPr>
          <w:b/>
        </w:rPr>
        <w:t xml:space="preserve"> </w:t>
      </w:r>
      <w:r>
        <w:rPr>
          <w:b/>
        </w:rPr>
        <w:t>DI2019-259</w:t>
      </w:r>
      <w:r w:rsidRPr="00451C85">
        <w:rPr>
          <w:b/>
        </w:rPr>
        <w:t xml:space="preserve"> being the </w:t>
      </w:r>
      <w:r>
        <w:rPr>
          <w:b/>
        </w:rPr>
        <w:t xml:space="preserve">Public Health (Chief Health Officer) Appointment 2019 made under section 7 of the </w:t>
      </w:r>
      <w:r>
        <w:rPr>
          <w:i/>
        </w:rPr>
        <w:t>Public Health Act 1997</w:t>
      </w:r>
      <w:r w:rsidRPr="00236BDD">
        <w:rPr>
          <w:b/>
        </w:rPr>
        <w:t xml:space="preserve"> </w:t>
      </w:r>
      <w:r>
        <w:rPr>
          <w:b/>
        </w:rPr>
        <w:t>appoints a specified person as the Chief Health Officer.</w:t>
      </w:r>
    </w:p>
    <w:p w:rsidR="004A4A2A" w:rsidRPr="00842199" w:rsidRDefault="004A4A2A" w:rsidP="000D5EDC">
      <w:pPr>
        <w:pStyle w:val="Bodycopy"/>
        <w:keepLines/>
        <w:numPr>
          <w:ilvl w:val="0"/>
          <w:numId w:val="27"/>
        </w:numPr>
        <w:tabs>
          <w:tab w:val="clear" w:pos="1276"/>
          <w:tab w:val="left" w:pos="0"/>
        </w:tabs>
        <w:spacing w:before="160" w:after="160" w:line="280" w:lineRule="exact"/>
        <w:ind w:left="360"/>
        <w:rPr>
          <w:b/>
        </w:rPr>
      </w:pPr>
      <w:r>
        <w:rPr>
          <w:b/>
        </w:rPr>
        <w:t>Disallowable Instrument</w:t>
      </w:r>
      <w:r w:rsidRPr="00451C85">
        <w:rPr>
          <w:b/>
        </w:rPr>
        <w:t xml:space="preserve"> </w:t>
      </w:r>
      <w:r>
        <w:rPr>
          <w:b/>
        </w:rPr>
        <w:t>DI2019-260</w:t>
      </w:r>
      <w:r w:rsidRPr="00451C85">
        <w:rPr>
          <w:b/>
        </w:rPr>
        <w:t xml:space="preserve"> being the </w:t>
      </w:r>
      <w:r>
        <w:rPr>
          <w:b/>
        </w:rPr>
        <w:t xml:space="preserve">Health Records (Privacy and Access) (Fees) Determination 2019 (No 1) made under section 34 of the </w:t>
      </w:r>
      <w:r>
        <w:rPr>
          <w:i/>
        </w:rPr>
        <w:t>Health Records (Privacy and Access) Act 1997</w:t>
      </w:r>
      <w:r w:rsidRPr="00236BDD">
        <w:rPr>
          <w:b/>
        </w:rPr>
        <w:t xml:space="preserve"> </w:t>
      </w:r>
      <w:r>
        <w:rPr>
          <w:b/>
        </w:rPr>
        <w:t>revokes DI2018-294 and determines fees payable for the purposes of the Act.</w:t>
      </w:r>
    </w:p>
    <w:p w:rsidR="004A4A2A" w:rsidRPr="00842199" w:rsidRDefault="004A4A2A" w:rsidP="000D5EDC">
      <w:pPr>
        <w:pStyle w:val="Bodycopy"/>
        <w:numPr>
          <w:ilvl w:val="0"/>
          <w:numId w:val="27"/>
        </w:numPr>
        <w:tabs>
          <w:tab w:val="clear" w:pos="1276"/>
          <w:tab w:val="left" w:pos="0"/>
        </w:tabs>
        <w:spacing w:before="160" w:after="160" w:line="280" w:lineRule="exact"/>
        <w:ind w:left="360"/>
        <w:rPr>
          <w:b/>
        </w:rPr>
      </w:pPr>
      <w:r>
        <w:rPr>
          <w:b/>
        </w:rPr>
        <w:t>Disallowable Instrument</w:t>
      </w:r>
      <w:r w:rsidRPr="00451C85">
        <w:rPr>
          <w:b/>
        </w:rPr>
        <w:t xml:space="preserve"> </w:t>
      </w:r>
      <w:r>
        <w:rPr>
          <w:b/>
        </w:rPr>
        <w:t>DI2019-261</w:t>
      </w:r>
      <w:r w:rsidRPr="00451C85">
        <w:rPr>
          <w:b/>
        </w:rPr>
        <w:t xml:space="preserve"> being the </w:t>
      </w:r>
      <w:r>
        <w:rPr>
          <w:b/>
        </w:rPr>
        <w:t xml:space="preserve">Health (Fees) Determination 2019 (No 2) made under section 192 of the </w:t>
      </w:r>
      <w:r>
        <w:rPr>
          <w:i/>
        </w:rPr>
        <w:t>Health Act 1993</w:t>
      </w:r>
      <w:r w:rsidRPr="00236BDD">
        <w:rPr>
          <w:b/>
        </w:rPr>
        <w:t xml:space="preserve"> </w:t>
      </w:r>
      <w:r>
        <w:rPr>
          <w:b/>
        </w:rPr>
        <w:t>repeals DI2019-180 and determines fees payable for the purposes of the Act.</w:t>
      </w:r>
    </w:p>
    <w:p w:rsidR="004A4A2A" w:rsidRPr="00842199" w:rsidRDefault="004A4A2A" w:rsidP="000D5EDC">
      <w:pPr>
        <w:pStyle w:val="Bodycopy"/>
        <w:numPr>
          <w:ilvl w:val="0"/>
          <w:numId w:val="27"/>
        </w:numPr>
        <w:tabs>
          <w:tab w:val="clear" w:pos="1276"/>
          <w:tab w:val="left" w:pos="0"/>
        </w:tabs>
        <w:spacing w:before="160" w:after="160" w:line="280" w:lineRule="exact"/>
        <w:ind w:left="360"/>
        <w:rPr>
          <w:b/>
        </w:rPr>
      </w:pPr>
      <w:r>
        <w:rPr>
          <w:b/>
        </w:rPr>
        <w:t>Disallowable Instrument</w:t>
      </w:r>
      <w:r w:rsidRPr="00451C85">
        <w:rPr>
          <w:b/>
        </w:rPr>
        <w:t xml:space="preserve"> </w:t>
      </w:r>
      <w:r>
        <w:rPr>
          <w:b/>
        </w:rPr>
        <w:t>DI2019-262</w:t>
      </w:r>
      <w:r w:rsidRPr="00451C85">
        <w:rPr>
          <w:b/>
        </w:rPr>
        <w:t xml:space="preserve"> being the </w:t>
      </w:r>
      <w:r>
        <w:rPr>
          <w:b/>
        </w:rPr>
        <w:t xml:space="preserve">Work Health and Safety (Work Safety Council) Appointment Revocation 2019 (No 1) made under Schedule 2, section 2.3 of the </w:t>
      </w:r>
      <w:r>
        <w:rPr>
          <w:i/>
        </w:rPr>
        <w:t>Work Health and Safety Act 2011</w:t>
      </w:r>
      <w:r w:rsidRPr="00236BDD">
        <w:rPr>
          <w:b/>
        </w:rPr>
        <w:t xml:space="preserve"> </w:t>
      </w:r>
      <w:r>
        <w:rPr>
          <w:b/>
        </w:rPr>
        <w:t>revokes DI2017-59, DI2017-60, DI2017-222, DI2018-32, DI2018-130, DI2018-132 and DI2018-133.</w:t>
      </w:r>
    </w:p>
    <w:p w:rsidR="004A4A2A" w:rsidRPr="00842199" w:rsidRDefault="004A4A2A" w:rsidP="000D5EDC">
      <w:pPr>
        <w:pStyle w:val="Bodycopy"/>
        <w:numPr>
          <w:ilvl w:val="0"/>
          <w:numId w:val="27"/>
        </w:numPr>
        <w:tabs>
          <w:tab w:val="clear" w:pos="1276"/>
          <w:tab w:val="left" w:pos="0"/>
        </w:tabs>
        <w:spacing w:before="160" w:after="160" w:line="280" w:lineRule="exact"/>
        <w:ind w:left="360"/>
        <w:rPr>
          <w:b/>
        </w:rPr>
      </w:pPr>
      <w:r>
        <w:rPr>
          <w:b/>
        </w:rPr>
        <w:t>Disallowable Instrument</w:t>
      </w:r>
      <w:r w:rsidRPr="00451C85">
        <w:rPr>
          <w:b/>
        </w:rPr>
        <w:t xml:space="preserve"> </w:t>
      </w:r>
      <w:r>
        <w:rPr>
          <w:b/>
        </w:rPr>
        <w:t>DI2019-263</w:t>
      </w:r>
      <w:r w:rsidRPr="00451C85">
        <w:rPr>
          <w:b/>
        </w:rPr>
        <w:t xml:space="preserve"> being the </w:t>
      </w:r>
      <w:r>
        <w:rPr>
          <w:b/>
        </w:rPr>
        <w:t xml:space="preserve">Public Place Names (Strathnairn) Determination 2019 made under section 3 of the </w:t>
      </w:r>
      <w:r>
        <w:rPr>
          <w:i/>
        </w:rPr>
        <w:t>Public Place Names Act 1989</w:t>
      </w:r>
      <w:r w:rsidRPr="00236BDD">
        <w:rPr>
          <w:b/>
        </w:rPr>
        <w:t xml:space="preserve"> </w:t>
      </w:r>
      <w:r>
        <w:rPr>
          <w:b/>
        </w:rPr>
        <w:t>determines the names of 19 roads in the Division of Strathnairn.</w:t>
      </w:r>
    </w:p>
    <w:p w:rsidR="004A4A2A" w:rsidRPr="00842199" w:rsidRDefault="004A4A2A" w:rsidP="000D5EDC">
      <w:pPr>
        <w:pStyle w:val="Bodycopy"/>
        <w:numPr>
          <w:ilvl w:val="0"/>
          <w:numId w:val="27"/>
        </w:numPr>
        <w:tabs>
          <w:tab w:val="clear" w:pos="1276"/>
          <w:tab w:val="left" w:pos="0"/>
        </w:tabs>
        <w:spacing w:before="160" w:after="160" w:line="280" w:lineRule="exact"/>
        <w:ind w:left="360"/>
        <w:rPr>
          <w:b/>
        </w:rPr>
      </w:pPr>
      <w:r>
        <w:rPr>
          <w:b/>
        </w:rPr>
        <w:t>Disallowable Instrument</w:t>
      </w:r>
      <w:r w:rsidRPr="00451C85">
        <w:rPr>
          <w:b/>
        </w:rPr>
        <w:t xml:space="preserve"> </w:t>
      </w:r>
      <w:r>
        <w:rPr>
          <w:b/>
        </w:rPr>
        <w:t>DI2019-264</w:t>
      </w:r>
      <w:r w:rsidRPr="00451C85">
        <w:rPr>
          <w:b/>
        </w:rPr>
        <w:t xml:space="preserve"> being the </w:t>
      </w:r>
      <w:r>
        <w:rPr>
          <w:b/>
        </w:rPr>
        <w:t xml:space="preserve">Public Place Names (Whitlam) Determination 2019 (No 2) made under section 3 of the </w:t>
      </w:r>
      <w:r>
        <w:rPr>
          <w:i/>
        </w:rPr>
        <w:t>Public Place Names Act 1989</w:t>
      </w:r>
      <w:r w:rsidRPr="00236BDD">
        <w:rPr>
          <w:b/>
        </w:rPr>
        <w:t xml:space="preserve"> </w:t>
      </w:r>
      <w:r>
        <w:rPr>
          <w:b/>
        </w:rPr>
        <w:t>determines the names of three roads in the Division of Whitlam.</w:t>
      </w:r>
    </w:p>
    <w:p w:rsidR="004A4A2A" w:rsidRPr="004A4A2A" w:rsidRDefault="004A4A2A" w:rsidP="000D5EDC">
      <w:pPr>
        <w:pStyle w:val="Bodycopy"/>
        <w:numPr>
          <w:ilvl w:val="0"/>
          <w:numId w:val="27"/>
        </w:numPr>
        <w:tabs>
          <w:tab w:val="clear" w:pos="1276"/>
          <w:tab w:val="left" w:pos="0"/>
        </w:tabs>
        <w:spacing w:before="160" w:after="160" w:line="280" w:lineRule="exact"/>
        <w:ind w:left="360"/>
        <w:rPr>
          <w:b/>
          <w:spacing w:val="-2"/>
        </w:rPr>
      </w:pPr>
      <w:r w:rsidRPr="004A4A2A">
        <w:rPr>
          <w:b/>
          <w:spacing w:val="-2"/>
        </w:rPr>
        <w:t xml:space="preserve">Disallowable Instrument DI2019-265 being the Road Transport (General) Driver Licence and Related Fees Determination 2019 (No 2) made under section 96 of the </w:t>
      </w:r>
      <w:r w:rsidRPr="004A4A2A">
        <w:rPr>
          <w:i/>
          <w:spacing w:val="-2"/>
        </w:rPr>
        <w:t>Road Transport (General) Act 1999</w:t>
      </w:r>
      <w:r w:rsidRPr="004A4A2A">
        <w:rPr>
          <w:b/>
          <w:spacing w:val="-2"/>
        </w:rPr>
        <w:t xml:space="preserve"> revokes DI2019-95 and determines fees payable for the purposes of the Act.</w:t>
      </w:r>
    </w:p>
    <w:p w:rsidR="004A4A2A" w:rsidRPr="00842199" w:rsidRDefault="004A4A2A" w:rsidP="000D5EDC">
      <w:pPr>
        <w:pStyle w:val="Bodycopy"/>
        <w:numPr>
          <w:ilvl w:val="0"/>
          <w:numId w:val="27"/>
        </w:numPr>
        <w:tabs>
          <w:tab w:val="clear" w:pos="1276"/>
          <w:tab w:val="left" w:pos="0"/>
        </w:tabs>
        <w:spacing w:before="160" w:after="160" w:line="280" w:lineRule="exact"/>
        <w:ind w:left="360"/>
        <w:rPr>
          <w:b/>
        </w:rPr>
      </w:pPr>
      <w:r>
        <w:rPr>
          <w:b/>
        </w:rPr>
        <w:t>Disallowable Instrument</w:t>
      </w:r>
      <w:r w:rsidRPr="00451C85">
        <w:rPr>
          <w:b/>
        </w:rPr>
        <w:t xml:space="preserve"> </w:t>
      </w:r>
      <w:r>
        <w:rPr>
          <w:b/>
        </w:rPr>
        <w:t>DI2019-266</w:t>
      </w:r>
      <w:r w:rsidRPr="00451C85">
        <w:rPr>
          <w:b/>
        </w:rPr>
        <w:t xml:space="preserve"> being the </w:t>
      </w:r>
      <w:r>
        <w:rPr>
          <w:b/>
        </w:rPr>
        <w:t xml:space="preserve">Nature Conservation (Spotted-tailed Quoll) Action Plan 2019 made under sections 104 and 105 of the </w:t>
      </w:r>
      <w:r>
        <w:rPr>
          <w:i/>
        </w:rPr>
        <w:t>Nature Conservation Act 2014</w:t>
      </w:r>
      <w:r w:rsidRPr="00236BDD">
        <w:rPr>
          <w:b/>
        </w:rPr>
        <w:t xml:space="preserve"> </w:t>
      </w:r>
      <w:r>
        <w:rPr>
          <w:b/>
        </w:rPr>
        <w:t>revokes DI2013</w:t>
      </w:r>
      <w:r>
        <w:rPr>
          <w:b/>
        </w:rPr>
        <w:noBreakHyphen/>
        <w:t>277 and sets out the final version of the action plan for the Spotted-tailed Quoll.</w:t>
      </w:r>
    </w:p>
    <w:p w:rsidR="004A4A2A" w:rsidRPr="00842199" w:rsidRDefault="004A4A2A" w:rsidP="000D5EDC">
      <w:pPr>
        <w:pStyle w:val="Bodycopy"/>
        <w:numPr>
          <w:ilvl w:val="0"/>
          <w:numId w:val="27"/>
        </w:numPr>
        <w:tabs>
          <w:tab w:val="clear" w:pos="1276"/>
          <w:tab w:val="left" w:pos="0"/>
        </w:tabs>
        <w:spacing w:before="160" w:after="160" w:line="280" w:lineRule="exact"/>
        <w:ind w:left="360"/>
        <w:rPr>
          <w:b/>
        </w:rPr>
      </w:pPr>
      <w:bookmarkStart w:id="409" w:name="_Hlk31534091"/>
      <w:r>
        <w:rPr>
          <w:b/>
        </w:rPr>
        <w:t>Disallowable Instrument</w:t>
      </w:r>
      <w:r w:rsidRPr="00451C85">
        <w:rPr>
          <w:b/>
        </w:rPr>
        <w:t xml:space="preserve"> </w:t>
      </w:r>
      <w:r>
        <w:rPr>
          <w:b/>
        </w:rPr>
        <w:t>DI2019-267</w:t>
      </w:r>
      <w:r w:rsidRPr="00451C85">
        <w:rPr>
          <w:b/>
        </w:rPr>
        <w:t xml:space="preserve"> being the </w:t>
      </w:r>
      <w:r>
        <w:rPr>
          <w:b/>
        </w:rPr>
        <w:t xml:space="preserve">Environment Protection (Automotive Trades) Code of Practice 2019, including a regulatory impact statement, made under section 31 of the </w:t>
      </w:r>
      <w:r>
        <w:rPr>
          <w:i/>
        </w:rPr>
        <w:t>Environment Protection Act 1997</w:t>
      </w:r>
      <w:r w:rsidRPr="00236BDD">
        <w:rPr>
          <w:b/>
        </w:rPr>
        <w:t xml:space="preserve"> </w:t>
      </w:r>
      <w:r>
        <w:rPr>
          <w:b/>
        </w:rPr>
        <w:t>accredits the Environment Protection (Automotive Trades) Code of Practice.</w:t>
      </w:r>
    </w:p>
    <w:bookmarkEnd w:id="409"/>
    <w:p w:rsidR="004A4A2A" w:rsidRPr="00842199" w:rsidRDefault="004A4A2A" w:rsidP="000D5EDC">
      <w:pPr>
        <w:pStyle w:val="Bodycopy"/>
        <w:numPr>
          <w:ilvl w:val="0"/>
          <w:numId w:val="27"/>
        </w:numPr>
        <w:tabs>
          <w:tab w:val="clear" w:pos="1276"/>
          <w:tab w:val="left" w:pos="0"/>
        </w:tabs>
        <w:spacing w:before="160" w:after="160" w:line="280" w:lineRule="exact"/>
        <w:ind w:left="360"/>
        <w:rPr>
          <w:b/>
        </w:rPr>
      </w:pPr>
      <w:r>
        <w:rPr>
          <w:b/>
        </w:rPr>
        <w:t>Disallowable Instrument</w:t>
      </w:r>
      <w:r w:rsidRPr="00451C85">
        <w:rPr>
          <w:b/>
        </w:rPr>
        <w:t xml:space="preserve"> </w:t>
      </w:r>
      <w:r>
        <w:rPr>
          <w:b/>
        </w:rPr>
        <w:t>DI2019-268</w:t>
      </w:r>
      <w:r w:rsidRPr="00451C85">
        <w:rPr>
          <w:b/>
        </w:rPr>
        <w:t xml:space="preserve"> being the </w:t>
      </w:r>
      <w:r>
        <w:rPr>
          <w:b/>
        </w:rPr>
        <w:t xml:space="preserve">Utilities (Licensing) Exemption 2019 made under section 22 of the </w:t>
      </w:r>
      <w:r>
        <w:rPr>
          <w:i/>
        </w:rPr>
        <w:t>Utilities Act 2000</w:t>
      </w:r>
      <w:r w:rsidRPr="00236BDD">
        <w:rPr>
          <w:b/>
        </w:rPr>
        <w:t xml:space="preserve"> </w:t>
      </w:r>
      <w:r>
        <w:rPr>
          <w:b/>
        </w:rPr>
        <w:t>exempts the Territory, as represented by the Directorate that has responsibility from time to time for providing the non-potable water supply service, from the requirement for a licence to operate the Inner North Reticulation Network.</w:t>
      </w:r>
    </w:p>
    <w:p w:rsidR="004A4A2A" w:rsidRPr="00842199" w:rsidRDefault="004A4A2A" w:rsidP="000D5EDC">
      <w:pPr>
        <w:pStyle w:val="Bodycopy"/>
        <w:numPr>
          <w:ilvl w:val="0"/>
          <w:numId w:val="27"/>
        </w:numPr>
        <w:tabs>
          <w:tab w:val="clear" w:pos="1276"/>
          <w:tab w:val="left" w:pos="0"/>
        </w:tabs>
        <w:spacing w:before="160" w:after="160" w:line="280" w:lineRule="exact"/>
        <w:ind w:left="360"/>
        <w:rPr>
          <w:b/>
        </w:rPr>
      </w:pPr>
      <w:r>
        <w:rPr>
          <w:b/>
        </w:rPr>
        <w:t>Disallowable Instrument</w:t>
      </w:r>
      <w:r w:rsidRPr="00451C85">
        <w:rPr>
          <w:b/>
        </w:rPr>
        <w:t xml:space="preserve"> </w:t>
      </w:r>
      <w:r>
        <w:rPr>
          <w:b/>
        </w:rPr>
        <w:t>DI2019-269</w:t>
      </w:r>
      <w:r w:rsidRPr="00451C85">
        <w:rPr>
          <w:b/>
        </w:rPr>
        <w:t xml:space="preserve"> being the </w:t>
      </w:r>
      <w:r>
        <w:rPr>
          <w:b/>
        </w:rPr>
        <w:t xml:space="preserve">Road Transport (General) Exclusion of Road Transport Legislation (Summernats) Declaration 2019 (No 1) made under section 13 of the </w:t>
      </w:r>
      <w:r>
        <w:rPr>
          <w:i/>
        </w:rPr>
        <w:t>Road Transport (General) Act 1999</w:t>
      </w:r>
      <w:r w:rsidRPr="00236BDD">
        <w:rPr>
          <w:b/>
        </w:rPr>
        <w:t xml:space="preserve"> </w:t>
      </w:r>
      <w:r>
        <w:rPr>
          <w:b/>
        </w:rPr>
        <w:t>disapplies specified provisions of the Road Transport (Safety and Traffic) Management Act, the Road Transport (Third-Party Insurance) Act, the Road Transport (Vehicle Registration) Act, the Road Transport (Vehicle Registration) Regulation, and the Road Transport (Driver Licensing) Regulation for vehicles and persons participating in the Summernats 33 Car Festival 2020.</w:t>
      </w:r>
    </w:p>
    <w:p w:rsidR="004A4A2A" w:rsidRPr="00842199" w:rsidRDefault="004A4A2A" w:rsidP="000D5EDC">
      <w:pPr>
        <w:pStyle w:val="Bodycopy"/>
        <w:numPr>
          <w:ilvl w:val="0"/>
          <w:numId w:val="27"/>
        </w:numPr>
        <w:tabs>
          <w:tab w:val="clear" w:pos="1276"/>
          <w:tab w:val="left" w:pos="0"/>
        </w:tabs>
        <w:spacing w:before="160" w:after="160" w:line="280" w:lineRule="exact"/>
        <w:ind w:left="360"/>
        <w:rPr>
          <w:b/>
        </w:rPr>
      </w:pPr>
      <w:r>
        <w:rPr>
          <w:b/>
        </w:rPr>
        <w:t>Disallowable Instrument</w:t>
      </w:r>
      <w:r w:rsidRPr="00451C85">
        <w:rPr>
          <w:b/>
        </w:rPr>
        <w:t xml:space="preserve"> </w:t>
      </w:r>
      <w:r>
        <w:rPr>
          <w:b/>
        </w:rPr>
        <w:t>DI2019-270</w:t>
      </w:r>
      <w:r w:rsidRPr="00451C85">
        <w:rPr>
          <w:b/>
        </w:rPr>
        <w:t xml:space="preserve"> being the </w:t>
      </w:r>
      <w:r>
        <w:rPr>
          <w:b/>
        </w:rPr>
        <w:t xml:space="preserve">Duties (Pensioner Concession Duty Deferral Scheme) Determination 2019 made under section 75AG of the </w:t>
      </w:r>
      <w:r>
        <w:rPr>
          <w:i/>
        </w:rPr>
        <w:t>Duties Act 1999</w:t>
      </w:r>
      <w:r w:rsidRPr="00236BDD">
        <w:rPr>
          <w:b/>
        </w:rPr>
        <w:t xml:space="preserve"> </w:t>
      </w:r>
      <w:r>
        <w:rPr>
          <w:b/>
        </w:rPr>
        <w:t>revokes DI2019</w:t>
      </w:r>
      <w:r>
        <w:rPr>
          <w:b/>
        </w:rPr>
        <w:noBreakHyphen/>
        <w:t>139 and determines the Pensioner Concession Duty Deferral Scheme for the deferred payment of duty payable by a Pensioner Duty Concession Scheme transferee on an eligible transaction.</w:t>
      </w:r>
    </w:p>
    <w:p w:rsidR="004A4A2A" w:rsidRPr="00842199" w:rsidRDefault="004A4A2A" w:rsidP="000D5EDC">
      <w:pPr>
        <w:pStyle w:val="Bodycopy"/>
        <w:numPr>
          <w:ilvl w:val="0"/>
          <w:numId w:val="27"/>
        </w:numPr>
        <w:tabs>
          <w:tab w:val="clear" w:pos="1276"/>
          <w:tab w:val="left" w:pos="0"/>
        </w:tabs>
        <w:spacing w:before="160" w:after="160" w:line="280" w:lineRule="exact"/>
        <w:ind w:left="360"/>
        <w:rPr>
          <w:b/>
        </w:rPr>
      </w:pPr>
      <w:r>
        <w:rPr>
          <w:b/>
        </w:rPr>
        <w:t>Disallowable Instrument</w:t>
      </w:r>
      <w:r w:rsidRPr="00451C85">
        <w:rPr>
          <w:b/>
        </w:rPr>
        <w:t xml:space="preserve"> </w:t>
      </w:r>
      <w:r>
        <w:rPr>
          <w:b/>
        </w:rPr>
        <w:t>DI2019-271</w:t>
      </w:r>
      <w:r w:rsidRPr="00451C85">
        <w:rPr>
          <w:b/>
        </w:rPr>
        <w:t xml:space="preserve"> being the </w:t>
      </w:r>
      <w:r>
        <w:rPr>
          <w:b/>
        </w:rPr>
        <w:t xml:space="preserve">Taxation Administration (Amounts Payable—Home Buyer Concession Scheme) Determination 2019 (No 3) made under section 139 of the </w:t>
      </w:r>
      <w:r>
        <w:rPr>
          <w:i/>
        </w:rPr>
        <w:t>Taxation Administration Act 1999</w:t>
      </w:r>
      <w:r w:rsidRPr="00236BDD">
        <w:rPr>
          <w:b/>
        </w:rPr>
        <w:t xml:space="preserve"> </w:t>
      </w:r>
      <w:r>
        <w:rPr>
          <w:b/>
        </w:rPr>
        <w:t>revokes DI2019-137 and determines, for the purposes of the Scheme, the eligibility criteria of the eligible property, determination of amounts, method of calculation of duty payable and eligibility requirements.</w:t>
      </w:r>
    </w:p>
    <w:p w:rsidR="004A4A2A" w:rsidRPr="00842199" w:rsidRDefault="004A4A2A" w:rsidP="000D5EDC">
      <w:pPr>
        <w:pStyle w:val="Bodycopy"/>
        <w:numPr>
          <w:ilvl w:val="0"/>
          <w:numId w:val="27"/>
        </w:numPr>
        <w:tabs>
          <w:tab w:val="clear" w:pos="1276"/>
          <w:tab w:val="left" w:pos="0"/>
        </w:tabs>
        <w:spacing w:before="160" w:after="160" w:line="280" w:lineRule="exact"/>
        <w:ind w:left="360"/>
        <w:rPr>
          <w:b/>
        </w:rPr>
      </w:pPr>
      <w:r>
        <w:rPr>
          <w:b/>
        </w:rPr>
        <w:t>Disallowable Instrument</w:t>
      </w:r>
      <w:r w:rsidRPr="00451C85">
        <w:rPr>
          <w:b/>
        </w:rPr>
        <w:t xml:space="preserve"> </w:t>
      </w:r>
      <w:r>
        <w:rPr>
          <w:b/>
        </w:rPr>
        <w:t>DI2019-272</w:t>
      </w:r>
      <w:r w:rsidRPr="00451C85">
        <w:rPr>
          <w:b/>
        </w:rPr>
        <w:t xml:space="preserve"> being the </w:t>
      </w:r>
      <w:r>
        <w:rPr>
          <w:b/>
        </w:rPr>
        <w:t xml:space="preserve">Taxation Administration (Amounts Payable—Rates) Determination 2019 (No 2) made under paragraph 46(2)(f) of the and section 139 of the </w:t>
      </w:r>
      <w:r>
        <w:rPr>
          <w:i/>
        </w:rPr>
        <w:t>Rates Act 2004 and the Taxation Administration Act 1999</w:t>
      </w:r>
      <w:r w:rsidRPr="00236BDD">
        <w:rPr>
          <w:b/>
        </w:rPr>
        <w:t xml:space="preserve"> </w:t>
      </w:r>
      <w:r>
        <w:rPr>
          <w:b/>
        </w:rPr>
        <w:t>revokes DI2019-142 and determines amounts for fixed charge and percentage rates for the purposes of the Rates Act 2004.</w:t>
      </w:r>
    </w:p>
    <w:p w:rsidR="004A4A2A" w:rsidRPr="00842199" w:rsidRDefault="004A4A2A" w:rsidP="000D5EDC">
      <w:pPr>
        <w:pStyle w:val="Bodycopy"/>
        <w:numPr>
          <w:ilvl w:val="0"/>
          <w:numId w:val="27"/>
        </w:numPr>
        <w:tabs>
          <w:tab w:val="clear" w:pos="1276"/>
          <w:tab w:val="left" w:pos="0"/>
        </w:tabs>
        <w:spacing w:before="160" w:after="160" w:line="280" w:lineRule="exact"/>
        <w:ind w:left="360"/>
        <w:rPr>
          <w:b/>
        </w:rPr>
      </w:pPr>
      <w:r>
        <w:rPr>
          <w:b/>
        </w:rPr>
        <w:t>Disallowable Instrument</w:t>
      </w:r>
      <w:r w:rsidRPr="00451C85">
        <w:rPr>
          <w:b/>
        </w:rPr>
        <w:t xml:space="preserve"> </w:t>
      </w:r>
      <w:r>
        <w:rPr>
          <w:b/>
        </w:rPr>
        <w:t>DI2019-273</w:t>
      </w:r>
      <w:r w:rsidRPr="00451C85">
        <w:rPr>
          <w:b/>
        </w:rPr>
        <w:t xml:space="preserve"> being the </w:t>
      </w:r>
      <w:r>
        <w:rPr>
          <w:b/>
        </w:rPr>
        <w:t xml:space="preserve">Senior Practitioner (Positive Behaviour Support Plan) Guideline 2019 (No 2) made under section 12 of the </w:t>
      </w:r>
      <w:r>
        <w:rPr>
          <w:i/>
        </w:rPr>
        <w:t>Senior Practitioner Act 2018</w:t>
      </w:r>
      <w:r w:rsidRPr="00236BDD">
        <w:rPr>
          <w:b/>
        </w:rPr>
        <w:t xml:space="preserve"> </w:t>
      </w:r>
      <w:r>
        <w:rPr>
          <w:b/>
        </w:rPr>
        <w:t>makes the Positive Behaviour Support Plan Guideline (Version 2).</w:t>
      </w:r>
    </w:p>
    <w:p w:rsidR="004A4A2A" w:rsidRPr="00842199" w:rsidRDefault="004A4A2A" w:rsidP="000D5EDC">
      <w:pPr>
        <w:pStyle w:val="Bodycopy"/>
        <w:numPr>
          <w:ilvl w:val="0"/>
          <w:numId w:val="27"/>
        </w:numPr>
        <w:tabs>
          <w:tab w:val="clear" w:pos="1276"/>
          <w:tab w:val="left" w:pos="0"/>
        </w:tabs>
        <w:spacing w:before="160" w:after="160" w:line="280" w:lineRule="exact"/>
        <w:ind w:left="360"/>
        <w:rPr>
          <w:b/>
        </w:rPr>
      </w:pPr>
      <w:r>
        <w:rPr>
          <w:b/>
        </w:rPr>
        <w:t>Disallowable Instrument</w:t>
      </w:r>
      <w:r w:rsidRPr="00451C85">
        <w:rPr>
          <w:b/>
        </w:rPr>
        <w:t xml:space="preserve"> </w:t>
      </w:r>
      <w:r>
        <w:rPr>
          <w:b/>
        </w:rPr>
        <w:t>DI2019-274</w:t>
      </w:r>
      <w:r w:rsidRPr="00451C85">
        <w:rPr>
          <w:b/>
        </w:rPr>
        <w:t xml:space="preserve"> being the </w:t>
      </w:r>
      <w:r>
        <w:rPr>
          <w:b/>
        </w:rPr>
        <w:t xml:space="preserve">Senior Practitioner (Positive Behaviour Support Panel) Guideline 2019 (No 2) made under section 21 of the </w:t>
      </w:r>
      <w:r>
        <w:rPr>
          <w:i/>
        </w:rPr>
        <w:t>Senior Practitioner Act 2018</w:t>
      </w:r>
      <w:r w:rsidRPr="00236BDD">
        <w:rPr>
          <w:b/>
        </w:rPr>
        <w:t xml:space="preserve"> </w:t>
      </w:r>
      <w:r>
        <w:rPr>
          <w:b/>
        </w:rPr>
        <w:t>revokes DI2019-65 and makes the Positive Behaviour Support Panel Guideline (Version 2).</w:t>
      </w:r>
    </w:p>
    <w:p w:rsidR="004A4A2A" w:rsidRPr="00842199" w:rsidRDefault="004A4A2A" w:rsidP="000D5EDC">
      <w:pPr>
        <w:pStyle w:val="Bodycopy"/>
        <w:numPr>
          <w:ilvl w:val="0"/>
          <w:numId w:val="27"/>
        </w:numPr>
        <w:tabs>
          <w:tab w:val="clear" w:pos="1276"/>
          <w:tab w:val="left" w:pos="0"/>
        </w:tabs>
        <w:spacing w:before="160" w:after="160" w:line="280" w:lineRule="exact"/>
        <w:ind w:left="360"/>
        <w:rPr>
          <w:b/>
        </w:rPr>
      </w:pPr>
      <w:r>
        <w:rPr>
          <w:b/>
        </w:rPr>
        <w:t>Disallowable Instrument</w:t>
      </w:r>
      <w:r w:rsidRPr="00451C85">
        <w:rPr>
          <w:b/>
        </w:rPr>
        <w:t xml:space="preserve"> </w:t>
      </w:r>
      <w:r>
        <w:rPr>
          <w:b/>
        </w:rPr>
        <w:t>DI2019-275</w:t>
      </w:r>
      <w:r w:rsidRPr="00451C85">
        <w:rPr>
          <w:b/>
        </w:rPr>
        <w:t xml:space="preserve"> being the </w:t>
      </w:r>
      <w:r>
        <w:rPr>
          <w:b/>
        </w:rPr>
        <w:t xml:space="preserve">Taxation Administration (Amounts Payable—Ambulance Levy) Determination 2019 made under section 139 of the </w:t>
      </w:r>
      <w:r>
        <w:rPr>
          <w:i/>
        </w:rPr>
        <w:t>Taxation Administration Act 1999</w:t>
      </w:r>
      <w:r w:rsidRPr="00236BDD">
        <w:rPr>
          <w:b/>
        </w:rPr>
        <w:t xml:space="preserve"> </w:t>
      </w:r>
      <w:r>
        <w:rPr>
          <w:b/>
        </w:rPr>
        <w:t>revokes DI2018-300 and determines the amount RA for the reference months January to December 2020.</w:t>
      </w:r>
    </w:p>
    <w:p w:rsidR="004A4A2A" w:rsidRPr="00842199" w:rsidRDefault="004A4A2A" w:rsidP="000D5EDC">
      <w:pPr>
        <w:pStyle w:val="Bodycopy"/>
        <w:numPr>
          <w:ilvl w:val="0"/>
          <w:numId w:val="27"/>
        </w:numPr>
        <w:tabs>
          <w:tab w:val="clear" w:pos="1276"/>
          <w:tab w:val="left" w:pos="0"/>
        </w:tabs>
        <w:spacing w:before="160" w:after="160" w:line="280" w:lineRule="exact"/>
        <w:ind w:left="360"/>
        <w:rPr>
          <w:b/>
        </w:rPr>
      </w:pPr>
      <w:r>
        <w:rPr>
          <w:b/>
        </w:rPr>
        <w:t>Disallowable Instrument</w:t>
      </w:r>
      <w:r w:rsidRPr="00451C85">
        <w:rPr>
          <w:b/>
        </w:rPr>
        <w:t xml:space="preserve"> </w:t>
      </w:r>
      <w:r>
        <w:rPr>
          <w:b/>
        </w:rPr>
        <w:t>DI2019-276</w:t>
      </w:r>
      <w:r w:rsidRPr="00451C85">
        <w:rPr>
          <w:b/>
        </w:rPr>
        <w:t xml:space="preserve"> being the </w:t>
      </w:r>
      <w:r>
        <w:rPr>
          <w:b/>
        </w:rPr>
        <w:t xml:space="preserve">Motor Accident Injuries (Persons Living Outside of Australia) Guidelines 2019 made under section 487 of the </w:t>
      </w:r>
      <w:r>
        <w:rPr>
          <w:i/>
        </w:rPr>
        <w:t>Motor Accident Injuries Act 2019</w:t>
      </w:r>
      <w:r w:rsidRPr="00236BDD">
        <w:rPr>
          <w:b/>
        </w:rPr>
        <w:t xml:space="preserve"> </w:t>
      </w:r>
      <w:r>
        <w:rPr>
          <w:b/>
        </w:rPr>
        <w:t>makes the Persons Living Outside of Australia Guidelines.</w:t>
      </w:r>
    </w:p>
    <w:p w:rsidR="004A4A2A" w:rsidRPr="00842199" w:rsidRDefault="004A4A2A" w:rsidP="000D5EDC">
      <w:pPr>
        <w:pStyle w:val="Bodycopy"/>
        <w:numPr>
          <w:ilvl w:val="0"/>
          <w:numId w:val="27"/>
        </w:numPr>
        <w:tabs>
          <w:tab w:val="clear" w:pos="1276"/>
          <w:tab w:val="left" w:pos="0"/>
        </w:tabs>
        <w:spacing w:before="160" w:after="160" w:line="280" w:lineRule="exact"/>
        <w:ind w:left="360"/>
        <w:rPr>
          <w:b/>
        </w:rPr>
      </w:pPr>
      <w:r>
        <w:rPr>
          <w:b/>
        </w:rPr>
        <w:t>Disallowable Instrument</w:t>
      </w:r>
      <w:r w:rsidRPr="00451C85">
        <w:rPr>
          <w:b/>
        </w:rPr>
        <w:t xml:space="preserve"> </w:t>
      </w:r>
      <w:r>
        <w:rPr>
          <w:b/>
        </w:rPr>
        <w:t>DI2019-277</w:t>
      </w:r>
      <w:r w:rsidRPr="00451C85">
        <w:rPr>
          <w:b/>
        </w:rPr>
        <w:t xml:space="preserve"> being the </w:t>
      </w:r>
      <w:r>
        <w:rPr>
          <w:b/>
        </w:rPr>
        <w:t xml:space="preserve">Motor Accident Injuries (UVP Liability Contribution) Guideline 2019 made under section 332 of the </w:t>
      </w:r>
      <w:r>
        <w:rPr>
          <w:i/>
        </w:rPr>
        <w:t>Motor Accident Injuries Act 2019</w:t>
      </w:r>
      <w:r w:rsidRPr="00236BDD">
        <w:rPr>
          <w:b/>
        </w:rPr>
        <w:t xml:space="preserve"> </w:t>
      </w:r>
      <w:r>
        <w:rPr>
          <w:b/>
        </w:rPr>
        <w:t>makes the UVP Liability Contribution Guideline 2019.</w:t>
      </w:r>
    </w:p>
    <w:p w:rsidR="004A4A2A" w:rsidRPr="00842199" w:rsidRDefault="004A4A2A" w:rsidP="000D5EDC">
      <w:pPr>
        <w:pStyle w:val="Bodycopy"/>
        <w:numPr>
          <w:ilvl w:val="0"/>
          <w:numId w:val="27"/>
        </w:numPr>
        <w:tabs>
          <w:tab w:val="clear" w:pos="1276"/>
          <w:tab w:val="left" w:pos="0"/>
        </w:tabs>
        <w:spacing w:before="160" w:after="160" w:line="280" w:lineRule="exact"/>
        <w:ind w:left="360"/>
        <w:rPr>
          <w:b/>
        </w:rPr>
      </w:pPr>
      <w:r>
        <w:rPr>
          <w:b/>
        </w:rPr>
        <w:t>Disallowable Instrument</w:t>
      </w:r>
      <w:r w:rsidRPr="00451C85">
        <w:rPr>
          <w:b/>
        </w:rPr>
        <w:t xml:space="preserve"> </w:t>
      </w:r>
      <w:r>
        <w:rPr>
          <w:b/>
        </w:rPr>
        <w:t>DI2019-278</w:t>
      </w:r>
      <w:r w:rsidRPr="00451C85">
        <w:rPr>
          <w:b/>
        </w:rPr>
        <w:t xml:space="preserve"> being the </w:t>
      </w:r>
      <w:r>
        <w:rPr>
          <w:b/>
        </w:rPr>
        <w:t xml:space="preserve">Motor Accident Injuries (WPI Assessment) Guidelines 2019 made under section 146 of the </w:t>
      </w:r>
      <w:r>
        <w:rPr>
          <w:i/>
        </w:rPr>
        <w:t>Motor Accident Injuries Act 2019</w:t>
      </w:r>
      <w:r w:rsidRPr="00236BDD">
        <w:rPr>
          <w:b/>
        </w:rPr>
        <w:t xml:space="preserve"> </w:t>
      </w:r>
      <w:r>
        <w:rPr>
          <w:b/>
        </w:rPr>
        <w:t>makes the Whole Person Impairment Assessment Guidelines.</w:t>
      </w:r>
    </w:p>
    <w:p w:rsidR="004A4A2A" w:rsidRPr="00842199" w:rsidRDefault="004A4A2A" w:rsidP="000D5EDC">
      <w:pPr>
        <w:pStyle w:val="Bodycopy"/>
        <w:numPr>
          <w:ilvl w:val="0"/>
          <w:numId w:val="27"/>
        </w:numPr>
        <w:tabs>
          <w:tab w:val="clear" w:pos="1276"/>
          <w:tab w:val="left" w:pos="0"/>
        </w:tabs>
        <w:spacing w:before="160" w:after="160" w:line="280" w:lineRule="exact"/>
        <w:ind w:left="360"/>
        <w:rPr>
          <w:b/>
        </w:rPr>
      </w:pPr>
      <w:r>
        <w:rPr>
          <w:b/>
        </w:rPr>
        <w:t>Disallowable Instrument</w:t>
      </w:r>
      <w:r w:rsidRPr="00451C85">
        <w:rPr>
          <w:b/>
        </w:rPr>
        <w:t xml:space="preserve"> </w:t>
      </w:r>
      <w:r>
        <w:rPr>
          <w:b/>
        </w:rPr>
        <w:t>DI2019-279</w:t>
      </w:r>
      <w:r w:rsidRPr="00451C85">
        <w:rPr>
          <w:b/>
        </w:rPr>
        <w:t xml:space="preserve"> being the </w:t>
      </w:r>
      <w:r>
        <w:rPr>
          <w:b/>
        </w:rPr>
        <w:t xml:space="preserve">Road Transport (General) Application of Road Transport Legislation Declaration 2019 (No 13) made under section 12 of the </w:t>
      </w:r>
      <w:r>
        <w:rPr>
          <w:i/>
        </w:rPr>
        <w:t>Road Transport (General) Act 1999</w:t>
      </w:r>
      <w:r w:rsidRPr="00236BDD">
        <w:rPr>
          <w:b/>
        </w:rPr>
        <w:t xml:space="preserve"> </w:t>
      </w:r>
      <w:r>
        <w:rPr>
          <w:b/>
        </w:rPr>
        <w:t>suspends specific parking rules in specified areas to support the New Year's Eve in the City event.</w:t>
      </w:r>
    </w:p>
    <w:p w:rsidR="004A4A2A" w:rsidRPr="00842199" w:rsidRDefault="004A4A2A" w:rsidP="000D5EDC">
      <w:pPr>
        <w:pStyle w:val="Bodycopy"/>
        <w:numPr>
          <w:ilvl w:val="0"/>
          <w:numId w:val="27"/>
        </w:numPr>
        <w:tabs>
          <w:tab w:val="clear" w:pos="1276"/>
          <w:tab w:val="left" w:pos="0"/>
        </w:tabs>
        <w:spacing w:before="160" w:after="160" w:line="280" w:lineRule="exact"/>
        <w:ind w:left="360"/>
        <w:rPr>
          <w:b/>
        </w:rPr>
      </w:pPr>
      <w:r>
        <w:rPr>
          <w:b/>
        </w:rPr>
        <w:t>Disallowable Instrument</w:t>
      </w:r>
      <w:r w:rsidRPr="00451C85">
        <w:rPr>
          <w:b/>
        </w:rPr>
        <w:t xml:space="preserve"> </w:t>
      </w:r>
      <w:r>
        <w:rPr>
          <w:b/>
        </w:rPr>
        <w:t>DI2019-280</w:t>
      </w:r>
      <w:r w:rsidRPr="00451C85">
        <w:rPr>
          <w:b/>
        </w:rPr>
        <w:t xml:space="preserve"> being the </w:t>
      </w:r>
      <w:r>
        <w:rPr>
          <w:b/>
        </w:rPr>
        <w:t xml:space="preserve">Legislative Assembly Precincts (Fees) Determination 2019 made under section 11A of the </w:t>
      </w:r>
      <w:r>
        <w:rPr>
          <w:i/>
        </w:rPr>
        <w:t>Legislative Assembly Precincts Act 2001</w:t>
      </w:r>
      <w:r w:rsidRPr="00236BDD">
        <w:rPr>
          <w:b/>
        </w:rPr>
        <w:t xml:space="preserve"> </w:t>
      </w:r>
      <w:r>
        <w:rPr>
          <w:b/>
        </w:rPr>
        <w:t>revokes DI2012-261 and determines fees payable for the purposes of the Act.</w:t>
      </w:r>
    </w:p>
    <w:p w:rsidR="004A4A2A" w:rsidRPr="00842199" w:rsidRDefault="004A4A2A" w:rsidP="000D5EDC">
      <w:pPr>
        <w:pStyle w:val="Bodycopy"/>
        <w:numPr>
          <w:ilvl w:val="0"/>
          <w:numId w:val="27"/>
        </w:numPr>
        <w:tabs>
          <w:tab w:val="clear" w:pos="1276"/>
          <w:tab w:val="left" w:pos="0"/>
        </w:tabs>
        <w:spacing w:before="160" w:after="160" w:line="280" w:lineRule="exact"/>
        <w:ind w:left="360"/>
        <w:rPr>
          <w:b/>
        </w:rPr>
      </w:pPr>
      <w:r>
        <w:rPr>
          <w:b/>
        </w:rPr>
        <w:t>Disallowable Instrument</w:t>
      </w:r>
      <w:r w:rsidRPr="00451C85">
        <w:rPr>
          <w:b/>
        </w:rPr>
        <w:t xml:space="preserve"> </w:t>
      </w:r>
      <w:r>
        <w:rPr>
          <w:b/>
        </w:rPr>
        <w:t>DI2019-281</w:t>
      </w:r>
      <w:r w:rsidRPr="00451C85">
        <w:rPr>
          <w:b/>
        </w:rPr>
        <w:t xml:space="preserve"> being the </w:t>
      </w:r>
      <w:r>
        <w:rPr>
          <w:b/>
        </w:rPr>
        <w:t xml:space="preserve">Veterinary Practice (Board) Appointment 2019 (No 3) made under subsection 93(2) of the </w:t>
      </w:r>
      <w:r>
        <w:rPr>
          <w:i/>
        </w:rPr>
        <w:t>Veterinary Practice Act 2018</w:t>
      </w:r>
      <w:r w:rsidRPr="00236BDD">
        <w:rPr>
          <w:b/>
        </w:rPr>
        <w:t xml:space="preserve"> </w:t>
      </w:r>
      <w:r>
        <w:rPr>
          <w:b/>
        </w:rPr>
        <w:t>appoints specified persons as the president and a member of the Veterinary Practitioners Board.</w:t>
      </w:r>
    </w:p>
    <w:p w:rsidR="004A4A2A" w:rsidRPr="00842199" w:rsidRDefault="004A4A2A" w:rsidP="000D5EDC">
      <w:pPr>
        <w:pStyle w:val="Bodycopy"/>
        <w:numPr>
          <w:ilvl w:val="0"/>
          <w:numId w:val="27"/>
        </w:numPr>
        <w:tabs>
          <w:tab w:val="clear" w:pos="1276"/>
          <w:tab w:val="left" w:pos="0"/>
        </w:tabs>
        <w:spacing w:before="160" w:after="160" w:line="280" w:lineRule="exact"/>
        <w:ind w:left="360"/>
        <w:rPr>
          <w:b/>
        </w:rPr>
      </w:pPr>
      <w:r>
        <w:rPr>
          <w:b/>
        </w:rPr>
        <w:t>Disallowable Instrument</w:t>
      </w:r>
      <w:r w:rsidRPr="00451C85">
        <w:rPr>
          <w:b/>
        </w:rPr>
        <w:t xml:space="preserve"> </w:t>
      </w:r>
      <w:r>
        <w:rPr>
          <w:b/>
        </w:rPr>
        <w:t>DI2019-282</w:t>
      </w:r>
      <w:r w:rsidRPr="00451C85">
        <w:rPr>
          <w:b/>
        </w:rPr>
        <w:t xml:space="preserve"> being the </w:t>
      </w:r>
      <w:r>
        <w:rPr>
          <w:b/>
        </w:rPr>
        <w:t xml:space="preserve">Tree Protection (Advisory Panel) Appointment 2019 (No 1) made under section 69 of the </w:t>
      </w:r>
      <w:r>
        <w:rPr>
          <w:i/>
        </w:rPr>
        <w:t>Tree Protection Act 2005</w:t>
      </w:r>
      <w:r w:rsidRPr="00236BDD">
        <w:rPr>
          <w:b/>
        </w:rPr>
        <w:t xml:space="preserve"> </w:t>
      </w:r>
      <w:r>
        <w:rPr>
          <w:b/>
        </w:rPr>
        <w:t>appoints specified persons as members of the Tree Advisory Panel.</w:t>
      </w:r>
    </w:p>
    <w:p w:rsidR="004A4A2A" w:rsidRPr="00842199" w:rsidRDefault="004A4A2A" w:rsidP="000D5EDC">
      <w:pPr>
        <w:pStyle w:val="Bodycopy"/>
        <w:keepLines/>
        <w:numPr>
          <w:ilvl w:val="0"/>
          <w:numId w:val="27"/>
        </w:numPr>
        <w:tabs>
          <w:tab w:val="clear" w:pos="1276"/>
          <w:tab w:val="left" w:pos="0"/>
        </w:tabs>
        <w:spacing w:before="160" w:after="160" w:line="280" w:lineRule="exact"/>
        <w:ind w:left="360"/>
        <w:rPr>
          <w:b/>
        </w:rPr>
      </w:pPr>
      <w:r>
        <w:rPr>
          <w:b/>
        </w:rPr>
        <w:t>Disallowable Instrument</w:t>
      </w:r>
      <w:r w:rsidRPr="00451C85">
        <w:rPr>
          <w:b/>
        </w:rPr>
        <w:t xml:space="preserve"> </w:t>
      </w:r>
      <w:r>
        <w:rPr>
          <w:b/>
        </w:rPr>
        <w:t>DI2019-284</w:t>
      </w:r>
      <w:r w:rsidRPr="00451C85">
        <w:rPr>
          <w:b/>
        </w:rPr>
        <w:t xml:space="preserve"> being the </w:t>
      </w:r>
      <w:r>
        <w:rPr>
          <w:b/>
        </w:rPr>
        <w:t xml:space="preserve">Civil Law (Wrongs) CPA Australia Ltd Professional Standards (Accountants) Scheme 2019 (No 1) made under section 4.10, Schedule 4 of the </w:t>
      </w:r>
      <w:r>
        <w:rPr>
          <w:i/>
        </w:rPr>
        <w:t>Civil Law (Wrongs) Act 2002</w:t>
      </w:r>
      <w:r w:rsidRPr="00236BDD">
        <w:rPr>
          <w:b/>
        </w:rPr>
        <w:t xml:space="preserve"> </w:t>
      </w:r>
      <w:r>
        <w:rPr>
          <w:b/>
        </w:rPr>
        <w:t>revokes DI2017-310 and gives notice of the Professional Standards Council of New South Wales' approval of the CPA Australia Ltd Professional Standards (Accountants) Scheme.</w:t>
      </w:r>
    </w:p>
    <w:p w:rsidR="004A4A2A" w:rsidRPr="00842199" w:rsidRDefault="004A4A2A" w:rsidP="000D5EDC">
      <w:pPr>
        <w:pStyle w:val="Bodycopy"/>
        <w:numPr>
          <w:ilvl w:val="0"/>
          <w:numId w:val="27"/>
        </w:numPr>
        <w:tabs>
          <w:tab w:val="clear" w:pos="1276"/>
          <w:tab w:val="left" w:pos="0"/>
        </w:tabs>
        <w:spacing w:before="160" w:after="160" w:line="280" w:lineRule="exact"/>
        <w:ind w:left="360"/>
        <w:rPr>
          <w:b/>
        </w:rPr>
      </w:pPr>
      <w:r>
        <w:rPr>
          <w:b/>
        </w:rPr>
        <w:t>Disallowable Instrument</w:t>
      </w:r>
      <w:r w:rsidRPr="00451C85">
        <w:rPr>
          <w:b/>
        </w:rPr>
        <w:t xml:space="preserve"> </w:t>
      </w:r>
      <w:r>
        <w:rPr>
          <w:b/>
        </w:rPr>
        <w:t>DI2019-285</w:t>
      </w:r>
      <w:r w:rsidRPr="00451C85">
        <w:rPr>
          <w:b/>
        </w:rPr>
        <w:t xml:space="preserve"> being the </w:t>
      </w:r>
      <w:r>
        <w:rPr>
          <w:b/>
        </w:rPr>
        <w:t xml:space="preserve">Building and Construction Industry Training Levy (Governing Board) Appointment 2019 (No 1) made under section 6 of the and sections 78 and 79 of the </w:t>
      </w:r>
      <w:r>
        <w:rPr>
          <w:i/>
        </w:rPr>
        <w:t>Building and Construction Industry Training Levy Act 1999 and Financial Management Act 1996</w:t>
      </w:r>
      <w:r w:rsidRPr="00236BDD">
        <w:rPr>
          <w:b/>
        </w:rPr>
        <w:t xml:space="preserve"> </w:t>
      </w:r>
      <w:r>
        <w:rPr>
          <w:b/>
        </w:rPr>
        <w:t>appoints a specified person as chairperson of the Building and Construction Industry Training Fund Authority Board, representing the building and construction industry.</w:t>
      </w:r>
    </w:p>
    <w:p w:rsidR="004A4A2A" w:rsidRPr="00842199" w:rsidRDefault="004A4A2A" w:rsidP="000D5EDC">
      <w:pPr>
        <w:pStyle w:val="Bodycopy"/>
        <w:numPr>
          <w:ilvl w:val="0"/>
          <w:numId w:val="27"/>
        </w:numPr>
        <w:tabs>
          <w:tab w:val="clear" w:pos="1276"/>
          <w:tab w:val="left" w:pos="0"/>
        </w:tabs>
        <w:spacing w:before="160" w:after="160" w:line="280" w:lineRule="exact"/>
        <w:ind w:left="360"/>
        <w:rPr>
          <w:b/>
        </w:rPr>
      </w:pPr>
      <w:r>
        <w:rPr>
          <w:b/>
        </w:rPr>
        <w:t>Disallowable Instrument</w:t>
      </w:r>
      <w:r w:rsidRPr="00451C85">
        <w:rPr>
          <w:b/>
        </w:rPr>
        <w:t xml:space="preserve"> </w:t>
      </w:r>
      <w:r>
        <w:rPr>
          <w:b/>
        </w:rPr>
        <w:t>DI2020-1</w:t>
      </w:r>
      <w:r w:rsidRPr="00451C85">
        <w:rPr>
          <w:b/>
        </w:rPr>
        <w:t xml:space="preserve"> being the </w:t>
      </w:r>
      <w:r>
        <w:rPr>
          <w:b/>
        </w:rPr>
        <w:t xml:space="preserve">Public Place Names (Yarralumla) Determination 2020 made under section 3 of the </w:t>
      </w:r>
      <w:r>
        <w:rPr>
          <w:i/>
        </w:rPr>
        <w:t>Public Place Names Act 1989</w:t>
      </w:r>
      <w:r w:rsidRPr="00236BDD">
        <w:rPr>
          <w:b/>
        </w:rPr>
        <w:t xml:space="preserve"> </w:t>
      </w:r>
      <w:r>
        <w:rPr>
          <w:b/>
        </w:rPr>
        <w:t>determines the name of a public place in the Division of Yarralumla.</w:t>
      </w:r>
    </w:p>
    <w:p w:rsidR="004A4A2A" w:rsidRPr="00842199" w:rsidRDefault="004A4A2A" w:rsidP="000D5EDC">
      <w:pPr>
        <w:pStyle w:val="Bodycopy"/>
        <w:numPr>
          <w:ilvl w:val="0"/>
          <w:numId w:val="27"/>
        </w:numPr>
        <w:tabs>
          <w:tab w:val="clear" w:pos="1276"/>
          <w:tab w:val="left" w:pos="0"/>
        </w:tabs>
        <w:spacing w:before="160" w:after="160" w:line="280" w:lineRule="exact"/>
        <w:ind w:left="360"/>
        <w:rPr>
          <w:b/>
        </w:rPr>
      </w:pPr>
      <w:r>
        <w:rPr>
          <w:b/>
        </w:rPr>
        <w:t>Disallowable Instrument</w:t>
      </w:r>
      <w:r w:rsidRPr="00451C85">
        <w:rPr>
          <w:b/>
        </w:rPr>
        <w:t xml:space="preserve"> </w:t>
      </w:r>
      <w:r>
        <w:rPr>
          <w:b/>
        </w:rPr>
        <w:t>DI2020-2</w:t>
      </w:r>
      <w:r w:rsidRPr="00451C85">
        <w:rPr>
          <w:b/>
        </w:rPr>
        <w:t xml:space="preserve"> being the </w:t>
      </w:r>
      <w:r>
        <w:rPr>
          <w:b/>
        </w:rPr>
        <w:t xml:space="preserve">Public Place Names (Taylor) Determination 2020 made under section 3 of the </w:t>
      </w:r>
      <w:r>
        <w:rPr>
          <w:i/>
        </w:rPr>
        <w:t>Public Place Names Act 1989</w:t>
      </w:r>
      <w:r w:rsidRPr="00236BDD">
        <w:rPr>
          <w:b/>
        </w:rPr>
        <w:t xml:space="preserve"> </w:t>
      </w:r>
      <w:r>
        <w:rPr>
          <w:b/>
        </w:rPr>
        <w:t>determines the names of eight roads in the Division of Taylor.</w:t>
      </w:r>
    </w:p>
    <w:p w:rsidR="004A4A2A" w:rsidRPr="00842199" w:rsidRDefault="004A4A2A" w:rsidP="000D5EDC">
      <w:pPr>
        <w:pStyle w:val="Bodycopy"/>
        <w:numPr>
          <w:ilvl w:val="0"/>
          <w:numId w:val="27"/>
        </w:numPr>
        <w:tabs>
          <w:tab w:val="clear" w:pos="1276"/>
          <w:tab w:val="left" w:pos="0"/>
        </w:tabs>
        <w:spacing w:before="160" w:after="160" w:line="280" w:lineRule="exact"/>
        <w:ind w:left="360"/>
        <w:rPr>
          <w:b/>
        </w:rPr>
      </w:pPr>
      <w:r>
        <w:rPr>
          <w:b/>
        </w:rPr>
        <w:t>Disallowable Instrument</w:t>
      </w:r>
      <w:r w:rsidRPr="00451C85">
        <w:rPr>
          <w:b/>
        </w:rPr>
        <w:t xml:space="preserve"> </w:t>
      </w:r>
      <w:r>
        <w:rPr>
          <w:b/>
        </w:rPr>
        <w:t>DI2020-3</w:t>
      </w:r>
      <w:r w:rsidRPr="00451C85">
        <w:rPr>
          <w:b/>
        </w:rPr>
        <w:t xml:space="preserve"> being the </w:t>
      </w:r>
      <w:r>
        <w:rPr>
          <w:b/>
        </w:rPr>
        <w:t>Official Visitor (Corrections Management) Appointment 2020 (No 1) made under paragraph 10(1</w:t>
      </w:r>
      <w:proofErr w:type="gramStart"/>
      <w:r>
        <w:rPr>
          <w:b/>
        </w:rPr>
        <w:t>)(</w:t>
      </w:r>
      <w:proofErr w:type="gramEnd"/>
      <w:r>
        <w:rPr>
          <w:b/>
        </w:rPr>
        <w:t xml:space="preserve">b) of the </w:t>
      </w:r>
      <w:r>
        <w:rPr>
          <w:i/>
        </w:rPr>
        <w:t>Official Visitor Act 2012</w:t>
      </w:r>
      <w:r w:rsidRPr="00236BDD">
        <w:rPr>
          <w:b/>
        </w:rPr>
        <w:t xml:space="preserve"> </w:t>
      </w:r>
      <w:r>
        <w:rPr>
          <w:b/>
        </w:rPr>
        <w:t>appoints specified persons as official visitors for the Corrections Management Act 2007.</w:t>
      </w:r>
    </w:p>
    <w:p w:rsidR="004A4A2A" w:rsidRPr="00842199" w:rsidRDefault="004A4A2A" w:rsidP="000D5EDC">
      <w:pPr>
        <w:pStyle w:val="Bodycopy"/>
        <w:numPr>
          <w:ilvl w:val="0"/>
          <w:numId w:val="27"/>
        </w:numPr>
        <w:tabs>
          <w:tab w:val="clear" w:pos="1276"/>
          <w:tab w:val="left" w:pos="0"/>
        </w:tabs>
        <w:spacing w:before="160" w:after="160" w:line="280" w:lineRule="exact"/>
        <w:ind w:left="360"/>
        <w:rPr>
          <w:b/>
        </w:rPr>
      </w:pPr>
      <w:r>
        <w:rPr>
          <w:b/>
        </w:rPr>
        <w:t>Disallowable Instrument</w:t>
      </w:r>
      <w:r w:rsidRPr="00451C85">
        <w:rPr>
          <w:b/>
        </w:rPr>
        <w:t xml:space="preserve"> </w:t>
      </w:r>
      <w:r>
        <w:rPr>
          <w:b/>
        </w:rPr>
        <w:t>DI2020-4</w:t>
      </w:r>
      <w:r w:rsidRPr="00451C85">
        <w:rPr>
          <w:b/>
        </w:rPr>
        <w:t xml:space="preserve"> being the </w:t>
      </w:r>
      <w:r>
        <w:rPr>
          <w:b/>
        </w:rPr>
        <w:t xml:space="preserve">Motor Accident Injuries (Industry Deed) Approval 2020 made under section 24 of the </w:t>
      </w:r>
      <w:r>
        <w:rPr>
          <w:i/>
        </w:rPr>
        <w:t>Motor Accident Injuries (Premiums and Administration) Regulation 2019</w:t>
      </w:r>
      <w:r w:rsidRPr="00236BDD">
        <w:rPr>
          <w:b/>
        </w:rPr>
        <w:t xml:space="preserve"> </w:t>
      </w:r>
      <w:r>
        <w:rPr>
          <w:b/>
        </w:rPr>
        <w:t>approves the content of the Insurance Industry Deed.</w:t>
      </w:r>
    </w:p>
    <w:p w:rsidR="004A4A2A" w:rsidRPr="00842199" w:rsidRDefault="004A4A2A" w:rsidP="000D5EDC">
      <w:pPr>
        <w:pStyle w:val="Bodycopy"/>
        <w:numPr>
          <w:ilvl w:val="0"/>
          <w:numId w:val="27"/>
        </w:numPr>
        <w:tabs>
          <w:tab w:val="clear" w:pos="1276"/>
          <w:tab w:val="left" w:pos="0"/>
        </w:tabs>
        <w:spacing w:before="160" w:after="160" w:line="280" w:lineRule="exact"/>
        <w:ind w:left="360"/>
        <w:rPr>
          <w:b/>
        </w:rPr>
      </w:pPr>
      <w:r>
        <w:rPr>
          <w:b/>
        </w:rPr>
        <w:t>Disallowable Instrument</w:t>
      </w:r>
      <w:r w:rsidRPr="00451C85">
        <w:rPr>
          <w:b/>
        </w:rPr>
        <w:t xml:space="preserve"> </w:t>
      </w:r>
      <w:r>
        <w:rPr>
          <w:b/>
        </w:rPr>
        <w:t>DI2020-5</w:t>
      </w:r>
      <w:r w:rsidRPr="00451C85">
        <w:rPr>
          <w:b/>
        </w:rPr>
        <w:t xml:space="preserve"> being the </w:t>
      </w:r>
      <w:r>
        <w:rPr>
          <w:b/>
        </w:rPr>
        <w:t xml:space="preserve">Waste Management and Resource Recovery (Processing Refund Protocol) Determination 2020 made under section 64L of the </w:t>
      </w:r>
      <w:r>
        <w:rPr>
          <w:i/>
        </w:rPr>
        <w:t>Waste Management and Resource Recovery Act 2016</w:t>
      </w:r>
      <w:r w:rsidRPr="00236BDD">
        <w:rPr>
          <w:b/>
        </w:rPr>
        <w:t xml:space="preserve"> </w:t>
      </w:r>
      <w:r>
        <w:rPr>
          <w:b/>
        </w:rPr>
        <w:t>revokes DI2018-208 and determines the ACT Container Deposit Scheme Processing Refund Protocol.</w:t>
      </w:r>
    </w:p>
    <w:p w:rsidR="004A4A2A" w:rsidRDefault="004A4A2A" w:rsidP="000D5EDC">
      <w:pPr>
        <w:pStyle w:val="Bodycopy"/>
        <w:numPr>
          <w:ilvl w:val="0"/>
          <w:numId w:val="27"/>
        </w:numPr>
        <w:tabs>
          <w:tab w:val="clear" w:pos="1276"/>
          <w:tab w:val="left" w:pos="0"/>
        </w:tabs>
        <w:spacing w:before="160" w:after="160" w:line="280" w:lineRule="exact"/>
        <w:ind w:left="360"/>
        <w:rPr>
          <w:b/>
        </w:rPr>
      </w:pPr>
      <w:r>
        <w:rPr>
          <w:b/>
        </w:rPr>
        <w:t>Disallowable Instrument</w:t>
      </w:r>
      <w:r w:rsidRPr="00451C85">
        <w:rPr>
          <w:b/>
        </w:rPr>
        <w:t xml:space="preserve"> </w:t>
      </w:r>
      <w:r>
        <w:rPr>
          <w:b/>
        </w:rPr>
        <w:t>DI2020-6</w:t>
      </w:r>
      <w:r w:rsidRPr="00451C85">
        <w:rPr>
          <w:b/>
        </w:rPr>
        <w:t xml:space="preserve"> being the </w:t>
      </w:r>
      <w:r>
        <w:rPr>
          <w:b/>
        </w:rPr>
        <w:t xml:space="preserve">Utilities (Consumer Protection Code) Determination 2020 made under sections 59 and 63 of the </w:t>
      </w:r>
      <w:r>
        <w:rPr>
          <w:i/>
        </w:rPr>
        <w:t>Utilities Act 2000</w:t>
      </w:r>
      <w:r w:rsidRPr="00236BDD">
        <w:rPr>
          <w:b/>
        </w:rPr>
        <w:t xml:space="preserve"> </w:t>
      </w:r>
      <w:r>
        <w:rPr>
          <w:b/>
        </w:rPr>
        <w:t>revokes DI2012-149 and determines the Consumer Protection Code 2020.</w:t>
      </w:r>
    </w:p>
    <w:p w:rsidR="004A4A2A" w:rsidRPr="00C07BE4" w:rsidRDefault="004A4A2A" w:rsidP="000D5EDC">
      <w:pPr>
        <w:pStyle w:val="Bodycopy"/>
        <w:numPr>
          <w:ilvl w:val="0"/>
          <w:numId w:val="28"/>
        </w:numPr>
        <w:tabs>
          <w:tab w:val="clear" w:pos="1276"/>
          <w:tab w:val="left" w:pos="360"/>
        </w:tabs>
        <w:spacing w:before="160" w:after="160" w:line="280" w:lineRule="exact"/>
        <w:ind w:left="360"/>
        <w:rPr>
          <w:b/>
        </w:rPr>
      </w:pPr>
      <w:r w:rsidRPr="00C07BE4">
        <w:rPr>
          <w:b/>
        </w:rPr>
        <w:t xml:space="preserve">Disallowable Instrument DI2020-7 being the Cultural Facilities Corporation (Governing Board) Appointment 2020 (No 1) made under section 9 of the </w:t>
      </w:r>
      <w:r w:rsidRPr="00C07BE4">
        <w:rPr>
          <w:i/>
        </w:rPr>
        <w:t xml:space="preserve">Cultural Facilities Corporation Act 1997 </w:t>
      </w:r>
      <w:r w:rsidRPr="00C07BE4">
        <w:rPr>
          <w:b/>
        </w:rPr>
        <w:t xml:space="preserve">and section 78 of the </w:t>
      </w:r>
      <w:r w:rsidRPr="00C07BE4">
        <w:rPr>
          <w:i/>
        </w:rPr>
        <w:t>Financial Management Act 1996</w:t>
      </w:r>
      <w:r w:rsidRPr="00C07BE4">
        <w:rPr>
          <w:b/>
        </w:rPr>
        <w:t xml:space="preserve"> appoints a specified person as a member of the Cultural Facilities Corporation.</w:t>
      </w:r>
    </w:p>
    <w:p w:rsidR="004A4A2A" w:rsidRPr="00C07BE4" w:rsidRDefault="004A4A2A" w:rsidP="000D5EDC">
      <w:pPr>
        <w:pStyle w:val="Bodycopy"/>
        <w:numPr>
          <w:ilvl w:val="0"/>
          <w:numId w:val="28"/>
        </w:numPr>
        <w:tabs>
          <w:tab w:val="clear" w:pos="1276"/>
          <w:tab w:val="left" w:pos="360"/>
        </w:tabs>
        <w:spacing w:before="160" w:after="160" w:line="280" w:lineRule="exact"/>
        <w:ind w:left="360"/>
        <w:rPr>
          <w:b/>
        </w:rPr>
      </w:pPr>
      <w:r w:rsidRPr="00C07BE4">
        <w:rPr>
          <w:b/>
        </w:rPr>
        <w:t xml:space="preserve">Disallowable Instrument DI2020-8 being the Cultural Facilities Corporation (Governing Board) Appointment 2020 (No 2) made under section 9 of the </w:t>
      </w:r>
      <w:r w:rsidRPr="00C07BE4">
        <w:rPr>
          <w:i/>
        </w:rPr>
        <w:t xml:space="preserve">Cultural Facilities Corporation Act 1997 </w:t>
      </w:r>
      <w:r w:rsidRPr="00C07BE4">
        <w:rPr>
          <w:b/>
        </w:rPr>
        <w:t xml:space="preserve">and section 79 of the </w:t>
      </w:r>
      <w:r w:rsidRPr="00C07BE4">
        <w:rPr>
          <w:i/>
        </w:rPr>
        <w:t>Financial Management Act 1996</w:t>
      </w:r>
      <w:r w:rsidRPr="00C07BE4">
        <w:rPr>
          <w:b/>
        </w:rPr>
        <w:t xml:space="preserve"> revokes DI2018-276 and appoints a specified person as deputy chair of the Cultural Facilities Corporation.</w:t>
      </w:r>
    </w:p>
    <w:p w:rsidR="004A4A2A" w:rsidRPr="00C07BE4" w:rsidRDefault="004A4A2A" w:rsidP="000D5EDC">
      <w:pPr>
        <w:pStyle w:val="Bodycopy"/>
        <w:numPr>
          <w:ilvl w:val="0"/>
          <w:numId w:val="28"/>
        </w:numPr>
        <w:tabs>
          <w:tab w:val="clear" w:pos="1276"/>
          <w:tab w:val="left" w:pos="360"/>
        </w:tabs>
        <w:spacing w:before="160" w:after="160" w:line="280" w:lineRule="exact"/>
        <w:ind w:left="360"/>
        <w:rPr>
          <w:b/>
        </w:rPr>
      </w:pPr>
      <w:r w:rsidRPr="00C07BE4">
        <w:rPr>
          <w:b/>
        </w:rPr>
        <w:t xml:space="preserve">Disallowable Instrument DI2020-9 being the Cultural Facilities Corporation (Governing Board) Appointment 2020 (No 3) made under section 9 of the </w:t>
      </w:r>
      <w:r w:rsidRPr="00C07BE4">
        <w:rPr>
          <w:i/>
        </w:rPr>
        <w:t xml:space="preserve">Cultural Facilities Corporation Act 1997 </w:t>
      </w:r>
      <w:r w:rsidRPr="00C07BE4">
        <w:rPr>
          <w:b/>
        </w:rPr>
        <w:t xml:space="preserve">and section 78 of the </w:t>
      </w:r>
      <w:r w:rsidRPr="00C07BE4">
        <w:rPr>
          <w:i/>
        </w:rPr>
        <w:t>Financial Management Act 1996</w:t>
      </w:r>
      <w:r w:rsidRPr="00C07BE4">
        <w:rPr>
          <w:b/>
        </w:rPr>
        <w:t xml:space="preserve"> revokes DI2018-277 and appoints a specified person as a member of the Cultural Facilities Corporation.</w:t>
      </w:r>
    </w:p>
    <w:p w:rsidR="004A4A2A" w:rsidRPr="00C07BE4" w:rsidRDefault="004A4A2A" w:rsidP="000D5EDC">
      <w:pPr>
        <w:pStyle w:val="Bodycopy"/>
        <w:keepLines/>
        <w:numPr>
          <w:ilvl w:val="0"/>
          <w:numId w:val="28"/>
        </w:numPr>
        <w:tabs>
          <w:tab w:val="clear" w:pos="1276"/>
          <w:tab w:val="left" w:pos="360"/>
        </w:tabs>
        <w:spacing w:before="160" w:after="160" w:line="280" w:lineRule="exact"/>
        <w:ind w:left="360"/>
        <w:rPr>
          <w:b/>
        </w:rPr>
      </w:pPr>
      <w:r w:rsidRPr="00C07BE4">
        <w:rPr>
          <w:b/>
        </w:rPr>
        <w:t xml:space="preserve">Disallowable Instrument DI2020-10 being the Cultural Facilities Corporation (Governing Board) Appointment 2020 (No 4) made under section 9 of the </w:t>
      </w:r>
      <w:r w:rsidRPr="00C07BE4">
        <w:rPr>
          <w:i/>
        </w:rPr>
        <w:t xml:space="preserve">Cultural Facilities Corporation Act 1997 </w:t>
      </w:r>
      <w:r w:rsidRPr="00C07BE4">
        <w:rPr>
          <w:b/>
        </w:rPr>
        <w:t xml:space="preserve">and section 78 of the </w:t>
      </w:r>
      <w:r w:rsidRPr="00C07BE4">
        <w:rPr>
          <w:i/>
        </w:rPr>
        <w:t>Financial Management Act 1996</w:t>
      </w:r>
      <w:r w:rsidRPr="00C07BE4">
        <w:rPr>
          <w:b/>
        </w:rPr>
        <w:t xml:space="preserve"> revokes DI2018-278 and appoints a specified person as a member of the Cultural Facilities Corporation.</w:t>
      </w:r>
    </w:p>
    <w:p w:rsidR="00052319" w:rsidRPr="00103E7B" w:rsidRDefault="003379D7" w:rsidP="00052319">
      <w:pPr>
        <w:pStyle w:val="Heading3"/>
        <w:rPr>
          <w:rFonts w:eastAsia="Calibri"/>
          <w:lang w:eastAsia="en-AU"/>
        </w:rPr>
      </w:pPr>
      <w:bookmarkStart w:id="410" w:name="_Toc32566846"/>
      <w:r w:rsidRPr="00103E7B">
        <w:rPr>
          <w:rFonts w:eastAsia="Calibri"/>
          <w:lang w:eastAsia="en-AU"/>
        </w:rPr>
        <w:t>Disallowable Instrument</w:t>
      </w:r>
      <w:r w:rsidR="00BA3E19" w:rsidRPr="00103E7B">
        <w:rPr>
          <w:rFonts w:eastAsia="Calibri"/>
          <w:lang w:eastAsia="en-AU"/>
        </w:rPr>
        <w:t>s</w:t>
      </w:r>
      <w:r w:rsidR="00052319" w:rsidRPr="00103E7B">
        <w:rPr>
          <w:rFonts w:eastAsia="Calibri"/>
          <w:lang w:eastAsia="en-AU"/>
        </w:rPr>
        <w:t>—Comment</w:t>
      </w:r>
      <w:bookmarkEnd w:id="410"/>
    </w:p>
    <w:p w:rsidR="00052319" w:rsidRPr="003C60E7" w:rsidRDefault="00052319" w:rsidP="003379D7">
      <w:pPr>
        <w:rPr>
          <w:rFonts w:eastAsia="Calibri"/>
          <w:b/>
          <w:spacing w:val="-2"/>
        </w:rPr>
      </w:pPr>
      <w:r w:rsidRPr="003C60E7">
        <w:rPr>
          <w:spacing w:val="-2"/>
        </w:rPr>
        <w:t>The Committee has examined the fo</w:t>
      </w:r>
      <w:r w:rsidR="003379D7" w:rsidRPr="003C60E7">
        <w:rPr>
          <w:spacing w:val="-2"/>
        </w:rPr>
        <w:t>llowing disallowable instrument</w:t>
      </w:r>
      <w:r w:rsidR="00BA3E19">
        <w:rPr>
          <w:spacing w:val="-2"/>
        </w:rPr>
        <w:t>s</w:t>
      </w:r>
      <w:r w:rsidRPr="003C60E7">
        <w:rPr>
          <w:spacing w:val="-2"/>
        </w:rPr>
        <w:t xml:space="preserve"> and offers these comments on </w:t>
      </w:r>
      <w:r w:rsidR="00BA3E19">
        <w:rPr>
          <w:spacing w:val="-2"/>
        </w:rPr>
        <w:t>them</w:t>
      </w:r>
      <w:r w:rsidRPr="003C60E7">
        <w:rPr>
          <w:spacing w:val="-2"/>
        </w:rPr>
        <w:t>:</w:t>
      </w:r>
    </w:p>
    <w:p w:rsidR="004A4A2A" w:rsidRPr="000011FF" w:rsidRDefault="004A4A2A" w:rsidP="000011FF">
      <w:pPr>
        <w:pStyle w:val="Heading4nonumber"/>
        <w:rPr>
          <w:sz w:val="22"/>
        </w:rPr>
      </w:pPr>
      <w:bookmarkStart w:id="411" w:name="_Toc338841798"/>
      <w:bookmarkStart w:id="412" w:name="_Hlk489262200"/>
      <w:bookmarkStart w:id="413" w:name="_Hlk20217519"/>
      <w:bookmarkEnd w:id="408"/>
      <w:r w:rsidRPr="000011FF">
        <w:rPr>
          <w:sz w:val="22"/>
        </w:rPr>
        <w:t>Human rights issues</w:t>
      </w:r>
    </w:p>
    <w:p w:rsidR="004A4A2A" w:rsidRPr="00842199" w:rsidRDefault="004A4A2A" w:rsidP="000D5EDC">
      <w:pPr>
        <w:pStyle w:val="Bodycopy"/>
        <w:numPr>
          <w:ilvl w:val="0"/>
          <w:numId w:val="27"/>
        </w:numPr>
        <w:tabs>
          <w:tab w:val="clear" w:pos="1276"/>
          <w:tab w:val="left" w:pos="0"/>
        </w:tabs>
        <w:spacing w:before="160" w:after="160" w:line="280" w:lineRule="exact"/>
        <w:ind w:left="360"/>
        <w:rPr>
          <w:b/>
        </w:rPr>
      </w:pPr>
      <w:r>
        <w:rPr>
          <w:b/>
        </w:rPr>
        <w:t>Disallowable Instrument</w:t>
      </w:r>
      <w:r w:rsidRPr="00451C85">
        <w:rPr>
          <w:b/>
        </w:rPr>
        <w:t xml:space="preserve"> </w:t>
      </w:r>
      <w:r>
        <w:rPr>
          <w:b/>
        </w:rPr>
        <w:t>DI2019-258</w:t>
      </w:r>
      <w:r w:rsidRPr="00451C85">
        <w:rPr>
          <w:b/>
        </w:rPr>
        <w:t xml:space="preserve"> being the </w:t>
      </w:r>
      <w:r>
        <w:rPr>
          <w:b/>
        </w:rPr>
        <w:t xml:space="preserve">Road Transport (General) Application of Road Transport Legislation Declaration 2019 (No 12) made under section 13 of the </w:t>
      </w:r>
      <w:r>
        <w:rPr>
          <w:i/>
        </w:rPr>
        <w:t>Road Transport (General) Act 1999</w:t>
      </w:r>
      <w:r w:rsidRPr="00236BDD">
        <w:rPr>
          <w:b/>
        </w:rPr>
        <w:t xml:space="preserve"> </w:t>
      </w:r>
      <w:r>
        <w:rPr>
          <w:b/>
        </w:rPr>
        <w:t xml:space="preserve">declares that certain parts of the road transport legislation do not apply to an entrant vehicle or driver participating in a special stage of the </w:t>
      </w:r>
      <w:proofErr w:type="spellStart"/>
      <w:r>
        <w:rPr>
          <w:b/>
        </w:rPr>
        <w:t>Damesa</w:t>
      </w:r>
      <w:proofErr w:type="spellEnd"/>
      <w:r>
        <w:rPr>
          <w:b/>
        </w:rPr>
        <w:t xml:space="preserve"> Industries </w:t>
      </w:r>
      <w:proofErr w:type="spellStart"/>
      <w:r>
        <w:rPr>
          <w:b/>
        </w:rPr>
        <w:t>Rallye</w:t>
      </w:r>
      <w:proofErr w:type="spellEnd"/>
      <w:r>
        <w:rPr>
          <w:b/>
        </w:rPr>
        <w:t xml:space="preserve"> Des Femmes.</w:t>
      </w:r>
    </w:p>
    <w:p w:rsidR="004A4A2A" w:rsidRDefault="004A4A2A" w:rsidP="000011FF">
      <w:pPr>
        <w:widowControl w:val="0"/>
        <w:tabs>
          <w:tab w:val="left" w:pos="1276"/>
        </w:tabs>
        <w:rPr>
          <w:rFonts w:ascii="Calibri" w:hAnsi="Calibri" w:cs="Calibri"/>
          <w:color w:val="000000"/>
        </w:rPr>
      </w:pPr>
      <w:r>
        <w:rPr>
          <w:rFonts w:ascii="Calibri" w:hAnsi="Calibri" w:cs="Calibri"/>
          <w:color w:val="000000"/>
        </w:rPr>
        <w:t xml:space="preserve">This instrument, made under section 13 of the </w:t>
      </w:r>
      <w:r>
        <w:rPr>
          <w:rFonts w:ascii="Calibri" w:hAnsi="Calibri" w:cs="Calibri"/>
          <w:i/>
          <w:iCs/>
          <w:color w:val="000000"/>
        </w:rPr>
        <w:t xml:space="preserve">Road Transport (General) Act </w:t>
      </w:r>
      <w:r w:rsidRPr="00545AC1">
        <w:rPr>
          <w:rFonts w:ascii="Calibri" w:hAnsi="Calibri" w:cs="Calibri"/>
          <w:i/>
          <w:iCs/>
          <w:color w:val="000000"/>
        </w:rPr>
        <w:t>1999</w:t>
      </w:r>
      <w:r>
        <w:rPr>
          <w:rFonts w:ascii="Calibri" w:hAnsi="Calibri" w:cs="Calibri"/>
          <w:color w:val="000000"/>
        </w:rPr>
        <w:t xml:space="preserve">, disapplies the </w:t>
      </w:r>
      <w:r>
        <w:rPr>
          <w:rFonts w:ascii="Calibri" w:hAnsi="Calibri" w:cs="Calibri"/>
          <w:i/>
          <w:iCs/>
          <w:color w:val="000000"/>
        </w:rPr>
        <w:t xml:space="preserve">Road Transport (Third Party Insurance) Act </w:t>
      </w:r>
      <w:r w:rsidRPr="00545AC1">
        <w:rPr>
          <w:rFonts w:ascii="Calibri" w:hAnsi="Calibri" w:cs="Calibri"/>
          <w:i/>
          <w:iCs/>
          <w:color w:val="000000"/>
        </w:rPr>
        <w:t>2008</w:t>
      </w:r>
      <w:r>
        <w:rPr>
          <w:rFonts w:ascii="Calibri" w:hAnsi="Calibri" w:cs="Calibri"/>
          <w:color w:val="000000"/>
        </w:rPr>
        <w:t>, for a limited period, in relation to areas specified in Schedules 1 and 2 to the instrument.  The particular application of the instrument is to disapply that Act in relation to the holding of an event known as the “</w:t>
      </w:r>
      <w:proofErr w:type="spellStart"/>
      <w:r w:rsidRPr="00545AC1">
        <w:rPr>
          <w:rFonts w:ascii="Calibri" w:hAnsi="Calibri" w:cs="Calibri"/>
          <w:color w:val="000000"/>
        </w:rPr>
        <w:t>Damesa</w:t>
      </w:r>
      <w:proofErr w:type="spellEnd"/>
      <w:r w:rsidRPr="00545AC1">
        <w:rPr>
          <w:rFonts w:ascii="Calibri" w:hAnsi="Calibri" w:cs="Calibri"/>
          <w:color w:val="000000"/>
        </w:rPr>
        <w:t xml:space="preserve"> Industries </w:t>
      </w:r>
      <w:proofErr w:type="spellStart"/>
      <w:r w:rsidRPr="00545AC1">
        <w:rPr>
          <w:rFonts w:ascii="Calibri" w:hAnsi="Calibri" w:cs="Calibri"/>
          <w:color w:val="000000"/>
        </w:rPr>
        <w:t>Rallye</w:t>
      </w:r>
      <w:proofErr w:type="spellEnd"/>
      <w:r w:rsidRPr="00545AC1">
        <w:rPr>
          <w:rFonts w:ascii="Calibri" w:hAnsi="Calibri" w:cs="Calibri"/>
          <w:color w:val="000000"/>
        </w:rPr>
        <w:t xml:space="preserve"> Des Femmes</w:t>
      </w:r>
      <w:r>
        <w:rPr>
          <w:rFonts w:ascii="Calibri" w:hAnsi="Calibri" w:cs="Calibri"/>
          <w:color w:val="000000"/>
        </w:rPr>
        <w:t>”</w:t>
      </w:r>
      <w:r w:rsidR="000011FF">
        <w:rPr>
          <w:rFonts w:ascii="Calibri" w:hAnsi="Calibri" w:cs="Calibri"/>
          <w:color w:val="000000"/>
        </w:rPr>
        <w:t>—</w:t>
      </w:r>
      <w:r>
        <w:rPr>
          <w:rFonts w:ascii="Calibri" w:hAnsi="Calibri" w:cs="Calibri"/>
          <w:color w:val="000000"/>
        </w:rPr>
        <w:t>a car rally.</w:t>
      </w:r>
    </w:p>
    <w:p w:rsidR="004A4A2A" w:rsidRDefault="004A4A2A" w:rsidP="000011FF">
      <w:pPr>
        <w:widowControl w:val="0"/>
        <w:tabs>
          <w:tab w:val="left" w:pos="1276"/>
        </w:tabs>
        <w:rPr>
          <w:rFonts w:ascii="Calibri" w:hAnsi="Calibri" w:cs="Calibri"/>
          <w:color w:val="000000"/>
        </w:rPr>
      </w:pPr>
      <w:r>
        <w:rPr>
          <w:rFonts w:ascii="Calibri" w:hAnsi="Calibri" w:cs="Calibri"/>
          <w:color w:val="000000"/>
        </w:rPr>
        <w:t>The practical effect of the instrument is that vehicles participating in the event are not required to be covered by ACT compulsory third party insurance.  This is because the event is, instead, covered by a $100 million general liability policy, held by the Confederation of Australian Motor Sport (</w:t>
      </w:r>
      <w:r>
        <w:rPr>
          <w:rFonts w:ascii="Calibri" w:hAnsi="Calibri" w:cs="Calibri"/>
          <w:b/>
          <w:bCs/>
          <w:color w:val="000000"/>
        </w:rPr>
        <w:t>CAMS</w:t>
      </w:r>
      <w:r>
        <w:rPr>
          <w:rFonts w:ascii="Calibri" w:hAnsi="Calibri" w:cs="Calibri"/>
          <w:color w:val="000000"/>
        </w:rPr>
        <w:t xml:space="preserve">).  If the ACT </w:t>
      </w:r>
      <w:proofErr w:type="spellStart"/>
      <w:r>
        <w:rPr>
          <w:rFonts w:ascii="Calibri" w:hAnsi="Calibri" w:cs="Calibri"/>
          <w:color w:val="000000"/>
        </w:rPr>
        <w:t>Act</w:t>
      </w:r>
      <w:proofErr w:type="spellEnd"/>
      <w:r>
        <w:rPr>
          <w:rFonts w:ascii="Calibri" w:hAnsi="Calibri" w:cs="Calibri"/>
          <w:color w:val="000000"/>
        </w:rPr>
        <w:t xml:space="preserve"> was </w:t>
      </w:r>
      <w:r>
        <w:rPr>
          <w:rFonts w:ascii="Calibri" w:hAnsi="Calibri" w:cs="Calibri"/>
          <w:i/>
          <w:iCs/>
          <w:color w:val="000000"/>
        </w:rPr>
        <w:t xml:space="preserve">not </w:t>
      </w:r>
      <w:proofErr w:type="spellStart"/>
      <w:r>
        <w:rPr>
          <w:rFonts w:ascii="Calibri" w:hAnsi="Calibri" w:cs="Calibri"/>
          <w:color w:val="000000"/>
        </w:rPr>
        <w:t>disapplied</w:t>
      </w:r>
      <w:proofErr w:type="spellEnd"/>
      <w:r>
        <w:rPr>
          <w:rFonts w:ascii="Calibri" w:hAnsi="Calibri" w:cs="Calibri"/>
          <w:color w:val="000000"/>
        </w:rPr>
        <w:t xml:space="preserve"> then the CAMS policy would not operate.</w:t>
      </w:r>
    </w:p>
    <w:p w:rsidR="004A4A2A" w:rsidRDefault="004A4A2A" w:rsidP="000011FF">
      <w:pPr>
        <w:widowControl w:val="0"/>
        <w:tabs>
          <w:tab w:val="left" w:pos="1276"/>
        </w:tabs>
        <w:rPr>
          <w:rFonts w:ascii="Calibri" w:hAnsi="Calibri" w:cs="Calibri"/>
          <w:color w:val="000000"/>
        </w:rPr>
      </w:pPr>
      <w:r>
        <w:rPr>
          <w:rFonts w:ascii="Calibri" w:hAnsi="Calibri" w:cs="Calibri"/>
          <w:color w:val="000000"/>
        </w:rPr>
        <w:t>The Committee notes that the explanatory statement for the instrument contains a discussion of “human rights implications”.  It states (in part):</w:t>
      </w:r>
    </w:p>
    <w:p w:rsidR="004A4A2A" w:rsidRPr="00C43156" w:rsidRDefault="004A4A2A" w:rsidP="000011FF">
      <w:pPr>
        <w:pStyle w:val="Default"/>
        <w:spacing w:before="220" w:after="220" w:line="280" w:lineRule="exact"/>
        <w:ind w:left="360"/>
        <w:rPr>
          <w:rFonts w:ascii="Calibri" w:hAnsi="Calibri" w:cs="Calibri"/>
          <w:sz w:val="22"/>
          <w:szCs w:val="22"/>
        </w:rPr>
      </w:pPr>
      <w:r w:rsidRPr="00C43156">
        <w:rPr>
          <w:rFonts w:ascii="Calibri" w:hAnsi="Calibri" w:cs="Calibri"/>
          <w:sz w:val="22"/>
          <w:szCs w:val="22"/>
        </w:rPr>
        <w:t>Section 13 of the HRA provides a right for people to move freely within the ACT.</w:t>
      </w:r>
    </w:p>
    <w:p w:rsidR="004A4A2A" w:rsidRPr="00C43156" w:rsidRDefault="004A4A2A" w:rsidP="000011FF">
      <w:pPr>
        <w:pStyle w:val="Default"/>
        <w:spacing w:before="220" w:after="220" w:line="280" w:lineRule="exact"/>
        <w:ind w:left="360"/>
        <w:rPr>
          <w:rFonts w:ascii="Calibri" w:hAnsi="Calibri" w:cs="Calibri"/>
          <w:sz w:val="22"/>
          <w:szCs w:val="22"/>
        </w:rPr>
      </w:pPr>
      <w:r w:rsidRPr="00C43156">
        <w:rPr>
          <w:rFonts w:ascii="Calibri" w:hAnsi="Calibri" w:cs="Calibri"/>
          <w:sz w:val="22"/>
          <w:szCs w:val="22"/>
        </w:rPr>
        <w:t xml:space="preserve">The declarations in this instrument do not of itself restrict a person’s freedom of movement within the Territory, however the operation of the rally in closing parts of the forest in which the rally will be conducted to members of the public will restrict the free movement of people in that area of the Territory during the event.  As parts of the road transport law are being </w:t>
      </w:r>
      <w:proofErr w:type="spellStart"/>
      <w:r w:rsidRPr="00C43156">
        <w:rPr>
          <w:rFonts w:ascii="Calibri" w:hAnsi="Calibri" w:cs="Calibri"/>
          <w:sz w:val="22"/>
          <w:szCs w:val="22"/>
        </w:rPr>
        <w:t>disapplied</w:t>
      </w:r>
      <w:proofErr w:type="spellEnd"/>
      <w:r w:rsidRPr="00C43156">
        <w:rPr>
          <w:rFonts w:ascii="Calibri" w:hAnsi="Calibri" w:cs="Calibri"/>
          <w:sz w:val="22"/>
          <w:szCs w:val="22"/>
        </w:rPr>
        <w:t xml:space="preserve"> for the event to operate as intended, vehicles will be travelling in parts of the forest in excess of the usual speed limits and in a manner not consistent with the road rules.  As such, the restriction on the free movement of people in those parts of the forest at those times is considered reasonable and proportionate to ensure safety of non-participants and represents the least restrictive approach that enables the event to proceed.</w:t>
      </w:r>
    </w:p>
    <w:p w:rsidR="004A4A2A" w:rsidRPr="00A66BED" w:rsidRDefault="004A4A2A" w:rsidP="000011FF">
      <w:pPr>
        <w:pStyle w:val="Paper"/>
        <w:spacing w:before="220" w:after="220" w:line="280" w:lineRule="exact"/>
        <w:rPr>
          <w:rFonts w:ascii="Calibri" w:hAnsi="Calibri" w:cs="Calibri"/>
          <w:b/>
          <w:bCs/>
          <w:sz w:val="22"/>
          <w:szCs w:val="22"/>
          <w:lang w:eastAsia="en-AU"/>
        </w:rPr>
      </w:pPr>
      <w:bookmarkStart w:id="414" w:name="_Hlk32402560"/>
      <w:r w:rsidRPr="00A66BED">
        <w:rPr>
          <w:rFonts w:ascii="Calibri" w:hAnsi="Calibri" w:cs="Calibri"/>
          <w:b/>
          <w:bCs/>
          <w:sz w:val="22"/>
          <w:szCs w:val="22"/>
          <w:lang w:eastAsia="en-AU"/>
        </w:rPr>
        <w:t>The Committee draws the attention of the Legislative Assembly to the discussion of human rights issues in the explanatory statement for this instrument.</w:t>
      </w:r>
    </w:p>
    <w:p w:rsidR="004A4A2A" w:rsidRPr="00A66BED" w:rsidRDefault="004A4A2A" w:rsidP="000011FF">
      <w:pPr>
        <w:pStyle w:val="Paper"/>
        <w:spacing w:before="220" w:after="220" w:line="280" w:lineRule="exact"/>
        <w:rPr>
          <w:rFonts w:ascii="Calibri" w:hAnsi="Calibri" w:cs="Calibri"/>
          <w:b/>
          <w:bCs/>
          <w:sz w:val="22"/>
          <w:szCs w:val="22"/>
          <w:lang w:eastAsia="en-AU"/>
        </w:rPr>
      </w:pPr>
      <w:r w:rsidRPr="00A66BED">
        <w:rPr>
          <w:rFonts w:ascii="Calibri" w:hAnsi="Calibri" w:cs="Calibri"/>
          <w:b/>
          <w:bCs/>
          <w:sz w:val="22"/>
          <w:szCs w:val="22"/>
          <w:lang w:eastAsia="en-AU"/>
        </w:rPr>
        <w:t>This comment does not require a response from the Minister.</w:t>
      </w:r>
    </w:p>
    <w:bookmarkEnd w:id="414"/>
    <w:p w:rsidR="004A4A2A" w:rsidRPr="000011FF" w:rsidRDefault="004A4A2A" w:rsidP="000011FF">
      <w:pPr>
        <w:pStyle w:val="Heading4nonumber"/>
        <w:rPr>
          <w:sz w:val="22"/>
        </w:rPr>
      </w:pPr>
      <w:r w:rsidRPr="000011FF">
        <w:rPr>
          <w:sz w:val="22"/>
        </w:rPr>
        <w:t>Has this instrument been validly made?</w:t>
      </w:r>
    </w:p>
    <w:p w:rsidR="004A4A2A" w:rsidRPr="00842199" w:rsidRDefault="004A4A2A" w:rsidP="000D5EDC">
      <w:pPr>
        <w:pStyle w:val="Bodycopy"/>
        <w:keepNext/>
        <w:keepLines/>
        <w:numPr>
          <w:ilvl w:val="0"/>
          <w:numId w:val="27"/>
        </w:numPr>
        <w:tabs>
          <w:tab w:val="clear" w:pos="1276"/>
          <w:tab w:val="left" w:pos="0"/>
        </w:tabs>
        <w:spacing w:before="160" w:after="160" w:line="280" w:lineRule="exact"/>
        <w:ind w:left="360"/>
        <w:rPr>
          <w:b/>
        </w:rPr>
      </w:pPr>
      <w:r>
        <w:rPr>
          <w:b/>
        </w:rPr>
        <w:t>Disallowable Instrument</w:t>
      </w:r>
      <w:r w:rsidRPr="00451C85">
        <w:rPr>
          <w:b/>
        </w:rPr>
        <w:t xml:space="preserve"> </w:t>
      </w:r>
      <w:r>
        <w:rPr>
          <w:b/>
        </w:rPr>
        <w:t>DI2019-283</w:t>
      </w:r>
      <w:r w:rsidRPr="00451C85">
        <w:rPr>
          <w:b/>
        </w:rPr>
        <w:t xml:space="preserve"> being the </w:t>
      </w:r>
      <w:r>
        <w:rPr>
          <w:b/>
        </w:rPr>
        <w:t xml:space="preserve">Major Events (ICC T20 Women's World Cup 2020) Declaration 2019 (No 1) made under section 6 of the </w:t>
      </w:r>
      <w:r>
        <w:rPr>
          <w:i/>
        </w:rPr>
        <w:t>Major Events Act 2014</w:t>
      </w:r>
      <w:r w:rsidRPr="00236BDD">
        <w:rPr>
          <w:b/>
        </w:rPr>
        <w:t xml:space="preserve"> </w:t>
      </w:r>
      <w:r>
        <w:rPr>
          <w:b/>
        </w:rPr>
        <w:t>applies the provisions of the Act to the ICC T20 Women's World Cup 2020 tournament being held at Manuka Oval from 22 to 28 February 2020.</w:t>
      </w:r>
    </w:p>
    <w:p w:rsidR="004A4A2A" w:rsidRDefault="004A4A2A" w:rsidP="0001725A">
      <w:pPr>
        <w:widowControl w:val="0"/>
        <w:tabs>
          <w:tab w:val="left" w:pos="1276"/>
        </w:tabs>
        <w:rPr>
          <w:rFonts w:ascii="Calibri" w:hAnsi="Calibri" w:cs="Calibri"/>
          <w:color w:val="000000"/>
        </w:rPr>
      </w:pPr>
      <w:r>
        <w:rPr>
          <w:rFonts w:ascii="Calibri" w:hAnsi="Calibri" w:cs="Calibri"/>
          <w:color w:val="000000"/>
        </w:rPr>
        <w:t xml:space="preserve">This instrument, made under section 6 of the </w:t>
      </w:r>
      <w:r>
        <w:rPr>
          <w:rFonts w:ascii="Calibri" w:hAnsi="Calibri" w:cs="Calibri"/>
          <w:i/>
          <w:iCs/>
          <w:color w:val="000000"/>
        </w:rPr>
        <w:t>Major Events Act 2014</w:t>
      </w:r>
      <w:r>
        <w:rPr>
          <w:rFonts w:ascii="Calibri" w:hAnsi="Calibri" w:cs="Calibri"/>
          <w:color w:val="000000"/>
        </w:rPr>
        <w:t xml:space="preserve">, declares cricket matches to be held at Manuka Oval, between 22 and 28 February 2020, as part of the </w:t>
      </w:r>
      <w:r w:rsidRPr="00654A91">
        <w:rPr>
          <w:rFonts w:ascii="Calibri" w:hAnsi="Calibri" w:cs="Calibri"/>
          <w:color w:val="000000"/>
        </w:rPr>
        <w:t>ICC T20 Women's World Cup 2020 tournament</w:t>
      </w:r>
      <w:r>
        <w:rPr>
          <w:rFonts w:ascii="Calibri" w:hAnsi="Calibri" w:cs="Calibri"/>
          <w:color w:val="000000"/>
        </w:rPr>
        <w:t>, to be a “major event”, for that Act.  Section 6 provides:</w:t>
      </w:r>
    </w:p>
    <w:p w:rsidR="004A4A2A" w:rsidRPr="0016463A" w:rsidRDefault="0016463A" w:rsidP="0001725A">
      <w:pPr>
        <w:tabs>
          <w:tab w:val="left" w:pos="810"/>
          <w:tab w:val="left" w:pos="1350"/>
        </w:tabs>
        <w:ind w:left="1440" w:hanging="1080"/>
        <w:rPr>
          <w:rFonts w:ascii="Calibri" w:hAnsi="Calibri" w:cs="Calibri"/>
          <w:sz w:val="24"/>
          <w:szCs w:val="24"/>
        </w:rPr>
      </w:pPr>
      <w:r w:rsidRPr="0016463A">
        <w:rPr>
          <w:rFonts w:ascii="Calibri" w:hAnsi="Calibri" w:cs="Calibri"/>
          <w:b/>
          <w:bCs/>
          <w:color w:val="000000"/>
          <w:sz w:val="24"/>
          <w:szCs w:val="24"/>
        </w:rPr>
        <w:t>6</w:t>
      </w:r>
      <w:r w:rsidRPr="0016463A">
        <w:rPr>
          <w:rFonts w:ascii="Calibri" w:hAnsi="Calibri" w:cs="Calibri"/>
          <w:b/>
          <w:bCs/>
          <w:color w:val="000000"/>
          <w:sz w:val="24"/>
          <w:szCs w:val="24"/>
        </w:rPr>
        <w:tab/>
      </w:r>
      <w:r w:rsidRPr="0016463A">
        <w:rPr>
          <w:rFonts w:ascii="Calibri" w:hAnsi="Calibri" w:cs="Calibri"/>
          <w:b/>
          <w:bCs/>
          <w:color w:val="000000"/>
          <w:sz w:val="24"/>
          <w:szCs w:val="24"/>
        </w:rPr>
        <w:tab/>
      </w:r>
      <w:r w:rsidR="004A4A2A" w:rsidRPr="0016463A">
        <w:rPr>
          <w:rFonts w:ascii="Calibri" w:hAnsi="Calibri" w:cs="Calibri"/>
          <w:b/>
          <w:bCs/>
          <w:color w:val="000000"/>
          <w:sz w:val="24"/>
          <w:szCs w:val="24"/>
        </w:rPr>
        <w:t>Major event—declaration</w:t>
      </w:r>
      <w:r w:rsidR="004A4A2A" w:rsidRPr="0016463A">
        <w:rPr>
          <w:rFonts w:ascii="Calibri" w:hAnsi="Calibri" w:cs="Calibri"/>
          <w:color w:val="000000"/>
          <w:sz w:val="24"/>
          <w:szCs w:val="24"/>
          <w:shd w:val="clear" w:color="auto" w:fill="FFFFFF"/>
        </w:rPr>
        <w:t xml:space="preserve"> </w:t>
      </w:r>
    </w:p>
    <w:p w:rsidR="004A4A2A" w:rsidRPr="00C43156" w:rsidRDefault="0016463A" w:rsidP="0001725A">
      <w:pPr>
        <w:pStyle w:val="NormalWeb"/>
        <w:tabs>
          <w:tab w:val="left" w:pos="810"/>
          <w:tab w:val="left" w:pos="1350"/>
        </w:tabs>
        <w:ind w:left="1350" w:hanging="990"/>
        <w:rPr>
          <w:rFonts w:ascii="Calibri" w:hAnsi="Calibri" w:cs="Calibri"/>
          <w:color w:val="000000"/>
          <w:sz w:val="22"/>
          <w:szCs w:val="22"/>
        </w:rPr>
      </w:pPr>
      <w:r>
        <w:rPr>
          <w:rFonts w:ascii="Calibri" w:hAnsi="Calibri" w:cs="Calibri"/>
          <w:color w:val="000000"/>
          <w:sz w:val="22"/>
          <w:szCs w:val="22"/>
        </w:rPr>
        <w:tab/>
      </w:r>
      <w:r w:rsidR="004A4A2A" w:rsidRPr="00C43156">
        <w:rPr>
          <w:rFonts w:ascii="Calibri" w:hAnsi="Calibri" w:cs="Calibri"/>
          <w:color w:val="000000"/>
          <w:sz w:val="22"/>
          <w:szCs w:val="22"/>
        </w:rPr>
        <w:t>(1)</w:t>
      </w:r>
      <w:r>
        <w:rPr>
          <w:rFonts w:ascii="Calibri" w:hAnsi="Calibri" w:cs="Calibri"/>
          <w:color w:val="000000"/>
          <w:sz w:val="22"/>
          <w:szCs w:val="22"/>
        </w:rPr>
        <w:tab/>
      </w:r>
      <w:r w:rsidR="004A4A2A" w:rsidRPr="00C43156">
        <w:rPr>
          <w:rFonts w:ascii="Calibri" w:hAnsi="Calibri" w:cs="Calibri"/>
          <w:color w:val="000000"/>
          <w:sz w:val="22"/>
          <w:szCs w:val="22"/>
        </w:rPr>
        <w:t xml:space="preserve">The Executive may, not later than 28 days before the proposed date of an event, declare the event to be a major event (a </w:t>
      </w:r>
      <w:r w:rsidR="004A4A2A" w:rsidRPr="00C43156">
        <w:rPr>
          <w:rFonts w:ascii="Calibri" w:hAnsi="Calibri" w:cs="Calibri"/>
          <w:b/>
          <w:bCs/>
          <w:i/>
          <w:iCs/>
          <w:color w:val="000000"/>
          <w:sz w:val="22"/>
          <w:szCs w:val="22"/>
        </w:rPr>
        <w:t xml:space="preserve">major event </w:t>
      </w:r>
      <w:proofErr w:type="gramStart"/>
      <w:r w:rsidR="004A4A2A" w:rsidRPr="00C43156">
        <w:rPr>
          <w:rFonts w:ascii="Calibri" w:hAnsi="Calibri" w:cs="Calibri"/>
          <w:b/>
          <w:bCs/>
          <w:i/>
          <w:iCs/>
          <w:color w:val="000000"/>
          <w:sz w:val="22"/>
          <w:szCs w:val="22"/>
        </w:rPr>
        <w:t xml:space="preserve">declaration </w:t>
      </w:r>
      <w:r w:rsidR="004A4A2A" w:rsidRPr="00C43156">
        <w:rPr>
          <w:rFonts w:ascii="Calibri" w:hAnsi="Calibri" w:cs="Calibri"/>
          <w:color w:val="000000"/>
          <w:sz w:val="22"/>
          <w:szCs w:val="22"/>
        </w:rPr>
        <w:t>)</w:t>
      </w:r>
      <w:proofErr w:type="gramEnd"/>
      <w:r w:rsidR="004A4A2A" w:rsidRPr="00C43156">
        <w:rPr>
          <w:rFonts w:ascii="Calibri" w:hAnsi="Calibri" w:cs="Calibri"/>
          <w:color w:val="000000"/>
          <w:sz w:val="22"/>
          <w:szCs w:val="22"/>
        </w:rPr>
        <w:t xml:space="preserve">. </w:t>
      </w:r>
    </w:p>
    <w:p w:rsidR="004A4A2A" w:rsidRPr="00C43156" w:rsidRDefault="0016463A" w:rsidP="0001725A">
      <w:pPr>
        <w:pStyle w:val="NormalWeb"/>
        <w:tabs>
          <w:tab w:val="left" w:pos="810"/>
          <w:tab w:val="left" w:pos="1350"/>
        </w:tabs>
        <w:ind w:left="1350" w:hanging="990"/>
        <w:rPr>
          <w:rFonts w:ascii="Calibri" w:hAnsi="Calibri" w:cs="Calibri"/>
          <w:color w:val="000000"/>
          <w:sz w:val="22"/>
          <w:szCs w:val="22"/>
        </w:rPr>
      </w:pPr>
      <w:r>
        <w:rPr>
          <w:rFonts w:ascii="Calibri" w:hAnsi="Calibri" w:cs="Calibri"/>
          <w:color w:val="000000"/>
          <w:sz w:val="22"/>
          <w:szCs w:val="22"/>
        </w:rPr>
        <w:tab/>
      </w:r>
      <w:r w:rsidR="004A4A2A" w:rsidRPr="00C43156">
        <w:rPr>
          <w:rFonts w:ascii="Calibri" w:hAnsi="Calibri" w:cs="Calibri"/>
          <w:color w:val="000000"/>
          <w:sz w:val="22"/>
          <w:szCs w:val="22"/>
        </w:rPr>
        <w:t>(2)</w:t>
      </w:r>
      <w:r>
        <w:rPr>
          <w:rFonts w:ascii="Calibri" w:hAnsi="Calibri" w:cs="Calibri"/>
          <w:color w:val="000000"/>
          <w:sz w:val="22"/>
          <w:szCs w:val="22"/>
        </w:rPr>
        <w:tab/>
      </w:r>
      <w:r w:rsidR="004A4A2A" w:rsidRPr="00C43156">
        <w:rPr>
          <w:rFonts w:ascii="Calibri" w:hAnsi="Calibri" w:cs="Calibri"/>
          <w:color w:val="000000"/>
          <w:sz w:val="22"/>
          <w:szCs w:val="22"/>
        </w:rPr>
        <w:t xml:space="preserve">The Executive may only make a major event declaration in relation to an event if satisfied— </w:t>
      </w:r>
    </w:p>
    <w:p w:rsidR="004A4A2A" w:rsidRPr="00C43156" w:rsidRDefault="0016463A" w:rsidP="0001725A">
      <w:pPr>
        <w:pStyle w:val="NormalWeb"/>
        <w:tabs>
          <w:tab w:val="left" w:pos="810"/>
          <w:tab w:val="left" w:pos="1350"/>
        </w:tabs>
        <w:ind w:left="1890" w:hanging="1530"/>
        <w:rPr>
          <w:rFonts w:ascii="Calibri" w:hAnsi="Calibri" w:cs="Calibri"/>
          <w:color w:val="000000"/>
          <w:sz w:val="22"/>
          <w:szCs w:val="22"/>
        </w:rPr>
      </w:pPr>
      <w:r>
        <w:rPr>
          <w:rFonts w:ascii="Calibri" w:hAnsi="Calibri" w:cs="Calibri"/>
          <w:color w:val="000000"/>
          <w:sz w:val="22"/>
          <w:szCs w:val="22"/>
        </w:rPr>
        <w:tab/>
      </w:r>
      <w:r>
        <w:rPr>
          <w:rFonts w:ascii="Calibri" w:hAnsi="Calibri" w:cs="Calibri"/>
          <w:color w:val="000000"/>
          <w:sz w:val="22"/>
          <w:szCs w:val="22"/>
        </w:rPr>
        <w:tab/>
      </w:r>
      <w:r w:rsidR="004A4A2A" w:rsidRPr="00C43156">
        <w:rPr>
          <w:rFonts w:ascii="Calibri" w:hAnsi="Calibri" w:cs="Calibri"/>
          <w:color w:val="000000"/>
          <w:sz w:val="22"/>
          <w:szCs w:val="22"/>
        </w:rPr>
        <w:t>(a)</w:t>
      </w:r>
      <w:r>
        <w:rPr>
          <w:rFonts w:ascii="Calibri" w:hAnsi="Calibri" w:cs="Calibri"/>
          <w:color w:val="000000"/>
          <w:sz w:val="22"/>
          <w:szCs w:val="22"/>
        </w:rPr>
        <w:tab/>
      </w:r>
      <w:proofErr w:type="gramStart"/>
      <w:r w:rsidR="004A4A2A" w:rsidRPr="00C43156">
        <w:rPr>
          <w:rFonts w:ascii="Calibri" w:hAnsi="Calibri" w:cs="Calibri"/>
          <w:color w:val="000000"/>
          <w:sz w:val="22"/>
          <w:szCs w:val="22"/>
        </w:rPr>
        <w:t>that</w:t>
      </w:r>
      <w:proofErr w:type="gramEnd"/>
      <w:r w:rsidR="004A4A2A" w:rsidRPr="00C43156">
        <w:rPr>
          <w:rFonts w:ascii="Calibri" w:hAnsi="Calibri" w:cs="Calibri"/>
          <w:color w:val="000000"/>
          <w:sz w:val="22"/>
          <w:szCs w:val="22"/>
        </w:rPr>
        <w:t xml:space="preserve"> the event is a major event at an international, national, State or Territory level; and </w:t>
      </w:r>
    </w:p>
    <w:p w:rsidR="004A4A2A" w:rsidRPr="00C43156" w:rsidRDefault="0016463A" w:rsidP="0001725A">
      <w:pPr>
        <w:pStyle w:val="NormalWeb"/>
        <w:tabs>
          <w:tab w:val="left" w:pos="810"/>
          <w:tab w:val="left" w:pos="1350"/>
        </w:tabs>
        <w:ind w:left="1890" w:hanging="1530"/>
        <w:rPr>
          <w:rFonts w:ascii="Calibri" w:hAnsi="Calibri" w:cs="Calibri"/>
          <w:color w:val="000000"/>
          <w:sz w:val="22"/>
          <w:szCs w:val="22"/>
        </w:rPr>
      </w:pPr>
      <w:r>
        <w:rPr>
          <w:rFonts w:ascii="Calibri" w:hAnsi="Calibri" w:cs="Calibri"/>
          <w:color w:val="000000"/>
          <w:sz w:val="22"/>
          <w:szCs w:val="22"/>
        </w:rPr>
        <w:tab/>
      </w:r>
      <w:r>
        <w:rPr>
          <w:rFonts w:ascii="Calibri" w:hAnsi="Calibri" w:cs="Calibri"/>
          <w:color w:val="000000"/>
          <w:sz w:val="22"/>
          <w:szCs w:val="22"/>
        </w:rPr>
        <w:tab/>
      </w:r>
      <w:r w:rsidR="004A4A2A" w:rsidRPr="00C43156">
        <w:rPr>
          <w:rFonts w:ascii="Calibri" w:hAnsi="Calibri" w:cs="Calibri"/>
          <w:color w:val="000000"/>
          <w:sz w:val="22"/>
          <w:szCs w:val="22"/>
        </w:rPr>
        <w:t>(b)</w:t>
      </w:r>
      <w:r>
        <w:rPr>
          <w:rFonts w:ascii="Calibri" w:hAnsi="Calibri" w:cs="Calibri"/>
          <w:color w:val="000000"/>
          <w:sz w:val="22"/>
          <w:szCs w:val="22"/>
        </w:rPr>
        <w:tab/>
      </w:r>
      <w:proofErr w:type="gramStart"/>
      <w:r w:rsidR="004A4A2A" w:rsidRPr="00C43156">
        <w:rPr>
          <w:rFonts w:ascii="Calibri" w:hAnsi="Calibri" w:cs="Calibri"/>
          <w:color w:val="000000"/>
          <w:sz w:val="22"/>
          <w:szCs w:val="22"/>
        </w:rPr>
        <w:t>it</w:t>
      </w:r>
      <w:proofErr w:type="gramEnd"/>
      <w:r w:rsidR="004A4A2A" w:rsidRPr="00C43156">
        <w:rPr>
          <w:rFonts w:ascii="Calibri" w:hAnsi="Calibri" w:cs="Calibri"/>
          <w:color w:val="000000"/>
          <w:sz w:val="22"/>
          <w:szCs w:val="22"/>
        </w:rPr>
        <w:t xml:space="preserve"> is in the public interest to do so; and </w:t>
      </w:r>
    </w:p>
    <w:p w:rsidR="004A4A2A" w:rsidRPr="00C43156" w:rsidRDefault="0016463A" w:rsidP="0001725A">
      <w:pPr>
        <w:pStyle w:val="NormalWeb"/>
        <w:tabs>
          <w:tab w:val="left" w:pos="810"/>
          <w:tab w:val="left" w:pos="1350"/>
        </w:tabs>
        <w:ind w:left="1890" w:hanging="1530"/>
        <w:rPr>
          <w:rFonts w:ascii="Calibri" w:hAnsi="Calibri" w:cs="Calibri"/>
          <w:color w:val="000000"/>
          <w:sz w:val="22"/>
          <w:szCs w:val="22"/>
        </w:rPr>
      </w:pPr>
      <w:r>
        <w:rPr>
          <w:rFonts w:ascii="Calibri" w:hAnsi="Calibri" w:cs="Calibri"/>
          <w:color w:val="000000"/>
          <w:sz w:val="22"/>
          <w:szCs w:val="22"/>
        </w:rPr>
        <w:tab/>
      </w:r>
      <w:r>
        <w:rPr>
          <w:rFonts w:ascii="Calibri" w:hAnsi="Calibri" w:cs="Calibri"/>
          <w:color w:val="000000"/>
          <w:sz w:val="22"/>
          <w:szCs w:val="22"/>
        </w:rPr>
        <w:tab/>
      </w:r>
      <w:r w:rsidR="004A4A2A" w:rsidRPr="00C43156">
        <w:rPr>
          <w:rFonts w:ascii="Calibri" w:hAnsi="Calibri" w:cs="Calibri"/>
          <w:color w:val="000000"/>
          <w:sz w:val="22"/>
          <w:szCs w:val="22"/>
        </w:rPr>
        <w:t>(c)</w:t>
      </w:r>
      <w:r>
        <w:rPr>
          <w:rFonts w:ascii="Calibri" w:hAnsi="Calibri" w:cs="Calibri"/>
          <w:color w:val="000000"/>
          <w:sz w:val="22"/>
          <w:szCs w:val="22"/>
        </w:rPr>
        <w:tab/>
      </w:r>
      <w:proofErr w:type="gramStart"/>
      <w:r w:rsidR="004A4A2A" w:rsidRPr="00C43156">
        <w:rPr>
          <w:rFonts w:ascii="Calibri" w:hAnsi="Calibri" w:cs="Calibri"/>
          <w:color w:val="000000"/>
          <w:sz w:val="22"/>
          <w:szCs w:val="22"/>
        </w:rPr>
        <w:t>on</w:t>
      </w:r>
      <w:proofErr w:type="gramEnd"/>
      <w:r w:rsidR="004A4A2A" w:rsidRPr="00C43156">
        <w:rPr>
          <w:rFonts w:ascii="Calibri" w:hAnsi="Calibri" w:cs="Calibri"/>
          <w:color w:val="000000"/>
          <w:sz w:val="22"/>
          <w:szCs w:val="22"/>
        </w:rPr>
        <w:t xml:space="preserve"> reasonable grounds it is necessary and appropriate to do so. </w:t>
      </w:r>
    </w:p>
    <w:p w:rsidR="004A4A2A" w:rsidRPr="00C43156" w:rsidRDefault="0016463A" w:rsidP="0001725A">
      <w:pPr>
        <w:pStyle w:val="NormalWeb"/>
        <w:tabs>
          <w:tab w:val="left" w:pos="810"/>
          <w:tab w:val="left" w:pos="1350"/>
        </w:tabs>
        <w:ind w:left="1350" w:hanging="990"/>
        <w:rPr>
          <w:rFonts w:ascii="Calibri" w:hAnsi="Calibri" w:cs="Calibri"/>
          <w:color w:val="000000"/>
          <w:sz w:val="22"/>
          <w:szCs w:val="22"/>
        </w:rPr>
      </w:pPr>
      <w:r>
        <w:rPr>
          <w:rFonts w:ascii="Calibri" w:hAnsi="Calibri" w:cs="Calibri"/>
          <w:color w:val="000000"/>
          <w:sz w:val="22"/>
          <w:szCs w:val="22"/>
        </w:rPr>
        <w:tab/>
      </w:r>
      <w:r w:rsidR="004A4A2A" w:rsidRPr="00C43156">
        <w:rPr>
          <w:rFonts w:ascii="Calibri" w:hAnsi="Calibri" w:cs="Calibri"/>
          <w:color w:val="000000"/>
          <w:sz w:val="22"/>
          <w:szCs w:val="22"/>
        </w:rPr>
        <w:t>(3)</w:t>
      </w:r>
      <w:r>
        <w:rPr>
          <w:rFonts w:ascii="Calibri" w:hAnsi="Calibri" w:cs="Calibri"/>
          <w:color w:val="000000"/>
          <w:sz w:val="22"/>
          <w:szCs w:val="22"/>
        </w:rPr>
        <w:tab/>
      </w:r>
      <w:r w:rsidR="004A4A2A" w:rsidRPr="00C43156">
        <w:rPr>
          <w:rFonts w:ascii="Calibri" w:hAnsi="Calibri" w:cs="Calibri"/>
          <w:color w:val="000000"/>
          <w:sz w:val="22"/>
          <w:szCs w:val="22"/>
        </w:rPr>
        <w:t xml:space="preserve">In deciding whether to make a major event declaration, the Executive must consider whether the event will do any of the following: </w:t>
      </w:r>
    </w:p>
    <w:p w:rsidR="004A4A2A" w:rsidRPr="00C43156" w:rsidRDefault="00DC43BC" w:rsidP="0001725A">
      <w:pPr>
        <w:pStyle w:val="NormalWeb"/>
        <w:tabs>
          <w:tab w:val="left" w:pos="810"/>
          <w:tab w:val="left" w:pos="1350"/>
        </w:tabs>
        <w:ind w:left="1890" w:hanging="1530"/>
        <w:rPr>
          <w:rFonts w:ascii="Calibri" w:hAnsi="Calibri" w:cs="Calibri"/>
          <w:color w:val="000000"/>
          <w:sz w:val="22"/>
          <w:szCs w:val="22"/>
        </w:rPr>
      </w:pPr>
      <w:r>
        <w:rPr>
          <w:rFonts w:ascii="Calibri" w:hAnsi="Calibri" w:cs="Calibri"/>
          <w:color w:val="000000"/>
          <w:sz w:val="22"/>
          <w:szCs w:val="22"/>
        </w:rPr>
        <w:tab/>
      </w:r>
      <w:r>
        <w:rPr>
          <w:rFonts w:ascii="Calibri" w:hAnsi="Calibri" w:cs="Calibri"/>
          <w:color w:val="000000"/>
          <w:sz w:val="22"/>
          <w:szCs w:val="22"/>
        </w:rPr>
        <w:tab/>
      </w:r>
      <w:r w:rsidR="004A4A2A" w:rsidRPr="00C43156">
        <w:rPr>
          <w:rFonts w:ascii="Calibri" w:hAnsi="Calibri" w:cs="Calibri"/>
          <w:color w:val="000000"/>
          <w:sz w:val="22"/>
          <w:szCs w:val="22"/>
        </w:rPr>
        <w:t>(a)</w:t>
      </w:r>
      <w:r>
        <w:rPr>
          <w:rFonts w:ascii="Calibri" w:hAnsi="Calibri" w:cs="Calibri"/>
          <w:color w:val="000000"/>
          <w:sz w:val="22"/>
          <w:szCs w:val="22"/>
        </w:rPr>
        <w:tab/>
      </w:r>
      <w:proofErr w:type="gramStart"/>
      <w:r w:rsidR="004A4A2A" w:rsidRPr="00C43156">
        <w:rPr>
          <w:rFonts w:ascii="Calibri" w:hAnsi="Calibri" w:cs="Calibri"/>
          <w:color w:val="000000"/>
          <w:sz w:val="22"/>
          <w:szCs w:val="22"/>
        </w:rPr>
        <w:t>generate</w:t>
      </w:r>
      <w:proofErr w:type="gramEnd"/>
      <w:r w:rsidR="004A4A2A" w:rsidRPr="00C43156">
        <w:rPr>
          <w:rFonts w:ascii="Calibri" w:hAnsi="Calibri" w:cs="Calibri"/>
          <w:color w:val="000000"/>
          <w:sz w:val="22"/>
          <w:szCs w:val="22"/>
        </w:rPr>
        <w:t xml:space="preserve"> significant tourism opportunities for the ACT by attracting a large number of international participants or spectators; </w:t>
      </w:r>
    </w:p>
    <w:p w:rsidR="004A4A2A" w:rsidRPr="00C43156" w:rsidRDefault="00DC43BC" w:rsidP="0001725A">
      <w:pPr>
        <w:pStyle w:val="NormalWeb"/>
        <w:tabs>
          <w:tab w:val="left" w:pos="810"/>
          <w:tab w:val="left" w:pos="1350"/>
        </w:tabs>
        <w:ind w:left="1890" w:hanging="1530"/>
        <w:rPr>
          <w:rFonts w:ascii="Calibri" w:hAnsi="Calibri" w:cs="Calibri"/>
          <w:color w:val="000000"/>
          <w:sz w:val="22"/>
          <w:szCs w:val="22"/>
        </w:rPr>
      </w:pPr>
      <w:r>
        <w:rPr>
          <w:rFonts w:ascii="Calibri" w:hAnsi="Calibri" w:cs="Calibri"/>
          <w:color w:val="000000"/>
          <w:sz w:val="22"/>
          <w:szCs w:val="22"/>
        </w:rPr>
        <w:tab/>
      </w:r>
      <w:r>
        <w:rPr>
          <w:rFonts w:ascii="Calibri" w:hAnsi="Calibri" w:cs="Calibri"/>
          <w:color w:val="000000"/>
          <w:sz w:val="22"/>
          <w:szCs w:val="22"/>
        </w:rPr>
        <w:tab/>
      </w:r>
      <w:r w:rsidR="004A4A2A" w:rsidRPr="00C43156">
        <w:rPr>
          <w:rFonts w:ascii="Calibri" w:hAnsi="Calibri" w:cs="Calibri"/>
          <w:color w:val="000000"/>
          <w:sz w:val="22"/>
          <w:szCs w:val="22"/>
        </w:rPr>
        <w:t>(b)</w:t>
      </w:r>
      <w:r>
        <w:rPr>
          <w:rFonts w:ascii="Calibri" w:hAnsi="Calibri" w:cs="Calibri"/>
          <w:color w:val="000000"/>
          <w:sz w:val="22"/>
          <w:szCs w:val="22"/>
        </w:rPr>
        <w:tab/>
      </w:r>
      <w:proofErr w:type="gramStart"/>
      <w:r w:rsidR="004A4A2A" w:rsidRPr="00C43156">
        <w:rPr>
          <w:rFonts w:ascii="Calibri" w:hAnsi="Calibri" w:cs="Calibri"/>
          <w:color w:val="000000"/>
          <w:sz w:val="22"/>
          <w:szCs w:val="22"/>
        </w:rPr>
        <w:t>significantly</w:t>
      </w:r>
      <w:proofErr w:type="gramEnd"/>
      <w:r w:rsidR="004A4A2A" w:rsidRPr="00C43156">
        <w:rPr>
          <w:rFonts w:ascii="Calibri" w:hAnsi="Calibri" w:cs="Calibri"/>
          <w:color w:val="000000"/>
          <w:sz w:val="22"/>
          <w:szCs w:val="22"/>
        </w:rPr>
        <w:t xml:space="preserve"> raise the ACT's international profile; </w:t>
      </w:r>
    </w:p>
    <w:p w:rsidR="004A4A2A" w:rsidRPr="00C43156" w:rsidRDefault="00DC43BC" w:rsidP="0001725A">
      <w:pPr>
        <w:pStyle w:val="NormalWeb"/>
        <w:tabs>
          <w:tab w:val="left" w:pos="810"/>
          <w:tab w:val="left" w:pos="1350"/>
        </w:tabs>
        <w:ind w:left="1890" w:hanging="1530"/>
        <w:rPr>
          <w:rFonts w:ascii="Calibri" w:hAnsi="Calibri" w:cs="Calibri"/>
          <w:color w:val="000000"/>
          <w:sz w:val="22"/>
          <w:szCs w:val="22"/>
        </w:rPr>
      </w:pPr>
      <w:r>
        <w:rPr>
          <w:rFonts w:ascii="Calibri" w:hAnsi="Calibri" w:cs="Calibri"/>
          <w:color w:val="000000"/>
          <w:sz w:val="22"/>
          <w:szCs w:val="22"/>
        </w:rPr>
        <w:tab/>
      </w:r>
      <w:r>
        <w:rPr>
          <w:rFonts w:ascii="Calibri" w:hAnsi="Calibri" w:cs="Calibri"/>
          <w:color w:val="000000"/>
          <w:sz w:val="22"/>
          <w:szCs w:val="22"/>
        </w:rPr>
        <w:tab/>
      </w:r>
      <w:r w:rsidR="004A4A2A" w:rsidRPr="00C43156">
        <w:rPr>
          <w:rFonts w:ascii="Calibri" w:hAnsi="Calibri" w:cs="Calibri"/>
          <w:color w:val="000000"/>
          <w:sz w:val="22"/>
          <w:szCs w:val="22"/>
        </w:rPr>
        <w:t>(c)</w:t>
      </w:r>
      <w:r>
        <w:rPr>
          <w:rFonts w:ascii="Calibri" w:hAnsi="Calibri" w:cs="Calibri"/>
          <w:color w:val="000000"/>
          <w:sz w:val="22"/>
          <w:szCs w:val="22"/>
        </w:rPr>
        <w:tab/>
      </w:r>
      <w:proofErr w:type="gramStart"/>
      <w:r w:rsidR="004A4A2A" w:rsidRPr="00C43156">
        <w:rPr>
          <w:rFonts w:ascii="Calibri" w:hAnsi="Calibri" w:cs="Calibri"/>
          <w:color w:val="000000"/>
          <w:sz w:val="22"/>
          <w:szCs w:val="22"/>
        </w:rPr>
        <w:t>require</w:t>
      </w:r>
      <w:proofErr w:type="gramEnd"/>
      <w:r w:rsidR="004A4A2A" w:rsidRPr="00C43156">
        <w:rPr>
          <w:rFonts w:ascii="Calibri" w:hAnsi="Calibri" w:cs="Calibri"/>
          <w:color w:val="000000"/>
          <w:sz w:val="22"/>
          <w:szCs w:val="22"/>
        </w:rPr>
        <w:t xml:space="preserve"> a high level of professional management and coordination; </w:t>
      </w:r>
    </w:p>
    <w:p w:rsidR="004A4A2A" w:rsidRPr="00C43156" w:rsidRDefault="00DC43BC" w:rsidP="0001725A">
      <w:pPr>
        <w:pStyle w:val="NormalWeb"/>
        <w:tabs>
          <w:tab w:val="left" w:pos="810"/>
          <w:tab w:val="left" w:pos="1350"/>
        </w:tabs>
        <w:ind w:left="1890" w:hanging="1530"/>
        <w:rPr>
          <w:rFonts w:ascii="Calibri" w:hAnsi="Calibri" w:cs="Calibri"/>
          <w:color w:val="000000"/>
          <w:sz w:val="22"/>
          <w:szCs w:val="22"/>
        </w:rPr>
      </w:pPr>
      <w:r>
        <w:rPr>
          <w:rFonts w:ascii="Calibri" w:hAnsi="Calibri" w:cs="Calibri"/>
          <w:color w:val="000000"/>
          <w:sz w:val="22"/>
          <w:szCs w:val="22"/>
        </w:rPr>
        <w:tab/>
      </w:r>
      <w:r>
        <w:rPr>
          <w:rFonts w:ascii="Calibri" w:hAnsi="Calibri" w:cs="Calibri"/>
          <w:color w:val="000000"/>
          <w:sz w:val="22"/>
          <w:szCs w:val="22"/>
        </w:rPr>
        <w:tab/>
      </w:r>
      <w:r w:rsidR="004A4A2A" w:rsidRPr="00C43156">
        <w:rPr>
          <w:rFonts w:ascii="Calibri" w:hAnsi="Calibri" w:cs="Calibri"/>
          <w:color w:val="000000"/>
          <w:sz w:val="22"/>
          <w:szCs w:val="22"/>
        </w:rPr>
        <w:t>(d)</w:t>
      </w:r>
      <w:r>
        <w:rPr>
          <w:rFonts w:ascii="Calibri" w:hAnsi="Calibri" w:cs="Calibri"/>
          <w:color w:val="000000"/>
          <w:sz w:val="22"/>
          <w:szCs w:val="22"/>
        </w:rPr>
        <w:tab/>
      </w:r>
      <w:proofErr w:type="gramStart"/>
      <w:r w:rsidR="004A4A2A" w:rsidRPr="00C43156">
        <w:rPr>
          <w:rFonts w:ascii="Calibri" w:hAnsi="Calibri" w:cs="Calibri"/>
          <w:color w:val="000000"/>
          <w:sz w:val="22"/>
          <w:szCs w:val="22"/>
        </w:rPr>
        <w:t>attract</w:t>
      </w:r>
      <w:proofErr w:type="gramEnd"/>
      <w:r w:rsidR="004A4A2A" w:rsidRPr="00C43156">
        <w:rPr>
          <w:rFonts w:ascii="Calibri" w:hAnsi="Calibri" w:cs="Calibri"/>
          <w:color w:val="000000"/>
          <w:sz w:val="22"/>
          <w:szCs w:val="22"/>
        </w:rPr>
        <w:t xml:space="preserve"> significant sponsorship and media coverage; </w:t>
      </w:r>
    </w:p>
    <w:p w:rsidR="004A4A2A" w:rsidRPr="00C43156" w:rsidRDefault="00DC43BC" w:rsidP="0001725A">
      <w:pPr>
        <w:pStyle w:val="NormalWeb"/>
        <w:tabs>
          <w:tab w:val="left" w:pos="810"/>
          <w:tab w:val="left" w:pos="1350"/>
        </w:tabs>
        <w:ind w:left="1890" w:hanging="1530"/>
        <w:rPr>
          <w:rFonts w:ascii="Calibri" w:hAnsi="Calibri" w:cs="Calibri"/>
          <w:color w:val="000000"/>
          <w:sz w:val="22"/>
          <w:szCs w:val="22"/>
        </w:rPr>
      </w:pPr>
      <w:r>
        <w:rPr>
          <w:rFonts w:ascii="Calibri" w:hAnsi="Calibri" w:cs="Calibri"/>
          <w:color w:val="000000"/>
          <w:sz w:val="22"/>
          <w:szCs w:val="22"/>
        </w:rPr>
        <w:tab/>
      </w:r>
      <w:r>
        <w:rPr>
          <w:rFonts w:ascii="Calibri" w:hAnsi="Calibri" w:cs="Calibri"/>
          <w:color w:val="000000"/>
          <w:sz w:val="22"/>
          <w:szCs w:val="22"/>
        </w:rPr>
        <w:tab/>
      </w:r>
      <w:r w:rsidR="004A4A2A" w:rsidRPr="00C43156">
        <w:rPr>
          <w:rFonts w:ascii="Calibri" w:hAnsi="Calibri" w:cs="Calibri"/>
          <w:color w:val="000000"/>
          <w:sz w:val="22"/>
          <w:szCs w:val="22"/>
        </w:rPr>
        <w:t>(e)</w:t>
      </w:r>
      <w:r>
        <w:rPr>
          <w:rFonts w:ascii="Calibri" w:hAnsi="Calibri" w:cs="Calibri"/>
          <w:color w:val="000000"/>
          <w:sz w:val="22"/>
          <w:szCs w:val="22"/>
        </w:rPr>
        <w:tab/>
      </w:r>
      <w:proofErr w:type="gramStart"/>
      <w:r w:rsidR="004A4A2A" w:rsidRPr="00C43156">
        <w:rPr>
          <w:rFonts w:ascii="Calibri" w:hAnsi="Calibri" w:cs="Calibri"/>
          <w:color w:val="000000"/>
          <w:sz w:val="22"/>
          <w:szCs w:val="22"/>
        </w:rPr>
        <w:t>attract</w:t>
      </w:r>
      <w:proofErr w:type="gramEnd"/>
      <w:r w:rsidR="004A4A2A" w:rsidRPr="00C43156">
        <w:rPr>
          <w:rFonts w:ascii="Calibri" w:hAnsi="Calibri" w:cs="Calibri"/>
          <w:color w:val="000000"/>
          <w:sz w:val="22"/>
          <w:szCs w:val="22"/>
        </w:rPr>
        <w:t xml:space="preserve"> large numbers of people as participants or spectators; </w:t>
      </w:r>
    </w:p>
    <w:p w:rsidR="004A4A2A" w:rsidRPr="00C43156" w:rsidRDefault="00DC43BC" w:rsidP="0001725A">
      <w:pPr>
        <w:pStyle w:val="NormalWeb"/>
        <w:tabs>
          <w:tab w:val="left" w:pos="810"/>
          <w:tab w:val="left" w:pos="1350"/>
        </w:tabs>
        <w:ind w:left="1890" w:hanging="1530"/>
        <w:rPr>
          <w:rFonts w:ascii="Calibri" w:hAnsi="Calibri" w:cs="Calibri"/>
          <w:color w:val="000000"/>
          <w:sz w:val="22"/>
          <w:szCs w:val="22"/>
        </w:rPr>
      </w:pPr>
      <w:r>
        <w:rPr>
          <w:rFonts w:ascii="Calibri" w:hAnsi="Calibri" w:cs="Calibri"/>
          <w:color w:val="000000"/>
          <w:sz w:val="22"/>
          <w:szCs w:val="22"/>
        </w:rPr>
        <w:tab/>
      </w:r>
      <w:r>
        <w:rPr>
          <w:rFonts w:ascii="Calibri" w:hAnsi="Calibri" w:cs="Calibri"/>
          <w:color w:val="000000"/>
          <w:sz w:val="22"/>
          <w:szCs w:val="22"/>
        </w:rPr>
        <w:tab/>
      </w:r>
      <w:r w:rsidR="004A4A2A" w:rsidRPr="00C43156">
        <w:rPr>
          <w:rFonts w:ascii="Calibri" w:hAnsi="Calibri" w:cs="Calibri"/>
          <w:color w:val="000000"/>
          <w:sz w:val="22"/>
          <w:szCs w:val="22"/>
        </w:rPr>
        <w:t>(f)</w:t>
      </w:r>
      <w:r>
        <w:rPr>
          <w:rFonts w:ascii="Calibri" w:hAnsi="Calibri" w:cs="Calibri"/>
          <w:color w:val="000000"/>
          <w:sz w:val="22"/>
          <w:szCs w:val="22"/>
        </w:rPr>
        <w:tab/>
      </w:r>
      <w:proofErr w:type="gramStart"/>
      <w:r w:rsidR="004A4A2A" w:rsidRPr="00C43156">
        <w:rPr>
          <w:rFonts w:ascii="Calibri" w:hAnsi="Calibri" w:cs="Calibri"/>
          <w:color w:val="000000"/>
          <w:sz w:val="22"/>
          <w:szCs w:val="22"/>
        </w:rPr>
        <w:t>offer</w:t>
      </w:r>
      <w:proofErr w:type="gramEnd"/>
      <w:r w:rsidR="004A4A2A" w:rsidRPr="00C43156">
        <w:rPr>
          <w:rFonts w:ascii="Calibri" w:hAnsi="Calibri" w:cs="Calibri"/>
          <w:color w:val="000000"/>
          <w:sz w:val="22"/>
          <w:szCs w:val="22"/>
        </w:rPr>
        <w:t xml:space="preserve"> substantial cultural, economic, social, sporting or other benefits for the ACT and ACT residents. </w:t>
      </w:r>
    </w:p>
    <w:p w:rsidR="004A4A2A" w:rsidRPr="00C43156" w:rsidRDefault="0016463A" w:rsidP="0001725A">
      <w:pPr>
        <w:pStyle w:val="NormalWeb"/>
        <w:tabs>
          <w:tab w:val="left" w:pos="810"/>
          <w:tab w:val="left" w:pos="1350"/>
        </w:tabs>
        <w:ind w:left="1350" w:hanging="990"/>
        <w:rPr>
          <w:rFonts w:ascii="Calibri" w:hAnsi="Calibri" w:cs="Calibri"/>
          <w:color w:val="000000"/>
          <w:sz w:val="22"/>
          <w:szCs w:val="22"/>
        </w:rPr>
      </w:pPr>
      <w:r>
        <w:rPr>
          <w:rFonts w:ascii="Calibri" w:hAnsi="Calibri" w:cs="Calibri"/>
          <w:color w:val="000000"/>
          <w:sz w:val="22"/>
          <w:szCs w:val="22"/>
        </w:rPr>
        <w:tab/>
      </w:r>
      <w:r w:rsidR="004A4A2A" w:rsidRPr="00C43156">
        <w:rPr>
          <w:rFonts w:ascii="Calibri" w:hAnsi="Calibri" w:cs="Calibri"/>
          <w:color w:val="000000"/>
          <w:sz w:val="22"/>
          <w:szCs w:val="22"/>
        </w:rPr>
        <w:t>(4)</w:t>
      </w:r>
      <w:r>
        <w:rPr>
          <w:rFonts w:ascii="Calibri" w:hAnsi="Calibri" w:cs="Calibri"/>
          <w:color w:val="000000"/>
          <w:sz w:val="22"/>
          <w:szCs w:val="22"/>
        </w:rPr>
        <w:tab/>
      </w:r>
      <w:r w:rsidR="004A4A2A" w:rsidRPr="00C43156">
        <w:rPr>
          <w:rFonts w:ascii="Calibri" w:hAnsi="Calibri" w:cs="Calibri"/>
          <w:color w:val="000000"/>
          <w:sz w:val="22"/>
          <w:szCs w:val="22"/>
        </w:rPr>
        <w:t xml:space="preserve">The Executive may not declare a public protest or demonstration to be a major event. </w:t>
      </w:r>
    </w:p>
    <w:p w:rsidR="004A4A2A" w:rsidRPr="00C43156" w:rsidRDefault="0016463A" w:rsidP="0001725A">
      <w:pPr>
        <w:pStyle w:val="NormalWeb"/>
        <w:tabs>
          <w:tab w:val="left" w:pos="810"/>
          <w:tab w:val="left" w:pos="1350"/>
        </w:tabs>
        <w:ind w:left="1440" w:hanging="1080"/>
        <w:rPr>
          <w:rFonts w:ascii="Calibri" w:hAnsi="Calibri" w:cs="Calibri"/>
          <w:color w:val="000000"/>
          <w:sz w:val="22"/>
          <w:szCs w:val="22"/>
        </w:rPr>
      </w:pPr>
      <w:r>
        <w:rPr>
          <w:rFonts w:ascii="Calibri" w:hAnsi="Calibri" w:cs="Calibri"/>
          <w:color w:val="000000"/>
          <w:sz w:val="22"/>
          <w:szCs w:val="22"/>
        </w:rPr>
        <w:tab/>
      </w:r>
      <w:r w:rsidR="004A4A2A" w:rsidRPr="00C43156">
        <w:rPr>
          <w:rFonts w:ascii="Calibri" w:hAnsi="Calibri" w:cs="Calibri"/>
          <w:color w:val="000000"/>
          <w:sz w:val="22"/>
          <w:szCs w:val="22"/>
        </w:rPr>
        <w:t>(5)</w:t>
      </w:r>
      <w:r>
        <w:rPr>
          <w:rFonts w:ascii="Calibri" w:hAnsi="Calibri" w:cs="Calibri"/>
          <w:color w:val="000000"/>
          <w:sz w:val="22"/>
          <w:szCs w:val="22"/>
        </w:rPr>
        <w:tab/>
      </w:r>
      <w:r w:rsidR="004A4A2A" w:rsidRPr="00C43156">
        <w:rPr>
          <w:rFonts w:ascii="Calibri" w:hAnsi="Calibri" w:cs="Calibri"/>
          <w:color w:val="000000"/>
          <w:sz w:val="22"/>
          <w:szCs w:val="22"/>
        </w:rPr>
        <w:t xml:space="preserve">A major event declaration is a disallowable instrument. </w:t>
      </w:r>
    </w:p>
    <w:p w:rsidR="004A4A2A" w:rsidRPr="0016463A" w:rsidRDefault="0016463A" w:rsidP="0001725A">
      <w:pPr>
        <w:pStyle w:val="NormalWeb"/>
        <w:tabs>
          <w:tab w:val="left" w:pos="810"/>
          <w:tab w:val="left" w:pos="1350"/>
        </w:tabs>
        <w:ind w:left="2070" w:hanging="1710"/>
        <w:rPr>
          <w:rFonts w:ascii="Calibri" w:hAnsi="Calibri" w:cs="Calibri"/>
          <w:color w:val="000000"/>
          <w:sz w:val="20"/>
          <w:szCs w:val="20"/>
        </w:rPr>
      </w:pPr>
      <w:r w:rsidRPr="0016463A">
        <w:rPr>
          <w:rFonts w:ascii="Calibri" w:hAnsi="Calibri" w:cs="Calibri"/>
          <w:i/>
          <w:iCs/>
          <w:color w:val="000000"/>
          <w:sz w:val="20"/>
          <w:szCs w:val="20"/>
        </w:rPr>
        <w:tab/>
      </w:r>
      <w:r w:rsidRPr="0016463A">
        <w:rPr>
          <w:rFonts w:ascii="Calibri" w:hAnsi="Calibri" w:cs="Calibri"/>
          <w:i/>
          <w:iCs/>
          <w:color w:val="000000"/>
          <w:sz w:val="20"/>
          <w:szCs w:val="20"/>
        </w:rPr>
        <w:tab/>
      </w:r>
      <w:r w:rsidR="004A4A2A" w:rsidRPr="0016463A">
        <w:rPr>
          <w:rFonts w:ascii="Calibri" w:hAnsi="Calibri" w:cs="Calibri"/>
          <w:i/>
          <w:iCs/>
          <w:color w:val="000000"/>
          <w:sz w:val="20"/>
          <w:szCs w:val="20"/>
        </w:rPr>
        <w:t>Note</w:t>
      </w:r>
      <w:r>
        <w:rPr>
          <w:rFonts w:ascii="Calibri" w:hAnsi="Calibri" w:cs="Calibri"/>
          <w:i/>
          <w:iCs/>
          <w:color w:val="000000"/>
          <w:sz w:val="20"/>
          <w:szCs w:val="20"/>
        </w:rPr>
        <w:tab/>
      </w:r>
      <w:r w:rsidR="004A4A2A" w:rsidRPr="0016463A">
        <w:rPr>
          <w:rFonts w:ascii="Calibri" w:hAnsi="Calibri" w:cs="Calibri"/>
          <w:color w:val="000000"/>
          <w:sz w:val="20"/>
          <w:szCs w:val="20"/>
        </w:rPr>
        <w:t xml:space="preserve">A disallowable instrument must be notified, and presented to the Legislative Assembly, under the Legislation Act. </w:t>
      </w:r>
    </w:p>
    <w:p w:rsidR="004A4A2A" w:rsidRPr="00C43156" w:rsidRDefault="0016463A" w:rsidP="0001725A">
      <w:pPr>
        <w:pStyle w:val="NormalWeb"/>
        <w:tabs>
          <w:tab w:val="left" w:pos="810"/>
          <w:tab w:val="left" w:pos="1350"/>
        </w:tabs>
        <w:ind w:left="1350" w:hanging="990"/>
        <w:rPr>
          <w:rFonts w:ascii="Calibri" w:hAnsi="Calibri" w:cs="Calibri"/>
          <w:color w:val="000000"/>
          <w:sz w:val="22"/>
          <w:szCs w:val="22"/>
        </w:rPr>
      </w:pPr>
      <w:r>
        <w:rPr>
          <w:rFonts w:ascii="Calibri" w:hAnsi="Calibri" w:cs="Calibri"/>
          <w:color w:val="000000"/>
          <w:sz w:val="22"/>
          <w:szCs w:val="22"/>
        </w:rPr>
        <w:tab/>
      </w:r>
      <w:r w:rsidR="004A4A2A" w:rsidRPr="00C43156">
        <w:rPr>
          <w:rFonts w:ascii="Calibri" w:hAnsi="Calibri" w:cs="Calibri"/>
          <w:color w:val="000000"/>
          <w:sz w:val="22"/>
          <w:szCs w:val="22"/>
        </w:rPr>
        <w:t>(6)</w:t>
      </w:r>
      <w:r>
        <w:rPr>
          <w:rFonts w:ascii="Calibri" w:hAnsi="Calibri" w:cs="Calibri"/>
          <w:color w:val="000000"/>
          <w:sz w:val="22"/>
          <w:szCs w:val="22"/>
        </w:rPr>
        <w:tab/>
      </w:r>
      <w:r w:rsidR="004A4A2A" w:rsidRPr="00C43156">
        <w:rPr>
          <w:rFonts w:ascii="Calibri" w:hAnsi="Calibri" w:cs="Calibri"/>
          <w:color w:val="000000"/>
          <w:sz w:val="22"/>
          <w:szCs w:val="22"/>
        </w:rPr>
        <w:t xml:space="preserve">The Executive must give additional public notice of the major event declaration. </w:t>
      </w:r>
    </w:p>
    <w:p w:rsidR="004A4A2A" w:rsidRPr="00DC43BC" w:rsidRDefault="0016463A" w:rsidP="0001725A">
      <w:pPr>
        <w:pStyle w:val="NormalWeb"/>
        <w:keepLines/>
        <w:tabs>
          <w:tab w:val="left" w:pos="810"/>
          <w:tab w:val="left" w:pos="1350"/>
        </w:tabs>
        <w:ind w:left="2074" w:hanging="1714"/>
        <w:rPr>
          <w:rFonts w:ascii="Calibri" w:hAnsi="Calibri" w:cs="Calibri"/>
          <w:iCs/>
          <w:color w:val="000000"/>
          <w:sz w:val="20"/>
          <w:szCs w:val="20"/>
        </w:rPr>
      </w:pPr>
      <w:r>
        <w:rPr>
          <w:rFonts w:ascii="Calibri" w:hAnsi="Calibri" w:cs="Calibri"/>
          <w:i/>
          <w:iCs/>
          <w:color w:val="000000"/>
          <w:sz w:val="20"/>
          <w:szCs w:val="20"/>
        </w:rPr>
        <w:tab/>
      </w:r>
      <w:r>
        <w:rPr>
          <w:rFonts w:ascii="Calibri" w:hAnsi="Calibri" w:cs="Calibri"/>
          <w:i/>
          <w:iCs/>
          <w:color w:val="000000"/>
          <w:sz w:val="20"/>
          <w:szCs w:val="20"/>
        </w:rPr>
        <w:tab/>
        <w:t>Note</w:t>
      </w:r>
      <w:r>
        <w:rPr>
          <w:rFonts w:ascii="Calibri" w:hAnsi="Calibri" w:cs="Calibri"/>
          <w:i/>
          <w:iCs/>
          <w:color w:val="000000"/>
          <w:sz w:val="20"/>
          <w:szCs w:val="20"/>
        </w:rPr>
        <w:tab/>
      </w:r>
      <w:r w:rsidR="004A4A2A" w:rsidRPr="0016463A">
        <w:rPr>
          <w:rFonts w:ascii="Calibri" w:hAnsi="Calibri" w:cs="Calibri"/>
          <w:b/>
          <w:i/>
          <w:iCs/>
          <w:color w:val="000000"/>
          <w:sz w:val="20"/>
          <w:szCs w:val="20"/>
        </w:rPr>
        <w:t>Public notice</w:t>
      </w:r>
      <w:r w:rsidR="004A4A2A" w:rsidRPr="0016463A">
        <w:rPr>
          <w:rFonts w:ascii="Calibri" w:hAnsi="Calibri" w:cs="Calibri"/>
          <w:i/>
          <w:iCs/>
          <w:color w:val="000000"/>
          <w:sz w:val="20"/>
          <w:szCs w:val="20"/>
        </w:rPr>
        <w:t xml:space="preserve"> </w:t>
      </w:r>
      <w:r w:rsidR="004A4A2A" w:rsidRPr="00DC43BC">
        <w:rPr>
          <w:rFonts w:ascii="Calibri" w:hAnsi="Calibri" w:cs="Calibri"/>
          <w:iCs/>
          <w:color w:val="000000"/>
          <w:sz w:val="20"/>
          <w:szCs w:val="20"/>
        </w:rPr>
        <w:t xml:space="preserve">means notice on an ACT government website or in a daily newspaper circulating in the ACT (see Legislation Act, </w:t>
      </w:r>
      <w:proofErr w:type="spellStart"/>
      <w:r w:rsidR="004A4A2A" w:rsidRPr="00DC43BC">
        <w:rPr>
          <w:rFonts w:ascii="Calibri" w:hAnsi="Calibri" w:cs="Calibri"/>
          <w:iCs/>
          <w:color w:val="000000"/>
          <w:sz w:val="20"/>
          <w:szCs w:val="20"/>
        </w:rPr>
        <w:t>dict</w:t>
      </w:r>
      <w:proofErr w:type="spellEnd"/>
      <w:r w:rsidR="004A4A2A" w:rsidRPr="00DC43BC">
        <w:rPr>
          <w:rFonts w:ascii="Calibri" w:hAnsi="Calibri" w:cs="Calibri"/>
          <w:iCs/>
          <w:color w:val="000000"/>
          <w:sz w:val="20"/>
          <w:szCs w:val="20"/>
        </w:rPr>
        <w:t xml:space="preserve">, </w:t>
      </w:r>
      <w:proofErr w:type="spellStart"/>
      <w:r w:rsidR="004A4A2A" w:rsidRPr="00DC43BC">
        <w:rPr>
          <w:rFonts w:ascii="Calibri" w:hAnsi="Calibri" w:cs="Calibri"/>
          <w:iCs/>
          <w:color w:val="000000"/>
          <w:sz w:val="20"/>
          <w:szCs w:val="20"/>
        </w:rPr>
        <w:t>pt</w:t>
      </w:r>
      <w:proofErr w:type="spellEnd"/>
      <w:r w:rsidR="004A4A2A" w:rsidRPr="00DC43BC">
        <w:rPr>
          <w:rFonts w:ascii="Calibri" w:hAnsi="Calibri" w:cs="Calibri"/>
          <w:iCs/>
          <w:color w:val="000000"/>
          <w:sz w:val="20"/>
          <w:szCs w:val="20"/>
        </w:rPr>
        <w:t xml:space="preserve"> 1). The requirement in s (6) is in addition to the requirement for notification on the legislation registe</w:t>
      </w:r>
      <w:r w:rsidR="00DC43BC">
        <w:rPr>
          <w:rFonts w:ascii="Calibri" w:hAnsi="Calibri" w:cs="Calibri"/>
          <w:iCs/>
          <w:color w:val="000000"/>
          <w:sz w:val="20"/>
          <w:szCs w:val="20"/>
        </w:rPr>
        <w:t>r as a disallowable instrument.</w:t>
      </w:r>
    </w:p>
    <w:p w:rsidR="004A4A2A" w:rsidRPr="00C43156" w:rsidRDefault="00DC43BC" w:rsidP="0001725A">
      <w:pPr>
        <w:pStyle w:val="NormalWeb"/>
        <w:tabs>
          <w:tab w:val="left" w:pos="810"/>
          <w:tab w:val="left" w:pos="1350"/>
        </w:tabs>
        <w:ind w:left="1350" w:hanging="990"/>
        <w:rPr>
          <w:rFonts w:ascii="Calibri" w:hAnsi="Calibri" w:cs="Calibri"/>
          <w:color w:val="000000"/>
          <w:sz w:val="22"/>
          <w:szCs w:val="22"/>
        </w:rPr>
      </w:pPr>
      <w:r>
        <w:rPr>
          <w:rFonts w:ascii="Calibri" w:hAnsi="Calibri" w:cs="Calibri"/>
          <w:color w:val="000000"/>
          <w:sz w:val="22"/>
          <w:szCs w:val="22"/>
        </w:rPr>
        <w:tab/>
      </w:r>
      <w:r w:rsidR="004A4A2A" w:rsidRPr="00C43156">
        <w:rPr>
          <w:rFonts w:ascii="Calibri" w:hAnsi="Calibri" w:cs="Calibri"/>
          <w:color w:val="000000"/>
          <w:sz w:val="22"/>
          <w:szCs w:val="22"/>
        </w:rPr>
        <w:t>(7)</w:t>
      </w:r>
      <w:r>
        <w:rPr>
          <w:rFonts w:ascii="Calibri" w:hAnsi="Calibri" w:cs="Calibri"/>
          <w:color w:val="000000"/>
          <w:sz w:val="22"/>
          <w:szCs w:val="22"/>
        </w:rPr>
        <w:tab/>
      </w:r>
      <w:r w:rsidR="004A4A2A" w:rsidRPr="00C43156">
        <w:rPr>
          <w:rFonts w:ascii="Calibri" w:hAnsi="Calibri" w:cs="Calibri"/>
          <w:color w:val="000000"/>
          <w:sz w:val="22"/>
          <w:szCs w:val="22"/>
        </w:rPr>
        <w:t xml:space="preserve">Failure to publish a declaration in accordance with subsection (6) does not affect the validity of the declaration. </w:t>
      </w:r>
    </w:p>
    <w:p w:rsidR="004A4A2A" w:rsidRDefault="004A4A2A" w:rsidP="0001725A">
      <w:pPr>
        <w:widowControl w:val="0"/>
        <w:tabs>
          <w:tab w:val="left" w:pos="1276"/>
        </w:tabs>
        <w:rPr>
          <w:rFonts w:ascii="Calibri" w:hAnsi="Calibri" w:cs="Calibri"/>
          <w:color w:val="000000"/>
        </w:rPr>
      </w:pPr>
      <w:r>
        <w:rPr>
          <w:rFonts w:ascii="Calibri" w:hAnsi="Calibri" w:cs="Calibri"/>
          <w:color w:val="000000"/>
        </w:rPr>
        <w:t xml:space="preserve">The Committee notes that neither the instrument itself, nor the explanatory statement for the instrument, addresses the requirements of </w:t>
      </w:r>
      <w:bookmarkStart w:id="415" w:name="_Hlk31536064"/>
      <w:r>
        <w:rPr>
          <w:rFonts w:ascii="Calibri" w:hAnsi="Calibri" w:cs="Calibri"/>
          <w:color w:val="000000"/>
        </w:rPr>
        <w:t>subsection 6(2) or (3) of the Act</w:t>
      </w:r>
      <w:bookmarkEnd w:id="415"/>
      <w:r>
        <w:rPr>
          <w:rFonts w:ascii="Calibri" w:hAnsi="Calibri" w:cs="Calibri"/>
          <w:color w:val="000000"/>
        </w:rPr>
        <w:t xml:space="preserve">.  While it may be argued that the Ministers in question would not have made the declaration </w:t>
      </w:r>
      <w:r>
        <w:rPr>
          <w:rFonts w:ascii="Calibri" w:hAnsi="Calibri" w:cs="Calibri"/>
          <w:i/>
          <w:iCs/>
          <w:color w:val="000000"/>
        </w:rPr>
        <w:t xml:space="preserve">unless </w:t>
      </w:r>
      <w:r>
        <w:rPr>
          <w:rFonts w:ascii="Calibri" w:hAnsi="Calibri" w:cs="Calibri"/>
          <w:color w:val="000000"/>
        </w:rPr>
        <w:t>satisfied of these matters, and while these matters might reasonably be assumed, in the case of an international sporting event, such as this one, the Committee considers that it would have been pre</w:t>
      </w:r>
      <w:r w:rsidR="00DC43BC">
        <w:rPr>
          <w:rFonts w:ascii="Calibri" w:hAnsi="Calibri" w:cs="Calibri"/>
          <w:color w:val="000000"/>
        </w:rPr>
        <w:t xml:space="preserve">ferable if the requirements of </w:t>
      </w:r>
      <w:r w:rsidRPr="000A6983">
        <w:rPr>
          <w:rFonts w:ascii="Calibri" w:hAnsi="Calibri" w:cs="Calibri"/>
          <w:color w:val="000000"/>
        </w:rPr>
        <w:t>subsection</w:t>
      </w:r>
      <w:r>
        <w:rPr>
          <w:rFonts w:ascii="Calibri" w:hAnsi="Calibri" w:cs="Calibri"/>
          <w:color w:val="000000"/>
        </w:rPr>
        <w:t>s</w:t>
      </w:r>
      <w:r w:rsidRPr="000A6983">
        <w:rPr>
          <w:rFonts w:ascii="Calibri" w:hAnsi="Calibri" w:cs="Calibri"/>
          <w:color w:val="000000"/>
        </w:rPr>
        <w:t xml:space="preserve"> 6(2) </w:t>
      </w:r>
      <w:r>
        <w:rPr>
          <w:rFonts w:ascii="Calibri" w:hAnsi="Calibri" w:cs="Calibri"/>
          <w:color w:val="000000"/>
        </w:rPr>
        <w:t>and</w:t>
      </w:r>
      <w:r w:rsidRPr="000A6983">
        <w:rPr>
          <w:rFonts w:ascii="Calibri" w:hAnsi="Calibri" w:cs="Calibri"/>
          <w:color w:val="000000"/>
        </w:rPr>
        <w:t xml:space="preserve"> (3) of the Act</w:t>
      </w:r>
      <w:r>
        <w:rPr>
          <w:rFonts w:ascii="Calibri" w:hAnsi="Calibri" w:cs="Calibri"/>
          <w:color w:val="000000"/>
        </w:rPr>
        <w:t xml:space="preserve"> were addressed, in the explanatory statement for the instrument.</w:t>
      </w:r>
    </w:p>
    <w:p w:rsidR="004A4A2A" w:rsidRDefault="004A4A2A" w:rsidP="0001725A">
      <w:pPr>
        <w:widowControl w:val="0"/>
        <w:tabs>
          <w:tab w:val="left" w:pos="1276"/>
        </w:tabs>
        <w:rPr>
          <w:rFonts w:ascii="Calibri" w:hAnsi="Calibri" w:cs="Calibri"/>
          <w:color w:val="000000"/>
        </w:rPr>
      </w:pPr>
      <w:r>
        <w:rPr>
          <w:rFonts w:ascii="Calibri" w:hAnsi="Calibri" w:cs="Calibri"/>
          <w:color w:val="000000"/>
        </w:rPr>
        <w:t>The Committee also notes that subsection 6(6) of the Act requires that an “additional public notice” be given of the declaration of a major event.  The Note to subsection 6(6) indicates that this “public notice” means “</w:t>
      </w:r>
      <w:r w:rsidRPr="000A6983">
        <w:rPr>
          <w:rFonts w:ascii="Calibri" w:hAnsi="Calibri" w:cs="Calibri"/>
          <w:color w:val="000000"/>
        </w:rPr>
        <w:t>notice on an ACT government website or in a daily newspaper circulating in the ACT</w:t>
      </w:r>
      <w:r>
        <w:rPr>
          <w:rFonts w:ascii="Calibri" w:hAnsi="Calibri" w:cs="Calibri"/>
          <w:color w:val="000000"/>
        </w:rPr>
        <w:t xml:space="preserve">”.  Again, there is nothing in the explanatory statement for the instrument that indicates that this requirement has been complied with, in this case.  </w:t>
      </w:r>
    </w:p>
    <w:p w:rsidR="004A4A2A" w:rsidRPr="000A6983" w:rsidRDefault="004A4A2A" w:rsidP="0001725A">
      <w:pPr>
        <w:widowControl w:val="0"/>
        <w:tabs>
          <w:tab w:val="left" w:pos="1276"/>
        </w:tabs>
        <w:rPr>
          <w:rFonts w:ascii="Calibri" w:hAnsi="Calibri" w:cs="Calibri"/>
          <w:b/>
          <w:bCs/>
          <w:color w:val="000000"/>
        </w:rPr>
      </w:pPr>
      <w:r w:rsidRPr="000A6983">
        <w:rPr>
          <w:rFonts w:ascii="Calibri" w:hAnsi="Calibri" w:cs="Calibri"/>
          <w:b/>
          <w:bCs/>
          <w:color w:val="000000"/>
        </w:rPr>
        <w:t>While the Committee notes that, under subsection 6(7) of the Act, the failure to give this “additional public notice” does not affect the validity of this instrument, the Committee seeks the Ministers’ advice as to whether the “additional public notice” has been given, in this case.</w:t>
      </w:r>
    </w:p>
    <w:p w:rsidR="004A4A2A" w:rsidRPr="000A6983" w:rsidRDefault="004A4A2A" w:rsidP="0001725A">
      <w:pPr>
        <w:widowControl w:val="0"/>
        <w:tabs>
          <w:tab w:val="left" w:pos="1276"/>
        </w:tabs>
        <w:rPr>
          <w:rFonts w:ascii="Calibri" w:hAnsi="Calibri" w:cs="Calibri"/>
          <w:b/>
          <w:bCs/>
          <w:color w:val="000000"/>
        </w:rPr>
      </w:pPr>
      <w:r w:rsidRPr="000A6983">
        <w:rPr>
          <w:rFonts w:ascii="Calibri" w:hAnsi="Calibri" w:cs="Calibri"/>
          <w:b/>
          <w:bCs/>
          <w:color w:val="000000"/>
        </w:rPr>
        <w:t>This comment requires a response from the Ministers.</w:t>
      </w:r>
    </w:p>
    <w:p w:rsidR="004A4A2A" w:rsidRPr="000011FF" w:rsidRDefault="004A4A2A" w:rsidP="000011FF">
      <w:pPr>
        <w:pStyle w:val="Heading5"/>
      </w:pPr>
      <w:r w:rsidRPr="000011FF">
        <w:t>Has this instrument been validly made?</w:t>
      </w:r>
    </w:p>
    <w:p w:rsidR="004A4A2A" w:rsidRPr="00842199" w:rsidRDefault="004A4A2A" w:rsidP="000D5EDC">
      <w:pPr>
        <w:pStyle w:val="Bodycopy"/>
        <w:numPr>
          <w:ilvl w:val="0"/>
          <w:numId w:val="27"/>
        </w:numPr>
        <w:tabs>
          <w:tab w:val="clear" w:pos="1276"/>
          <w:tab w:val="left" w:pos="0"/>
        </w:tabs>
        <w:spacing w:before="160" w:after="160" w:line="280" w:lineRule="exact"/>
        <w:ind w:left="360"/>
        <w:rPr>
          <w:b/>
        </w:rPr>
      </w:pPr>
      <w:r>
        <w:rPr>
          <w:b/>
        </w:rPr>
        <w:t>Disallowable Instrument</w:t>
      </w:r>
      <w:r w:rsidRPr="00451C85">
        <w:rPr>
          <w:b/>
        </w:rPr>
        <w:t xml:space="preserve"> </w:t>
      </w:r>
      <w:r>
        <w:rPr>
          <w:b/>
        </w:rPr>
        <w:t>DI2019-286</w:t>
      </w:r>
      <w:r w:rsidRPr="00451C85">
        <w:rPr>
          <w:b/>
        </w:rPr>
        <w:t xml:space="preserve"> being the </w:t>
      </w:r>
      <w:r>
        <w:rPr>
          <w:b/>
        </w:rPr>
        <w:t xml:space="preserve">Animal Welfare (Advisory Committee Member) Appointment 2019 (No 2) made under section 109 of the </w:t>
      </w:r>
      <w:bookmarkStart w:id="416" w:name="_Hlk31536929"/>
      <w:r>
        <w:rPr>
          <w:i/>
        </w:rPr>
        <w:t>Animal Welfare Act 1992</w:t>
      </w:r>
      <w:r w:rsidRPr="00236BDD">
        <w:rPr>
          <w:b/>
        </w:rPr>
        <w:t xml:space="preserve"> </w:t>
      </w:r>
      <w:bookmarkEnd w:id="416"/>
      <w:r>
        <w:rPr>
          <w:b/>
        </w:rPr>
        <w:t>appoints specified persons as chair and members of the Animal Welfare Advisory Committee.</w:t>
      </w:r>
    </w:p>
    <w:p w:rsidR="004A4A2A" w:rsidRDefault="004A4A2A" w:rsidP="0001725A">
      <w:pPr>
        <w:widowControl w:val="0"/>
        <w:tabs>
          <w:tab w:val="left" w:pos="1276"/>
        </w:tabs>
        <w:rPr>
          <w:rFonts w:ascii="Calibri" w:hAnsi="Calibri" w:cs="Calibri"/>
          <w:color w:val="000000"/>
        </w:rPr>
      </w:pPr>
      <w:r>
        <w:rPr>
          <w:rFonts w:ascii="Calibri" w:hAnsi="Calibri" w:cs="Calibri"/>
          <w:color w:val="000000"/>
        </w:rPr>
        <w:t>This instrument, made under section 109 of the</w:t>
      </w:r>
      <w:r w:rsidRPr="003B1FA3">
        <w:t xml:space="preserve"> </w:t>
      </w:r>
      <w:r w:rsidRPr="003B1FA3">
        <w:rPr>
          <w:rFonts w:ascii="Calibri" w:hAnsi="Calibri" w:cs="Calibri"/>
          <w:i/>
          <w:iCs/>
          <w:color w:val="000000"/>
        </w:rPr>
        <w:t>Animal Welfare Act 1992,</w:t>
      </w:r>
      <w:r>
        <w:rPr>
          <w:rFonts w:ascii="Calibri" w:hAnsi="Calibri" w:cs="Calibri"/>
          <w:color w:val="000000"/>
        </w:rPr>
        <w:t xml:space="preserve"> appoints a specified person as chair of the Animal Welfare Advisory Committee and also appoints 4 further specified persons as members of that Committee.  The formal part of the instrument indicates that, in addition to section 109 of the Act, the instrument should be “read with </w:t>
      </w:r>
      <w:r w:rsidRPr="003B1FA3">
        <w:rPr>
          <w:rFonts w:ascii="Calibri" w:hAnsi="Calibri" w:cs="Calibri"/>
          <w:i/>
          <w:iCs/>
          <w:color w:val="000000"/>
        </w:rPr>
        <w:t>Animal Welfare (Advisory Committee) Establishment 2015</w:t>
      </w:r>
      <w:r w:rsidRPr="003B1FA3">
        <w:rPr>
          <w:rFonts w:ascii="Calibri" w:hAnsi="Calibri" w:cs="Calibri"/>
          <w:color w:val="000000"/>
        </w:rPr>
        <w:t xml:space="preserve">, </w:t>
      </w:r>
      <w:proofErr w:type="spellStart"/>
      <w:r w:rsidRPr="003B1FA3">
        <w:rPr>
          <w:rFonts w:ascii="Calibri" w:hAnsi="Calibri" w:cs="Calibri"/>
          <w:color w:val="000000"/>
        </w:rPr>
        <w:t>ss</w:t>
      </w:r>
      <w:proofErr w:type="spellEnd"/>
      <w:r w:rsidRPr="003B1FA3">
        <w:rPr>
          <w:rFonts w:ascii="Calibri" w:hAnsi="Calibri" w:cs="Calibri"/>
          <w:color w:val="000000"/>
        </w:rPr>
        <w:t xml:space="preserve"> 4, 5</w:t>
      </w:r>
      <w:r>
        <w:rPr>
          <w:rFonts w:ascii="Calibri" w:hAnsi="Calibri" w:cs="Calibri"/>
          <w:color w:val="000000"/>
        </w:rPr>
        <w:t>”.</w:t>
      </w:r>
    </w:p>
    <w:p w:rsidR="004A4A2A" w:rsidRPr="006269A4" w:rsidRDefault="004A4A2A" w:rsidP="0001725A">
      <w:pPr>
        <w:widowControl w:val="0"/>
        <w:tabs>
          <w:tab w:val="left" w:pos="1276"/>
        </w:tabs>
        <w:rPr>
          <w:rFonts w:ascii="Calibri" w:hAnsi="Calibri" w:cs="Calibri"/>
          <w:spacing w:val="-2"/>
        </w:rPr>
      </w:pPr>
      <w:r w:rsidRPr="006269A4">
        <w:rPr>
          <w:rFonts w:ascii="Calibri" w:hAnsi="Calibri" w:cs="Calibri"/>
          <w:color w:val="000000"/>
          <w:spacing w:val="-2"/>
        </w:rPr>
        <w:t xml:space="preserve">In </w:t>
      </w:r>
      <w:r w:rsidRPr="006269A4">
        <w:rPr>
          <w:rFonts w:ascii="Calibri" w:hAnsi="Calibri" w:cs="Calibri"/>
          <w:i/>
          <w:iCs/>
          <w:color w:val="000000"/>
          <w:spacing w:val="-2"/>
        </w:rPr>
        <w:t>Scrutiny Report 37</w:t>
      </w:r>
      <w:r w:rsidRPr="006269A4">
        <w:rPr>
          <w:rFonts w:ascii="Calibri" w:hAnsi="Calibri" w:cs="Calibri"/>
          <w:color w:val="000000"/>
          <w:spacing w:val="-2"/>
        </w:rPr>
        <w:t xml:space="preserve"> of the </w:t>
      </w:r>
      <w:r w:rsidRPr="006269A4">
        <w:rPr>
          <w:rFonts w:ascii="Calibri" w:hAnsi="Calibri" w:cs="Calibri"/>
          <w:i/>
          <w:color w:val="000000"/>
          <w:spacing w:val="-2"/>
        </w:rPr>
        <w:t>9</w:t>
      </w:r>
      <w:r w:rsidRPr="006269A4">
        <w:rPr>
          <w:rFonts w:ascii="Calibri" w:hAnsi="Calibri" w:cs="Calibri"/>
          <w:i/>
          <w:color w:val="000000"/>
          <w:spacing w:val="-2"/>
          <w:vertAlign w:val="superscript"/>
        </w:rPr>
        <w:t>th</w:t>
      </w:r>
      <w:r w:rsidRPr="006269A4">
        <w:rPr>
          <w:rFonts w:ascii="Calibri" w:hAnsi="Calibri" w:cs="Calibri"/>
          <w:i/>
          <w:color w:val="000000"/>
          <w:spacing w:val="-2"/>
        </w:rPr>
        <w:t xml:space="preserve"> Assembly</w:t>
      </w:r>
      <w:r w:rsidRPr="006269A4">
        <w:rPr>
          <w:rFonts w:ascii="Calibri" w:hAnsi="Calibri" w:cs="Calibri"/>
          <w:color w:val="000000"/>
          <w:spacing w:val="-2"/>
        </w:rPr>
        <w:t xml:space="preserve"> (19 November 2019), the Committee commented on a similar instrument</w:t>
      </w:r>
      <w:bookmarkStart w:id="417" w:name="_Hlk32403156"/>
      <w:r w:rsidR="00DC43BC" w:rsidRPr="006269A4">
        <w:rPr>
          <w:rFonts w:ascii="Calibri" w:hAnsi="Calibri" w:cs="Calibri"/>
          <w:color w:val="000000"/>
          <w:spacing w:val="-2"/>
        </w:rPr>
        <w:t xml:space="preserve">, </w:t>
      </w:r>
      <w:r w:rsidRPr="006269A4">
        <w:rPr>
          <w:rFonts w:ascii="Calibri" w:hAnsi="Calibri" w:cs="Calibri"/>
          <w:color w:val="000000"/>
          <w:spacing w:val="-2"/>
        </w:rPr>
        <w:t>the Animal Welfare (Advisory Committee Member) Appointment 2019 (No 1) (DI2019</w:t>
      </w:r>
      <w:r w:rsidR="006269A4">
        <w:rPr>
          <w:rFonts w:ascii="Calibri" w:hAnsi="Calibri" w:cs="Calibri"/>
          <w:color w:val="000000"/>
          <w:spacing w:val="-2"/>
        </w:rPr>
        <w:noBreakHyphen/>
      </w:r>
      <w:r w:rsidRPr="006269A4">
        <w:rPr>
          <w:rFonts w:ascii="Calibri" w:hAnsi="Calibri" w:cs="Calibri"/>
          <w:color w:val="000000"/>
          <w:spacing w:val="-2"/>
        </w:rPr>
        <w:t xml:space="preserve">216).  </w:t>
      </w:r>
      <w:bookmarkEnd w:id="417"/>
      <w:r w:rsidRPr="006269A4">
        <w:rPr>
          <w:rFonts w:ascii="Calibri" w:hAnsi="Calibri" w:cs="Calibri"/>
          <w:color w:val="000000"/>
          <w:spacing w:val="-2"/>
        </w:rPr>
        <w:t xml:space="preserve">The Committee observed that, under subsection 109(2) of the Animal Welfare Act, the Animal Welfare Advisory Committee is to be “constituted in accordance with its instrument of establishment” which, under </w:t>
      </w:r>
      <w:r w:rsidRPr="006269A4">
        <w:rPr>
          <w:rFonts w:ascii="Calibri" w:hAnsi="Calibri" w:cs="Calibri"/>
          <w:spacing w:val="-2"/>
        </w:rPr>
        <w:t xml:space="preserve">subsection 109(4), is a </w:t>
      </w:r>
      <w:r w:rsidRPr="006269A4">
        <w:rPr>
          <w:rFonts w:ascii="Calibri" w:hAnsi="Calibri" w:cs="Calibri"/>
          <w:i/>
          <w:iCs/>
          <w:spacing w:val="-2"/>
        </w:rPr>
        <w:t xml:space="preserve">disallowable </w:t>
      </w:r>
      <w:r w:rsidRPr="006269A4">
        <w:rPr>
          <w:rFonts w:ascii="Calibri" w:hAnsi="Calibri" w:cs="Calibri"/>
          <w:spacing w:val="-2"/>
        </w:rPr>
        <w:t xml:space="preserve">instrument.  However, the </w:t>
      </w:r>
      <w:r w:rsidRPr="006269A4">
        <w:rPr>
          <w:rFonts w:ascii="Calibri" w:hAnsi="Calibri" w:cs="Calibri"/>
          <w:spacing w:val="-4"/>
        </w:rPr>
        <w:t>Committee also noted that the Animal Welfare (Advisory Committee) Establishment 2015—which, as is</w:t>
      </w:r>
      <w:r w:rsidRPr="006269A4">
        <w:rPr>
          <w:rFonts w:ascii="Calibri" w:hAnsi="Calibri" w:cs="Calibri"/>
          <w:spacing w:val="-2"/>
        </w:rPr>
        <w:t xml:space="preserve"> the case with this instrument, would appear to be the “instrument of establishment”—appears on the ACT Legislation Register as a </w:t>
      </w:r>
      <w:r w:rsidRPr="006269A4">
        <w:rPr>
          <w:rFonts w:ascii="Calibri" w:hAnsi="Calibri" w:cs="Calibri"/>
          <w:i/>
          <w:iCs/>
          <w:spacing w:val="-2"/>
        </w:rPr>
        <w:t xml:space="preserve">notifiable </w:t>
      </w:r>
      <w:r w:rsidR="00DC43BC" w:rsidRPr="006269A4">
        <w:rPr>
          <w:rFonts w:ascii="Calibri" w:hAnsi="Calibri" w:cs="Calibri"/>
          <w:spacing w:val="-2"/>
        </w:rPr>
        <w:t>instrument (</w:t>
      </w:r>
      <w:r w:rsidRPr="006269A4">
        <w:rPr>
          <w:rFonts w:ascii="Calibri" w:hAnsi="Calibri" w:cs="Calibri"/>
          <w:spacing w:val="-2"/>
        </w:rPr>
        <w:t xml:space="preserve">see </w:t>
      </w:r>
      <w:hyperlink r:id="rId24" w:history="1">
        <w:r w:rsidRPr="006269A4">
          <w:rPr>
            <w:rStyle w:val="Hyperlink"/>
            <w:rFonts w:ascii="Calibri" w:hAnsi="Calibri" w:cs="Calibri"/>
            <w:spacing w:val="-2"/>
          </w:rPr>
          <w:t>https://www.legislation.act.gov.au/ni/2015-219/</w:t>
        </w:r>
      </w:hyperlink>
      <w:r w:rsidRPr="006269A4">
        <w:rPr>
          <w:rFonts w:ascii="Calibri" w:hAnsi="Calibri" w:cs="Calibri"/>
          <w:spacing w:val="-2"/>
        </w:rPr>
        <w:t xml:space="preserve">).  As the Committee observed in relation to the earlier instrument, this means that it has </w:t>
      </w:r>
      <w:r w:rsidRPr="006269A4">
        <w:rPr>
          <w:rFonts w:ascii="Calibri" w:hAnsi="Calibri" w:cs="Calibri"/>
          <w:spacing w:val="-2"/>
          <w:u w:val="single"/>
        </w:rPr>
        <w:t>not</w:t>
      </w:r>
      <w:r w:rsidRPr="006269A4">
        <w:rPr>
          <w:rFonts w:ascii="Calibri" w:hAnsi="Calibri" w:cs="Calibri"/>
          <w:spacing w:val="-2"/>
        </w:rPr>
        <w:t xml:space="preserve"> been subject to disallowance by the Legislative Assembly (or scrutiny by the Committee).</w:t>
      </w:r>
    </w:p>
    <w:p w:rsidR="004A4A2A" w:rsidRPr="00C43156" w:rsidRDefault="004A4A2A" w:rsidP="0001725A">
      <w:pPr>
        <w:pStyle w:val="Paper"/>
        <w:spacing w:before="220" w:after="220" w:line="280" w:lineRule="exact"/>
        <w:rPr>
          <w:rFonts w:ascii="Calibri" w:hAnsi="Calibri" w:cs="Calibri"/>
          <w:sz w:val="22"/>
          <w:szCs w:val="22"/>
          <w:lang w:eastAsia="en-AU"/>
        </w:rPr>
      </w:pPr>
      <w:r w:rsidRPr="00C43156">
        <w:rPr>
          <w:rFonts w:ascii="Calibri" w:hAnsi="Calibri" w:cs="Calibri"/>
          <w:sz w:val="22"/>
          <w:szCs w:val="22"/>
          <w:lang w:eastAsia="en-AU"/>
        </w:rPr>
        <w:t xml:space="preserve">In </w:t>
      </w:r>
      <w:r w:rsidRPr="00C43156">
        <w:rPr>
          <w:rFonts w:ascii="Calibri" w:hAnsi="Calibri" w:cs="Calibri"/>
          <w:i/>
          <w:iCs/>
          <w:sz w:val="22"/>
          <w:szCs w:val="22"/>
          <w:lang w:eastAsia="en-AU"/>
        </w:rPr>
        <w:t>Scrutiny Report 37</w:t>
      </w:r>
      <w:r w:rsidRPr="00C43156">
        <w:rPr>
          <w:rFonts w:ascii="Calibri" w:hAnsi="Calibri" w:cs="Calibri"/>
          <w:sz w:val="22"/>
          <w:szCs w:val="22"/>
          <w:lang w:eastAsia="en-AU"/>
        </w:rPr>
        <w:t>, the Committee noted that the Animal Welfare (Advisory Committee) Establishment 2015 sets out various matters in relation to the Animal Welfare Advisory Committee, including terms of appointment for members, pre-requisites for appointment and procedural issues.  The Committee noted that, while the instrument under consideration (in the earlier case) addressed pre-requisites set out in the Animal Welfare (Advisory Committee) Establishment 2015, the Committee was concerned that the latter may not have been validly made.  The same comment applies to the present instrument.</w:t>
      </w:r>
    </w:p>
    <w:p w:rsidR="004A4A2A" w:rsidRPr="00C43156" w:rsidRDefault="004A4A2A" w:rsidP="0001725A">
      <w:pPr>
        <w:pStyle w:val="Paper"/>
        <w:spacing w:before="220" w:after="220" w:line="280" w:lineRule="exact"/>
        <w:rPr>
          <w:rFonts w:ascii="Calibri" w:hAnsi="Calibri" w:cs="Calibri"/>
          <w:sz w:val="22"/>
          <w:szCs w:val="22"/>
          <w:lang w:eastAsia="en-AU"/>
        </w:rPr>
      </w:pPr>
      <w:r w:rsidRPr="00652B36">
        <w:rPr>
          <w:rFonts w:ascii="Calibri" w:hAnsi="Calibri" w:cs="Calibri"/>
          <w:sz w:val="22"/>
          <w:szCs w:val="22"/>
          <w:lang w:eastAsia="en-AU"/>
        </w:rPr>
        <w:t xml:space="preserve">In </w:t>
      </w:r>
      <w:r w:rsidRPr="00652B36">
        <w:rPr>
          <w:rFonts w:ascii="Calibri" w:hAnsi="Calibri" w:cs="Calibri"/>
          <w:i/>
          <w:iCs/>
          <w:sz w:val="22"/>
          <w:szCs w:val="22"/>
          <w:lang w:eastAsia="en-AU"/>
        </w:rPr>
        <w:t>Scrutiny Report 37</w:t>
      </w:r>
      <w:r w:rsidRPr="00652B36">
        <w:rPr>
          <w:rFonts w:ascii="Calibri" w:hAnsi="Calibri" w:cs="Calibri"/>
          <w:sz w:val="22"/>
          <w:szCs w:val="22"/>
          <w:lang w:eastAsia="en-AU"/>
        </w:rPr>
        <w:t>, t</w:t>
      </w:r>
      <w:r w:rsidRPr="00C43156">
        <w:rPr>
          <w:rFonts w:ascii="Calibri" w:hAnsi="Calibri" w:cs="Calibri"/>
          <w:sz w:val="22"/>
          <w:szCs w:val="22"/>
          <w:lang w:eastAsia="en-AU"/>
        </w:rPr>
        <w:t xml:space="preserve">he Committee sought the Minister’s advice on this issue and, in particular, the Minister’s advice as to whether the </w:t>
      </w:r>
      <w:bookmarkStart w:id="418" w:name="_Hlk32419913"/>
      <w:r w:rsidRPr="00C43156">
        <w:rPr>
          <w:rFonts w:ascii="Calibri" w:hAnsi="Calibri" w:cs="Calibri"/>
          <w:sz w:val="22"/>
          <w:szCs w:val="22"/>
          <w:lang w:eastAsia="en-AU"/>
        </w:rPr>
        <w:t xml:space="preserve">Animal Welfare (Advisory Committee) Establishment 2015 </w:t>
      </w:r>
      <w:bookmarkEnd w:id="418"/>
      <w:r w:rsidRPr="00C43156">
        <w:rPr>
          <w:rFonts w:ascii="Calibri" w:hAnsi="Calibri" w:cs="Calibri"/>
          <w:sz w:val="22"/>
          <w:szCs w:val="22"/>
          <w:lang w:eastAsia="en-AU"/>
        </w:rPr>
        <w:t>is intended to operate as the “instrument of establishment”.</w:t>
      </w:r>
    </w:p>
    <w:p w:rsidR="004A4A2A" w:rsidRDefault="004A4A2A" w:rsidP="0001725A">
      <w:pPr>
        <w:pStyle w:val="Paper"/>
        <w:spacing w:before="220" w:after="220" w:line="280" w:lineRule="exact"/>
        <w:rPr>
          <w:rFonts w:ascii="Calibri" w:hAnsi="Calibri" w:cs="Calibri"/>
          <w:sz w:val="22"/>
          <w:szCs w:val="22"/>
          <w:lang w:eastAsia="en-AU"/>
        </w:rPr>
      </w:pPr>
      <w:r w:rsidRPr="00C43156">
        <w:rPr>
          <w:rFonts w:ascii="Calibri" w:hAnsi="Calibri" w:cs="Calibri"/>
          <w:sz w:val="22"/>
          <w:szCs w:val="22"/>
          <w:lang w:eastAsia="en-AU"/>
        </w:rPr>
        <w:t>The Minister</w:t>
      </w:r>
      <w:r>
        <w:rPr>
          <w:rFonts w:ascii="Calibri" w:hAnsi="Calibri" w:cs="Calibri"/>
          <w:sz w:val="22"/>
          <w:szCs w:val="22"/>
          <w:lang w:eastAsia="en-AU"/>
        </w:rPr>
        <w:t xml:space="preserve"> for City Services </w:t>
      </w:r>
      <w:r w:rsidRPr="00C43156">
        <w:rPr>
          <w:rFonts w:ascii="Calibri" w:hAnsi="Calibri" w:cs="Calibri"/>
          <w:sz w:val="22"/>
          <w:szCs w:val="22"/>
          <w:lang w:eastAsia="en-AU"/>
        </w:rPr>
        <w:t>responded to that request for advice</w:t>
      </w:r>
      <w:r>
        <w:rPr>
          <w:rFonts w:ascii="Calibri" w:hAnsi="Calibri" w:cs="Calibri"/>
          <w:sz w:val="22"/>
          <w:szCs w:val="22"/>
          <w:lang w:eastAsia="en-AU"/>
        </w:rPr>
        <w:t>, in a letter dated 12 February 2020.  The response states (in part):</w:t>
      </w:r>
    </w:p>
    <w:p w:rsidR="004A4A2A" w:rsidRPr="00963388" w:rsidRDefault="004A4A2A" w:rsidP="0001725A">
      <w:pPr>
        <w:pStyle w:val="Paper"/>
        <w:spacing w:before="220" w:after="220" w:line="280" w:lineRule="exact"/>
        <w:ind w:left="360"/>
        <w:rPr>
          <w:rFonts w:ascii="Calibri" w:hAnsi="Calibri" w:cs="Calibri"/>
          <w:sz w:val="22"/>
          <w:szCs w:val="22"/>
          <w:lang w:eastAsia="en-AU"/>
        </w:rPr>
      </w:pPr>
      <w:r>
        <w:rPr>
          <w:rFonts w:ascii="Calibri" w:hAnsi="Calibri" w:cs="Calibri"/>
          <w:sz w:val="22"/>
          <w:szCs w:val="22"/>
          <w:lang w:eastAsia="en-AU"/>
        </w:rPr>
        <w:t xml:space="preserve">At the time of the appointments the now repealed </w:t>
      </w:r>
      <w:r>
        <w:rPr>
          <w:rFonts w:ascii="Calibri" w:hAnsi="Calibri" w:cs="Calibri"/>
          <w:i/>
          <w:iCs/>
          <w:sz w:val="22"/>
          <w:szCs w:val="22"/>
          <w:lang w:eastAsia="en-AU"/>
        </w:rPr>
        <w:t>Animal Welfare Act 1992</w:t>
      </w:r>
      <w:r w:rsidR="0001725A">
        <w:rPr>
          <w:rFonts w:ascii="Calibri" w:hAnsi="Calibri" w:cs="Calibri"/>
          <w:sz w:val="22"/>
          <w:szCs w:val="22"/>
          <w:lang w:eastAsia="en-AU"/>
        </w:rPr>
        <w:t xml:space="preserve"> under section </w:t>
      </w:r>
      <w:r>
        <w:rPr>
          <w:rFonts w:ascii="Calibri" w:hAnsi="Calibri" w:cs="Calibri"/>
          <w:sz w:val="22"/>
          <w:szCs w:val="22"/>
          <w:lang w:eastAsia="en-AU"/>
        </w:rPr>
        <w:t xml:space="preserve">109(4) sets out that the establishment of the Committee was under a notifiable instrument.  The </w:t>
      </w:r>
      <w:r>
        <w:rPr>
          <w:rFonts w:ascii="Calibri" w:hAnsi="Calibri" w:cs="Calibri"/>
          <w:i/>
          <w:iCs/>
          <w:sz w:val="22"/>
          <w:szCs w:val="22"/>
          <w:lang w:eastAsia="en-AU"/>
        </w:rPr>
        <w:t>Animal Welfare Act 1992</w:t>
      </w:r>
      <w:r>
        <w:rPr>
          <w:rFonts w:ascii="Calibri" w:hAnsi="Calibri" w:cs="Calibri"/>
          <w:sz w:val="22"/>
          <w:szCs w:val="22"/>
          <w:lang w:eastAsia="en-AU"/>
        </w:rPr>
        <w:t xml:space="preserve"> was amended in October 2019 which changed the establishment of the Animal Welfare Committee from a Notifiable Instrument to a Disallowable Instrument.  I propose to remake the instrument as a Disallowable Instrument</w:t>
      </w:r>
      <w:r w:rsidR="0001725A">
        <w:rPr>
          <w:rFonts w:ascii="Calibri" w:hAnsi="Calibri" w:cs="Calibri"/>
          <w:sz w:val="22"/>
          <w:szCs w:val="22"/>
          <w:lang w:eastAsia="en-AU"/>
        </w:rPr>
        <w:t>.</w:t>
      </w:r>
    </w:p>
    <w:p w:rsidR="004A4A2A" w:rsidRDefault="004A4A2A" w:rsidP="0001725A">
      <w:pPr>
        <w:pStyle w:val="Paper"/>
        <w:spacing w:before="220" w:after="220" w:line="280" w:lineRule="exact"/>
        <w:rPr>
          <w:rFonts w:ascii="Calibri" w:hAnsi="Calibri" w:cs="Calibri"/>
          <w:sz w:val="22"/>
          <w:szCs w:val="22"/>
          <w:lang w:eastAsia="en-AU"/>
        </w:rPr>
      </w:pPr>
      <w:r>
        <w:rPr>
          <w:rFonts w:ascii="Calibri" w:hAnsi="Calibri" w:cs="Calibri"/>
          <w:sz w:val="22"/>
          <w:szCs w:val="22"/>
          <w:lang w:eastAsia="en-AU"/>
        </w:rPr>
        <w:t xml:space="preserve">The Committee assumes that the instrument that the Minister proposes to re-make is the </w:t>
      </w:r>
      <w:r w:rsidRPr="002D5CD7">
        <w:rPr>
          <w:rFonts w:ascii="Calibri" w:hAnsi="Calibri" w:cs="Calibri"/>
          <w:sz w:val="22"/>
          <w:szCs w:val="22"/>
          <w:lang w:eastAsia="en-AU"/>
        </w:rPr>
        <w:t>Animal Welfare (Advisory Committee) Establishment 2015</w:t>
      </w:r>
      <w:r>
        <w:rPr>
          <w:rFonts w:ascii="Calibri" w:hAnsi="Calibri" w:cs="Calibri"/>
          <w:sz w:val="22"/>
          <w:szCs w:val="22"/>
          <w:lang w:eastAsia="en-AU"/>
        </w:rPr>
        <w:t>.</w:t>
      </w:r>
    </w:p>
    <w:p w:rsidR="004A4A2A" w:rsidRDefault="004A4A2A" w:rsidP="0001725A">
      <w:pPr>
        <w:pStyle w:val="Paper"/>
        <w:spacing w:before="220" w:after="220" w:line="280" w:lineRule="exact"/>
        <w:rPr>
          <w:rFonts w:ascii="Calibri" w:hAnsi="Calibri" w:cs="Calibri"/>
          <w:sz w:val="22"/>
          <w:szCs w:val="22"/>
          <w:lang w:eastAsia="en-AU"/>
        </w:rPr>
      </w:pPr>
      <w:r>
        <w:rPr>
          <w:rFonts w:ascii="Calibri" w:hAnsi="Calibri" w:cs="Calibri"/>
          <w:sz w:val="22"/>
          <w:szCs w:val="22"/>
          <w:lang w:eastAsia="en-AU"/>
        </w:rPr>
        <w:t>The Committee notes that it is correct that, at the time that the ear</w:t>
      </w:r>
      <w:r w:rsidR="0001725A">
        <w:rPr>
          <w:rFonts w:ascii="Calibri" w:hAnsi="Calibri" w:cs="Calibri"/>
          <w:sz w:val="22"/>
          <w:szCs w:val="22"/>
          <w:lang w:eastAsia="en-AU"/>
        </w:rPr>
        <w:t>lier instrument was made (</w:t>
      </w:r>
      <w:proofErr w:type="spellStart"/>
      <w:r w:rsidR="0001725A">
        <w:rPr>
          <w:rFonts w:ascii="Calibri" w:hAnsi="Calibri" w:cs="Calibri"/>
          <w:sz w:val="22"/>
          <w:szCs w:val="22"/>
          <w:lang w:eastAsia="en-AU"/>
        </w:rPr>
        <w:t>ie</w:t>
      </w:r>
      <w:proofErr w:type="spellEnd"/>
      <w:r w:rsidR="0001725A">
        <w:rPr>
          <w:rFonts w:ascii="Calibri" w:hAnsi="Calibri" w:cs="Calibri"/>
          <w:sz w:val="22"/>
          <w:szCs w:val="22"/>
          <w:lang w:eastAsia="en-AU"/>
        </w:rPr>
        <w:t> 23 </w:t>
      </w:r>
      <w:r>
        <w:rPr>
          <w:rFonts w:ascii="Calibri" w:hAnsi="Calibri" w:cs="Calibri"/>
          <w:sz w:val="22"/>
          <w:szCs w:val="22"/>
          <w:lang w:eastAsia="en-AU"/>
        </w:rPr>
        <w:t xml:space="preserve">September 2019), subsection 109(4) of the Animal Welfare Act provided that the “instrument of establishment” was a </w:t>
      </w:r>
      <w:r>
        <w:rPr>
          <w:rFonts w:ascii="Calibri" w:hAnsi="Calibri" w:cs="Calibri"/>
          <w:i/>
          <w:iCs/>
          <w:sz w:val="22"/>
          <w:szCs w:val="22"/>
          <w:lang w:eastAsia="en-AU"/>
        </w:rPr>
        <w:t xml:space="preserve">notifiable </w:t>
      </w:r>
      <w:r>
        <w:rPr>
          <w:rFonts w:ascii="Calibri" w:hAnsi="Calibri" w:cs="Calibri"/>
          <w:sz w:val="22"/>
          <w:szCs w:val="22"/>
          <w:lang w:eastAsia="en-AU"/>
        </w:rPr>
        <w:t xml:space="preserve">instrument.  As a result, it would appear that the earlier instrument was validly made.  This is not the case with the current instrument, however.  It was made on 23 December 2019, by which time subsection 109(4) of the Animal Welfare Act had been amended.  As a result, the Committee’s concerns about the validity of the instrument continue to apply. </w:t>
      </w:r>
    </w:p>
    <w:p w:rsidR="004A4A2A" w:rsidRDefault="004A4A2A" w:rsidP="0001725A">
      <w:pPr>
        <w:pStyle w:val="Paper"/>
        <w:spacing w:before="220" w:after="220" w:line="280" w:lineRule="exact"/>
        <w:rPr>
          <w:rFonts w:ascii="Calibri" w:hAnsi="Calibri" w:cs="Calibri"/>
          <w:b/>
          <w:bCs/>
          <w:sz w:val="22"/>
          <w:szCs w:val="22"/>
          <w:lang w:eastAsia="en-AU"/>
        </w:rPr>
      </w:pPr>
      <w:r>
        <w:rPr>
          <w:rFonts w:ascii="Calibri" w:hAnsi="Calibri" w:cs="Calibri"/>
          <w:b/>
          <w:bCs/>
          <w:sz w:val="22"/>
          <w:szCs w:val="22"/>
          <w:lang w:eastAsia="en-AU"/>
        </w:rPr>
        <w:t xml:space="preserve">The Committee seeks the Minister’s advice on when the Animal Welfare (Advisory Committee) Establishment 2015 </w:t>
      </w:r>
      <w:r w:rsidR="0001725A">
        <w:rPr>
          <w:rFonts w:ascii="Calibri" w:hAnsi="Calibri" w:cs="Calibri"/>
          <w:b/>
          <w:bCs/>
          <w:sz w:val="22"/>
          <w:szCs w:val="22"/>
          <w:lang w:eastAsia="en-AU"/>
        </w:rPr>
        <w:t>will be</w:t>
      </w:r>
      <w:r>
        <w:rPr>
          <w:rFonts w:ascii="Calibri" w:hAnsi="Calibri" w:cs="Calibri"/>
          <w:b/>
          <w:bCs/>
          <w:sz w:val="22"/>
          <w:szCs w:val="22"/>
          <w:lang w:eastAsia="en-AU"/>
        </w:rPr>
        <w:t xml:space="preserve"> re-made </w:t>
      </w:r>
      <w:r w:rsidRPr="00877DDD">
        <w:rPr>
          <w:rFonts w:ascii="Calibri" w:hAnsi="Calibri" w:cs="Calibri"/>
          <w:b/>
          <w:bCs/>
          <w:sz w:val="22"/>
          <w:szCs w:val="22"/>
          <w:u w:val="single"/>
          <w:lang w:eastAsia="en-AU"/>
        </w:rPr>
        <w:t>and</w:t>
      </w:r>
      <w:r>
        <w:rPr>
          <w:rFonts w:ascii="Calibri" w:hAnsi="Calibri" w:cs="Calibri"/>
          <w:b/>
          <w:bCs/>
          <w:sz w:val="22"/>
          <w:szCs w:val="22"/>
          <w:lang w:eastAsia="en-AU"/>
        </w:rPr>
        <w:t xml:space="preserve"> the Minister’s advice on whether the instrument mentioned above (</w:t>
      </w:r>
      <w:proofErr w:type="spellStart"/>
      <w:r>
        <w:rPr>
          <w:rFonts w:ascii="Calibri" w:hAnsi="Calibri" w:cs="Calibri"/>
          <w:b/>
          <w:bCs/>
          <w:sz w:val="22"/>
          <w:szCs w:val="22"/>
          <w:lang w:eastAsia="en-AU"/>
        </w:rPr>
        <w:t>ie</w:t>
      </w:r>
      <w:proofErr w:type="spellEnd"/>
      <w:r>
        <w:rPr>
          <w:rFonts w:ascii="Calibri" w:hAnsi="Calibri" w:cs="Calibri"/>
          <w:b/>
          <w:bCs/>
          <w:sz w:val="22"/>
          <w:szCs w:val="22"/>
          <w:lang w:eastAsia="en-AU"/>
        </w:rPr>
        <w:t xml:space="preserve"> </w:t>
      </w:r>
      <w:r w:rsidR="0001725A">
        <w:rPr>
          <w:rFonts w:ascii="Calibri" w:hAnsi="Calibri" w:cs="Calibri"/>
          <w:b/>
          <w:bCs/>
          <w:sz w:val="22"/>
          <w:szCs w:val="22"/>
          <w:lang w:eastAsia="en-AU"/>
        </w:rPr>
        <w:t>DI2019-286</w:t>
      </w:r>
      <w:r>
        <w:rPr>
          <w:rFonts w:ascii="Calibri" w:hAnsi="Calibri" w:cs="Calibri"/>
          <w:b/>
          <w:bCs/>
          <w:sz w:val="22"/>
          <w:szCs w:val="22"/>
          <w:lang w:eastAsia="en-AU"/>
        </w:rPr>
        <w:t>) will also be re-made.</w:t>
      </w:r>
    </w:p>
    <w:p w:rsidR="004A4A2A" w:rsidRPr="00C43156" w:rsidRDefault="004A4A2A" w:rsidP="0001725A">
      <w:pPr>
        <w:pStyle w:val="Paper"/>
        <w:spacing w:before="220" w:after="220" w:line="280" w:lineRule="exact"/>
        <w:rPr>
          <w:rFonts w:ascii="Calibri" w:hAnsi="Calibri" w:cs="Calibri"/>
          <w:b/>
          <w:bCs/>
          <w:sz w:val="22"/>
          <w:szCs w:val="22"/>
          <w:lang w:eastAsia="en-AU"/>
        </w:rPr>
      </w:pPr>
      <w:r w:rsidRPr="00C43156">
        <w:rPr>
          <w:rFonts w:ascii="Calibri" w:eastAsia="Calibri" w:hAnsi="Calibri" w:cs="Calibri"/>
          <w:b/>
          <w:sz w:val="22"/>
          <w:szCs w:val="22"/>
        </w:rPr>
        <w:t>This comment requires a response from the Minister.</w:t>
      </w:r>
    </w:p>
    <w:p w:rsidR="004A4A2A" w:rsidRPr="00C43156" w:rsidRDefault="004A4A2A" w:rsidP="0001725A">
      <w:pPr>
        <w:pStyle w:val="Paper"/>
        <w:spacing w:before="220" w:after="220" w:line="280" w:lineRule="exact"/>
        <w:rPr>
          <w:rFonts w:ascii="Calibri" w:hAnsi="Calibri" w:cs="Calibri"/>
          <w:sz w:val="22"/>
          <w:szCs w:val="22"/>
          <w:lang w:eastAsia="en-AU"/>
        </w:rPr>
      </w:pPr>
      <w:r w:rsidRPr="00C43156">
        <w:rPr>
          <w:rFonts w:ascii="Calibri" w:hAnsi="Calibri" w:cs="Calibri"/>
          <w:sz w:val="22"/>
          <w:szCs w:val="22"/>
          <w:lang w:eastAsia="en-AU"/>
        </w:rPr>
        <w:t xml:space="preserve">In addition, the Committee notes that (as was the case in relation to the earlier instrument) the explanatory statement for the </w:t>
      </w:r>
      <w:r>
        <w:rPr>
          <w:rFonts w:ascii="Calibri" w:hAnsi="Calibri" w:cs="Calibri"/>
          <w:sz w:val="22"/>
          <w:szCs w:val="22"/>
          <w:lang w:eastAsia="en-AU"/>
        </w:rPr>
        <w:t xml:space="preserve">present </w:t>
      </w:r>
      <w:r w:rsidRPr="00C43156">
        <w:rPr>
          <w:rFonts w:ascii="Calibri" w:hAnsi="Calibri" w:cs="Calibri"/>
          <w:sz w:val="22"/>
          <w:szCs w:val="22"/>
          <w:lang w:eastAsia="en-AU"/>
        </w:rPr>
        <w:t>instrument contains no indication as to whether or not the specified persons appointed by the instrument are public servants.</w:t>
      </w:r>
    </w:p>
    <w:p w:rsidR="004A4A2A" w:rsidRPr="00C43156" w:rsidRDefault="004A4A2A" w:rsidP="0001725A">
      <w:pPr>
        <w:keepLines/>
        <w:rPr>
          <w:rFonts w:ascii="Calibri" w:eastAsia="Calibri" w:hAnsi="Calibri" w:cs="Calibri"/>
        </w:rPr>
      </w:pPr>
      <w:r w:rsidRPr="00C43156">
        <w:rPr>
          <w:rFonts w:ascii="Calibri" w:eastAsia="Calibri" w:hAnsi="Calibri" w:cs="Calibri"/>
        </w:rPr>
        <w:t xml:space="preserve">The Committee notes that section 227 of the </w:t>
      </w:r>
      <w:r w:rsidRPr="00C43156">
        <w:rPr>
          <w:rFonts w:ascii="Calibri" w:eastAsia="Calibri" w:hAnsi="Calibri" w:cs="Calibri"/>
          <w:i/>
        </w:rPr>
        <w:t>Legislation Act 2001</w:t>
      </w:r>
      <w:r w:rsidRPr="00C43156">
        <w:rPr>
          <w:rFonts w:ascii="Calibri" w:eastAsia="Calibri" w:hAnsi="Calibri" w:cs="Calibri"/>
        </w:rPr>
        <w:t xml:space="preserve"> deals generally with the making of appointments to statutory positions, by Ministers.  It provides:</w:t>
      </w:r>
    </w:p>
    <w:p w:rsidR="004A4A2A" w:rsidRPr="0001725A" w:rsidRDefault="004A4A2A" w:rsidP="0001725A">
      <w:pPr>
        <w:keepNext/>
        <w:keepLines/>
        <w:tabs>
          <w:tab w:val="left" w:pos="810"/>
          <w:tab w:val="left" w:pos="1350"/>
        </w:tabs>
        <w:ind w:left="1354" w:hanging="994"/>
        <w:rPr>
          <w:rFonts w:ascii="Calibri" w:eastAsia="Calibri" w:hAnsi="Calibri" w:cs="Calibri"/>
          <w:b/>
          <w:sz w:val="24"/>
          <w:szCs w:val="24"/>
        </w:rPr>
      </w:pPr>
      <w:r w:rsidRPr="0001725A">
        <w:rPr>
          <w:rFonts w:ascii="Calibri" w:eastAsia="Calibri" w:hAnsi="Calibri" w:cs="Calibri"/>
          <w:b/>
          <w:sz w:val="24"/>
          <w:szCs w:val="24"/>
        </w:rPr>
        <w:t>227</w:t>
      </w:r>
      <w:r w:rsidRPr="0001725A">
        <w:rPr>
          <w:rFonts w:ascii="Calibri" w:eastAsia="Calibri" w:hAnsi="Calibri" w:cs="Calibri"/>
          <w:b/>
          <w:sz w:val="24"/>
          <w:szCs w:val="24"/>
        </w:rPr>
        <w:tab/>
      </w:r>
      <w:r w:rsidRPr="0001725A">
        <w:rPr>
          <w:rFonts w:ascii="Calibri" w:eastAsia="Calibri" w:hAnsi="Calibri" w:cs="Calibri"/>
          <w:b/>
          <w:sz w:val="24"/>
          <w:szCs w:val="24"/>
        </w:rPr>
        <w:tab/>
        <w:t>Application—div 19.3.3</w:t>
      </w:r>
    </w:p>
    <w:p w:rsidR="004A4A2A" w:rsidRPr="00C43156" w:rsidRDefault="004A4A2A" w:rsidP="0001725A">
      <w:pPr>
        <w:keepLines/>
        <w:tabs>
          <w:tab w:val="left" w:pos="810"/>
          <w:tab w:val="left" w:pos="1350"/>
        </w:tabs>
        <w:ind w:left="1350" w:hanging="994"/>
        <w:rPr>
          <w:rFonts w:ascii="Calibri" w:eastAsia="Calibri" w:hAnsi="Calibri" w:cs="Calibri"/>
        </w:rPr>
      </w:pPr>
      <w:r w:rsidRPr="00C43156">
        <w:rPr>
          <w:rFonts w:ascii="Calibri" w:eastAsia="Calibri" w:hAnsi="Calibri" w:cs="Calibri"/>
        </w:rPr>
        <w:tab/>
        <w:t>(1)</w:t>
      </w:r>
      <w:r w:rsidRPr="00C43156">
        <w:rPr>
          <w:rFonts w:ascii="Calibri" w:eastAsia="Calibri" w:hAnsi="Calibri" w:cs="Calibri"/>
        </w:rPr>
        <w:tab/>
        <w:t>This division applies if a Minister has the power under an Act to appoint a person to a statutory position.</w:t>
      </w:r>
    </w:p>
    <w:p w:rsidR="004A4A2A" w:rsidRPr="00C43156" w:rsidRDefault="004A4A2A" w:rsidP="0001725A">
      <w:pPr>
        <w:keepLines/>
        <w:tabs>
          <w:tab w:val="left" w:pos="810"/>
          <w:tab w:val="left" w:pos="1350"/>
        </w:tabs>
        <w:ind w:left="1350" w:hanging="994"/>
        <w:rPr>
          <w:rFonts w:ascii="Calibri" w:eastAsia="Calibri" w:hAnsi="Calibri" w:cs="Calibri"/>
        </w:rPr>
      </w:pPr>
      <w:r w:rsidRPr="00C43156">
        <w:rPr>
          <w:rFonts w:ascii="Calibri" w:eastAsia="Calibri" w:hAnsi="Calibri" w:cs="Calibri"/>
        </w:rPr>
        <w:tab/>
        <w:t>(2)</w:t>
      </w:r>
      <w:r w:rsidRPr="00C43156">
        <w:rPr>
          <w:rFonts w:ascii="Calibri" w:eastAsia="Calibri" w:hAnsi="Calibri" w:cs="Calibri"/>
        </w:rPr>
        <w:tab/>
        <w:t>However, this division does not apply to an appointment of—</w:t>
      </w:r>
    </w:p>
    <w:p w:rsidR="004A4A2A" w:rsidRPr="00C43156" w:rsidRDefault="004A4A2A" w:rsidP="0001725A">
      <w:pPr>
        <w:pStyle w:val="Paper"/>
        <w:tabs>
          <w:tab w:val="left" w:pos="810"/>
          <w:tab w:val="left" w:pos="1350"/>
          <w:tab w:val="left" w:pos="1890"/>
        </w:tabs>
        <w:spacing w:before="220" w:after="220" w:line="280" w:lineRule="exact"/>
        <w:ind w:left="1890" w:hanging="1530"/>
        <w:rPr>
          <w:rFonts w:ascii="Calibri" w:hAnsi="Calibri" w:cs="Calibri"/>
          <w:sz w:val="22"/>
          <w:szCs w:val="22"/>
          <w:lang w:eastAsia="en-AU"/>
        </w:rPr>
      </w:pPr>
      <w:r w:rsidRPr="00C43156">
        <w:rPr>
          <w:rFonts w:ascii="Calibri" w:eastAsia="Calibri" w:hAnsi="Calibri" w:cs="Calibri"/>
          <w:sz w:val="22"/>
          <w:szCs w:val="22"/>
        </w:rPr>
        <w:tab/>
      </w:r>
      <w:r w:rsidRPr="00C43156">
        <w:rPr>
          <w:rFonts w:ascii="Calibri" w:eastAsia="Calibri" w:hAnsi="Calibri" w:cs="Calibri"/>
          <w:sz w:val="22"/>
          <w:szCs w:val="22"/>
        </w:rPr>
        <w:tab/>
      </w:r>
      <w:r w:rsidRPr="00C43156">
        <w:rPr>
          <w:rFonts w:ascii="Calibri" w:hAnsi="Calibri" w:cs="Calibri"/>
          <w:sz w:val="22"/>
          <w:szCs w:val="22"/>
          <w:lang w:eastAsia="en-AU"/>
        </w:rPr>
        <w:t>(a)</w:t>
      </w:r>
      <w:r w:rsidRPr="00C43156">
        <w:rPr>
          <w:rFonts w:ascii="Calibri" w:hAnsi="Calibri" w:cs="Calibri"/>
          <w:sz w:val="22"/>
          <w:szCs w:val="22"/>
          <w:lang w:eastAsia="en-AU"/>
        </w:rPr>
        <w:tab/>
      </w:r>
      <w:proofErr w:type="gramStart"/>
      <w:r w:rsidRPr="00C43156">
        <w:rPr>
          <w:rFonts w:ascii="Calibri" w:hAnsi="Calibri" w:cs="Calibri"/>
          <w:sz w:val="22"/>
          <w:szCs w:val="22"/>
          <w:lang w:eastAsia="en-AU"/>
        </w:rPr>
        <w:t>a</w:t>
      </w:r>
      <w:proofErr w:type="gramEnd"/>
      <w:r w:rsidRPr="00C43156">
        <w:rPr>
          <w:rFonts w:ascii="Calibri" w:hAnsi="Calibri" w:cs="Calibri"/>
          <w:sz w:val="22"/>
          <w:szCs w:val="22"/>
          <w:lang w:eastAsia="en-AU"/>
        </w:rPr>
        <w:t xml:space="preserve"> public servant to a statutory position (whether or not the Act under which the appointment is made requires that the appointee be a public servant); or</w:t>
      </w:r>
    </w:p>
    <w:p w:rsidR="004A4A2A" w:rsidRPr="00C43156" w:rsidRDefault="004A4A2A" w:rsidP="0001725A">
      <w:pPr>
        <w:pStyle w:val="Paper"/>
        <w:tabs>
          <w:tab w:val="left" w:pos="810"/>
          <w:tab w:val="left" w:pos="1350"/>
          <w:tab w:val="left" w:pos="1890"/>
        </w:tabs>
        <w:spacing w:before="220" w:after="220" w:line="280" w:lineRule="exact"/>
        <w:ind w:left="1890" w:hanging="1530"/>
        <w:rPr>
          <w:rFonts w:ascii="Calibri" w:hAnsi="Calibri" w:cs="Calibri"/>
          <w:sz w:val="22"/>
          <w:szCs w:val="22"/>
          <w:lang w:eastAsia="en-AU"/>
        </w:rPr>
      </w:pPr>
      <w:r w:rsidRPr="00C43156">
        <w:rPr>
          <w:rFonts w:ascii="Calibri" w:hAnsi="Calibri" w:cs="Calibri"/>
          <w:sz w:val="22"/>
          <w:szCs w:val="22"/>
          <w:lang w:eastAsia="en-AU"/>
        </w:rPr>
        <w:tab/>
      </w:r>
      <w:r w:rsidRPr="00C43156">
        <w:rPr>
          <w:rFonts w:ascii="Calibri" w:hAnsi="Calibri" w:cs="Calibri"/>
          <w:sz w:val="22"/>
          <w:szCs w:val="22"/>
          <w:lang w:eastAsia="en-AU"/>
        </w:rPr>
        <w:tab/>
        <w:t>(b)</w:t>
      </w:r>
      <w:r w:rsidRPr="00C43156">
        <w:rPr>
          <w:rFonts w:ascii="Calibri" w:hAnsi="Calibri" w:cs="Calibri"/>
          <w:sz w:val="22"/>
          <w:szCs w:val="22"/>
          <w:lang w:eastAsia="en-AU"/>
        </w:rPr>
        <w:tab/>
        <w:t>a person to, or to act in, a statutory position for not longer than 6 months, unless the appointment is of the person to, or to act in, the position for a 2nd or subsequent consecutive period; or</w:t>
      </w:r>
    </w:p>
    <w:p w:rsidR="004A4A2A" w:rsidRPr="00C43156" w:rsidRDefault="004A4A2A" w:rsidP="0001725A">
      <w:pPr>
        <w:pStyle w:val="Paper"/>
        <w:tabs>
          <w:tab w:val="left" w:pos="810"/>
          <w:tab w:val="left" w:pos="1350"/>
          <w:tab w:val="left" w:pos="1890"/>
        </w:tabs>
        <w:spacing w:before="220" w:after="220" w:line="280" w:lineRule="exact"/>
        <w:ind w:left="1890" w:hanging="1530"/>
        <w:rPr>
          <w:rFonts w:ascii="Calibri" w:hAnsi="Calibri" w:cs="Calibri"/>
          <w:sz w:val="22"/>
          <w:szCs w:val="22"/>
          <w:lang w:eastAsia="en-AU"/>
        </w:rPr>
      </w:pPr>
      <w:r w:rsidRPr="00C43156">
        <w:rPr>
          <w:rFonts w:ascii="Calibri" w:hAnsi="Calibri" w:cs="Calibri"/>
          <w:sz w:val="22"/>
          <w:szCs w:val="22"/>
          <w:lang w:eastAsia="en-AU"/>
        </w:rPr>
        <w:tab/>
      </w:r>
      <w:r w:rsidRPr="00C43156">
        <w:rPr>
          <w:rFonts w:ascii="Calibri" w:hAnsi="Calibri" w:cs="Calibri"/>
          <w:sz w:val="22"/>
          <w:szCs w:val="22"/>
          <w:lang w:eastAsia="en-AU"/>
        </w:rPr>
        <w:tab/>
        <w:t>(c)</w:t>
      </w:r>
      <w:r w:rsidRPr="00C43156">
        <w:rPr>
          <w:rFonts w:ascii="Calibri" w:hAnsi="Calibri" w:cs="Calibri"/>
          <w:sz w:val="22"/>
          <w:szCs w:val="22"/>
          <w:lang w:eastAsia="en-AU"/>
        </w:rPr>
        <w:tab/>
      </w:r>
      <w:proofErr w:type="gramStart"/>
      <w:r w:rsidRPr="00C43156">
        <w:rPr>
          <w:rFonts w:ascii="Calibri" w:hAnsi="Calibri" w:cs="Calibri"/>
          <w:sz w:val="22"/>
          <w:szCs w:val="22"/>
          <w:lang w:eastAsia="en-AU"/>
        </w:rPr>
        <w:t>a</w:t>
      </w:r>
      <w:proofErr w:type="gramEnd"/>
      <w:r w:rsidRPr="00C43156">
        <w:rPr>
          <w:rFonts w:ascii="Calibri" w:hAnsi="Calibri" w:cs="Calibri"/>
          <w:sz w:val="22"/>
          <w:szCs w:val="22"/>
          <w:lang w:eastAsia="en-AU"/>
        </w:rPr>
        <w:t xml:space="preserve"> person to a statutory position if the only function of the position is to advise the Minister.</w:t>
      </w:r>
    </w:p>
    <w:p w:rsidR="004A4A2A" w:rsidRPr="00C43156" w:rsidRDefault="004A4A2A" w:rsidP="0001725A">
      <w:pPr>
        <w:keepLines/>
        <w:rPr>
          <w:rFonts w:ascii="Calibri" w:eastAsia="Calibri" w:hAnsi="Calibri" w:cs="Calibri"/>
        </w:rPr>
      </w:pPr>
      <w:r>
        <w:rPr>
          <w:rFonts w:ascii="Calibri" w:eastAsia="Calibri" w:hAnsi="Calibri" w:cs="Calibri"/>
        </w:rPr>
        <w:t xml:space="preserve">In the light of </w:t>
      </w:r>
      <w:r w:rsidRPr="00C43156">
        <w:rPr>
          <w:rFonts w:ascii="Calibri" w:eastAsia="Calibri" w:hAnsi="Calibri" w:cs="Calibri"/>
        </w:rPr>
        <w:t xml:space="preserve">paragraph 227(2)(a) of the Legislation Act, the Committee has consistently maintained that instruments of appointment should clearly state that the appointee is </w:t>
      </w:r>
      <w:r w:rsidRPr="00C43156">
        <w:rPr>
          <w:rFonts w:ascii="Calibri" w:eastAsia="Calibri" w:hAnsi="Calibri" w:cs="Calibri"/>
          <w:b/>
        </w:rPr>
        <w:t>not</w:t>
      </w:r>
      <w:r w:rsidRPr="00C43156">
        <w:rPr>
          <w:rFonts w:ascii="Calibri" w:eastAsia="Calibri" w:hAnsi="Calibri" w:cs="Calibri"/>
        </w:rPr>
        <w:t xml:space="preserve"> a public servant, in order to make clear that, in fact, the appointment should be made by way of disallowable instrument.  In its document titled </w:t>
      </w:r>
      <w:hyperlink r:id="rId25" w:history="1">
        <w:r w:rsidRPr="00C43156">
          <w:rPr>
            <w:rStyle w:val="Hyperlink"/>
            <w:rFonts w:ascii="Calibri" w:eastAsia="Calibri" w:hAnsi="Calibri" w:cs="Calibri"/>
            <w:i/>
          </w:rPr>
          <w:t>Subordinate legislation—Technical and stylistic standards—Tips/Traps</w:t>
        </w:r>
      </w:hyperlink>
      <w:r w:rsidRPr="00C43156">
        <w:rPr>
          <w:rFonts w:ascii="Calibri" w:eastAsia="Calibri" w:hAnsi="Calibri" w:cs="Calibri"/>
          <w:color w:val="000000"/>
        </w:rPr>
        <w:t>,</w:t>
      </w:r>
      <w:r w:rsidRPr="00C43156">
        <w:rPr>
          <w:rFonts w:ascii="Calibri" w:eastAsia="Calibri" w:hAnsi="Calibri" w:cs="Calibri"/>
          <w:vertAlign w:val="superscript"/>
        </w:rPr>
        <w:footnoteReference w:id="3"/>
      </w:r>
      <w:r w:rsidRPr="00C43156">
        <w:rPr>
          <w:rFonts w:ascii="Calibri" w:eastAsia="Calibri" w:hAnsi="Calibri" w:cs="Calibri"/>
        </w:rPr>
        <w:t xml:space="preserve"> the Committee stated:</w:t>
      </w:r>
    </w:p>
    <w:p w:rsidR="004A4A2A" w:rsidRPr="00C43156" w:rsidRDefault="004A4A2A" w:rsidP="0001725A">
      <w:pPr>
        <w:keepLines/>
        <w:ind w:left="360"/>
        <w:rPr>
          <w:rFonts w:ascii="Calibri" w:eastAsia="Calibri" w:hAnsi="Calibri" w:cs="Calibri"/>
        </w:rPr>
      </w:pPr>
      <w:r w:rsidRPr="00C43156">
        <w:rPr>
          <w:rFonts w:ascii="Calibri" w:eastAsia="Calibri" w:hAnsi="Calibri" w:cs="Calibri"/>
        </w:rPr>
        <w:t>Under paragraph 227(2</w:t>
      </w:r>
      <w:proofErr w:type="gramStart"/>
      <w:r w:rsidRPr="00C43156">
        <w:rPr>
          <w:rFonts w:ascii="Calibri" w:eastAsia="Calibri" w:hAnsi="Calibri" w:cs="Calibri"/>
        </w:rPr>
        <w:t>)(</w:t>
      </w:r>
      <w:proofErr w:type="gramEnd"/>
      <w:r w:rsidRPr="00C43156">
        <w:rPr>
          <w:rFonts w:ascii="Calibri" w:eastAsia="Calibri" w:hAnsi="Calibri" w:cs="Calibri"/>
        </w:rPr>
        <w:t xml:space="preserve">a) of the </w:t>
      </w:r>
      <w:r w:rsidRPr="00C43156">
        <w:rPr>
          <w:rFonts w:ascii="Calibri" w:eastAsia="Calibri" w:hAnsi="Calibri" w:cs="Calibri"/>
          <w:i/>
        </w:rPr>
        <w:t>Legislation Act 2001</w:t>
      </w:r>
      <w:r w:rsidRPr="00C43156">
        <w:rPr>
          <w:rFonts w:ascii="Calibri" w:eastAsia="Calibri" w:hAnsi="Calibri" w:cs="Calibri"/>
        </w:rPr>
        <w:t>, an instrument of appointment is not disallowable if it appoints a public servant. As a result, it assists the Committee (and the Legislative Assembly), if the explanatory statement for an instrument of appointment contains a statement to the effect that “the person appointed is not a public servant”.</w:t>
      </w:r>
    </w:p>
    <w:p w:rsidR="004A4A2A" w:rsidRPr="00C43156" w:rsidRDefault="004A4A2A" w:rsidP="0001725A">
      <w:pPr>
        <w:keepLines/>
        <w:rPr>
          <w:rFonts w:ascii="Calibri" w:eastAsia="Calibri" w:hAnsi="Calibri" w:cs="Calibri"/>
        </w:rPr>
      </w:pPr>
      <w:r w:rsidRPr="00C43156">
        <w:rPr>
          <w:rFonts w:ascii="Calibri" w:eastAsia="Calibri" w:hAnsi="Calibri" w:cs="Calibri"/>
        </w:rPr>
        <w:t>The Committee notes that the explanatory statement for th</w:t>
      </w:r>
      <w:r>
        <w:rPr>
          <w:rFonts w:ascii="Calibri" w:eastAsia="Calibri" w:hAnsi="Calibri" w:cs="Calibri"/>
        </w:rPr>
        <w:t xml:space="preserve">e present </w:t>
      </w:r>
      <w:r w:rsidRPr="00C43156">
        <w:rPr>
          <w:rFonts w:ascii="Calibri" w:eastAsia="Calibri" w:hAnsi="Calibri" w:cs="Calibri"/>
        </w:rPr>
        <w:t>instrument contains no such statement.</w:t>
      </w:r>
    </w:p>
    <w:p w:rsidR="004A4A2A" w:rsidRPr="00C43156" w:rsidRDefault="004A4A2A" w:rsidP="0001725A">
      <w:pPr>
        <w:keepLines/>
        <w:rPr>
          <w:rFonts w:ascii="Calibri" w:eastAsia="Calibri" w:hAnsi="Calibri" w:cs="Calibri"/>
          <w:b/>
        </w:rPr>
      </w:pPr>
      <w:bookmarkStart w:id="419" w:name="_Hlk15381749"/>
      <w:r w:rsidRPr="00C43156">
        <w:rPr>
          <w:rFonts w:ascii="Calibri" w:eastAsia="Calibri" w:hAnsi="Calibri" w:cs="Calibri"/>
          <w:b/>
        </w:rPr>
        <w:t>The Committee draws the attention of the Legislative Assembly to the instrument mentioned above, under principle (2) of the Committee’s terms of reference, on the basis that the explanatory statement for the instrument does not meet the technical or stylistic standards expected by the Committee.</w:t>
      </w:r>
    </w:p>
    <w:bookmarkEnd w:id="419"/>
    <w:p w:rsidR="004A4A2A" w:rsidRPr="00C43156" w:rsidRDefault="004A4A2A" w:rsidP="0001725A">
      <w:pPr>
        <w:keepLines/>
        <w:rPr>
          <w:rFonts w:ascii="Calibri" w:eastAsia="Calibri" w:hAnsi="Calibri" w:cs="Calibri"/>
          <w:b/>
        </w:rPr>
      </w:pPr>
      <w:r w:rsidRPr="00C43156">
        <w:rPr>
          <w:rFonts w:ascii="Calibri" w:eastAsia="Calibri" w:hAnsi="Calibri" w:cs="Calibri"/>
          <w:b/>
        </w:rPr>
        <w:t xml:space="preserve">The Committee seeks the Minister’s confirmation that the persons appointed by the instrument mentioned above are </w:t>
      </w:r>
      <w:r w:rsidRPr="00C43156">
        <w:rPr>
          <w:rFonts w:ascii="Calibri" w:eastAsia="Calibri" w:hAnsi="Calibri" w:cs="Calibri"/>
          <w:b/>
          <w:u w:val="single"/>
        </w:rPr>
        <w:t>not</w:t>
      </w:r>
      <w:r w:rsidRPr="00C43156">
        <w:rPr>
          <w:rFonts w:ascii="Calibri" w:eastAsia="Calibri" w:hAnsi="Calibri" w:cs="Calibri"/>
          <w:b/>
        </w:rPr>
        <w:t xml:space="preserve"> public servants.</w:t>
      </w:r>
    </w:p>
    <w:p w:rsidR="004A4A2A" w:rsidRPr="00C43156" w:rsidRDefault="004A4A2A" w:rsidP="0001725A">
      <w:pPr>
        <w:keepLines/>
        <w:rPr>
          <w:rFonts w:ascii="Calibri" w:eastAsia="Calibri" w:hAnsi="Calibri" w:cs="Calibri"/>
          <w:b/>
        </w:rPr>
      </w:pPr>
      <w:bookmarkStart w:id="420" w:name="_Hlk23929407"/>
      <w:r w:rsidRPr="00C43156">
        <w:rPr>
          <w:rFonts w:ascii="Calibri" w:eastAsia="Calibri" w:hAnsi="Calibri" w:cs="Calibri"/>
          <w:b/>
        </w:rPr>
        <w:t>This comment requires a response from the Minister</w:t>
      </w:r>
      <w:bookmarkEnd w:id="420"/>
      <w:r w:rsidRPr="00C43156">
        <w:rPr>
          <w:rFonts w:ascii="Calibri" w:eastAsia="Calibri" w:hAnsi="Calibri" w:cs="Calibri"/>
          <w:b/>
        </w:rPr>
        <w:t>.</w:t>
      </w:r>
    </w:p>
    <w:p w:rsidR="007377EC" w:rsidRPr="0001725A" w:rsidRDefault="007377EC" w:rsidP="0001725A">
      <w:pPr>
        <w:pStyle w:val="Heading3"/>
      </w:pPr>
      <w:bookmarkStart w:id="421" w:name="_Toc32566847"/>
      <w:r w:rsidRPr="0001725A">
        <w:t>Subordinate Laws</w:t>
      </w:r>
      <w:bookmarkStart w:id="422" w:name="_Hlk20475358"/>
      <w:r w:rsidRPr="0001725A">
        <w:t>—</w:t>
      </w:r>
      <w:r w:rsidR="004A4A2A" w:rsidRPr="0001725A">
        <w:t>No c</w:t>
      </w:r>
      <w:r w:rsidRPr="0001725A">
        <w:t>omment</w:t>
      </w:r>
      <w:bookmarkEnd w:id="411"/>
      <w:bookmarkEnd w:id="412"/>
      <w:bookmarkEnd w:id="422"/>
      <w:bookmarkEnd w:id="421"/>
    </w:p>
    <w:p w:rsidR="007377EC" w:rsidRDefault="007377EC" w:rsidP="00103E7B">
      <w:pPr>
        <w:widowControl w:val="0"/>
        <w:tabs>
          <w:tab w:val="left" w:pos="1276"/>
        </w:tabs>
        <w:rPr>
          <w:rFonts w:ascii="Calibri" w:hAnsi="Calibri" w:cs="Calibri"/>
          <w:color w:val="000000"/>
        </w:rPr>
      </w:pPr>
      <w:bookmarkStart w:id="423" w:name="_Hlk494963165"/>
      <w:bookmarkStart w:id="424" w:name="_Hlk22117671"/>
      <w:bookmarkEnd w:id="413"/>
      <w:r w:rsidRPr="00987942">
        <w:rPr>
          <w:rFonts w:ascii="Calibri" w:hAnsi="Calibri" w:cs="Calibri"/>
          <w:color w:val="000000"/>
        </w:rPr>
        <w:t xml:space="preserve">The Committee </w:t>
      </w:r>
      <w:bookmarkEnd w:id="423"/>
      <w:r w:rsidRPr="00987942">
        <w:rPr>
          <w:rFonts w:ascii="Calibri" w:hAnsi="Calibri" w:cs="Calibri"/>
          <w:color w:val="000000"/>
        </w:rPr>
        <w:t>has examined the following subordinate law</w:t>
      </w:r>
      <w:r w:rsidR="004A4A2A">
        <w:rPr>
          <w:rFonts w:ascii="Calibri" w:hAnsi="Calibri" w:cs="Calibri"/>
          <w:color w:val="000000"/>
        </w:rPr>
        <w:t>s and offers no</w:t>
      </w:r>
      <w:r w:rsidRPr="00987942">
        <w:rPr>
          <w:rFonts w:ascii="Calibri" w:hAnsi="Calibri" w:cs="Calibri"/>
          <w:color w:val="000000"/>
        </w:rPr>
        <w:t xml:space="preserve"> comments on</w:t>
      </w:r>
      <w:r w:rsidR="004A4A2A">
        <w:rPr>
          <w:rFonts w:ascii="Calibri" w:hAnsi="Calibri" w:cs="Calibri"/>
          <w:color w:val="000000"/>
        </w:rPr>
        <w:t xml:space="preserve"> them</w:t>
      </w:r>
      <w:r>
        <w:rPr>
          <w:rFonts w:ascii="Calibri" w:hAnsi="Calibri" w:cs="Calibri"/>
          <w:color w:val="000000"/>
        </w:rPr>
        <w:t>:</w:t>
      </w:r>
    </w:p>
    <w:bookmarkEnd w:id="424"/>
    <w:p w:rsidR="004A4A2A" w:rsidRPr="00842199" w:rsidRDefault="004A4A2A" w:rsidP="000D5EDC">
      <w:pPr>
        <w:pStyle w:val="Bodycopy"/>
        <w:numPr>
          <w:ilvl w:val="0"/>
          <w:numId w:val="29"/>
        </w:numPr>
        <w:tabs>
          <w:tab w:val="clear" w:pos="1276"/>
        </w:tabs>
        <w:spacing w:before="160" w:after="160" w:line="280" w:lineRule="exact"/>
        <w:ind w:left="360"/>
        <w:rPr>
          <w:b/>
        </w:rPr>
      </w:pPr>
      <w:r>
        <w:rPr>
          <w:b/>
        </w:rPr>
        <w:t>Subordinate Law</w:t>
      </w:r>
      <w:r w:rsidRPr="00451C85">
        <w:rPr>
          <w:b/>
        </w:rPr>
        <w:t xml:space="preserve"> </w:t>
      </w:r>
      <w:r>
        <w:rPr>
          <w:b/>
        </w:rPr>
        <w:t>SL2019-30</w:t>
      </w:r>
      <w:r w:rsidRPr="00451C85">
        <w:rPr>
          <w:b/>
        </w:rPr>
        <w:t xml:space="preserve"> being the </w:t>
      </w:r>
      <w:r>
        <w:rPr>
          <w:b/>
        </w:rPr>
        <w:t xml:space="preserve">Court Procedures Amendment Rules 2019 (No 3) made under the </w:t>
      </w:r>
      <w:r>
        <w:rPr>
          <w:i/>
        </w:rPr>
        <w:t>Court Procedures Act 2004</w:t>
      </w:r>
      <w:r w:rsidRPr="00236BDD">
        <w:rPr>
          <w:b/>
        </w:rPr>
        <w:t xml:space="preserve"> </w:t>
      </w:r>
      <w:r>
        <w:rPr>
          <w:b/>
        </w:rPr>
        <w:t>amends the Court Procedures Rules relating to first appearances in criminal proceedings in the Magistrates Court.</w:t>
      </w:r>
    </w:p>
    <w:p w:rsidR="004A4A2A" w:rsidRPr="00842199" w:rsidRDefault="004A4A2A" w:rsidP="000D5EDC">
      <w:pPr>
        <w:pStyle w:val="Bodycopy"/>
        <w:numPr>
          <w:ilvl w:val="0"/>
          <w:numId w:val="29"/>
        </w:numPr>
        <w:tabs>
          <w:tab w:val="clear" w:pos="1276"/>
        </w:tabs>
        <w:spacing w:before="160" w:after="160" w:line="280" w:lineRule="exact"/>
        <w:ind w:left="360"/>
        <w:rPr>
          <w:b/>
        </w:rPr>
      </w:pPr>
      <w:r>
        <w:rPr>
          <w:b/>
        </w:rPr>
        <w:t>Subordinate Law</w:t>
      </w:r>
      <w:r w:rsidRPr="00451C85">
        <w:rPr>
          <w:b/>
        </w:rPr>
        <w:t xml:space="preserve"> </w:t>
      </w:r>
      <w:r>
        <w:rPr>
          <w:b/>
        </w:rPr>
        <w:t>SL2019-32</w:t>
      </w:r>
      <w:r w:rsidRPr="00451C85">
        <w:rPr>
          <w:b/>
        </w:rPr>
        <w:t xml:space="preserve"> being the </w:t>
      </w:r>
      <w:r>
        <w:rPr>
          <w:b/>
        </w:rPr>
        <w:t xml:space="preserve">Environment Protection Amendment Regulation 2019 (No 1), including a regulatory impact statement made under the </w:t>
      </w:r>
      <w:r>
        <w:rPr>
          <w:i/>
        </w:rPr>
        <w:t>Environment Protection Act 1997</w:t>
      </w:r>
      <w:r w:rsidRPr="00236BDD">
        <w:rPr>
          <w:b/>
        </w:rPr>
        <w:t xml:space="preserve"> </w:t>
      </w:r>
      <w:r>
        <w:rPr>
          <w:b/>
        </w:rPr>
        <w:t>extends daytime noise standards on Fridays and Saturdays in certain areas.</w:t>
      </w:r>
    </w:p>
    <w:p w:rsidR="004A4A2A" w:rsidRPr="00C07BE4" w:rsidRDefault="004A4A2A" w:rsidP="000D5EDC">
      <w:pPr>
        <w:pStyle w:val="Bodycopy"/>
        <w:keepLines/>
        <w:numPr>
          <w:ilvl w:val="0"/>
          <w:numId w:val="28"/>
        </w:numPr>
        <w:tabs>
          <w:tab w:val="clear" w:pos="1276"/>
          <w:tab w:val="left" w:pos="360"/>
        </w:tabs>
        <w:spacing w:before="160" w:after="160" w:line="280" w:lineRule="exact"/>
        <w:ind w:left="360"/>
        <w:rPr>
          <w:b/>
        </w:rPr>
      </w:pPr>
      <w:r w:rsidRPr="00C07BE4">
        <w:rPr>
          <w:b/>
        </w:rPr>
        <w:t xml:space="preserve">Subordinate Law SL2020-1 being the Firearms Amendment Regulation 2020 (No 1) made under the </w:t>
      </w:r>
      <w:r w:rsidRPr="00C07BE4">
        <w:rPr>
          <w:i/>
        </w:rPr>
        <w:t>Firearms Act 1996</w:t>
      </w:r>
      <w:r w:rsidRPr="00C07BE4">
        <w:rPr>
          <w:b/>
        </w:rPr>
        <w:t xml:space="preserve"> amends the Firearm Regulation to allow the Firearms Registrar to issue a permit to authorise the possession and display of a mortar.</w:t>
      </w:r>
    </w:p>
    <w:p w:rsidR="004A4A2A" w:rsidRPr="00C07BE4" w:rsidRDefault="004A4A2A" w:rsidP="000D5EDC">
      <w:pPr>
        <w:pStyle w:val="Bodycopy"/>
        <w:numPr>
          <w:ilvl w:val="0"/>
          <w:numId w:val="28"/>
        </w:numPr>
        <w:tabs>
          <w:tab w:val="clear" w:pos="1276"/>
          <w:tab w:val="left" w:pos="360"/>
        </w:tabs>
        <w:spacing w:before="160" w:after="160" w:line="280" w:lineRule="exact"/>
        <w:ind w:left="360"/>
        <w:rPr>
          <w:b/>
        </w:rPr>
      </w:pPr>
      <w:r w:rsidRPr="00C07BE4">
        <w:rPr>
          <w:b/>
        </w:rPr>
        <w:t xml:space="preserve">Subordinate Law SL2020-3 being the Medicines, Poisons and Therapeutic Goods (Continued Dispensing) Amendment Regulation 2020 (No 1) made under the </w:t>
      </w:r>
      <w:r w:rsidRPr="00C07BE4">
        <w:rPr>
          <w:i/>
        </w:rPr>
        <w:t>Medicines, Poisons and Therapeutic Goods Act 2008</w:t>
      </w:r>
      <w:r w:rsidRPr="00C07BE4">
        <w:rPr>
          <w:b/>
        </w:rPr>
        <w:t xml:space="preserve"> allow pharmacists to supply a prescription-only medicine to a person as a pharmaceutical benefit without a prescription in defined circumstances.</w:t>
      </w:r>
    </w:p>
    <w:p w:rsidR="004A4A2A" w:rsidRPr="00103E7B" w:rsidRDefault="004A4A2A" w:rsidP="004A4A2A">
      <w:pPr>
        <w:pStyle w:val="Heading3"/>
        <w:rPr>
          <w:rFonts w:eastAsia="Calibri"/>
          <w:lang w:eastAsia="en-AU"/>
        </w:rPr>
      </w:pPr>
      <w:bookmarkStart w:id="425" w:name="_Toc32566848"/>
      <w:r>
        <w:rPr>
          <w:rFonts w:eastAsia="Calibri"/>
          <w:lang w:eastAsia="en-AU"/>
        </w:rPr>
        <w:t>Subordinate Law</w:t>
      </w:r>
      <w:r w:rsidR="005646D0">
        <w:rPr>
          <w:rFonts w:eastAsia="Calibri"/>
          <w:lang w:eastAsia="en-AU"/>
        </w:rPr>
        <w:t>s</w:t>
      </w:r>
      <w:r w:rsidRPr="00103E7B">
        <w:rPr>
          <w:rFonts w:eastAsia="Calibri"/>
          <w:lang w:eastAsia="en-AU"/>
        </w:rPr>
        <w:t>—</w:t>
      </w:r>
      <w:r>
        <w:rPr>
          <w:rFonts w:eastAsia="Calibri"/>
          <w:lang w:eastAsia="en-AU"/>
        </w:rPr>
        <w:t>C</w:t>
      </w:r>
      <w:r w:rsidRPr="00103E7B">
        <w:rPr>
          <w:rFonts w:eastAsia="Calibri"/>
          <w:lang w:eastAsia="en-AU"/>
        </w:rPr>
        <w:t>omment</w:t>
      </w:r>
      <w:bookmarkEnd w:id="425"/>
    </w:p>
    <w:p w:rsidR="004A4A2A" w:rsidRDefault="004A4A2A" w:rsidP="004A4A2A">
      <w:pPr>
        <w:widowControl w:val="0"/>
        <w:tabs>
          <w:tab w:val="left" w:pos="1276"/>
        </w:tabs>
        <w:rPr>
          <w:rFonts w:ascii="Calibri" w:hAnsi="Calibri" w:cs="Calibri"/>
          <w:color w:val="000000"/>
        </w:rPr>
      </w:pPr>
      <w:r w:rsidRPr="00987942">
        <w:rPr>
          <w:rFonts w:ascii="Calibri" w:hAnsi="Calibri" w:cs="Calibri"/>
          <w:color w:val="000000"/>
        </w:rPr>
        <w:t>The Committee has examined the following subordinate law</w:t>
      </w:r>
      <w:r w:rsidR="005646D0">
        <w:rPr>
          <w:rFonts w:ascii="Calibri" w:hAnsi="Calibri" w:cs="Calibri"/>
          <w:color w:val="000000"/>
        </w:rPr>
        <w:t>s</w:t>
      </w:r>
      <w:r w:rsidRPr="00987942">
        <w:rPr>
          <w:rFonts w:ascii="Calibri" w:hAnsi="Calibri" w:cs="Calibri"/>
          <w:color w:val="000000"/>
        </w:rPr>
        <w:t xml:space="preserve"> and offers these comments on</w:t>
      </w:r>
      <w:r>
        <w:rPr>
          <w:rFonts w:ascii="Calibri" w:hAnsi="Calibri" w:cs="Calibri"/>
          <w:color w:val="000000"/>
        </w:rPr>
        <w:t xml:space="preserve"> </w:t>
      </w:r>
      <w:r w:rsidR="005646D0">
        <w:rPr>
          <w:rFonts w:ascii="Calibri" w:hAnsi="Calibri" w:cs="Calibri"/>
          <w:color w:val="000000"/>
        </w:rPr>
        <w:t>them</w:t>
      </w:r>
      <w:r>
        <w:rPr>
          <w:rFonts w:ascii="Calibri" w:hAnsi="Calibri" w:cs="Calibri"/>
          <w:color w:val="000000"/>
        </w:rPr>
        <w:t>:</w:t>
      </w:r>
    </w:p>
    <w:p w:rsidR="0014536B" w:rsidRPr="000011FF" w:rsidRDefault="0014536B" w:rsidP="000011FF">
      <w:pPr>
        <w:pStyle w:val="Heading5"/>
      </w:pPr>
      <w:bookmarkStart w:id="426" w:name="_Hlk31541110"/>
      <w:r w:rsidRPr="000011FF">
        <w:t>Human rights issues / Strict liability offences</w:t>
      </w:r>
    </w:p>
    <w:p w:rsidR="0014536B" w:rsidRPr="00842199" w:rsidRDefault="0014536B" w:rsidP="000D5EDC">
      <w:pPr>
        <w:pStyle w:val="Bodycopy"/>
        <w:numPr>
          <w:ilvl w:val="0"/>
          <w:numId w:val="27"/>
        </w:numPr>
        <w:tabs>
          <w:tab w:val="clear" w:pos="1276"/>
        </w:tabs>
        <w:spacing w:before="200" w:after="0" w:line="280" w:lineRule="exact"/>
        <w:ind w:left="360"/>
        <w:rPr>
          <w:b/>
        </w:rPr>
      </w:pPr>
      <w:r>
        <w:rPr>
          <w:b/>
        </w:rPr>
        <w:t>Subordinate Law</w:t>
      </w:r>
      <w:r w:rsidRPr="00451C85">
        <w:rPr>
          <w:b/>
        </w:rPr>
        <w:t xml:space="preserve"> </w:t>
      </w:r>
      <w:r>
        <w:rPr>
          <w:b/>
        </w:rPr>
        <w:t>SL2019-29</w:t>
      </w:r>
      <w:r w:rsidRPr="00451C85">
        <w:rPr>
          <w:b/>
        </w:rPr>
        <w:t xml:space="preserve"> being the </w:t>
      </w:r>
      <w:r>
        <w:rPr>
          <w:b/>
        </w:rPr>
        <w:t xml:space="preserve">Road Transport (Driver Licensing) Amendment Regulation 2019 (No 1), including a regulatory impact statement made under the </w:t>
      </w:r>
      <w:r>
        <w:rPr>
          <w:i/>
        </w:rPr>
        <w:t>Road Transport (Driver Licensing) Act 1999 and Road Transport (General) Act 1999</w:t>
      </w:r>
      <w:r w:rsidRPr="00236BDD">
        <w:rPr>
          <w:b/>
        </w:rPr>
        <w:t xml:space="preserve"> </w:t>
      </w:r>
      <w:r>
        <w:rPr>
          <w:b/>
        </w:rPr>
        <w:t>introduces reforms to the driver licensing scheme for learner and provisional car drivers.</w:t>
      </w:r>
    </w:p>
    <w:p w:rsidR="0014536B" w:rsidRPr="0042421B" w:rsidRDefault="0014536B" w:rsidP="0001725A">
      <w:pPr>
        <w:pStyle w:val="Paper"/>
        <w:spacing w:before="220" w:after="220" w:line="280" w:lineRule="exact"/>
        <w:rPr>
          <w:rFonts w:ascii="Calibri" w:hAnsi="Calibri" w:cs="Calibri"/>
          <w:sz w:val="22"/>
          <w:szCs w:val="22"/>
        </w:rPr>
      </w:pPr>
      <w:r>
        <w:rPr>
          <w:rFonts w:ascii="Calibri" w:hAnsi="Calibri" w:cs="Calibri"/>
          <w:sz w:val="22"/>
          <w:szCs w:val="22"/>
          <w:lang w:eastAsia="en-AU"/>
        </w:rPr>
        <w:t>This subordinate law amends the</w:t>
      </w:r>
      <w:r w:rsidRPr="001172E8">
        <w:rPr>
          <w:rFonts w:ascii="Calibri" w:hAnsi="Calibri" w:cs="Calibri"/>
          <w:sz w:val="22"/>
          <w:szCs w:val="22"/>
          <w:lang w:eastAsia="en-AU"/>
        </w:rPr>
        <w:t xml:space="preserve"> Road Transport (Driver Licensing) Regulation 2000</w:t>
      </w:r>
      <w:r>
        <w:rPr>
          <w:rFonts w:ascii="Calibri" w:hAnsi="Calibri" w:cs="Calibri"/>
          <w:sz w:val="22"/>
          <w:szCs w:val="22"/>
          <w:lang w:eastAsia="en-AU"/>
        </w:rPr>
        <w:t xml:space="preserve">, in relation to </w:t>
      </w:r>
      <w:r w:rsidRPr="0042421B">
        <w:rPr>
          <w:rFonts w:ascii="Calibri" w:hAnsi="Calibri" w:cs="Calibri"/>
          <w:sz w:val="22"/>
          <w:szCs w:val="22"/>
        </w:rPr>
        <w:t>reforms to the ACT’s driver licensing scheme for learner and provisional car drivers announced by the Government in June 2019.  According to the explanatory statement for the subordinate law:</w:t>
      </w:r>
    </w:p>
    <w:p w:rsidR="0014536B" w:rsidRPr="0042421B" w:rsidRDefault="0014536B" w:rsidP="0001725A">
      <w:pPr>
        <w:pStyle w:val="Paper"/>
        <w:spacing w:before="220" w:after="220" w:line="280" w:lineRule="exact"/>
        <w:ind w:left="360"/>
        <w:rPr>
          <w:rFonts w:ascii="Calibri" w:hAnsi="Calibri" w:cs="Calibri"/>
          <w:sz w:val="22"/>
          <w:szCs w:val="22"/>
        </w:rPr>
      </w:pPr>
      <w:r w:rsidRPr="0042421B">
        <w:rPr>
          <w:rFonts w:ascii="Calibri" w:hAnsi="Calibri" w:cs="Calibri"/>
          <w:sz w:val="22"/>
          <w:szCs w:val="22"/>
        </w:rPr>
        <w:t xml:space="preserve">The goal of the reforms is to reduce the number of young and novice drivers involved in fatal and serious injury crashes </w:t>
      </w:r>
      <w:bookmarkStart w:id="427" w:name="_Hlk25925206"/>
      <w:r w:rsidRPr="0042421B">
        <w:rPr>
          <w:rFonts w:ascii="Calibri" w:hAnsi="Calibri" w:cs="Calibri"/>
          <w:sz w:val="22"/>
          <w:szCs w:val="22"/>
        </w:rPr>
        <w:t>and help them gain experience and confidence on the road in a staged way.</w:t>
      </w:r>
    </w:p>
    <w:bookmarkEnd w:id="427"/>
    <w:p w:rsidR="0014536B" w:rsidRPr="0042421B" w:rsidRDefault="0014536B" w:rsidP="0001725A">
      <w:pPr>
        <w:rPr>
          <w:rFonts w:ascii="Calibri" w:hAnsi="Calibri" w:cs="Calibri"/>
        </w:rPr>
      </w:pPr>
      <w:r w:rsidRPr="0042421B">
        <w:rPr>
          <w:rFonts w:ascii="Calibri" w:hAnsi="Calibri" w:cs="Calibri"/>
        </w:rPr>
        <w:t>The explanatory statement for the subordinate law goes on to state that the amendments that it makes:</w:t>
      </w:r>
    </w:p>
    <w:p w:rsidR="0014536B" w:rsidRPr="0042421B" w:rsidRDefault="0014536B" w:rsidP="000D5EDC">
      <w:pPr>
        <w:pStyle w:val="ListParagraph"/>
        <w:numPr>
          <w:ilvl w:val="0"/>
          <w:numId w:val="30"/>
        </w:numPr>
        <w:autoSpaceDE w:val="0"/>
        <w:autoSpaceDN w:val="0"/>
        <w:ind w:left="810" w:hanging="458"/>
        <w:contextualSpacing w:val="0"/>
        <w:rPr>
          <w:rFonts w:cs="Calibri"/>
        </w:rPr>
      </w:pPr>
      <w:r w:rsidRPr="0042421B">
        <w:rPr>
          <w:rFonts w:cs="Calibri"/>
        </w:rPr>
        <w:t>Increase the minimum learner licence tenure for persons who are under 25 when they are issued with a learner licence from 6 months to 12 months.</w:t>
      </w:r>
    </w:p>
    <w:p w:rsidR="0014536B" w:rsidRPr="0042421B" w:rsidRDefault="0014536B" w:rsidP="000D5EDC">
      <w:pPr>
        <w:pStyle w:val="ListParagraph"/>
        <w:numPr>
          <w:ilvl w:val="0"/>
          <w:numId w:val="30"/>
        </w:numPr>
        <w:autoSpaceDE w:val="0"/>
        <w:autoSpaceDN w:val="0"/>
        <w:ind w:left="810" w:hanging="458"/>
        <w:contextualSpacing w:val="0"/>
        <w:rPr>
          <w:rFonts w:cs="Calibri"/>
        </w:rPr>
      </w:pPr>
      <w:r w:rsidRPr="0042421B">
        <w:rPr>
          <w:rFonts w:cs="Calibri"/>
        </w:rPr>
        <w:t>Mandate required driving hours for learner drivers before they are eligible for a provisional licence, to ensure that adequate experience is gained prior to independent driving.</w:t>
      </w:r>
    </w:p>
    <w:p w:rsidR="0014536B" w:rsidRPr="0042421B" w:rsidRDefault="0014536B" w:rsidP="000D5EDC">
      <w:pPr>
        <w:pStyle w:val="ListParagraph"/>
        <w:numPr>
          <w:ilvl w:val="0"/>
          <w:numId w:val="30"/>
        </w:numPr>
        <w:autoSpaceDE w:val="0"/>
        <w:autoSpaceDN w:val="0"/>
        <w:ind w:left="810" w:hanging="458"/>
        <w:contextualSpacing w:val="0"/>
        <w:rPr>
          <w:rFonts w:cs="Calibri"/>
        </w:rPr>
      </w:pPr>
      <w:r w:rsidRPr="0042421B">
        <w:rPr>
          <w:rFonts w:cs="Calibri"/>
        </w:rPr>
        <w:t>Introduce a Hazard Perception Test as an eligibility requirement for a provisional licence, to ensure that new drivers have the cognitive capacity to identify and react to hazards on and around the road.</w:t>
      </w:r>
    </w:p>
    <w:p w:rsidR="0014536B" w:rsidRPr="0042421B" w:rsidRDefault="0014536B" w:rsidP="000D5EDC">
      <w:pPr>
        <w:pStyle w:val="ListParagraph"/>
        <w:numPr>
          <w:ilvl w:val="0"/>
          <w:numId w:val="30"/>
        </w:numPr>
        <w:autoSpaceDE w:val="0"/>
        <w:autoSpaceDN w:val="0"/>
        <w:ind w:left="810" w:hanging="458"/>
        <w:contextualSpacing w:val="0"/>
        <w:rPr>
          <w:rFonts w:cs="Calibri"/>
        </w:rPr>
      </w:pPr>
      <w:r w:rsidRPr="0042421B">
        <w:rPr>
          <w:rFonts w:cs="Calibri"/>
        </w:rPr>
        <w:t>Introduce a two staged provisional licence (P1 and P2) that focuses on increased restrictions on provisional drivers who are under the age of 25.</w:t>
      </w:r>
    </w:p>
    <w:p w:rsidR="0014536B" w:rsidRPr="0042421B" w:rsidRDefault="0014536B" w:rsidP="000D5EDC">
      <w:pPr>
        <w:pStyle w:val="ListParagraph"/>
        <w:numPr>
          <w:ilvl w:val="0"/>
          <w:numId w:val="30"/>
        </w:numPr>
        <w:autoSpaceDE w:val="0"/>
        <w:autoSpaceDN w:val="0"/>
        <w:ind w:left="810" w:hanging="458"/>
        <w:contextualSpacing w:val="0"/>
        <w:rPr>
          <w:rFonts w:cs="Calibri"/>
        </w:rPr>
      </w:pPr>
      <w:r w:rsidRPr="0042421B">
        <w:rPr>
          <w:rFonts w:cs="Calibri"/>
        </w:rPr>
        <w:t>Introduce late-night peer-passenger restrictions for P1 drivers to reduce the risk of provisional drivers crashing as the dangers of distraction, challenging driving conditions, risk-taking behaviour and fatigue are enhanced at night.</w:t>
      </w:r>
    </w:p>
    <w:p w:rsidR="0014536B" w:rsidRPr="0042421B" w:rsidRDefault="0014536B" w:rsidP="000D5EDC">
      <w:pPr>
        <w:pStyle w:val="ListParagraph"/>
        <w:numPr>
          <w:ilvl w:val="0"/>
          <w:numId w:val="30"/>
        </w:numPr>
        <w:autoSpaceDE w:val="0"/>
        <w:autoSpaceDN w:val="0"/>
        <w:ind w:left="810" w:hanging="458"/>
        <w:contextualSpacing w:val="0"/>
        <w:rPr>
          <w:rFonts w:cs="Calibri"/>
        </w:rPr>
      </w:pPr>
      <w:r w:rsidRPr="0042421B">
        <w:rPr>
          <w:rFonts w:cs="Calibri"/>
        </w:rPr>
        <w:t>Reduce the demerit point threshold for learner drivers to ensure that sanctions are a swift and certain deterrent and in recognition that they are our safest drivers.</w:t>
      </w:r>
    </w:p>
    <w:p w:rsidR="0014536B" w:rsidRPr="0042421B" w:rsidRDefault="0014536B" w:rsidP="000D5EDC">
      <w:pPr>
        <w:pStyle w:val="ListParagraph"/>
        <w:numPr>
          <w:ilvl w:val="0"/>
          <w:numId w:val="30"/>
        </w:numPr>
        <w:autoSpaceDE w:val="0"/>
        <w:autoSpaceDN w:val="0"/>
        <w:ind w:left="810" w:hanging="458"/>
        <w:contextualSpacing w:val="0"/>
        <w:rPr>
          <w:rFonts w:cs="Calibri"/>
        </w:rPr>
      </w:pPr>
      <w:r w:rsidRPr="0042421B">
        <w:rPr>
          <w:rFonts w:cs="Calibri"/>
        </w:rPr>
        <w:t>Remove options for provisional drivers to increase their demerit point threshold to ensure that sanctions are a swift and certain deterrent and in recognition that they are over-represented in road accidents.</w:t>
      </w:r>
    </w:p>
    <w:p w:rsidR="0014536B" w:rsidRPr="0042421B" w:rsidRDefault="0014536B" w:rsidP="000D5EDC">
      <w:pPr>
        <w:pStyle w:val="ListParagraph"/>
        <w:numPr>
          <w:ilvl w:val="0"/>
          <w:numId w:val="30"/>
        </w:numPr>
        <w:autoSpaceDE w:val="0"/>
        <w:autoSpaceDN w:val="0"/>
        <w:ind w:left="810" w:hanging="458"/>
        <w:contextualSpacing w:val="0"/>
        <w:rPr>
          <w:rFonts w:cs="Calibri"/>
        </w:rPr>
      </w:pPr>
      <w:r w:rsidRPr="0042421B">
        <w:rPr>
          <w:rFonts w:cs="Calibri"/>
        </w:rPr>
        <w:t>Provide learner drivers with the option to complete approved learner driver training courses to achieve a component of the required driving hours and to provide additional road safety education.</w:t>
      </w:r>
    </w:p>
    <w:p w:rsidR="0014536B" w:rsidRPr="0042421B" w:rsidRDefault="0014536B" w:rsidP="000D5EDC">
      <w:pPr>
        <w:pStyle w:val="ListParagraph"/>
        <w:numPr>
          <w:ilvl w:val="0"/>
          <w:numId w:val="30"/>
        </w:numPr>
        <w:autoSpaceDE w:val="0"/>
        <w:autoSpaceDN w:val="0"/>
        <w:ind w:left="810" w:hanging="458"/>
        <w:contextualSpacing w:val="0"/>
        <w:rPr>
          <w:rFonts w:cs="Calibri"/>
        </w:rPr>
      </w:pPr>
      <w:r w:rsidRPr="0042421B">
        <w:rPr>
          <w:rFonts w:cs="Calibri"/>
        </w:rPr>
        <w:t>Establish a new application and approval process for licence training courses.</w:t>
      </w:r>
    </w:p>
    <w:p w:rsidR="0014536B" w:rsidRDefault="0014536B" w:rsidP="0001725A">
      <w:pPr>
        <w:pStyle w:val="Bodycopy"/>
        <w:tabs>
          <w:tab w:val="clear" w:pos="1276"/>
          <w:tab w:val="left" w:pos="360"/>
        </w:tabs>
        <w:spacing w:before="220" w:after="220" w:line="280" w:lineRule="exact"/>
        <w:rPr>
          <w:bCs/>
        </w:rPr>
      </w:pPr>
      <w:r>
        <w:rPr>
          <w:bCs/>
        </w:rPr>
        <w:t xml:space="preserve">The Committee notes that the explanatory statement for the subordinate law contains 6 pages of detailed discussion of the human rights (as defined in the </w:t>
      </w:r>
      <w:r>
        <w:rPr>
          <w:bCs/>
          <w:i/>
          <w:iCs/>
        </w:rPr>
        <w:t xml:space="preserve">Human Rights </w:t>
      </w:r>
      <w:r w:rsidRPr="001172E8">
        <w:rPr>
          <w:bCs/>
          <w:i/>
          <w:iCs/>
        </w:rPr>
        <w:t>Act 2004</w:t>
      </w:r>
      <w:r>
        <w:rPr>
          <w:bCs/>
        </w:rPr>
        <w:t xml:space="preserve">) </w:t>
      </w:r>
      <w:r w:rsidRPr="00A27697">
        <w:rPr>
          <w:bCs/>
        </w:rPr>
        <w:t>engaged</w:t>
      </w:r>
      <w:r>
        <w:rPr>
          <w:bCs/>
        </w:rPr>
        <w:t xml:space="preserve"> by the amendments made by the subordinate law.  The human rights identified are:</w:t>
      </w:r>
    </w:p>
    <w:p w:rsidR="0014536B" w:rsidRDefault="0014536B" w:rsidP="000D5EDC">
      <w:pPr>
        <w:pStyle w:val="Bodycopy"/>
        <w:numPr>
          <w:ilvl w:val="1"/>
          <w:numId w:val="31"/>
        </w:numPr>
        <w:tabs>
          <w:tab w:val="clear" w:pos="1276"/>
          <w:tab w:val="left" w:pos="360"/>
          <w:tab w:val="left" w:pos="1134"/>
        </w:tabs>
        <w:spacing w:before="220" w:after="220" w:line="280" w:lineRule="exact"/>
        <w:ind w:hanging="1440"/>
        <w:rPr>
          <w:bCs/>
        </w:rPr>
      </w:pPr>
      <w:r>
        <w:rPr>
          <w:bCs/>
        </w:rPr>
        <w:t>the right to recognition and equality before the law (section 8);</w:t>
      </w:r>
    </w:p>
    <w:p w:rsidR="0014536B" w:rsidRDefault="0014536B" w:rsidP="000D5EDC">
      <w:pPr>
        <w:pStyle w:val="Bodycopy"/>
        <w:numPr>
          <w:ilvl w:val="1"/>
          <w:numId w:val="31"/>
        </w:numPr>
        <w:tabs>
          <w:tab w:val="clear" w:pos="1276"/>
          <w:tab w:val="left" w:pos="360"/>
          <w:tab w:val="left" w:pos="1134"/>
        </w:tabs>
        <w:spacing w:before="220" w:after="220" w:line="280" w:lineRule="exact"/>
        <w:ind w:hanging="1440"/>
        <w:rPr>
          <w:bCs/>
        </w:rPr>
      </w:pPr>
      <w:r>
        <w:rPr>
          <w:bCs/>
        </w:rPr>
        <w:t>the right to f</w:t>
      </w:r>
      <w:r w:rsidRPr="00154AB9">
        <w:rPr>
          <w:bCs/>
        </w:rPr>
        <w:t>reedom of movement</w:t>
      </w:r>
      <w:r>
        <w:rPr>
          <w:bCs/>
        </w:rPr>
        <w:t xml:space="preserve"> (section 13);</w:t>
      </w:r>
      <w:r w:rsidR="000D5EDC">
        <w:rPr>
          <w:bCs/>
        </w:rPr>
        <w:t xml:space="preserve"> and</w:t>
      </w:r>
    </w:p>
    <w:p w:rsidR="0014536B" w:rsidRPr="00154AB9" w:rsidRDefault="0014536B" w:rsidP="000D5EDC">
      <w:pPr>
        <w:pStyle w:val="Bodycopy"/>
        <w:numPr>
          <w:ilvl w:val="1"/>
          <w:numId w:val="31"/>
        </w:numPr>
        <w:tabs>
          <w:tab w:val="clear" w:pos="1276"/>
          <w:tab w:val="left" w:pos="360"/>
          <w:tab w:val="left" w:pos="1134"/>
        </w:tabs>
        <w:spacing w:before="220" w:after="220" w:line="280" w:lineRule="exact"/>
        <w:ind w:hanging="1440"/>
        <w:rPr>
          <w:bCs/>
        </w:rPr>
      </w:pPr>
      <w:proofErr w:type="gramStart"/>
      <w:r>
        <w:rPr>
          <w:bCs/>
        </w:rPr>
        <w:t>the</w:t>
      </w:r>
      <w:proofErr w:type="gramEnd"/>
      <w:r>
        <w:rPr>
          <w:bCs/>
        </w:rPr>
        <w:t xml:space="preserve"> r</w:t>
      </w:r>
      <w:r w:rsidRPr="00154AB9">
        <w:rPr>
          <w:bCs/>
        </w:rPr>
        <w:t>ight</w:t>
      </w:r>
      <w:r>
        <w:rPr>
          <w:bCs/>
        </w:rPr>
        <w:t xml:space="preserve"> to be presumed innocent (section 22).</w:t>
      </w:r>
    </w:p>
    <w:p w:rsidR="0014536B" w:rsidRDefault="0014536B" w:rsidP="0001725A">
      <w:pPr>
        <w:pStyle w:val="Bodycopy"/>
        <w:tabs>
          <w:tab w:val="left" w:pos="360"/>
        </w:tabs>
        <w:spacing w:before="220" w:after="220" w:line="280" w:lineRule="exact"/>
        <w:rPr>
          <w:bCs/>
        </w:rPr>
      </w:pPr>
      <w:r>
        <w:rPr>
          <w:bCs/>
        </w:rPr>
        <w:t xml:space="preserve">In relation to the right to be presumed innocent, the explanatory statement discusses this issue by reference to the new strict liability offence created by the subordinate law and the minor and technical amendments made to some existing strict liability offences.  The </w:t>
      </w:r>
      <w:r w:rsidR="000D5EDC">
        <w:rPr>
          <w:bCs/>
        </w:rPr>
        <w:t>Committee notes that, in fact, seven</w:t>
      </w:r>
      <w:r>
        <w:rPr>
          <w:bCs/>
        </w:rPr>
        <w:t xml:space="preserve"> strict liability offences are con</w:t>
      </w:r>
      <w:r w:rsidR="0001725A">
        <w:rPr>
          <w:bCs/>
        </w:rPr>
        <w:t>tained in the subordinate law—</w:t>
      </w:r>
      <w:r>
        <w:rPr>
          <w:bCs/>
        </w:rPr>
        <w:t>new subsections 11A(3), 11B(2), 19(8), 20(6), 29(4), 32(4) and 60(3).  The Committee notes that the discussion addresses the Committee’s oft-stated concerns, in relation to strict liability offences.</w:t>
      </w:r>
    </w:p>
    <w:p w:rsidR="0014536B" w:rsidRPr="00A66BED" w:rsidRDefault="0014536B" w:rsidP="0001725A">
      <w:pPr>
        <w:pStyle w:val="Paper"/>
        <w:spacing w:before="220" w:after="220" w:line="280" w:lineRule="exact"/>
        <w:rPr>
          <w:rFonts w:ascii="Calibri" w:hAnsi="Calibri" w:cs="Calibri"/>
          <w:b/>
          <w:bCs/>
          <w:sz w:val="22"/>
          <w:szCs w:val="22"/>
          <w:lang w:eastAsia="en-AU"/>
        </w:rPr>
      </w:pPr>
      <w:r w:rsidRPr="00A66BED">
        <w:rPr>
          <w:rFonts w:ascii="Calibri" w:hAnsi="Calibri" w:cs="Calibri"/>
          <w:b/>
          <w:bCs/>
          <w:sz w:val="22"/>
          <w:szCs w:val="22"/>
          <w:lang w:eastAsia="en-AU"/>
        </w:rPr>
        <w:t xml:space="preserve">The Committee draws the attention of the Legislative Assembly to the discussion of human rights issues in the explanatory statement for this </w:t>
      </w:r>
      <w:r>
        <w:rPr>
          <w:rFonts w:ascii="Calibri" w:hAnsi="Calibri" w:cs="Calibri"/>
          <w:b/>
          <w:bCs/>
          <w:sz w:val="22"/>
          <w:szCs w:val="22"/>
          <w:lang w:eastAsia="en-AU"/>
        </w:rPr>
        <w:t>subordinate law</w:t>
      </w:r>
      <w:r w:rsidRPr="00A66BED">
        <w:rPr>
          <w:rFonts w:ascii="Calibri" w:hAnsi="Calibri" w:cs="Calibri"/>
          <w:b/>
          <w:bCs/>
          <w:sz w:val="22"/>
          <w:szCs w:val="22"/>
          <w:lang w:eastAsia="en-AU"/>
        </w:rPr>
        <w:t>.</w:t>
      </w:r>
    </w:p>
    <w:p w:rsidR="0014536B" w:rsidRDefault="0014536B" w:rsidP="0001725A">
      <w:pPr>
        <w:pStyle w:val="Paper"/>
        <w:spacing w:before="220" w:after="220" w:line="280" w:lineRule="exact"/>
        <w:rPr>
          <w:rFonts w:ascii="Calibri" w:hAnsi="Calibri" w:cs="Calibri"/>
          <w:b/>
          <w:bCs/>
          <w:sz w:val="22"/>
          <w:szCs w:val="22"/>
          <w:lang w:eastAsia="en-AU"/>
        </w:rPr>
      </w:pPr>
      <w:r w:rsidRPr="00A66BED">
        <w:rPr>
          <w:rFonts w:ascii="Calibri" w:hAnsi="Calibri" w:cs="Calibri"/>
          <w:b/>
          <w:bCs/>
          <w:sz w:val="22"/>
          <w:szCs w:val="22"/>
          <w:lang w:eastAsia="en-AU"/>
        </w:rPr>
        <w:t>This comment does not require a response from the Minister.</w:t>
      </w:r>
    </w:p>
    <w:p w:rsidR="000C3653" w:rsidRPr="000011FF" w:rsidRDefault="000C3653" w:rsidP="000011FF">
      <w:pPr>
        <w:pStyle w:val="Heading5"/>
      </w:pPr>
      <w:r w:rsidRPr="000011FF">
        <w:t>Human rights issues / Strict liability offences</w:t>
      </w:r>
    </w:p>
    <w:p w:rsidR="000C3653" w:rsidRPr="00842199" w:rsidRDefault="000C3653" w:rsidP="000D5EDC">
      <w:pPr>
        <w:pStyle w:val="Bodycopy"/>
        <w:numPr>
          <w:ilvl w:val="0"/>
          <w:numId w:val="28"/>
        </w:numPr>
        <w:tabs>
          <w:tab w:val="clear" w:pos="1276"/>
          <w:tab w:val="left" w:pos="0"/>
        </w:tabs>
        <w:spacing w:before="160" w:after="160" w:line="280" w:lineRule="exact"/>
        <w:ind w:left="360"/>
        <w:rPr>
          <w:b/>
        </w:rPr>
      </w:pPr>
      <w:r>
        <w:rPr>
          <w:b/>
        </w:rPr>
        <w:t>Subordinate Law</w:t>
      </w:r>
      <w:r w:rsidRPr="00451C85">
        <w:rPr>
          <w:b/>
        </w:rPr>
        <w:t xml:space="preserve"> </w:t>
      </w:r>
      <w:r>
        <w:rPr>
          <w:b/>
        </w:rPr>
        <w:t>SL2019-31</w:t>
      </w:r>
      <w:r w:rsidRPr="00451C85">
        <w:rPr>
          <w:b/>
        </w:rPr>
        <w:t xml:space="preserve"> being the </w:t>
      </w:r>
      <w:r>
        <w:rPr>
          <w:b/>
        </w:rPr>
        <w:t xml:space="preserve">Road Transport Legislation Amendment Regulation 2019 (No 1) made under the </w:t>
      </w:r>
      <w:r>
        <w:rPr>
          <w:i/>
        </w:rPr>
        <w:t>Road Transport (General) Act 1999, Road Transport (Safety and Traffic Management) Act 1999 and Road Transport (Vehicle Registration) Act 1999</w:t>
      </w:r>
      <w:r w:rsidRPr="00236BDD">
        <w:rPr>
          <w:b/>
        </w:rPr>
        <w:t xml:space="preserve"> </w:t>
      </w:r>
      <w:r>
        <w:rPr>
          <w:b/>
        </w:rPr>
        <w:t>amends specified road transport legislation to establish the regulatory framework for personal use of e-scooters; to provide the road transport authority with the power to refuse, cancel or suspend the registration of vehicles with offensive messaging, and vehicles that fail to comply with a recall notice issued under the Australian Consumer Law; introduce an exemption to the requirement to wear a helmet on religious grounds; and introduce an offence for displaying a copy of a parking permit or mobility parking scheme authority in or on a vehicle.</w:t>
      </w:r>
    </w:p>
    <w:p w:rsidR="000C3653" w:rsidRDefault="000C3653" w:rsidP="000D5EDC">
      <w:pPr>
        <w:pStyle w:val="Bodycopy"/>
        <w:tabs>
          <w:tab w:val="left" w:pos="360"/>
        </w:tabs>
        <w:spacing w:before="220" w:after="220" w:line="280" w:lineRule="exact"/>
        <w:rPr>
          <w:bCs/>
        </w:rPr>
      </w:pPr>
      <w:r>
        <w:rPr>
          <w:bCs/>
        </w:rPr>
        <w:t xml:space="preserve">This subordinate law amends </w:t>
      </w:r>
      <w:r w:rsidRPr="00154AB9">
        <w:rPr>
          <w:bCs/>
        </w:rPr>
        <w:t xml:space="preserve">the Road Transport (Road Rules) Regulation 2017, the Road Transport (Safety and Traffic Management) Regulation 2017 and the Road Transport (Vehicle Registration) Regulation 2000. </w:t>
      </w:r>
      <w:r>
        <w:rPr>
          <w:bCs/>
        </w:rPr>
        <w:t xml:space="preserve"> </w:t>
      </w:r>
      <w:r w:rsidRPr="00154AB9">
        <w:rPr>
          <w:bCs/>
        </w:rPr>
        <w:t>It also makes consequential amendments to the Road Transport (Offences) Regulation 2005.</w:t>
      </w:r>
      <w:r>
        <w:rPr>
          <w:bCs/>
        </w:rPr>
        <w:t xml:space="preserve">  According to the explanatory statement, the amendments made by the subordinate law:</w:t>
      </w:r>
    </w:p>
    <w:p w:rsidR="000C3653" w:rsidRPr="00154AB9" w:rsidRDefault="000C3653" w:rsidP="000D5EDC">
      <w:pPr>
        <w:pStyle w:val="Bodycopy"/>
        <w:numPr>
          <w:ilvl w:val="1"/>
          <w:numId w:val="32"/>
        </w:numPr>
        <w:tabs>
          <w:tab w:val="clear" w:pos="1276"/>
          <w:tab w:val="left" w:pos="360"/>
        </w:tabs>
        <w:spacing w:before="220" w:after="220" w:line="280" w:lineRule="exact"/>
        <w:ind w:left="360"/>
        <w:rPr>
          <w:bCs/>
        </w:rPr>
      </w:pPr>
      <w:r w:rsidRPr="00154AB9">
        <w:rPr>
          <w:bCs/>
        </w:rPr>
        <w:t>establish the regulatory framework for personal use of e-scooters and other similar devices through amendments to the existing framework for personal mobility devices;</w:t>
      </w:r>
    </w:p>
    <w:p w:rsidR="000C3653" w:rsidRPr="00154AB9" w:rsidRDefault="000C3653" w:rsidP="000D5EDC">
      <w:pPr>
        <w:pStyle w:val="Bodycopy"/>
        <w:numPr>
          <w:ilvl w:val="1"/>
          <w:numId w:val="32"/>
        </w:numPr>
        <w:tabs>
          <w:tab w:val="clear" w:pos="1276"/>
          <w:tab w:val="left" w:pos="360"/>
        </w:tabs>
        <w:spacing w:before="220" w:after="220" w:line="280" w:lineRule="exact"/>
        <w:ind w:left="360"/>
        <w:rPr>
          <w:bCs/>
        </w:rPr>
      </w:pPr>
      <w:r w:rsidRPr="00154AB9">
        <w:rPr>
          <w:bCs/>
        </w:rPr>
        <w:t xml:space="preserve">provide the road transport authority with the power to refuse, cancel or suspend the registration of vehicles with offensive messaging; </w:t>
      </w:r>
    </w:p>
    <w:p w:rsidR="000C3653" w:rsidRPr="00154AB9" w:rsidRDefault="000C3653" w:rsidP="000D5EDC">
      <w:pPr>
        <w:pStyle w:val="Bodycopy"/>
        <w:numPr>
          <w:ilvl w:val="1"/>
          <w:numId w:val="32"/>
        </w:numPr>
        <w:tabs>
          <w:tab w:val="clear" w:pos="1276"/>
          <w:tab w:val="left" w:pos="360"/>
        </w:tabs>
        <w:spacing w:before="220" w:after="220" w:line="280" w:lineRule="exact"/>
        <w:ind w:left="360"/>
        <w:rPr>
          <w:bCs/>
        </w:rPr>
      </w:pPr>
      <w:r w:rsidRPr="00154AB9">
        <w:rPr>
          <w:bCs/>
        </w:rPr>
        <w:t>provide the road transport authority with the power to refuse, cancel or suspend the registration of vehicles that fail to comply with a recall notice issued under the Australian Consumer Law;</w:t>
      </w:r>
    </w:p>
    <w:p w:rsidR="000C3653" w:rsidRPr="00154AB9" w:rsidRDefault="000C3653" w:rsidP="000D5EDC">
      <w:pPr>
        <w:pStyle w:val="Bodycopy"/>
        <w:numPr>
          <w:ilvl w:val="1"/>
          <w:numId w:val="32"/>
        </w:numPr>
        <w:tabs>
          <w:tab w:val="clear" w:pos="1276"/>
          <w:tab w:val="left" w:pos="360"/>
        </w:tabs>
        <w:spacing w:before="220" w:after="220" w:line="280" w:lineRule="exact"/>
        <w:ind w:left="360"/>
        <w:rPr>
          <w:bCs/>
        </w:rPr>
      </w:pPr>
      <w:r w:rsidRPr="00154AB9">
        <w:rPr>
          <w:bCs/>
        </w:rPr>
        <w:t>introduce an exemption to the requirement to wear a helmet on religious grounds; and</w:t>
      </w:r>
    </w:p>
    <w:p w:rsidR="000C3653" w:rsidRDefault="000C3653" w:rsidP="000D5EDC">
      <w:pPr>
        <w:pStyle w:val="Bodycopy"/>
        <w:numPr>
          <w:ilvl w:val="1"/>
          <w:numId w:val="32"/>
        </w:numPr>
        <w:tabs>
          <w:tab w:val="clear" w:pos="1276"/>
          <w:tab w:val="left" w:pos="360"/>
        </w:tabs>
        <w:spacing w:before="220" w:after="220" w:line="280" w:lineRule="exact"/>
        <w:ind w:left="360"/>
        <w:rPr>
          <w:bCs/>
        </w:rPr>
      </w:pPr>
      <w:proofErr w:type="gramStart"/>
      <w:r w:rsidRPr="00154AB9">
        <w:rPr>
          <w:bCs/>
        </w:rPr>
        <w:t>introduce</w:t>
      </w:r>
      <w:proofErr w:type="gramEnd"/>
      <w:r w:rsidRPr="00154AB9">
        <w:rPr>
          <w:bCs/>
        </w:rPr>
        <w:t xml:space="preserve"> an offence for displaying in or on a vehicle a copy of a parking permit or mobility parking scheme authority.</w:t>
      </w:r>
    </w:p>
    <w:p w:rsidR="000C3653" w:rsidRDefault="000C3653" w:rsidP="000D5EDC">
      <w:pPr>
        <w:pStyle w:val="Bodycopy"/>
        <w:tabs>
          <w:tab w:val="clear" w:pos="1276"/>
          <w:tab w:val="left" w:pos="360"/>
        </w:tabs>
        <w:spacing w:before="220" w:after="220" w:line="280" w:lineRule="exact"/>
        <w:rPr>
          <w:bCs/>
        </w:rPr>
      </w:pPr>
      <w:r>
        <w:rPr>
          <w:bCs/>
        </w:rPr>
        <w:t>The Committee notes that the explanatory statement fo</w:t>
      </w:r>
      <w:r w:rsidR="003E032C">
        <w:rPr>
          <w:bCs/>
        </w:rPr>
        <w:t>r the subordinate law contains nine</w:t>
      </w:r>
      <w:r>
        <w:rPr>
          <w:bCs/>
        </w:rPr>
        <w:t xml:space="preserve"> pages of detailed discussion of the human rights (as defined in the </w:t>
      </w:r>
      <w:r>
        <w:rPr>
          <w:bCs/>
          <w:i/>
          <w:iCs/>
        </w:rPr>
        <w:t xml:space="preserve">Human Rights Act </w:t>
      </w:r>
      <w:r w:rsidRPr="00A27697">
        <w:rPr>
          <w:bCs/>
        </w:rPr>
        <w:t>2004</w:t>
      </w:r>
      <w:r>
        <w:rPr>
          <w:bCs/>
        </w:rPr>
        <w:t xml:space="preserve">) </w:t>
      </w:r>
      <w:r w:rsidRPr="00A27697">
        <w:rPr>
          <w:bCs/>
        </w:rPr>
        <w:t>engaged</w:t>
      </w:r>
      <w:r>
        <w:rPr>
          <w:bCs/>
        </w:rPr>
        <w:t xml:space="preserve"> by the amendments made by the subordinate law.  The human rights identified are:</w:t>
      </w:r>
    </w:p>
    <w:p w:rsidR="000C3653" w:rsidRPr="00154AB9" w:rsidRDefault="000C3653" w:rsidP="000D5EDC">
      <w:pPr>
        <w:pStyle w:val="Bodycopy"/>
        <w:numPr>
          <w:ilvl w:val="0"/>
          <w:numId w:val="33"/>
        </w:numPr>
        <w:tabs>
          <w:tab w:val="clear" w:pos="1276"/>
          <w:tab w:val="left" w:pos="360"/>
          <w:tab w:val="left" w:pos="1134"/>
        </w:tabs>
        <w:spacing w:before="220" w:after="220" w:line="280" w:lineRule="exact"/>
        <w:ind w:left="450" w:hanging="450"/>
        <w:rPr>
          <w:bCs/>
        </w:rPr>
      </w:pPr>
      <w:r>
        <w:rPr>
          <w:bCs/>
        </w:rPr>
        <w:t>the right to p</w:t>
      </w:r>
      <w:r w:rsidRPr="00154AB9">
        <w:rPr>
          <w:bCs/>
        </w:rPr>
        <w:t>rivacy and reputation</w:t>
      </w:r>
      <w:r>
        <w:rPr>
          <w:bCs/>
        </w:rPr>
        <w:t xml:space="preserve"> (section 12);</w:t>
      </w:r>
    </w:p>
    <w:p w:rsidR="000C3653" w:rsidRDefault="000C3653" w:rsidP="000D5EDC">
      <w:pPr>
        <w:pStyle w:val="Bodycopy"/>
        <w:numPr>
          <w:ilvl w:val="0"/>
          <w:numId w:val="33"/>
        </w:numPr>
        <w:tabs>
          <w:tab w:val="clear" w:pos="1276"/>
          <w:tab w:val="left" w:pos="360"/>
          <w:tab w:val="left" w:pos="1134"/>
        </w:tabs>
        <w:spacing w:before="220" w:after="220" w:line="280" w:lineRule="exact"/>
        <w:ind w:left="450" w:hanging="450"/>
        <w:rPr>
          <w:bCs/>
        </w:rPr>
      </w:pPr>
      <w:r>
        <w:rPr>
          <w:bCs/>
        </w:rPr>
        <w:t>the right to f</w:t>
      </w:r>
      <w:r w:rsidRPr="00154AB9">
        <w:rPr>
          <w:bCs/>
        </w:rPr>
        <w:t>reedom of movement</w:t>
      </w:r>
      <w:r>
        <w:rPr>
          <w:bCs/>
        </w:rPr>
        <w:t xml:space="preserve"> (section 13);</w:t>
      </w:r>
    </w:p>
    <w:p w:rsidR="000C3653" w:rsidRPr="00154AB9" w:rsidRDefault="000C3653" w:rsidP="000D5EDC">
      <w:pPr>
        <w:pStyle w:val="Bodycopy"/>
        <w:numPr>
          <w:ilvl w:val="0"/>
          <w:numId w:val="33"/>
        </w:numPr>
        <w:tabs>
          <w:tab w:val="clear" w:pos="1276"/>
          <w:tab w:val="left" w:pos="360"/>
          <w:tab w:val="left" w:pos="1134"/>
        </w:tabs>
        <w:spacing w:before="220" w:after="220" w:line="280" w:lineRule="exact"/>
        <w:ind w:left="450" w:hanging="450"/>
        <w:rPr>
          <w:bCs/>
        </w:rPr>
      </w:pPr>
      <w:r>
        <w:rPr>
          <w:bCs/>
        </w:rPr>
        <w:t>the right to freedom of thought, conscience, religion and belief (section 14);</w:t>
      </w:r>
    </w:p>
    <w:p w:rsidR="000C3653" w:rsidRPr="00154AB9" w:rsidRDefault="000C3653" w:rsidP="000D5EDC">
      <w:pPr>
        <w:pStyle w:val="Bodycopy"/>
        <w:numPr>
          <w:ilvl w:val="0"/>
          <w:numId w:val="33"/>
        </w:numPr>
        <w:tabs>
          <w:tab w:val="clear" w:pos="1276"/>
          <w:tab w:val="left" w:pos="360"/>
          <w:tab w:val="left" w:pos="1134"/>
        </w:tabs>
        <w:spacing w:before="220" w:after="220" w:line="280" w:lineRule="exact"/>
        <w:ind w:left="450" w:hanging="450"/>
        <w:rPr>
          <w:bCs/>
        </w:rPr>
      </w:pPr>
      <w:r>
        <w:rPr>
          <w:bCs/>
        </w:rPr>
        <w:t>the right to f</w:t>
      </w:r>
      <w:r w:rsidRPr="00154AB9">
        <w:rPr>
          <w:bCs/>
        </w:rPr>
        <w:t>reedom of expression</w:t>
      </w:r>
      <w:r>
        <w:rPr>
          <w:bCs/>
        </w:rPr>
        <w:t xml:space="preserve"> (section 16); and</w:t>
      </w:r>
    </w:p>
    <w:p w:rsidR="000C3653" w:rsidRPr="00154AB9" w:rsidRDefault="000C3653" w:rsidP="000D5EDC">
      <w:pPr>
        <w:pStyle w:val="Bodycopy"/>
        <w:numPr>
          <w:ilvl w:val="0"/>
          <w:numId w:val="33"/>
        </w:numPr>
        <w:tabs>
          <w:tab w:val="clear" w:pos="1276"/>
          <w:tab w:val="left" w:pos="360"/>
          <w:tab w:val="left" w:pos="1134"/>
        </w:tabs>
        <w:spacing w:before="220" w:after="220" w:line="280" w:lineRule="exact"/>
        <w:ind w:left="450" w:hanging="450"/>
        <w:rPr>
          <w:bCs/>
        </w:rPr>
      </w:pPr>
      <w:proofErr w:type="gramStart"/>
      <w:r>
        <w:rPr>
          <w:bCs/>
        </w:rPr>
        <w:t>the</w:t>
      </w:r>
      <w:proofErr w:type="gramEnd"/>
      <w:r>
        <w:rPr>
          <w:bCs/>
        </w:rPr>
        <w:t xml:space="preserve"> r</w:t>
      </w:r>
      <w:r w:rsidRPr="00154AB9">
        <w:rPr>
          <w:bCs/>
        </w:rPr>
        <w:t>ights in criminal proceedings</w:t>
      </w:r>
      <w:r>
        <w:rPr>
          <w:bCs/>
        </w:rPr>
        <w:t xml:space="preserve"> (section 22).</w:t>
      </w:r>
    </w:p>
    <w:p w:rsidR="000C3653" w:rsidRDefault="000C3653" w:rsidP="000D5EDC">
      <w:pPr>
        <w:pStyle w:val="Bodycopy"/>
        <w:tabs>
          <w:tab w:val="left" w:pos="360"/>
        </w:tabs>
        <w:spacing w:before="220" w:after="220" w:line="280" w:lineRule="exact"/>
        <w:rPr>
          <w:bCs/>
        </w:rPr>
      </w:pPr>
      <w:r>
        <w:rPr>
          <w:bCs/>
        </w:rPr>
        <w:t xml:space="preserve">In relation to the rights in criminal proceedings, the explanatory statement addresses </w:t>
      </w:r>
      <w:r w:rsidRPr="00A27697">
        <w:rPr>
          <w:bCs/>
        </w:rPr>
        <w:t xml:space="preserve">the </w:t>
      </w:r>
      <w:r>
        <w:rPr>
          <w:bCs/>
        </w:rPr>
        <w:t xml:space="preserve">right to the </w:t>
      </w:r>
      <w:r w:rsidRPr="00A27697">
        <w:rPr>
          <w:bCs/>
        </w:rPr>
        <w:t>presumption of innocence until proven guilty (s</w:t>
      </w:r>
      <w:r>
        <w:rPr>
          <w:bCs/>
        </w:rPr>
        <w:t>ubs</w:t>
      </w:r>
      <w:r w:rsidRPr="00A27697">
        <w:rPr>
          <w:bCs/>
        </w:rPr>
        <w:t>ection 22(1))</w:t>
      </w:r>
      <w:r>
        <w:rPr>
          <w:bCs/>
        </w:rPr>
        <w:t xml:space="preserve"> and the r</w:t>
      </w:r>
      <w:r w:rsidRPr="00A27697">
        <w:rPr>
          <w:bCs/>
        </w:rPr>
        <w:t>ight against self-incrimination (</w:t>
      </w:r>
      <w:r>
        <w:rPr>
          <w:bCs/>
        </w:rPr>
        <w:t>paragraph</w:t>
      </w:r>
      <w:r w:rsidRPr="00A27697">
        <w:rPr>
          <w:bCs/>
        </w:rPr>
        <w:t xml:space="preserve"> 22(2</w:t>
      </w:r>
      <w:proofErr w:type="gramStart"/>
      <w:r w:rsidRPr="00A27697">
        <w:rPr>
          <w:bCs/>
        </w:rPr>
        <w:t>)(</w:t>
      </w:r>
      <w:proofErr w:type="spellStart"/>
      <w:proofErr w:type="gramEnd"/>
      <w:r w:rsidRPr="00A27697">
        <w:rPr>
          <w:bCs/>
        </w:rPr>
        <w:t>i</w:t>
      </w:r>
      <w:proofErr w:type="spellEnd"/>
      <w:r w:rsidRPr="00A27697">
        <w:rPr>
          <w:bCs/>
        </w:rPr>
        <w:t>))</w:t>
      </w:r>
      <w:r>
        <w:rPr>
          <w:bCs/>
        </w:rPr>
        <w:t>.  The discussion in relation to t</w:t>
      </w:r>
      <w:r w:rsidR="003E032C">
        <w:rPr>
          <w:bCs/>
        </w:rPr>
        <w:t>hese issues is by reference to five</w:t>
      </w:r>
      <w:r>
        <w:rPr>
          <w:bCs/>
        </w:rPr>
        <w:t xml:space="preserve"> new strict liability offences and amendments to </w:t>
      </w:r>
      <w:r w:rsidR="000D5EDC">
        <w:rPr>
          <w:bCs/>
        </w:rPr>
        <w:t>two</w:t>
      </w:r>
      <w:r>
        <w:rPr>
          <w:bCs/>
        </w:rPr>
        <w:t xml:space="preserve"> existing strict liability offences.  The Committee notes that the discussion addresses the Committee’s oft-stated concerns, in relation to strict liability offences.</w:t>
      </w:r>
    </w:p>
    <w:p w:rsidR="000C3653" w:rsidRPr="00A66BED" w:rsidRDefault="000C3653" w:rsidP="000D5EDC">
      <w:pPr>
        <w:pStyle w:val="Paper"/>
        <w:spacing w:before="220" w:after="220" w:line="280" w:lineRule="exact"/>
        <w:rPr>
          <w:rFonts w:ascii="Calibri" w:hAnsi="Calibri" w:cs="Calibri"/>
          <w:b/>
          <w:bCs/>
          <w:sz w:val="22"/>
          <w:szCs w:val="22"/>
          <w:lang w:eastAsia="en-AU"/>
        </w:rPr>
      </w:pPr>
      <w:r w:rsidRPr="00A66BED">
        <w:rPr>
          <w:rFonts w:ascii="Calibri" w:hAnsi="Calibri" w:cs="Calibri"/>
          <w:b/>
          <w:bCs/>
          <w:sz w:val="22"/>
          <w:szCs w:val="22"/>
          <w:lang w:eastAsia="en-AU"/>
        </w:rPr>
        <w:t xml:space="preserve">The Committee draws the attention of the Legislative Assembly to the discussion of human rights issues in the explanatory statement for this </w:t>
      </w:r>
      <w:r>
        <w:rPr>
          <w:rFonts w:ascii="Calibri" w:hAnsi="Calibri" w:cs="Calibri"/>
          <w:b/>
          <w:bCs/>
          <w:sz w:val="22"/>
          <w:szCs w:val="22"/>
          <w:lang w:eastAsia="en-AU"/>
        </w:rPr>
        <w:t>subordinate law</w:t>
      </w:r>
      <w:r w:rsidRPr="00A66BED">
        <w:rPr>
          <w:rFonts w:ascii="Calibri" w:hAnsi="Calibri" w:cs="Calibri"/>
          <w:b/>
          <w:bCs/>
          <w:sz w:val="22"/>
          <w:szCs w:val="22"/>
          <w:lang w:eastAsia="en-AU"/>
        </w:rPr>
        <w:t>.</w:t>
      </w:r>
    </w:p>
    <w:p w:rsidR="000C3653" w:rsidRPr="00A66BED" w:rsidRDefault="000C3653" w:rsidP="000D5EDC">
      <w:pPr>
        <w:pStyle w:val="Paper"/>
        <w:spacing w:before="220" w:after="220" w:line="280" w:lineRule="exact"/>
        <w:rPr>
          <w:rFonts w:ascii="Calibri" w:hAnsi="Calibri" w:cs="Calibri"/>
          <w:b/>
          <w:bCs/>
          <w:sz w:val="22"/>
          <w:szCs w:val="22"/>
          <w:lang w:eastAsia="en-AU"/>
        </w:rPr>
      </w:pPr>
      <w:r w:rsidRPr="00A66BED">
        <w:rPr>
          <w:rFonts w:ascii="Calibri" w:hAnsi="Calibri" w:cs="Calibri"/>
          <w:b/>
          <w:bCs/>
          <w:sz w:val="22"/>
          <w:szCs w:val="22"/>
          <w:lang w:eastAsia="en-AU"/>
        </w:rPr>
        <w:t>This comment does not require a response from the Minister.</w:t>
      </w:r>
    </w:p>
    <w:p w:rsidR="004A4A2A" w:rsidRPr="000011FF" w:rsidRDefault="004A4A2A" w:rsidP="000011FF">
      <w:pPr>
        <w:pStyle w:val="Heading5"/>
      </w:pPr>
      <w:r w:rsidRPr="000011FF">
        <w:t>Human rights issues /</w:t>
      </w:r>
      <w:r w:rsidRPr="00526DED">
        <w:t xml:space="preserve"> </w:t>
      </w:r>
      <w:r w:rsidRPr="000011FF">
        <w:t>Strict liability offences</w:t>
      </w:r>
    </w:p>
    <w:p w:rsidR="004A4A2A" w:rsidRPr="00C07BE4" w:rsidRDefault="004A4A2A" w:rsidP="000D5EDC">
      <w:pPr>
        <w:pStyle w:val="Bodycopy"/>
        <w:numPr>
          <w:ilvl w:val="0"/>
          <w:numId w:val="28"/>
        </w:numPr>
        <w:tabs>
          <w:tab w:val="clear" w:pos="1276"/>
          <w:tab w:val="left" w:pos="360"/>
        </w:tabs>
        <w:spacing w:before="160" w:after="160" w:line="280" w:lineRule="exact"/>
        <w:ind w:left="360"/>
        <w:rPr>
          <w:b/>
        </w:rPr>
      </w:pPr>
      <w:r w:rsidRPr="00C07BE4">
        <w:rPr>
          <w:b/>
        </w:rPr>
        <w:t xml:space="preserve">Subordinate Law SL2020-2 being the Magistrates Court (Long Service Leave Infringement Notices) Regulation 2020 made under the </w:t>
      </w:r>
      <w:r w:rsidRPr="00C07BE4">
        <w:rPr>
          <w:i/>
        </w:rPr>
        <w:t>Magistrates Court Act 1930</w:t>
      </w:r>
      <w:r w:rsidRPr="00C07BE4">
        <w:rPr>
          <w:b/>
        </w:rPr>
        <w:t xml:space="preserve"> enables infringement notices to be issued for prescribed offences against the </w:t>
      </w:r>
      <w:r w:rsidRPr="00C07BE4">
        <w:rPr>
          <w:b/>
          <w:i/>
        </w:rPr>
        <w:t>Long Service Leave (Portable Schemes) Act 2009</w:t>
      </w:r>
      <w:r w:rsidRPr="00C07BE4">
        <w:rPr>
          <w:b/>
        </w:rPr>
        <w:t>.</w:t>
      </w:r>
    </w:p>
    <w:bookmarkEnd w:id="426"/>
    <w:p w:rsidR="004A4A2A" w:rsidRDefault="004A4A2A" w:rsidP="000D5EDC">
      <w:pPr>
        <w:widowControl w:val="0"/>
        <w:tabs>
          <w:tab w:val="left" w:pos="1276"/>
        </w:tabs>
        <w:rPr>
          <w:rFonts w:ascii="Calibri" w:hAnsi="Calibri" w:cs="Calibri"/>
          <w:color w:val="000000"/>
        </w:rPr>
      </w:pPr>
      <w:r>
        <w:rPr>
          <w:rFonts w:ascii="Calibri" w:hAnsi="Calibri" w:cs="Calibri"/>
          <w:color w:val="000000"/>
        </w:rPr>
        <w:t xml:space="preserve">This subordinate law enables infringement notices to be issued for certain offences under the </w:t>
      </w:r>
      <w:r>
        <w:rPr>
          <w:rFonts w:ascii="Calibri" w:hAnsi="Calibri" w:cs="Calibri"/>
          <w:i/>
          <w:iCs/>
          <w:color w:val="000000"/>
        </w:rPr>
        <w:t xml:space="preserve">Long Service Leave (Portable Schemes) Act </w:t>
      </w:r>
      <w:r w:rsidRPr="00C07BE4">
        <w:rPr>
          <w:rFonts w:ascii="Calibri" w:hAnsi="Calibri" w:cs="Calibri"/>
          <w:color w:val="000000"/>
        </w:rPr>
        <w:t>2009</w:t>
      </w:r>
      <w:r>
        <w:rPr>
          <w:rFonts w:ascii="Calibri" w:hAnsi="Calibri" w:cs="Calibri"/>
          <w:color w:val="000000"/>
        </w:rPr>
        <w:t>.  Infringement notices can be issued as an alternative to prosecution.</w:t>
      </w:r>
    </w:p>
    <w:p w:rsidR="004A4A2A" w:rsidRDefault="004A4A2A" w:rsidP="000D5EDC">
      <w:pPr>
        <w:widowControl w:val="0"/>
        <w:tabs>
          <w:tab w:val="left" w:pos="1276"/>
        </w:tabs>
        <w:rPr>
          <w:rFonts w:ascii="Calibri" w:hAnsi="Calibri" w:cs="Calibri"/>
          <w:color w:val="000000"/>
        </w:rPr>
      </w:pPr>
      <w:r>
        <w:rPr>
          <w:rFonts w:ascii="Calibri" w:hAnsi="Calibri" w:cs="Calibri"/>
          <w:color w:val="000000"/>
        </w:rPr>
        <w:t>The explanatory statement for the subordinate law contains a discussion of the human rights implications of the subordinate law:</w:t>
      </w:r>
    </w:p>
    <w:p w:rsidR="004A4A2A" w:rsidRPr="002976ED" w:rsidRDefault="004A4A2A" w:rsidP="000D5EDC">
      <w:pPr>
        <w:keepNext/>
        <w:ind w:left="360"/>
        <w:rPr>
          <w:rFonts w:ascii="Calibri" w:hAnsi="Calibri" w:cs="Calibri"/>
          <w:b/>
        </w:rPr>
      </w:pPr>
      <w:r w:rsidRPr="002976ED">
        <w:rPr>
          <w:rFonts w:ascii="Calibri" w:hAnsi="Calibri" w:cs="Calibri"/>
          <w:b/>
        </w:rPr>
        <w:t>HUMAN RIGHTS IMPLICATIONS</w:t>
      </w:r>
    </w:p>
    <w:p w:rsidR="004A4A2A" w:rsidRPr="002976ED" w:rsidRDefault="004A4A2A" w:rsidP="000D5EDC">
      <w:pPr>
        <w:ind w:left="360"/>
        <w:rPr>
          <w:rFonts w:ascii="Calibri" w:hAnsi="Calibri" w:cs="Calibri"/>
        </w:rPr>
      </w:pPr>
      <w:r w:rsidRPr="002976ED">
        <w:rPr>
          <w:rFonts w:ascii="Calibri" w:hAnsi="Calibri" w:cs="Calibri"/>
        </w:rPr>
        <w:t xml:space="preserve">As it concerns a strict liability offence, the Regulation might be seen to engage the presumption of innocence. In a strict liability offence, there is no requirement to establish a fault element, such as intention, knowledge, recklessness, or negligence. </w:t>
      </w:r>
    </w:p>
    <w:p w:rsidR="004A4A2A" w:rsidRPr="002976ED" w:rsidRDefault="004A4A2A" w:rsidP="000D5EDC">
      <w:pPr>
        <w:ind w:left="360"/>
        <w:rPr>
          <w:rFonts w:ascii="Calibri" w:hAnsi="Calibri" w:cs="Calibri"/>
        </w:rPr>
      </w:pPr>
      <w:r w:rsidRPr="002976ED">
        <w:rPr>
          <w:rFonts w:ascii="Calibri" w:hAnsi="Calibri" w:cs="Calibri"/>
        </w:rPr>
        <w:t>Strict liability offences arise in a regulatory context where for reasons such as consumer protection and public safety, the public interest in ensuring that regulatory schemes are observed requires the sanction of criminal penalties. In particular, where a defendant can reasonably be expected, because of his or her professional involvement, to know what the requirements of the law are, the mental, or fault, element can j</w:t>
      </w:r>
      <w:r w:rsidR="000D5EDC">
        <w:rPr>
          <w:rFonts w:ascii="Calibri" w:hAnsi="Calibri" w:cs="Calibri"/>
        </w:rPr>
        <w:t>ustifiably be excluded. Section </w:t>
      </w:r>
      <w:r w:rsidRPr="002976ED">
        <w:rPr>
          <w:rFonts w:ascii="Calibri" w:hAnsi="Calibri" w:cs="Calibri"/>
        </w:rPr>
        <w:t xml:space="preserve">22(1) of the </w:t>
      </w:r>
      <w:r w:rsidRPr="002976ED">
        <w:rPr>
          <w:rFonts w:ascii="Calibri" w:hAnsi="Calibri" w:cs="Calibri"/>
          <w:i/>
        </w:rPr>
        <w:t>Human Rights Act 2004</w:t>
      </w:r>
      <w:r w:rsidRPr="002976ED">
        <w:rPr>
          <w:rFonts w:ascii="Calibri" w:hAnsi="Calibri" w:cs="Calibri"/>
        </w:rPr>
        <w:t xml:space="preserve"> provides that everyone charged with a criminal offence has the right to be presumed innocent until proved guilty according to law. </w:t>
      </w:r>
    </w:p>
    <w:p w:rsidR="004A4A2A" w:rsidRPr="002976ED" w:rsidRDefault="004A4A2A" w:rsidP="000D5EDC">
      <w:pPr>
        <w:ind w:left="360"/>
        <w:rPr>
          <w:rFonts w:ascii="Calibri" w:hAnsi="Calibri" w:cs="Calibri"/>
        </w:rPr>
      </w:pPr>
      <w:r w:rsidRPr="002976ED">
        <w:rPr>
          <w:rFonts w:ascii="Calibri" w:hAnsi="Calibri" w:cs="Calibri"/>
        </w:rPr>
        <w:t xml:space="preserve">This Regulation does not create any new offences; it facilitates the administration of strict liability offences already contained in the </w:t>
      </w:r>
      <w:r w:rsidRPr="002976ED">
        <w:rPr>
          <w:rFonts w:ascii="Calibri" w:hAnsi="Calibri" w:cs="Calibri"/>
          <w:i/>
        </w:rPr>
        <w:t>Long Service Leave (Portable Schemes) Act 2009</w:t>
      </w:r>
      <w:r w:rsidRPr="002976ED">
        <w:rPr>
          <w:rFonts w:ascii="Calibri" w:hAnsi="Calibri" w:cs="Calibri"/>
        </w:rPr>
        <w:t>. Without the ability to issue infringement notices, the only option available to the Registrar of the Long Service Leave is to apply to ACAT for an order to enforce an obligation under the Act. This is a serious response, and this Regulation provides a method to achieve the policy purpose that is less restrictive on human rights.</w:t>
      </w:r>
    </w:p>
    <w:p w:rsidR="004A4A2A" w:rsidRPr="00A66BED" w:rsidRDefault="004A4A2A" w:rsidP="000D5EDC">
      <w:pPr>
        <w:pStyle w:val="Paper"/>
        <w:spacing w:before="220" w:after="220" w:line="280" w:lineRule="exact"/>
        <w:rPr>
          <w:rFonts w:ascii="Calibri" w:hAnsi="Calibri" w:cs="Calibri"/>
          <w:b/>
          <w:bCs/>
          <w:sz w:val="22"/>
          <w:szCs w:val="22"/>
          <w:lang w:eastAsia="en-AU"/>
        </w:rPr>
      </w:pPr>
      <w:r w:rsidRPr="00A66BED">
        <w:rPr>
          <w:rFonts w:ascii="Calibri" w:hAnsi="Calibri" w:cs="Calibri"/>
          <w:b/>
          <w:bCs/>
          <w:sz w:val="22"/>
          <w:szCs w:val="22"/>
          <w:lang w:eastAsia="en-AU"/>
        </w:rPr>
        <w:t xml:space="preserve">The Committee draws the attention of the Legislative Assembly to the discussion of human rights issues in the explanatory statement for this </w:t>
      </w:r>
      <w:r>
        <w:rPr>
          <w:rFonts w:ascii="Calibri" w:hAnsi="Calibri" w:cs="Calibri"/>
          <w:b/>
          <w:bCs/>
          <w:sz w:val="22"/>
          <w:szCs w:val="22"/>
          <w:lang w:eastAsia="en-AU"/>
        </w:rPr>
        <w:t>subordinate law</w:t>
      </w:r>
      <w:r w:rsidRPr="00A66BED">
        <w:rPr>
          <w:rFonts w:ascii="Calibri" w:hAnsi="Calibri" w:cs="Calibri"/>
          <w:b/>
          <w:bCs/>
          <w:sz w:val="22"/>
          <w:szCs w:val="22"/>
          <w:lang w:eastAsia="en-AU"/>
        </w:rPr>
        <w:t>.</w:t>
      </w:r>
    </w:p>
    <w:p w:rsidR="004A4A2A" w:rsidRPr="00A66BED" w:rsidRDefault="004A4A2A" w:rsidP="000D5EDC">
      <w:pPr>
        <w:pStyle w:val="Paper"/>
        <w:spacing w:before="220" w:after="220" w:line="280" w:lineRule="exact"/>
        <w:rPr>
          <w:rFonts w:ascii="Calibri" w:hAnsi="Calibri" w:cs="Calibri"/>
          <w:b/>
          <w:bCs/>
          <w:sz w:val="22"/>
          <w:szCs w:val="22"/>
          <w:lang w:eastAsia="en-AU"/>
        </w:rPr>
      </w:pPr>
      <w:r w:rsidRPr="00A66BED">
        <w:rPr>
          <w:rFonts w:ascii="Calibri" w:hAnsi="Calibri" w:cs="Calibri"/>
          <w:b/>
          <w:bCs/>
          <w:sz w:val="22"/>
          <w:szCs w:val="22"/>
          <w:lang w:eastAsia="en-AU"/>
        </w:rPr>
        <w:t>This comment does not require a response from the Minister.</w:t>
      </w:r>
    </w:p>
    <w:p w:rsidR="000D5EDC" w:rsidRPr="00104A8B" w:rsidRDefault="000D5EDC" w:rsidP="000D5EDC">
      <w:pPr>
        <w:pStyle w:val="Heading2"/>
        <w:rPr>
          <w:rFonts w:asciiTheme="minorHAnsi" w:eastAsia="Calibri" w:hAnsiTheme="minorHAnsi"/>
          <w:lang w:eastAsia="en-AU"/>
        </w:rPr>
      </w:pPr>
      <w:bookmarkStart w:id="428" w:name="_Toc32566849"/>
      <w:r>
        <w:rPr>
          <w:rFonts w:asciiTheme="minorHAnsi" w:eastAsia="Calibri" w:hAnsiTheme="minorHAnsi"/>
          <w:lang w:eastAsia="en-AU"/>
        </w:rPr>
        <w:t>Regulatory Impact Statements</w:t>
      </w:r>
      <w:bookmarkEnd w:id="428"/>
    </w:p>
    <w:p w:rsidR="007377EC" w:rsidRPr="00103E7B" w:rsidRDefault="00993219" w:rsidP="00103E7B">
      <w:pPr>
        <w:pStyle w:val="Heading3"/>
        <w:rPr>
          <w:rFonts w:eastAsia="Calibri"/>
          <w:lang w:eastAsia="en-AU"/>
        </w:rPr>
      </w:pPr>
      <w:bookmarkStart w:id="429" w:name="_Toc32566850"/>
      <w:r>
        <w:rPr>
          <w:rFonts w:eastAsia="Calibri"/>
          <w:lang w:eastAsia="en-AU"/>
        </w:rPr>
        <w:t>Regulatory impact statement</w:t>
      </w:r>
      <w:r w:rsidR="00901791">
        <w:rPr>
          <w:rFonts w:eastAsia="Calibri"/>
          <w:lang w:eastAsia="en-AU"/>
        </w:rPr>
        <w:t>s</w:t>
      </w:r>
      <w:r w:rsidR="007377EC" w:rsidRPr="00103E7B">
        <w:rPr>
          <w:rFonts w:eastAsia="Calibri"/>
          <w:lang w:eastAsia="en-AU"/>
        </w:rPr>
        <w:t>—No comment</w:t>
      </w:r>
      <w:bookmarkEnd w:id="429"/>
    </w:p>
    <w:p w:rsidR="007377EC" w:rsidRDefault="007377EC" w:rsidP="00103E7B">
      <w:pPr>
        <w:pStyle w:val="Paper"/>
        <w:spacing w:before="220" w:after="220" w:line="280" w:lineRule="exact"/>
        <w:rPr>
          <w:rFonts w:ascii="Calibri" w:hAnsi="Calibri"/>
          <w:sz w:val="22"/>
          <w:szCs w:val="22"/>
        </w:rPr>
      </w:pPr>
      <w:r w:rsidRPr="00EE7EB9">
        <w:rPr>
          <w:rFonts w:ascii="Calibri" w:hAnsi="Calibri"/>
          <w:sz w:val="22"/>
          <w:szCs w:val="22"/>
        </w:rPr>
        <w:t xml:space="preserve">The Committee has examined the </w:t>
      </w:r>
      <w:r>
        <w:rPr>
          <w:rFonts w:ascii="Calibri" w:hAnsi="Calibri"/>
          <w:sz w:val="22"/>
          <w:szCs w:val="22"/>
        </w:rPr>
        <w:t>regulatory impact statement</w:t>
      </w:r>
      <w:r w:rsidR="00901791">
        <w:rPr>
          <w:rFonts w:ascii="Calibri" w:hAnsi="Calibri"/>
          <w:sz w:val="22"/>
          <w:szCs w:val="22"/>
        </w:rPr>
        <w:t>s</w:t>
      </w:r>
      <w:r>
        <w:rPr>
          <w:rFonts w:ascii="Calibri" w:hAnsi="Calibri"/>
          <w:sz w:val="22"/>
          <w:szCs w:val="22"/>
        </w:rPr>
        <w:t xml:space="preserve"> for the </w:t>
      </w:r>
      <w:r w:rsidRPr="00EE7EB9">
        <w:rPr>
          <w:rFonts w:ascii="Calibri" w:hAnsi="Calibri"/>
          <w:sz w:val="22"/>
          <w:szCs w:val="22"/>
        </w:rPr>
        <w:t>following disallowable instrument</w:t>
      </w:r>
      <w:r w:rsidR="00901791">
        <w:rPr>
          <w:rFonts w:ascii="Calibri" w:hAnsi="Calibri"/>
          <w:sz w:val="22"/>
          <w:szCs w:val="22"/>
        </w:rPr>
        <w:t>s and have</w:t>
      </w:r>
      <w:r w:rsidRPr="00EE7EB9">
        <w:rPr>
          <w:rFonts w:ascii="Calibri" w:hAnsi="Calibri"/>
          <w:sz w:val="22"/>
          <w:szCs w:val="22"/>
        </w:rPr>
        <w:t xml:space="preserve"> no comments on </w:t>
      </w:r>
      <w:r w:rsidR="00901791">
        <w:rPr>
          <w:rFonts w:ascii="Calibri" w:hAnsi="Calibri"/>
          <w:sz w:val="22"/>
          <w:szCs w:val="22"/>
        </w:rPr>
        <w:t>them</w:t>
      </w:r>
      <w:r w:rsidRPr="00EE7EB9">
        <w:rPr>
          <w:rFonts w:ascii="Calibri" w:hAnsi="Calibri"/>
          <w:sz w:val="22"/>
          <w:szCs w:val="22"/>
        </w:rPr>
        <w:t>:</w:t>
      </w:r>
    </w:p>
    <w:p w:rsidR="004A4A2A" w:rsidRPr="00842199" w:rsidRDefault="004A4A2A" w:rsidP="000D5EDC">
      <w:pPr>
        <w:pStyle w:val="Bodycopy"/>
        <w:numPr>
          <w:ilvl w:val="0"/>
          <w:numId w:val="27"/>
        </w:numPr>
        <w:tabs>
          <w:tab w:val="clear" w:pos="1276"/>
          <w:tab w:val="left" w:pos="0"/>
        </w:tabs>
        <w:spacing w:before="160" w:after="160" w:line="280" w:lineRule="exact"/>
        <w:ind w:left="360"/>
        <w:rPr>
          <w:b/>
        </w:rPr>
      </w:pPr>
      <w:r>
        <w:rPr>
          <w:b/>
        </w:rPr>
        <w:t>Disallowable Instrument</w:t>
      </w:r>
      <w:r w:rsidRPr="00451C85">
        <w:rPr>
          <w:b/>
        </w:rPr>
        <w:t xml:space="preserve"> </w:t>
      </w:r>
      <w:r>
        <w:rPr>
          <w:b/>
        </w:rPr>
        <w:t>DI2019-267</w:t>
      </w:r>
      <w:r w:rsidRPr="00451C85">
        <w:rPr>
          <w:b/>
        </w:rPr>
        <w:t xml:space="preserve"> being the </w:t>
      </w:r>
      <w:r>
        <w:rPr>
          <w:b/>
        </w:rPr>
        <w:t>Environment Protection (Automotive Trades) Code of Practice 2019.</w:t>
      </w:r>
    </w:p>
    <w:p w:rsidR="004A4A2A" w:rsidRPr="00842199" w:rsidRDefault="004A4A2A" w:rsidP="000D5EDC">
      <w:pPr>
        <w:pStyle w:val="Bodycopy"/>
        <w:numPr>
          <w:ilvl w:val="0"/>
          <w:numId w:val="27"/>
        </w:numPr>
        <w:tabs>
          <w:tab w:val="clear" w:pos="1276"/>
        </w:tabs>
        <w:spacing w:before="200" w:after="0" w:line="280" w:lineRule="exact"/>
        <w:ind w:left="360"/>
        <w:rPr>
          <w:b/>
        </w:rPr>
      </w:pPr>
      <w:r>
        <w:rPr>
          <w:b/>
        </w:rPr>
        <w:t>Subordinate Law</w:t>
      </w:r>
      <w:r w:rsidRPr="00451C85">
        <w:rPr>
          <w:b/>
        </w:rPr>
        <w:t xml:space="preserve"> </w:t>
      </w:r>
      <w:r>
        <w:rPr>
          <w:b/>
        </w:rPr>
        <w:t>SL2019-29</w:t>
      </w:r>
      <w:r w:rsidRPr="00451C85">
        <w:rPr>
          <w:b/>
        </w:rPr>
        <w:t xml:space="preserve"> being the </w:t>
      </w:r>
      <w:r>
        <w:rPr>
          <w:b/>
        </w:rPr>
        <w:t>Road Transport (Driver Licensing) Amendment Regulation 2019 (No 1).</w:t>
      </w:r>
    </w:p>
    <w:p w:rsidR="004A4A2A" w:rsidRPr="00103E7B" w:rsidRDefault="004A4A2A" w:rsidP="004A4A2A">
      <w:pPr>
        <w:pStyle w:val="Heading3"/>
        <w:rPr>
          <w:rFonts w:eastAsia="Calibri"/>
          <w:lang w:eastAsia="en-AU"/>
        </w:rPr>
      </w:pPr>
      <w:bookmarkStart w:id="430" w:name="_Toc32566851"/>
      <w:r>
        <w:rPr>
          <w:rFonts w:eastAsia="Calibri"/>
          <w:lang w:eastAsia="en-AU"/>
        </w:rPr>
        <w:t>Regulatory impact statements</w:t>
      </w:r>
      <w:r w:rsidRPr="00103E7B">
        <w:rPr>
          <w:rFonts w:eastAsia="Calibri"/>
          <w:lang w:eastAsia="en-AU"/>
        </w:rPr>
        <w:t>—</w:t>
      </w:r>
      <w:r w:rsidR="00FE1933">
        <w:rPr>
          <w:rFonts w:eastAsia="Calibri"/>
          <w:lang w:eastAsia="en-AU"/>
        </w:rPr>
        <w:t>C</w:t>
      </w:r>
      <w:r w:rsidRPr="00103E7B">
        <w:rPr>
          <w:rFonts w:eastAsia="Calibri"/>
          <w:lang w:eastAsia="en-AU"/>
        </w:rPr>
        <w:t>omment</w:t>
      </w:r>
      <w:bookmarkEnd w:id="430"/>
    </w:p>
    <w:p w:rsidR="004A4A2A" w:rsidRDefault="004A4A2A" w:rsidP="000D5EDC">
      <w:pPr>
        <w:pStyle w:val="Paper"/>
        <w:spacing w:before="220" w:after="220" w:line="280" w:lineRule="exact"/>
        <w:rPr>
          <w:rFonts w:ascii="Calibri" w:hAnsi="Calibri"/>
          <w:sz w:val="22"/>
          <w:szCs w:val="22"/>
        </w:rPr>
      </w:pPr>
      <w:r w:rsidRPr="00EE7EB9">
        <w:rPr>
          <w:rFonts w:ascii="Calibri" w:hAnsi="Calibri"/>
          <w:sz w:val="22"/>
          <w:szCs w:val="22"/>
        </w:rPr>
        <w:t xml:space="preserve">The Committee has examined the </w:t>
      </w:r>
      <w:r>
        <w:rPr>
          <w:rFonts w:ascii="Calibri" w:hAnsi="Calibri"/>
          <w:sz w:val="22"/>
          <w:szCs w:val="22"/>
        </w:rPr>
        <w:t xml:space="preserve">regulatory impact statement for the </w:t>
      </w:r>
      <w:r w:rsidRPr="00EE7EB9">
        <w:rPr>
          <w:rFonts w:ascii="Calibri" w:hAnsi="Calibri"/>
          <w:sz w:val="22"/>
          <w:szCs w:val="22"/>
        </w:rPr>
        <w:t>following disallowable instrument</w:t>
      </w:r>
      <w:r>
        <w:rPr>
          <w:rFonts w:ascii="Calibri" w:hAnsi="Calibri"/>
          <w:sz w:val="22"/>
          <w:szCs w:val="22"/>
        </w:rPr>
        <w:t xml:space="preserve"> and </w:t>
      </w:r>
      <w:r w:rsidR="00FE1933">
        <w:rPr>
          <w:rFonts w:ascii="Calibri" w:hAnsi="Calibri"/>
          <w:sz w:val="22"/>
          <w:szCs w:val="22"/>
        </w:rPr>
        <w:t>offers these</w:t>
      </w:r>
      <w:r w:rsidRPr="00EE7EB9">
        <w:rPr>
          <w:rFonts w:ascii="Calibri" w:hAnsi="Calibri"/>
          <w:sz w:val="22"/>
          <w:szCs w:val="22"/>
        </w:rPr>
        <w:t xml:space="preserve"> comments on </w:t>
      </w:r>
      <w:r w:rsidR="00FE1933">
        <w:rPr>
          <w:rFonts w:ascii="Calibri" w:hAnsi="Calibri"/>
          <w:sz w:val="22"/>
          <w:szCs w:val="22"/>
        </w:rPr>
        <w:t>it</w:t>
      </w:r>
      <w:r w:rsidRPr="00EE7EB9">
        <w:rPr>
          <w:rFonts w:ascii="Calibri" w:hAnsi="Calibri"/>
          <w:sz w:val="22"/>
          <w:szCs w:val="22"/>
        </w:rPr>
        <w:t>:</w:t>
      </w:r>
    </w:p>
    <w:p w:rsidR="00FE1933" w:rsidRPr="00842199" w:rsidRDefault="00FE1933" w:rsidP="000D5EDC">
      <w:pPr>
        <w:pStyle w:val="Bodycopy"/>
        <w:numPr>
          <w:ilvl w:val="0"/>
          <w:numId w:val="29"/>
        </w:numPr>
        <w:tabs>
          <w:tab w:val="clear" w:pos="1276"/>
        </w:tabs>
        <w:spacing w:before="200" w:after="0" w:line="280" w:lineRule="exact"/>
        <w:ind w:left="360"/>
        <w:rPr>
          <w:b/>
        </w:rPr>
      </w:pPr>
      <w:r>
        <w:rPr>
          <w:b/>
        </w:rPr>
        <w:t>Subordinate Law</w:t>
      </w:r>
      <w:r w:rsidRPr="00451C85">
        <w:rPr>
          <w:b/>
        </w:rPr>
        <w:t xml:space="preserve"> </w:t>
      </w:r>
      <w:r>
        <w:rPr>
          <w:b/>
        </w:rPr>
        <w:t>SL2019-32</w:t>
      </w:r>
      <w:r w:rsidRPr="00451C85">
        <w:rPr>
          <w:b/>
        </w:rPr>
        <w:t xml:space="preserve"> being the </w:t>
      </w:r>
      <w:r>
        <w:rPr>
          <w:b/>
        </w:rPr>
        <w:t>Environment Protection Amendment Regulation 2019 (No 1).</w:t>
      </w:r>
    </w:p>
    <w:p w:rsidR="00FE1933" w:rsidRPr="00461AC6" w:rsidRDefault="00FE1933" w:rsidP="000D5EDC">
      <w:pPr>
        <w:rPr>
          <w:rFonts w:ascii="Calibri" w:hAnsi="Calibri" w:cs="Calibri"/>
        </w:rPr>
      </w:pPr>
      <w:r w:rsidRPr="00461AC6">
        <w:rPr>
          <w:rFonts w:ascii="Calibri" w:hAnsi="Calibri" w:cs="Calibri"/>
        </w:rPr>
        <w:t>The</w:t>
      </w:r>
      <w:r>
        <w:rPr>
          <w:rFonts w:ascii="Calibri" w:hAnsi="Calibri" w:cs="Calibri"/>
        </w:rPr>
        <w:t xml:space="preserve"> subordinate law </w:t>
      </w:r>
      <w:r w:rsidRPr="00461AC6">
        <w:rPr>
          <w:rFonts w:ascii="Calibri" w:hAnsi="Calibri" w:cs="Calibri"/>
        </w:rPr>
        <w:t xml:space="preserve">mentioned above is accompanied by a regulatory impact statement.  Section 34 of the </w:t>
      </w:r>
      <w:r w:rsidRPr="00461AC6">
        <w:rPr>
          <w:rFonts w:ascii="Calibri" w:hAnsi="Calibri" w:cs="Calibri"/>
          <w:i/>
        </w:rPr>
        <w:t xml:space="preserve">Legislation Act 2001 </w:t>
      </w:r>
      <w:r w:rsidRPr="00461AC6">
        <w:rPr>
          <w:rFonts w:ascii="Calibri" w:hAnsi="Calibri" w:cs="Calibri"/>
        </w:rPr>
        <w:t>sets out the fundamental requirements relating to the preparation of regulatory impact statements.  Subsection 34(1) provides:</w:t>
      </w:r>
    </w:p>
    <w:p w:rsidR="00FE1933" w:rsidRPr="00461AC6" w:rsidRDefault="00FE1933" w:rsidP="000D5EDC">
      <w:pPr>
        <w:numPr>
          <w:ilvl w:val="0"/>
          <w:numId w:val="15"/>
        </w:numPr>
        <w:ind w:left="900" w:hanging="540"/>
        <w:rPr>
          <w:rFonts w:ascii="Calibri" w:hAnsi="Calibri" w:cs="Calibri"/>
        </w:rPr>
      </w:pPr>
      <w:r w:rsidRPr="00461AC6">
        <w:rPr>
          <w:rFonts w:ascii="Calibri" w:hAnsi="Calibri" w:cs="Calibri"/>
          <w:color w:val="000000"/>
        </w:rPr>
        <w:t xml:space="preserve">If a proposed subordinate law or disallowable instrument (the </w:t>
      </w:r>
      <w:r w:rsidRPr="00461AC6">
        <w:rPr>
          <w:rFonts w:ascii="Calibri" w:hAnsi="Calibri" w:cs="Calibri"/>
          <w:b/>
          <w:bCs/>
          <w:i/>
          <w:iCs/>
          <w:color w:val="000000"/>
        </w:rPr>
        <w:t xml:space="preserve">proposed law </w:t>
      </w:r>
      <w:r w:rsidRPr="00461AC6">
        <w:rPr>
          <w:rFonts w:ascii="Calibri" w:hAnsi="Calibri" w:cs="Calibri"/>
          <w:color w:val="000000"/>
        </w:rPr>
        <w:t xml:space="preserve">) is likely to impose appreciable costs on the community, or a part of the community, then, before the proposed law is made, the Minister administering the authorising law (the </w:t>
      </w:r>
      <w:r w:rsidRPr="00461AC6">
        <w:rPr>
          <w:rFonts w:ascii="Calibri" w:hAnsi="Calibri" w:cs="Calibri"/>
          <w:b/>
          <w:bCs/>
          <w:i/>
          <w:iCs/>
          <w:color w:val="000000"/>
        </w:rPr>
        <w:t>administering Minister</w:t>
      </w:r>
      <w:r w:rsidRPr="00461AC6">
        <w:rPr>
          <w:rFonts w:ascii="Calibri" w:hAnsi="Calibri" w:cs="Calibri"/>
          <w:color w:val="000000"/>
        </w:rPr>
        <w:t>) must arrange for a regulatory impact statement to be prepared for the proposed law.</w:t>
      </w:r>
    </w:p>
    <w:p w:rsidR="00FE1933" w:rsidRPr="00461AC6" w:rsidRDefault="00FE1933" w:rsidP="000D5EDC">
      <w:pPr>
        <w:widowControl w:val="0"/>
        <w:tabs>
          <w:tab w:val="left" w:pos="1276"/>
        </w:tabs>
        <w:rPr>
          <w:rFonts w:ascii="Calibri" w:hAnsi="Calibri" w:cs="Calibri"/>
          <w:color w:val="000000"/>
        </w:rPr>
      </w:pPr>
      <w:r w:rsidRPr="00461AC6">
        <w:rPr>
          <w:rFonts w:ascii="Calibri" w:hAnsi="Calibri" w:cs="Calibri"/>
          <w:color w:val="000000"/>
        </w:rPr>
        <w:t>Section 35 of the Legislation Act then provides for the content o</w:t>
      </w:r>
      <w:r w:rsidR="000D5EDC">
        <w:rPr>
          <w:rFonts w:ascii="Calibri" w:hAnsi="Calibri" w:cs="Calibri"/>
          <w:color w:val="000000"/>
        </w:rPr>
        <w:t>f regulatory impact statements:</w:t>
      </w:r>
    </w:p>
    <w:p w:rsidR="00FE1933" w:rsidRPr="00461AC6" w:rsidRDefault="00FE1933" w:rsidP="001F48AB">
      <w:pPr>
        <w:keepNext/>
        <w:tabs>
          <w:tab w:val="left" w:pos="360"/>
          <w:tab w:val="left" w:pos="1350"/>
        </w:tabs>
        <w:ind w:left="1350" w:hanging="990"/>
        <w:rPr>
          <w:rFonts w:ascii="Calibri" w:hAnsi="Calibri" w:cs="Calibri"/>
        </w:rPr>
      </w:pPr>
      <w:r w:rsidRPr="00461AC6">
        <w:rPr>
          <w:rFonts w:ascii="Calibri" w:hAnsi="Calibri" w:cs="Calibri"/>
          <w:b/>
          <w:bCs/>
          <w:color w:val="000000"/>
        </w:rPr>
        <w:t>35</w:t>
      </w:r>
      <w:r w:rsidRPr="00461AC6">
        <w:rPr>
          <w:rFonts w:ascii="Calibri" w:hAnsi="Calibri" w:cs="Calibri"/>
          <w:b/>
          <w:bCs/>
          <w:color w:val="000000"/>
        </w:rPr>
        <w:tab/>
        <w:t>Content of regulatory impact statements</w:t>
      </w:r>
      <w:r w:rsidRPr="00461AC6">
        <w:rPr>
          <w:rFonts w:ascii="Calibri" w:hAnsi="Calibri" w:cs="Calibri"/>
          <w:color w:val="000000"/>
        </w:rPr>
        <w:t xml:space="preserve"> </w:t>
      </w:r>
    </w:p>
    <w:p w:rsidR="00FE1933" w:rsidRPr="00461AC6" w:rsidRDefault="00FE1933" w:rsidP="008735AF">
      <w:pPr>
        <w:tabs>
          <w:tab w:val="left" w:pos="1350"/>
        </w:tabs>
        <w:spacing w:line="260" w:lineRule="exact"/>
        <w:ind w:left="1350" w:hanging="990"/>
        <w:rPr>
          <w:rFonts w:ascii="Calibri" w:hAnsi="Calibri" w:cs="Calibri"/>
          <w:color w:val="000000"/>
        </w:rPr>
      </w:pPr>
      <w:r w:rsidRPr="00461AC6">
        <w:rPr>
          <w:rFonts w:ascii="Calibri" w:hAnsi="Calibri" w:cs="Calibri"/>
          <w:color w:val="000000"/>
        </w:rPr>
        <w:tab/>
        <w:t xml:space="preserve">A regulatory impact statement for a proposed subordinate law or disallowable instrument (the </w:t>
      </w:r>
      <w:r w:rsidRPr="00461AC6">
        <w:rPr>
          <w:rFonts w:ascii="Calibri" w:hAnsi="Calibri" w:cs="Calibri"/>
          <w:b/>
          <w:bCs/>
          <w:i/>
          <w:iCs/>
          <w:color w:val="000000"/>
        </w:rPr>
        <w:t xml:space="preserve">proposed </w:t>
      </w:r>
      <w:proofErr w:type="gramStart"/>
      <w:r w:rsidRPr="00461AC6">
        <w:rPr>
          <w:rFonts w:ascii="Calibri" w:hAnsi="Calibri" w:cs="Calibri"/>
          <w:b/>
          <w:bCs/>
          <w:i/>
          <w:iCs/>
          <w:color w:val="000000"/>
        </w:rPr>
        <w:t xml:space="preserve">law </w:t>
      </w:r>
      <w:r w:rsidRPr="00461AC6">
        <w:rPr>
          <w:rFonts w:ascii="Calibri" w:hAnsi="Calibri" w:cs="Calibri"/>
          <w:color w:val="000000"/>
        </w:rPr>
        <w:t>)</w:t>
      </w:r>
      <w:proofErr w:type="gramEnd"/>
      <w:r w:rsidRPr="00461AC6">
        <w:rPr>
          <w:rFonts w:ascii="Calibri" w:hAnsi="Calibri" w:cs="Calibri"/>
          <w:color w:val="000000"/>
        </w:rPr>
        <w:t xml:space="preserve"> must include the following information about the proposed law in clear and precise language: </w:t>
      </w:r>
    </w:p>
    <w:p w:rsidR="00FE1933" w:rsidRPr="00461AC6" w:rsidRDefault="00FE1933" w:rsidP="008735AF">
      <w:pPr>
        <w:tabs>
          <w:tab w:val="left" w:pos="1350"/>
          <w:tab w:val="left" w:pos="1890"/>
        </w:tabs>
        <w:spacing w:line="260" w:lineRule="exact"/>
        <w:ind w:left="1890" w:hanging="1530"/>
        <w:rPr>
          <w:rFonts w:ascii="Calibri" w:hAnsi="Calibri" w:cs="Calibri"/>
          <w:color w:val="000000"/>
        </w:rPr>
      </w:pPr>
      <w:r w:rsidRPr="00461AC6">
        <w:rPr>
          <w:rFonts w:ascii="Calibri" w:hAnsi="Calibri" w:cs="Calibri"/>
          <w:color w:val="000000"/>
        </w:rPr>
        <w:tab/>
        <w:t>(a)</w:t>
      </w:r>
      <w:r w:rsidRPr="00461AC6">
        <w:rPr>
          <w:rFonts w:ascii="Calibri" w:hAnsi="Calibri" w:cs="Calibri"/>
          <w:color w:val="000000"/>
        </w:rPr>
        <w:tab/>
      </w:r>
      <w:proofErr w:type="gramStart"/>
      <w:r w:rsidRPr="00461AC6">
        <w:rPr>
          <w:rFonts w:ascii="Calibri" w:hAnsi="Calibri" w:cs="Calibri"/>
          <w:color w:val="000000"/>
        </w:rPr>
        <w:t>the</w:t>
      </w:r>
      <w:proofErr w:type="gramEnd"/>
      <w:r w:rsidRPr="00461AC6">
        <w:rPr>
          <w:rFonts w:ascii="Calibri" w:hAnsi="Calibri" w:cs="Calibri"/>
          <w:color w:val="000000"/>
        </w:rPr>
        <w:t xml:space="preserve"> authorising law; </w:t>
      </w:r>
    </w:p>
    <w:p w:rsidR="00FE1933" w:rsidRPr="00461AC6" w:rsidRDefault="00FE1933" w:rsidP="008735AF">
      <w:pPr>
        <w:tabs>
          <w:tab w:val="left" w:pos="1350"/>
          <w:tab w:val="left" w:pos="1890"/>
        </w:tabs>
        <w:spacing w:line="260" w:lineRule="exact"/>
        <w:ind w:left="1890" w:hanging="1530"/>
        <w:rPr>
          <w:rFonts w:ascii="Calibri" w:hAnsi="Calibri" w:cs="Calibri"/>
          <w:color w:val="000000"/>
        </w:rPr>
      </w:pPr>
      <w:r w:rsidRPr="00461AC6">
        <w:rPr>
          <w:rFonts w:ascii="Calibri" w:hAnsi="Calibri" w:cs="Calibri"/>
          <w:color w:val="000000"/>
        </w:rPr>
        <w:tab/>
        <w:t>(b)</w:t>
      </w:r>
      <w:r w:rsidRPr="00461AC6">
        <w:rPr>
          <w:rFonts w:ascii="Calibri" w:hAnsi="Calibri" w:cs="Calibri"/>
          <w:color w:val="000000"/>
        </w:rPr>
        <w:tab/>
      </w:r>
      <w:proofErr w:type="gramStart"/>
      <w:r w:rsidRPr="00461AC6">
        <w:rPr>
          <w:rFonts w:ascii="Calibri" w:hAnsi="Calibri" w:cs="Calibri"/>
          <w:color w:val="000000"/>
        </w:rPr>
        <w:t>a</w:t>
      </w:r>
      <w:proofErr w:type="gramEnd"/>
      <w:r w:rsidRPr="00461AC6">
        <w:rPr>
          <w:rFonts w:ascii="Calibri" w:hAnsi="Calibri" w:cs="Calibri"/>
          <w:color w:val="000000"/>
        </w:rPr>
        <w:t xml:space="preserve"> brief statement of the policy objectives of the proposed law and the reasons for them; </w:t>
      </w:r>
    </w:p>
    <w:p w:rsidR="00FE1933" w:rsidRPr="00461AC6" w:rsidRDefault="00FE1933" w:rsidP="008735AF">
      <w:pPr>
        <w:tabs>
          <w:tab w:val="left" w:pos="1350"/>
          <w:tab w:val="left" w:pos="1890"/>
        </w:tabs>
        <w:spacing w:line="260" w:lineRule="exact"/>
        <w:ind w:left="1890" w:hanging="1530"/>
        <w:rPr>
          <w:rFonts w:ascii="Calibri" w:hAnsi="Calibri" w:cs="Calibri"/>
          <w:color w:val="000000"/>
        </w:rPr>
      </w:pPr>
      <w:r w:rsidRPr="00461AC6">
        <w:rPr>
          <w:rFonts w:ascii="Calibri" w:hAnsi="Calibri" w:cs="Calibri"/>
          <w:color w:val="000000"/>
        </w:rPr>
        <w:tab/>
        <w:t>(c)</w:t>
      </w:r>
      <w:r w:rsidRPr="00461AC6">
        <w:rPr>
          <w:rFonts w:ascii="Calibri" w:hAnsi="Calibri" w:cs="Calibri"/>
          <w:color w:val="000000"/>
        </w:rPr>
        <w:tab/>
      </w:r>
      <w:proofErr w:type="gramStart"/>
      <w:r w:rsidRPr="00461AC6">
        <w:rPr>
          <w:rFonts w:ascii="Calibri" w:hAnsi="Calibri" w:cs="Calibri"/>
          <w:color w:val="000000"/>
        </w:rPr>
        <w:t>a</w:t>
      </w:r>
      <w:proofErr w:type="gramEnd"/>
      <w:r w:rsidRPr="00461AC6">
        <w:rPr>
          <w:rFonts w:ascii="Calibri" w:hAnsi="Calibri" w:cs="Calibri"/>
          <w:color w:val="000000"/>
        </w:rPr>
        <w:t xml:space="preserve"> brief statement of the way the policy objectives will be achieved by the proposed law and why this way of achieving them is reasonable and appropriate; </w:t>
      </w:r>
    </w:p>
    <w:p w:rsidR="00FE1933" w:rsidRPr="00461AC6" w:rsidRDefault="00FE1933" w:rsidP="008735AF">
      <w:pPr>
        <w:tabs>
          <w:tab w:val="left" w:pos="1350"/>
          <w:tab w:val="left" w:pos="1890"/>
        </w:tabs>
        <w:spacing w:line="260" w:lineRule="exact"/>
        <w:ind w:left="1890" w:hanging="1530"/>
        <w:rPr>
          <w:rFonts w:ascii="Calibri" w:hAnsi="Calibri" w:cs="Calibri"/>
          <w:color w:val="000000"/>
        </w:rPr>
      </w:pPr>
      <w:r w:rsidRPr="00461AC6">
        <w:rPr>
          <w:rFonts w:ascii="Calibri" w:hAnsi="Calibri" w:cs="Calibri"/>
          <w:color w:val="000000"/>
        </w:rPr>
        <w:tab/>
        <w:t>(d)</w:t>
      </w:r>
      <w:r w:rsidRPr="00461AC6">
        <w:rPr>
          <w:rFonts w:ascii="Calibri" w:hAnsi="Calibri" w:cs="Calibri"/>
          <w:color w:val="000000"/>
        </w:rPr>
        <w:tab/>
      </w:r>
      <w:proofErr w:type="gramStart"/>
      <w:r w:rsidRPr="00461AC6">
        <w:rPr>
          <w:rFonts w:ascii="Calibri" w:hAnsi="Calibri" w:cs="Calibri"/>
          <w:color w:val="000000"/>
        </w:rPr>
        <w:t>a</w:t>
      </w:r>
      <w:proofErr w:type="gramEnd"/>
      <w:r w:rsidRPr="00461AC6">
        <w:rPr>
          <w:rFonts w:ascii="Calibri" w:hAnsi="Calibri" w:cs="Calibri"/>
          <w:color w:val="000000"/>
        </w:rPr>
        <w:t xml:space="preserve"> brief explanation of how the proposed law is consistent with the policy objectives of the authorising law; </w:t>
      </w:r>
    </w:p>
    <w:p w:rsidR="00FE1933" w:rsidRPr="00461AC6" w:rsidRDefault="00FE1933" w:rsidP="008735AF">
      <w:pPr>
        <w:tabs>
          <w:tab w:val="left" w:pos="1350"/>
          <w:tab w:val="left" w:pos="1890"/>
        </w:tabs>
        <w:spacing w:line="260" w:lineRule="exact"/>
        <w:ind w:left="1890" w:hanging="1530"/>
        <w:rPr>
          <w:rFonts w:ascii="Calibri" w:hAnsi="Calibri" w:cs="Calibri"/>
          <w:color w:val="000000"/>
        </w:rPr>
      </w:pPr>
      <w:r w:rsidRPr="00461AC6">
        <w:rPr>
          <w:rFonts w:ascii="Calibri" w:hAnsi="Calibri" w:cs="Calibri"/>
          <w:color w:val="000000"/>
        </w:rPr>
        <w:tab/>
        <w:t>(e)</w:t>
      </w:r>
      <w:r w:rsidRPr="00461AC6">
        <w:rPr>
          <w:rFonts w:ascii="Calibri" w:hAnsi="Calibri" w:cs="Calibri"/>
          <w:color w:val="000000"/>
        </w:rPr>
        <w:tab/>
      </w:r>
      <w:proofErr w:type="gramStart"/>
      <w:r w:rsidRPr="00461AC6">
        <w:rPr>
          <w:rFonts w:ascii="Calibri" w:hAnsi="Calibri" w:cs="Calibri"/>
          <w:color w:val="000000"/>
        </w:rPr>
        <w:t>if</w:t>
      </w:r>
      <w:proofErr w:type="gramEnd"/>
      <w:r w:rsidRPr="00461AC6">
        <w:rPr>
          <w:rFonts w:ascii="Calibri" w:hAnsi="Calibri" w:cs="Calibri"/>
          <w:color w:val="000000"/>
        </w:rPr>
        <w:t xml:space="preserve"> the proposed law is inconsistent with the policy objectives of another territory law—</w:t>
      </w:r>
    </w:p>
    <w:p w:rsidR="00FE1933" w:rsidRPr="00461AC6" w:rsidRDefault="00FE1933" w:rsidP="008735AF">
      <w:pPr>
        <w:tabs>
          <w:tab w:val="left" w:pos="1350"/>
          <w:tab w:val="left" w:pos="1890"/>
          <w:tab w:val="right" w:pos="2250"/>
          <w:tab w:val="left" w:pos="2520"/>
        </w:tabs>
        <w:spacing w:line="260" w:lineRule="exact"/>
        <w:ind w:left="1890" w:hanging="1530"/>
        <w:rPr>
          <w:rFonts w:ascii="Calibri" w:hAnsi="Calibri" w:cs="Calibri"/>
          <w:color w:val="000000"/>
        </w:rPr>
      </w:pPr>
      <w:r w:rsidRPr="00461AC6">
        <w:rPr>
          <w:rFonts w:ascii="Calibri" w:hAnsi="Calibri" w:cs="Calibri"/>
          <w:color w:val="000000"/>
        </w:rPr>
        <w:tab/>
        <w:t>(</w:t>
      </w:r>
      <w:proofErr w:type="spellStart"/>
      <w:r w:rsidRPr="00461AC6">
        <w:rPr>
          <w:rFonts w:ascii="Calibri" w:hAnsi="Calibri" w:cs="Calibri"/>
          <w:color w:val="000000"/>
        </w:rPr>
        <w:t>i</w:t>
      </w:r>
      <w:proofErr w:type="spellEnd"/>
      <w:r w:rsidRPr="00461AC6">
        <w:rPr>
          <w:rFonts w:ascii="Calibri" w:hAnsi="Calibri" w:cs="Calibri"/>
          <w:color w:val="000000"/>
        </w:rPr>
        <w:t>)</w:t>
      </w:r>
      <w:r w:rsidRPr="00461AC6">
        <w:rPr>
          <w:rFonts w:ascii="Calibri" w:hAnsi="Calibri" w:cs="Calibri"/>
          <w:color w:val="000000"/>
        </w:rPr>
        <w:tab/>
      </w:r>
      <w:proofErr w:type="gramStart"/>
      <w:r w:rsidRPr="00461AC6">
        <w:rPr>
          <w:rFonts w:ascii="Calibri" w:hAnsi="Calibri" w:cs="Calibri"/>
          <w:color w:val="000000"/>
        </w:rPr>
        <w:t>a</w:t>
      </w:r>
      <w:proofErr w:type="gramEnd"/>
      <w:r w:rsidRPr="00461AC6">
        <w:rPr>
          <w:rFonts w:ascii="Calibri" w:hAnsi="Calibri" w:cs="Calibri"/>
          <w:color w:val="000000"/>
        </w:rPr>
        <w:t xml:space="preserve"> brief explanation of the relationship with the other law; and </w:t>
      </w:r>
    </w:p>
    <w:p w:rsidR="00FE1933" w:rsidRPr="00461AC6" w:rsidRDefault="00FE1933" w:rsidP="008735AF">
      <w:pPr>
        <w:keepNext/>
        <w:tabs>
          <w:tab w:val="left" w:pos="1350"/>
          <w:tab w:val="left" w:pos="1890"/>
          <w:tab w:val="right" w:pos="2250"/>
          <w:tab w:val="left" w:pos="2520"/>
        </w:tabs>
        <w:spacing w:line="260" w:lineRule="exact"/>
        <w:ind w:left="1890" w:hanging="1530"/>
        <w:rPr>
          <w:rFonts w:ascii="Calibri" w:hAnsi="Calibri" w:cs="Calibri"/>
          <w:color w:val="000000"/>
        </w:rPr>
      </w:pPr>
      <w:r w:rsidRPr="00461AC6">
        <w:rPr>
          <w:rFonts w:ascii="Calibri" w:hAnsi="Calibri" w:cs="Calibri"/>
          <w:color w:val="000000"/>
        </w:rPr>
        <w:tab/>
        <w:t>(ii)</w:t>
      </w:r>
      <w:r w:rsidRPr="00461AC6">
        <w:rPr>
          <w:rFonts w:ascii="Calibri" w:hAnsi="Calibri" w:cs="Calibri"/>
          <w:color w:val="000000"/>
        </w:rPr>
        <w:tab/>
      </w:r>
      <w:proofErr w:type="gramStart"/>
      <w:r w:rsidRPr="00461AC6">
        <w:rPr>
          <w:rFonts w:ascii="Calibri" w:hAnsi="Calibri" w:cs="Calibri"/>
          <w:color w:val="000000"/>
        </w:rPr>
        <w:t>a</w:t>
      </w:r>
      <w:proofErr w:type="gramEnd"/>
      <w:r w:rsidRPr="00461AC6">
        <w:rPr>
          <w:rFonts w:ascii="Calibri" w:hAnsi="Calibri" w:cs="Calibri"/>
          <w:color w:val="000000"/>
        </w:rPr>
        <w:t xml:space="preserve"> brief explanation for the inconsistency; </w:t>
      </w:r>
    </w:p>
    <w:p w:rsidR="00FE1933" w:rsidRPr="00461AC6" w:rsidRDefault="00FE1933" w:rsidP="008735AF">
      <w:pPr>
        <w:tabs>
          <w:tab w:val="left" w:pos="1350"/>
          <w:tab w:val="left" w:pos="1890"/>
        </w:tabs>
        <w:spacing w:line="260" w:lineRule="exact"/>
        <w:ind w:left="1890" w:hanging="1530"/>
        <w:rPr>
          <w:rFonts w:ascii="Calibri" w:hAnsi="Calibri" w:cs="Calibri"/>
          <w:color w:val="000000"/>
        </w:rPr>
      </w:pPr>
      <w:r w:rsidRPr="00461AC6">
        <w:rPr>
          <w:rFonts w:ascii="Calibri" w:hAnsi="Calibri" w:cs="Calibri"/>
          <w:color w:val="000000"/>
        </w:rPr>
        <w:tab/>
        <w:t>(f)</w:t>
      </w:r>
      <w:r w:rsidRPr="00461AC6">
        <w:rPr>
          <w:rFonts w:ascii="Calibri" w:hAnsi="Calibri" w:cs="Calibri"/>
          <w:color w:val="000000"/>
        </w:rPr>
        <w:tab/>
      </w:r>
      <w:proofErr w:type="gramStart"/>
      <w:r w:rsidRPr="00461AC6">
        <w:rPr>
          <w:rFonts w:ascii="Calibri" w:hAnsi="Calibri" w:cs="Calibri"/>
          <w:color w:val="000000"/>
        </w:rPr>
        <w:t>if</w:t>
      </w:r>
      <w:proofErr w:type="gramEnd"/>
      <w:r w:rsidRPr="00461AC6">
        <w:rPr>
          <w:rFonts w:ascii="Calibri" w:hAnsi="Calibri" w:cs="Calibri"/>
          <w:color w:val="000000"/>
        </w:rPr>
        <w:t xml:space="preserve"> appropriate, a brief statement of any reasonable alternative way of achieving the policy objectives (including the option of not making a subordinate law or disallowable instrument) and why the alternative was rejected; </w:t>
      </w:r>
    </w:p>
    <w:p w:rsidR="00FE1933" w:rsidRPr="00461AC6" w:rsidRDefault="001F48AB" w:rsidP="008735AF">
      <w:pPr>
        <w:tabs>
          <w:tab w:val="left" w:pos="1350"/>
          <w:tab w:val="left" w:pos="1530"/>
          <w:tab w:val="left" w:pos="1890"/>
        </w:tabs>
        <w:spacing w:line="260" w:lineRule="exact"/>
        <w:ind w:left="1890" w:hanging="1530"/>
        <w:rPr>
          <w:rFonts w:ascii="Calibri" w:hAnsi="Calibri" w:cs="Calibri"/>
          <w:color w:val="000000"/>
        </w:rPr>
      </w:pPr>
      <w:r>
        <w:rPr>
          <w:rFonts w:ascii="Calibri" w:hAnsi="Calibri" w:cs="Calibri"/>
          <w:color w:val="000000"/>
        </w:rPr>
        <w:tab/>
        <w:t>(g)</w:t>
      </w:r>
      <w:r w:rsidR="00FE1933" w:rsidRPr="00461AC6">
        <w:rPr>
          <w:rFonts w:ascii="Calibri" w:hAnsi="Calibri" w:cs="Calibri"/>
          <w:color w:val="000000"/>
        </w:rPr>
        <w:tab/>
      </w:r>
      <w:proofErr w:type="gramStart"/>
      <w:r w:rsidR="00FE1933" w:rsidRPr="00461AC6">
        <w:rPr>
          <w:rFonts w:ascii="Calibri" w:hAnsi="Calibri" w:cs="Calibri"/>
          <w:color w:val="000000"/>
        </w:rPr>
        <w:t>a</w:t>
      </w:r>
      <w:proofErr w:type="gramEnd"/>
      <w:r w:rsidR="00FE1933" w:rsidRPr="00461AC6">
        <w:rPr>
          <w:rFonts w:ascii="Calibri" w:hAnsi="Calibri" w:cs="Calibri"/>
          <w:color w:val="000000"/>
        </w:rPr>
        <w:t xml:space="preserve"> brief assessment of the benefits and costs of implementing the proposed law that—</w:t>
      </w:r>
    </w:p>
    <w:p w:rsidR="00FE1933" w:rsidRPr="00461AC6" w:rsidRDefault="00FE1933" w:rsidP="008735AF">
      <w:pPr>
        <w:tabs>
          <w:tab w:val="left" w:pos="360"/>
          <w:tab w:val="right" w:pos="2160"/>
          <w:tab w:val="left" w:pos="2520"/>
        </w:tabs>
        <w:spacing w:line="260" w:lineRule="exact"/>
        <w:ind w:left="2520" w:hanging="2160"/>
        <w:rPr>
          <w:rFonts w:ascii="Calibri" w:hAnsi="Calibri" w:cs="Calibri"/>
          <w:color w:val="000000"/>
        </w:rPr>
      </w:pPr>
      <w:r w:rsidRPr="00461AC6">
        <w:rPr>
          <w:rFonts w:ascii="Calibri" w:hAnsi="Calibri" w:cs="Calibri"/>
          <w:color w:val="000000"/>
        </w:rPr>
        <w:tab/>
        <w:t>(</w:t>
      </w:r>
      <w:proofErr w:type="spellStart"/>
      <w:r w:rsidRPr="00461AC6">
        <w:rPr>
          <w:rFonts w:ascii="Calibri" w:hAnsi="Calibri" w:cs="Calibri"/>
          <w:color w:val="000000"/>
        </w:rPr>
        <w:t>i</w:t>
      </w:r>
      <w:proofErr w:type="spellEnd"/>
      <w:r w:rsidRPr="00461AC6">
        <w:rPr>
          <w:rFonts w:ascii="Calibri" w:hAnsi="Calibri" w:cs="Calibri"/>
          <w:color w:val="000000"/>
        </w:rPr>
        <w:t>)</w:t>
      </w:r>
      <w:r w:rsidRPr="00461AC6">
        <w:rPr>
          <w:rFonts w:ascii="Calibri" w:hAnsi="Calibri" w:cs="Calibri"/>
          <w:color w:val="000000"/>
        </w:rPr>
        <w:tab/>
      </w:r>
      <w:proofErr w:type="gramStart"/>
      <w:r w:rsidRPr="00461AC6">
        <w:rPr>
          <w:rFonts w:ascii="Calibri" w:hAnsi="Calibri" w:cs="Calibri"/>
          <w:color w:val="000000"/>
        </w:rPr>
        <w:t>if</w:t>
      </w:r>
      <w:proofErr w:type="gramEnd"/>
      <w:r w:rsidRPr="00461AC6">
        <w:rPr>
          <w:rFonts w:ascii="Calibri" w:hAnsi="Calibri" w:cs="Calibri"/>
          <w:color w:val="000000"/>
        </w:rPr>
        <w:t xml:space="preserve"> practicable and appropriate, quantifies the benefits and costs; and </w:t>
      </w:r>
    </w:p>
    <w:p w:rsidR="00FE1933" w:rsidRPr="00461AC6" w:rsidRDefault="00FE1933" w:rsidP="008735AF">
      <w:pPr>
        <w:tabs>
          <w:tab w:val="left" w:pos="360"/>
          <w:tab w:val="right" w:pos="2160"/>
          <w:tab w:val="left" w:pos="2520"/>
        </w:tabs>
        <w:spacing w:line="260" w:lineRule="exact"/>
        <w:ind w:left="2520" w:hanging="2160"/>
        <w:rPr>
          <w:rFonts w:ascii="Calibri" w:hAnsi="Calibri" w:cs="Calibri"/>
          <w:color w:val="000000"/>
        </w:rPr>
      </w:pPr>
      <w:r w:rsidRPr="00461AC6">
        <w:rPr>
          <w:rFonts w:ascii="Calibri" w:hAnsi="Calibri" w:cs="Calibri"/>
          <w:color w:val="000000"/>
        </w:rPr>
        <w:tab/>
        <w:t>(ii)</w:t>
      </w:r>
      <w:r w:rsidRPr="00461AC6">
        <w:rPr>
          <w:rFonts w:ascii="Calibri" w:hAnsi="Calibri" w:cs="Calibri"/>
          <w:color w:val="000000"/>
        </w:rPr>
        <w:tab/>
      </w:r>
      <w:proofErr w:type="gramStart"/>
      <w:r w:rsidRPr="00461AC6">
        <w:rPr>
          <w:rFonts w:ascii="Calibri" w:hAnsi="Calibri" w:cs="Calibri"/>
          <w:color w:val="000000"/>
        </w:rPr>
        <w:t>includes</w:t>
      </w:r>
      <w:proofErr w:type="gramEnd"/>
      <w:r w:rsidRPr="00461AC6">
        <w:rPr>
          <w:rFonts w:ascii="Calibri" w:hAnsi="Calibri" w:cs="Calibri"/>
          <w:color w:val="000000"/>
        </w:rPr>
        <w:t xml:space="preserve"> a comparison of the benefits and costs with the benefits and costs of any reasonable alternative way of achieving the policy objectives stated under paragraph (f); </w:t>
      </w:r>
    </w:p>
    <w:p w:rsidR="00FE1933" w:rsidRPr="00461AC6" w:rsidRDefault="00FE1933" w:rsidP="008735AF">
      <w:pPr>
        <w:tabs>
          <w:tab w:val="left" w:pos="1350"/>
          <w:tab w:val="left" w:pos="1440"/>
          <w:tab w:val="left" w:pos="1980"/>
        </w:tabs>
        <w:spacing w:line="260" w:lineRule="exact"/>
        <w:ind w:left="1980" w:hanging="1620"/>
        <w:rPr>
          <w:rFonts w:ascii="Calibri" w:hAnsi="Calibri" w:cs="Calibri"/>
          <w:color w:val="000000"/>
        </w:rPr>
      </w:pPr>
      <w:r w:rsidRPr="00461AC6">
        <w:rPr>
          <w:rFonts w:ascii="Calibri" w:hAnsi="Calibri" w:cs="Calibri"/>
          <w:color w:val="000000"/>
        </w:rPr>
        <w:tab/>
        <w:t>(h)</w:t>
      </w:r>
      <w:r w:rsidRPr="00461AC6">
        <w:rPr>
          <w:rFonts w:ascii="Calibri" w:hAnsi="Calibri" w:cs="Calibri"/>
          <w:color w:val="000000"/>
        </w:rPr>
        <w:tab/>
      </w:r>
      <w:proofErr w:type="gramStart"/>
      <w:r w:rsidRPr="00461AC6">
        <w:rPr>
          <w:rFonts w:ascii="Calibri" w:hAnsi="Calibri" w:cs="Calibri"/>
          <w:b/>
          <w:color w:val="000000"/>
        </w:rPr>
        <w:t>a</w:t>
      </w:r>
      <w:proofErr w:type="gramEnd"/>
      <w:r w:rsidRPr="00461AC6">
        <w:rPr>
          <w:rFonts w:ascii="Calibri" w:hAnsi="Calibri" w:cs="Calibri"/>
          <w:b/>
          <w:color w:val="000000"/>
        </w:rPr>
        <w:t xml:space="preserve"> brief assessment of the consistency of the proposed law with the scrutiny committee principles and, if it is inconsistent with the principles, the reasons for the inconsistency.</w:t>
      </w:r>
      <w:r w:rsidRPr="00461AC6">
        <w:rPr>
          <w:rFonts w:ascii="Calibri" w:hAnsi="Calibri" w:cs="Calibri"/>
          <w:color w:val="000000"/>
        </w:rPr>
        <w:t xml:space="preserve"> [</w:t>
      </w:r>
      <w:proofErr w:type="gramStart"/>
      <w:r w:rsidRPr="00461AC6">
        <w:rPr>
          <w:rFonts w:ascii="Calibri" w:hAnsi="Calibri" w:cs="Calibri"/>
          <w:color w:val="000000"/>
        </w:rPr>
        <w:t>emphasis</w:t>
      </w:r>
      <w:proofErr w:type="gramEnd"/>
      <w:r w:rsidRPr="00461AC6">
        <w:rPr>
          <w:rFonts w:ascii="Calibri" w:hAnsi="Calibri" w:cs="Calibri"/>
          <w:color w:val="000000"/>
        </w:rPr>
        <w:t xml:space="preserve"> added]</w:t>
      </w:r>
    </w:p>
    <w:p w:rsidR="00FE1933" w:rsidRPr="00461AC6" w:rsidRDefault="00FE1933" w:rsidP="008735AF">
      <w:pPr>
        <w:keepLines/>
        <w:widowControl w:val="0"/>
        <w:tabs>
          <w:tab w:val="left" w:pos="1276"/>
        </w:tabs>
        <w:rPr>
          <w:rFonts w:ascii="Calibri" w:hAnsi="Calibri" w:cs="Calibri"/>
          <w:color w:val="000000"/>
        </w:rPr>
      </w:pPr>
      <w:r w:rsidRPr="00461AC6">
        <w:rPr>
          <w:rFonts w:ascii="Calibri" w:hAnsi="Calibri" w:cs="Calibri"/>
          <w:color w:val="000000"/>
        </w:rPr>
        <w:t xml:space="preserve">The Committee’s role in relation to regulatory impact statements arises from paragraph 35(h) above, and from principle (2) of the Committee’s terms of reference, which requires the Committee to consider “whether any explanatory statement or explanatory memorandum associated with legislation </w:t>
      </w:r>
      <w:r w:rsidRPr="00461AC6">
        <w:rPr>
          <w:rFonts w:ascii="Calibri" w:hAnsi="Calibri" w:cs="Calibri"/>
          <w:b/>
          <w:color w:val="000000"/>
        </w:rPr>
        <w:t>and any regulatory impact statement</w:t>
      </w:r>
      <w:r w:rsidRPr="00461AC6">
        <w:rPr>
          <w:rFonts w:ascii="Calibri" w:hAnsi="Calibri" w:cs="Calibri"/>
          <w:color w:val="000000"/>
        </w:rPr>
        <w:t xml:space="preserve"> meets the technical or stylistic standards expected by the Committee” [emphasis added].</w:t>
      </w:r>
    </w:p>
    <w:p w:rsidR="00FE1933" w:rsidRPr="00461AC6" w:rsidRDefault="00FE1933" w:rsidP="000D5EDC">
      <w:pPr>
        <w:widowControl w:val="0"/>
        <w:tabs>
          <w:tab w:val="left" w:pos="1276"/>
        </w:tabs>
        <w:rPr>
          <w:rFonts w:ascii="Calibri" w:hAnsi="Calibri" w:cs="Calibri"/>
          <w:color w:val="000000"/>
        </w:rPr>
      </w:pPr>
      <w:r w:rsidRPr="00461AC6">
        <w:rPr>
          <w:rFonts w:ascii="Calibri" w:hAnsi="Calibri" w:cs="Calibri"/>
          <w:color w:val="000000"/>
        </w:rPr>
        <w:t xml:space="preserve">The Committee notes that the regulatory impact statement for this instrument </w:t>
      </w:r>
      <w:r w:rsidRPr="00461AC6">
        <w:rPr>
          <w:rFonts w:ascii="Calibri" w:hAnsi="Calibri" w:cs="Calibri"/>
          <w:b/>
          <w:color w:val="000000"/>
        </w:rPr>
        <w:t>does not</w:t>
      </w:r>
      <w:r w:rsidRPr="00461AC6">
        <w:rPr>
          <w:rFonts w:ascii="Calibri" w:hAnsi="Calibri" w:cs="Calibri"/>
          <w:color w:val="000000"/>
        </w:rPr>
        <w:t xml:space="preserve"> contain a discussion of “the scrutiny committee principles”, as required by paragraph 35(h) of the Legislation Act (though it </w:t>
      </w:r>
      <w:r w:rsidRPr="00461AC6">
        <w:rPr>
          <w:rFonts w:ascii="Calibri" w:hAnsi="Calibri" w:cs="Calibri"/>
          <w:i/>
          <w:color w:val="000000"/>
        </w:rPr>
        <w:t xml:space="preserve">does </w:t>
      </w:r>
      <w:r w:rsidRPr="00461AC6">
        <w:rPr>
          <w:rFonts w:ascii="Calibri" w:hAnsi="Calibri" w:cs="Calibri"/>
          <w:color w:val="000000"/>
        </w:rPr>
        <w:t>contain a brief reference to human rights issues).</w:t>
      </w:r>
    </w:p>
    <w:p w:rsidR="00FE1933" w:rsidRPr="00461AC6" w:rsidRDefault="00FE1933" w:rsidP="000D5EDC">
      <w:pPr>
        <w:widowControl w:val="0"/>
        <w:tabs>
          <w:tab w:val="left" w:pos="1276"/>
        </w:tabs>
        <w:rPr>
          <w:rFonts w:ascii="Calibri" w:hAnsi="Calibri" w:cs="Calibri"/>
          <w:b/>
          <w:color w:val="000000"/>
        </w:rPr>
      </w:pPr>
      <w:bookmarkStart w:id="431" w:name="_Hlk15370988"/>
      <w:r w:rsidRPr="00461AC6">
        <w:rPr>
          <w:rFonts w:ascii="Calibri" w:hAnsi="Calibri" w:cs="Calibri"/>
          <w:b/>
          <w:color w:val="000000"/>
        </w:rPr>
        <w:t>The Committee draws the attention of the Legislative Assembly to the regulatory impact statement for this instrument, under principle (2) of the Committee’s terms of reference, on the basis that it does not meet the technical or stylistic standards expected by the Committee.</w:t>
      </w:r>
    </w:p>
    <w:bookmarkEnd w:id="431"/>
    <w:p w:rsidR="00FE1933" w:rsidRPr="00461AC6" w:rsidRDefault="00FE1933" w:rsidP="000D5EDC">
      <w:pPr>
        <w:widowControl w:val="0"/>
        <w:tabs>
          <w:tab w:val="left" w:pos="1276"/>
        </w:tabs>
        <w:rPr>
          <w:rFonts w:ascii="Calibri" w:hAnsi="Calibri" w:cs="Calibri"/>
          <w:b/>
          <w:color w:val="000000"/>
        </w:rPr>
      </w:pPr>
      <w:r w:rsidRPr="00461AC6">
        <w:rPr>
          <w:rFonts w:ascii="Calibri" w:hAnsi="Calibri" w:cs="Calibri"/>
          <w:b/>
          <w:color w:val="000000"/>
        </w:rPr>
        <w:t>This comment requires a response from the Minister.</w:t>
      </w:r>
    </w:p>
    <w:p w:rsidR="00F753CA" w:rsidRDefault="00F753CA" w:rsidP="00F753CA">
      <w:pPr>
        <w:pStyle w:val="Heading2"/>
        <w:rPr>
          <w:rFonts w:eastAsia="Calibri"/>
          <w:lang w:eastAsia="en-AU"/>
        </w:rPr>
      </w:pPr>
      <w:bookmarkStart w:id="432" w:name="_Toc32566852"/>
      <w:r>
        <w:rPr>
          <w:rFonts w:eastAsia="Calibri"/>
          <w:lang w:eastAsia="en-AU"/>
        </w:rPr>
        <w:t>Responses</w:t>
      </w:r>
      <w:bookmarkEnd w:id="432"/>
    </w:p>
    <w:p w:rsidR="00F65983" w:rsidRPr="002032A0" w:rsidRDefault="003C4A44" w:rsidP="00F753CA">
      <w:pPr>
        <w:pStyle w:val="Heading3"/>
        <w:rPr>
          <w:rFonts w:eastAsia="Calibri"/>
          <w:lang w:eastAsia="en-AU"/>
        </w:rPr>
      </w:pPr>
      <w:bookmarkStart w:id="433" w:name="_Toc24463731"/>
      <w:bookmarkStart w:id="434" w:name="_Toc24617729"/>
      <w:bookmarkStart w:id="435" w:name="_Toc31202276"/>
      <w:bookmarkStart w:id="436" w:name="_Toc32390209"/>
      <w:bookmarkStart w:id="437" w:name="_Toc32566853"/>
      <w:r>
        <w:rPr>
          <w:rFonts w:eastAsia="Calibri"/>
          <w:lang w:eastAsia="en-AU"/>
        </w:rPr>
        <w:t>Government r</w:t>
      </w:r>
      <w:r w:rsidR="00F65983" w:rsidRPr="002032A0">
        <w:rPr>
          <w:rFonts w:eastAsia="Calibri"/>
          <w:lang w:eastAsia="en-AU"/>
        </w:rPr>
        <w:t>esponse</w:t>
      </w:r>
      <w:bookmarkEnd w:id="404"/>
      <w:bookmarkEnd w:id="405"/>
      <w:r w:rsidR="00D04F3D">
        <w:rPr>
          <w:rFonts w:eastAsia="Calibri"/>
          <w:lang w:eastAsia="en-AU"/>
        </w:rPr>
        <w:t>s</w:t>
      </w:r>
      <w:bookmarkEnd w:id="433"/>
      <w:bookmarkEnd w:id="434"/>
      <w:bookmarkEnd w:id="435"/>
      <w:bookmarkEnd w:id="436"/>
      <w:bookmarkEnd w:id="437"/>
    </w:p>
    <w:p w:rsidR="00F65983" w:rsidRPr="00F65983" w:rsidRDefault="00F65983" w:rsidP="00F753CA">
      <w:pPr>
        <w:rPr>
          <w:rFonts w:ascii="Calibri" w:eastAsia="Calibri" w:hAnsi="Calibri" w:cs="Times New Roman"/>
        </w:rPr>
      </w:pPr>
      <w:r w:rsidRPr="00F65983">
        <w:rPr>
          <w:rFonts w:ascii="Calibri" w:eastAsia="Calibri" w:hAnsi="Calibri" w:cs="Times New Roman"/>
        </w:rPr>
        <w:t xml:space="preserve">The Committee has received </w:t>
      </w:r>
      <w:r w:rsidR="003379D7">
        <w:rPr>
          <w:rFonts w:ascii="Calibri" w:eastAsia="Calibri" w:hAnsi="Calibri" w:cs="Times New Roman"/>
        </w:rPr>
        <w:t>response</w:t>
      </w:r>
      <w:r w:rsidR="00C13B2C">
        <w:rPr>
          <w:rFonts w:ascii="Calibri" w:eastAsia="Calibri" w:hAnsi="Calibri" w:cs="Times New Roman"/>
        </w:rPr>
        <w:t>s</w:t>
      </w:r>
      <w:r w:rsidRPr="00F65983">
        <w:rPr>
          <w:rFonts w:ascii="Calibri" w:eastAsia="Calibri" w:hAnsi="Calibri" w:cs="Times New Roman"/>
        </w:rPr>
        <w:t xml:space="preserve"> from:</w:t>
      </w:r>
    </w:p>
    <w:p w:rsidR="00C13B2C" w:rsidRDefault="00C70E5C" w:rsidP="001B22F0">
      <w:pPr>
        <w:keepLines/>
        <w:widowControl w:val="0"/>
        <w:numPr>
          <w:ilvl w:val="0"/>
          <w:numId w:val="13"/>
        </w:numPr>
      </w:pPr>
      <w:r w:rsidRPr="00C70E5C">
        <w:t>The Chief Minister, dated 7 February 2020, in relation to comments made in Scrutiny Report 38 concerning Subordinate Law SL2019-28 Motor Accident Injuries (Premiums and Administration) Regulation 2019</w:t>
      </w:r>
      <w:r w:rsidR="00C13B2C" w:rsidRPr="00C70E5C">
        <w:t>.</w:t>
      </w:r>
    </w:p>
    <w:p w:rsidR="00D65C31" w:rsidRDefault="00D65C31" w:rsidP="001B22F0">
      <w:pPr>
        <w:keepLines/>
        <w:widowControl w:val="0"/>
        <w:numPr>
          <w:ilvl w:val="0"/>
          <w:numId w:val="13"/>
        </w:numPr>
      </w:pPr>
      <w:r>
        <w:t>The Minister for City Services, dated 12 February 2020, in relation to comments made in Scrutiny Report 37 concerning Disallowable Instrument DI2019-216—Animal Welfare (Advisory Committee Member) Appointment 2019 (No 1).</w:t>
      </w:r>
    </w:p>
    <w:p w:rsidR="004238FA" w:rsidRDefault="005433B1" w:rsidP="004238FA">
      <w:pPr>
        <w:keepLines/>
        <w:widowControl w:val="0"/>
        <w:spacing w:before="200" w:after="200" w:line="260" w:lineRule="exact"/>
        <w:ind w:left="360"/>
        <w:rPr>
          <w:rFonts w:ascii="Calibri" w:eastAsia="Calibri" w:hAnsi="Calibri" w:cs="Times New Roman"/>
          <w:b/>
          <w:lang w:eastAsia="en-AU"/>
        </w:rPr>
      </w:pPr>
      <w:hyperlink r:id="rId26" w:history="1">
        <w:r w:rsidR="00D65C31">
          <w:rPr>
            <w:rStyle w:val="Hyperlink"/>
            <w:rFonts w:ascii="Calibri" w:eastAsia="Calibri" w:hAnsi="Calibri" w:cs="Times New Roman"/>
            <w:b/>
            <w:lang w:eastAsia="en-AU"/>
          </w:rPr>
          <w:t>The</w:t>
        </w:r>
        <w:r w:rsidR="004238FA" w:rsidRPr="004238FA">
          <w:rPr>
            <w:rStyle w:val="Hyperlink"/>
            <w:rFonts w:ascii="Calibri" w:eastAsia="Calibri" w:hAnsi="Calibri" w:cs="Times New Roman"/>
            <w:b/>
            <w:lang w:eastAsia="en-AU"/>
          </w:rPr>
          <w:t>s</w:t>
        </w:r>
        <w:r w:rsidR="00D65C31">
          <w:rPr>
            <w:rStyle w:val="Hyperlink"/>
            <w:rFonts w:ascii="Calibri" w:eastAsia="Calibri" w:hAnsi="Calibri" w:cs="Times New Roman"/>
            <w:b/>
            <w:lang w:eastAsia="en-AU"/>
          </w:rPr>
          <w:t>e</w:t>
        </w:r>
        <w:r w:rsidR="004238FA" w:rsidRPr="004238FA">
          <w:rPr>
            <w:rStyle w:val="Hyperlink"/>
            <w:rFonts w:ascii="Calibri" w:eastAsia="Calibri" w:hAnsi="Calibri" w:cs="Times New Roman"/>
            <w:b/>
            <w:lang w:eastAsia="en-AU"/>
          </w:rPr>
          <w:t xml:space="preserve"> response</w:t>
        </w:r>
      </w:hyperlink>
      <w:r w:rsidR="00D65C31">
        <w:rPr>
          <w:rStyle w:val="Hyperlink"/>
          <w:rFonts w:ascii="Calibri" w:eastAsia="Calibri" w:hAnsi="Calibri" w:cs="Times New Roman"/>
          <w:b/>
          <w:lang w:eastAsia="en-AU"/>
        </w:rPr>
        <w:t>s</w:t>
      </w:r>
      <w:r w:rsidR="004238FA" w:rsidRPr="00367B9B">
        <w:rPr>
          <w:rFonts w:ascii="Calibri" w:eastAsia="Calibri" w:hAnsi="Calibri" w:cs="Times New Roman"/>
          <w:b/>
          <w:i/>
          <w:vertAlign w:val="superscript"/>
          <w:lang w:eastAsia="en-AU"/>
        </w:rPr>
        <w:footnoteReference w:id="4"/>
      </w:r>
      <w:r w:rsidR="004238FA" w:rsidRPr="00367B9B">
        <w:rPr>
          <w:rFonts w:ascii="Calibri" w:eastAsia="Calibri" w:hAnsi="Calibri" w:cs="Times New Roman"/>
          <w:b/>
          <w:i/>
          <w:lang w:eastAsia="en-AU"/>
        </w:rPr>
        <w:t xml:space="preserve"> </w:t>
      </w:r>
      <w:r w:rsidR="004238FA" w:rsidRPr="00031636">
        <w:rPr>
          <w:rFonts w:ascii="Calibri" w:eastAsia="Calibri" w:hAnsi="Calibri" w:cs="Times New Roman"/>
          <w:b/>
          <w:lang w:eastAsia="en-AU"/>
        </w:rPr>
        <w:t>can be viewed online.</w:t>
      </w:r>
    </w:p>
    <w:bookmarkEnd w:id="406"/>
    <w:bookmarkEnd w:id="407"/>
    <w:p w:rsidR="00BA6A89" w:rsidRPr="008735AF" w:rsidRDefault="00BA6A89" w:rsidP="000D5EDC">
      <w:pPr>
        <w:pStyle w:val="ListParagraph"/>
        <w:keepNext/>
        <w:numPr>
          <w:ilvl w:val="0"/>
          <w:numId w:val="26"/>
        </w:numPr>
        <w:ind w:left="360"/>
        <w:contextualSpacing w:val="0"/>
        <w:jc w:val="both"/>
        <w:rPr>
          <w:rFonts w:eastAsia="Calibri" w:cstheme="minorHAnsi"/>
          <w:color w:val="000000"/>
        </w:rPr>
      </w:pPr>
      <w:r w:rsidRPr="008735AF">
        <w:t>The Minister for City Services, dated 12 February 2020, in relation to comments made in Scrutiny Report 38 concerning the Cemeteries and Crematoria Bill 2019.</w:t>
      </w:r>
    </w:p>
    <w:p w:rsidR="00BA6A89" w:rsidRDefault="005433B1" w:rsidP="00BA6A89">
      <w:pPr>
        <w:keepLines/>
        <w:widowControl w:val="0"/>
        <w:spacing w:before="200" w:after="200" w:line="260" w:lineRule="exact"/>
        <w:ind w:left="360"/>
        <w:rPr>
          <w:rFonts w:ascii="Calibri" w:eastAsia="Calibri" w:hAnsi="Calibri" w:cs="Times New Roman"/>
          <w:b/>
          <w:lang w:eastAsia="en-AU"/>
        </w:rPr>
      </w:pPr>
      <w:hyperlink r:id="rId27" w:history="1">
        <w:r w:rsidR="00BA6A89">
          <w:rPr>
            <w:rStyle w:val="Hyperlink"/>
            <w:rFonts w:ascii="Calibri" w:eastAsia="Calibri" w:hAnsi="Calibri" w:cs="Times New Roman"/>
            <w:b/>
            <w:lang w:eastAsia="en-AU"/>
          </w:rPr>
          <w:t>This</w:t>
        </w:r>
        <w:r w:rsidR="00BA6A89" w:rsidRPr="00240841">
          <w:rPr>
            <w:rStyle w:val="Hyperlink"/>
            <w:rFonts w:ascii="Calibri" w:eastAsia="Calibri" w:hAnsi="Calibri" w:cs="Times New Roman"/>
            <w:b/>
            <w:lang w:eastAsia="en-AU"/>
          </w:rPr>
          <w:t xml:space="preserve"> response</w:t>
        </w:r>
      </w:hyperlink>
      <w:r w:rsidR="00BA6A89" w:rsidRPr="00367B9B">
        <w:rPr>
          <w:rFonts w:ascii="Calibri" w:eastAsia="Calibri" w:hAnsi="Calibri" w:cs="Times New Roman"/>
          <w:b/>
          <w:i/>
          <w:vertAlign w:val="superscript"/>
          <w:lang w:eastAsia="en-AU"/>
        </w:rPr>
        <w:footnoteReference w:id="5"/>
      </w:r>
      <w:r w:rsidR="00BA6A89" w:rsidRPr="00367B9B">
        <w:rPr>
          <w:rFonts w:ascii="Calibri" w:eastAsia="Calibri" w:hAnsi="Calibri" w:cs="Times New Roman"/>
          <w:b/>
          <w:i/>
          <w:lang w:eastAsia="en-AU"/>
        </w:rPr>
        <w:t xml:space="preserve"> </w:t>
      </w:r>
      <w:r w:rsidR="00BA6A89" w:rsidRPr="00031636">
        <w:rPr>
          <w:rFonts w:ascii="Calibri" w:eastAsia="Calibri" w:hAnsi="Calibri" w:cs="Times New Roman"/>
          <w:b/>
          <w:lang w:eastAsia="en-AU"/>
        </w:rPr>
        <w:t>can be viewed online.</w:t>
      </w:r>
    </w:p>
    <w:p w:rsidR="00C13B2C" w:rsidRDefault="00C13B2C" w:rsidP="00C13B2C">
      <w:pPr>
        <w:pStyle w:val="Paper"/>
        <w:keepLines/>
        <w:spacing w:before="220" w:after="220" w:line="280" w:lineRule="exact"/>
        <w:rPr>
          <w:rFonts w:ascii="Calibri" w:hAnsi="Calibri"/>
          <w:bCs/>
          <w:sz w:val="22"/>
          <w:szCs w:val="22"/>
        </w:rPr>
      </w:pPr>
      <w:r>
        <w:rPr>
          <w:rFonts w:ascii="Calibri" w:hAnsi="Calibri"/>
          <w:bCs/>
          <w:sz w:val="22"/>
          <w:szCs w:val="22"/>
        </w:rPr>
        <w:t xml:space="preserve">The Committee wishes to thank the </w:t>
      </w:r>
      <w:r w:rsidR="00D65C31">
        <w:rPr>
          <w:rFonts w:ascii="Calibri" w:hAnsi="Calibri"/>
          <w:bCs/>
          <w:sz w:val="22"/>
          <w:szCs w:val="22"/>
        </w:rPr>
        <w:t xml:space="preserve">Chief Minister and the Minister for City Services for </w:t>
      </w:r>
      <w:r>
        <w:rPr>
          <w:rFonts w:ascii="Calibri" w:hAnsi="Calibri"/>
          <w:bCs/>
          <w:sz w:val="22"/>
          <w:szCs w:val="22"/>
        </w:rPr>
        <w:t>their helpful responses.</w:t>
      </w:r>
    </w:p>
    <w:p w:rsidR="004F019A" w:rsidRPr="00104A8B" w:rsidRDefault="006E1ABB" w:rsidP="006E1ABB">
      <w:pPr>
        <w:spacing w:before="1080" w:after="0"/>
      </w:pPr>
      <w:r>
        <w:t>G</w:t>
      </w:r>
      <w:r w:rsidR="00941D2C" w:rsidRPr="00104A8B">
        <w:t>iulia Jones</w:t>
      </w:r>
      <w:r w:rsidR="004F019A" w:rsidRPr="00104A8B">
        <w:t xml:space="preserve"> MLA</w:t>
      </w:r>
    </w:p>
    <w:p w:rsidR="008735AF" w:rsidRDefault="004F019A" w:rsidP="00D50DEA">
      <w:pPr>
        <w:spacing w:before="0"/>
      </w:pPr>
      <w:r w:rsidRPr="00104A8B">
        <w:t>Chair</w:t>
      </w:r>
    </w:p>
    <w:p w:rsidR="003F186C" w:rsidRPr="00104A8B" w:rsidRDefault="00CB402F" w:rsidP="00D50DEA">
      <w:pPr>
        <w:spacing w:before="0"/>
        <w:sectPr w:rsidR="003F186C" w:rsidRPr="00104A8B" w:rsidSect="00B13710">
          <w:headerReference w:type="even" r:id="rId28"/>
          <w:headerReference w:type="default" r:id="rId29"/>
          <w:footerReference w:type="even" r:id="rId30"/>
          <w:footerReference w:type="default" r:id="rId31"/>
          <w:headerReference w:type="first" r:id="rId32"/>
          <w:pgSz w:w="11906" w:h="16838"/>
          <w:pgMar w:top="1710" w:right="1440" w:bottom="990" w:left="1440" w:header="708" w:footer="543" w:gutter="0"/>
          <w:pgNumType w:start="1"/>
          <w:cols w:space="708"/>
          <w:docGrid w:linePitch="360"/>
        </w:sectPr>
      </w:pPr>
      <w:r>
        <w:t xml:space="preserve">17 </w:t>
      </w:r>
      <w:r w:rsidR="006E1ABB">
        <w:t>February 2020</w:t>
      </w:r>
    </w:p>
    <w:p w:rsidR="003F186C" w:rsidRPr="00104A8B" w:rsidRDefault="003F186C" w:rsidP="00AC094E">
      <w:pPr>
        <w:pStyle w:val="Heading2"/>
        <w:rPr>
          <w:rFonts w:asciiTheme="minorHAnsi" w:hAnsiTheme="minorHAnsi"/>
        </w:rPr>
      </w:pPr>
      <w:bookmarkStart w:id="438" w:name="_Toc514837979"/>
      <w:bookmarkStart w:id="439" w:name="_Toc32566854"/>
      <w:r w:rsidRPr="00104A8B">
        <w:rPr>
          <w:rFonts w:asciiTheme="minorHAnsi" w:hAnsiTheme="minorHAnsi"/>
        </w:rPr>
        <w:t>Outstanding Responses</w:t>
      </w:r>
      <w:bookmarkEnd w:id="438"/>
      <w:bookmarkEnd w:id="439"/>
    </w:p>
    <w:p w:rsidR="003F186C" w:rsidRPr="00104A8B" w:rsidRDefault="003F186C" w:rsidP="003F186C">
      <w:pPr>
        <w:pStyle w:val="Heading3"/>
        <w:rPr>
          <w:rFonts w:asciiTheme="minorHAnsi" w:hAnsiTheme="minorHAnsi"/>
        </w:rPr>
      </w:pPr>
      <w:bookmarkStart w:id="440" w:name="_Toc505005688"/>
      <w:bookmarkStart w:id="441" w:name="_Toc505153779"/>
      <w:bookmarkStart w:id="442" w:name="_Toc508283444"/>
      <w:bookmarkStart w:id="443" w:name="_Toc510081804"/>
      <w:bookmarkStart w:id="444" w:name="_Toc511812230"/>
      <w:bookmarkStart w:id="445" w:name="_Toc512240173"/>
      <w:bookmarkStart w:id="446" w:name="_Toc513192173"/>
      <w:bookmarkStart w:id="447" w:name="_Toc514832434"/>
      <w:bookmarkStart w:id="448" w:name="_Toc514837980"/>
      <w:bookmarkStart w:id="449" w:name="_Toc514838144"/>
      <w:bookmarkStart w:id="450" w:name="_Toc514943619"/>
      <w:bookmarkStart w:id="451" w:name="_Toc515352064"/>
      <w:bookmarkStart w:id="452" w:name="_Toc518297261"/>
      <w:bookmarkStart w:id="453" w:name="_Toc519520755"/>
      <w:bookmarkStart w:id="454" w:name="_Toc520188735"/>
      <w:bookmarkStart w:id="455" w:name="_Toc521054338"/>
      <w:bookmarkStart w:id="456" w:name="_Toc521054410"/>
      <w:bookmarkStart w:id="457" w:name="_Toc523814181"/>
      <w:bookmarkStart w:id="458" w:name="_Toc523900477"/>
      <w:bookmarkStart w:id="459" w:name="_Toc526855826"/>
      <w:bookmarkStart w:id="460" w:name="_Toc528155854"/>
      <w:bookmarkStart w:id="461" w:name="_Toc528157213"/>
      <w:bookmarkStart w:id="462" w:name="_Toc528310867"/>
      <w:bookmarkStart w:id="463" w:name="_Toc529974547"/>
      <w:bookmarkStart w:id="464" w:name="_Toc530039442"/>
      <w:bookmarkStart w:id="465" w:name="_Toc536527689"/>
      <w:bookmarkStart w:id="466" w:name="_Toc536527863"/>
      <w:bookmarkStart w:id="467" w:name="_Toc536615405"/>
      <w:bookmarkStart w:id="468" w:name="_Toc172184"/>
      <w:bookmarkStart w:id="469" w:name="_Toc506087"/>
      <w:bookmarkStart w:id="470" w:name="_Toc965832"/>
      <w:bookmarkStart w:id="471" w:name="_Toc6211048"/>
      <w:bookmarkStart w:id="472" w:name="_Toc9500017"/>
      <w:bookmarkStart w:id="473" w:name="_Toc14334625"/>
      <w:bookmarkStart w:id="474" w:name="_Toc14775975"/>
      <w:bookmarkStart w:id="475" w:name="_Toc15285040"/>
      <w:bookmarkStart w:id="476" w:name="_Toc15630677"/>
      <w:bookmarkStart w:id="477" w:name="_Toc18415350"/>
      <w:bookmarkStart w:id="478" w:name="_Toc18487717"/>
      <w:bookmarkStart w:id="479" w:name="_Toc19708407"/>
      <w:bookmarkStart w:id="480" w:name="_Toc20131698"/>
      <w:bookmarkStart w:id="481" w:name="_Toc21595465"/>
      <w:bookmarkStart w:id="482" w:name="_Toc22025468"/>
      <w:bookmarkStart w:id="483" w:name="_Toc24463733"/>
      <w:bookmarkStart w:id="484" w:name="_Toc24617731"/>
      <w:bookmarkStart w:id="485" w:name="_Toc25050804"/>
      <w:bookmarkStart w:id="486" w:name="_Toc31202278"/>
      <w:bookmarkStart w:id="487" w:name="_Toc32390211"/>
      <w:bookmarkStart w:id="488" w:name="_Toc32566855"/>
      <w:r w:rsidRPr="00104A8B">
        <w:rPr>
          <w:rFonts w:asciiTheme="minorHAnsi" w:hAnsiTheme="minorHAnsi"/>
        </w:rPr>
        <w:t>Bills/Subordinate Legislation</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rsidR="009B2F9D" w:rsidRPr="00DA162C" w:rsidRDefault="009B2F9D" w:rsidP="009A594B">
      <w:pPr>
        <w:pStyle w:val="ListParagraph"/>
        <w:numPr>
          <w:ilvl w:val="0"/>
          <w:numId w:val="12"/>
        </w:numPr>
        <w:spacing w:before="240" w:after="0"/>
        <w:ind w:left="357" w:hanging="357"/>
        <w:contextualSpacing w:val="0"/>
        <w:rPr>
          <w:b/>
        </w:rPr>
      </w:pPr>
      <w:r>
        <w:rPr>
          <w:b/>
        </w:rPr>
        <w:t>Report 27, dated 18</w:t>
      </w:r>
      <w:r w:rsidRPr="00DA162C">
        <w:rPr>
          <w:b/>
        </w:rPr>
        <w:t xml:space="preserve"> February 2019</w:t>
      </w:r>
    </w:p>
    <w:p w:rsidR="00302510" w:rsidRDefault="00302510" w:rsidP="00052A23">
      <w:pPr>
        <w:pStyle w:val="ListParagraph"/>
        <w:numPr>
          <w:ilvl w:val="0"/>
          <w:numId w:val="14"/>
        </w:numPr>
        <w:spacing w:before="120" w:after="0"/>
        <w:ind w:left="720"/>
        <w:contextualSpacing w:val="0"/>
      </w:pPr>
      <w:r>
        <w:t>Electoral Amendment Bill 2018 (Government Response)</w:t>
      </w:r>
      <w:r w:rsidR="00C504F2">
        <w:t>.</w:t>
      </w:r>
    </w:p>
    <w:p w:rsidR="00797F2E" w:rsidRPr="00DA162C" w:rsidRDefault="00797F2E" w:rsidP="00797F2E">
      <w:pPr>
        <w:pStyle w:val="ListParagraph"/>
        <w:numPr>
          <w:ilvl w:val="0"/>
          <w:numId w:val="12"/>
        </w:numPr>
        <w:spacing w:before="240" w:after="0"/>
        <w:ind w:left="357" w:hanging="357"/>
        <w:contextualSpacing w:val="0"/>
        <w:rPr>
          <w:b/>
        </w:rPr>
      </w:pPr>
      <w:r>
        <w:rPr>
          <w:b/>
        </w:rPr>
        <w:t>Report 28, dated 12 March</w:t>
      </w:r>
      <w:r w:rsidRPr="00DA162C">
        <w:rPr>
          <w:b/>
        </w:rPr>
        <w:t xml:space="preserve"> 2019</w:t>
      </w:r>
    </w:p>
    <w:p w:rsidR="00797F2E" w:rsidRDefault="00797F2E" w:rsidP="00797F2E">
      <w:pPr>
        <w:pStyle w:val="ListParagraph"/>
        <w:numPr>
          <w:ilvl w:val="0"/>
          <w:numId w:val="14"/>
        </w:numPr>
        <w:spacing w:before="120" w:after="0"/>
        <w:ind w:left="720"/>
        <w:contextualSpacing w:val="0"/>
      </w:pPr>
      <w:r>
        <w:t>Electoral Amendment Bill 2018 (Private Member’s amendments).</w:t>
      </w:r>
    </w:p>
    <w:p w:rsidR="00794D83" w:rsidRPr="00C67FFC" w:rsidRDefault="00794D83" w:rsidP="00794D83">
      <w:pPr>
        <w:pStyle w:val="ListParagraph"/>
        <w:numPr>
          <w:ilvl w:val="0"/>
          <w:numId w:val="12"/>
        </w:numPr>
        <w:spacing w:before="240" w:after="0"/>
        <w:ind w:left="357" w:hanging="357"/>
        <w:contextualSpacing w:val="0"/>
        <w:rPr>
          <w:b/>
        </w:rPr>
      </w:pPr>
      <w:r w:rsidRPr="00C67FFC">
        <w:rPr>
          <w:b/>
        </w:rPr>
        <w:t>Report 3</w:t>
      </w:r>
      <w:r>
        <w:rPr>
          <w:b/>
        </w:rPr>
        <w:t>5</w:t>
      </w:r>
      <w:r w:rsidRPr="00C67FFC">
        <w:rPr>
          <w:b/>
        </w:rPr>
        <w:t xml:space="preserve">, dated </w:t>
      </w:r>
      <w:r>
        <w:rPr>
          <w:b/>
        </w:rPr>
        <w:t>23</w:t>
      </w:r>
      <w:r w:rsidRPr="00C67FFC">
        <w:rPr>
          <w:b/>
        </w:rPr>
        <w:t xml:space="preserve"> September 2019</w:t>
      </w:r>
    </w:p>
    <w:p w:rsidR="009E2CEE" w:rsidRDefault="009E2CEE" w:rsidP="00C67FFC">
      <w:pPr>
        <w:pStyle w:val="ListParagraph"/>
        <w:numPr>
          <w:ilvl w:val="0"/>
          <w:numId w:val="14"/>
        </w:numPr>
        <w:spacing w:before="120" w:after="0"/>
        <w:ind w:left="720"/>
        <w:contextualSpacing w:val="0"/>
      </w:pPr>
      <w:r>
        <w:t>Planning and Development (Design Review Panel) Amendment Bill 2019 (further Government response).</w:t>
      </w:r>
    </w:p>
    <w:p w:rsidR="00F477BB" w:rsidRPr="00501CD0" w:rsidRDefault="00F477BB" w:rsidP="00F477BB">
      <w:pPr>
        <w:pStyle w:val="ListParagraph"/>
        <w:numPr>
          <w:ilvl w:val="0"/>
          <w:numId w:val="12"/>
        </w:numPr>
        <w:spacing w:before="240" w:after="0"/>
        <w:ind w:left="357" w:hanging="357"/>
        <w:contextualSpacing w:val="0"/>
        <w:rPr>
          <w:b/>
        </w:rPr>
      </w:pPr>
      <w:r w:rsidRPr="00501CD0">
        <w:rPr>
          <w:b/>
        </w:rPr>
        <w:t>Report 3</w:t>
      </w:r>
      <w:r>
        <w:rPr>
          <w:b/>
        </w:rPr>
        <w:t>7</w:t>
      </w:r>
      <w:r w:rsidRPr="00501CD0">
        <w:rPr>
          <w:b/>
        </w:rPr>
        <w:t xml:space="preserve">, dated </w:t>
      </w:r>
      <w:r>
        <w:rPr>
          <w:b/>
        </w:rPr>
        <w:t>19 November</w:t>
      </w:r>
      <w:r w:rsidRPr="00501CD0">
        <w:rPr>
          <w:b/>
        </w:rPr>
        <w:t xml:space="preserve"> 2019</w:t>
      </w:r>
    </w:p>
    <w:p w:rsidR="00F477BB" w:rsidRDefault="00F477BB" w:rsidP="00F477BB">
      <w:pPr>
        <w:pStyle w:val="ListParagraph"/>
        <w:numPr>
          <w:ilvl w:val="0"/>
          <w:numId w:val="14"/>
        </w:numPr>
        <w:spacing w:before="120" w:after="0"/>
        <w:ind w:left="720"/>
        <w:contextualSpacing w:val="0"/>
      </w:pPr>
      <w:r>
        <w:t>Domestic Animals (Disqualified Keepers Register) Amendment Bill 2019</w:t>
      </w:r>
      <w:r w:rsidR="00F73BFE">
        <w:t xml:space="preserve"> (PMB)</w:t>
      </w:r>
      <w:r>
        <w:t>.</w:t>
      </w:r>
    </w:p>
    <w:p w:rsidR="00F477BB" w:rsidRDefault="00254B7A" w:rsidP="00F477BB">
      <w:pPr>
        <w:pStyle w:val="ListParagraph"/>
        <w:numPr>
          <w:ilvl w:val="0"/>
          <w:numId w:val="14"/>
        </w:numPr>
        <w:spacing w:before="120" w:after="0"/>
        <w:ind w:left="720"/>
        <w:contextualSpacing w:val="0"/>
      </w:pPr>
      <w:r>
        <w:t>Planning and Development (Controlled Activities) Amendment Bill 2019 (Private Member’s amendments)</w:t>
      </w:r>
    </w:p>
    <w:p w:rsidR="00901791" w:rsidRPr="00901791" w:rsidRDefault="00901791" w:rsidP="00901791">
      <w:pPr>
        <w:pStyle w:val="ListParagraph"/>
        <w:numPr>
          <w:ilvl w:val="0"/>
          <w:numId w:val="12"/>
        </w:numPr>
        <w:spacing w:before="240" w:after="0"/>
        <w:ind w:left="357" w:hanging="357"/>
        <w:contextualSpacing w:val="0"/>
        <w:rPr>
          <w:b/>
        </w:rPr>
      </w:pPr>
      <w:r w:rsidRPr="00901791">
        <w:rPr>
          <w:b/>
        </w:rPr>
        <w:t>Report 38, dated 4 February 2020</w:t>
      </w:r>
    </w:p>
    <w:p w:rsidR="00901791" w:rsidRDefault="00901791" w:rsidP="00901791">
      <w:pPr>
        <w:pStyle w:val="ListParagraph"/>
        <w:numPr>
          <w:ilvl w:val="0"/>
          <w:numId w:val="14"/>
        </w:numPr>
        <w:spacing w:before="120" w:after="0"/>
        <w:ind w:left="720"/>
        <w:contextualSpacing w:val="0"/>
      </w:pPr>
      <w:r>
        <w:t>Disallowable Instrument DI2019-230 Smoke-Free Public Places (Public Transport Interchanges) Declaration 2019 (No 1).</w:t>
      </w:r>
    </w:p>
    <w:p w:rsidR="00901791" w:rsidRDefault="00901791" w:rsidP="00901791">
      <w:pPr>
        <w:pStyle w:val="ListParagraph"/>
        <w:numPr>
          <w:ilvl w:val="0"/>
          <w:numId w:val="14"/>
        </w:numPr>
        <w:spacing w:before="120" w:after="0"/>
        <w:ind w:left="720"/>
        <w:contextualSpacing w:val="0"/>
      </w:pPr>
      <w:r>
        <w:t>Electoral Legislation Amendment Bill 2019 (Private Member’s amendments).</w:t>
      </w:r>
      <w:bookmarkStart w:id="489" w:name="_GoBack"/>
      <w:bookmarkEnd w:id="489"/>
    </w:p>
    <w:sectPr w:rsidR="00901791" w:rsidSect="00613AE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BFE" w:rsidRDefault="00F73BFE" w:rsidP="000B0846">
      <w:pPr>
        <w:spacing w:after="0" w:line="240" w:lineRule="auto"/>
      </w:pPr>
      <w:r>
        <w:separator/>
      </w:r>
    </w:p>
  </w:endnote>
  <w:endnote w:type="continuationSeparator" w:id="0">
    <w:p w:rsidR="00F73BFE" w:rsidRDefault="00F73BFE" w:rsidP="000B0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vantGarde Bk B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BFE" w:rsidRDefault="00F73BFE">
    <w:pPr>
      <w:pStyle w:val="Footer"/>
    </w:pPr>
  </w:p>
  <w:p w:rsidR="00F73BFE" w:rsidRDefault="00F73B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3D6" w:rsidRDefault="00B943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3D6" w:rsidRDefault="00B943D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575871"/>
      <w:docPartObj>
        <w:docPartGallery w:val="Page Numbers (Bottom of Page)"/>
        <w:docPartUnique/>
      </w:docPartObj>
    </w:sdtPr>
    <w:sdtEndPr>
      <w:rPr>
        <w:noProof/>
      </w:rPr>
    </w:sdtEndPr>
    <w:sdtContent>
      <w:p w:rsidR="00F73BFE" w:rsidRDefault="00F73BFE">
        <w:pPr>
          <w:pStyle w:val="Footer"/>
        </w:pPr>
        <w:r>
          <w:rPr>
            <w:noProof/>
          </w:rPr>
          <w:fldChar w:fldCharType="begin"/>
        </w:r>
        <w:r>
          <w:rPr>
            <w:noProof/>
          </w:rPr>
          <w:instrText xml:space="preserve"> PAGE   \* MERGEFORMAT </w:instrText>
        </w:r>
        <w:r>
          <w:rPr>
            <w:noProof/>
          </w:rPr>
          <w:fldChar w:fldCharType="separate"/>
        </w:r>
        <w:r w:rsidR="005433B1">
          <w:rPr>
            <w:noProof/>
          </w:rPr>
          <w:t>ii</w:t>
        </w:r>
        <w:r>
          <w:rPr>
            <w:noProof/>
          </w:rPr>
          <w:fldChar w:fldCharType="end"/>
        </w:r>
      </w:p>
    </w:sdtContent>
  </w:sdt>
  <w:p w:rsidR="00F73BFE" w:rsidRDefault="00F73BF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575872"/>
      <w:docPartObj>
        <w:docPartGallery w:val="Page Numbers (Bottom of Page)"/>
        <w:docPartUnique/>
      </w:docPartObj>
    </w:sdtPr>
    <w:sdtEndPr>
      <w:rPr>
        <w:noProof/>
      </w:rPr>
    </w:sdtEndPr>
    <w:sdtContent>
      <w:p w:rsidR="00F73BFE" w:rsidRDefault="00F73BFE">
        <w:pPr>
          <w:pStyle w:val="Footer"/>
          <w:jc w:val="right"/>
        </w:pPr>
        <w:r>
          <w:rPr>
            <w:noProof/>
          </w:rPr>
          <w:fldChar w:fldCharType="begin"/>
        </w:r>
        <w:r>
          <w:rPr>
            <w:noProof/>
          </w:rPr>
          <w:instrText xml:space="preserve"> PAGE   \* MERGEFORMAT </w:instrText>
        </w:r>
        <w:r>
          <w:rPr>
            <w:noProof/>
          </w:rPr>
          <w:fldChar w:fldCharType="separate"/>
        </w:r>
        <w:r w:rsidR="005433B1">
          <w:rPr>
            <w:noProof/>
          </w:rPr>
          <w:t>iii</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BFE" w:rsidRDefault="00F73BF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BFE" w:rsidRPr="00EE534B" w:rsidRDefault="00F73BFE">
    <w:pPr>
      <w:pStyle w:val="Footer"/>
      <w:rPr>
        <w:sz w:val="18"/>
        <w:szCs w:val="18"/>
      </w:rPr>
    </w:pPr>
    <w:r>
      <w:rPr>
        <w:noProof/>
      </w:rPr>
      <w:fldChar w:fldCharType="begin"/>
    </w:r>
    <w:r>
      <w:rPr>
        <w:noProof/>
      </w:rPr>
      <w:instrText xml:space="preserve"> PAGE   \* MERGEFORMAT </w:instrText>
    </w:r>
    <w:r>
      <w:rPr>
        <w:noProof/>
      </w:rPr>
      <w:fldChar w:fldCharType="separate"/>
    </w:r>
    <w:r w:rsidR="005433B1">
      <w:rPr>
        <w:noProof/>
      </w:rPr>
      <w:t>16</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9215682"/>
      <w:docPartObj>
        <w:docPartGallery w:val="Page Numbers (Bottom of Page)"/>
        <w:docPartUnique/>
      </w:docPartObj>
    </w:sdtPr>
    <w:sdtEndPr>
      <w:rPr>
        <w:noProof/>
      </w:rPr>
    </w:sdtEndPr>
    <w:sdtContent>
      <w:p w:rsidR="00F73BFE" w:rsidRPr="00EE534B" w:rsidRDefault="00F73BFE">
        <w:pPr>
          <w:pStyle w:val="Footer"/>
          <w:jc w:val="right"/>
          <w:rPr>
            <w:sz w:val="18"/>
            <w:szCs w:val="18"/>
          </w:rPr>
        </w:pPr>
        <w:r>
          <w:rPr>
            <w:noProof/>
          </w:rPr>
          <w:fldChar w:fldCharType="begin"/>
        </w:r>
        <w:r>
          <w:rPr>
            <w:noProof/>
          </w:rPr>
          <w:instrText xml:space="preserve"> PAGE   \* MERGEFORMAT </w:instrText>
        </w:r>
        <w:r>
          <w:rPr>
            <w:noProof/>
          </w:rPr>
          <w:fldChar w:fldCharType="separate"/>
        </w:r>
        <w:r w:rsidR="005433B1">
          <w:rPr>
            <w:noProof/>
          </w:rPr>
          <w:t>17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BFE" w:rsidRDefault="00F73BFE" w:rsidP="0054459E">
      <w:pPr>
        <w:spacing w:before="120" w:after="0" w:line="240" w:lineRule="auto"/>
      </w:pPr>
      <w:r>
        <w:separator/>
      </w:r>
    </w:p>
  </w:footnote>
  <w:footnote w:type="continuationSeparator" w:id="0">
    <w:p w:rsidR="00F73BFE" w:rsidRDefault="00F73BFE" w:rsidP="000B0846">
      <w:pPr>
        <w:spacing w:after="0" w:line="240" w:lineRule="auto"/>
      </w:pPr>
      <w:r>
        <w:continuationSeparator/>
      </w:r>
    </w:p>
  </w:footnote>
  <w:footnote w:id="1">
    <w:p w:rsidR="00D20076" w:rsidRPr="00205BB4" w:rsidRDefault="00D20076" w:rsidP="00D20076">
      <w:pPr>
        <w:pStyle w:val="FootnoteText"/>
      </w:pPr>
      <w:r>
        <w:rPr>
          <w:rStyle w:val="FootnoteReference"/>
        </w:rPr>
        <w:footnoteRef/>
      </w:r>
      <w:r>
        <w:t xml:space="preserve"> </w:t>
      </w:r>
      <w:proofErr w:type="spellStart"/>
      <w:r>
        <w:t>Cf</w:t>
      </w:r>
      <w:proofErr w:type="spellEnd"/>
      <w:r>
        <w:t xml:space="preserve"> section 47 of the </w:t>
      </w:r>
      <w:r>
        <w:rPr>
          <w:i/>
        </w:rPr>
        <w:t>Legislation Act 2001</w:t>
      </w:r>
      <w:r>
        <w:t xml:space="preserve"> which applies to instruments authorised by legislation.</w:t>
      </w:r>
    </w:p>
  </w:footnote>
  <w:footnote w:id="2">
    <w:p w:rsidR="00D20076" w:rsidRPr="00D65A59" w:rsidRDefault="00D20076" w:rsidP="00D20076">
      <w:pPr>
        <w:pStyle w:val="FootnoteText"/>
      </w:pPr>
      <w:r>
        <w:rPr>
          <w:rStyle w:val="FootnoteReference"/>
        </w:rPr>
        <w:footnoteRef/>
      </w:r>
      <w:r>
        <w:t xml:space="preserve"> </w:t>
      </w:r>
      <w:proofErr w:type="spellStart"/>
      <w:r>
        <w:t>Cf</w:t>
      </w:r>
      <w:proofErr w:type="spellEnd"/>
      <w:r>
        <w:t xml:space="preserve"> section 131 of the </w:t>
      </w:r>
      <w:r>
        <w:rPr>
          <w:i/>
        </w:rPr>
        <w:t>Legislation Act 2001</w:t>
      </w:r>
      <w:r>
        <w:t xml:space="preserve"> which applies instruments referred to in signpost definitions as in force from time to time.</w:t>
      </w:r>
    </w:p>
  </w:footnote>
  <w:footnote w:id="3">
    <w:p w:rsidR="004A4A2A" w:rsidRDefault="004A4A2A" w:rsidP="004A4A2A">
      <w:pPr>
        <w:pStyle w:val="FootnoteText"/>
      </w:pPr>
      <w:r>
        <w:rPr>
          <w:rStyle w:val="FootnoteReference"/>
        </w:rPr>
        <w:footnoteRef/>
      </w:r>
      <w:r>
        <w:t xml:space="preserve"> </w:t>
      </w:r>
      <w:r>
        <w:rPr>
          <w:color w:val="000000"/>
          <w:szCs w:val="18"/>
        </w:rPr>
        <w:t>https://www.parliament.act.gov.au/__data/assets/pdf_file/0007/434347/Subordinate-Legislation-Technical-and-Stylistic-Standards.pdf.</w:t>
      </w:r>
    </w:p>
  </w:footnote>
  <w:footnote w:id="4">
    <w:p w:rsidR="004238FA" w:rsidRPr="00435E76" w:rsidRDefault="004238FA" w:rsidP="004238FA">
      <w:pPr>
        <w:pStyle w:val="FootnoteText"/>
        <w:spacing w:before="0"/>
        <w:rPr>
          <w:sz w:val="19"/>
          <w:szCs w:val="19"/>
        </w:rPr>
      </w:pPr>
      <w:r w:rsidRPr="00435E76">
        <w:rPr>
          <w:rStyle w:val="FootnoteReference"/>
          <w:sz w:val="19"/>
          <w:szCs w:val="19"/>
        </w:rPr>
        <w:footnoteRef/>
      </w:r>
      <w:r w:rsidRPr="00435E76">
        <w:rPr>
          <w:sz w:val="19"/>
          <w:szCs w:val="19"/>
        </w:rPr>
        <w:t xml:space="preserve"> </w:t>
      </w:r>
      <w:r w:rsidR="00BC39FC" w:rsidRPr="00BC39FC">
        <w:rPr>
          <w:sz w:val="19"/>
          <w:szCs w:val="19"/>
          <w:lang w:eastAsia="en-AU"/>
        </w:rPr>
        <w:t>https://www.parliament.act.gov.au/in-committees/standing-committees-current-assembly/standing-committee-on-justice-and-community-safety-legislative-scrutiny-role/response-to-comments-on-subordinate-legislation</w:t>
      </w:r>
      <w:r w:rsidRPr="00435E76">
        <w:rPr>
          <w:sz w:val="19"/>
          <w:szCs w:val="19"/>
          <w:lang w:eastAsia="en-AU"/>
        </w:rPr>
        <w:t>.</w:t>
      </w:r>
    </w:p>
  </w:footnote>
  <w:footnote w:id="5">
    <w:p w:rsidR="00BA6A89" w:rsidRPr="00435E76" w:rsidRDefault="00BA6A89" w:rsidP="00BA6A89">
      <w:pPr>
        <w:pStyle w:val="FootnoteText"/>
        <w:spacing w:before="0"/>
        <w:rPr>
          <w:sz w:val="19"/>
          <w:szCs w:val="19"/>
        </w:rPr>
      </w:pPr>
      <w:r w:rsidRPr="00435E76">
        <w:rPr>
          <w:rStyle w:val="FootnoteReference"/>
          <w:sz w:val="19"/>
          <w:szCs w:val="19"/>
        </w:rPr>
        <w:footnoteRef/>
      </w:r>
      <w:r w:rsidRPr="00435E76">
        <w:rPr>
          <w:sz w:val="19"/>
          <w:szCs w:val="19"/>
        </w:rPr>
        <w:t xml:space="preserve"> </w:t>
      </w:r>
      <w:r w:rsidRPr="00240841">
        <w:rPr>
          <w:sz w:val="19"/>
          <w:szCs w:val="19"/>
          <w:lang w:eastAsia="en-AU"/>
        </w:rPr>
        <w:t>https://www.parliament.act.gov.au/in-committees/standing-committees-current-assembly/standing-committee-on-justice-and-community-safety-legislative-scrutiny-role/responses-to-comments-on-bills</w:t>
      </w:r>
      <w:r w:rsidRPr="00435E76">
        <w:rPr>
          <w:sz w:val="19"/>
          <w:szCs w:val="19"/>
          <w:lang w:eastAsia="en-A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9C7" w:rsidRDefault="004E69C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BFE" w:rsidRPr="003B6A7E" w:rsidRDefault="00F73BFE" w:rsidP="00FC2EEA">
    <w:pPr>
      <w:pStyle w:val="Header"/>
      <w:pBdr>
        <w:bottom w:val="single" w:sz="4" w:space="1" w:color="auto"/>
      </w:pBdr>
    </w:pPr>
    <w:r w:rsidRPr="009D788E">
      <w:rPr>
        <w:smallCaps/>
      </w:rPr>
      <w:t>Standing Committee on Justice and Community Safety (Legislative Scrutiny Role)</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BFE" w:rsidRPr="001B0650" w:rsidRDefault="00F73BFE" w:rsidP="001B73A1">
    <w:pPr>
      <w:pStyle w:val="Header"/>
      <w:pBdr>
        <w:bottom w:val="single" w:sz="4" w:space="1" w:color="auto"/>
      </w:pBdr>
      <w:tabs>
        <w:tab w:val="left" w:pos="6216"/>
      </w:tabs>
      <w:rPr>
        <w:smallCaps/>
      </w:rPr>
    </w:pPr>
    <w:r>
      <w:rPr>
        <w:smallCaps/>
        <w:noProof/>
      </w:rPr>
      <w:tab/>
    </w:r>
    <w:r>
      <w:rPr>
        <w:smallCaps/>
        <w:noProof/>
      </w:rPr>
      <w:tab/>
    </w:r>
    <w:r>
      <w:rPr>
        <w:smallCaps/>
        <w:noProof/>
      </w:rPr>
      <w:tab/>
    </w:r>
    <w:r>
      <w:rPr>
        <w:smallCaps/>
        <w:noProof/>
      </w:rPr>
      <w:fldChar w:fldCharType="begin"/>
    </w:r>
    <w:r>
      <w:rPr>
        <w:smallCaps/>
        <w:noProof/>
      </w:rPr>
      <w:instrText xml:space="preserve"> STYLEREF  "Heading 1"  \* MERGEFORMAT </w:instrText>
    </w:r>
    <w:r>
      <w:rPr>
        <w:smallCaps/>
        <w:noProof/>
      </w:rPr>
      <w:fldChar w:fldCharType="separate"/>
    </w:r>
    <w:r w:rsidR="005433B1">
      <w:rPr>
        <w:smallCaps/>
        <w:noProof/>
      </w:rPr>
      <w:t>Scrutiny Report 39</w:t>
    </w:r>
    <w:r>
      <w:rPr>
        <w:smallCaps/>
        <w:noProof/>
      </w:rPr>
      <w:fldChar w:fldCharType="end"/>
    </w:r>
  </w:p>
  <w:p w:rsidR="00F73BFE" w:rsidRDefault="00F73BF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BFE" w:rsidRDefault="00F73B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9C7" w:rsidRDefault="004E69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3D6" w:rsidRDefault="00B943D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BFE" w:rsidRPr="009D788E" w:rsidRDefault="00F73BFE" w:rsidP="00911558">
    <w:pPr>
      <w:pStyle w:val="Header"/>
      <w:pBdr>
        <w:bottom w:val="single" w:sz="4" w:space="1" w:color="auto"/>
      </w:pBdr>
      <w:rPr>
        <w:smallCaps/>
      </w:rPr>
    </w:pPr>
    <w:r w:rsidRPr="009D788E">
      <w:rPr>
        <w:smallCaps/>
      </w:rPr>
      <w:t>Standing Committee on Justice and Community Safety (Legislative Scrutiny Role)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BFE" w:rsidRPr="001B0650" w:rsidRDefault="00F73BFE" w:rsidP="00911558">
    <w:pPr>
      <w:pStyle w:val="Header"/>
      <w:pBdr>
        <w:bottom w:val="single" w:sz="4" w:space="1" w:color="auto"/>
      </w:pBdr>
      <w:jc w:val="right"/>
      <w:rPr>
        <w:smallCaps/>
      </w:rPr>
    </w:pPr>
    <w:r>
      <w:rPr>
        <w:smallCaps/>
        <w:noProof/>
      </w:rPr>
      <w:fldChar w:fldCharType="begin"/>
    </w:r>
    <w:r>
      <w:rPr>
        <w:smallCaps/>
        <w:noProof/>
      </w:rPr>
      <w:instrText xml:space="preserve"> STYLEREF  "Heading 1"  \* MERGEFORMAT </w:instrText>
    </w:r>
    <w:r>
      <w:rPr>
        <w:smallCaps/>
        <w:noProof/>
      </w:rPr>
      <w:fldChar w:fldCharType="separate"/>
    </w:r>
    <w:r w:rsidR="005433B1">
      <w:rPr>
        <w:smallCaps/>
        <w:noProof/>
      </w:rPr>
      <w:t>Scrutiny Report 39</w:t>
    </w:r>
    <w:r>
      <w:rPr>
        <w:smallCaps/>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BFE" w:rsidRDefault="00F73BF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BFE" w:rsidRPr="003B6A7E" w:rsidRDefault="00F73BFE" w:rsidP="003B6A7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BFE" w:rsidRPr="001B0650" w:rsidRDefault="00F73BFE" w:rsidP="007F580D">
    <w:pPr>
      <w:pStyle w:val="Header"/>
      <w:pBdr>
        <w:bottom w:val="single" w:sz="4" w:space="1" w:color="auto"/>
      </w:pBdr>
      <w:jc w:val="right"/>
      <w:rPr>
        <w:smallCaps/>
      </w:rPr>
    </w:pPr>
    <w:r>
      <w:rPr>
        <w:smallCaps/>
        <w:noProof/>
      </w:rPr>
      <w:fldChar w:fldCharType="begin"/>
    </w:r>
    <w:r>
      <w:rPr>
        <w:smallCaps/>
        <w:noProof/>
      </w:rPr>
      <w:instrText xml:space="preserve"> STYLEREF  "Heading 1"  \* MERGEFORMAT </w:instrText>
    </w:r>
    <w:r>
      <w:rPr>
        <w:smallCaps/>
        <w:noProof/>
      </w:rPr>
      <w:fldChar w:fldCharType="separate"/>
    </w:r>
    <w:r w:rsidR="00E77FC9">
      <w:rPr>
        <w:smallCaps/>
        <w:noProof/>
      </w:rPr>
      <w:t>Scrutiny Report 39</w:t>
    </w:r>
    <w:r>
      <w:rPr>
        <w:smallCaps/>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BFE" w:rsidRDefault="00F73B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4B8702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012015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314752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532929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B26E9F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56F42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C22F4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26A50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C6D3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C3479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9A002A"/>
    <w:multiLevelType w:val="multilevel"/>
    <w:tmpl w:val="F6DE2780"/>
    <w:lvl w:ilvl="0">
      <w:start w:val="1"/>
      <w:numFmt w:val="decimal"/>
      <w:lvlText w:val="%1"/>
      <w:lvlJc w:val="left"/>
      <w:pPr>
        <w:ind w:left="432" w:hanging="432"/>
      </w:pPr>
      <w:rPr>
        <w:rFonts w:cs="Times New Roman"/>
      </w:rPr>
    </w:lvl>
    <w:lvl w:ilvl="1">
      <w:start w:val="1"/>
      <w:numFmt w:val="decimal"/>
      <w:pStyle w:val="Recommendationbodycopynumbered"/>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 w15:restartNumberingAfterBreak="0">
    <w:nsid w:val="07771A35"/>
    <w:multiLevelType w:val="multilevel"/>
    <w:tmpl w:val="BCFCBA68"/>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0D05335F"/>
    <w:multiLevelType w:val="hybridMultilevel"/>
    <w:tmpl w:val="E79A8BBC"/>
    <w:lvl w:ilvl="0" w:tplc="0C090001">
      <w:start w:val="1"/>
      <w:numFmt w:val="bullet"/>
      <w:lvlText w:val=""/>
      <w:lvlJc w:val="left"/>
      <w:pPr>
        <w:ind w:left="720" w:hanging="360"/>
      </w:pPr>
      <w:rPr>
        <w:rFonts w:ascii="Symbol" w:hAnsi="Symbol" w:hint="default"/>
      </w:rPr>
    </w:lvl>
    <w:lvl w:ilvl="1" w:tplc="9DFE7F7C">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F64209D"/>
    <w:multiLevelType w:val="hybridMultilevel"/>
    <w:tmpl w:val="73BC5DF0"/>
    <w:lvl w:ilvl="0" w:tplc="4642DB54">
      <w:start w:val="1"/>
      <w:numFmt w:val="bullet"/>
      <w:lvlText w:val=""/>
      <w:lvlJc w:val="left"/>
      <w:pPr>
        <w:ind w:left="360" w:hanging="360"/>
      </w:pPr>
      <w:rPr>
        <w:rFonts w:ascii="Symbol" w:hAnsi="Symbol" w:hint="default"/>
        <w:color w:val="auto"/>
      </w:rPr>
    </w:lvl>
    <w:lvl w:ilvl="1" w:tplc="B2BC848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9524A8"/>
    <w:multiLevelType w:val="hybridMultilevel"/>
    <w:tmpl w:val="D43EC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6166C07"/>
    <w:multiLevelType w:val="hybridMultilevel"/>
    <w:tmpl w:val="7A7AFEB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19643E29"/>
    <w:multiLevelType w:val="hybridMultilevel"/>
    <w:tmpl w:val="A0C054FA"/>
    <w:lvl w:ilvl="0" w:tplc="1C5E9878">
      <w:start w:val="1"/>
      <w:numFmt w:val="decimal"/>
      <w:lvlText w:val="(%1)"/>
      <w:lvlJc w:val="left"/>
      <w:pPr>
        <w:ind w:left="1080" w:hanging="360"/>
      </w:pPr>
      <w:rPr>
        <w:rFonts w:hint="default"/>
        <w:color w:val="00000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1C2E4544"/>
    <w:multiLevelType w:val="hybridMultilevel"/>
    <w:tmpl w:val="A4CE200E"/>
    <w:lvl w:ilvl="0" w:tplc="437E8904">
      <w:start w:val="1"/>
      <w:numFmt w:val="lowerLetter"/>
      <w:pStyle w:val="Bodycopybulletlevel1alpha"/>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15:restartNumberingAfterBreak="0">
    <w:nsid w:val="202017D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526D8E"/>
    <w:multiLevelType w:val="hybridMultilevel"/>
    <w:tmpl w:val="D1786A2A"/>
    <w:lvl w:ilvl="0" w:tplc="4D449FE6">
      <w:start w:val="1"/>
      <w:numFmt w:val="decimal"/>
      <w:pStyle w:val="Bodycopynumbered2"/>
      <w:lvlText w:val="%1."/>
      <w:lvlJc w:val="left"/>
      <w:pPr>
        <w:ind w:left="720" w:hanging="360"/>
      </w:pPr>
      <w:rPr>
        <w:rFonts w:cs="Times New Roman"/>
      </w:rPr>
    </w:lvl>
    <w:lvl w:ilvl="1" w:tplc="04DA9EF8" w:tentative="1">
      <w:start w:val="1"/>
      <w:numFmt w:val="lowerLetter"/>
      <w:lvlText w:val="%2."/>
      <w:lvlJc w:val="left"/>
      <w:pPr>
        <w:ind w:left="1440" w:hanging="360"/>
      </w:pPr>
      <w:rPr>
        <w:rFonts w:cs="Times New Roman"/>
      </w:rPr>
    </w:lvl>
    <w:lvl w:ilvl="2" w:tplc="3FBC87FA" w:tentative="1">
      <w:start w:val="1"/>
      <w:numFmt w:val="lowerRoman"/>
      <w:lvlText w:val="%3."/>
      <w:lvlJc w:val="right"/>
      <w:pPr>
        <w:ind w:left="2160" w:hanging="180"/>
      </w:pPr>
      <w:rPr>
        <w:rFonts w:cs="Times New Roman"/>
      </w:rPr>
    </w:lvl>
    <w:lvl w:ilvl="3" w:tplc="0FD47DB4" w:tentative="1">
      <w:start w:val="1"/>
      <w:numFmt w:val="decimal"/>
      <w:lvlText w:val="%4."/>
      <w:lvlJc w:val="left"/>
      <w:pPr>
        <w:ind w:left="2880" w:hanging="360"/>
      </w:pPr>
      <w:rPr>
        <w:rFonts w:cs="Times New Roman"/>
      </w:rPr>
    </w:lvl>
    <w:lvl w:ilvl="4" w:tplc="0AA266A4" w:tentative="1">
      <w:start w:val="1"/>
      <w:numFmt w:val="lowerLetter"/>
      <w:lvlText w:val="%5."/>
      <w:lvlJc w:val="left"/>
      <w:pPr>
        <w:ind w:left="3600" w:hanging="360"/>
      </w:pPr>
      <w:rPr>
        <w:rFonts w:cs="Times New Roman"/>
      </w:rPr>
    </w:lvl>
    <w:lvl w:ilvl="5" w:tplc="2ACEA468" w:tentative="1">
      <w:start w:val="1"/>
      <w:numFmt w:val="lowerRoman"/>
      <w:lvlText w:val="%6."/>
      <w:lvlJc w:val="right"/>
      <w:pPr>
        <w:ind w:left="4320" w:hanging="180"/>
      </w:pPr>
      <w:rPr>
        <w:rFonts w:cs="Times New Roman"/>
      </w:rPr>
    </w:lvl>
    <w:lvl w:ilvl="6" w:tplc="A54E173C" w:tentative="1">
      <w:start w:val="1"/>
      <w:numFmt w:val="decimal"/>
      <w:lvlText w:val="%7."/>
      <w:lvlJc w:val="left"/>
      <w:pPr>
        <w:ind w:left="5040" w:hanging="360"/>
      </w:pPr>
      <w:rPr>
        <w:rFonts w:cs="Times New Roman"/>
      </w:rPr>
    </w:lvl>
    <w:lvl w:ilvl="7" w:tplc="AA62F5B2" w:tentative="1">
      <w:start w:val="1"/>
      <w:numFmt w:val="lowerLetter"/>
      <w:lvlText w:val="%8."/>
      <w:lvlJc w:val="left"/>
      <w:pPr>
        <w:ind w:left="5760" w:hanging="360"/>
      </w:pPr>
      <w:rPr>
        <w:rFonts w:cs="Times New Roman"/>
      </w:rPr>
    </w:lvl>
    <w:lvl w:ilvl="8" w:tplc="77F694E0" w:tentative="1">
      <w:start w:val="1"/>
      <w:numFmt w:val="lowerRoman"/>
      <w:lvlText w:val="%9."/>
      <w:lvlJc w:val="right"/>
      <w:pPr>
        <w:ind w:left="6480" w:hanging="180"/>
      </w:pPr>
      <w:rPr>
        <w:rFonts w:cs="Times New Roman"/>
      </w:rPr>
    </w:lvl>
  </w:abstractNum>
  <w:abstractNum w:abstractNumId="20" w15:restartNumberingAfterBreak="0">
    <w:nsid w:val="267A5E70"/>
    <w:multiLevelType w:val="multilevel"/>
    <w:tmpl w:val="E342FCF2"/>
    <w:styleLink w:val="Style3"/>
    <w:lvl w:ilvl="0">
      <w:start w:val="1"/>
      <w:numFmt w:val="decimal"/>
      <w:lvlText w:val="%1)"/>
      <w:lvlJc w:val="left"/>
      <w:pPr>
        <w:ind w:left="360" w:hanging="360"/>
      </w:pPr>
      <w:rPr>
        <w:rFonts w:ascii="Calibri" w:hAnsi="Calibri"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15:restartNumberingAfterBreak="0">
    <w:nsid w:val="29F675F9"/>
    <w:multiLevelType w:val="hybridMultilevel"/>
    <w:tmpl w:val="A2C60C32"/>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F35431E"/>
    <w:multiLevelType w:val="hybridMultilevel"/>
    <w:tmpl w:val="7E4CB7A8"/>
    <w:lvl w:ilvl="0" w:tplc="7AF0D8D0">
      <w:start w:val="1"/>
      <w:numFmt w:val="bullet"/>
      <w:pStyle w:val="Bodycopybulletlevel2"/>
      <w:lvlText w:val="o"/>
      <w:lvlJc w:val="left"/>
      <w:pPr>
        <w:ind w:left="703" w:hanging="360"/>
      </w:pPr>
      <w:rPr>
        <w:rFonts w:ascii="Courier New" w:hAnsi="Courier New" w:hint="default"/>
      </w:rPr>
    </w:lvl>
    <w:lvl w:ilvl="1" w:tplc="466E58A0">
      <w:start w:val="1"/>
      <w:numFmt w:val="lowerLetter"/>
      <w:pStyle w:val="Bulletlistalpha"/>
      <w:lvlText w:val="%2."/>
      <w:lvlJc w:val="left"/>
      <w:pPr>
        <w:ind w:left="1423" w:hanging="360"/>
      </w:pPr>
      <w:rPr>
        <w:rFonts w:cs="Times New Roman"/>
      </w:rPr>
    </w:lvl>
    <w:lvl w:ilvl="2" w:tplc="0C09001B" w:tentative="1">
      <w:start w:val="1"/>
      <w:numFmt w:val="lowerRoman"/>
      <w:lvlText w:val="%3."/>
      <w:lvlJc w:val="right"/>
      <w:pPr>
        <w:ind w:left="2143" w:hanging="180"/>
      </w:pPr>
      <w:rPr>
        <w:rFonts w:cs="Times New Roman"/>
      </w:rPr>
    </w:lvl>
    <w:lvl w:ilvl="3" w:tplc="0C09000F" w:tentative="1">
      <w:start w:val="1"/>
      <w:numFmt w:val="decimal"/>
      <w:lvlText w:val="%4."/>
      <w:lvlJc w:val="left"/>
      <w:pPr>
        <w:ind w:left="2863" w:hanging="360"/>
      </w:pPr>
      <w:rPr>
        <w:rFonts w:cs="Times New Roman"/>
      </w:rPr>
    </w:lvl>
    <w:lvl w:ilvl="4" w:tplc="0C090019" w:tentative="1">
      <w:start w:val="1"/>
      <w:numFmt w:val="lowerLetter"/>
      <w:lvlText w:val="%5."/>
      <w:lvlJc w:val="left"/>
      <w:pPr>
        <w:ind w:left="3583" w:hanging="360"/>
      </w:pPr>
      <w:rPr>
        <w:rFonts w:cs="Times New Roman"/>
      </w:rPr>
    </w:lvl>
    <w:lvl w:ilvl="5" w:tplc="0C09001B" w:tentative="1">
      <w:start w:val="1"/>
      <w:numFmt w:val="lowerRoman"/>
      <w:lvlText w:val="%6."/>
      <w:lvlJc w:val="right"/>
      <w:pPr>
        <w:ind w:left="4303" w:hanging="180"/>
      </w:pPr>
      <w:rPr>
        <w:rFonts w:cs="Times New Roman"/>
      </w:rPr>
    </w:lvl>
    <w:lvl w:ilvl="6" w:tplc="0C09000F" w:tentative="1">
      <w:start w:val="1"/>
      <w:numFmt w:val="decimal"/>
      <w:lvlText w:val="%7."/>
      <w:lvlJc w:val="left"/>
      <w:pPr>
        <w:ind w:left="5023" w:hanging="360"/>
      </w:pPr>
      <w:rPr>
        <w:rFonts w:cs="Times New Roman"/>
      </w:rPr>
    </w:lvl>
    <w:lvl w:ilvl="7" w:tplc="0C090019" w:tentative="1">
      <w:start w:val="1"/>
      <w:numFmt w:val="lowerLetter"/>
      <w:lvlText w:val="%8."/>
      <w:lvlJc w:val="left"/>
      <w:pPr>
        <w:ind w:left="5743" w:hanging="360"/>
      </w:pPr>
      <w:rPr>
        <w:rFonts w:cs="Times New Roman"/>
      </w:rPr>
    </w:lvl>
    <w:lvl w:ilvl="8" w:tplc="0C09001B" w:tentative="1">
      <w:start w:val="1"/>
      <w:numFmt w:val="lowerRoman"/>
      <w:lvlText w:val="%9."/>
      <w:lvlJc w:val="right"/>
      <w:pPr>
        <w:ind w:left="6463" w:hanging="180"/>
      </w:pPr>
      <w:rPr>
        <w:rFonts w:cs="Times New Roman"/>
      </w:rPr>
    </w:lvl>
  </w:abstractNum>
  <w:abstractNum w:abstractNumId="23" w15:restartNumberingAfterBreak="0">
    <w:nsid w:val="3E267F58"/>
    <w:multiLevelType w:val="hybridMultilevel"/>
    <w:tmpl w:val="64DE28D2"/>
    <w:lvl w:ilvl="0" w:tplc="87AC79EC">
      <w:numFmt w:val="bullet"/>
      <w:lvlText w:val="•"/>
      <w:lvlJc w:val="left"/>
      <w:pPr>
        <w:ind w:left="1440" w:hanging="360"/>
      </w:pPr>
      <w:rPr>
        <w:rFonts w:ascii="Calibri" w:eastAsiaTheme="minorHAnsi" w:hAnsi="Calibri" w:cstheme="minorBidi" w:hint="default"/>
        <w:b w:val="0"/>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4B5548C3"/>
    <w:multiLevelType w:val="hybridMultilevel"/>
    <w:tmpl w:val="50EE3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947158"/>
    <w:multiLevelType w:val="hybridMultilevel"/>
    <w:tmpl w:val="6EF64A6C"/>
    <w:lvl w:ilvl="0" w:tplc="B2BC8480">
      <w:start w:val="1"/>
      <w:numFmt w:val="bullet"/>
      <w:lvlText w:val="­"/>
      <w:lvlJc w:val="left"/>
      <w:pPr>
        <w:ind w:left="1710" w:hanging="360"/>
      </w:pPr>
      <w:rPr>
        <w:rFonts w:ascii="Courier New" w:hAnsi="Courier New" w:hint="default"/>
      </w:rPr>
    </w:lvl>
    <w:lvl w:ilvl="1" w:tplc="87AC79EC">
      <w:numFmt w:val="bullet"/>
      <w:lvlText w:val="•"/>
      <w:lvlJc w:val="left"/>
      <w:pPr>
        <w:ind w:left="1800" w:hanging="360"/>
      </w:pPr>
      <w:rPr>
        <w:rFonts w:ascii="Calibri" w:eastAsiaTheme="minorHAnsi" w:hAnsi="Calibri" w:cstheme="minorBidi" w:hint="default"/>
        <w:b w:val="0"/>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2D615F3"/>
    <w:multiLevelType w:val="multilevel"/>
    <w:tmpl w:val="487C0F2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9624D6E"/>
    <w:multiLevelType w:val="hybridMultilevel"/>
    <w:tmpl w:val="5C8AB4E8"/>
    <w:lvl w:ilvl="0" w:tplc="0C090001">
      <w:start w:val="1"/>
      <w:numFmt w:val="bullet"/>
      <w:lvlText w:val=""/>
      <w:lvlJc w:val="left"/>
      <w:pPr>
        <w:ind w:left="720" w:hanging="360"/>
      </w:pPr>
      <w:rPr>
        <w:rFonts w:ascii="Symbol" w:hAnsi="Symbol" w:hint="default"/>
      </w:rPr>
    </w:lvl>
    <w:lvl w:ilvl="1" w:tplc="87AC79EC">
      <w:numFmt w:val="bullet"/>
      <w:lvlText w:val="•"/>
      <w:lvlJc w:val="left"/>
      <w:pPr>
        <w:ind w:left="1440" w:hanging="360"/>
      </w:pPr>
      <w:rPr>
        <w:rFonts w:ascii="Calibri" w:eastAsiaTheme="minorHAnsi" w:hAnsi="Calibri" w:cstheme="minorBidi" w:hint="default"/>
        <w:b w:val="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9711BA8"/>
    <w:multiLevelType w:val="multilevel"/>
    <w:tmpl w:val="C142AD88"/>
    <w:name w:val="Leg Quote"/>
    <w:lvl w:ilvl="0">
      <w:start w:val="1"/>
      <w:numFmt w:val="decimal"/>
      <w:lvlText w:val="(%1)"/>
      <w:lvlJc w:val="left"/>
      <w:pPr>
        <w:tabs>
          <w:tab w:val="num" w:pos="851"/>
        </w:tabs>
        <w:ind w:left="454" w:firstLine="397"/>
      </w:pPr>
      <w:rPr>
        <w:rFonts w:hint="default"/>
      </w:rPr>
    </w:lvl>
    <w:lvl w:ilvl="1">
      <w:start w:val="1"/>
      <w:numFmt w:val="lowerLetter"/>
      <w:lvlText w:val="(%2)"/>
      <w:lvlJc w:val="left"/>
      <w:pPr>
        <w:tabs>
          <w:tab w:val="num" w:pos="1418"/>
        </w:tabs>
        <w:ind w:left="1021" w:firstLine="397"/>
      </w:pPr>
      <w:rPr>
        <w:rFonts w:hint="default"/>
      </w:rPr>
    </w:lvl>
    <w:lvl w:ilvl="2">
      <w:start w:val="1"/>
      <w:numFmt w:val="lowerRoman"/>
      <w:lvlText w:val="%3)"/>
      <w:lvlJc w:val="left"/>
      <w:pPr>
        <w:tabs>
          <w:tab w:val="num" w:pos="1985"/>
        </w:tabs>
        <w:ind w:left="1588" w:firstLine="397"/>
      </w:pPr>
      <w:rPr>
        <w:rFonts w:hint="default"/>
      </w:rPr>
    </w:lvl>
    <w:lvl w:ilvl="3">
      <w:start w:val="1"/>
      <w:numFmt w:val="decimal"/>
      <w:lvlText w:val="(%4)"/>
      <w:lvlJc w:val="left"/>
      <w:pPr>
        <w:tabs>
          <w:tab w:val="num" w:pos="2552"/>
        </w:tabs>
        <w:ind w:left="2155" w:firstLine="397"/>
      </w:pPr>
      <w:rPr>
        <w:rFonts w:hint="default"/>
      </w:rPr>
    </w:lvl>
    <w:lvl w:ilvl="4">
      <w:start w:val="1"/>
      <w:numFmt w:val="lowerLetter"/>
      <w:lvlText w:val="(%5)"/>
      <w:lvlJc w:val="left"/>
      <w:pPr>
        <w:tabs>
          <w:tab w:val="num" w:pos="3119"/>
        </w:tabs>
        <w:ind w:left="2722" w:firstLine="397"/>
      </w:pPr>
      <w:rPr>
        <w:rFonts w:hint="default"/>
      </w:rPr>
    </w:lvl>
    <w:lvl w:ilvl="5">
      <w:start w:val="1"/>
      <w:numFmt w:val="lowerRoman"/>
      <w:lvlText w:val="(%6)"/>
      <w:lvlJc w:val="left"/>
      <w:pPr>
        <w:tabs>
          <w:tab w:val="num" w:pos="3686"/>
        </w:tabs>
        <w:ind w:left="3289" w:firstLine="397"/>
      </w:pPr>
      <w:rPr>
        <w:rFonts w:hint="default"/>
      </w:rPr>
    </w:lvl>
    <w:lvl w:ilvl="6">
      <w:start w:val="1"/>
      <w:numFmt w:val="decimal"/>
      <w:lvlText w:val="%7."/>
      <w:lvlJc w:val="left"/>
      <w:pPr>
        <w:tabs>
          <w:tab w:val="num" w:pos="4253"/>
        </w:tabs>
        <w:ind w:left="3856" w:firstLine="397"/>
      </w:pPr>
      <w:rPr>
        <w:rFonts w:hint="default"/>
      </w:rPr>
    </w:lvl>
    <w:lvl w:ilvl="7">
      <w:start w:val="1"/>
      <w:numFmt w:val="lowerLetter"/>
      <w:lvlText w:val="%8."/>
      <w:lvlJc w:val="left"/>
      <w:pPr>
        <w:tabs>
          <w:tab w:val="num" w:pos="4820"/>
        </w:tabs>
        <w:ind w:left="4423" w:firstLine="397"/>
      </w:pPr>
      <w:rPr>
        <w:rFonts w:hint="default"/>
      </w:rPr>
    </w:lvl>
    <w:lvl w:ilvl="8">
      <w:start w:val="1"/>
      <w:numFmt w:val="lowerRoman"/>
      <w:lvlText w:val="%9."/>
      <w:lvlJc w:val="left"/>
      <w:pPr>
        <w:tabs>
          <w:tab w:val="num" w:pos="5387"/>
        </w:tabs>
        <w:ind w:left="4990" w:firstLine="397"/>
      </w:pPr>
      <w:rPr>
        <w:rFonts w:hint="default"/>
      </w:rPr>
    </w:lvl>
  </w:abstractNum>
  <w:abstractNum w:abstractNumId="29" w15:restartNumberingAfterBreak="0">
    <w:nsid w:val="65496197"/>
    <w:multiLevelType w:val="multilevel"/>
    <w:tmpl w:val="6F6A9636"/>
    <w:lvl w:ilvl="0">
      <w:start w:val="1"/>
      <w:numFmt w:val="lowerRoman"/>
      <w:pStyle w:val="Bulletlistroman"/>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0" w15:restartNumberingAfterBreak="0">
    <w:nsid w:val="6E034034"/>
    <w:multiLevelType w:val="multilevel"/>
    <w:tmpl w:val="A5ECBD6A"/>
    <w:styleLink w:val="Style2"/>
    <w:lvl w:ilvl="0">
      <w:start w:val="1"/>
      <w:numFmt w:val="decimal"/>
      <w:lvlText w:val="%1.1"/>
      <w:lvlJc w:val="left"/>
      <w:pPr>
        <w:ind w:left="432" w:hanging="432"/>
      </w:pPr>
      <w:rPr>
        <w:rFonts w:cs="Times New Roman" w:hint="default"/>
      </w:rPr>
    </w:lvl>
    <w:lvl w:ilvl="1">
      <w:start w:val="1"/>
      <w:numFmt w:val="none"/>
      <w:lvlText w:val=""/>
      <w:lvlJc w:val="left"/>
      <w:pPr>
        <w:ind w:left="576" w:hanging="576"/>
      </w:pPr>
      <w:rPr>
        <w:rFonts w:cs="Times New Roman" w:hint="default"/>
      </w:rPr>
    </w:lvl>
    <w:lvl w:ilvl="2">
      <w:start w:val="1"/>
      <w:numFmt w:val="none"/>
      <w:lvlText w:val=""/>
      <w:lvlJc w:val="left"/>
      <w:pPr>
        <w:ind w:left="720" w:hanging="720"/>
      </w:pPr>
      <w:rPr>
        <w:rFonts w:cs="Times New Roman" w:hint="default"/>
      </w:rPr>
    </w:lvl>
    <w:lvl w:ilvl="3">
      <w:start w:val="1"/>
      <w:numFmt w:val="none"/>
      <w:lvlText w:val=""/>
      <w:lvlJc w:val="left"/>
      <w:pPr>
        <w:ind w:left="864" w:hanging="864"/>
      </w:pPr>
      <w:rPr>
        <w:rFonts w:cs="Times New Roman" w:hint="default"/>
      </w:rPr>
    </w:lvl>
    <w:lvl w:ilvl="4">
      <w:start w:val="1"/>
      <w:numFmt w:val="none"/>
      <w:lvlText w:val=""/>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7%1.%21"/>
      <w:lvlJc w:val="left"/>
      <w:pPr>
        <w:ind w:left="1296" w:hanging="1296"/>
      </w:pPr>
      <w:rPr>
        <w:rFonts w:cs="Times New Roman" w:hint="default"/>
      </w:rPr>
    </w:lvl>
    <w:lvl w:ilvl="7">
      <w:start w:val="1"/>
      <w:numFmt w:val="decimal"/>
      <w:lvlText w:val="%8%1.%21.1"/>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1" w15:restartNumberingAfterBreak="0">
    <w:nsid w:val="79772D54"/>
    <w:multiLevelType w:val="hybridMultilevel"/>
    <w:tmpl w:val="4F84FB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D1314E2"/>
    <w:multiLevelType w:val="hybridMultilevel"/>
    <w:tmpl w:val="4D88D650"/>
    <w:lvl w:ilvl="0" w:tplc="3894EE82">
      <w:start w:val="1"/>
      <w:numFmt w:val="bullet"/>
      <w:pStyle w:val="Bulletlistlevel1"/>
      <w:lvlText w:val=""/>
      <w:lvlJc w:val="left"/>
      <w:pPr>
        <w:ind w:left="-414" w:hanging="360"/>
      </w:pPr>
      <w:rPr>
        <w:rFonts w:ascii="Symbol" w:hAnsi="Symbol" w:hint="default"/>
      </w:rPr>
    </w:lvl>
    <w:lvl w:ilvl="1" w:tplc="87D8F8F0" w:tentative="1">
      <w:start w:val="1"/>
      <w:numFmt w:val="lowerLetter"/>
      <w:lvlText w:val="%2."/>
      <w:lvlJc w:val="left"/>
      <w:pPr>
        <w:ind w:left="306" w:hanging="360"/>
      </w:pPr>
      <w:rPr>
        <w:rFonts w:cs="Times New Roman"/>
      </w:rPr>
    </w:lvl>
    <w:lvl w:ilvl="2" w:tplc="B1323CB8" w:tentative="1">
      <w:start w:val="1"/>
      <w:numFmt w:val="lowerRoman"/>
      <w:lvlText w:val="%3."/>
      <w:lvlJc w:val="right"/>
      <w:pPr>
        <w:ind w:left="1026" w:hanging="180"/>
      </w:pPr>
      <w:rPr>
        <w:rFonts w:cs="Times New Roman"/>
      </w:rPr>
    </w:lvl>
    <w:lvl w:ilvl="3" w:tplc="CAE0A252" w:tentative="1">
      <w:start w:val="1"/>
      <w:numFmt w:val="decimal"/>
      <w:lvlText w:val="%4."/>
      <w:lvlJc w:val="left"/>
      <w:pPr>
        <w:ind w:left="1746" w:hanging="360"/>
      </w:pPr>
      <w:rPr>
        <w:rFonts w:cs="Times New Roman"/>
      </w:rPr>
    </w:lvl>
    <w:lvl w:ilvl="4" w:tplc="A496904E" w:tentative="1">
      <w:start w:val="1"/>
      <w:numFmt w:val="lowerLetter"/>
      <w:lvlText w:val="%5."/>
      <w:lvlJc w:val="left"/>
      <w:pPr>
        <w:ind w:left="2466" w:hanging="360"/>
      </w:pPr>
      <w:rPr>
        <w:rFonts w:cs="Times New Roman"/>
      </w:rPr>
    </w:lvl>
    <w:lvl w:ilvl="5" w:tplc="867CAE32" w:tentative="1">
      <w:start w:val="1"/>
      <w:numFmt w:val="lowerRoman"/>
      <w:lvlText w:val="%6."/>
      <w:lvlJc w:val="right"/>
      <w:pPr>
        <w:ind w:left="3186" w:hanging="180"/>
      </w:pPr>
      <w:rPr>
        <w:rFonts w:cs="Times New Roman"/>
      </w:rPr>
    </w:lvl>
    <w:lvl w:ilvl="6" w:tplc="36B64AEE" w:tentative="1">
      <w:start w:val="1"/>
      <w:numFmt w:val="decimal"/>
      <w:lvlText w:val="%7."/>
      <w:lvlJc w:val="left"/>
      <w:pPr>
        <w:ind w:left="3906" w:hanging="360"/>
      </w:pPr>
      <w:rPr>
        <w:rFonts w:cs="Times New Roman"/>
      </w:rPr>
    </w:lvl>
    <w:lvl w:ilvl="7" w:tplc="EB0E0432" w:tentative="1">
      <w:start w:val="1"/>
      <w:numFmt w:val="lowerLetter"/>
      <w:lvlText w:val="%8."/>
      <w:lvlJc w:val="left"/>
      <w:pPr>
        <w:ind w:left="4626" w:hanging="360"/>
      </w:pPr>
      <w:rPr>
        <w:rFonts w:cs="Times New Roman"/>
      </w:rPr>
    </w:lvl>
    <w:lvl w:ilvl="8" w:tplc="4C4454F4" w:tentative="1">
      <w:start w:val="1"/>
      <w:numFmt w:val="lowerRoman"/>
      <w:lvlText w:val="%9."/>
      <w:lvlJc w:val="right"/>
      <w:pPr>
        <w:ind w:left="5346" w:hanging="180"/>
      </w:pPr>
      <w:rPr>
        <w:rFonts w:cs="Times New Roman"/>
      </w:rPr>
    </w:lvl>
  </w:abstractNum>
  <w:abstractNum w:abstractNumId="33" w15:restartNumberingAfterBreak="0">
    <w:nsid w:val="7E2C32DE"/>
    <w:multiLevelType w:val="hybridMultilevel"/>
    <w:tmpl w:val="6C567BD6"/>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1"/>
  </w:num>
  <w:num w:numId="13">
    <w:abstractNumId w:val="13"/>
  </w:num>
  <w:num w:numId="14">
    <w:abstractNumId w:val="25"/>
  </w:num>
  <w:num w:numId="15">
    <w:abstractNumId w:val="16"/>
  </w:num>
  <w:num w:numId="16">
    <w:abstractNumId w:val="32"/>
  </w:num>
  <w:num w:numId="17">
    <w:abstractNumId w:val="22"/>
  </w:num>
  <w:num w:numId="18">
    <w:abstractNumId w:val="11"/>
  </w:num>
  <w:num w:numId="19">
    <w:abstractNumId w:val="17"/>
  </w:num>
  <w:num w:numId="20">
    <w:abstractNumId w:val="30"/>
  </w:num>
  <w:num w:numId="21">
    <w:abstractNumId w:val="29"/>
  </w:num>
  <w:num w:numId="22">
    <w:abstractNumId w:val="19"/>
  </w:num>
  <w:num w:numId="23">
    <w:abstractNumId w:val="20"/>
  </w:num>
  <w:num w:numId="24">
    <w:abstractNumId w:val="10"/>
  </w:num>
  <w:num w:numId="25">
    <w:abstractNumId w:val="18"/>
  </w:num>
  <w:num w:numId="26">
    <w:abstractNumId w:val="33"/>
  </w:num>
  <w:num w:numId="27">
    <w:abstractNumId w:val="24"/>
  </w:num>
  <w:num w:numId="28">
    <w:abstractNumId w:val="14"/>
  </w:num>
  <w:num w:numId="29">
    <w:abstractNumId w:val="31"/>
  </w:num>
  <w:num w:numId="30">
    <w:abstractNumId w:val="15"/>
  </w:num>
  <w:num w:numId="31">
    <w:abstractNumId w:val="27"/>
  </w:num>
  <w:num w:numId="32">
    <w:abstractNumId w:val="12"/>
  </w:num>
  <w:num w:numId="33">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346"/>
  <w:evenAndOddHeaders/>
  <w:characterSpacingControl w:val="doNotCompress"/>
  <w:hdrShapeDefaults>
    <o:shapedefaults v:ext="edit" spidmax="2050" style="mso-position-horizontal:center;mso-position-horizontal-relative:margin;mso-position-vertical:center;mso-position-vertical-relative:margin" o:allowincell="f" fillcolor="silver" stroke="f">
      <v:fill color="silver" opacity=".5"/>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846"/>
    <w:rsid w:val="000011FF"/>
    <w:rsid w:val="000016B7"/>
    <w:rsid w:val="00001839"/>
    <w:rsid w:val="00004BBA"/>
    <w:rsid w:val="00012062"/>
    <w:rsid w:val="00012C7C"/>
    <w:rsid w:val="00013BA7"/>
    <w:rsid w:val="00015B3E"/>
    <w:rsid w:val="00016CCD"/>
    <w:rsid w:val="00016ECB"/>
    <w:rsid w:val="000171BE"/>
    <w:rsid w:val="0001725A"/>
    <w:rsid w:val="000223B2"/>
    <w:rsid w:val="00022A35"/>
    <w:rsid w:val="000233EA"/>
    <w:rsid w:val="000238D1"/>
    <w:rsid w:val="00024BDA"/>
    <w:rsid w:val="00025A33"/>
    <w:rsid w:val="00026D92"/>
    <w:rsid w:val="00030285"/>
    <w:rsid w:val="0003048A"/>
    <w:rsid w:val="00031176"/>
    <w:rsid w:val="00031636"/>
    <w:rsid w:val="00032058"/>
    <w:rsid w:val="00034823"/>
    <w:rsid w:val="00034ADC"/>
    <w:rsid w:val="00034CCA"/>
    <w:rsid w:val="00036A58"/>
    <w:rsid w:val="00037980"/>
    <w:rsid w:val="00037B25"/>
    <w:rsid w:val="00040028"/>
    <w:rsid w:val="000421E6"/>
    <w:rsid w:val="00042C45"/>
    <w:rsid w:val="00044012"/>
    <w:rsid w:val="0004551E"/>
    <w:rsid w:val="00045F75"/>
    <w:rsid w:val="00046DE2"/>
    <w:rsid w:val="0005204D"/>
    <w:rsid w:val="00052319"/>
    <w:rsid w:val="00052A23"/>
    <w:rsid w:val="00052F85"/>
    <w:rsid w:val="00055077"/>
    <w:rsid w:val="00056859"/>
    <w:rsid w:val="00060E04"/>
    <w:rsid w:val="00061AB9"/>
    <w:rsid w:val="00061B6D"/>
    <w:rsid w:val="00061D08"/>
    <w:rsid w:val="00062087"/>
    <w:rsid w:val="00064F19"/>
    <w:rsid w:val="00067FAE"/>
    <w:rsid w:val="0007009F"/>
    <w:rsid w:val="0007136A"/>
    <w:rsid w:val="00073340"/>
    <w:rsid w:val="0007461D"/>
    <w:rsid w:val="0007556D"/>
    <w:rsid w:val="0007683A"/>
    <w:rsid w:val="00077835"/>
    <w:rsid w:val="0008186E"/>
    <w:rsid w:val="000823F3"/>
    <w:rsid w:val="000840B5"/>
    <w:rsid w:val="00086C99"/>
    <w:rsid w:val="0009152D"/>
    <w:rsid w:val="000915D1"/>
    <w:rsid w:val="00092119"/>
    <w:rsid w:val="000927C6"/>
    <w:rsid w:val="00093922"/>
    <w:rsid w:val="000941F6"/>
    <w:rsid w:val="00094D98"/>
    <w:rsid w:val="00095C7A"/>
    <w:rsid w:val="000967E6"/>
    <w:rsid w:val="000971E6"/>
    <w:rsid w:val="000A16C9"/>
    <w:rsid w:val="000A2214"/>
    <w:rsid w:val="000A33FE"/>
    <w:rsid w:val="000A5E0A"/>
    <w:rsid w:val="000A6724"/>
    <w:rsid w:val="000A78C0"/>
    <w:rsid w:val="000B0846"/>
    <w:rsid w:val="000B0CDE"/>
    <w:rsid w:val="000B12AD"/>
    <w:rsid w:val="000B4BFC"/>
    <w:rsid w:val="000B504D"/>
    <w:rsid w:val="000B510A"/>
    <w:rsid w:val="000B71DA"/>
    <w:rsid w:val="000C0208"/>
    <w:rsid w:val="000C0965"/>
    <w:rsid w:val="000C1130"/>
    <w:rsid w:val="000C12B1"/>
    <w:rsid w:val="000C12C3"/>
    <w:rsid w:val="000C2759"/>
    <w:rsid w:val="000C30A9"/>
    <w:rsid w:val="000C3653"/>
    <w:rsid w:val="000C49C9"/>
    <w:rsid w:val="000C5573"/>
    <w:rsid w:val="000C59EC"/>
    <w:rsid w:val="000C6DFF"/>
    <w:rsid w:val="000C6FA0"/>
    <w:rsid w:val="000C7916"/>
    <w:rsid w:val="000D384D"/>
    <w:rsid w:val="000D5EDC"/>
    <w:rsid w:val="000D68A2"/>
    <w:rsid w:val="000D6984"/>
    <w:rsid w:val="000D7541"/>
    <w:rsid w:val="000D7EBD"/>
    <w:rsid w:val="000E13B4"/>
    <w:rsid w:val="000E231B"/>
    <w:rsid w:val="000E440E"/>
    <w:rsid w:val="000E5A5A"/>
    <w:rsid w:val="000E66C0"/>
    <w:rsid w:val="000E79A3"/>
    <w:rsid w:val="000F0EFB"/>
    <w:rsid w:val="000F3D5D"/>
    <w:rsid w:val="00100B5B"/>
    <w:rsid w:val="001013B4"/>
    <w:rsid w:val="00101A1A"/>
    <w:rsid w:val="00103599"/>
    <w:rsid w:val="00103E7B"/>
    <w:rsid w:val="00104A8B"/>
    <w:rsid w:val="00104CBD"/>
    <w:rsid w:val="00105A3D"/>
    <w:rsid w:val="0010659A"/>
    <w:rsid w:val="001069C1"/>
    <w:rsid w:val="00106A85"/>
    <w:rsid w:val="001107D1"/>
    <w:rsid w:val="00112799"/>
    <w:rsid w:val="00115163"/>
    <w:rsid w:val="001154AD"/>
    <w:rsid w:val="00116A46"/>
    <w:rsid w:val="00116E9B"/>
    <w:rsid w:val="001201A6"/>
    <w:rsid w:val="00120F86"/>
    <w:rsid w:val="00121896"/>
    <w:rsid w:val="00123DBF"/>
    <w:rsid w:val="00125EA4"/>
    <w:rsid w:val="001266E9"/>
    <w:rsid w:val="00126D9A"/>
    <w:rsid w:val="00127856"/>
    <w:rsid w:val="00131525"/>
    <w:rsid w:val="00132097"/>
    <w:rsid w:val="0013258C"/>
    <w:rsid w:val="00133077"/>
    <w:rsid w:val="00133A87"/>
    <w:rsid w:val="00133AB1"/>
    <w:rsid w:val="00137745"/>
    <w:rsid w:val="001409BD"/>
    <w:rsid w:val="001415F9"/>
    <w:rsid w:val="00144967"/>
    <w:rsid w:val="0014536B"/>
    <w:rsid w:val="00145B35"/>
    <w:rsid w:val="00145C9B"/>
    <w:rsid w:val="00147B04"/>
    <w:rsid w:val="00150083"/>
    <w:rsid w:val="001505EB"/>
    <w:rsid w:val="00151C3B"/>
    <w:rsid w:val="0015201D"/>
    <w:rsid w:val="001562EC"/>
    <w:rsid w:val="0016069D"/>
    <w:rsid w:val="001606A8"/>
    <w:rsid w:val="00163101"/>
    <w:rsid w:val="0016463A"/>
    <w:rsid w:val="00165699"/>
    <w:rsid w:val="00167169"/>
    <w:rsid w:val="00167537"/>
    <w:rsid w:val="00167EE2"/>
    <w:rsid w:val="0017063D"/>
    <w:rsid w:val="00170F9C"/>
    <w:rsid w:val="001712BC"/>
    <w:rsid w:val="001722F9"/>
    <w:rsid w:val="0017558F"/>
    <w:rsid w:val="0017638E"/>
    <w:rsid w:val="001777EE"/>
    <w:rsid w:val="001779EA"/>
    <w:rsid w:val="00180581"/>
    <w:rsid w:val="00180D09"/>
    <w:rsid w:val="001820C5"/>
    <w:rsid w:val="001829FA"/>
    <w:rsid w:val="00182A2F"/>
    <w:rsid w:val="001839D6"/>
    <w:rsid w:val="00184A7B"/>
    <w:rsid w:val="00184C56"/>
    <w:rsid w:val="00184D61"/>
    <w:rsid w:val="0018598D"/>
    <w:rsid w:val="00187105"/>
    <w:rsid w:val="0019001E"/>
    <w:rsid w:val="001917B3"/>
    <w:rsid w:val="001917DA"/>
    <w:rsid w:val="00192003"/>
    <w:rsid w:val="00192010"/>
    <w:rsid w:val="00195221"/>
    <w:rsid w:val="0019559B"/>
    <w:rsid w:val="00195B4C"/>
    <w:rsid w:val="00196028"/>
    <w:rsid w:val="001974F6"/>
    <w:rsid w:val="001A1A54"/>
    <w:rsid w:val="001A28BF"/>
    <w:rsid w:val="001A46D3"/>
    <w:rsid w:val="001A5F09"/>
    <w:rsid w:val="001A78B6"/>
    <w:rsid w:val="001B0650"/>
    <w:rsid w:val="001B09FD"/>
    <w:rsid w:val="001B1173"/>
    <w:rsid w:val="001B207B"/>
    <w:rsid w:val="001B22F0"/>
    <w:rsid w:val="001B36FB"/>
    <w:rsid w:val="001B457B"/>
    <w:rsid w:val="001B4892"/>
    <w:rsid w:val="001B4930"/>
    <w:rsid w:val="001B5859"/>
    <w:rsid w:val="001B5C86"/>
    <w:rsid w:val="001B5E58"/>
    <w:rsid w:val="001B5EB3"/>
    <w:rsid w:val="001B73A1"/>
    <w:rsid w:val="001C11EA"/>
    <w:rsid w:val="001C2A48"/>
    <w:rsid w:val="001C3269"/>
    <w:rsid w:val="001C5D82"/>
    <w:rsid w:val="001C6D5B"/>
    <w:rsid w:val="001C719C"/>
    <w:rsid w:val="001C7639"/>
    <w:rsid w:val="001D2441"/>
    <w:rsid w:val="001D2873"/>
    <w:rsid w:val="001D5DBF"/>
    <w:rsid w:val="001D60B6"/>
    <w:rsid w:val="001E0B71"/>
    <w:rsid w:val="001E197A"/>
    <w:rsid w:val="001E2F75"/>
    <w:rsid w:val="001E3462"/>
    <w:rsid w:val="001E3BA1"/>
    <w:rsid w:val="001E533E"/>
    <w:rsid w:val="001E56FE"/>
    <w:rsid w:val="001E6B34"/>
    <w:rsid w:val="001E6B45"/>
    <w:rsid w:val="001F1058"/>
    <w:rsid w:val="001F1D6D"/>
    <w:rsid w:val="001F48AB"/>
    <w:rsid w:val="001F49B7"/>
    <w:rsid w:val="001F622E"/>
    <w:rsid w:val="00202660"/>
    <w:rsid w:val="00202BE1"/>
    <w:rsid w:val="002031BD"/>
    <w:rsid w:val="002032A0"/>
    <w:rsid w:val="002064D0"/>
    <w:rsid w:val="002076F3"/>
    <w:rsid w:val="002103BD"/>
    <w:rsid w:val="00210A63"/>
    <w:rsid w:val="0021195E"/>
    <w:rsid w:val="002128AF"/>
    <w:rsid w:val="00212F5E"/>
    <w:rsid w:val="0021614E"/>
    <w:rsid w:val="00216794"/>
    <w:rsid w:val="00220914"/>
    <w:rsid w:val="00221C9C"/>
    <w:rsid w:val="0022278A"/>
    <w:rsid w:val="00224D59"/>
    <w:rsid w:val="002259AC"/>
    <w:rsid w:val="002264FA"/>
    <w:rsid w:val="00226A15"/>
    <w:rsid w:val="002270B3"/>
    <w:rsid w:val="0023358B"/>
    <w:rsid w:val="00233BF7"/>
    <w:rsid w:val="00235D37"/>
    <w:rsid w:val="002371DB"/>
    <w:rsid w:val="00237B6F"/>
    <w:rsid w:val="00240841"/>
    <w:rsid w:val="002412A4"/>
    <w:rsid w:val="00243563"/>
    <w:rsid w:val="00243715"/>
    <w:rsid w:val="00243CBE"/>
    <w:rsid w:val="00243DCB"/>
    <w:rsid w:val="0024524F"/>
    <w:rsid w:val="002458C5"/>
    <w:rsid w:val="00245D9F"/>
    <w:rsid w:val="002502AF"/>
    <w:rsid w:val="00252497"/>
    <w:rsid w:val="00252BBC"/>
    <w:rsid w:val="00254B7A"/>
    <w:rsid w:val="00256D7D"/>
    <w:rsid w:val="00256FBC"/>
    <w:rsid w:val="00262C9C"/>
    <w:rsid w:val="00264222"/>
    <w:rsid w:val="002644BB"/>
    <w:rsid w:val="002649B5"/>
    <w:rsid w:val="002718FF"/>
    <w:rsid w:val="00271A5B"/>
    <w:rsid w:val="00275330"/>
    <w:rsid w:val="002753EE"/>
    <w:rsid w:val="002805F4"/>
    <w:rsid w:val="002806E8"/>
    <w:rsid w:val="00283F5C"/>
    <w:rsid w:val="00285ABC"/>
    <w:rsid w:val="00286673"/>
    <w:rsid w:val="00287FC6"/>
    <w:rsid w:val="002973FA"/>
    <w:rsid w:val="00297673"/>
    <w:rsid w:val="002A185D"/>
    <w:rsid w:val="002A24D0"/>
    <w:rsid w:val="002A5344"/>
    <w:rsid w:val="002B1AC8"/>
    <w:rsid w:val="002B23FF"/>
    <w:rsid w:val="002B388D"/>
    <w:rsid w:val="002B660A"/>
    <w:rsid w:val="002C3AC7"/>
    <w:rsid w:val="002C3CF7"/>
    <w:rsid w:val="002C548A"/>
    <w:rsid w:val="002D0603"/>
    <w:rsid w:val="002D0702"/>
    <w:rsid w:val="002D1047"/>
    <w:rsid w:val="002D3B0A"/>
    <w:rsid w:val="002D485F"/>
    <w:rsid w:val="002D7840"/>
    <w:rsid w:val="002E0324"/>
    <w:rsid w:val="002E2EB3"/>
    <w:rsid w:val="002E344A"/>
    <w:rsid w:val="002E6EB6"/>
    <w:rsid w:val="002E726C"/>
    <w:rsid w:val="002F04E9"/>
    <w:rsid w:val="002F0D7F"/>
    <w:rsid w:val="002F1119"/>
    <w:rsid w:val="002F13B7"/>
    <w:rsid w:val="002F1D67"/>
    <w:rsid w:val="00301635"/>
    <w:rsid w:val="00301F54"/>
    <w:rsid w:val="00302004"/>
    <w:rsid w:val="00302510"/>
    <w:rsid w:val="00302BD1"/>
    <w:rsid w:val="00302DF4"/>
    <w:rsid w:val="00303425"/>
    <w:rsid w:val="003042B1"/>
    <w:rsid w:val="003045B8"/>
    <w:rsid w:val="003045ED"/>
    <w:rsid w:val="00306B22"/>
    <w:rsid w:val="0031203B"/>
    <w:rsid w:val="003127FB"/>
    <w:rsid w:val="00314CF6"/>
    <w:rsid w:val="003155F0"/>
    <w:rsid w:val="0031570D"/>
    <w:rsid w:val="00316B2D"/>
    <w:rsid w:val="00317346"/>
    <w:rsid w:val="00317393"/>
    <w:rsid w:val="0031748B"/>
    <w:rsid w:val="00317E73"/>
    <w:rsid w:val="0032291C"/>
    <w:rsid w:val="00326327"/>
    <w:rsid w:val="00330E92"/>
    <w:rsid w:val="00331026"/>
    <w:rsid w:val="0033431C"/>
    <w:rsid w:val="003345DA"/>
    <w:rsid w:val="00336217"/>
    <w:rsid w:val="00336E84"/>
    <w:rsid w:val="003379D7"/>
    <w:rsid w:val="00337F40"/>
    <w:rsid w:val="003418C1"/>
    <w:rsid w:val="00341C98"/>
    <w:rsid w:val="003433AB"/>
    <w:rsid w:val="003443EB"/>
    <w:rsid w:val="00344677"/>
    <w:rsid w:val="003446DE"/>
    <w:rsid w:val="003458E5"/>
    <w:rsid w:val="00345A6D"/>
    <w:rsid w:val="003461FC"/>
    <w:rsid w:val="0034635E"/>
    <w:rsid w:val="00346CDE"/>
    <w:rsid w:val="00347618"/>
    <w:rsid w:val="00351015"/>
    <w:rsid w:val="00351A66"/>
    <w:rsid w:val="00351AD0"/>
    <w:rsid w:val="00352BB3"/>
    <w:rsid w:val="003534F8"/>
    <w:rsid w:val="0035425D"/>
    <w:rsid w:val="00354B0F"/>
    <w:rsid w:val="00355DF5"/>
    <w:rsid w:val="003574E8"/>
    <w:rsid w:val="00357A4D"/>
    <w:rsid w:val="00361375"/>
    <w:rsid w:val="0036212E"/>
    <w:rsid w:val="00365970"/>
    <w:rsid w:val="003660F9"/>
    <w:rsid w:val="00367B9B"/>
    <w:rsid w:val="003716A1"/>
    <w:rsid w:val="00372D3F"/>
    <w:rsid w:val="00373BD9"/>
    <w:rsid w:val="00374A59"/>
    <w:rsid w:val="003752E9"/>
    <w:rsid w:val="0037551C"/>
    <w:rsid w:val="0037659F"/>
    <w:rsid w:val="003823E4"/>
    <w:rsid w:val="00382B8E"/>
    <w:rsid w:val="0038468B"/>
    <w:rsid w:val="00384D92"/>
    <w:rsid w:val="003853BC"/>
    <w:rsid w:val="00385C4E"/>
    <w:rsid w:val="00386C0A"/>
    <w:rsid w:val="00387610"/>
    <w:rsid w:val="0038795E"/>
    <w:rsid w:val="00392C13"/>
    <w:rsid w:val="003A1F37"/>
    <w:rsid w:val="003A23E6"/>
    <w:rsid w:val="003A4294"/>
    <w:rsid w:val="003A5E73"/>
    <w:rsid w:val="003A7F93"/>
    <w:rsid w:val="003B3549"/>
    <w:rsid w:val="003B6A7E"/>
    <w:rsid w:val="003C1078"/>
    <w:rsid w:val="003C4A44"/>
    <w:rsid w:val="003C5A05"/>
    <w:rsid w:val="003C60E7"/>
    <w:rsid w:val="003C71A8"/>
    <w:rsid w:val="003C73B2"/>
    <w:rsid w:val="003D1F10"/>
    <w:rsid w:val="003D2825"/>
    <w:rsid w:val="003D3A4E"/>
    <w:rsid w:val="003D495F"/>
    <w:rsid w:val="003D4E3B"/>
    <w:rsid w:val="003D5EAE"/>
    <w:rsid w:val="003D6C98"/>
    <w:rsid w:val="003E032C"/>
    <w:rsid w:val="003E19C9"/>
    <w:rsid w:val="003E2637"/>
    <w:rsid w:val="003E361F"/>
    <w:rsid w:val="003E4C0B"/>
    <w:rsid w:val="003E5311"/>
    <w:rsid w:val="003E792C"/>
    <w:rsid w:val="003E7E8B"/>
    <w:rsid w:val="003F186C"/>
    <w:rsid w:val="003F27B3"/>
    <w:rsid w:val="003F2C48"/>
    <w:rsid w:val="003F2D4B"/>
    <w:rsid w:val="003F4177"/>
    <w:rsid w:val="003F44C3"/>
    <w:rsid w:val="003F5C36"/>
    <w:rsid w:val="003F6DD6"/>
    <w:rsid w:val="004008C9"/>
    <w:rsid w:val="00405459"/>
    <w:rsid w:val="00405D16"/>
    <w:rsid w:val="00406890"/>
    <w:rsid w:val="004106A9"/>
    <w:rsid w:val="00410B6A"/>
    <w:rsid w:val="00412296"/>
    <w:rsid w:val="00412858"/>
    <w:rsid w:val="00414319"/>
    <w:rsid w:val="00415478"/>
    <w:rsid w:val="004154A3"/>
    <w:rsid w:val="00416EB1"/>
    <w:rsid w:val="004170C2"/>
    <w:rsid w:val="004238FA"/>
    <w:rsid w:val="00424D0D"/>
    <w:rsid w:val="00424FD2"/>
    <w:rsid w:val="0042643F"/>
    <w:rsid w:val="0043069F"/>
    <w:rsid w:val="00430D98"/>
    <w:rsid w:val="00431098"/>
    <w:rsid w:val="00432423"/>
    <w:rsid w:val="00433489"/>
    <w:rsid w:val="00433C0F"/>
    <w:rsid w:val="00433C23"/>
    <w:rsid w:val="00434745"/>
    <w:rsid w:val="00435E76"/>
    <w:rsid w:val="00435EFE"/>
    <w:rsid w:val="004416E8"/>
    <w:rsid w:val="00442440"/>
    <w:rsid w:val="00443DBC"/>
    <w:rsid w:val="004449E4"/>
    <w:rsid w:val="0044555E"/>
    <w:rsid w:val="00445EFF"/>
    <w:rsid w:val="0044629B"/>
    <w:rsid w:val="00451132"/>
    <w:rsid w:val="00454870"/>
    <w:rsid w:val="00454D04"/>
    <w:rsid w:val="00457A9B"/>
    <w:rsid w:val="004616E0"/>
    <w:rsid w:val="004641A0"/>
    <w:rsid w:val="00464752"/>
    <w:rsid w:val="0046526A"/>
    <w:rsid w:val="00465C30"/>
    <w:rsid w:val="0046623E"/>
    <w:rsid w:val="0046775E"/>
    <w:rsid w:val="00470CB9"/>
    <w:rsid w:val="00471620"/>
    <w:rsid w:val="00473CCE"/>
    <w:rsid w:val="00473E22"/>
    <w:rsid w:val="00474136"/>
    <w:rsid w:val="00474EC6"/>
    <w:rsid w:val="00475385"/>
    <w:rsid w:val="004758C1"/>
    <w:rsid w:val="00475A42"/>
    <w:rsid w:val="00475B8B"/>
    <w:rsid w:val="00480E59"/>
    <w:rsid w:val="00481446"/>
    <w:rsid w:val="00484A97"/>
    <w:rsid w:val="00486F69"/>
    <w:rsid w:val="00487421"/>
    <w:rsid w:val="004909C8"/>
    <w:rsid w:val="0049262E"/>
    <w:rsid w:val="00492C1E"/>
    <w:rsid w:val="00492DDF"/>
    <w:rsid w:val="00492EFA"/>
    <w:rsid w:val="00496C40"/>
    <w:rsid w:val="004975E9"/>
    <w:rsid w:val="004A069D"/>
    <w:rsid w:val="004A1224"/>
    <w:rsid w:val="004A21FF"/>
    <w:rsid w:val="004A2390"/>
    <w:rsid w:val="004A3FBA"/>
    <w:rsid w:val="004A47B6"/>
    <w:rsid w:val="004A4A2A"/>
    <w:rsid w:val="004A763D"/>
    <w:rsid w:val="004A7AAE"/>
    <w:rsid w:val="004A7DAA"/>
    <w:rsid w:val="004B065D"/>
    <w:rsid w:val="004B1072"/>
    <w:rsid w:val="004B1188"/>
    <w:rsid w:val="004B23EC"/>
    <w:rsid w:val="004B2546"/>
    <w:rsid w:val="004B428C"/>
    <w:rsid w:val="004B4505"/>
    <w:rsid w:val="004B546F"/>
    <w:rsid w:val="004B6287"/>
    <w:rsid w:val="004B6AD2"/>
    <w:rsid w:val="004C08E9"/>
    <w:rsid w:val="004C0AA7"/>
    <w:rsid w:val="004C1D20"/>
    <w:rsid w:val="004C1F31"/>
    <w:rsid w:val="004C35FA"/>
    <w:rsid w:val="004C3CE8"/>
    <w:rsid w:val="004C6F1E"/>
    <w:rsid w:val="004C7E95"/>
    <w:rsid w:val="004D2235"/>
    <w:rsid w:val="004D3094"/>
    <w:rsid w:val="004E4D9C"/>
    <w:rsid w:val="004E5CC4"/>
    <w:rsid w:val="004E69C7"/>
    <w:rsid w:val="004E7305"/>
    <w:rsid w:val="004E7C1D"/>
    <w:rsid w:val="004F019A"/>
    <w:rsid w:val="004F0366"/>
    <w:rsid w:val="004F4BD9"/>
    <w:rsid w:val="004F5121"/>
    <w:rsid w:val="004F6AC2"/>
    <w:rsid w:val="004F6D09"/>
    <w:rsid w:val="00500866"/>
    <w:rsid w:val="00500C4A"/>
    <w:rsid w:val="00501A3F"/>
    <w:rsid w:val="00501CD0"/>
    <w:rsid w:val="005024AF"/>
    <w:rsid w:val="005030F9"/>
    <w:rsid w:val="00503304"/>
    <w:rsid w:val="005074A4"/>
    <w:rsid w:val="00510424"/>
    <w:rsid w:val="00511278"/>
    <w:rsid w:val="005114F8"/>
    <w:rsid w:val="0051400D"/>
    <w:rsid w:val="00516733"/>
    <w:rsid w:val="00517EFF"/>
    <w:rsid w:val="00520380"/>
    <w:rsid w:val="00520708"/>
    <w:rsid w:val="00521512"/>
    <w:rsid w:val="00521536"/>
    <w:rsid w:val="005228F6"/>
    <w:rsid w:val="00523335"/>
    <w:rsid w:val="00525A82"/>
    <w:rsid w:val="0052687F"/>
    <w:rsid w:val="005270C2"/>
    <w:rsid w:val="00527137"/>
    <w:rsid w:val="00527991"/>
    <w:rsid w:val="00534514"/>
    <w:rsid w:val="00535FA7"/>
    <w:rsid w:val="005427CD"/>
    <w:rsid w:val="00542D7C"/>
    <w:rsid w:val="005433B1"/>
    <w:rsid w:val="00543600"/>
    <w:rsid w:val="00543790"/>
    <w:rsid w:val="00543B59"/>
    <w:rsid w:val="0054459E"/>
    <w:rsid w:val="005445D9"/>
    <w:rsid w:val="00545F82"/>
    <w:rsid w:val="005468A2"/>
    <w:rsid w:val="005478A3"/>
    <w:rsid w:val="005508C6"/>
    <w:rsid w:val="00551BE9"/>
    <w:rsid w:val="005543D2"/>
    <w:rsid w:val="00557013"/>
    <w:rsid w:val="00560B7B"/>
    <w:rsid w:val="00562622"/>
    <w:rsid w:val="00562E8A"/>
    <w:rsid w:val="005646D0"/>
    <w:rsid w:val="00570AD2"/>
    <w:rsid w:val="0057279F"/>
    <w:rsid w:val="00572B8C"/>
    <w:rsid w:val="00572C00"/>
    <w:rsid w:val="00573888"/>
    <w:rsid w:val="00573E0C"/>
    <w:rsid w:val="005744D7"/>
    <w:rsid w:val="005771CD"/>
    <w:rsid w:val="005779EB"/>
    <w:rsid w:val="00577B54"/>
    <w:rsid w:val="005809FD"/>
    <w:rsid w:val="00581C79"/>
    <w:rsid w:val="005829CA"/>
    <w:rsid w:val="00583FA9"/>
    <w:rsid w:val="0058445F"/>
    <w:rsid w:val="00590E04"/>
    <w:rsid w:val="0059115E"/>
    <w:rsid w:val="005915CD"/>
    <w:rsid w:val="00591A9C"/>
    <w:rsid w:val="005921BF"/>
    <w:rsid w:val="00594266"/>
    <w:rsid w:val="00594D43"/>
    <w:rsid w:val="00595C04"/>
    <w:rsid w:val="00596DE5"/>
    <w:rsid w:val="00597313"/>
    <w:rsid w:val="005A0384"/>
    <w:rsid w:val="005A086A"/>
    <w:rsid w:val="005A0F1D"/>
    <w:rsid w:val="005A1C9B"/>
    <w:rsid w:val="005A4E01"/>
    <w:rsid w:val="005A7435"/>
    <w:rsid w:val="005A7BB6"/>
    <w:rsid w:val="005B1D8F"/>
    <w:rsid w:val="005B35FB"/>
    <w:rsid w:val="005B3763"/>
    <w:rsid w:val="005B41CA"/>
    <w:rsid w:val="005B5F65"/>
    <w:rsid w:val="005B68B5"/>
    <w:rsid w:val="005C01C0"/>
    <w:rsid w:val="005C0B5F"/>
    <w:rsid w:val="005C0F24"/>
    <w:rsid w:val="005C176D"/>
    <w:rsid w:val="005C603D"/>
    <w:rsid w:val="005C7610"/>
    <w:rsid w:val="005D0355"/>
    <w:rsid w:val="005D1BC8"/>
    <w:rsid w:val="005D7839"/>
    <w:rsid w:val="005D79AF"/>
    <w:rsid w:val="005D7B3C"/>
    <w:rsid w:val="005E13B6"/>
    <w:rsid w:val="005E21F5"/>
    <w:rsid w:val="005E4A19"/>
    <w:rsid w:val="005E4CD6"/>
    <w:rsid w:val="005E56E4"/>
    <w:rsid w:val="005E7298"/>
    <w:rsid w:val="005F072C"/>
    <w:rsid w:val="005F1A7E"/>
    <w:rsid w:val="005F5419"/>
    <w:rsid w:val="005F7540"/>
    <w:rsid w:val="00600252"/>
    <w:rsid w:val="00600A32"/>
    <w:rsid w:val="006013DE"/>
    <w:rsid w:val="00606BD8"/>
    <w:rsid w:val="006074ED"/>
    <w:rsid w:val="006101F3"/>
    <w:rsid w:val="00610A2C"/>
    <w:rsid w:val="0061161F"/>
    <w:rsid w:val="00611873"/>
    <w:rsid w:val="006137B1"/>
    <w:rsid w:val="00613AE1"/>
    <w:rsid w:val="0061540B"/>
    <w:rsid w:val="0061673E"/>
    <w:rsid w:val="006174C7"/>
    <w:rsid w:val="00617F24"/>
    <w:rsid w:val="00622E2C"/>
    <w:rsid w:val="00624556"/>
    <w:rsid w:val="006251C9"/>
    <w:rsid w:val="006269A4"/>
    <w:rsid w:val="0062744D"/>
    <w:rsid w:val="00627499"/>
    <w:rsid w:val="00632981"/>
    <w:rsid w:val="00634118"/>
    <w:rsid w:val="00635EA7"/>
    <w:rsid w:val="00636785"/>
    <w:rsid w:val="00637FB3"/>
    <w:rsid w:val="006421C2"/>
    <w:rsid w:val="00643221"/>
    <w:rsid w:val="006449FA"/>
    <w:rsid w:val="006449FD"/>
    <w:rsid w:val="006454A7"/>
    <w:rsid w:val="0064567E"/>
    <w:rsid w:val="006465BB"/>
    <w:rsid w:val="00646941"/>
    <w:rsid w:val="00647F0C"/>
    <w:rsid w:val="00650133"/>
    <w:rsid w:val="00651F9D"/>
    <w:rsid w:val="006523B3"/>
    <w:rsid w:val="00652A64"/>
    <w:rsid w:val="00652F69"/>
    <w:rsid w:val="00654E7E"/>
    <w:rsid w:val="006557E9"/>
    <w:rsid w:val="00661F81"/>
    <w:rsid w:val="00664473"/>
    <w:rsid w:val="006655D3"/>
    <w:rsid w:val="006665AB"/>
    <w:rsid w:val="00666CA6"/>
    <w:rsid w:val="00670CBD"/>
    <w:rsid w:val="0067133C"/>
    <w:rsid w:val="0067249C"/>
    <w:rsid w:val="0067269D"/>
    <w:rsid w:val="00673E3D"/>
    <w:rsid w:val="00674B7E"/>
    <w:rsid w:val="006754C6"/>
    <w:rsid w:val="0067571E"/>
    <w:rsid w:val="0067686A"/>
    <w:rsid w:val="006825EA"/>
    <w:rsid w:val="00682746"/>
    <w:rsid w:val="006854B5"/>
    <w:rsid w:val="0068665B"/>
    <w:rsid w:val="00686ADD"/>
    <w:rsid w:val="00691450"/>
    <w:rsid w:val="00692800"/>
    <w:rsid w:val="006A0DEF"/>
    <w:rsid w:val="006A19A4"/>
    <w:rsid w:val="006A2417"/>
    <w:rsid w:val="006A2C44"/>
    <w:rsid w:val="006A5DD1"/>
    <w:rsid w:val="006A68B5"/>
    <w:rsid w:val="006A71F8"/>
    <w:rsid w:val="006B1DC1"/>
    <w:rsid w:val="006B24B6"/>
    <w:rsid w:val="006B3981"/>
    <w:rsid w:val="006B3BAF"/>
    <w:rsid w:val="006B48A2"/>
    <w:rsid w:val="006B5DE4"/>
    <w:rsid w:val="006B6B13"/>
    <w:rsid w:val="006C04DF"/>
    <w:rsid w:val="006C0537"/>
    <w:rsid w:val="006C06E1"/>
    <w:rsid w:val="006C0CBD"/>
    <w:rsid w:val="006C1D3D"/>
    <w:rsid w:val="006C1FAF"/>
    <w:rsid w:val="006C35A8"/>
    <w:rsid w:val="006C3EDA"/>
    <w:rsid w:val="006C5ACB"/>
    <w:rsid w:val="006C742E"/>
    <w:rsid w:val="006D01F3"/>
    <w:rsid w:val="006D14D5"/>
    <w:rsid w:val="006D418E"/>
    <w:rsid w:val="006D712F"/>
    <w:rsid w:val="006E06EE"/>
    <w:rsid w:val="006E0EDD"/>
    <w:rsid w:val="006E1ABB"/>
    <w:rsid w:val="006E1BA7"/>
    <w:rsid w:val="006E1FE0"/>
    <w:rsid w:val="006E7853"/>
    <w:rsid w:val="006F0DB1"/>
    <w:rsid w:val="006F2384"/>
    <w:rsid w:val="006F4484"/>
    <w:rsid w:val="006F4CFB"/>
    <w:rsid w:val="006F5358"/>
    <w:rsid w:val="006F53A8"/>
    <w:rsid w:val="007000AB"/>
    <w:rsid w:val="00701E54"/>
    <w:rsid w:val="007047E4"/>
    <w:rsid w:val="007072D3"/>
    <w:rsid w:val="00710222"/>
    <w:rsid w:val="0071342C"/>
    <w:rsid w:val="00713E5C"/>
    <w:rsid w:val="0071432B"/>
    <w:rsid w:val="007165BE"/>
    <w:rsid w:val="00716798"/>
    <w:rsid w:val="00717A2D"/>
    <w:rsid w:val="00717FD1"/>
    <w:rsid w:val="00720331"/>
    <w:rsid w:val="00720BDD"/>
    <w:rsid w:val="00722625"/>
    <w:rsid w:val="00722817"/>
    <w:rsid w:val="00724270"/>
    <w:rsid w:val="007250F5"/>
    <w:rsid w:val="007255CB"/>
    <w:rsid w:val="00725B48"/>
    <w:rsid w:val="00726072"/>
    <w:rsid w:val="00726733"/>
    <w:rsid w:val="007305D4"/>
    <w:rsid w:val="007308F1"/>
    <w:rsid w:val="007337C0"/>
    <w:rsid w:val="0073390D"/>
    <w:rsid w:val="007341A9"/>
    <w:rsid w:val="00735400"/>
    <w:rsid w:val="00735AE4"/>
    <w:rsid w:val="00735C41"/>
    <w:rsid w:val="007377EC"/>
    <w:rsid w:val="00737ACF"/>
    <w:rsid w:val="00737BD8"/>
    <w:rsid w:val="00741A91"/>
    <w:rsid w:val="00741F31"/>
    <w:rsid w:val="00742019"/>
    <w:rsid w:val="00742447"/>
    <w:rsid w:val="00744FCE"/>
    <w:rsid w:val="00745A30"/>
    <w:rsid w:val="00747B00"/>
    <w:rsid w:val="00747FAE"/>
    <w:rsid w:val="007506A2"/>
    <w:rsid w:val="0075192D"/>
    <w:rsid w:val="007519D4"/>
    <w:rsid w:val="00752521"/>
    <w:rsid w:val="00753923"/>
    <w:rsid w:val="00753D4D"/>
    <w:rsid w:val="00754F27"/>
    <w:rsid w:val="00755DED"/>
    <w:rsid w:val="00756A18"/>
    <w:rsid w:val="00760BAB"/>
    <w:rsid w:val="00762179"/>
    <w:rsid w:val="00763A5E"/>
    <w:rsid w:val="0076535F"/>
    <w:rsid w:val="00766734"/>
    <w:rsid w:val="00767D36"/>
    <w:rsid w:val="007711B3"/>
    <w:rsid w:val="00771C62"/>
    <w:rsid w:val="00772529"/>
    <w:rsid w:val="007751E7"/>
    <w:rsid w:val="007753B8"/>
    <w:rsid w:val="00777340"/>
    <w:rsid w:val="00780B47"/>
    <w:rsid w:val="0078174E"/>
    <w:rsid w:val="00781A65"/>
    <w:rsid w:val="00784A75"/>
    <w:rsid w:val="00784A91"/>
    <w:rsid w:val="007861B3"/>
    <w:rsid w:val="0078689A"/>
    <w:rsid w:val="0078717B"/>
    <w:rsid w:val="00787F30"/>
    <w:rsid w:val="00794D83"/>
    <w:rsid w:val="00797A2A"/>
    <w:rsid w:val="00797BE5"/>
    <w:rsid w:val="00797F2E"/>
    <w:rsid w:val="007A1799"/>
    <w:rsid w:val="007A4E51"/>
    <w:rsid w:val="007A4ED0"/>
    <w:rsid w:val="007A5009"/>
    <w:rsid w:val="007A6452"/>
    <w:rsid w:val="007A77AC"/>
    <w:rsid w:val="007A7E95"/>
    <w:rsid w:val="007B01C8"/>
    <w:rsid w:val="007B077A"/>
    <w:rsid w:val="007B0AE0"/>
    <w:rsid w:val="007B3429"/>
    <w:rsid w:val="007B54AC"/>
    <w:rsid w:val="007B6724"/>
    <w:rsid w:val="007C03E5"/>
    <w:rsid w:val="007C4EF8"/>
    <w:rsid w:val="007C4FE2"/>
    <w:rsid w:val="007C5602"/>
    <w:rsid w:val="007C5BE4"/>
    <w:rsid w:val="007C693A"/>
    <w:rsid w:val="007C6C59"/>
    <w:rsid w:val="007D0193"/>
    <w:rsid w:val="007D2C2B"/>
    <w:rsid w:val="007D2F1F"/>
    <w:rsid w:val="007D551C"/>
    <w:rsid w:val="007D55EE"/>
    <w:rsid w:val="007D66AE"/>
    <w:rsid w:val="007D791B"/>
    <w:rsid w:val="007D791F"/>
    <w:rsid w:val="007E09DF"/>
    <w:rsid w:val="007E211A"/>
    <w:rsid w:val="007E2C3D"/>
    <w:rsid w:val="007E3057"/>
    <w:rsid w:val="007E6141"/>
    <w:rsid w:val="007E6667"/>
    <w:rsid w:val="007E6AE3"/>
    <w:rsid w:val="007E6BA0"/>
    <w:rsid w:val="007F1A96"/>
    <w:rsid w:val="007F28DF"/>
    <w:rsid w:val="007F4348"/>
    <w:rsid w:val="007F4A8B"/>
    <w:rsid w:val="007F580D"/>
    <w:rsid w:val="007F5B12"/>
    <w:rsid w:val="007F647F"/>
    <w:rsid w:val="007F6563"/>
    <w:rsid w:val="007F6E9B"/>
    <w:rsid w:val="008026F8"/>
    <w:rsid w:val="008113FF"/>
    <w:rsid w:val="00811A84"/>
    <w:rsid w:val="008125BE"/>
    <w:rsid w:val="00812F03"/>
    <w:rsid w:val="00814AE9"/>
    <w:rsid w:val="00816ABF"/>
    <w:rsid w:val="00816C23"/>
    <w:rsid w:val="00821ACB"/>
    <w:rsid w:val="0082451D"/>
    <w:rsid w:val="0082538D"/>
    <w:rsid w:val="00831A03"/>
    <w:rsid w:val="00832E2B"/>
    <w:rsid w:val="00832EEB"/>
    <w:rsid w:val="00833A3B"/>
    <w:rsid w:val="0083497F"/>
    <w:rsid w:val="00835411"/>
    <w:rsid w:val="00836234"/>
    <w:rsid w:val="00836786"/>
    <w:rsid w:val="008375B2"/>
    <w:rsid w:val="00837B1B"/>
    <w:rsid w:val="008414CD"/>
    <w:rsid w:val="00841C69"/>
    <w:rsid w:val="008421FF"/>
    <w:rsid w:val="008435D8"/>
    <w:rsid w:val="00844113"/>
    <w:rsid w:val="008442BF"/>
    <w:rsid w:val="00844FDA"/>
    <w:rsid w:val="008452D2"/>
    <w:rsid w:val="00846E5E"/>
    <w:rsid w:val="00847247"/>
    <w:rsid w:val="00852612"/>
    <w:rsid w:val="008527F3"/>
    <w:rsid w:val="008571E3"/>
    <w:rsid w:val="00862500"/>
    <w:rsid w:val="008626A9"/>
    <w:rsid w:val="00864242"/>
    <w:rsid w:val="008648CC"/>
    <w:rsid w:val="00867110"/>
    <w:rsid w:val="0086795A"/>
    <w:rsid w:val="00867A54"/>
    <w:rsid w:val="00867B99"/>
    <w:rsid w:val="008735AF"/>
    <w:rsid w:val="008751B8"/>
    <w:rsid w:val="00875BF5"/>
    <w:rsid w:val="00875FC6"/>
    <w:rsid w:val="00877BEB"/>
    <w:rsid w:val="008807F2"/>
    <w:rsid w:val="00882057"/>
    <w:rsid w:val="00886169"/>
    <w:rsid w:val="008906CF"/>
    <w:rsid w:val="00891275"/>
    <w:rsid w:val="0089208A"/>
    <w:rsid w:val="00893ED2"/>
    <w:rsid w:val="00895774"/>
    <w:rsid w:val="0089670C"/>
    <w:rsid w:val="008A05FB"/>
    <w:rsid w:val="008A0AAA"/>
    <w:rsid w:val="008A143A"/>
    <w:rsid w:val="008A26C5"/>
    <w:rsid w:val="008A4CD4"/>
    <w:rsid w:val="008A5A1C"/>
    <w:rsid w:val="008A68C9"/>
    <w:rsid w:val="008A6BDF"/>
    <w:rsid w:val="008A6FB5"/>
    <w:rsid w:val="008B0287"/>
    <w:rsid w:val="008B0858"/>
    <w:rsid w:val="008B1000"/>
    <w:rsid w:val="008B1AB9"/>
    <w:rsid w:val="008B1F6C"/>
    <w:rsid w:val="008B27DB"/>
    <w:rsid w:val="008B3114"/>
    <w:rsid w:val="008B3F05"/>
    <w:rsid w:val="008B48A2"/>
    <w:rsid w:val="008B5709"/>
    <w:rsid w:val="008C164D"/>
    <w:rsid w:val="008C5BA1"/>
    <w:rsid w:val="008C70D8"/>
    <w:rsid w:val="008C7CF9"/>
    <w:rsid w:val="008D2461"/>
    <w:rsid w:val="008D3648"/>
    <w:rsid w:val="008D43AA"/>
    <w:rsid w:val="008D4B51"/>
    <w:rsid w:val="008D6215"/>
    <w:rsid w:val="008D6C97"/>
    <w:rsid w:val="008E1A38"/>
    <w:rsid w:val="008E1F8D"/>
    <w:rsid w:val="008E5488"/>
    <w:rsid w:val="008E5707"/>
    <w:rsid w:val="008E6136"/>
    <w:rsid w:val="008E6202"/>
    <w:rsid w:val="008F0CBA"/>
    <w:rsid w:val="008F2E30"/>
    <w:rsid w:val="008F424B"/>
    <w:rsid w:val="008F4307"/>
    <w:rsid w:val="008F4A12"/>
    <w:rsid w:val="008F6F47"/>
    <w:rsid w:val="008F7008"/>
    <w:rsid w:val="009006A5"/>
    <w:rsid w:val="00901231"/>
    <w:rsid w:val="00901791"/>
    <w:rsid w:val="009026EC"/>
    <w:rsid w:val="00904BA4"/>
    <w:rsid w:val="00904E84"/>
    <w:rsid w:val="00906CEB"/>
    <w:rsid w:val="00907407"/>
    <w:rsid w:val="00907763"/>
    <w:rsid w:val="00907785"/>
    <w:rsid w:val="00910033"/>
    <w:rsid w:val="00911558"/>
    <w:rsid w:val="00911D5F"/>
    <w:rsid w:val="009142E2"/>
    <w:rsid w:val="00915B62"/>
    <w:rsid w:val="00916524"/>
    <w:rsid w:val="00916A2C"/>
    <w:rsid w:val="009173D6"/>
    <w:rsid w:val="009173F2"/>
    <w:rsid w:val="009179F2"/>
    <w:rsid w:val="00920275"/>
    <w:rsid w:val="009202BD"/>
    <w:rsid w:val="0092369C"/>
    <w:rsid w:val="00923BE6"/>
    <w:rsid w:val="00924A84"/>
    <w:rsid w:val="00924FD2"/>
    <w:rsid w:val="00925084"/>
    <w:rsid w:val="0092560D"/>
    <w:rsid w:val="009263A5"/>
    <w:rsid w:val="0092643A"/>
    <w:rsid w:val="009268DC"/>
    <w:rsid w:val="0092725D"/>
    <w:rsid w:val="0093257E"/>
    <w:rsid w:val="0093399E"/>
    <w:rsid w:val="00935094"/>
    <w:rsid w:val="00935DBB"/>
    <w:rsid w:val="009361BB"/>
    <w:rsid w:val="009368E8"/>
    <w:rsid w:val="00936A8B"/>
    <w:rsid w:val="00936EC9"/>
    <w:rsid w:val="00941D2C"/>
    <w:rsid w:val="00945159"/>
    <w:rsid w:val="00946037"/>
    <w:rsid w:val="00946C51"/>
    <w:rsid w:val="00950535"/>
    <w:rsid w:val="009517FB"/>
    <w:rsid w:val="009517FE"/>
    <w:rsid w:val="0095448C"/>
    <w:rsid w:val="00955CD4"/>
    <w:rsid w:val="00956455"/>
    <w:rsid w:val="00960440"/>
    <w:rsid w:val="00960956"/>
    <w:rsid w:val="00960A45"/>
    <w:rsid w:val="009656E3"/>
    <w:rsid w:val="00965D0E"/>
    <w:rsid w:val="00965D6C"/>
    <w:rsid w:val="00965EEB"/>
    <w:rsid w:val="00965F38"/>
    <w:rsid w:val="0096634C"/>
    <w:rsid w:val="0096752A"/>
    <w:rsid w:val="00970499"/>
    <w:rsid w:val="009707DD"/>
    <w:rsid w:val="0097161A"/>
    <w:rsid w:val="00971F36"/>
    <w:rsid w:val="009741FD"/>
    <w:rsid w:val="0097476B"/>
    <w:rsid w:val="009764A4"/>
    <w:rsid w:val="00976E57"/>
    <w:rsid w:val="0097778C"/>
    <w:rsid w:val="009777C9"/>
    <w:rsid w:val="00977CC6"/>
    <w:rsid w:val="0098006B"/>
    <w:rsid w:val="00980667"/>
    <w:rsid w:val="00980D55"/>
    <w:rsid w:val="0098116B"/>
    <w:rsid w:val="009829A8"/>
    <w:rsid w:val="00984A1D"/>
    <w:rsid w:val="0098506E"/>
    <w:rsid w:val="00985112"/>
    <w:rsid w:val="00985FCF"/>
    <w:rsid w:val="009869C8"/>
    <w:rsid w:val="0098799C"/>
    <w:rsid w:val="009926EC"/>
    <w:rsid w:val="00992CAF"/>
    <w:rsid w:val="0099315C"/>
    <w:rsid w:val="00993219"/>
    <w:rsid w:val="0099564D"/>
    <w:rsid w:val="00997F73"/>
    <w:rsid w:val="009A1008"/>
    <w:rsid w:val="009A1595"/>
    <w:rsid w:val="009A15A7"/>
    <w:rsid w:val="009A1EC2"/>
    <w:rsid w:val="009A29D0"/>
    <w:rsid w:val="009A4262"/>
    <w:rsid w:val="009A594B"/>
    <w:rsid w:val="009A63C7"/>
    <w:rsid w:val="009A6CD4"/>
    <w:rsid w:val="009A713F"/>
    <w:rsid w:val="009B0D77"/>
    <w:rsid w:val="009B1FDD"/>
    <w:rsid w:val="009B2374"/>
    <w:rsid w:val="009B2F9D"/>
    <w:rsid w:val="009B4153"/>
    <w:rsid w:val="009B4164"/>
    <w:rsid w:val="009C0831"/>
    <w:rsid w:val="009C0D5C"/>
    <w:rsid w:val="009C1828"/>
    <w:rsid w:val="009C2F59"/>
    <w:rsid w:val="009C394B"/>
    <w:rsid w:val="009C3E2B"/>
    <w:rsid w:val="009C447C"/>
    <w:rsid w:val="009C4F5B"/>
    <w:rsid w:val="009C614E"/>
    <w:rsid w:val="009C72E4"/>
    <w:rsid w:val="009C7D1D"/>
    <w:rsid w:val="009D0568"/>
    <w:rsid w:val="009D13D0"/>
    <w:rsid w:val="009D187A"/>
    <w:rsid w:val="009D1961"/>
    <w:rsid w:val="009D208C"/>
    <w:rsid w:val="009D2815"/>
    <w:rsid w:val="009D47DF"/>
    <w:rsid w:val="009D4A4D"/>
    <w:rsid w:val="009D788E"/>
    <w:rsid w:val="009E0166"/>
    <w:rsid w:val="009E0B89"/>
    <w:rsid w:val="009E29B6"/>
    <w:rsid w:val="009E2CEE"/>
    <w:rsid w:val="009E2E18"/>
    <w:rsid w:val="009E30C7"/>
    <w:rsid w:val="009E4976"/>
    <w:rsid w:val="009E4BD7"/>
    <w:rsid w:val="009E5652"/>
    <w:rsid w:val="009F1C02"/>
    <w:rsid w:val="009F1E46"/>
    <w:rsid w:val="009F2665"/>
    <w:rsid w:val="009F354F"/>
    <w:rsid w:val="009F46A2"/>
    <w:rsid w:val="009F5585"/>
    <w:rsid w:val="009F5805"/>
    <w:rsid w:val="009F74E8"/>
    <w:rsid w:val="009F760C"/>
    <w:rsid w:val="009F7F6E"/>
    <w:rsid w:val="00A003B9"/>
    <w:rsid w:val="00A00C63"/>
    <w:rsid w:val="00A014F1"/>
    <w:rsid w:val="00A026EC"/>
    <w:rsid w:val="00A0477A"/>
    <w:rsid w:val="00A0572F"/>
    <w:rsid w:val="00A06311"/>
    <w:rsid w:val="00A11221"/>
    <w:rsid w:val="00A13722"/>
    <w:rsid w:val="00A13726"/>
    <w:rsid w:val="00A13BAA"/>
    <w:rsid w:val="00A13C21"/>
    <w:rsid w:val="00A143CF"/>
    <w:rsid w:val="00A145A4"/>
    <w:rsid w:val="00A15B63"/>
    <w:rsid w:val="00A16160"/>
    <w:rsid w:val="00A17F25"/>
    <w:rsid w:val="00A2180D"/>
    <w:rsid w:val="00A218A3"/>
    <w:rsid w:val="00A245D7"/>
    <w:rsid w:val="00A26D36"/>
    <w:rsid w:val="00A27042"/>
    <w:rsid w:val="00A317FB"/>
    <w:rsid w:val="00A419B4"/>
    <w:rsid w:val="00A436B4"/>
    <w:rsid w:val="00A44D7A"/>
    <w:rsid w:val="00A469B6"/>
    <w:rsid w:val="00A474EC"/>
    <w:rsid w:val="00A5283F"/>
    <w:rsid w:val="00A52CAB"/>
    <w:rsid w:val="00A55029"/>
    <w:rsid w:val="00A55672"/>
    <w:rsid w:val="00A56A70"/>
    <w:rsid w:val="00A5710F"/>
    <w:rsid w:val="00A57EC1"/>
    <w:rsid w:val="00A61304"/>
    <w:rsid w:val="00A61B8E"/>
    <w:rsid w:val="00A63970"/>
    <w:rsid w:val="00A64F4C"/>
    <w:rsid w:val="00A65079"/>
    <w:rsid w:val="00A66C81"/>
    <w:rsid w:val="00A676FA"/>
    <w:rsid w:val="00A7105C"/>
    <w:rsid w:val="00A7179A"/>
    <w:rsid w:val="00A73CC7"/>
    <w:rsid w:val="00A75B8B"/>
    <w:rsid w:val="00A76044"/>
    <w:rsid w:val="00A76225"/>
    <w:rsid w:val="00A76622"/>
    <w:rsid w:val="00A80DA1"/>
    <w:rsid w:val="00A833E0"/>
    <w:rsid w:val="00A83871"/>
    <w:rsid w:val="00A845CA"/>
    <w:rsid w:val="00A902E5"/>
    <w:rsid w:val="00A90B50"/>
    <w:rsid w:val="00A919BD"/>
    <w:rsid w:val="00A933DA"/>
    <w:rsid w:val="00A95ED5"/>
    <w:rsid w:val="00A96888"/>
    <w:rsid w:val="00A96BAC"/>
    <w:rsid w:val="00A96EDB"/>
    <w:rsid w:val="00A97724"/>
    <w:rsid w:val="00A97952"/>
    <w:rsid w:val="00AA0175"/>
    <w:rsid w:val="00AA0780"/>
    <w:rsid w:val="00AA0952"/>
    <w:rsid w:val="00AA0A65"/>
    <w:rsid w:val="00AA1E14"/>
    <w:rsid w:val="00AA3302"/>
    <w:rsid w:val="00AA37B2"/>
    <w:rsid w:val="00AA408C"/>
    <w:rsid w:val="00AA6429"/>
    <w:rsid w:val="00AA6977"/>
    <w:rsid w:val="00AA71BF"/>
    <w:rsid w:val="00AA73E2"/>
    <w:rsid w:val="00AB1C65"/>
    <w:rsid w:val="00AB1FFC"/>
    <w:rsid w:val="00AB2447"/>
    <w:rsid w:val="00AB3C5A"/>
    <w:rsid w:val="00AB5343"/>
    <w:rsid w:val="00AB75BA"/>
    <w:rsid w:val="00AC094E"/>
    <w:rsid w:val="00AC0B09"/>
    <w:rsid w:val="00AC0DDB"/>
    <w:rsid w:val="00AC0E5D"/>
    <w:rsid w:val="00AC2769"/>
    <w:rsid w:val="00AC3D8F"/>
    <w:rsid w:val="00AC5051"/>
    <w:rsid w:val="00AC528A"/>
    <w:rsid w:val="00AC5D14"/>
    <w:rsid w:val="00AD2B6D"/>
    <w:rsid w:val="00AD4B04"/>
    <w:rsid w:val="00AD53EA"/>
    <w:rsid w:val="00AD66BE"/>
    <w:rsid w:val="00AD6A29"/>
    <w:rsid w:val="00AD6B54"/>
    <w:rsid w:val="00AE0D19"/>
    <w:rsid w:val="00AE4D51"/>
    <w:rsid w:val="00AE616F"/>
    <w:rsid w:val="00AE636B"/>
    <w:rsid w:val="00AE70FD"/>
    <w:rsid w:val="00AE71CC"/>
    <w:rsid w:val="00AF1C2E"/>
    <w:rsid w:val="00AF2B41"/>
    <w:rsid w:val="00AF6181"/>
    <w:rsid w:val="00AF70DA"/>
    <w:rsid w:val="00B006AA"/>
    <w:rsid w:val="00B013C5"/>
    <w:rsid w:val="00B03427"/>
    <w:rsid w:val="00B04475"/>
    <w:rsid w:val="00B07FFA"/>
    <w:rsid w:val="00B10352"/>
    <w:rsid w:val="00B110AF"/>
    <w:rsid w:val="00B12A1F"/>
    <w:rsid w:val="00B13710"/>
    <w:rsid w:val="00B13AB0"/>
    <w:rsid w:val="00B142FB"/>
    <w:rsid w:val="00B15E18"/>
    <w:rsid w:val="00B161D2"/>
    <w:rsid w:val="00B17A2A"/>
    <w:rsid w:val="00B21950"/>
    <w:rsid w:val="00B2250F"/>
    <w:rsid w:val="00B233D8"/>
    <w:rsid w:val="00B27573"/>
    <w:rsid w:val="00B27C91"/>
    <w:rsid w:val="00B27C9C"/>
    <w:rsid w:val="00B3018B"/>
    <w:rsid w:val="00B32CDA"/>
    <w:rsid w:val="00B332E3"/>
    <w:rsid w:val="00B351D8"/>
    <w:rsid w:val="00B352D9"/>
    <w:rsid w:val="00B358EB"/>
    <w:rsid w:val="00B35F08"/>
    <w:rsid w:val="00B37A4B"/>
    <w:rsid w:val="00B42165"/>
    <w:rsid w:val="00B422D9"/>
    <w:rsid w:val="00B44F2D"/>
    <w:rsid w:val="00B45D0A"/>
    <w:rsid w:val="00B45EDA"/>
    <w:rsid w:val="00B50558"/>
    <w:rsid w:val="00B533E0"/>
    <w:rsid w:val="00B54D6F"/>
    <w:rsid w:val="00B55615"/>
    <w:rsid w:val="00B57F12"/>
    <w:rsid w:val="00B60298"/>
    <w:rsid w:val="00B60319"/>
    <w:rsid w:val="00B6224C"/>
    <w:rsid w:val="00B62440"/>
    <w:rsid w:val="00B626BE"/>
    <w:rsid w:val="00B63371"/>
    <w:rsid w:val="00B638BB"/>
    <w:rsid w:val="00B63947"/>
    <w:rsid w:val="00B64E76"/>
    <w:rsid w:val="00B66A00"/>
    <w:rsid w:val="00B7139F"/>
    <w:rsid w:val="00B730BA"/>
    <w:rsid w:val="00B74B98"/>
    <w:rsid w:val="00B76B42"/>
    <w:rsid w:val="00B807A5"/>
    <w:rsid w:val="00B81D54"/>
    <w:rsid w:val="00B835BB"/>
    <w:rsid w:val="00B845D3"/>
    <w:rsid w:val="00B87479"/>
    <w:rsid w:val="00B87B69"/>
    <w:rsid w:val="00B87D53"/>
    <w:rsid w:val="00B93B12"/>
    <w:rsid w:val="00B943D6"/>
    <w:rsid w:val="00B94FD5"/>
    <w:rsid w:val="00B9536B"/>
    <w:rsid w:val="00B95D7B"/>
    <w:rsid w:val="00B95EE7"/>
    <w:rsid w:val="00B96A0B"/>
    <w:rsid w:val="00BA01A6"/>
    <w:rsid w:val="00BA2049"/>
    <w:rsid w:val="00BA3E19"/>
    <w:rsid w:val="00BA474C"/>
    <w:rsid w:val="00BA50BE"/>
    <w:rsid w:val="00BA56D3"/>
    <w:rsid w:val="00BA64E2"/>
    <w:rsid w:val="00BA6A89"/>
    <w:rsid w:val="00BA6F63"/>
    <w:rsid w:val="00BA7131"/>
    <w:rsid w:val="00BA7FAC"/>
    <w:rsid w:val="00BB03C4"/>
    <w:rsid w:val="00BB391A"/>
    <w:rsid w:val="00BB4F51"/>
    <w:rsid w:val="00BB721F"/>
    <w:rsid w:val="00BB7F3E"/>
    <w:rsid w:val="00BC0181"/>
    <w:rsid w:val="00BC1FB7"/>
    <w:rsid w:val="00BC23C8"/>
    <w:rsid w:val="00BC39FC"/>
    <w:rsid w:val="00BC3D5C"/>
    <w:rsid w:val="00BC4A46"/>
    <w:rsid w:val="00BC4EBB"/>
    <w:rsid w:val="00BC5771"/>
    <w:rsid w:val="00BC61A3"/>
    <w:rsid w:val="00BD02B5"/>
    <w:rsid w:val="00BD3539"/>
    <w:rsid w:val="00BD6D9C"/>
    <w:rsid w:val="00BD794E"/>
    <w:rsid w:val="00BE0701"/>
    <w:rsid w:val="00BE16D9"/>
    <w:rsid w:val="00BE27FD"/>
    <w:rsid w:val="00BE2C75"/>
    <w:rsid w:val="00BE58F9"/>
    <w:rsid w:val="00BE5922"/>
    <w:rsid w:val="00BE654A"/>
    <w:rsid w:val="00BE7D92"/>
    <w:rsid w:val="00BE7E69"/>
    <w:rsid w:val="00BE7FE4"/>
    <w:rsid w:val="00BF0F66"/>
    <w:rsid w:val="00BF294C"/>
    <w:rsid w:val="00BF5027"/>
    <w:rsid w:val="00BF5D4C"/>
    <w:rsid w:val="00BF7039"/>
    <w:rsid w:val="00BF7460"/>
    <w:rsid w:val="00C00560"/>
    <w:rsid w:val="00C011D6"/>
    <w:rsid w:val="00C01433"/>
    <w:rsid w:val="00C02700"/>
    <w:rsid w:val="00C05363"/>
    <w:rsid w:val="00C057A8"/>
    <w:rsid w:val="00C0765A"/>
    <w:rsid w:val="00C10D21"/>
    <w:rsid w:val="00C11A22"/>
    <w:rsid w:val="00C11AAF"/>
    <w:rsid w:val="00C13B2C"/>
    <w:rsid w:val="00C144C6"/>
    <w:rsid w:val="00C14637"/>
    <w:rsid w:val="00C1554E"/>
    <w:rsid w:val="00C20882"/>
    <w:rsid w:val="00C21368"/>
    <w:rsid w:val="00C22F31"/>
    <w:rsid w:val="00C23680"/>
    <w:rsid w:val="00C24E1B"/>
    <w:rsid w:val="00C26D19"/>
    <w:rsid w:val="00C308CB"/>
    <w:rsid w:val="00C3129D"/>
    <w:rsid w:val="00C31579"/>
    <w:rsid w:val="00C31602"/>
    <w:rsid w:val="00C31D8E"/>
    <w:rsid w:val="00C3273D"/>
    <w:rsid w:val="00C34DAE"/>
    <w:rsid w:val="00C3562F"/>
    <w:rsid w:val="00C36418"/>
    <w:rsid w:val="00C36779"/>
    <w:rsid w:val="00C36B1A"/>
    <w:rsid w:val="00C40849"/>
    <w:rsid w:val="00C42A8F"/>
    <w:rsid w:val="00C43740"/>
    <w:rsid w:val="00C43853"/>
    <w:rsid w:val="00C45231"/>
    <w:rsid w:val="00C454BB"/>
    <w:rsid w:val="00C46C70"/>
    <w:rsid w:val="00C47AF0"/>
    <w:rsid w:val="00C50102"/>
    <w:rsid w:val="00C504F2"/>
    <w:rsid w:val="00C51D95"/>
    <w:rsid w:val="00C56DC3"/>
    <w:rsid w:val="00C6027A"/>
    <w:rsid w:val="00C607C1"/>
    <w:rsid w:val="00C60DAD"/>
    <w:rsid w:val="00C60E86"/>
    <w:rsid w:val="00C619B5"/>
    <w:rsid w:val="00C62270"/>
    <w:rsid w:val="00C63A3B"/>
    <w:rsid w:val="00C64BEE"/>
    <w:rsid w:val="00C65284"/>
    <w:rsid w:val="00C659AB"/>
    <w:rsid w:val="00C65D56"/>
    <w:rsid w:val="00C6628C"/>
    <w:rsid w:val="00C66462"/>
    <w:rsid w:val="00C67A1F"/>
    <w:rsid w:val="00C67FFC"/>
    <w:rsid w:val="00C70013"/>
    <w:rsid w:val="00C70E5C"/>
    <w:rsid w:val="00C73F0D"/>
    <w:rsid w:val="00C75145"/>
    <w:rsid w:val="00C80D84"/>
    <w:rsid w:val="00C8213C"/>
    <w:rsid w:val="00C8294E"/>
    <w:rsid w:val="00C845D6"/>
    <w:rsid w:val="00C86169"/>
    <w:rsid w:val="00C91B80"/>
    <w:rsid w:val="00C95BB9"/>
    <w:rsid w:val="00C95FEF"/>
    <w:rsid w:val="00C97D9A"/>
    <w:rsid w:val="00CA1E99"/>
    <w:rsid w:val="00CA32D5"/>
    <w:rsid w:val="00CA440B"/>
    <w:rsid w:val="00CA4DF7"/>
    <w:rsid w:val="00CA6C3E"/>
    <w:rsid w:val="00CA751D"/>
    <w:rsid w:val="00CB1860"/>
    <w:rsid w:val="00CB2AE5"/>
    <w:rsid w:val="00CB402F"/>
    <w:rsid w:val="00CB4546"/>
    <w:rsid w:val="00CB6294"/>
    <w:rsid w:val="00CB7A34"/>
    <w:rsid w:val="00CB7F46"/>
    <w:rsid w:val="00CC0684"/>
    <w:rsid w:val="00CC2E7B"/>
    <w:rsid w:val="00CC53BF"/>
    <w:rsid w:val="00CC597E"/>
    <w:rsid w:val="00CC7911"/>
    <w:rsid w:val="00CD0715"/>
    <w:rsid w:val="00CD2FF0"/>
    <w:rsid w:val="00CD4398"/>
    <w:rsid w:val="00CD4E5E"/>
    <w:rsid w:val="00CD571E"/>
    <w:rsid w:val="00CD5AD5"/>
    <w:rsid w:val="00CE2180"/>
    <w:rsid w:val="00CE2533"/>
    <w:rsid w:val="00CE2685"/>
    <w:rsid w:val="00CE4FE2"/>
    <w:rsid w:val="00CE5469"/>
    <w:rsid w:val="00CE588C"/>
    <w:rsid w:val="00CE6B10"/>
    <w:rsid w:val="00CE6EEA"/>
    <w:rsid w:val="00CE7BEB"/>
    <w:rsid w:val="00CF0406"/>
    <w:rsid w:val="00CF2EBE"/>
    <w:rsid w:val="00CF37B2"/>
    <w:rsid w:val="00CF4857"/>
    <w:rsid w:val="00CF7B50"/>
    <w:rsid w:val="00CF7DEB"/>
    <w:rsid w:val="00D009DD"/>
    <w:rsid w:val="00D016D1"/>
    <w:rsid w:val="00D0288E"/>
    <w:rsid w:val="00D04046"/>
    <w:rsid w:val="00D04D26"/>
    <w:rsid w:val="00D04F3D"/>
    <w:rsid w:val="00D05BBA"/>
    <w:rsid w:val="00D06817"/>
    <w:rsid w:val="00D076A8"/>
    <w:rsid w:val="00D16121"/>
    <w:rsid w:val="00D1721B"/>
    <w:rsid w:val="00D20076"/>
    <w:rsid w:val="00D20610"/>
    <w:rsid w:val="00D20DDE"/>
    <w:rsid w:val="00D24B3D"/>
    <w:rsid w:val="00D25C7D"/>
    <w:rsid w:val="00D26341"/>
    <w:rsid w:val="00D27509"/>
    <w:rsid w:val="00D2760C"/>
    <w:rsid w:val="00D30021"/>
    <w:rsid w:val="00D306C2"/>
    <w:rsid w:val="00D3073F"/>
    <w:rsid w:val="00D32538"/>
    <w:rsid w:val="00D34158"/>
    <w:rsid w:val="00D3424E"/>
    <w:rsid w:val="00D35132"/>
    <w:rsid w:val="00D35D7D"/>
    <w:rsid w:val="00D35EE8"/>
    <w:rsid w:val="00D40022"/>
    <w:rsid w:val="00D40A3C"/>
    <w:rsid w:val="00D4210F"/>
    <w:rsid w:val="00D447D3"/>
    <w:rsid w:val="00D44D86"/>
    <w:rsid w:val="00D450FB"/>
    <w:rsid w:val="00D45B05"/>
    <w:rsid w:val="00D463C3"/>
    <w:rsid w:val="00D467FD"/>
    <w:rsid w:val="00D50DEA"/>
    <w:rsid w:val="00D5112A"/>
    <w:rsid w:val="00D52457"/>
    <w:rsid w:val="00D554A2"/>
    <w:rsid w:val="00D56A85"/>
    <w:rsid w:val="00D60AD4"/>
    <w:rsid w:val="00D627CD"/>
    <w:rsid w:val="00D63840"/>
    <w:rsid w:val="00D643EF"/>
    <w:rsid w:val="00D6508E"/>
    <w:rsid w:val="00D65BD2"/>
    <w:rsid w:val="00D65C31"/>
    <w:rsid w:val="00D66709"/>
    <w:rsid w:val="00D71DE7"/>
    <w:rsid w:val="00D73312"/>
    <w:rsid w:val="00D73CD7"/>
    <w:rsid w:val="00D76B8E"/>
    <w:rsid w:val="00D76E48"/>
    <w:rsid w:val="00D77442"/>
    <w:rsid w:val="00D81239"/>
    <w:rsid w:val="00D817F1"/>
    <w:rsid w:val="00D81B3B"/>
    <w:rsid w:val="00D81C0D"/>
    <w:rsid w:val="00D85697"/>
    <w:rsid w:val="00D862A9"/>
    <w:rsid w:val="00D86F68"/>
    <w:rsid w:val="00D94356"/>
    <w:rsid w:val="00D94ABA"/>
    <w:rsid w:val="00D95483"/>
    <w:rsid w:val="00D95927"/>
    <w:rsid w:val="00D95A5D"/>
    <w:rsid w:val="00D97CF1"/>
    <w:rsid w:val="00D97DF4"/>
    <w:rsid w:val="00DA162C"/>
    <w:rsid w:val="00DA202E"/>
    <w:rsid w:val="00DA2505"/>
    <w:rsid w:val="00DA3B8A"/>
    <w:rsid w:val="00DA6061"/>
    <w:rsid w:val="00DA61E5"/>
    <w:rsid w:val="00DB2A3A"/>
    <w:rsid w:val="00DB2EB9"/>
    <w:rsid w:val="00DB3F35"/>
    <w:rsid w:val="00DB45B6"/>
    <w:rsid w:val="00DB787C"/>
    <w:rsid w:val="00DB7E49"/>
    <w:rsid w:val="00DC0879"/>
    <w:rsid w:val="00DC173A"/>
    <w:rsid w:val="00DC1742"/>
    <w:rsid w:val="00DC1A00"/>
    <w:rsid w:val="00DC22B8"/>
    <w:rsid w:val="00DC38C2"/>
    <w:rsid w:val="00DC420C"/>
    <w:rsid w:val="00DC4394"/>
    <w:rsid w:val="00DC43BC"/>
    <w:rsid w:val="00DC4910"/>
    <w:rsid w:val="00DC4A69"/>
    <w:rsid w:val="00DC4B7C"/>
    <w:rsid w:val="00DC528C"/>
    <w:rsid w:val="00DC52C8"/>
    <w:rsid w:val="00DC71B1"/>
    <w:rsid w:val="00DD245B"/>
    <w:rsid w:val="00DD4D13"/>
    <w:rsid w:val="00DD7049"/>
    <w:rsid w:val="00DE229C"/>
    <w:rsid w:val="00DE23D8"/>
    <w:rsid w:val="00DE62A9"/>
    <w:rsid w:val="00DE78FD"/>
    <w:rsid w:val="00DE7F72"/>
    <w:rsid w:val="00DF0499"/>
    <w:rsid w:val="00DF23C5"/>
    <w:rsid w:val="00DF26E7"/>
    <w:rsid w:val="00DF2CC5"/>
    <w:rsid w:val="00DF3D7B"/>
    <w:rsid w:val="00DF4A03"/>
    <w:rsid w:val="00DF4BF9"/>
    <w:rsid w:val="00DF57DD"/>
    <w:rsid w:val="00DF5A23"/>
    <w:rsid w:val="00DF6A6F"/>
    <w:rsid w:val="00E01931"/>
    <w:rsid w:val="00E01E87"/>
    <w:rsid w:val="00E043ED"/>
    <w:rsid w:val="00E04EF7"/>
    <w:rsid w:val="00E05345"/>
    <w:rsid w:val="00E05372"/>
    <w:rsid w:val="00E05D4B"/>
    <w:rsid w:val="00E06146"/>
    <w:rsid w:val="00E06528"/>
    <w:rsid w:val="00E06823"/>
    <w:rsid w:val="00E06A60"/>
    <w:rsid w:val="00E06B8F"/>
    <w:rsid w:val="00E07317"/>
    <w:rsid w:val="00E075AA"/>
    <w:rsid w:val="00E0797D"/>
    <w:rsid w:val="00E11EC4"/>
    <w:rsid w:val="00E13074"/>
    <w:rsid w:val="00E13397"/>
    <w:rsid w:val="00E14403"/>
    <w:rsid w:val="00E14ABF"/>
    <w:rsid w:val="00E14C16"/>
    <w:rsid w:val="00E16EA5"/>
    <w:rsid w:val="00E213EC"/>
    <w:rsid w:val="00E21679"/>
    <w:rsid w:val="00E22EB0"/>
    <w:rsid w:val="00E2301D"/>
    <w:rsid w:val="00E24A77"/>
    <w:rsid w:val="00E2748A"/>
    <w:rsid w:val="00E307DD"/>
    <w:rsid w:val="00E31AA8"/>
    <w:rsid w:val="00E31EFA"/>
    <w:rsid w:val="00E32319"/>
    <w:rsid w:val="00E3264B"/>
    <w:rsid w:val="00E32696"/>
    <w:rsid w:val="00E37AE1"/>
    <w:rsid w:val="00E44D66"/>
    <w:rsid w:val="00E46845"/>
    <w:rsid w:val="00E477C3"/>
    <w:rsid w:val="00E52CCD"/>
    <w:rsid w:val="00E53420"/>
    <w:rsid w:val="00E556A0"/>
    <w:rsid w:val="00E60F1E"/>
    <w:rsid w:val="00E614F4"/>
    <w:rsid w:val="00E621AB"/>
    <w:rsid w:val="00E633D8"/>
    <w:rsid w:val="00E64170"/>
    <w:rsid w:val="00E6627C"/>
    <w:rsid w:val="00E66858"/>
    <w:rsid w:val="00E700A8"/>
    <w:rsid w:val="00E74A59"/>
    <w:rsid w:val="00E75300"/>
    <w:rsid w:val="00E75EC4"/>
    <w:rsid w:val="00E76009"/>
    <w:rsid w:val="00E77FC9"/>
    <w:rsid w:val="00E8228B"/>
    <w:rsid w:val="00E8247B"/>
    <w:rsid w:val="00E845BB"/>
    <w:rsid w:val="00E85AAD"/>
    <w:rsid w:val="00E87196"/>
    <w:rsid w:val="00E90629"/>
    <w:rsid w:val="00E90E97"/>
    <w:rsid w:val="00E90FE6"/>
    <w:rsid w:val="00E91309"/>
    <w:rsid w:val="00E921AB"/>
    <w:rsid w:val="00E958E7"/>
    <w:rsid w:val="00E96A76"/>
    <w:rsid w:val="00EA03F3"/>
    <w:rsid w:val="00EA1227"/>
    <w:rsid w:val="00EA3133"/>
    <w:rsid w:val="00EA4487"/>
    <w:rsid w:val="00EA5F4D"/>
    <w:rsid w:val="00EA609A"/>
    <w:rsid w:val="00EA6709"/>
    <w:rsid w:val="00EA78BD"/>
    <w:rsid w:val="00EB0375"/>
    <w:rsid w:val="00EB0872"/>
    <w:rsid w:val="00EB0CB8"/>
    <w:rsid w:val="00EB2070"/>
    <w:rsid w:val="00EB2CCF"/>
    <w:rsid w:val="00EB384D"/>
    <w:rsid w:val="00EB3EC6"/>
    <w:rsid w:val="00EB462B"/>
    <w:rsid w:val="00EB4BD7"/>
    <w:rsid w:val="00EB5874"/>
    <w:rsid w:val="00EB62C5"/>
    <w:rsid w:val="00EC220B"/>
    <w:rsid w:val="00EC432A"/>
    <w:rsid w:val="00EC6979"/>
    <w:rsid w:val="00ED0AAB"/>
    <w:rsid w:val="00ED0CC7"/>
    <w:rsid w:val="00ED2B9C"/>
    <w:rsid w:val="00ED3041"/>
    <w:rsid w:val="00ED38F3"/>
    <w:rsid w:val="00ED4734"/>
    <w:rsid w:val="00ED7C96"/>
    <w:rsid w:val="00EE0900"/>
    <w:rsid w:val="00EE0DE0"/>
    <w:rsid w:val="00EE1E11"/>
    <w:rsid w:val="00EE37E5"/>
    <w:rsid w:val="00EE3B08"/>
    <w:rsid w:val="00EE534B"/>
    <w:rsid w:val="00EE53D1"/>
    <w:rsid w:val="00EE701F"/>
    <w:rsid w:val="00EE730C"/>
    <w:rsid w:val="00EE770E"/>
    <w:rsid w:val="00EE7EBD"/>
    <w:rsid w:val="00EF05D1"/>
    <w:rsid w:val="00EF2553"/>
    <w:rsid w:val="00EF3592"/>
    <w:rsid w:val="00EF6815"/>
    <w:rsid w:val="00EF6B87"/>
    <w:rsid w:val="00EF6E8E"/>
    <w:rsid w:val="00EF747E"/>
    <w:rsid w:val="00EF764F"/>
    <w:rsid w:val="00F039FC"/>
    <w:rsid w:val="00F04C92"/>
    <w:rsid w:val="00F0513E"/>
    <w:rsid w:val="00F051EE"/>
    <w:rsid w:val="00F05F6D"/>
    <w:rsid w:val="00F11962"/>
    <w:rsid w:val="00F12968"/>
    <w:rsid w:val="00F12FC0"/>
    <w:rsid w:val="00F143DA"/>
    <w:rsid w:val="00F1456D"/>
    <w:rsid w:val="00F179F9"/>
    <w:rsid w:val="00F204EB"/>
    <w:rsid w:val="00F20C70"/>
    <w:rsid w:val="00F229B4"/>
    <w:rsid w:val="00F23CCD"/>
    <w:rsid w:val="00F24079"/>
    <w:rsid w:val="00F24646"/>
    <w:rsid w:val="00F259A5"/>
    <w:rsid w:val="00F27399"/>
    <w:rsid w:val="00F274F8"/>
    <w:rsid w:val="00F30563"/>
    <w:rsid w:val="00F3147D"/>
    <w:rsid w:val="00F322E9"/>
    <w:rsid w:val="00F3319E"/>
    <w:rsid w:val="00F33F95"/>
    <w:rsid w:val="00F348CD"/>
    <w:rsid w:val="00F3660F"/>
    <w:rsid w:val="00F369D0"/>
    <w:rsid w:val="00F370D1"/>
    <w:rsid w:val="00F4231D"/>
    <w:rsid w:val="00F42923"/>
    <w:rsid w:val="00F43181"/>
    <w:rsid w:val="00F477BB"/>
    <w:rsid w:val="00F47E3F"/>
    <w:rsid w:val="00F51BE0"/>
    <w:rsid w:val="00F537CC"/>
    <w:rsid w:val="00F538BB"/>
    <w:rsid w:val="00F53DBD"/>
    <w:rsid w:val="00F5461D"/>
    <w:rsid w:val="00F554A1"/>
    <w:rsid w:val="00F56071"/>
    <w:rsid w:val="00F57687"/>
    <w:rsid w:val="00F57B2F"/>
    <w:rsid w:val="00F6072C"/>
    <w:rsid w:val="00F612BD"/>
    <w:rsid w:val="00F6153A"/>
    <w:rsid w:val="00F63CBA"/>
    <w:rsid w:val="00F65983"/>
    <w:rsid w:val="00F674D2"/>
    <w:rsid w:val="00F67D21"/>
    <w:rsid w:val="00F70281"/>
    <w:rsid w:val="00F712D3"/>
    <w:rsid w:val="00F72119"/>
    <w:rsid w:val="00F7309A"/>
    <w:rsid w:val="00F735CA"/>
    <w:rsid w:val="00F73BFE"/>
    <w:rsid w:val="00F73DE4"/>
    <w:rsid w:val="00F744BE"/>
    <w:rsid w:val="00F74A55"/>
    <w:rsid w:val="00F753CA"/>
    <w:rsid w:val="00F77C6F"/>
    <w:rsid w:val="00F817BF"/>
    <w:rsid w:val="00F81836"/>
    <w:rsid w:val="00F81B4A"/>
    <w:rsid w:val="00F8329E"/>
    <w:rsid w:val="00F84A9D"/>
    <w:rsid w:val="00F8674A"/>
    <w:rsid w:val="00F9013F"/>
    <w:rsid w:val="00F90469"/>
    <w:rsid w:val="00F92426"/>
    <w:rsid w:val="00F92AA0"/>
    <w:rsid w:val="00F95A50"/>
    <w:rsid w:val="00F971E0"/>
    <w:rsid w:val="00F9772E"/>
    <w:rsid w:val="00FA17AC"/>
    <w:rsid w:val="00FA1A74"/>
    <w:rsid w:val="00FA1D3B"/>
    <w:rsid w:val="00FA3229"/>
    <w:rsid w:val="00FA35ED"/>
    <w:rsid w:val="00FA3D87"/>
    <w:rsid w:val="00FA542A"/>
    <w:rsid w:val="00FA56B6"/>
    <w:rsid w:val="00FA6395"/>
    <w:rsid w:val="00FA755A"/>
    <w:rsid w:val="00FA7F57"/>
    <w:rsid w:val="00FB1646"/>
    <w:rsid w:val="00FB4BEB"/>
    <w:rsid w:val="00FB4C42"/>
    <w:rsid w:val="00FB54CE"/>
    <w:rsid w:val="00FB5915"/>
    <w:rsid w:val="00FB6545"/>
    <w:rsid w:val="00FC0510"/>
    <w:rsid w:val="00FC0D54"/>
    <w:rsid w:val="00FC1BF1"/>
    <w:rsid w:val="00FC2EEA"/>
    <w:rsid w:val="00FC587B"/>
    <w:rsid w:val="00FC5C22"/>
    <w:rsid w:val="00FD17DA"/>
    <w:rsid w:val="00FD1B18"/>
    <w:rsid w:val="00FD233A"/>
    <w:rsid w:val="00FD2E87"/>
    <w:rsid w:val="00FD36B2"/>
    <w:rsid w:val="00FD4C53"/>
    <w:rsid w:val="00FD68FC"/>
    <w:rsid w:val="00FD6E06"/>
    <w:rsid w:val="00FD7B60"/>
    <w:rsid w:val="00FE0925"/>
    <w:rsid w:val="00FE1933"/>
    <w:rsid w:val="00FE1AD6"/>
    <w:rsid w:val="00FE271B"/>
    <w:rsid w:val="00FE4BCB"/>
    <w:rsid w:val="00FE61EA"/>
    <w:rsid w:val="00FF1811"/>
    <w:rsid w:val="00FF28F8"/>
    <w:rsid w:val="00FF45A9"/>
    <w:rsid w:val="00FF6D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margin;mso-position-vertical:center;mso-position-vertical-relative:margin" o:allowincell="f" fillcolor="silver" stroke="f">
      <v:fill color="silver" opacity=".5"/>
      <v:stroke on="f"/>
    </o:shapedefaults>
    <o:shapelayout v:ext="edit">
      <o:idmap v:ext="edit" data="2"/>
    </o:shapelayout>
  </w:shapeDefaults>
  <w:decimalSymbol w:val="."/>
  <w:listSeparator w:val=","/>
  <w15:docId w15:val="{939BB826-6528-4AB3-B13F-860F39C90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CDA"/>
    <w:pPr>
      <w:spacing w:before="220" w:after="220" w:line="280" w:lineRule="exact"/>
    </w:pPr>
  </w:style>
  <w:style w:type="paragraph" w:styleId="Heading1">
    <w:name w:val="heading 1"/>
    <w:aliases w:val="numbered"/>
    <w:basedOn w:val="Normal"/>
    <w:next w:val="Normal"/>
    <w:link w:val="Heading1Char"/>
    <w:qFormat/>
    <w:rsid w:val="000B0846"/>
    <w:pPr>
      <w:keepNext/>
      <w:keepLines/>
      <w:spacing w:before="7600" w:after="480"/>
      <w:jc w:val="right"/>
      <w:outlineLvl w:val="0"/>
    </w:pPr>
    <w:rPr>
      <w:rFonts w:ascii="Arial Narrow" w:eastAsiaTheme="majorEastAsia" w:hAnsi="Arial Narrow" w:cstheme="majorBidi"/>
      <w:smallCaps/>
      <w:sz w:val="42"/>
      <w:szCs w:val="32"/>
    </w:rPr>
  </w:style>
  <w:style w:type="paragraph" w:styleId="Heading2">
    <w:name w:val="heading 2"/>
    <w:basedOn w:val="Normal"/>
    <w:next w:val="Normal"/>
    <w:link w:val="Heading2Char"/>
    <w:autoRedefine/>
    <w:unhideWhenUsed/>
    <w:qFormat/>
    <w:rsid w:val="00AC094E"/>
    <w:pPr>
      <w:keepNext/>
      <w:keepLines/>
      <w:spacing w:before="320" w:after="320" w:line="280" w:lineRule="atLeast"/>
      <w:outlineLvl w:val="1"/>
    </w:pPr>
    <w:rPr>
      <w:rFonts w:ascii="Arial Narrow" w:eastAsia="Times New Roman" w:hAnsi="Arial Narrow" w:cstheme="majorBidi"/>
      <w:smallCaps/>
      <w:kern w:val="32"/>
      <w:sz w:val="44"/>
      <w:szCs w:val="44"/>
    </w:rPr>
  </w:style>
  <w:style w:type="paragraph" w:styleId="Heading3">
    <w:name w:val="heading 3"/>
    <w:basedOn w:val="Normal"/>
    <w:next w:val="Normal"/>
    <w:link w:val="Heading3Char"/>
    <w:uiPriority w:val="9"/>
    <w:unhideWhenUsed/>
    <w:qFormat/>
    <w:rsid w:val="0021195E"/>
    <w:pPr>
      <w:keepNext/>
      <w:keepLines/>
      <w:spacing w:before="240" w:after="240"/>
      <w:outlineLvl w:val="2"/>
    </w:pPr>
    <w:rPr>
      <w:rFonts w:ascii="Arial Narrow" w:eastAsiaTheme="majorEastAsia" w:hAnsi="Arial Narrow" w:cstheme="majorBidi"/>
      <w:smallCaps/>
      <w:sz w:val="30"/>
      <w:szCs w:val="24"/>
    </w:rPr>
  </w:style>
  <w:style w:type="paragraph" w:styleId="Heading4">
    <w:name w:val="heading 4"/>
    <w:aliases w:val="Heading 4 numbered"/>
    <w:basedOn w:val="Normal"/>
    <w:next w:val="Normal"/>
    <w:link w:val="Heading4Char"/>
    <w:uiPriority w:val="9"/>
    <w:unhideWhenUsed/>
    <w:qFormat/>
    <w:rsid w:val="000C30A9"/>
    <w:pPr>
      <w:keepNext/>
      <w:keepLines/>
      <w:spacing w:before="240" w:after="240"/>
      <w:outlineLvl w:val="3"/>
    </w:pPr>
    <w:rPr>
      <w:rFonts w:ascii="Arial Narrow" w:eastAsiaTheme="majorEastAsia" w:hAnsi="Arial Narrow" w:cstheme="majorBidi"/>
      <w:b/>
      <w:iCs/>
      <w:smallCaps/>
      <w:sz w:val="26"/>
    </w:rPr>
  </w:style>
  <w:style w:type="paragraph" w:styleId="Heading5">
    <w:name w:val="heading 5"/>
    <w:basedOn w:val="Heading6"/>
    <w:next w:val="Normal"/>
    <w:link w:val="Heading5Char"/>
    <w:uiPriority w:val="9"/>
    <w:unhideWhenUsed/>
    <w:qFormat/>
    <w:rsid w:val="00FA3D87"/>
    <w:pPr>
      <w:keepLines w:val="0"/>
      <w:outlineLvl w:val="4"/>
    </w:pPr>
    <w:rPr>
      <w:rFonts w:ascii="Arial Narrow" w:eastAsia="Calibri" w:hAnsi="Arial Narrow"/>
      <w:i w:val="0"/>
      <w:iCs w:val="0"/>
      <w:smallCaps/>
      <w:szCs w:val="24"/>
      <w:lang w:eastAsia="en-AU"/>
    </w:rPr>
  </w:style>
  <w:style w:type="paragraph" w:styleId="Heading6">
    <w:name w:val="heading 6"/>
    <w:basedOn w:val="Heading7"/>
    <w:next w:val="Normal"/>
    <w:link w:val="Heading6Char"/>
    <w:uiPriority w:val="9"/>
    <w:unhideWhenUsed/>
    <w:qFormat/>
    <w:rsid w:val="005C7610"/>
    <w:pPr>
      <w:spacing w:before="220" w:after="220"/>
      <w:outlineLvl w:val="5"/>
    </w:pPr>
    <w:rPr>
      <w:rFonts w:ascii="Calibri" w:hAnsi="Calibri"/>
      <w:i/>
      <w:smallCaps w:val="0"/>
    </w:rPr>
  </w:style>
  <w:style w:type="paragraph" w:styleId="Heading7">
    <w:name w:val="heading 7"/>
    <w:basedOn w:val="Normal"/>
    <w:next w:val="Normal"/>
    <w:link w:val="Heading7Char"/>
    <w:unhideWhenUsed/>
    <w:qFormat/>
    <w:rsid w:val="00B27573"/>
    <w:pPr>
      <w:keepNext/>
      <w:keepLines/>
      <w:spacing w:before="240" w:after="240"/>
      <w:outlineLvl w:val="6"/>
    </w:pPr>
    <w:rPr>
      <w:rFonts w:eastAsiaTheme="majorEastAsia" w:cstheme="majorBidi"/>
      <w:iCs/>
      <w:smallCaps/>
    </w:rPr>
  </w:style>
  <w:style w:type="paragraph" w:styleId="Heading8">
    <w:name w:val="heading 8"/>
    <w:basedOn w:val="Normal"/>
    <w:next w:val="Normal"/>
    <w:link w:val="Heading8Char"/>
    <w:uiPriority w:val="9"/>
    <w:unhideWhenUsed/>
    <w:qFormat/>
    <w:rsid w:val="00713E5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13E5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846"/>
  </w:style>
  <w:style w:type="paragraph" w:styleId="Footer">
    <w:name w:val="footer"/>
    <w:basedOn w:val="Normal"/>
    <w:link w:val="FooterChar"/>
    <w:unhideWhenUsed/>
    <w:rsid w:val="000B0846"/>
    <w:pPr>
      <w:tabs>
        <w:tab w:val="center" w:pos="4513"/>
        <w:tab w:val="right" w:pos="9026"/>
      </w:tabs>
      <w:spacing w:after="0" w:line="240" w:lineRule="auto"/>
    </w:pPr>
  </w:style>
  <w:style w:type="character" w:customStyle="1" w:styleId="FooterChar">
    <w:name w:val="Footer Char"/>
    <w:basedOn w:val="DefaultParagraphFont"/>
    <w:link w:val="Footer"/>
    <w:rsid w:val="000B0846"/>
  </w:style>
  <w:style w:type="character" w:customStyle="1" w:styleId="Heading1Char">
    <w:name w:val="Heading 1 Char"/>
    <w:aliases w:val="numbered Char"/>
    <w:basedOn w:val="DefaultParagraphFont"/>
    <w:link w:val="Heading1"/>
    <w:rsid w:val="000B0846"/>
    <w:rPr>
      <w:rFonts w:ascii="Arial Narrow" w:eastAsiaTheme="majorEastAsia" w:hAnsi="Arial Narrow" w:cstheme="majorBidi"/>
      <w:smallCaps/>
      <w:sz w:val="42"/>
      <w:szCs w:val="32"/>
    </w:rPr>
  </w:style>
  <w:style w:type="character" w:customStyle="1" w:styleId="Heading2Char">
    <w:name w:val="Heading 2 Char"/>
    <w:basedOn w:val="DefaultParagraphFont"/>
    <w:link w:val="Heading2"/>
    <w:rsid w:val="00AC094E"/>
    <w:rPr>
      <w:rFonts w:ascii="Arial Narrow" w:eastAsia="Times New Roman" w:hAnsi="Arial Narrow" w:cstheme="majorBidi"/>
      <w:smallCaps/>
      <w:kern w:val="32"/>
      <w:sz w:val="44"/>
      <w:szCs w:val="44"/>
    </w:rPr>
  </w:style>
  <w:style w:type="character" w:customStyle="1" w:styleId="Heading3Char">
    <w:name w:val="Heading 3 Char"/>
    <w:basedOn w:val="DefaultParagraphFont"/>
    <w:link w:val="Heading3"/>
    <w:uiPriority w:val="9"/>
    <w:rsid w:val="0021195E"/>
    <w:rPr>
      <w:rFonts w:ascii="Arial Narrow" w:eastAsiaTheme="majorEastAsia" w:hAnsi="Arial Narrow" w:cstheme="majorBidi"/>
      <w:smallCaps/>
      <w:sz w:val="30"/>
      <w:szCs w:val="24"/>
    </w:rPr>
  </w:style>
  <w:style w:type="paragraph" w:styleId="ListParagraph">
    <w:name w:val="List Paragraph"/>
    <w:basedOn w:val="Normal"/>
    <w:uiPriority w:val="34"/>
    <w:qFormat/>
    <w:rsid w:val="00F6072C"/>
    <w:pPr>
      <w:ind w:left="720"/>
      <w:contextualSpacing/>
    </w:pPr>
  </w:style>
  <w:style w:type="paragraph" w:styleId="BalloonText">
    <w:name w:val="Balloon Text"/>
    <w:basedOn w:val="Normal"/>
    <w:link w:val="BalloonTextChar"/>
    <w:semiHidden/>
    <w:unhideWhenUsed/>
    <w:rsid w:val="00713E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13E5C"/>
    <w:rPr>
      <w:rFonts w:ascii="Segoe UI" w:hAnsi="Segoe UI" w:cs="Segoe UI"/>
      <w:sz w:val="18"/>
      <w:szCs w:val="18"/>
    </w:rPr>
  </w:style>
  <w:style w:type="paragraph" w:styleId="Bibliography">
    <w:name w:val="Bibliography"/>
    <w:basedOn w:val="Normal"/>
    <w:next w:val="Normal"/>
    <w:uiPriority w:val="37"/>
    <w:semiHidden/>
    <w:unhideWhenUsed/>
    <w:rsid w:val="00713E5C"/>
  </w:style>
  <w:style w:type="paragraph" w:styleId="BlockText">
    <w:name w:val="Block Text"/>
    <w:basedOn w:val="Normal"/>
    <w:uiPriority w:val="99"/>
    <w:semiHidden/>
    <w:unhideWhenUsed/>
    <w:rsid w:val="00713E5C"/>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color w:val="5B9BD5" w:themeColor="accent1"/>
    </w:rPr>
  </w:style>
  <w:style w:type="paragraph" w:styleId="BodyText">
    <w:name w:val="Body Text"/>
    <w:basedOn w:val="Normal"/>
    <w:link w:val="BodyTextChar"/>
    <w:unhideWhenUsed/>
    <w:rsid w:val="00713E5C"/>
    <w:pPr>
      <w:spacing w:after="120"/>
    </w:pPr>
  </w:style>
  <w:style w:type="character" w:customStyle="1" w:styleId="BodyTextChar">
    <w:name w:val="Body Text Char"/>
    <w:basedOn w:val="DefaultParagraphFont"/>
    <w:link w:val="BodyText"/>
    <w:rsid w:val="00713E5C"/>
  </w:style>
  <w:style w:type="paragraph" w:styleId="BodyText2">
    <w:name w:val="Body Text 2"/>
    <w:basedOn w:val="Normal"/>
    <w:link w:val="BodyText2Char"/>
    <w:uiPriority w:val="99"/>
    <w:semiHidden/>
    <w:unhideWhenUsed/>
    <w:rsid w:val="00713E5C"/>
    <w:pPr>
      <w:spacing w:after="120" w:line="480" w:lineRule="auto"/>
    </w:pPr>
  </w:style>
  <w:style w:type="character" w:customStyle="1" w:styleId="BodyText2Char">
    <w:name w:val="Body Text 2 Char"/>
    <w:basedOn w:val="DefaultParagraphFont"/>
    <w:link w:val="BodyText2"/>
    <w:uiPriority w:val="99"/>
    <w:semiHidden/>
    <w:rsid w:val="00713E5C"/>
  </w:style>
  <w:style w:type="paragraph" w:styleId="BodyText3">
    <w:name w:val="Body Text 3"/>
    <w:basedOn w:val="Normal"/>
    <w:link w:val="BodyText3Char"/>
    <w:uiPriority w:val="99"/>
    <w:semiHidden/>
    <w:unhideWhenUsed/>
    <w:rsid w:val="00713E5C"/>
    <w:pPr>
      <w:spacing w:after="120"/>
    </w:pPr>
    <w:rPr>
      <w:sz w:val="16"/>
      <w:szCs w:val="16"/>
    </w:rPr>
  </w:style>
  <w:style w:type="character" w:customStyle="1" w:styleId="BodyText3Char">
    <w:name w:val="Body Text 3 Char"/>
    <w:basedOn w:val="DefaultParagraphFont"/>
    <w:link w:val="BodyText3"/>
    <w:uiPriority w:val="99"/>
    <w:semiHidden/>
    <w:rsid w:val="00713E5C"/>
    <w:rPr>
      <w:sz w:val="16"/>
      <w:szCs w:val="16"/>
    </w:rPr>
  </w:style>
  <w:style w:type="paragraph" w:styleId="BodyTextFirstIndent">
    <w:name w:val="Body Text First Indent"/>
    <w:basedOn w:val="BodyText"/>
    <w:link w:val="BodyTextFirstIndentChar"/>
    <w:uiPriority w:val="99"/>
    <w:semiHidden/>
    <w:unhideWhenUsed/>
    <w:rsid w:val="00713E5C"/>
    <w:pPr>
      <w:spacing w:after="160"/>
      <w:ind w:firstLine="360"/>
    </w:pPr>
  </w:style>
  <w:style w:type="character" w:customStyle="1" w:styleId="BodyTextFirstIndentChar">
    <w:name w:val="Body Text First Indent Char"/>
    <w:basedOn w:val="BodyTextChar"/>
    <w:link w:val="BodyTextFirstIndent"/>
    <w:uiPriority w:val="99"/>
    <w:semiHidden/>
    <w:rsid w:val="00713E5C"/>
  </w:style>
  <w:style w:type="paragraph" w:styleId="BodyTextIndent">
    <w:name w:val="Body Text Indent"/>
    <w:basedOn w:val="Normal"/>
    <w:link w:val="BodyTextIndentChar"/>
    <w:uiPriority w:val="99"/>
    <w:semiHidden/>
    <w:unhideWhenUsed/>
    <w:rsid w:val="00713E5C"/>
    <w:pPr>
      <w:spacing w:after="120"/>
      <w:ind w:left="283"/>
    </w:pPr>
  </w:style>
  <w:style w:type="character" w:customStyle="1" w:styleId="BodyTextIndentChar">
    <w:name w:val="Body Text Indent Char"/>
    <w:basedOn w:val="DefaultParagraphFont"/>
    <w:link w:val="BodyTextIndent"/>
    <w:uiPriority w:val="99"/>
    <w:semiHidden/>
    <w:rsid w:val="00713E5C"/>
  </w:style>
  <w:style w:type="paragraph" w:styleId="BodyTextFirstIndent2">
    <w:name w:val="Body Text First Indent 2"/>
    <w:basedOn w:val="BodyTextIndent"/>
    <w:link w:val="BodyTextFirstIndent2Char"/>
    <w:uiPriority w:val="99"/>
    <w:semiHidden/>
    <w:unhideWhenUsed/>
    <w:rsid w:val="00713E5C"/>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713E5C"/>
  </w:style>
  <w:style w:type="paragraph" w:styleId="BodyTextIndent2">
    <w:name w:val="Body Text Indent 2"/>
    <w:basedOn w:val="Normal"/>
    <w:link w:val="BodyTextIndent2Char"/>
    <w:uiPriority w:val="99"/>
    <w:semiHidden/>
    <w:unhideWhenUsed/>
    <w:rsid w:val="00713E5C"/>
    <w:pPr>
      <w:spacing w:after="120" w:line="480" w:lineRule="auto"/>
      <w:ind w:left="283"/>
    </w:pPr>
  </w:style>
  <w:style w:type="character" w:customStyle="1" w:styleId="BodyTextIndent2Char">
    <w:name w:val="Body Text Indent 2 Char"/>
    <w:basedOn w:val="DefaultParagraphFont"/>
    <w:link w:val="BodyTextIndent2"/>
    <w:uiPriority w:val="99"/>
    <w:semiHidden/>
    <w:rsid w:val="00713E5C"/>
  </w:style>
  <w:style w:type="paragraph" w:styleId="BodyTextIndent3">
    <w:name w:val="Body Text Indent 3"/>
    <w:basedOn w:val="Normal"/>
    <w:link w:val="BodyTextIndent3Char"/>
    <w:uiPriority w:val="99"/>
    <w:semiHidden/>
    <w:unhideWhenUsed/>
    <w:rsid w:val="00713E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13E5C"/>
    <w:rPr>
      <w:sz w:val="16"/>
      <w:szCs w:val="16"/>
    </w:rPr>
  </w:style>
  <w:style w:type="paragraph" w:styleId="Caption">
    <w:name w:val="caption"/>
    <w:basedOn w:val="Normal"/>
    <w:next w:val="Normal"/>
    <w:unhideWhenUsed/>
    <w:qFormat/>
    <w:rsid w:val="00713E5C"/>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713E5C"/>
    <w:pPr>
      <w:spacing w:after="0" w:line="240" w:lineRule="auto"/>
      <w:ind w:left="4252"/>
    </w:pPr>
  </w:style>
  <w:style w:type="character" w:customStyle="1" w:styleId="ClosingChar">
    <w:name w:val="Closing Char"/>
    <w:basedOn w:val="DefaultParagraphFont"/>
    <w:link w:val="Closing"/>
    <w:uiPriority w:val="99"/>
    <w:semiHidden/>
    <w:rsid w:val="00713E5C"/>
  </w:style>
  <w:style w:type="paragraph" w:styleId="CommentText">
    <w:name w:val="annotation text"/>
    <w:basedOn w:val="Normal"/>
    <w:link w:val="CommentTextChar"/>
    <w:unhideWhenUsed/>
    <w:rsid w:val="00713E5C"/>
    <w:pPr>
      <w:spacing w:line="240" w:lineRule="auto"/>
    </w:pPr>
    <w:rPr>
      <w:sz w:val="20"/>
      <w:szCs w:val="20"/>
    </w:rPr>
  </w:style>
  <w:style w:type="character" w:customStyle="1" w:styleId="CommentTextChar">
    <w:name w:val="Comment Text Char"/>
    <w:basedOn w:val="DefaultParagraphFont"/>
    <w:link w:val="CommentText"/>
    <w:rsid w:val="00713E5C"/>
    <w:rPr>
      <w:sz w:val="20"/>
      <w:szCs w:val="20"/>
    </w:rPr>
  </w:style>
  <w:style w:type="paragraph" w:styleId="CommentSubject">
    <w:name w:val="annotation subject"/>
    <w:basedOn w:val="CommentText"/>
    <w:next w:val="CommentText"/>
    <w:link w:val="CommentSubjectChar"/>
    <w:unhideWhenUsed/>
    <w:rsid w:val="00713E5C"/>
    <w:rPr>
      <w:b/>
      <w:bCs/>
    </w:rPr>
  </w:style>
  <w:style w:type="character" w:customStyle="1" w:styleId="CommentSubjectChar">
    <w:name w:val="Comment Subject Char"/>
    <w:basedOn w:val="CommentTextChar"/>
    <w:link w:val="CommentSubject"/>
    <w:rsid w:val="00713E5C"/>
    <w:rPr>
      <w:b/>
      <w:bCs/>
      <w:sz w:val="20"/>
      <w:szCs w:val="20"/>
    </w:rPr>
  </w:style>
  <w:style w:type="paragraph" w:styleId="Date">
    <w:name w:val="Date"/>
    <w:basedOn w:val="Normal"/>
    <w:next w:val="Normal"/>
    <w:link w:val="DateChar"/>
    <w:uiPriority w:val="99"/>
    <w:semiHidden/>
    <w:unhideWhenUsed/>
    <w:rsid w:val="00713E5C"/>
  </w:style>
  <w:style w:type="character" w:customStyle="1" w:styleId="DateChar">
    <w:name w:val="Date Char"/>
    <w:basedOn w:val="DefaultParagraphFont"/>
    <w:link w:val="Date"/>
    <w:uiPriority w:val="99"/>
    <w:semiHidden/>
    <w:rsid w:val="00713E5C"/>
  </w:style>
  <w:style w:type="paragraph" w:styleId="DocumentMap">
    <w:name w:val="Document Map"/>
    <w:basedOn w:val="Normal"/>
    <w:link w:val="DocumentMapChar"/>
    <w:uiPriority w:val="99"/>
    <w:semiHidden/>
    <w:unhideWhenUsed/>
    <w:rsid w:val="00713E5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13E5C"/>
    <w:rPr>
      <w:rFonts w:ascii="Segoe UI" w:hAnsi="Segoe UI" w:cs="Segoe UI"/>
      <w:sz w:val="16"/>
      <w:szCs w:val="16"/>
    </w:rPr>
  </w:style>
  <w:style w:type="paragraph" w:styleId="E-mailSignature">
    <w:name w:val="E-mail Signature"/>
    <w:basedOn w:val="Normal"/>
    <w:link w:val="E-mailSignatureChar"/>
    <w:uiPriority w:val="99"/>
    <w:semiHidden/>
    <w:unhideWhenUsed/>
    <w:rsid w:val="00713E5C"/>
    <w:pPr>
      <w:spacing w:after="0" w:line="240" w:lineRule="auto"/>
    </w:pPr>
  </w:style>
  <w:style w:type="character" w:customStyle="1" w:styleId="E-mailSignatureChar">
    <w:name w:val="E-mail Signature Char"/>
    <w:basedOn w:val="DefaultParagraphFont"/>
    <w:link w:val="E-mailSignature"/>
    <w:uiPriority w:val="99"/>
    <w:semiHidden/>
    <w:rsid w:val="00713E5C"/>
  </w:style>
  <w:style w:type="paragraph" w:styleId="EndnoteText">
    <w:name w:val="endnote text"/>
    <w:basedOn w:val="Normal"/>
    <w:link w:val="EndnoteTextChar"/>
    <w:uiPriority w:val="99"/>
    <w:semiHidden/>
    <w:unhideWhenUsed/>
    <w:rsid w:val="00713E5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13E5C"/>
    <w:rPr>
      <w:sz w:val="20"/>
      <w:szCs w:val="20"/>
    </w:rPr>
  </w:style>
  <w:style w:type="paragraph" w:styleId="EnvelopeAddress">
    <w:name w:val="envelope address"/>
    <w:basedOn w:val="Normal"/>
    <w:uiPriority w:val="99"/>
    <w:semiHidden/>
    <w:unhideWhenUsed/>
    <w:rsid w:val="00713E5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13E5C"/>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unhideWhenUsed/>
    <w:rsid w:val="00B32CDA"/>
    <w:pPr>
      <w:spacing w:after="0" w:line="240" w:lineRule="auto"/>
      <w:ind w:left="115" w:hanging="115"/>
    </w:pPr>
    <w:rPr>
      <w:sz w:val="20"/>
      <w:szCs w:val="20"/>
    </w:rPr>
  </w:style>
  <w:style w:type="character" w:customStyle="1" w:styleId="FootnoteTextChar">
    <w:name w:val="Footnote Text Char"/>
    <w:basedOn w:val="DefaultParagraphFont"/>
    <w:link w:val="FootnoteText"/>
    <w:uiPriority w:val="99"/>
    <w:rsid w:val="00B32CDA"/>
    <w:rPr>
      <w:sz w:val="20"/>
      <w:szCs w:val="20"/>
    </w:rPr>
  </w:style>
  <w:style w:type="character" w:customStyle="1" w:styleId="Heading4Char">
    <w:name w:val="Heading 4 Char"/>
    <w:aliases w:val="Heading 4 numbered Char"/>
    <w:basedOn w:val="DefaultParagraphFont"/>
    <w:link w:val="Heading4"/>
    <w:uiPriority w:val="9"/>
    <w:rsid w:val="000C30A9"/>
    <w:rPr>
      <w:rFonts w:ascii="Arial Narrow" w:eastAsiaTheme="majorEastAsia" w:hAnsi="Arial Narrow" w:cstheme="majorBidi"/>
      <w:b/>
      <w:iCs/>
      <w:smallCaps/>
      <w:sz w:val="26"/>
    </w:rPr>
  </w:style>
  <w:style w:type="character" w:customStyle="1" w:styleId="Heading5Char">
    <w:name w:val="Heading 5 Char"/>
    <w:basedOn w:val="DefaultParagraphFont"/>
    <w:link w:val="Heading5"/>
    <w:uiPriority w:val="9"/>
    <w:rsid w:val="00FA3D87"/>
    <w:rPr>
      <w:rFonts w:ascii="Arial Narrow" w:eastAsia="Calibri" w:hAnsi="Arial Narrow" w:cstheme="majorBidi"/>
      <w:smallCaps/>
      <w:szCs w:val="24"/>
      <w:lang w:eastAsia="en-AU"/>
    </w:rPr>
  </w:style>
  <w:style w:type="character" w:customStyle="1" w:styleId="Heading6Char">
    <w:name w:val="Heading 6 Char"/>
    <w:basedOn w:val="DefaultParagraphFont"/>
    <w:link w:val="Heading6"/>
    <w:uiPriority w:val="9"/>
    <w:rsid w:val="005C7610"/>
    <w:rPr>
      <w:rFonts w:ascii="Calibri" w:eastAsiaTheme="majorEastAsia" w:hAnsi="Calibri" w:cstheme="majorBidi"/>
      <w:i/>
      <w:iCs/>
    </w:rPr>
  </w:style>
  <w:style w:type="character" w:customStyle="1" w:styleId="Heading7Char">
    <w:name w:val="Heading 7 Char"/>
    <w:basedOn w:val="DefaultParagraphFont"/>
    <w:link w:val="Heading7"/>
    <w:rsid w:val="00B27573"/>
    <w:rPr>
      <w:rFonts w:eastAsiaTheme="majorEastAsia" w:cstheme="majorBidi"/>
      <w:iCs/>
      <w:smallCaps/>
    </w:rPr>
  </w:style>
  <w:style w:type="character" w:customStyle="1" w:styleId="Heading8Char">
    <w:name w:val="Heading 8 Char"/>
    <w:basedOn w:val="DefaultParagraphFont"/>
    <w:link w:val="Heading8"/>
    <w:semiHidden/>
    <w:rsid w:val="00713E5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713E5C"/>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713E5C"/>
    <w:pPr>
      <w:spacing w:after="0" w:line="240" w:lineRule="auto"/>
    </w:pPr>
    <w:rPr>
      <w:i/>
      <w:iCs/>
    </w:rPr>
  </w:style>
  <w:style w:type="character" w:customStyle="1" w:styleId="HTMLAddressChar">
    <w:name w:val="HTML Address Char"/>
    <w:basedOn w:val="DefaultParagraphFont"/>
    <w:link w:val="HTMLAddress"/>
    <w:uiPriority w:val="99"/>
    <w:semiHidden/>
    <w:rsid w:val="00713E5C"/>
    <w:rPr>
      <w:i/>
      <w:iCs/>
    </w:rPr>
  </w:style>
  <w:style w:type="paragraph" w:styleId="HTMLPreformatted">
    <w:name w:val="HTML Preformatted"/>
    <w:basedOn w:val="Normal"/>
    <w:link w:val="HTMLPreformattedChar"/>
    <w:uiPriority w:val="99"/>
    <w:semiHidden/>
    <w:unhideWhenUsed/>
    <w:rsid w:val="00713E5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13E5C"/>
    <w:rPr>
      <w:rFonts w:ascii="Consolas" w:hAnsi="Consolas" w:cs="Consolas"/>
      <w:sz w:val="20"/>
      <w:szCs w:val="20"/>
    </w:rPr>
  </w:style>
  <w:style w:type="paragraph" w:styleId="Index1">
    <w:name w:val="index 1"/>
    <w:basedOn w:val="Normal"/>
    <w:next w:val="Normal"/>
    <w:autoRedefine/>
    <w:uiPriority w:val="99"/>
    <w:semiHidden/>
    <w:unhideWhenUsed/>
    <w:rsid w:val="00713E5C"/>
    <w:pPr>
      <w:spacing w:after="0" w:line="240" w:lineRule="auto"/>
      <w:ind w:left="220" w:hanging="220"/>
    </w:pPr>
  </w:style>
  <w:style w:type="paragraph" w:styleId="Index2">
    <w:name w:val="index 2"/>
    <w:basedOn w:val="Normal"/>
    <w:next w:val="Normal"/>
    <w:autoRedefine/>
    <w:uiPriority w:val="99"/>
    <w:semiHidden/>
    <w:unhideWhenUsed/>
    <w:rsid w:val="00713E5C"/>
    <w:pPr>
      <w:spacing w:after="0" w:line="240" w:lineRule="auto"/>
      <w:ind w:left="440" w:hanging="220"/>
    </w:pPr>
  </w:style>
  <w:style w:type="paragraph" w:styleId="Index3">
    <w:name w:val="index 3"/>
    <w:basedOn w:val="Normal"/>
    <w:next w:val="Normal"/>
    <w:autoRedefine/>
    <w:uiPriority w:val="99"/>
    <w:semiHidden/>
    <w:unhideWhenUsed/>
    <w:rsid w:val="00713E5C"/>
    <w:pPr>
      <w:spacing w:after="0" w:line="240" w:lineRule="auto"/>
      <w:ind w:left="660" w:hanging="220"/>
    </w:pPr>
  </w:style>
  <w:style w:type="paragraph" w:styleId="Index4">
    <w:name w:val="index 4"/>
    <w:basedOn w:val="Normal"/>
    <w:next w:val="Normal"/>
    <w:autoRedefine/>
    <w:uiPriority w:val="99"/>
    <w:semiHidden/>
    <w:unhideWhenUsed/>
    <w:rsid w:val="00713E5C"/>
    <w:pPr>
      <w:spacing w:after="0" w:line="240" w:lineRule="auto"/>
      <w:ind w:left="880" w:hanging="220"/>
    </w:pPr>
  </w:style>
  <w:style w:type="paragraph" w:styleId="Index5">
    <w:name w:val="index 5"/>
    <w:basedOn w:val="Normal"/>
    <w:next w:val="Normal"/>
    <w:autoRedefine/>
    <w:uiPriority w:val="99"/>
    <w:semiHidden/>
    <w:unhideWhenUsed/>
    <w:rsid w:val="00713E5C"/>
    <w:pPr>
      <w:spacing w:after="0" w:line="240" w:lineRule="auto"/>
      <w:ind w:left="1100" w:hanging="220"/>
    </w:pPr>
  </w:style>
  <w:style w:type="paragraph" w:styleId="Index6">
    <w:name w:val="index 6"/>
    <w:basedOn w:val="Normal"/>
    <w:next w:val="Normal"/>
    <w:autoRedefine/>
    <w:uiPriority w:val="99"/>
    <w:semiHidden/>
    <w:unhideWhenUsed/>
    <w:rsid w:val="00713E5C"/>
    <w:pPr>
      <w:spacing w:after="0" w:line="240" w:lineRule="auto"/>
      <w:ind w:left="1320" w:hanging="220"/>
    </w:pPr>
  </w:style>
  <w:style w:type="paragraph" w:styleId="Index7">
    <w:name w:val="index 7"/>
    <w:basedOn w:val="Normal"/>
    <w:next w:val="Normal"/>
    <w:autoRedefine/>
    <w:uiPriority w:val="99"/>
    <w:semiHidden/>
    <w:unhideWhenUsed/>
    <w:rsid w:val="00713E5C"/>
    <w:pPr>
      <w:spacing w:after="0" w:line="240" w:lineRule="auto"/>
      <w:ind w:left="1540" w:hanging="220"/>
    </w:pPr>
  </w:style>
  <w:style w:type="paragraph" w:styleId="Index8">
    <w:name w:val="index 8"/>
    <w:basedOn w:val="Normal"/>
    <w:next w:val="Normal"/>
    <w:autoRedefine/>
    <w:uiPriority w:val="99"/>
    <w:semiHidden/>
    <w:unhideWhenUsed/>
    <w:rsid w:val="00713E5C"/>
    <w:pPr>
      <w:spacing w:after="0" w:line="240" w:lineRule="auto"/>
      <w:ind w:left="1760" w:hanging="220"/>
    </w:pPr>
  </w:style>
  <w:style w:type="paragraph" w:styleId="Index9">
    <w:name w:val="index 9"/>
    <w:basedOn w:val="Normal"/>
    <w:next w:val="Normal"/>
    <w:autoRedefine/>
    <w:uiPriority w:val="99"/>
    <w:semiHidden/>
    <w:unhideWhenUsed/>
    <w:rsid w:val="00713E5C"/>
    <w:pPr>
      <w:spacing w:after="0" w:line="240" w:lineRule="auto"/>
      <w:ind w:left="1980" w:hanging="220"/>
    </w:pPr>
  </w:style>
  <w:style w:type="paragraph" w:styleId="IndexHeading">
    <w:name w:val="index heading"/>
    <w:basedOn w:val="Normal"/>
    <w:next w:val="Index1"/>
    <w:uiPriority w:val="99"/>
    <w:semiHidden/>
    <w:unhideWhenUsed/>
    <w:rsid w:val="00713E5C"/>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713E5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13E5C"/>
    <w:rPr>
      <w:i/>
      <w:iCs/>
      <w:color w:val="5B9BD5" w:themeColor="accent1"/>
    </w:rPr>
  </w:style>
  <w:style w:type="paragraph" w:styleId="List">
    <w:name w:val="List"/>
    <w:basedOn w:val="Normal"/>
    <w:uiPriority w:val="99"/>
    <w:semiHidden/>
    <w:unhideWhenUsed/>
    <w:rsid w:val="00713E5C"/>
    <w:pPr>
      <w:ind w:left="283" w:hanging="283"/>
      <w:contextualSpacing/>
    </w:pPr>
  </w:style>
  <w:style w:type="paragraph" w:styleId="List2">
    <w:name w:val="List 2"/>
    <w:basedOn w:val="Normal"/>
    <w:uiPriority w:val="99"/>
    <w:semiHidden/>
    <w:unhideWhenUsed/>
    <w:rsid w:val="00713E5C"/>
    <w:pPr>
      <w:ind w:left="566" w:hanging="283"/>
      <w:contextualSpacing/>
    </w:pPr>
  </w:style>
  <w:style w:type="paragraph" w:styleId="List3">
    <w:name w:val="List 3"/>
    <w:basedOn w:val="Normal"/>
    <w:uiPriority w:val="99"/>
    <w:semiHidden/>
    <w:unhideWhenUsed/>
    <w:rsid w:val="00713E5C"/>
    <w:pPr>
      <w:ind w:left="849" w:hanging="283"/>
      <w:contextualSpacing/>
    </w:pPr>
  </w:style>
  <w:style w:type="paragraph" w:styleId="List4">
    <w:name w:val="List 4"/>
    <w:basedOn w:val="Normal"/>
    <w:uiPriority w:val="99"/>
    <w:semiHidden/>
    <w:unhideWhenUsed/>
    <w:rsid w:val="00713E5C"/>
    <w:pPr>
      <w:ind w:left="1132" w:hanging="283"/>
      <w:contextualSpacing/>
    </w:pPr>
  </w:style>
  <w:style w:type="paragraph" w:styleId="List5">
    <w:name w:val="List 5"/>
    <w:basedOn w:val="Normal"/>
    <w:uiPriority w:val="99"/>
    <w:semiHidden/>
    <w:unhideWhenUsed/>
    <w:rsid w:val="00713E5C"/>
    <w:pPr>
      <w:ind w:left="1415" w:hanging="283"/>
      <w:contextualSpacing/>
    </w:pPr>
  </w:style>
  <w:style w:type="paragraph" w:styleId="ListBullet">
    <w:name w:val="List Bullet"/>
    <w:basedOn w:val="Normal"/>
    <w:uiPriority w:val="99"/>
    <w:semiHidden/>
    <w:unhideWhenUsed/>
    <w:rsid w:val="00713E5C"/>
    <w:pPr>
      <w:numPr>
        <w:numId w:val="1"/>
      </w:numPr>
      <w:contextualSpacing/>
    </w:pPr>
  </w:style>
  <w:style w:type="paragraph" w:styleId="ListBullet2">
    <w:name w:val="List Bullet 2"/>
    <w:basedOn w:val="Normal"/>
    <w:uiPriority w:val="99"/>
    <w:semiHidden/>
    <w:unhideWhenUsed/>
    <w:rsid w:val="00713E5C"/>
    <w:pPr>
      <w:numPr>
        <w:numId w:val="2"/>
      </w:numPr>
      <w:contextualSpacing/>
    </w:pPr>
  </w:style>
  <w:style w:type="paragraph" w:styleId="ListBullet3">
    <w:name w:val="List Bullet 3"/>
    <w:basedOn w:val="Normal"/>
    <w:uiPriority w:val="99"/>
    <w:semiHidden/>
    <w:unhideWhenUsed/>
    <w:rsid w:val="00713E5C"/>
    <w:pPr>
      <w:numPr>
        <w:numId w:val="3"/>
      </w:numPr>
      <w:contextualSpacing/>
    </w:pPr>
  </w:style>
  <w:style w:type="paragraph" w:styleId="ListBullet4">
    <w:name w:val="List Bullet 4"/>
    <w:basedOn w:val="Normal"/>
    <w:uiPriority w:val="99"/>
    <w:semiHidden/>
    <w:unhideWhenUsed/>
    <w:rsid w:val="00713E5C"/>
    <w:pPr>
      <w:numPr>
        <w:numId w:val="4"/>
      </w:numPr>
      <w:contextualSpacing/>
    </w:pPr>
  </w:style>
  <w:style w:type="paragraph" w:styleId="ListBullet5">
    <w:name w:val="List Bullet 5"/>
    <w:basedOn w:val="Normal"/>
    <w:uiPriority w:val="99"/>
    <w:semiHidden/>
    <w:unhideWhenUsed/>
    <w:rsid w:val="00713E5C"/>
    <w:pPr>
      <w:numPr>
        <w:numId w:val="5"/>
      </w:numPr>
      <w:contextualSpacing/>
    </w:pPr>
  </w:style>
  <w:style w:type="paragraph" w:styleId="ListContinue">
    <w:name w:val="List Continue"/>
    <w:basedOn w:val="Normal"/>
    <w:uiPriority w:val="99"/>
    <w:semiHidden/>
    <w:unhideWhenUsed/>
    <w:rsid w:val="00713E5C"/>
    <w:pPr>
      <w:spacing w:after="120"/>
      <w:ind w:left="283"/>
      <w:contextualSpacing/>
    </w:pPr>
  </w:style>
  <w:style w:type="paragraph" w:styleId="ListContinue2">
    <w:name w:val="List Continue 2"/>
    <w:basedOn w:val="Normal"/>
    <w:uiPriority w:val="99"/>
    <w:semiHidden/>
    <w:unhideWhenUsed/>
    <w:rsid w:val="00713E5C"/>
    <w:pPr>
      <w:spacing w:after="120"/>
      <w:ind w:left="566"/>
      <w:contextualSpacing/>
    </w:pPr>
  </w:style>
  <w:style w:type="paragraph" w:styleId="ListContinue3">
    <w:name w:val="List Continue 3"/>
    <w:basedOn w:val="Normal"/>
    <w:uiPriority w:val="99"/>
    <w:semiHidden/>
    <w:unhideWhenUsed/>
    <w:rsid w:val="00713E5C"/>
    <w:pPr>
      <w:spacing w:after="120"/>
      <w:ind w:left="849"/>
      <w:contextualSpacing/>
    </w:pPr>
  </w:style>
  <w:style w:type="paragraph" w:styleId="ListContinue4">
    <w:name w:val="List Continue 4"/>
    <w:basedOn w:val="Normal"/>
    <w:uiPriority w:val="99"/>
    <w:semiHidden/>
    <w:unhideWhenUsed/>
    <w:rsid w:val="00713E5C"/>
    <w:pPr>
      <w:spacing w:after="120"/>
      <w:ind w:left="1132"/>
      <w:contextualSpacing/>
    </w:pPr>
  </w:style>
  <w:style w:type="paragraph" w:styleId="ListContinue5">
    <w:name w:val="List Continue 5"/>
    <w:basedOn w:val="Normal"/>
    <w:uiPriority w:val="99"/>
    <w:semiHidden/>
    <w:unhideWhenUsed/>
    <w:rsid w:val="00713E5C"/>
    <w:pPr>
      <w:spacing w:after="120"/>
      <w:ind w:left="1415"/>
      <w:contextualSpacing/>
    </w:pPr>
  </w:style>
  <w:style w:type="paragraph" w:styleId="ListNumber">
    <w:name w:val="List Number"/>
    <w:basedOn w:val="Normal"/>
    <w:uiPriority w:val="99"/>
    <w:semiHidden/>
    <w:unhideWhenUsed/>
    <w:rsid w:val="00713E5C"/>
    <w:pPr>
      <w:numPr>
        <w:numId w:val="6"/>
      </w:numPr>
      <w:contextualSpacing/>
    </w:pPr>
  </w:style>
  <w:style w:type="paragraph" w:styleId="ListNumber2">
    <w:name w:val="List Number 2"/>
    <w:basedOn w:val="Normal"/>
    <w:uiPriority w:val="99"/>
    <w:unhideWhenUsed/>
    <w:rsid w:val="00713E5C"/>
    <w:pPr>
      <w:numPr>
        <w:numId w:val="7"/>
      </w:numPr>
      <w:contextualSpacing/>
    </w:pPr>
  </w:style>
  <w:style w:type="paragraph" w:styleId="ListNumber3">
    <w:name w:val="List Number 3"/>
    <w:basedOn w:val="Normal"/>
    <w:uiPriority w:val="99"/>
    <w:semiHidden/>
    <w:unhideWhenUsed/>
    <w:rsid w:val="00713E5C"/>
    <w:pPr>
      <w:numPr>
        <w:numId w:val="8"/>
      </w:numPr>
      <w:contextualSpacing/>
    </w:pPr>
  </w:style>
  <w:style w:type="paragraph" w:styleId="ListNumber4">
    <w:name w:val="List Number 4"/>
    <w:basedOn w:val="Normal"/>
    <w:uiPriority w:val="99"/>
    <w:semiHidden/>
    <w:unhideWhenUsed/>
    <w:rsid w:val="00713E5C"/>
    <w:pPr>
      <w:numPr>
        <w:numId w:val="9"/>
      </w:numPr>
      <w:contextualSpacing/>
    </w:pPr>
  </w:style>
  <w:style w:type="paragraph" w:styleId="ListNumber5">
    <w:name w:val="List Number 5"/>
    <w:basedOn w:val="Normal"/>
    <w:uiPriority w:val="99"/>
    <w:semiHidden/>
    <w:unhideWhenUsed/>
    <w:rsid w:val="00713E5C"/>
    <w:pPr>
      <w:numPr>
        <w:numId w:val="10"/>
      </w:numPr>
      <w:contextualSpacing/>
    </w:pPr>
  </w:style>
  <w:style w:type="paragraph" w:styleId="MacroText">
    <w:name w:val="macro"/>
    <w:link w:val="MacroTextChar"/>
    <w:uiPriority w:val="99"/>
    <w:semiHidden/>
    <w:unhideWhenUsed/>
    <w:rsid w:val="00713E5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713E5C"/>
    <w:rPr>
      <w:rFonts w:ascii="Consolas" w:hAnsi="Consolas" w:cs="Consolas"/>
      <w:sz w:val="20"/>
      <w:szCs w:val="20"/>
    </w:rPr>
  </w:style>
  <w:style w:type="paragraph" w:styleId="MessageHeader">
    <w:name w:val="Message Header"/>
    <w:basedOn w:val="Normal"/>
    <w:link w:val="MessageHeaderChar"/>
    <w:uiPriority w:val="99"/>
    <w:semiHidden/>
    <w:unhideWhenUsed/>
    <w:rsid w:val="00713E5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13E5C"/>
    <w:rPr>
      <w:rFonts w:asciiTheme="majorHAnsi" w:eastAsiaTheme="majorEastAsia" w:hAnsiTheme="majorHAnsi" w:cstheme="majorBidi"/>
      <w:sz w:val="24"/>
      <w:szCs w:val="24"/>
      <w:shd w:val="pct20" w:color="auto" w:fill="auto"/>
    </w:rPr>
  </w:style>
  <w:style w:type="paragraph" w:styleId="NoSpacing">
    <w:name w:val="No Spacing"/>
    <w:uiPriority w:val="1"/>
    <w:qFormat/>
    <w:rsid w:val="00713E5C"/>
    <w:pPr>
      <w:spacing w:after="0" w:line="240" w:lineRule="auto"/>
    </w:pPr>
  </w:style>
  <w:style w:type="paragraph" w:styleId="NormalWeb">
    <w:name w:val="Normal (Web)"/>
    <w:basedOn w:val="Normal"/>
    <w:uiPriority w:val="99"/>
    <w:unhideWhenUsed/>
    <w:rsid w:val="00713E5C"/>
    <w:rPr>
      <w:rFonts w:ascii="Times New Roman" w:hAnsi="Times New Roman" w:cs="Times New Roman"/>
      <w:sz w:val="24"/>
      <w:szCs w:val="24"/>
    </w:rPr>
  </w:style>
  <w:style w:type="paragraph" w:styleId="NormalIndent">
    <w:name w:val="Normal Indent"/>
    <w:basedOn w:val="Normal"/>
    <w:uiPriority w:val="99"/>
    <w:semiHidden/>
    <w:unhideWhenUsed/>
    <w:rsid w:val="00713E5C"/>
    <w:pPr>
      <w:ind w:left="720"/>
    </w:pPr>
  </w:style>
  <w:style w:type="paragraph" w:styleId="NoteHeading">
    <w:name w:val="Note Heading"/>
    <w:basedOn w:val="Normal"/>
    <w:next w:val="Normal"/>
    <w:link w:val="NoteHeadingChar"/>
    <w:uiPriority w:val="99"/>
    <w:semiHidden/>
    <w:unhideWhenUsed/>
    <w:rsid w:val="00713E5C"/>
    <w:pPr>
      <w:spacing w:after="0" w:line="240" w:lineRule="auto"/>
    </w:pPr>
  </w:style>
  <w:style w:type="character" w:customStyle="1" w:styleId="NoteHeadingChar">
    <w:name w:val="Note Heading Char"/>
    <w:basedOn w:val="DefaultParagraphFont"/>
    <w:link w:val="NoteHeading"/>
    <w:uiPriority w:val="99"/>
    <w:semiHidden/>
    <w:rsid w:val="00713E5C"/>
  </w:style>
  <w:style w:type="paragraph" w:styleId="PlainText">
    <w:name w:val="Plain Text"/>
    <w:basedOn w:val="Normal"/>
    <w:link w:val="PlainTextChar"/>
    <w:uiPriority w:val="99"/>
    <w:semiHidden/>
    <w:unhideWhenUsed/>
    <w:rsid w:val="00713E5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713E5C"/>
    <w:rPr>
      <w:rFonts w:ascii="Consolas" w:hAnsi="Consolas" w:cs="Consolas"/>
      <w:sz w:val="21"/>
      <w:szCs w:val="21"/>
    </w:rPr>
  </w:style>
  <w:style w:type="paragraph" w:styleId="Quote">
    <w:name w:val="Quote"/>
    <w:basedOn w:val="Normal"/>
    <w:next w:val="Normal"/>
    <w:link w:val="QuoteChar"/>
    <w:uiPriority w:val="29"/>
    <w:qFormat/>
    <w:rsid w:val="00ED4734"/>
    <w:pPr>
      <w:ind w:left="709"/>
    </w:pPr>
  </w:style>
  <w:style w:type="character" w:customStyle="1" w:styleId="QuoteChar">
    <w:name w:val="Quote Char"/>
    <w:basedOn w:val="DefaultParagraphFont"/>
    <w:link w:val="Quote"/>
    <w:uiPriority w:val="29"/>
    <w:rsid w:val="00ED4734"/>
  </w:style>
  <w:style w:type="paragraph" w:styleId="Salutation">
    <w:name w:val="Salutation"/>
    <w:basedOn w:val="Normal"/>
    <w:next w:val="Normal"/>
    <w:link w:val="SalutationChar"/>
    <w:uiPriority w:val="99"/>
    <w:semiHidden/>
    <w:unhideWhenUsed/>
    <w:rsid w:val="00713E5C"/>
  </w:style>
  <w:style w:type="character" w:customStyle="1" w:styleId="SalutationChar">
    <w:name w:val="Salutation Char"/>
    <w:basedOn w:val="DefaultParagraphFont"/>
    <w:link w:val="Salutation"/>
    <w:uiPriority w:val="99"/>
    <w:semiHidden/>
    <w:rsid w:val="00713E5C"/>
  </w:style>
  <w:style w:type="paragraph" w:styleId="Signature">
    <w:name w:val="Signature"/>
    <w:basedOn w:val="Normal"/>
    <w:link w:val="SignatureChar"/>
    <w:uiPriority w:val="99"/>
    <w:semiHidden/>
    <w:unhideWhenUsed/>
    <w:rsid w:val="00713E5C"/>
    <w:pPr>
      <w:spacing w:after="0" w:line="240" w:lineRule="auto"/>
      <w:ind w:left="4252"/>
    </w:pPr>
  </w:style>
  <w:style w:type="character" w:customStyle="1" w:styleId="SignatureChar">
    <w:name w:val="Signature Char"/>
    <w:basedOn w:val="DefaultParagraphFont"/>
    <w:link w:val="Signature"/>
    <w:uiPriority w:val="99"/>
    <w:semiHidden/>
    <w:rsid w:val="00713E5C"/>
  </w:style>
  <w:style w:type="paragraph" w:styleId="Subtitle">
    <w:name w:val="Subtitle"/>
    <w:basedOn w:val="Normal"/>
    <w:next w:val="Normal"/>
    <w:link w:val="SubtitleChar"/>
    <w:uiPriority w:val="11"/>
    <w:rsid w:val="00713E5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13E5C"/>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713E5C"/>
    <w:pPr>
      <w:spacing w:after="0"/>
      <w:ind w:left="220" w:hanging="220"/>
    </w:pPr>
  </w:style>
  <w:style w:type="paragraph" w:styleId="TableofFigures">
    <w:name w:val="table of figures"/>
    <w:basedOn w:val="Normal"/>
    <w:next w:val="Normal"/>
    <w:uiPriority w:val="99"/>
    <w:semiHidden/>
    <w:unhideWhenUsed/>
    <w:rsid w:val="00713E5C"/>
    <w:pPr>
      <w:spacing w:after="0"/>
    </w:pPr>
  </w:style>
  <w:style w:type="paragraph" w:styleId="Title">
    <w:name w:val="Title"/>
    <w:basedOn w:val="Normal"/>
    <w:next w:val="Normal"/>
    <w:link w:val="TitleChar"/>
    <w:uiPriority w:val="10"/>
    <w:rsid w:val="00713E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3E5C"/>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713E5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7A4E51"/>
    <w:pPr>
      <w:keepNext/>
      <w:tabs>
        <w:tab w:val="right" w:leader="dot" w:pos="9061"/>
      </w:tabs>
      <w:spacing w:before="240" w:after="40" w:line="312" w:lineRule="auto"/>
      <w:ind w:left="288" w:hanging="288"/>
    </w:pPr>
    <w:rPr>
      <w:rFonts w:ascii="Calibri" w:eastAsia="Times New Roman" w:hAnsi="Calibri" w:cs="Times New Roman"/>
      <w:b/>
      <w:bCs/>
      <w:smallCaps/>
      <w:spacing w:val="40"/>
      <w:sz w:val="28"/>
      <w:szCs w:val="28"/>
    </w:rPr>
  </w:style>
  <w:style w:type="paragraph" w:styleId="TOC2">
    <w:name w:val="toc 2"/>
    <w:basedOn w:val="Normal"/>
    <w:next w:val="Normal"/>
    <w:autoRedefine/>
    <w:uiPriority w:val="39"/>
    <w:unhideWhenUsed/>
    <w:rsid w:val="00EB384D"/>
    <w:pPr>
      <w:tabs>
        <w:tab w:val="right" w:leader="dot" w:pos="9061"/>
      </w:tabs>
      <w:spacing w:before="120" w:after="0" w:line="240" w:lineRule="auto"/>
      <w:ind w:left="850" w:hanging="562"/>
    </w:pPr>
    <w:rPr>
      <w:rFonts w:ascii="Calibri" w:eastAsia="Times New Roman" w:hAnsi="Calibri" w:cs="Times New Roman"/>
      <w:b/>
      <w:sz w:val="24"/>
      <w:szCs w:val="24"/>
    </w:rPr>
  </w:style>
  <w:style w:type="paragraph" w:styleId="TOC3">
    <w:name w:val="toc 3"/>
    <w:basedOn w:val="Normal"/>
    <w:next w:val="Normal"/>
    <w:autoRedefine/>
    <w:uiPriority w:val="39"/>
    <w:unhideWhenUsed/>
    <w:rsid w:val="00EB384D"/>
    <w:pPr>
      <w:tabs>
        <w:tab w:val="right" w:leader="dot" w:pos="9016"/>
      </w:tabs>
      <w:spacing w:before="120" w:after="120" w:line="240" w:lineRule="auto"/>
      <w:ind w:left="634"/>
    </w:pPr>
    <w:rPr>
      <w:rFonts w:eastAsia="Times New Roman"/>
      <w:b/>
      <w:smallCaps/>
      <w:noProof/>
    </w:rPr>
  </w:style>
  <w:style w:type="paragraph" w:styleId="TOC4">
    <w:name w:val="toc 4"/>
    <w:basedOn w:val="Normal"/>
    <w:next w:val="Normal"/>
    <w:autoRedefine/>
    <w:uiPriority w:val="39"/>
    <w:unhideWhenUsed/>
    <w:rsid w:val="0097778C"/>
    <w:pPr>
      <w:tabs>
        <w:tab w:val="right" w:leader="dot" w:pos="9016"/>
      </w:tabs>
      <w:spacing w:beforeLines="100" w:afterLines="100" w:line="240" w:lineRule="auto"/>
      <w:ind w:left="658"/>
    </w:pPr>
    <w:rPr>
      <w:rFonts w:ascii="Arial Narrow" w:hAnsi="Arial Narrow"/>
      <w:b/>
      <w:noProof/>
      <w:sz w:val="24"/>
    </w:rPr>
  </w:style>
  <w:style w:type="paragraph" w:styleId="TOC5">
    <w:name w:val="toc 5"/>
    <w:basedOn w:val="Normal"/>
    <w:next w:val="Normal"/>
    <w:autoRedefine/>
    <w:uiPriority w:val="39"/>
    <w:semiHidden/>
    <w:unhideWhenUsed/>
    <w:rsid w:val="00713E5C"/>
    <w:pPr>
      <w:spacing w:after="100"/>
      <w:ind w:left="880"/>
    </w:pPr>
  </w:style>
  <w:style w:type="paragraph" w:styleId="TOC6">
    <w:name w:val="toc 6"/>
    <w:basedOn w:val="Normal"/>
    <w:next w:val="Normal"/>
    <w:autoRedefine/>
    <w:uiPriority w:val="39"/>
    <w:semiHidden/>
    <w:unhideWhenUsed/>
    <w:rsid w:val="00713E5C"/>
    <w:pPr>
      <w:spacing w:after="100"/>
      <w:ind w:left="1100"/>
    </w:pPr>
  </w:style>
  <w:style w:type="paragraph" w:styleId="TOC7">
    <w:name w:val="toc 7"/>
    <w:basedOn w:val="Normal"/>
    <w:next w:val="Normal"/>
    <w:autoRedefine/>
    <w:uiPriority w:val="39"/>
    <w:semiHidden/>
    <w:unhideWhenUsed/>
    <w:rsid w:val="00713E5C"/>
    <w:pPr>
      <w:spacing w:after="100"/>
      <w:ind w:left="1320"/>
    </w:pPr>
  </w:style>
  <w:style w:type="paragraph" w:styleId="TOC8">
    <w:name w:val="toc 8"/>
    <w:basedOn w:val="Normal"/>
    <w:next w:val="Normal"/>
    <w:autoRedefine/>
    <w:uiPriority w:val="39"/>
    <w:semiHidden/>
    <w:unhideWhenUsed/>
    <w:rsid w:val="00713E5C"/>
    <w:pPr>
      <w:spacing w:after="100"/>
      <w:ind w:left="1540"/>
    </w:pPr>
  </w:style>
  <w:style w:type="paragraph" w:styleId="TOC9">
    <w:name w:val="toc 9"/>
    <w:basedOn w:val="Normal"/>
    <w:next w:val="Normal"/>
    <w:autoRedefine/>
    <w:uiPriority w:val="39"/>
    <w:semiHidden/>
    <w:unhideWhenUsed/>
    <w:rsid w:val="00713E5C"/>
    <w:pPr>
      <w:spacing w:after="100"/>
      <w:ind w:left="1760"/>
    </w:pPr>
  </w:style>
  <w:style w:type="paragraph" w:styleId="TOCHeading">
    <w:name w:val="TOC Heading"/>
    <w:basedOn w:val="Heading1"/>
    <w:next w:val="Normal"/>
    <w:unhideWhenUsed/>
    <w:qFormat/>
    <w:rsid w:val="00116E9B"/>
    <w:pPr>
      <w:spacing w:before="240" w:after="240"/>
      <w:jc w:val="left"/>
      <w:outlineLvl w:val="9"/>
    </w:pPr>
    <w:rPr>
      <w:smallCaps w:val="0"/>
      <w:sz w:val="30"/>
    </w:rPr>
  </w:style>
  <w:style w:type="character" w:styleId="Hyperlink">
    <w:name w:val="Hyperlink"/>
    <w:basedOn w:val="DefaultParagraphFont"/>
    <w:uiPriority w:val="99"/>
    <w:unhideWhenUsed/>
    <w:rsid w:val="00AD53EA"/>
    <w:rPr>
      <w:color w:val="0000FF"/>
    </w:rPr>
  </w:style>
  <w:style w:type="character" w:styleId="FootnoteReference">
    <w:name w:val="footnote reference"/>
    <w:aliases w:val="Footnote number,Footnotes refss"/>
    <w:basedOn w:val="DefaultParagraphFont"/>
    <w:uiPriority w:val="99"/>
    <w:unhideWhenUsed/>
    <w:rsid w:val="006013DE"/>
    <w:rPr>
      <w:vertAlign w:val="superscript"/>
    </w:rPr>
  </w:style>
  <w:style w:type="character" w:styleId="Strong">
    <w:name w:val="Strong"/>
    <w:basedOn w:val="DefaultParagraphFont"/>
    <w:uiPriority w:val="22"/>
    <w:qFormat/>
    <w:rsid w:val="00034ADC"/>
    <w:rPr>
      <w:b/>
      <w:bCs/>
    </w:rPr>
  </w:style>
  <w:style w:type="paragraph" w:customStyle="1" w:styleId="Bodycopy">
    <w:name w:val="Body copy"/>
    <w:qFormat/>
    <w:rsid w:val="00133AB1"/>
    <w:pPr>
      <w:widowControl w:val="0"/>
      <w:tabs>
        <w:tab w:val="left" w:pos="1276"/>
      </w:tabs>
      <w:spacing w:before="240" w:after="240" w:line="300" w:lineRule="exact"/>
    </w:pPr>
    <w:rPr>
      <w:rFonts w:ascii="Calibri" w:eastAsia="Calibri" w:hAnsi="Calibri" w:cs="Calibri"/>
      <w:color w:val="000000"/>
      <w:szCs w:val="20"/>
      <w:lang w:eastAsia="en-AU"/>
    </w:rPr>
  </w:style>
  <w:style w:type="character" w:styleId="FollowedHyperlink">
    <w:name w:val="FollowedHyperlink"/>
    <w:basedOn w:val="DefaultParagraphFont"/>
    <w:unhideWhenUsed/>
    <w:rsid w:val="00670CBD"/>
    <w:rPr>
      <w:color w:val="954F72" w:themeColor="followedHyperlink"/>
      <w:u w:val="single"/>
    </w:rPr>
  </w:style>
  <w:style w:type="paragraph" w:customStyle="1" w:styleId="Amain">
    <w:name w:val="A main"/>
    <w:basedOn w:val="Normal"/>
    <w:link w:val="AmainChar"/>
    <w:rsid w:val="00833A3B"/>
    <w:pPr>
      <w:tabs>
        <w:tab w:val="right" w:pos="900"/>
        <w:tab w:val="left" w:pos="1100"/>
      </w:tabs>
      <w:spacing w:before="140" w:after="0" w:line="240" w:lineRule="auto"/>
      <w:ind w:left="1100" w:hanging="1100"/>
      <w:jc w:val="both"/>
      <w:outlineLvl w:val="5"/>
    </w:pPr>
    <w:rPr>
      <w:rFonts w:ascii="Times New Roman" w:eastAsia="Times New Roman" w:hAnsi="Times New Roman" w:cs="Times New Roman"/>
      <w:sz w:val="24"/>
      <w:szCs w:val="20"/>
    </w:rPr>
  </w:style>
  <w:style w:type="paragraph" w:customStyle="1" w:styleId="Apara">
    <w:name w:val="A para"/>
    <w:basedOn w:val="Normal"/>
    <w:link w:val="AparaChar"/>
    <w:rsid w:val="00833A3B"/>
    <w:pPr>
      <w:tabs>
        <w:tab w:val="right" w:pos="1400"/>
        <w:tab w:val="left" w:pos="1600"/>
      </w:tabs>
      <w:spacing w:before="140" w:after="0" w:line="240" w:lineRule="auto"/>
      <w:ind w:left="1600" w:hanging="1600"/>
      <w:jc w:val="both"/>
      <w:outlineLvl w:val="6"/>
    </w:pPr>
    <w:rPr>
      <w:rFonts w:ascii="Times New Roman" w:eastAsia="Times New Roman" w:hAnsi="Times New Roman" w:cs="Times New Roman"/>
      <w:sz w:val="24"/>
      <w:szCs w:val="20"/>
    </w:rPr>
  </w:style>
  <w:style w:type="paragraph" w:customStyle="1" w:styleId="Asubpara">
    <w:name w:val="A subpara"/>
    <w:basedOn w:val="Normal"/>
    <w:rsid w:val="00833A3B"/>
    <w:pPr>
      <w:tabs>
        <w:tab w:val="right" w:pos="1900"/>
        <w:tab w:val="left" w:pos="2100"/>
      </w:tabs>
      <w:spacing w:before="140" w:after="0" w:line="240" w:lineRule="auto"/>
      <w:ind w:left="2100" w:hanging="2100"/>
      <w:jc w:val="both"/>
      <w:outlineLvl w:val="7"/>
    </w:pPr>
    <w:rPr>
      <w:rFonts w:ascii="Times New Roman" w:eastAsia="Times New Roman" w:hAnsi="Times New Roman" w:cs="Times New Roman"/>
      <w:sz w:val="24"/>
      <w:szCs w:val="20"/>
    </w:rPr>
  </w:style>
  <w:style w:type="character" w:customStyle="1" w:styleId="charItals">
    <w:name w:val="charItals"/>
    <w:basedOn w:val="DefaultParagraphFont"/>
    <w:rsid w:val="00833A3B"/>
    <w:rPr>
      <w:rFonts w:cs="Times New Roman"/>
      <w:i/>
    </w:rPr>
  </w:style>
  <w:style w:type="paragraph" w:customStyle="1" w:styleId="aNotepar">
    <w:name w:val="aNotepar"/>
    <w:basedOn w:val="Normal"/>
    <w:next w:val="Normal"/>
    <w:rsid w:val="00833A3B"/>
    <w:pPr>
      <w:spacing w:before="140" w:after="0" w:line="240" w:lineRule="auto"/>
      <w:ind w:left="2400" w:hanging="800"/>
      <w:jc w:val="both"/>
    </w:pPr>
    <w:rPr>
      <w:rFonts w:ascii="Times New Roman" w:eastAsia="Times New Roman" w:hAnsi="Times New Roman" w:cs="Times New Roman"/>
      <w:sz w:val="20"/>
      <w:szCs w:val="20"/>
    </w:rPr>
  </w:style>
  <w:style w:type="character" w:customStyle="1" w:styleId="charCitHyperlinkAbbrev">
    <w:name w:val="charCitHyperlinkAbbrev"/>
    <w:basedOn w:val="Hyperlink"/>
    <w:uiPriority w:val="1"/>
    <w:rsid w:val="00833A3B"/>
    <w:rPr>
      <w:rFonts w:cs="Times New Roman"/>
      <w:color w:val="0563C1" w:themeColor="hyperlink"/>
      <w:u w:val="none"/>
    </w:rPr>
  </w:style>
  <w:style w:type="paragraph" w:customStyle="1" w:styleId="Amainreturn">
    <w:name w:val="A main return"/>
    <w:basedOn w:val="Normal"/>
    <w:link w:val="AmainreturnChar"/>
    <w:rsid w:val="00BC1FB7"/>
    <w:pPr>
      <w:spacing w:before="140" w:after="0" w:line="240" w:lineRule="auto"/>
      <w:ind w:left="1100"/>
      <w:jc w:val="both"/>
    </w:pPr>
    <w:rPr>
      <w:rFonts w:ascii="Times New Roman" w:eastAsia="Times New Roman" w:hAnsi="Times New Roman" w:cs="Times New Roman"/>
      <w:sz w:val="24"/>
      <w:szCs w:val="20"/>
    </w:rPr>
  </w:style>
  <w:style w:type="paragraph" w:customStyle="1" w:styleId="aNote">
    <w:name w:val="aNote"/>
    <w:basedOn w:val="Normal"/>
    <w:link w:val="aNoteChar"/>
    <w:rsid w:val="00BC1FB7"/>
    <w:pPr>
      <w:spacing w:before="140" w:after="0" w:line="240" w:lineRule="auto"/>
      <w:ind w:left="1900" w:hanging="800"/>
      <w:jc w:val="both"/>
    </w:pPr>
    <w:rPr>
      <w:rFonts w:ascii="Times New Roman" w:eastAsia="Times New Roman" w:hAnsi="Times New Roman" w:cs="Times New Roman"/>
      <w:sz w:val="20"/>
      <w:szCs w:val="20"/>
    </w:rPr>
  </w:style>
  <w:style w:type="paragraph" w:customStyle="1" w:styleId="IH5Sec">
    <w:name w:val="I H5 Sec"/>
    <w:basedOn w:val="Normal"/>
    <w:next w:val="Normal"/>
    <w:rsid w:val="00BC1FB7"/>
    <w:pPr>
      <w:keepNext/>
      <w:tabs>
        <w:tab w:val="left" w:pos="1100"/>
      </w:tabs>
      <w:spacing w:before="240" w:after="0" w:line="240" w:lineRule="auto"/>
      <w:ind w:left="1100" w:hanging="1100"/>
    </w:pPr>
    <w:rPr>
      <w:rFonts w:ascii="Arial" w:eastAsia="Times New Roman" w:hAnsi="Arial" w:cs="Times New Roman"/>
      <w:b/>
      <w:sz w:val="24"/>
      <w:szCs w:val="20"/>
    </w:rPr>
  </w:style>
  <w:style w:type="paragraph" w:customStyle="1" w:styleId="Ipara">
    <w:name w:val="I para"/>
    <w:basedOn w:val="Apara"/>
    <w:rsid w:val="00BC1FB7"/>
    <w:pPr>
      <w:outlineLvl w:val="9"/>
    </w:pPr>
  </w:style>
  <w:style w:type="paragraph" w:customStyle="1" w:styleId="PenaltyPara">
    <w:name w:val="PenaltyPara"/>
    <w:basedOn w:val="Normal"/>
    <w:rsid w:val="00BC1FB7"/>
    <w:pPr>
      <w:tabs>
        <w:tab w:val="left" w:pos="0"/>
        <w:tab w:val="right" w:pos="1360"/>
      </w:tabs>
      <w:spacing w:before="60" w:after="0" w:line="240" w:lineRule="auto"/>
      <w:ind w:left="1600" w:hanging="1600"/>
      <w:jc w:val="both"/>
    </w:pPr>
    <w:rPr>
      <w:rFonts w:ascii="Times New Roman" w:eastAsia="Times New Roman" w:hAnsi="Times New Roman" w:cs="Times New Roman"/>
      <w:sz w:val="24"/>
      <w:szCs w:val="20"/>
    </w:rPr>
  </w:style>
  <w:style w:type="paragraph" w:customStyle="1" w:styleId="Penalty">
    <w:name w:val="Penalty"/>
    <w:basedOn w:val="Amainreturn"/>
    <w:rsid w:val="00BC1FB7"/>
  </w:style>
  <w:style w:type="character" w:customStyle="1" w:styleId="aNoteChar">
    <w:name w:val="aNote Char"/>
    <w:basedOn w:val="DefaultParagraphFont"/>
    <w:link w:val="aNote"/>
    <w:locked/>
    <w:rsid w:val="00BC1FB7"/>
    <w:rPr>
      <w:rFonts w:ascii="Times New Roman" w:eastAsia="Times New Roman" w:hAnsi="Times New Roman" w:cs="Times New Roman"/>
      <w:sz w:val="20"/>
      <w:szCs w:val="20"/>
    </w:rPr>
  </w:style>
  <w:style w:type="character" w:customStyle="1" w:styleId="AmainreturnChar">
    <w:name w:val="A main return Char"/>
    <w:basedOn w:val="DefaultParagraphFont"/>
    <w:link w:val="Amainreturn"/>
    <w:locked/>
    <w:rsid w:val="00BC1FB7"/>
    <w:rPr>
      <w:rFonts w:ascii="Times New Roman" w:eastAsia="Times New Roman" w:hAnsi="Times New Roman" w:cs="Times New Roman"/>
      <w:sz w:val="24"/>
      <w:szCs w:val="20"/>
    </w:rPr>
  </w:style>
  <w:style w:type="paragraph" w:customStyle="1" w:styleId="Headiong5">
    <w:name w:val="Headiong 5"/>
    <w:basedOn w:val="Normal"/>
    <w:rsid w:val="007F6E9B"/>
    <w:pPr>
      <w:keepNext/>
      <w:keepLines/>
      <w:outlineLvl w:val="4"/>
    </w:pPr>
    <w:rPr>
      <w:rFonts w:ascii="Arial Narrow" w:eastAsia="Times New Roman" w:hAnsi="Arial Narrow" w:cs="Times New Roman"/>
      <w:iCs/>
      <w:smallCaps/>
      <w:szCs w:val="24"/>
    </w:rPr>
  </w:style>
  <w:style w:type="paragraph" w:customStyle="1" w:styleId="Paper">
    <w:name w:val="Paper"/>
    <w:rsid w:val="00434745"/>
    <w:pPr>
      <w:spacing w:after="120" w:line="240" w:lineRule="auto"/>
    </w:pPr>
    <w:rPr>
      <w:rFonts w:ascii="Times New Roman" w:eastAsia="Times New Roman" w:hAnsi="Times New Roman" w:cs="Times New Roman"/>
      <w:sz w:val="24"/>
      <w:szCs w:val="20"/>
    </w:rPr>
  </w:style>
  <w:style w:type="paragraph" w:customStyle="1" w:styleId="Hyper">
    <w:name w:val="Hyper"/>
    <w:basedOn w:val="Normal"/>
    <w:rsid w:val="0093399E"/>
    <w:pPr>
      <w:spacing w:line="280" w:lineRule="atLeast"/>
    </w:pPr>
    <w:rPr>
      <w:rFonts w:ascii="Calibri" w:eastAsia="Times New Roman" w:hAnsi="Calibri" w:cs="Calibri"/>
      <w:color w:val="1F3864" w:themeColor="accent5" w:themeShade="80"/>
    </w:rPr>
  </w:style>
  <w:style w:type="paragraph" w:customStyle="1" w:styleId="Bodycopynumbered">
    <w:name w:val="Body copy numbered"/>
    <w:rsid w:val="00196028"/>
    <w:pPr>
      <w:keepNext/>
      <w:widowControl w:val="0"/>
      <w:spacing w:before="240" w:after="100" w:line="300" w:lineRule="exact"/>
      <w:ind w:left="567" w:hanging="567"/>
      <w:outlineLvl w:val="1"/>
    </w:pPr>
    <w:rPr>
      <w:rFonts w:ascii="Calibri" w:eastAsia="Calibri" w:hAnsi="Calibri" w:cs="Arial"/>
      <w:bCs/>
      <w:kern w:val="32"/>
      <w:szCs w:val="20"/>
    </w:rPr>
  </w:style>
  <w:style w:type="paragraph" w:customStyle="1" w:styleId="Body">
    <w:name w:val="Body"/>
    <w:basedOn w:val="Paper"/>
    <w:rsid w:val="00BB4F51"/>
    <w:rPr>
      <w:rFonts w:ascii="Calibri" w:hAnsi="Calibri" w:cs="Calibri"/>
      <w:b/>
    </w:rPr>
  </w:style>
  <w:style w:type="paragraph" w:customStyle="1" w:styleId="headingparagraph">
    <w:name w:val="headingparagraph"/>
    <w:basedOn w:val="Normal"/>
    <w:rsid w:val="00B422D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name">
    <w:name w:val="headingname"/>
    <w:basedOn w:val="DefaultParagraphFont"/>
    <w:rsid w:val="00B422D9"/>
  </w:style>
  <w:style w:type="character" w:customStyle="1" w:styleId="listnumber0">
    <w:name w:val="listnumber"/>
    <w:basedOn w:val="DefaultParagraphFont"/>
    <w:rsid w:val="00B422D9"/>
  </w:style>
  <w:style w:type="character" w:customStyle="1" w:styleId="CharSectNo">
    <w:name w:val="CharSectNo"/>
    <w:rsid w:val="00B76B42"/>
    <w:rPr>
      <w:rFonts w:cs="Times New Roman"/>
    </w:rPr>
  </w:style>
  <w:style w:type="paragraph" w:customStyle="1" w:styleId="Schclauseheading">
    <w:name w:val="Sch clause heading"/>
    <w:basedOn w:val="Normal"/>
    <w:next w:val="Normal"/>
    <w:rsid w:val="00B76B42"/>
    <w:pPr>
      <w:keepNext/>
      <w:tabs>
        <w:tab w:val="left" w:pos="1100"/>
      </w:tabs>
      <w:spacing w:before="240" w:after="0" w:line="240" w:lineRule="auto"/>
      <w:ind w:left="1100" w:hanging="1100"/>
      <w:outlineLvl w:val="4"/>
    </w:pPr>
    <w:rPr>
      <w:rFonts w:ascii="Arial" w:eastAsia="Times New Roman" w:hAnsi="Arial" w:cs="Times New Roman"/>
      <w:b/>
      <w:sz w:val="24"/>
      <w:szCs w:val="20"/>
    </w:rPr>
  </w:style>
  <w:style w:type="paragraph" w:customStyle="1" w:styleId="AH5Sec">
    <w:name w:val="A H5 Sec"/>
    <w:basedOn w:val="Normal"/>
    <w:next w:val="Amain"/>
    <w:link w:val="AH5SecChar"/>
    <w:rsid w:val="004B2546"/>
    <w:pPr>
      <w:keepNext/>
      <w:tabs>
        <w:tab w:val="left" w:pos="1100"/>
      </w:tabs>
      <w:spacing w:before="240" w:after="0" w:line="240" w:lineRule="auto"/>
      <w:ind w:left="1100" w:hanging="1100"/>
      <w:outlineLvl w:val="4"/>
    </w:pPr>
    <w:rPr>
      <w:rFonts w:ascii="Arial" w:eastAsia="Times New Roman" w:hAnsi="Arial" w:cs="Times New Roman"/>
      <w:b/>
      <w:sz w:val="24"/>
      <w:szCs w:val="20"/>
    </w:rPr>
  </w:style>
  <w:style w:type="character" w:customStyle="1" w:styleId="charBoldItals">
    <w:name w:val="charBoldItals"/>
    <w:basedOn w:val="DefaultParagraphFont"/>
    <w:rsid w:val="004B2546"/>
    <w:rPr>
      <w:b/>
      <w:i/>
    </w:rPr>
  </w:style>
  <w:style w:type="character" w:customStyle="1" w:styleId="AH5SecChar">
    <w:name w:val="A H5 Sec Char"/>
    <w:basedOn w:val="DefaultParagraphFont"/>
    <w:link w:val="AH5Sec"/>
    <w:locked/>
    <w:rsid w:val="004B2546"/>
    <w:rPr>
      <w:rFonts w:ascii="Arial" w:eastAsia="Times New Roman" w:hAnsi="Arial" w:cs="Times New Roman"/>
      <w:b/>
      <w:sz w:val="24"/>
      <w:szCs w:val="20"/>
    </w:rPr>
  </w:style>
  <w:style w:type="paragraph" w:customStyle="1" w:styleId="PaperTitle">
    <w:name w:val="PaperTitle"/>
    <w:basedOn w:val="Normal"/>
    <w:rsid w:val="003446DE"/>
    <w:pPr>
      <w:tabs>
        <w:tab w:val="left" w:leader="dot" w:pos="6379"/>
      </w:tabs>
      <w:spacing w:before="0" w:after="0" w:line="240" w:lineRule="auto"/>
      <w:ind w:left="284" w:hanging="284"/>
    </w:pPr>
    <w:rPr>
      <w:rFonts w:ascii="Times New (W1)" w:eastAsia="Times New Roman" w:hAnsi="Times New (W1)" w:cs="Times New Roman"/>
      <w:sz w:val="20"/>
      <w:szCs w:val="20"/>
      <w:lang w:eastAsia="en-AU"/>
    </w:rPr>
  </w:style>
  <w:style w:type="paragraph" w:customStyle="1" w:styleId="aDef">
    <w:name w:val="aDef"/>
    <w:basedOn w:val="Normal"/>
    <w:link w:val="aDefChar"/>
    <w:rsid w:val="009B1FDD"/>
    <w:pPr>
      <w:spacing w:before="140" w:after="0" w:line="240" w:lineRule="auto"/>
      <w:ind w:left="1100"/>
      <w:jc w:val="both"/>
    </w:pPr>
    <w:rPr>
      <w:rFonts w:ascii="Times New Roman" w:eastAsia="Times New Roman" w:hAnsi="Times New Roman" w:cs="Times New Roman"/>
      <w:sz w:val="24"/>
      <w:szCs w:val="20"/>
      <w:lang w:eastAsia="en-AU"/>
    </w:rPr>
  </w:style>
  <w:style w:type="character" w:customStyle="1" w:styleId="aDefChar">
    <w:name w:val="aDef Char"/>
    <w:link w:val="aDef"/>
    <w:locked/>
    <w:rsid w:val="009B1FDD"/>
    <w:rPr>
      <w:rFonts w:ascii="Times New Roman" w:eastAsia="Times New Roman" w:hAnsi="Times New Roman" w:cs="Times New Roman"/>
      <w:sz w:val="24"/>
      <w:szCs w:val="20"/>
      <w:lang w:eastAsia="en-AU"/>
    </w:rPr>
  </w:style>
  <w:style w:type="paragraph" w:customStyle="1" w:styleId="Idefpara">
    <w:name w:val="I def para"/>
    <w:basedOn w:val="Ipara"/>
    <w:rsid w:val="009B1FDD"/>
  </w:style>
  <w:style w:type="paragraph" w:customStyle="1" w:styleId="Idefsubpara">
    <w:name w:val="I def subpara"/>
    <w:basedOn w:val="Normal"/>
    <w:rsid w:val="009B1FDD"/>
    <w:pPr>
      <w:tabs>
        <w:tab w:val="right" w:pos="1940"/>
        <w:tab w:val="left" w:pos="2140"/>
      </w:tabs>
      <w:spacing w:before="140" w:after="0" w:line="240" w:lineRule="auto"/>
      <w:ind w:left="2140" w:hanging="2140"/>
      <w:jc w:val="both"/>
    </w:pPr>
    <w:rPr>
      <w:rFonts w:ascii="Times New Roman" w:eastAsia="Times New Roman" w:hAnsi="Times New Roman" w:cs="Times New Roman"/>
      <w:sz w:val="24"/>
      <w:szCs w:val="20"/>
    </w:rPr>
  </w:style>
  <w:style w:type="paragraph" w:customStyle="1" w:styleId="Bodycopybulletlevel2">
    <w:name w:val="Body copy bullet level 2"/>
    <w:rsid w:val="00DF23C5"/>
    <w:pPr>
      <w:keepNext/>
      <w:widowControl w:val="0"/>
      <w:numPr>
        <w:numId w:val="17"/>
      </w:numPr>
      <w:spacing w:after="0" w:line="240" w:lineRule="auto"/>
      <w:ind w:left="1701" w:hanging="567"/>
    </w:pPr>
    <w:rPr>
      <w:rFonts w:ascii="Calibri" w:eastAsia="Times New Roman" w:hAnsi="Calibri" w:cs="Calibri"/>
      <w:color w:val="000000"/>
      <w:szCs w:val="20"/>
      <w:lang w:eastAsia="en-AU"/>
    </w:rPr>
  </w:style>
  <w:style w:type="paragraph" w:customStyle="1" w:styleId="Titleheading">
    <w:name w:val="Title heading"/>
    <w:next w:val="Bodycopy"/>
    <w:rsid w:val="00DF23C5"/>
    <w:pPr>
      <w:keepNext/>
      <w:pageBreakBefore/>
      <w:widowControl w:val="0"/>
      <w:tabs>
        <w:tab w:val="left" w:pos="9643"/>
      </w:tabs>
      <w:spacing w:afterLines="200" w:after="0" w:line="240" w:lineRule="auto"/>
      <w:outlineLvl w:val="0"/>
    </w:pPr>
    <w:rPr>
      <w:rFonts w:ascii="Arial Narrow" w:eastAsia="Calibri" w:hAnsi="Arial Narrow" w:cs="Arial Narrow"/>
      <w:smallCaps/>
      <w:color w:val="000000"/>
      <w:sz w:val="60"/>
      <w:szCs w:val="60"/>
      <w:lang w:eastAsia="en-AU"/>
    </w:rPr>
  </w:style>
  <w:style w:type="table" w:customStyle="1" w:styleId="LightShading1">
    <w:name w:val="Light Shading1"/>
    <w:rsid w:val="00DF23C5"/>
    <w:pPr>
      <w:spacing w:after="0" w:line="240" w:lineRule="auto"/>
    </w:pPr>
    <w:rPr>
      <w:rFonts w:ascii="Calibri" w:eastAsia="Calibri" w:hAnsi="Calibri" w:cs="Times New Roman"/>
      <w:color w:val="000000"/>
      <w:sz w:val="20"/>
      <w:szCs w:val="20"/>
      <w:lang w:eastAsia="en-A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Bulletlistlevel1">
    <w:name w:val="Bullet list  level 1"/>
    <w:qFormat/>
    <w:rsid w:val="00DF23C5"/>
    <w:pPr>
      <w:keepNext/>
      <w:widowControl w:val="0"/>
      <w:numPr>
        <w:numId w:val="16"/>
      </w:numPr>
      <w:spacing w:before="120" w:after="120" w:line="300" w:lineRule="exact"/>
      <w:ind w:left="1134" w:hanging="567"/>
    </w:pPr>
    <w:rPr>
      <w:rFonts w:ascii="Calibri" w:eastAsia="Times New Roman" w:hAnsi="Calibri" w:cs="Calibri"/>
      <w:color w:val="000000"/>
      <w:szCs w:val="20"/>
      <w:lang w:eastAsia="en-AU"/>
    </w:rPr>
  </w:style>
  <w:style w:type="paragraph" w:customStyle="1" w:styleId="Tableheading">
    <w:name w:val="Table heading"/>
    <w:rsid w:val="00DF23C5"/>
    <w:pPr>
      <w:keepNext/>
      <w:widowControl w:val="0"/>
      <w:spacing w:before="120" w:after="120" w:line="240" w:lineRule="auto"/>
    </w:pPr>
    <w:rPr>
      <w:rFonts w:ascii="Arial Narrow" w:eastAsia="Times New Roman" w:hAnsi="Arial Narrow" w:cs="Calibri"/>
      <w:b/>
      <w:bCs/>
      <w:smallCaps/>
      <w:color w:val="FFFFFF"/>
      <w:szCs w:val="20"/>
      <w:lang w:eastAsia="en-AU"/>
    </w:rPr>
  </w:style>
  <w:style w:type="paragraph" w:customStyle="1" w:styleId="Tablebodycopy">
    <w:name w:val="Table body copy"/>
    <w:rsid w:val="00DF23C5"/>
    <w:pPr>
      <w:keepNext/>
      <w:widowControl w:val="0"/>
      <w:spacing w:before="120" w:after="120" w:line="240" w:lineRule="auto"/>
    </w:pPr>
    <w:rPr>
      <w:rFonts w:ascii="Calibri" w:eastAsia="Times New Roman" w:hAnsi="Calibri" w:cs="Calibri"/>
      <w:bCs/>
      <w:szCs w:val="20"/>
      <w:lang w:eastAsia="en-AU"/>
    </w:rPr>
  </w:style>
  <w:style w:type="paragraph" w:customStyle="1" w:styleId="Bulletlistquote">
    <w:name w:val="Bullet list quote"/>
    <w:rsid w:val="00DF23C5"/>
    <w:pPr>
      <w:keepNext/>
      <w:widowControl w:val="0"/>
      <w:spacing w:after="0" w:line="240" w:lineRule="auto"/>
      <w:ind w:left="1701"/>
    </w:pPr>
    <w:rPr>
      <w:rFonts w:ascii="Calibri" w:eastAsia="Times New Roman" w:hAnsi="Calibri" w:cs="Calibri"/>
      <w:i/>
      <w:color w:val="000000"/>
      <w:szCs w:val="20"/>
      <w:lang w:eastAsia="en-AU"/>
    </w:rPr>
  </w:style>
  <w:style w:type="paragraph" w:customStyle="1" w:styleId="TOCHeading1">
    <w:name w:val="TOC Heading1"/>
    <w:rsid w:val="00DF23C5"/>
    <w:pPr>
      <w:keepNext/>
      <w:pageBreakBefore/>
      <w:widowControl w:val="0"/>
      <w:spacing w:after="480" w:line="240" w:lineRule="auto"/>
    </w:pPr>
    <w:rPr>
      <w:rFonts w:ascii="Arial Narrow" w:eastAsia="Calibri" w:hAnsi="Arial Narrow" w:cs="Arial Narrow"/>
      <w:smallCaps/>
      <w:color w:val="000000"/>
      <w:sz w:val="60"/>
      <w:szCs w:val="60"/>
      <w:lang w:eastAsia="en-AU"/>
    </w:rPr>
  </w:style>
  <w:style w:type="paragraph" w:customStyle="1" w:styleId="Heading1nonumber">
    <w:name w:val="Heading 1 no number"/>
    <w:next w:val="Bodycopynumbered"/>
    <w:rsid w:val="00DF23C5"/>
    <w:pPr>
      <w:keepNext/>
      <w:widowControl w:val="0"/>
      <w:spacing w:after="100" w:line="240" w:lineRule="auto"/>
    </w:pPr>
    <w:rPr>
      <w:rFonts w:ascii="Arial Narrow" w:eastAsia="Calibri" w:hAnsi="Arial Narrow" w:cs="Times New Roman"/>
      <w:bCs/>
      <w:smallCaps/>
      <w:color w:val="000000"/>
      <w:sz w:val="44"/>
      <w:szCs w:val="44"/>
    </w:rPr>
  </w:style>
  <w:style w:type="paragraph" w:customStyle="1" w:styleId="Bodycopynumbered2">
    <w:name w:val="Body copy numbered 2"/>
    <w:rsid w:val="00DF23C5"/>
    <w:pPr>
      <w:keepNext/>
      <w:widowControl w:val="0"/>
      <w:numPr>
        <w:numId w:val="22"/>
      </w:numPr>
      <w:spacing w:before="120" w:after="120" w:line="300" w:lineRule="exact"/>
      <w:ind w:left="567" w:hanging="567"/>
    </w:pPr>
    <w:rPr>
      <w:rFonts w:ascii="Calibri" w:eastAsia="Times New Roman" w:hAnsi="Calibri" w:cs="Calibri"/>
      <w:color w:val="000000"/>
      <w:szCs w:val="20"/>
      <w:lang w:eastAsia="en-AU"/>
    </w:rPr>
  </w:style>
  <w:style w:type="paragraph" w:customStyle="1" w:styleId="Committeemembership">
    <w:name w:val="Committee membership"/>
    <w:next w:val="Bodycopy"/>
    <w:rsid w:val="00DF23C5"/>
    <w:pPr>
      <w:keepNext/>
      <w:widowControl w:val="0"/>
      <w:spacing w:beforeLines="100" w:afterLines="100" w:after="0" w:line="240" w:lineRule="auto"/>
      <w:outlineLvl w:val="0"/>
    </w:pPr>
    <w:rPr>
      <w:rFonts w:ascii="Arial Narrow" w:eastAsia="Calibri" w:hAnsi="Arial Narrow" w:cs="Arial Narrow"/>
      <w:smallCaps/>
      <w:sz w:val="44"/>
      <w:szCs w:val="44"/>
    </w:rPr>
  </w:style>
  <w:style w:type="paragraph" w:customStyle="1" w:styleId="Secretariat">
    <w:name w:val="Secretariat"/>
    <w:next w:val="Bodycopy"/>
    <w:rsid w:val="00DF23C5"/>
    <w:pPr>
      <w:spacing w:beforeLines="400" w:afterLines="100" w:after="0" w:line="240" w:lineRule="auto"/>
      <w:outlineLvl w:val="0"/>
    </w:pPr>
    <w:rPr>
      <w:rFonts w:ascii="Arial Narrow" w:eastAsia="Calibri" w:hAnsi="Arial Narrow" w:cs="Arial Narrow"/>
      <w:smallCaps/>
      <w:sz w:val="44"/>
      <w:szCs w:val="44"/>
    </w:rPr>
  </w:style>
  <w:style w:type="paragraph" w:customStyle="1" w:styleId="Contactinformation">
    <w:name w:val="Contact information"/>
    <w:next w:val="Bodycopy"/>
    <w:rsid w:val="00DF23C5"/>
    <w:pPr>
      <w:spacing w:beforeLines="400" w:afterLines="100" w:after="0" w:line="240" w:lineRule="auto"/>
      <w:outlineLvl w:val="0"/>
    </w:pPr>
    <w:rPr>
      <w:rFonts w:ascii="Arial Narrow" w:eastAsia="Calibri" w:hAnsi="Arial Narrow" w:cs="Arial Narrow"/>
      <w:smallCaps/>
      <w:sz w:val="44"/>
      <w:szCs w:val="44"/>
    </w:rPr>
  </w:style>
  <w:style w:type="paragraph" w:customStyle="1" w:styleId="Recommendationsheading">
    <w:name w:val="Recommendations heading"/>
    <w:next w:val="Recommendationbodycopy"/>
    <w:rsid w:val="00DF23C5"/>
    <w:pPr>
      <w:keepNext/>
      <w:pageBreakBefore/>
      <w:widowControl w:val="0"/>
      <w:spacing w:after="240" w:line="240" w:lineRule="auto"/>
    </w:pPr>
    <w:rPr>
      <w:rFonts w:ascii="Arial Narrow" w:eastAsia="Calibri" w:hAnsi="Arial Narrow" w:cs="Times New Roman"/>
      <w:bCs/>
      <w:smallCaps/>
      <w:color w:val="000000"/>
      <w:sz w:val="44"/>
      <w:szCs w:val="44"/>
    </w:rPr>
  </w:style>
  <w:style w:type="character" w:styleId="PageNumber">
    <w:name w:val="page number"/>
    <w:rsid w:val="00DF23C5"/>
    <w:rPr>
      <w:rFonts w:ascii="Calibri" w:hAnsi="Calibri" w:cs="Times New Roman"/>
      <w:b/>
      <w:sz w:val="18"/>
      <w:szCs w:val="18"/>
    </w:rPr>
  </w:style>
  <w:style w:type="paragraph" w:customStyle="1" w:styleId="Recommendationbodycopy">
    <w:name w:val="Recommendation body copy"/>
    <w:rsid w:val="00DF23C5"/>
    <w:pPr>
      <w:keepNext/>
      <w:widowControl w:val="0"/>
      <w:spacing w:after="0" w:line="240" w:lineRule="auto"/>
    </w:pPr>
    <w:rPr>
      <w:rFonts w:ascii="Arial Narrow" w:eastAsia="Calibri" w:hAnsi="Arial Narrow" w:cs="Arial"/>
      <w:bCs/>
      <w:kern w:val="32"/>
      <w:szCs w:val="20"/>
    </w:rPr>
  </w:style>
  <w:style w:type="paragraph" w:customStyle="1" w:styleId="Recommendationbodycopynumbered">
    <w:name w:val="Recommendation body copy numbered"/>
    <w:rsid w:val="00DF23C5"/>
    <w:pPr>
      <w:keepNext/>
      <w:widowControl w:val="0"/>
      <w:numPr>
        <w:ilvl w:val="1"/>
        <w:numId w:val="24"/>
      </w:numPr>
      <w:spacing w:before="200" w:after="200" w:line="240" w:lineRule="auto"/>
      <w:ind w:left="578" w:hanging="578"/>
      <w:outlineLvl w:val="7"/>
    </w:pPr>
    <w:rPr>
      <w:rFonts w:ascii="Arial Narrow" w:eastAsia="Calibri" w:hAnsi="Arial Narrow" w:cs="Arial"/>
      <w:b/>
      <w:bCs/>
      <w:kern w:val="32"/>
      <w:szCs w:val="20"/>
    </w:rPr>
  </w:style>
  <w:style w:type="paragraph" w:customStyle="1" w:styleId="Recommendationheadingbody">
    <w:name w:val="Recommendation heading body"/>
    <w:next w:val="Recommendationbodycopynumbered"/>
    <w:rsid w:val="00DF23C5"/>
    <w:pPr>
      <w:keepNext/>
      <w:widowControl w:val="0"/>
      <w:spacing w:beforeLines="150" w:afterLines="100" w:after="0" w:line="240" w:lineRule="auto"/>
      <w:outlineLvl w:val="6"/>
    </w:pPr>
    <w:rPr>
      <w:rFonts w:ascii="Arial Narrow" w:eastAsia="Calibri" w:hAnsi="Arial Narrow" w:cs="Arial Narrow"/>
      <w:b/>
      <w:smallCaps/>
      <w:sz w:val="30"/>
      <w:szCs w:val="30"/>
    </w:rPr>
  </w:style>
  <w:style w:type="paragraph" w:customStyle="1" w:styleId="Bodycopybulletlevel1alpha">
    <w:name w:val="Body copy bullet level 1 alpha"/>
    <w:rsid w:val="00DF23C5"/>
    <w:pPr>
      <w:keepNext/>
      <w:widowControl w:val="0"/>
      <w:numPr>
        <w:numId w:val="19"/>
      </w:numPr>
      <w:spacing w:after="0" w:line="240" w:lineRule="auto"/>
      <w:ind w:left="851" w:hanging="284"/>
    </w:pPr>
    <w:rPr>
      <w:rFonts w:ascii="Calibri" w:eastAsia="Times New Roman" w:hAnsi="Calibri" w:cs="Calibri"/>
      <w:color w:val="000000"/>
      <w:szCs w:val="20"/>
      <w:lang w:eastAsia="en-AU"/>
    </w:rPr>
  </w:style>
  <w:style w:type="paragraph" w:customStyle="1" w:styleId="Headereven">
    <w:name w:val="Header even"/>
    <w:rsid w:val="00DF23C5"/>
    <w:pPr>
      <w:keepNext/>
      <w:widowControl w:val="0"/>
      <w:tabs>
        <w:tab w:val="center" w:pos="4513"/>
        <w:tab w:val="right" w:pos="9026"/>
      </w:tabs>
      <w:spacing w:after="0" w:line="240" w:lineRule="auto"/>
    </w:pPr>
    <w:rPr>
      <w:rFonts w:ascii="Calibri" w:eastAsia="Calibri" w:hAnsi="Calibri" w:cs="Arial Narrow"/>
      <w:smallCaps/>
      <w:szCs w:val="20"/>
    </w:rPr>
  </w:style>
  <w:style w:type="paragraph" w:customStyle="1" w:styleId="Headerodd">
    <w:name w:val="Header odd"/>
    <w:rsid w:val="00DF23C5"/>
    <w:pPr>
      <w:keepNext/>
      <w:widowControl w:val="0"/>
      <w:tabs>
        <w:tab w:val="center" w:pos="4513"/>
        <w:tab w:val="right" w:pos="9026"/>
      </w:tabs>
      <w:spacing w:after="0" w:line="240" w:lineRule="auto"/>
      <w:jc w:val="right"/>
    </w:pPr>
    <w:rPr>
      <w:rFonts w:ascii="Calibri" w:eastAsia="Calibri" w:hAnsi="Calibri" w:cs="Arial Narrow"/>
      <w:smallCaps/>
      <w:szCs w:val="20"/>
    </w:rPr>
  </w:style>
  <w:style w:type="paragraph" w:customStyle="1" w:styleId="Reportcoverfooter">
    <w:name w:val="Report cover footer"/>
    <w:basedOn w:val="Headerodd"/>
    <w:rsid w:val="00DF23C5"/>
    <w:rPr>
      <w:smallCaps w:val="0"/>
      <w:sz w:val="28"/>
      <w:szCs w:val="28"/>
    </w:rPr>
  </w:style>
  <w:style w:type="paragraph" w:customStyle="1" w:styleId="ReportTitle">
    <w:name w:val="Report Title"/>
    <w:rsid w:val="00DF23C5"/>
    <w:pPr>
      <w:keepNext/>
      <w:widowControl w:val="0"/>
      <w:spacing w:after="480" w:line="240" w:lineRule="auto"/>
      <w:jc w:val="right"/>
    </w:pPr>
    <w:rPr>
      <w:rFonts w:ascii="Arial Narrow" w:eastAsia="Calibri" w:hAnsi="Arial Narrow" w:cs="Arial Narrow"/>
      <w:smallCaps/>
      <w:sz w:val="56"/>
      <w:szCs w:val="56"/>
    </w:rPr>
  </w:style>
  <w:style w:type="paragraph" w:customStyle="1" w:styleId="CommitteeName">
    <w:name w:val="Committee Name"/>
    <w:rsid w:val="00DF23C5"/>
    <w:pPr>
      <w:keepNext/>
      <w:widowControl w:val="0"/>
      <w:spacing w:after="480" w:line="240" w:lineRule="auto"/>
      <w:jc w:val="right"/>
    </w:pPr>
    <w:rPr>
      <w:rFonts w:ascii="Arial Narrow" w:eastAsia="Calibri" w:hAnsi="Arial Narrow" w:cs="Arial Narrow"/>
      <w:smallCaps/>
      <w:sz w:val="44"/>
      <w:szCs w:val="44"/>
    </w:rPr>
  </w:style>
  <w:style w:type="paragraph" w:customStyle="1" w:styleId="Bulletlistalpha">
    <w:name w:val="Bullet list alpha"/>
    <w:rsid w:val="00DF23C5"/>
    <w:pPr>
      <w:keepNext/>
      <w:widowControl w:val="0"/>
      <w:numPr>
        <w:ilvl w:val="1"/>
        <w:numId w:val="17"/>
      </w:numPr>
      <w:spacing w:beforeLines="120" w:afterLines="120" w:after="0" w:line="200" w:lineRule="exact"/>
      <w:ind w:left="1701" w:hanging="567"/>
    </w:pPr>
    <w:rPr>
      <w:rFonts w:ascii="Calibri" w:eastAsia="Times New Roman" w:hAnsi="Calibri" w:cs="Calibri"/>
      <w:color w:val="000000"/>
      <w:spacing w:val="-3"/>
      <w:szCs w:val="20"/>
      <w:lang w:eastAsia="en-AU"/>
    </w:rPr>
  </w:style>
  <w:style w:type="paragraph" w:customStyle="1" w:styleId="Bulletlistroman">
    <w:name w:val="Bullet list roman"/>
    <w:rsid w:val="00DF23C5"/>
    <w:pPr>
      <w:keepNext/>
      <w:widowControl w:val="0"/>
      <w:numPr>
        <w:numId w:val="21"/>
      </w:numPr>
      <w:spacing w:beforeLines="120" w:afterLines="120" w:after="0" w:line="200" w:lineRule="exact"/>
      <w:ind w:left="2268" w:hanging="567"/>
    </w:pPr>
    <w:rPr>
      <w:rFonts w:ascii="Calibri" w:eastAsia="Times New Roman" w:hAnsi="Calibri" w:cs="Calibri"/>
      <w:color w:val="000000"/>
      <w:spacing w:val="-3"/>
      <w:szCs w:val="20"/>
      <w:lang w:eastAsia="en-AU"/>
    </w:rPr>
  </w:style>
  <w:style w:type="paragraph" w:customStyle="1" w:styleId="Heading4nonumber">
    <w:name w:val="Heading 4 no number"/>
    <w:next w:val="Bodycopynumbered"/>
    <w:rsid w:val="00DF23C5"/>
    <w:pPr>
      <w:keepNext/>
      <w:widowControl w:val="0"/>
      <w:spacing w:after="0" w:line="240" w:lineRule="auto"/>
    </w:pPr>
    <w:rPr>
      <w:rFonts w:ascii="Arial Narrow" w:eastAsia="Calibri" w:hAnsi="Arial Narrow" w:cs="Arial Narrow"/>
      <w:smallCaps/>
      <w:sz w:val="26"/>
      <w:szCs w:val="26"/>
    </w:rPr>
  </w:style>
  <w:style w:type="paragraph" w:customStyle="1" w:styleId="aIndent">
    <w:name w:val="(a) Indent"/>
    <w:basedOn w:val="Normal"/>
    <w:rsid w:val="00DF23C5"/>
    <w:pPr>
      <w:tabs>
        <w:tab w:val="left" w:pos="560"/>
      </w:tabs>
      <w:spacing w:before="0" w:after="0" w:line="240" w:lineRule="auto"/>
      <w:ind w:left="1120" w:hanging="1120"/>
    </w:pPr>
    <w:rPr>
      <w:rFonts w:ascii="Times" w:eastAsia="Times New Roman" w:hAnsi="Times" w:cs="Times New Roman"/>
      <w:sz w:val="24"/>
      <w:szCs w:val="20"/>
      <w:lang w:val="en-US" w:eastAsia="en-AU"/>
    </w:rPr>
  </w:style>
  <w:style w:type="numbering" w:customStyle="1" w:styleId="Style1">
    <w:name w:val="Style1"/>
    <w:rsid w:val="00DF23C5"/>
    <w:pPr>
      <w:numPr>
        <w:numId w:val="18"/>
      </w:numPr>
    </w:pPr>
  </w:style>
  <w:style w:type="numbering" w:customStyle="1" w:styleId="Style3">
    <w:name w:val="Style3"/>
    <w:rsid w:val="00DF23C5"/>
    <w:pPr>
      <w:numPr>
        <w:numId w:val="23"/>
      </w:numPr>
    </w:pPr>
  </w:style>
  <w:style w:type="numbering" w:customStyle="1" w:styleId="Style2">
    <w:name w:val="Style2"/>
    <w:rsid w:val="00DF23C5"/>
    <w:pPr>
      <w:numPr>
        <w:numId w:val="20"/>
      </w:numPr>
    </w:pPr>
  </w:style>
  <w:style w:type="paragraph" w:customStyle="1" w:styleId="Default">
    <w:name w:val="Default"/>
    <w:rsid w:val="00DF23C5"/>
    <w:pPr>
      <w:autoSpaceDE w:val="0"/>
      <w:autoSpaceDN w:val="0"/>
      <w:adjustRightInd w:val="0"/>
      <w:spacing w:after="0" w:line="240" w:lineRule="auto"/>
    </w:pPr>
    <w:rPr>
      <w:rFonts w:ascii="Arial Narrow" w:eastAsia="Times New Roman" w:hAnsi="Arial Narrow" w:cs="Arial Narrow"/>
      <w:color w:val="000000"/>
      <w:sz w:val="24"/>
      <w:szCs w:val="24"/>
      <w:lang w:eastAsia="en-AU"/>
    </w:rPr>
  </w:style>
  <w:style w:type="table" w:styleId="TableGrid">
    <w:name w:val="Table Grid"/>
    <w:basedOn w:val="TableNormal"/>
    <w:rsid w:val="00DF23C5"/>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BHeading">
    <w:name w:val="GB Heading"/>
    <w:basedOn w:val="Normal"/>
    <w:link w:val="GBHeadingChar"/>
    <w:rsid w:val="00DF23C5"/>
    <w:pPr>
      <w:spacing w:before="0" w:after="0" w:line="240" w:lineRule="auto"/>
      <w:jc w:val="both"/>
    </w:pPr>
    <w:rPr>
      <w:rFonts w:ascii="AvantGarde Bk BT" w:eastAsia="Times New Roman" w:hAnsi="AvantGarde Bk BT" w:cs="Times New Roman"/>
      <w:b/>
      <w:sz w:val="24"/>
      <w:szCs w:val="24"/>
      <w:lang w:eastAsia="en-AU"/>
    </w:rPr>
  </w:style>
  <w:style w:type="character" w:customStyle="1" w:styleId="GBHeadingChar">
    <w:name w:val="GB Heading Char"/>
    <w:link w:val="GBHeading"/>
    <w:locked/>
    <w:rsid w:val="00DF23C5"/>
    <w:rPr>
      <w:rFonts w:ascii="AvantGarde Bk BT" w:eastAsia="Times New Roman" w:hAnsi="AvantGarde Bk BT" w:cs="Times New Roman"/>
      <w:b/>
      <w:sz w:val="24"/>
      <w:szCs w:val="24"/>
      <w:lang w:eastAsia="en-AU"/>
    </w:rPr>
  </w:style>
  <w:style w:type="paragraph" w:customStyle="1" w:styleId="PaperTitleIndent1">
    <w:name w:val="PaperTitleIndent1"/>
    <w:basedOn w:val="Normal"/>
    <w:uiPriority w:val="99"/>
    <w:rsid w:val="00DF23C5"/>
    <w:pPr>
      <w:spacing w:before="0" w:after="120" w:line="240" w:lineRule="auto"/>
      <w:ind w:right="1701"/>
    </w:pPr>
    <w:rPr>
      <w:rFonts w:ascii="Times New Roman" w:eastAsia="Calibri" w:hAnsi="Times New Roman" w:cs="Times New Roman"/>
      <w:sz w:val="24"/>
      <w:szCs w:val="24"/>
      <w:lang w:eastAsia="en-AU"/>
    </w:rPr>
  </w:style>
  <w:style w:type="paragraph" w:customStyle="1" w:styleId="PaperTitleIndent2">
    <w:name w:val="PaperTitleIndent2"/>
    <w:basedOn w:val="Normal"/>
    <w:uiPriority w:val="99"/>
    <w:rsid w:val="00DF23C5"/>
    <w:pPr>
      <w:spacing w:before="0" w:after="120" w:line="240" w:lineRule="auto"/>
      <w:ind w:left="238" w:right="1701"/>
    </w:pPr>
    <w:rPr>
      <w:rFonts w:ascii="Times New Roman" w:eastAsia="Calibri" w:hAnsi="Times New Roman" w:cs="Times New Roman"/>
      <w:sz w:val="24"/>
      <w:szCs w:val="24"/>
      <w:lang w:eastAsia="en-AU"/>
    </w:rPr>
  </w:style>
  <w:style w:type="character" w:styleId="CommentReference">
    <w:name w:val="annotation reference"/>
    <w:rsid w:val="00DF23C5"/>
    <w:rPr>
      <w:sz w:val="16"/>
      <w:szCs w:val="16"/>
    </w:rPr>
  </w:style>
  <w:style w:type="paragraph" w:customStyle="1" w:styleId="IMain">
    <w:name w:val="I Main"/>
    <w:basedOn w:val="Normal"/>
    <w:rsid w:val="00DF23C5"/>
    <w:pPr>
      <w:tabs>
        <w:tab w:val="right" w:pos="900"/>
        <w:tab w:val="left" w:pos="1100"/>
      </w:tabs>
      <w:spacing w:before="140" w:after="0" w:line="240" w:lineRule="auto"/>
      <w:ind w:left="1100" w:hanging="1100"/>
      <w:jc w:val="both"/>
      <w:outlineLvl w:val="5"/>
    </w:pPr>
    <w:rPr>
      <w:rFonts w:ascii="Times New Roman" w:eastAsia="Times New Roman" w:hAnsi="Times New Roman" w:cs="Times New Roman"/>
      <w:sz w:val="24"/>
      <w:szCs w:val="20"/>
      <w:lang w:eastAsia="en-AU"/>
    </w:rPr>
  </w:style>
  <w:style w:type="paragraph" w:customStyle="1" w:styleId="Resol">
    <w:name w:val="Resol"/>
    <w:basedOn w:val="Committeemembership"/>
    <w:rsid w:val="00DF23C5"/>
    <w:pPr>
      <w:spacing w:before="240" w:after="240"/>
    </w:pPr>
    <w:rPr>
      <w:rFonts w:eastAsia="Times New Roman"/>
    </w:rPr>
  </w:style>
  <w:style w:type="character" w:customStyle="1" w:styleId="charCitHyperlinkItal">
    <w:name w:val="charCitHyperlinkItal"/>
    <w:uiPriority w:val="1"/>
    <w:rsid w:val="00DF23C5"/>
    <w:rPr>
      <w:rFonts w:cs="Times New Roman"/>
      <w:i/>
      <w:color w:val="0000FF"/>
      <w:u w:val="none"/>
    </w:rPr>
  </w:style>
  <w:style w:type="paragraph" w:customStyle="1" w:styleId="aDefpara">
    <w:name w:val="aDef para"/>
    <w:basedOn w:val="Apara"/>
    <w:rsid w:val="00DF23C5"/>
    <w:rPr>
      <w:lang w:eastAsia="en-AU"/>
    </w:rPr>
  </w:style>
  <w:style w:type="paragraph" w:customStyle="1" w:styleId="aExamHdgss">
    <w:name w:val="aExamHdgss"/>
    <w:basedOn w:val="Normal"/>
    <w:next w:val="Normal"/>
    <w:rsid w:val="00DF23C5"/>
    <w:pPr>
      <w:keepNext/>
      <w:spacing w:before="140" w:after="0" w:line="240" w:lineRule="auto"/>
      <w:ind w:left="1100"/>
    </w:pPr>
    <w:rPr>
      <w:rFonts w:ascii="Arial" w:eastAsia="Times New Roman" w:hAnsi="Arial" w:cs="Times New Roman"/>
      <w:b/>
      <w:sz w:val="18"/>
      <w:szCs w:val="20"/>
      <w:lang w:eastAsia="en-AU"/>
    </w:rPr>
  </w:style>
  <w:style w:type="paragraph" w:customStyle="1" w:styleId="aExamss">
    <w:name w:val="aExamss"/>
    <w:basedOn w:val="aNote"/>
    <w:rsid w:val="00DF23C5"/>
    <w:pPr>
      <w:spacing w:before="60"/>
      <w:ind w:left="1100" w:firstLine="0"/>
    </w:pPr>
    <w:rPr>
      <w:lang w:eastAsia="en-AU"/>
    </w:rPr>
  </w:style>
  <w:style w:type="character" w:customStyle="1" w:styleId="aNoteCharChar">
    <w:name w:val="aNote Char Char"/>
    <w:locked/>
    <w:rsid w:val="00DF23C5"/>
    <w:rPr>
      <w:rFonts w:cs="Times New Roman"/>
      <w:lang w:val="x-none" w:eastAsia="en-US"/>
    </w:rPr>
  </w:style>
  <w:style w:type="paragraph" w:customStyle="1" w:styleId="CoverActName">
    <w:name w:val="CoverActName"/>
    <w:basedOn w:val="Normal"/>
    <w:rsid w:val="00DF23C5"/>
    <w:pPr>
      <w:tabs>
        <w:tab w:val="left" w:pos="2600"/>
      </w:tabs>
      <w:overflowPunct w:val="0"/>
      <w:autoSpaceDE w:val="0"/>
      <w:autoSpaceDN w:val="0"/>
      <w:adjustRightInd w:val="0"/>
      <w:spacing w:before="200" w:after="60" w:line="240" w:lineRule="auto"/>
      <w:jc w:val="both"/>
    </w:pPr>
    <w:rPr>
      <w:rFonts w:ascii="Arial" w:eastAsia="Times New Roman" w:hAnsi="Arial" w:cs="Arial"/>
      <w:b/>
      <w:bCs/>
      <w:sz w:val="24"/>
      <w:szCs w:val="24"/>
      <w:lang w:eastAsia="en-AU"/>
    </w:rPr>
  </w:style>
  <w:style w:type="character" w:customStyle="1" w:styleId="AparaChar">
    <w:name w:val="A para Char"/>
    <w:link w:val="Apara"/>
    <w:locked/>
    <w:rsid w:val="00DF23C5"/>
    <w:rPr>
      <w:rFonts w:ascii="Times New Roman" w:eastAsia="Times New Roman" w:hAnsi="Times New Roman" w:cs="Times New Roman"/>
      <w:sz w:val="24"/>
      <w:szCs w:val="20"/>
    </w:rPr>
  </w:style>
  <w:style w:type="paragraph" w:customStyle="1" w:styleId="ESText">
    <w:name w:val="ES_Text"/>
    <w:basedOn w:val="Normal"/>
    <w:uiPriority w:val="99"/>
    <w:rsid w:val="00DF23C5"/>
    <w:pPr>
      <w:spacing w:before="0" w:after="0"/>
    </w:pPr>
    <w:rPr>
      <w:rFonts w:ascii="Times New Roman" w:eastAsia="Times New Roman" w:hAnsi="Times New Roman" w:cs="Times New Roman"/>
      <w:sz w:val="24"/>
      <w:szCs w:val="24"/>
      <w:lang w:eastAsia="en-AU"/>
    </w:rPr>
  </w:style>
  <w:style w:type="character" w:customStyle="1" w:styleId="Mention">
    <w:name w:val="Mention"/>
    <w:uiPriority w:val="99"/>
    <w:semiHidden/>
    <w:unhideWhenUsed/>
    <w:rsid w:val="00DF23C5"/>
    <w:rPr>
      <w:color w:val="2B579A"/>
      <w:shd w:val="clear" w:color="auto" w:fill="E6E6E6"/>
    </w:rPr>
  </w:style>
  <w:style w:type="character" w:customStyle="1" w:styleId="UnresolvedMention">
    <w:name w:val="Unresolved Mention"/>
    <w:uiPriority w:val="99"/>
    <w:semiHidden/>
    <w:unhideWhenUsed/>
    <w:rsid w:val="00DF23C5"/>
    <w:rPr>
      <w:color w:val="808080"/>
      <w:shd w:val="clear" w:color="auto" w:fill="E6E6E6"/>
    </w:rPr>
  </w:style>
  <w:style w:type="numbering" w:styleId="1ai">
    <w:name w:val="Outline List 1"/>
    <w:basedOn w:val="NoList"/>
    <w:rsid w:val="00DF23C5"/>
    <w:pPr>
      <w:numPr>
        <w:numId w:val="25"/>
      </w:numPr>
    </w:pPr>
  </w:style>
  <w:style w:type="paragraph" w:customStyle="1" w:styleId="TableHd">
    <w:name w:val="TableHd"/>
    <w:basedOn w:val="Normal"/>
    <w:rsid w:val="00DF23C5"/>
    <w:pPr>
      <w:keepNext/>
      <w:tabs>
        <w:tab w:val="left" w:pos="0"/>
      </w:tabs>
      <w:spacing w:before="300" w:after="0" w:line="240" w:lineRule="auto"/>
      <w:ind w:left="1200" w:hanging="1200"/>
    </w:pPr>
    <w:rPr>
      <w:rFonts w:ascii="Arial" w:eastAsia="Times New Roman" w:hAnsi="Arial" w:cs="Times New Roman"/>
      <w:b/>
      <w:sz w:val="20"/>
      <w:szCs w:val="20"/>
    </w:rPr>
  </w:style>
  <w:style w:type="paragraph" w:customStyle="1" w:styleId="TableColHd">
    <w:name w:val="TableColHd"/>
    <w:basedOn w:val="Normal"/>
    <w:rsid w:val="00DF23C5"/>
    <w:pPr>
      <w:keepNext/>
      <w:tabs>
        <w:tab w:val="left" w:pos="0"/>
      </w:tabs>
      <w:spacing w:before="0" w:after="60" w:line="240" w:lineRule="auto"/>
    </w:pPr>
    <w:rPr>
      <w:rFonts w:ascii="Arial" w:eastAsia="Times New Roman" w:hAnsi="Arial" w:cs="Times New Roman"/>
      <w:b/>
      <w:sz w:val="18"/>
      <w:szCs w:val="20"/>
    </w:rPr>
  </w:style>
  <w:style w:type="paragraph" w:customStyle="1" w:styleId="TableText">
    <w:name w:val="TableText"/>
    <w:basedOn w:val="Normal"/>
    <w:uiPriority w:val="99"/>
    <w:rsid w:val="00DF23C5"/>
    <w:pPr>
      <w:spacing w:before="60" w:after="60" w:line="240" w:lineRule="auto"/>
    </w:pPr>
    <w:rPr>
      <w:rFonts w:ascii="Times New Roman" w:eastAsia="Times New Roman" w:hAnsi="Times New Roman" w:cs="Times New Roman"/>
      <w:sz w:val="24"/>
      <w:szCs w:val="24"/>
    </w:rPr>
  </w:style>
  <w:style w:type="character" w:customStyle="1" w:styleId="AmainChar">
    <w:name w:val="A main Char"/>
    <w:link w:val="Amain"/>
    <w:locked/>
    <w:rsid w:val="007377E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3566">
      <w:bodyDiv w:val="1"/>
      <w:marLeft w:val="0"/>
      <w:marRight w:val="0"/>
      <w:marTop w:val="0"/>
      <w:marBottom w:val="0"/>
      <w:divBdr>
        <w:top w:val="none" w:sz="0" w:space="0" w:color="auto"/>
        <w:left w:val="none" w:sz="0" w:space="0" w:color="auto"/>
        <w:bottom w:val="none" w:sz="0" w:space="0" w:color="auto"/>
        <w:right w:val="none" w:sz="0" w:space="0" w:color="auto"/>
      </w:divBdr>
    </w:div>
    <w:div w:id="44761495">
      <w:bodyDiv w:val="1"/>
      <w:marLeft w:val="0"/>
      <w:marRight w:val="0"/>
      <w:marTop w:val="0"/>
      <w:marBottom w:val="0"/>
      <w:divBdr>
        <w:top w:val="none" w:sz="0" w:space="0" w:color="auto"/>
        <w:left w:val="none" w:sz="0" w:space="0" w:color="auto"/>
        <w:bottom w:val="none" w:sz="0" w:space="0" w:color="auto"/>
        <w:right w:val="none" w:sz="0" w:space="0" w:color="auto"/>
      </w:divBdr>
    </w:div>
    <w:div w:id="80682419">
      <w:bodyDiv w:val="1"/>
      <w:marLeft w:val="0"/>
      <w:marRight w:val="0"/>
      <w:marTop w:val="0"/>
      <w:marBottom w:val="0"/>
      <w:divBdr>
        <w:top w:val="none" w:sz="0" w:space="0" w:color="auto"/>
        <w:left w:val="none" w:sz="0" w:space="0" w:color="auto"/>
        <w:bottom w:val="none" w:sz="0" w:space="0" w:color="auto"/>
        <w:right w:val="none" w:sz="0" w:space="0" w:color="auto"/>
      </w:divBdr>
    </w:div>
    <w:div w:id="353387201">
      <w:bodyDiv w:val="1"/>
      <w:marLeft w:val="0"/>
      <w:marRight w:val="0"/>
      <w:marTop w:val="0"/>
      <w:marBottom w:val="0"/>
      <w:divBdr>
        <w:top w:val="none" w:sz="0" w:space="0" w:color="auto"/>
        <w:left w:val="none" w:sz="0" w:space="0" w:color="auto"/>
        <w:bottom w:val="none" w:sz="0" w:space="0" w:color="auto"/>
        <w:right w:val="none" w:sz="0" w:space="0" w:color="auto"/>
      </w:divBdr>
    </w:div>
    <w:div w:id="378287222">
      <w:bodyDiv w:val="1"/>
      <w:marLeft w:val="0"/>
      <w:marRight w:val="0"/>
      <w:marTop w:val="0"/>
      <w:marBottom w:val="0"/>
      <w:divBdr>
        <w:top w:val="none" w:sz="0" w:space="0" w:color="auto"/>
        <w:left w:val="none" w:sz="0" w:space="0" w:color="auto"/>
        <w:bottom w:val="none" w:sz="0" w:space="0" w:color="auto"/>
        <w:right w:val="none" w:sz="0" w:space="0" w:color="auto"/>
      </w:divBdr>
    </w:div>
    <w:div w:id="413749720">
      <w:bodyDiv w:val="1"/>
      <w:marLeft w:val="0"/>
      <w:marRight w:val="0"/>
      <w:marTop w:val="0"/>
      <w:marBottom w:val="0"/>
      <w:divBdr>
        <w:top w:val="none" w:sz="0" w:space="0" w:color="auto"/>
        <w:left w:val="none" w:sz="0" w:space="0" w:color="auto"/>
        <w:bottom w:val="none" w:sz="0" w:space="0" w:color="auto"/>
        <w:right w:val="none" w:sz="0" w:space="0" w:color="auto"/>
      </w:divBdr>
    </w:div>
    <w:div w:id="451359759">
      <w:bodyDiv w:val="1"/>
      <w:marLeft w:val="0"/>
      <w:marRight w:val="0"/>
      <w:marTop w:val="0"/>
      <w:marBottom w:val="0"/>
      <w:divBdr>
        <w:top w:val="none" w:sz="0" w:space="0" w:color="auto"/>
        <w:left w:val="none" w:sz="0" w:space="0" w:color="auto"/>
        <w:bottom w:val="none" w:sz="0" w:space="0" w:color="auto"/>
        <w:right w:val="none" w:sz="0" w:space="0" w:color="auto"/>
      </w:divBdr>
    </w:div>
    <w:div w:id="453252857">
      <w:bodyDiv w:val="1"/>
      <w:marLeft w:val="0"/>
      <w:marRight w:val="0"/>
      <w:marTop w:val="0"/>
      <w:marBottom w:val="0"/>
      <w:divBdr>
        <w:top w:val="none" w:sz="0" w:space="0" w:color="auto"/>
        <w:left w:val="none" w:sz="0" w:space="0" w:color="auto"/>
        <w:bottom w:val="none" w:sz="0" w:space="0" w:color="auto"/>
        <w:right w:val="none" w:sz="0" w:space="0" w:color="auto"/>
      </w:divBdr>
    </w:div>
    <w:div w:id="496581886">
      <w:bodyDiv w:val="1"/>
      <w:marLeft w:val="0"/>
      <w:marRight w:val="0"/>
      <w:marTop w:val="0"/>
      <w:marBottom w:val="0"/>
      <w:divBdr>
        <w:top w:val="none" w:sz="0" w:space="0" w:color="auto"/>
        <w:left w:val="none" w:sz="0" w:space="0" w:color="auto"/>
        <w:bottom w:val="none" w:sz="0" w:space="0" w:color="auto"/>
        <w:right w:val="none" w:sz="0" w:space="0" w:color="auto"/>
      </w:divBdr>
    </w:div>
    <w:div w:id="665597187">
      <w:bodyDiv w:val="1"/>
      <w:marLeft w:val="0"/>
      <w:marRight w:val="0"/>
      <w:marTop w:val="0"/>
      <w:marBottom w:val="0"/>
      <w:divBdr>
        <w:top w:val="none" w:sz="0" w:space="0" w:color="auto"/>
        <w:left w:val="none" w:sz="0" w:space="0" w:color="auto"/>
        <w:bottom w:val="none" w:sz="0" w:space="0" w:color="auto"/>
        <w:right w:val="none" w:sz="0" w:space="0" w:color="auto"/>
      </w:divBdr>
    </w:div>
    <w:div w:id="669332373">
      <w:bodyDiv w:val="1"/>
      <w:marLeft w:val="0"/>
      <w:marRight w:val="0"/>
      <w:marTop w:val="0"/>
      <w:marBottom w:val="0"/>
      <w:divBdr>
        <w:top w:val="none" w:sz="0" w:space="0" w:color="auto"/>
        <w:left w:val="none" w:sz="0" w:space="0" w:color="auto"/>
        <w:bottom w:val="none" w:sz="0" w:space="0" w:color="auto"/>
        <w:right w:val="none" w:sz="0" w:space="0" w:color="auto"/>
      </w:divBdr>
    </w:div>
    <w:div w:id="709569828">
      <w:bodyDiv w:val="1"/>
      <w:marLeft w:val="0"/>
      <w:marRight w:val="0"/>
      <w:marTop w:val="0"/>
      <w:marBottom w:val="0"/>
      <w:divBdr>
        <w:top w:val="none" w:sz="0" w:space="0" w:color="auto"/>
        <w:left w:val="none" w:sz="0" w:space="0" w:color="auto"/>
        <w:bottom w:val="none" w:sz="0" w:space="0" w:color="auto"/>
        <w:right w:val="none" w:sz="0" w:space="0" w:color="auto"/>
      </w:divBdr>
    </w:div>
    <w:div w:id="752706501">
      <w:bodyDiv w:val="1"/>
      <w:marLeft w:val="0"/>
      <w:marRight w:val="0"/>
      <w:marTop w:val="0"/>
      <w:marBottom w:val="0"/>
      <w:divBdr>
        <w:top w:val="none" w:sz="0" w:space="0" w:color="auto"/>
        <w:left w:val="none" w:sz="0" w:space="0" w:color="auto"/>
        <w:bottom w:val="none" w:sz="0" w:space="0" w:color="auto"/>
        <w:right w:val="none" w:sz="0" w:space="0" w:color="auto"/>
      </w:divBdr>
    </w:div>
    <w:div w:id="859782865">
      <w:bodyDiv w:val="1"/>
      <w:marLeft w:val="0"/>
      <w:marRight w:val="0"/>
      <w:marTop w:val="0"/>
      <w:marBottom w:val="0"/>
      <w:divBdr>
        <w:top w:val="none" w:sz="0" w:space="0" w:color="auto"/>
        <w:left w:val="none" w:sz="0" w:space="0" w:color="auto"/>
        <w:bottom w:val="none" w:sz="0" w:space="0" w:color="auto"/>
        <w:right w:val="none" w:sz="0" w:space="0" w:color="auto"/>
      </w:divBdr>
    </w:div>
    <w:div w:id="893808291">
      <w:bodyDiv w:val="1"/>
      <w:marLeft w:val="0"/>
      <w:marRight w:val="0"/>
      <w:marTop w:val="0"/>
      <w:marBottom w:val="0"/>
      <w:divBdr>
        <w:top w:val="none" w:sz="0" w:space="0" w:color="auto"/>
        <w:left w:val="none" w:sz="0" w:space="0" w:color="auto"/>
        <w:bottom w:val="none" w:sz="0" w:space="0" w:color="auto"/>
        <w:right w:val="none" w:sz="0" w:space="0" w:color="auto"/>
      </w:divBdr>
    </w:div>
    <w:div w:id="1040787363">
      <w:bodyDiv w:val="1"/>
      <w:marLeft w:val="0"/>
      <w:marRight w:val="0"/>
      <w:marTop w:val="0"/>
      <w:marBottom w:val="0"/>
      <w:divBdr>
        <w:top w:val="none" w:sz="0" w:space="0" w:color="auto"/>
        <w:left w:val="none" w:sz="0" w:space="0" w:color="auto"/>
        <w:bottom w:val="none" w:sz="0" w:space="0" w:color="auto"/>
        <w:right w:val="none" w:sz="0" w:space="0" w:color="auto"/>
      </w:divBdr>
    </w:div>
    <w:div w:id="1140925372">
      <w:bodyDiv w:val="1"/>
      <w:marLeft w:val="0"/>
      <w:marRight w:val="0"/>
      <w:marTop w:val="0"/>
      <w:marBottom w:val="0"/>
      <w:divBdr>
        <w:top w:val="none" w:sz="0" w:space="0" w:color="auto"/>
        <w:left w:val="none" w:sz="0" w:space="0" w:color="auto"/>
        <w:bottom w:val="none" w:sz="0" w:space="0" w:color="auto"/>
        <w:right w:val="none" w:sz="0" w:space="0" w:color="auto"/>
      </w:divBdr>
    </w:div>
    <w:div w:id="1159611574">
      <w:bodyDiv w:val="1"/>
      <w:marLeft w:val="0"/>
      <w:marRight w:val="0"/>
      <w:marTop w:val="0"/>
      <w:marBottom w:val="0"/>
      <w:divBdr>
        <w:top w:val="none" w:sz="0" w:space="0" w:color="auto"/>
        <w:left w:val="none" w:sz="0" w:space="0" w:color="auto"/>
        <w:bottom w:val="none" w:sz="0" w:space="0" w:color="auto"/>
        <w:right w:val="none" w:sz="0" w:space="0" w:color="auto"/>
      </w:divBdr>
    </w:div>
    <w:div w:id="1221866825">
      <w:bodyDiv w:val="1"/>
      <w:marLeft w:val="0"/>
      <w:marRight w:val="0"/>
      <w:marTop w:val="0"/>
      <w:marBottom w:val="0"/>
      <w:divBdr>
        <w:top w:val="none" w:sz="0" w:space="0" w:color="auto"/>
        <w:left w:val="none" w:sz="0" w:space="0" w:color="auto"/>
        <w:bottom w:val="none" w:sz="0" w:space="0" w:color="auto"/>
        <w:right w:val="none" w:sz="0" w:space="0" w:color="auto"/>
      </w:divBdr>
    </w:div>
    <w:div w:id="1272972304">
      <w:bodyDiv w:val="1"/>
      <w:marLeft w:val="0"/>
      <w:marRight w:val="0"/>
      <w:marTop w:val="0"/>
      <w:marBottom w:val="0"/>
      <w:divBdr>
        <w:top w:val="none" w:sz="0" w:space="0" w:color="auto"/>
        <w:left w:val="none" w:sz="0" w:space="0" w:color="auto"/>
        <w:bottom w:val="none" w:sz="0" w:space="0" w:color="auto"/>
        <w:right w:val="none" w:sz="0" w:space="0" w:color="auto"/>
      </w:divBdr>
    </w:div>
    <w:div w:id="1288320872">
      <w:bodyDiv w:val="1"/>
      <w:marLeft w:val="0"/>
      <w:marRight w:val="0"/>
      <w:marTop w:val="0"/>
      <w:marBottom w:val="0"/>
      <w:divBdr>
        <w:top w:val="none" w:sz="0" w:space="0" w:color="auto"/>
        <w:left w:val="none" w:sz="0" w:space="0" w:color="auto"/>
        <w:bottom w:val="none" w:sz="0" w:space="0" w:color="auto"/>
        <w:right w:val="none" w:sz="0" w:space="0" w:color="auto"/>
      </w:divBdr>
    </w:div>
    <w:div w:id="1307322897">
      <w:bodyDiv w:val="1"/>
      <w:marLeft w:val="0"/>
      <w:marRight w:val="0"/>
      <w:marTop w:val="0"/>
      <w:marBottom w:val="0"/>
      <w:divBdr>
        <w:top w:val="none" w:sz="0" w:space="0" w:color="auto"/>
        <w:left w:val="none" w:sz="0" w:space="0" w:color="auto"/>
        <w:bottom w:val="none" w:sz="0" w:space="0" w:color="auto"/>
        <w:right w:val="none" w:sz="0" w:space="0" w:color="auto"/>
      </w:divBdr>
    </w:div>
    <w:div w:id="1311326864">
      <w:bodyDiv w:val="1"/>
      <w:marLeft w:val="0"/>
      <w:marRight w:val="0"/>
      <w:marTop w:val="0"/>
      <w:marBottom w:val="0"/>
      <w:divBdr>
        <w:top w:val="none" w:sz="0" w:space="0" w:color="auto"/>
        <w:left w:val="none" w:sz="0" w:space="0" w:color="auto"/>
        <w:bottom w:val="none" w:sz="0" w:space="0" w:color="auto"/>
        <w:right w:val="none" w:sz="0" w:space="0" w:color="auto"/>
      </w:divBdr>
    </w:div>
    <w:div w:id="1341810655">
      <w:bodyDiv w:val="1"/>
      <w:marLeft w:val="0"/>
      <w:marRight w:val="0"/>
      <w:marTop w:val="0"/>
      <w:marBottom w:val="0"/>
      <w:divBdr>
        <w:top w:val="none" w:sz="0" w:space="0" w:color="auto"/>
        <w:left w:val="none" w:sz="0" w:space="0" w:color="auto"/>
        <w:bottom w:val="none" w:sz="0" w:space="0" w:color="auto"/>
        <w:right w:val="none" w:sz="0" w:space="0" w:color="auto"/>
      </w:divBdr>
    </w:div>
    <w:div w:id="1449006435">
      <w:bodyDiv w:val="1"/>
      <w:marLeft w:val="0"/>
      <w:marRight w:val="0"/>
      <w:marTop w:val="0"/>
      <w:marBottom w:val="0"/>
      <w:divBdr>
        <w:top w:val="none" w:sz="0" w:space="0" w:color="auto"/>
        <w:left w:val="none" w:sz="0" w:space="0" w:color="auto"/>
        <w:bottom w:val="none" w:sz="0" w:space="0" w:color="auto"/>
        <w:right w:val="none" w:sz="0" w:space="0" w:color="auto"/>
      </w:divBdr>
    </w:div>
    <w:div w:id="1861891162">
      <w:bodyDiv w:val="1"/>
      <w:marLeft w:val="0"/>
      <w:marRight w:val="0"/>
      <w:marTop w:val="0"/>
      <w:marBottom w:val="0"/>
      <w:divBdr>
        <w:top w:val="none" w:sz="0" w:space="0" w:color="auto"/>
        <w:left w:val="none" w:sz="0" w:space="0" w:color="auto"/>
        <w:bottom w:val="none" w:sz="0" w:space="0" w:color="auto"/>
        <w:right w:val="none" w:sz="0" w:space="0" w:color="auto"/>
      </w:divBdr>
      <w:divsChild>
        <w:div w:id="85677447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19148265">
              <w:blockQuote w:val="1"/>
              <w:marLeft w:val="480"/>
              <w:marRight w:val="0"/>
              <w:marTop w:val="120"/>
              <w:marBottom w:val="120"/>
              <w:divBdr>
                <w:top w:val="none" w:sz="0" w:space="0" w:color="auto"/>
                <w:left w:val="none" w:sz="0" w:space="0" w:color="auto"/>
                <w:bottom w:val="none" w:sz="0" w:space="0" w:color="auto"/>
                <w:right w:val="none" w:sz="0" w:space="0" w:color="auto"/>
              </w:divBdr>
            </w:div>
            <w:div w:id="445807919">
              <w:blockQuote w:val="1"/>
              <w:marLeft w:val="480"/>
              <w:marRight w:val="0"/>
              <w:marTop w:val="120"/>
              <w:marBottom w:val="120"/>
              <w:divBdr>
                <w:top w:val="none" w:sz="0" w:space="0" w:color="auto"/>
                <w:left w:val="none" w:sz="0" w:space="0" w:color="auto"/>
                <w:bottom w:val="none" w:sz="0" w:space="0" w:color="auto"/>
                <w:right w:val="none" w:sz="0" w:space="0" w:color="auto"/>
              </w:divBdr>
            </w:div>
            <w:div w:id="455835139">
              <w:blockQuote w:val="1"/>
              <w:marLeft w:val="480"/>
              <w:marRight w:val="0"/>
              <w:marTop w:val="120"/>
              <w:marBottom w:val="120"/>
              <w:divBdr>
                <w:top w:val="none" w:sz="0" w:space="0" w:color="auto"/>
                <w:left w:val="none" w:sz="0" w:space="0" w:color="auto"/>
                <w:bottom w:val="none" w:sz="0" w:space="0" w:color="auto"/>
                <w:right w:val="none" w:sz="0" w:space="0" w:color="auto"/>
              </w:divBdr>
              <w:divsChild>
                <w:div w:id="514419143">
                  <w:blockQuote w:val="1"/>
                  <w:marLeft w:val="480"/>
                  <w:marRight w:val="0"/>
                  <w:marTop w:val="120"/>
                  <w:marBottom w:val="120"/>
                  <w:divBdr>
                    <w:top w:val="none" w:sz="0" w:space="0" w:color="auto"/>
                    <w:left w:val="none" w:sz="0" w:space="0" w:color="auto"/>
                    <w:bottom w:val="none" w:sz="0" w:space="0" w:color="auto"/>
                    <w:right w:val="none" w:sz="0" w:space="0" w:color="auto"/>
                  </w:divBdr>
                </w:div>
              </w:divsChild>
            </w:div>
            <w:div w:id="1652513648">
              <w:blockQuote w:val="1"/>
              <w:marLeft w:val="480"/>
              <w:marRight w:val="0"/>
              <w:marTop w:val="120"/>
              <w:marBottom w:val="120"/>
              <w:divBdr>
                <w:top w:val="none" w:sz="0" w:space="0" w:color="auto"/>
                <w:left w:val="none" w:sz="0" w:space="0" w:color="auto"/>
                <w:bottom w:val="none" w:sz="0" w:space="0" w:color="auto"/>
                <w:right w:val="none" w:sz="0" w:space="0" w:color="auto"/>
              </w:divBdr>
              <w:divsChild>
                <w:div w:id="1783913921">
                  <w:blockQuote w:val="1"/>
                  <w:marLeft w:val="480"/>
                  <w:marRight w:val="0"/>
                  <w:marTop w:val="120"/>
                  <w:marBottom w:val="120"/>
                  <w:divBdr>
                    <w:top w:val="none" w:sz="0" w:space="0" w:color="auto"/>
                    <w:left w:val="none" w:sz="0" w:space="0" w:color="auto"/>
                    <w:bottom w:val="none" w:sz="0" w:space="0" w:color="auto"/>
                    <w:right w:val="none" w:sz="0" w:space="0" w:color="auto"/>
                  </w:divBdr>
                </w:div>
              </w:divsChild>
            </w:div>
            <w:div w:id="1761950779">
              <w:blockQuote w:val="1"/>
              <w:marLeft w:val="480"/>
              <w:marRight w:val="0"/>
              <w:marTop w:val="120"/>
              <w:marBottom w:val="120"/>
              <w:divBdr>
                <w:top w:val="none" w:sz="0" w:space="0" w:color="auto"/>
                <w:left w:val="none" w:sz="0" w:space="0" w:color="auto"/>
                <w:bottom w:val="none" w:sz="0" w:space="0" w:color="auto"/>
                <w:right w:val="none" w:sz="0" w:space="0" w:color="auto"/>
              </w:divBdr>
            </w:div>
          </w:divsChild>
        </w:div>
      </w:divsChild>
    </w:div>
    <w:div w:id="1941982867">
      <w:bodyDiv w:val="1"/>
      <w:marLeft w:val="0"/>
      <w:marRight w:val="0"/>
      <w:marTop w:val="0"/>
      <w:marBottom w:val="0"/>
      <w:divBdr>
        <w:top w:val="none" w:sz="0" w:space="0" w:color="auto"/>
        <w:left w:val="none" w:sz="0" w:space="0" w:color="auto"/>
        <w:bottom w:val="none" w:sz="0" w:space="0" w:color="auto"/>
        <w:right w:val="none" w:sz="0" w:space="0" w:color="auto"/>
      </w:divBdr>
    </w:div>
    <w:div w:id="200431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https://www.parliament.act.gov.au/in-committees/standing-committees-current-assembly/standing-committee-on-justice-and-community-safety-legislative-scrutiny-role/response-to-comments-on-subordinate-legislation" TargetMode="External"/><Relationship Id="rId3" Type="http://schemas.openxmlformats.org/officeDocument/2006/relationships/numbering" Target="numbering.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s://www.parliament.act.gov.au/__data/assets/pdf_file/0007/434347/Subordinate-Legislation-Technical-and-Stylistic-Standards.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legislation.act.gov.au/ni/2015-219/" TargetMode="External"/><Relationship Id="rId32"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yperlink" Target="https://www.parliament.act.gov.au/in-committees/standing-committees-current-assembly/standing-committee-on-justice-and-community-safety-legislative-scrutiny-role/responses-to-comments-on-bills/_recache" TargetMode="External"/><Relationship Id="rId30"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E5B0B-D405-4F95-84A1-A56830AF9D1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C5CDC1E-52E3-415A-9E89-BC41AC768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23</Pages>
  <Words>7477</Words>
  <Characters>42622</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Scrutiny Report 39—17 February 2020</vt:lpstr>
    </vt:vector>
  </TitlesOfParts>
  <Company/>
  <LinksUpToDate>false</LinksUpToDate>
  <CharactersWithSpaces>50000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Scrutiny Report 39—17 February 2020</dc:title>
  <dc:creator/>
  <cp:lastModifiedBy>Shannon, Anne</cp:lastModifiedBy>
  <cp:revision>32</cp:revision>
  <cp:lastPrinted>2020-02-17T00:47:00Z</cp:lastPrinted>
  <dcterms:created xsi:type="dcterms:W3CDTF">2020-02-04T21:07:00Z</dcterms:created>
  <dcterms:modified xsi:type="dcterms:W3CDTF">2020-02-17T01:29:00Z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b5416023-e907-4e5c-94a6-d4a6d91d63bb</vt:lpwstr>
  </property>
  <property fmtid="{D5CDD505-2E9C-101B-9397-08002B2CF9AE}" pid="3" name="bjSaver">
    <vt:lpwstr>ZwE+/ToLrPDfvyrx1nh9MyjXnSm5Wksu</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