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EA" w:rsidRDefault="001F1FEA" w:rsidP="00A374FD">
      <w:pPr>
        <w:rPr>
          <w:rFonts w:asciiTheme="minorHAnsi" w:hAnsiTheme="minorHAnsi"/>
        </w:rPr>
      </w:pPr>
      <w:bookmarkStart w:id="0" w:name="_GoBack"/>
      <w:bookmarkEnd w:id="0"/>
      <w:r>
        <w:rPr>
          <w:rFonts w:asciiTheme="minorHAnsi" w:hAnsiTheme="minorHAnsi"/>
          <w:noProof/>
          <w:lang w:eastAsia="en-AU"/>
        </w:rPr>
        <w:drawing>
          <wp:inline distT="0" distB="0" distL="0" distR="0">
            <wp:extent cx="895350" cy="914400"/>
            <wp:effectExtent l="0" t="0" r="0" b="0"/>
            <wp:docPr id="1" name="Picture 1" descr="ACT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p w:rsidR="001F1FEA" w:rsidRDefault="001F1FEA" w:rsidP="00A374FD">
      <w:pPr>
        <w:rPr>
          <w:rFonts w:asciiTheme="minorHAnsi" w:hAnsiTheme="minorHAnsi"/>
        </w:rPr>
      </w:pPr>
    </w:p>
    <w:p w:rsidR="001F1FEA" w:rsidRDefault="001F1FEA" w:rsidP="00A374FD">
      <w:r>
        <w:rPr>
          <w:b/>
        </w:rPr>
        <w:t>Legislative Assembly for the Australian Capital Territory</w:t>
      </w:r>
    </w:p>
    <w:p w:rsidR="001F1FEA" w:rsidRDefault="001F1FEA" w:rsidP="00A374FD">
      <w:pPr>
        <w:rPr>
          <w:b/>
        </w:rPr>
      </w:pPr>
      <w:r>
        <w:rPr>
          <w:b/>
        </w:rPr>
        <w:t>49</w:t>
      </w:r>
      <w:r>
        <w:rPr>
          <w:b/>
          <w:vertAlign w:val="superscript"/>
        </w:rPr>
        <w:t>th</w:t>
      </w:r>
      <w:r>
        <w:rPr>
          <w:b/>
        </w:rPr>
        <w:t xml:space="preserve"> Presiding Officers and Clerks Conference</w:t>
      </w:r>
    </w:p>
    <w:p w:rsidR="001F1FEA" w:rsidRDefault="001F1FEA" w:rsidP="00A374FD">
      <w:pPr>
        <w:rPr>
          <w:b/>
        </w:rPr>
      </w:pPr>
      <w:r>
        <w:rPr>
          <w:b/>
        </w:rPr>
        <w:t>Wellington, New Zealand</w:t>
      </w:r>
    </w:p>
    <w:p w:rsidR="001F1FEA" w:rsidRDefault="001F1FEA" w:rsidP="00A374FD">
      <w:pPr>
        <w:rPr>
          <w:b/>
        </w:rPr>
      </w:pPr>
      <w:r>
        <w:rPr>
          <w:b/>
        </w:rPr>
        <w:t>8-13 July 2018</w:t>
      </w:r>
    </w:p>
    <w:p w:rsidR="001F1FEA" w:rsidRDefault="00C13D51" w:rsidP="00A374FD">
      <w:pPr>
        <w:pStyle w:val="Heading1"/>
        <w:keepNext w:val="0"/>
        <w:keepLines w:val="0"/>
        <w:spacing w:before="3480"/>
      </w:pPr>
      <w:r>
        <w:t xml:space="preserve">More than just </w:t>
      </w:r>
      <w:r w:rsidR="0060720B">
        <w:t>point</w:t>
      </w:r>
      <w:r>
        <w:t>s</w:t>
      </w:r>
      <w:r w:rsidR="0060720B">
        <w:t xml:space="preserve"> of order</w:t>
      </w:r>
      <w:r>
        <w:t>—</w:t>
      </w:r>
      <w:r w:rsidR="0060720B">
        <w:t xml:space="preserve"> t</w:t>
      </w:r>
      <w:r w:rsidR="001F1FEA">
        <w:t>he</w:t>
      </w:r>
      <w:r w:rsidR="0060720B">
        <w:t> </w:t>
      </w:r>
      <w:r w:rsidR="001F1FEA">
        <w:t>role</w:t>
      </w:r>
      <w:r w:rsidR="0060720B">
        <w:t> </w:t>
      </w:r>
      <w:r w:rsidR="001F1FEA">
        <w:t>of</w:t>
      </w:r>
      <w:r w:rsidR="0060720B">
        <w:t> </w:t>
      </w:r>
      <w:r w:rsidR="001F1FEA">
        <w:t>a</w:t>
      </w:r>
      <w:r w:rsidR="0060720B">
        <w:t> </w:t>
      </w:r>
      <w:r w:rsidR="001F1FEA">
        <w:t>Speaker in a small legislature</w:t>
      </w:r>
    </w:p>
    <w:p w:rsidR="00F26B10" w:rsidRDefault="001F1FEA">
      <w:pPr>
        <w:spacing w:before="3840"/>
      </w:pPr>
      <w:r>
        <w:t>Paper to be presented by Tom Duncan,</w:t>
      </w:r>
    </w:p>
    <w:p w:rsidR="001F1FEA" w:rsidRDefault="001F1FEA" w:rsidP="00A374FD">
      <w:r>
        <w:t>Clerk of the Legislative Assembly for the Australian Capital Territory</w:t>
      </w:r>
    </w:p>
    <w:p w:rsidR="001F1FEA" w:rsidRDefault="001F1FEA" w:rsidP="00A374FD">
      <w:pPr>
        <w:spacing w:before="0"/>
        <w:jc w:val="left"/>
        <w:rPr>
          <w:sz w:val="22"/>
        </w:rPr>
        <w:sectPr w:rsidR="001F1FE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sectPr>
      </w:pPr>
    </w:p>
    <w:p w:rsidR="001F1FEA" w:rsidRDefault="0060720B" w:rsidP="00A374FD">
      <w:pPr>
        <w:pStyle w:val="IntenseQuote"/>
      </w:pPr>
      <w:r>
        <w:lastRenderedPageBreak/>
        <w:t>“</w:t>
      </w:r>
      <w:r w:rsidR="0095455B">
        <w:t>The Speakership is an ancient and honourable office and an essential feature of the parliamentary system.</w:t>
      </w:r>
      <w:r w:rsidR="001F1FEA">
        <w:t>”</w:t>
      </w:r>
      <w:r w:rsidR="001F1FEA">
        <w:rPr>
          <w:rStyle w:val="FootnoteReference"/>
          <w:rFonts w:asciiTheme="minorHAnsi" w:hAnsiTheme="minorHAnsi"/>
          <w:i w:val="0"/>
        </w:rPr>
        <w:footnoteReference w:id="1"/>
      </w:r>
    </w:p>
    <w:p w:rsidR="001F1FEA" w:rsidRDefault="005D5C4F" w:rsidP="00A374FD">
      <w:pPr>
        <w:pStyle w:val="IntenseQuote"/>
      </w:pPr>
      <w:r>
        <w:t>“The office of Speaker does not demand rare qualities. It demands common qualities in a rare degree</w:t>
      </w:r>
      <w:r w:rsidR="005243CD">
        <w:t>.</w:t>
      </w:r>
      <w:r w:rsidR="001F1FEA">
        <w:t>”</w:t>
      </w:r>
      <w:r w:rsidR="001F1FEA">
        <w:rPr>
          <w:rStyle w:val="FootnoteReference"/>
        </w:rPr>
        <w:footnoteReference w:id="2"/>
      </w:r>
    </w:p>
    <w:p w:rsidR="001F1FEA" w:rsidRDefault="001F1FEA" w:rsidP="00A374FD">
      <w:pPr>
        <w:pStyle w:val="Footer"/>
        <w:pBdr>
          <w:bottom w:val="single" w:sz="4" w:space="1" w:color="auto"/>
        </w:pBdr>
        <w:tabs>
          <w:tab w:val="left" w:pos="720"/>
        </w:tabs>
        <w:rPr>
          <w:b/>
          <w:bCs/>
        </w:rPr>
      </w:pPr>
    </w:p>
    <w:p w:rsidR="001F1FEA" w:rsidRDefault="001F1FEA" w:rsidP="00A374FD">
      <w:pPr>
        <w:pStyle w:val="Heading2"/>
        <w:keepNext w:val="0"/>
      </w:pPr>
      <w:r>
        <w:t>Introduction</w:t>
      </w:r>
    </w:p>
    <w:p w:rsidR="00891EAF" w:rsidRDefault="0095455B" w:rsidP="00600F5E">
      <w:pPr>
        <w:pStyle w:val="Bodycopy"/>
      </w:pPr>
      <w:r>
        <w:t>Whil</w:t>
      </w:r>
      <w:r w:rsidR="00891EAF">
        <w:t>e</w:t>
      </w:r>
      <w:r>
        <w:t xml:space="preserve"> many see the role of the Speaker as</w:t>
      </w:r>
      <w:r w:rsidR="0060720B">
        <w:t xml:space="preserve"> </w:t>
      </w:r>
      <w:r w:rsidR="00891EAF">
        <w:t xml:space="preserve">a rarefied </w:t>
      </w:r>
      <w:r w:rsidR="00E91790">
        <w:t xml:space="preserve">and cranky </w:t>
      </w:r>
      <w:r w:rsidR="00891EAF">
        <w:t xml:space="preserve">prefect whose responsibility is largely confined to the coercion and punishment of wayward </w:t>
      </w:r>
      <w:r w:rsidR="00605193">
        <w:t>M</w:t>
      </w:r>
      <w:r w:rsidR="00891EAF">
        <w:t xml:space="preserve">embers during rowdy proceedings, </w:t>
      </w:r>
      <w:r>
        <w:t>there</w:t>
      </w:r>
      <w:r w:rsidR="00891EAF">
        <w:t xml:space="preserve"> are, of course, </w:t>
      </w:r>
      <w:r>
        <w:t xml:space="preserve">many other aspects of the role. </w:t>
      </w:r>
    </w:p>
    <w:p w:rsidR="00CD000F" w:rsidRDefault="00CD000F" w:rsidP="00600F5E">
      <w:pPr>
        <w:pStyle w:val="Bodycopy"/>
      </w:pPr>
      <w:r>
        <w:t xml:space="preserve">This </w:t>
      </w:r>
      <w:r w:rsidR="008B2C94">
        <w:t>paper</w:t>
      </w:r>
      <w:r>
        <w:t xml:space="preserve"> discusses </w:t>
      </w:r>
      <w:r w:rsidR="0095455B">
        <w:t>the role of the Speaker in a small legislature</w:t>
      </w:r>
      <w:r>
        <w:t xml:space="preserve"> (</w:t>
      </w:r>
      <w:r w:rsidR="00DD7ABC">
        <w:t>the Legislative Assembly for the Australian Capital Territory</w:t>
      </w:r>
      <w:r w:rsidR="00891EAF">
        <w:t>)</w:t>
      </w:r>
      <w:r w:rsidR="00891EAF">
        <w:rPr>
          <w:rStyle w:val="FootnoteReference"/>
        </w:rPr>
        <w:footnoteReference w:id="3"/>
      </w:r>
      <w:r>
        <w:t xml:space="preserve"> and how the role has evolved over that time.</w:t>
      </w:r>
      <w:r w:rsidR="00C13D51">
        <w:t xml:space="preserve"> While many of the matters that I reflect on here will be familiar to those from other parliaments, there are some that are novel, and others that are unique.  </w:t>
      </w:r>
    </w:p>
    <w:p w:rsidR="00090F19" w:rsidRDefault="0058464D" w:rsidP="00A374FD">
      <w:pPr>
        <w:pStyle w:val="Heading2"/>
        <w:keepNext w:val="0"/>
      </w:pPr>
      <w:r>
        <w:t>Speakers in the ACT Legislative Assembly</w:t>
      </w:r>
    </w:p>
    <w:p w:rsidR="00090F19" w:rsidRDefault="00090F19" w:rsidP="00600F5E">
      <w:pPr>
        <w:pStyle w:val="Bodycopy"/>
        <w:rPr>
          <w:b/>
          <w:bCs/>
          <w:i/>
        </w:rPr>
      </w:pPr>
      <w:r>
        <w:t>The role of the Speaker in the Assembly</w:t>
      </w:r>
      <w:r w:rsidR="00A66CF9">
        <w:t xml:space="preserve"> </w:t>
      </w:r>
      <w:r>
        <w:t xml:space="preserve">is similar to the role of Speakers in </w:t>
      </w:r>
      <w:r w:rsidR="003A4214">
        <w:t xml:space="preserve">most </w:t>
      </w:r>
      <w:r>
        <w:t xml:space="preserve">Commonwealth Parliaments. As set out in the </w:t>
      </w:r>
      <w:r w:rsidRPr="00090F19">
        <w:rPr>
          <w:i/>
        </w:rPr>
        <w:t>Speaker’s Guide</w:t>
      </w:r>
      <w:r>
        <w:rPr>
          <w:i/>
        </w:rPr>
        <w:t>:</w:t>
      </w:r>
    </w:p>
    <w:p w:rsidR="00090F19" w:rsidRDefault="00090F19" w:rsidP="00A374FD">
      <w:pPr>
        <w:pStyle w:val="Quote"/>
      </w:pPr>
      <w:r>
        <w:t xml:space="preserve">In the chamber, the Speaker presides over the Assembly’s </w:t>
      </w:r>
      <w:r w:rsidR="00A66CF9">
        <w:t>proceeding</w:t>
      </w:r>
      <w:r>
        <w:t xml:space="preserve">, </w:t>
      </w:r>
      <w:r w:rsidR="00A66CF9">
        <w:t>interprets</w:t>
      </w:r>
      <w:r>
        <w:t xml:space="preserve"> the rules on the application of the standing orders, and is responsible for maintaining order. The Speaker is in many ways a custodian of the institution of parliament and plays an important role in defending, strengthening and promoting its legislative, representative and a</w:t>
      </w:r>
      <w:r w:rsidR="0060720B">
        <w:t>ccountability related functions</w:t>
      </w:r>
      <w:r w:rsidR="00832A6D">
        <w:t>.</w:t>
      </w:r>
      <w:r>
        <w:rPr>
          <w:rStyle w:val="FootnoteReference"/>
        </w:rPr>
        <w:footnoteReference w:id="4"/>
      </w:r>
    </w:p>
    <w:p w:rsidR="00CD000F" w:rsidRDefault="00CD000F" w:rsidP="00600F5E">
      <w:pPr>
        <w:pStyle w:val="Bodycopy"/>
      </w:pPr>
      <w:r>
        <w:t xml:space="preserve">Of the </w:t>
      </w:r>
      <w:r w:rsidR="0060720B">
        <w:t>seven</w:t>
      </w:r>
      <w:r>
        <w:t xml:space="preserve"> Speakers elected</w:t>
      </w:r>
      <w:r w:rsidR="00DD7ABC">
        <w:t xml:space="preserve"> in the ACT Legislative Assembly </w:t>
      </w:r>
      <w:r w:rsidR="00891EAF">
        <w:t>since its inception in 1989</w:t>
      </w:r>
      <w:r>
        <w:t xml:space="preserve">, </w:t>
      </w:r>
      <w:r w:rsidR="0060720B">
        <w:t>three</w:t>
      </w:r>
      <w:r>
        <w:t xml:space="preserve"> of</w:t>
      </w:r>
      <w:r w:rsidR="00DD7ABC">
        <w:t xml:space="preserve"> them have not been government </w:t>
      </w:r>
      <w:r w:rsidR="00832A6D">
        <w:t>M</w:t>
      </w:r>
      <w:r>
        <w:t>embers</w:t>
      </w:r>
      <w:r w:rsidR="003A4214">
        <w:t xml:space="preserve"> of the Legislative Assembly (MLA)</w:t>
      </w:r>
      <w:r>
        <w:t>. In the First Assembly</w:t>
      </w:r>
      <w:r w:rsidR="00891EAF">
        <w:t>,</w:t>
      </w:r>
      <w:r>
        <w:t xml:space="preserve"> a</w:t>
      </w:r>
      <w:r w:rsidR="00891EAF">
        <w:t xml:space="preserve">n MLA from the </w:t>
      </w:r>
      <w:r>
        <w:t xml:space="preserve">No Self Government </w:t>
      </w:r>
      <w:r w:rsidR="00891EAF">
        <w:t xml:space="preserve">party </w:t>
      </w:r>
      <w:r>
        <w:t xml:space="preserve">was elected as Speaker. In the </w:t>
      </w:r>
      <w:r w:rsidR="0060720B">
        <w:t>Seventh</w:t>
      </w:r>
      <w:r>
        <w:t xml:space="preserve"> Assembly</w:t>
      </w:r>
      <w:r w:rsidR="00891EAF">
        <w:t>,</w:t>
      </w:r>
      <w:r w:rsidR="006F5A68">
        <w:t xml:space="preserve"> </w:t>
      </w:r>
      <w:r>
        <w:t>a</w:t>
      </w:r>
      <w:r w:rsidR="00891EAF">
        <w:t>n ACT</w:t>
      </w:r>
      <w:r>
        <w:t xml:space="preserve"> Green</w:t>
      </w:r>
      <w:r w:rsidR="00891EAF">
        <w:t>s</w:t>
      </w:r>
      <w:r>
        <w:t xml:space="preserve"> MLA was elected Speaker</w:t>
      </w:r>
      <w:r w:rsidR="00C975F5">
        <w:rPr>
          <w:rStyle w:val="FootnoteReference"/>
        </w:rPr>
        <w:footnoteReference w:id="5"/>
      </w:r>
      <w:r>
        <w:t xml:space="preserve"> </w:t>
      </w:r>
      <w:r w:rsidR="006F5A68">
        <w:t>a</w:t>
      </w:r>
      <w:r>
        <w:t>nd</w:t>
      </w:r>
      <w:r w:rsidR="006F5A68">
        <w:t>,</w:t>
      </w:r>
      <w:r>
        <w:t xml:space="preserve"> in the </w:t>
      </w:r>
      <w:r w:rsidR="0060720B">
        <w:t xml:space="preserve">Eighth </w:t>
      </w:r>
      <w:r>
        <w:t xml:space="preserve">Assembly an opposition MLA was </w:t>
      </w:r>
      <w:r w:rsidR="008C5AF4">
        <w:t>elected</w:t>
      </w:r>
      <w:r>
        <w:t xml:space="preserve"> Speaker.</w:t>
      </w:r>
    </w:p>
    <w:p w:rsidR="00CD000F" w:rsidRDefault="00CD000F" w:rsidP="00600F5E">
      <w:pPr>
        <w:pStyle w:val="Bodycopy"/>
      </w:pPr>
      <w:r>
        <w:t>In addition</w:t>
      </w:r>
      <w:r w:rsidR="0060720B">
        <w:t>,</w:t>
      </w:r>
      <w:r>
        <w:t xml:space="preserve"> on </w:t>
      </w:r>
      <w:r w:rsidR="0060720B">
        <w:t>three</w:t>
      </w:r>
      <w:r>
        <w:t xml:space="preserve"> occasions the Assembly </w:t>
      </w:r>
      <w:r w:rsidR="008C5AF4">
        <w:t>elected</w:t>
      </w:r>
      <w:r w:rsidR="00DD7ABC">
        <w:t xml:space="preserve"> a</w:t>
      </w:r>
      <w:r>
        <w:t xml:space="preserve"> Speaker </w:t>
      </w:r>
      <w:r w:rsidR="003A4214">
        <w:t xml:space="preserve">who </w:t>
      </w:r>
      <w:r>
        <w:t xml:space="preserve">had no prior experience </w:t>
      </w:r>
      <w:r w:rsidR="00891EAF">
        <w:t>as a parliamentarian</w:t>
      </w:r>
      <w:r>
        <w:t>. This occurred in the</w:t>
      </w:r>
      <w:r w:rsidR="0060720B">
        <w:t xml:space="preserve"> First, Second and Seventh</w:t>
      </w:r>
      <w:r>
        <w:t xml:space="preserve"> Assemblies. </w:t>
      </w:r>
      <w:r w:rsidR="00D34B14">
        <w:t>T</w:t>
      </w:r>
      <w:r w:rsidR="0060720B">
        <w:t>wo</w:t>
      </w:r>
      <w:r>
        <w:t xml:space="preserve"> Speakers elected had </w:t>
      </w:r>
      <w:r w:rsidR="00D34B14">
        <w:t xml:space="preserve">been </w:t>
      </w:r>
      <w:r>
        <w:t>minister</w:t>
      </w:r>
      <w:r w:rsidR="00D34B14">
        <w:t xml:space="preserve">s prior to taking the chair. </w:t>
      </w:r>
      <w:r>
        <w:t xml:space="preserve">And </w:t>
      </w:r>
      <w:r w:rsidR="0060720B">
        <w:t>two</w:t>
      </w:r>
      <w:r>
        <w:t xml:space="preserve"> Speakers have served for </w:t>
      </w:r>
      <w:r w:rsidR="0060720B">
        <w:t>two</w:t>
      </w:r>
      <w:r>
        <w:t xml:space="preserve"> terms</w:t>
      </w:r>
      <w:r w:rsidR="00D34B14">
        <w:t>—</w:t>
      </w:r>
      <w:r>
        <w:t xml:space="preserve">one for the </w:t>
      </w:r>
      <w:r w:rsidR="0060720B">
        <w:t>Third</w:t>
      </w:r>
      <w:r>
        <w:t xml:space="preserve"> and </w:t>
      </w:r>
      <w:r w:rsidR="0060720B">
        <w:t xml:space="preserve">Fourth </w:t>
      </w:r>
      <w:r>
        <w:t xml:space="preserve">Assemblies and one for the </w:t>
      </w:r>
      <w:r w:rsidR="0060720B">
        <w:t>Fifth and Sixth</w:t>
      </w:r>
      <w:r>
        <w:t xml:space="preserve"> Assemblies. </w:t>
      </w:r>
    </w:p>
    <w:p w:rsidR="00CD000F" w:rsidRDefault="008B2C94" w:rsidP="00600F5E">
      <w:pPr>
        <w:pStyle w:val="Bodycopy"/>
      </w:pPr>
      <w:r>
        <w:t>As Speaker</w:t>
      </w:r>
      <w:r w:rsidR="003A4214">
        <w:t xml:space="preserve"> Burch</w:t>
      </w:r>
      <w:r w:rsidR="0058464D">
        <w:t xml:space="preserve"> details in her</w:t>
      </w:r>
      <w:r>
        <w:t xml:space="preserve"> paper to this conference, </w:t>
      </w:r>
      <w:r w:rsidR="0060720B">
        <w:t>three</w:t>
      </w:r>
      <w:r>
        <w:t xml:space="preserve"> out of the </w:t>
      </w:r>
      <w:r w:rsidR="0060720B">
        <w:t xml:space="preserve">seven </w:t>
      </w:r>
      <w:r>
        <w:t xml:space="preserve">Speakers elected were women. </w:t>
      </w:r>
      <w:r w:rsidR="00717996">
        <w:t xml:space="preserve">And </w:t>
      </w:r>
      <w:r w:rsidR="0060720B">
        <w:t>two</w:t>
      </w:r>
      <w:r w:rsidR="00717996">
        <w:t xml:space="preserve"> Speakers were elected unopposed. </w:t>
      </w:r>
    </w:p>
    <w:p w:rsidR="001F1FEA" w:rsidRDefault="0058464D" w:rsidP="006F5A68">
      <w:pPr>
        <w:pStyle w:val="Heading2"/>
        <w:keepLines/>
      </w:pPr>
      <w:r>
        <w:lastRenderedPageBreak/>
        <w:t>Speaker presides over question time</w:t>
      </w:r>
    </w:p>
    <w:p w:rsidR="005F4DAA" w:rsidRDefault="00D34B14" w:rsidP="00055F78">
      <w:pPr>
        <w:pStyle w:val="Bodycopy"/>
        <w:keepNext/>
        <w:keepLines/>
      </w:pPr>
      <w:r>
        <w:t xml:space="preserve">One of the more prominent tasks performed by </w:t>
      </w:r>
      <w:r w:rsidR="003A4214">
        <w:t>the</w:t>
      </w:r>
      <w:r w:rsidR="00996840">
        <w:t xml:space="preserve"> Speaker in Australia</w:t>
      </w:r>
      <w:r>
        <w:t>n parliaments</w:t>
      </w:r>
      <w:r w:rsidR="00996840">
        <w:t xml:space="preserve"> is </w:t>
      </w:r>
      <w:r>
        <w:t xml:space="preserve">presiding over </w:t>
      </w:r>
      <w:r w:rsidR="00996840">
        <w:t>question time ea</w:t>
      </w:r>
      <w:r w:rsidR="00DD7ABC">
        <w:t xml:space="preserve">ch </w:t>
      </w:r>
      <w:r>
        <w:t xml:space="preserve">sitting </w:t>
      </w:r>
      <w:r w:rsidR="00DD7ABC">
        <w:t>day</w:t>
      </w:r>
      <w:r w:rsidR="00605193">
        <w:t>.</w:t>
      </w:r>
      <w:r>
        <w:t xml:space="preserve"> </w:t>
      </w:r>
    </w:p>
    <w:p w:rsidR="005D2280" w:rsidRDefault="00996840" w:rsidP="00600F5E">
      <w:pPr>
        <w:pStyle w:val="Bodycopy"/>
      </w:pPr>
      <w:r>
        <w:t xml:space="preserve">Delegates </w:t>
      </w:r>
      <w:r w:rsidR="008C5AF4">
        <w:t>may</w:t>
      </w:r>
      <w:r>
        <w:t xml:space="preserve"> be interested to know that under the</w:t>
      </w:r>
      <w:r w:rsidR="003A4214">
        <w:t xml:space="preserve"> ACT</w:t>
      </w:r>
      <w:r>
        <w:t xml:space="preserve"> </w:t>
      </w:r>
      <w:r w:rsidR="0096641D">
        <w:t xml:space="preserve">Assembly’s </w:t>
      </w:r>
      <w:r>
        <w:t>standing orders</w:t>
      </w:r>
      <w:r w:rsidR="0096641D">
        <w:t>,</w:t>
      </w:r>
      <w:r>
        <w:t xml:space="preserve"> Question Tim</w:t>
      </w:r>
      <w:r w:rsidR="008C5AF4">
        <w:t xml:space="preserve">e cannot conclude until </w:t>
      </w:r>
      <w:r w:rsidR="00C1165B" w:rsidRPr="00C1165B">
        <w:rPr>
          <w:i/>
        </w:rPr>
        <w:t>every</w:t>
      </w:r>
      <w:r w:rsidR="008C5AF4">
        <w:t xml:space="preserve"> n</w:t>
      </w:r>
      <w:r>
        <w:t xml:space="preserve">on-executive Member rising has asked at </w:t>
      </w:r>
      <w:r w:rsidR="008C5AF4">
        <w:t>least</w:t>
      </w:r>
      <w:r w:rsidR="00D6552C">
        <w:t xml:space="preserve"> one question. </w:t>
      </w:r>
      <w:r w:rsidR="00272E05">
        <w:t xml:space="preserve">Such an exhaustive approach </w:t>
      </w:r>
      <w:r w:rsidR="003A4214">
        <w:t>is</w:t>
      </w:r>
      <w:r w:rsidR="00272E05">
        <w:t xml:space="preserve">, of course, only possible in a small parliament but even with only 17 non-executive </w:t>
      </w:r>
      <w:r w:rsidR="00605193">
        <w:t>M</w:t>
      </w:r>
      <w:r w:rsidR="00272E05">
        <w:t>embers eligible, that amount</w:t>
      </w:r>
      <w:r w:rsidR="003A4214">
        <w:t>s</w:t>
      </w:r>
      <w:r w:rsidR="00272E05">
        <w:t xml:space="preserve"> to 51 questions (including supplementary questions) that are asked in any given Question Time period</w:t>
      </w:r>
      <w:r w:rsidR="0058464D">
        <w:t>, 36 of which are asked by the Opposition</w:t>
      </w:r>
      <w:r w:rsidR="00272E05">
        <w:t xml:space="preserve">. </w:t>
      </w:r>
    </w:p>
    <w:p w:rsidR="006F5A68" w:rsidRDefault="006F5A68" w:rsidP="00600F5E">
      <w:pPr>
        <w:pStyle w:val="Bodycopy"/>
      </w:pPr>
      <w:r>
        <w:t xml:space="preserve">As is the case in most other parliaments, the Leader of the Opposition asks the first question during Question Time. The Minister responding has two minutes to answer and the Member </w:t>
      </w:r>
      <w:r w:rsidR="003A4214">
        <w:t xml:space="preserve">who </w:t>
      </w:r>
      <w:r>
        <w:t>asked the original question is then entitled to ask a supplementary question, which the Minister also has two minutes to answer. Then another Member can ask a further supplementary, which the Minister has two minutes to answer. This continues until all non-Executive MLAs rising have asked at least one question.</w:t>
      </w:r>
    </w:p>
    <w:p w:rsidR="00272E05" w:rsidRDefault="00272E05" w:rsidP="00600F5E">
      <w:pPr>
        <w:pStyle w:val="Bodycopy"/>
      </w:pPr>
      <w:r>
        <w:t xml:space="preserve">One of the challenges </w:t>
      </w:r>
      <w:r w:rsidR="00222B5D">
        <w:t xml:space="preserve">of </w:t>
      </w:r>
      <w:r>
        <w:t>presiding over the large volume of questions is ensuring the proper application of the relevance rule in relation to supplementary questions. Standing order 113B provides that:</w:t>
      </w:r>
    </w:p>
    <w:p w:rsidR="00575BC4" w:rsidRDefault="00C1165B">
      <w:pPr>
        <w:pStyle w:val="Quote"/>
      </w:pPr>
      <w:r w:rsidRPr="00C1165B">
        <w:t>Immediately following the answer to a question, one supplementary question may be asked by the Member who asked the original question: provided that the supplementary question is relevant to the original question or arises out of the answer given, contains no preamble, introduces no new matter and is put in precise and direct terms. The Speaker may allow one further supplementary question from other non-Executive Members, provided that the questions are relevant to the original question or the answers given.</w:t>
      </w:r>
    </w:p>
    <w:p w:rsidR="008F7506" w:rsidRDefault="008F7506" w:rsidP="00600F5E">
      <w:pPr>
        <w:pStyle w:val="Bodycopy"/>
      </w:pPr>
      <w:r>
        <w:t xml:space="preserve">The Speaker must pay careful attention to the content of each of the original 17 questions and their two supplementaries to ensure that there is a sufficient connection between the two to be in order. </w:t>
      </w:r>
    </w:p>
    <w:p w:rsidR="00925631" w:rsidRDefault="0058464D">
      <w:pPr>
        <w:pStyle w:val="Heading2"/>
        <w:keepLines/>
      </w:pPr>
      <w:r>
        <w:t>Speaker faces no confidence motions</w:t>
      </w:r>
    </w:p>
    <w:p w:rsidR="00996840" w:rsidRDefault="00DD7ABC" w:rsidP="00600F5E">
      <w:pPr>
        <w:pStyle w:val="Bodycopy"/>
        <w:rPr>
          <w:b/>
        </w:rPr>
      </w:pPr>
      <w:r>
        <w:t xml:space="preserve">In the short history of the </w:t>
      </w:r>
      <w:r w:rsidR="00D6552C">
        <w:t>A</w:t>
      </w:r>
      <w:r w:rsidR="00D75B3A">
        <w:t>ssembly there have been</w:t>
      </w:r>
      <w:r w:rsidR="00D34B14">
        <w:t xml:space="preserve"> only two </w:t>
      </w:r>
      <w:r>
        <w:t xml:space="preserve">motions of no confidence </w:t>
      </w:r>
      <w:r w:rsidR="00D34B14">
        <w:t xml:space="preserve">moved against </w:t>
      </w:r>
      <w:r>
        <w:t xml:space="preserve">the Speaker. </w:t>
      </w:r>
    </w:p>
    <w:p w:rsidR="00222B5D" w:rsidRDefault="00DD7ABC" w:rsidP="00600F5E">
      <w:pPr>
        <w:pStyle w:val="Bodycopy"/>
      </w:pPr>
      <w:r>
        <w:t>Although there is no provision in the standing orders for a dissent motion to be moved to a ruling of the Speaker</w:t>
      </w:r>
      <w:r w:rsidR="00D75B3A">
        <w:t xml:space="preserve">, there is a practice that, on most occasions, leave will be granted for a </w:t>
      </w:r>
      <w:r w:rsidR="00E36BCC">
        <w:t>Member</w:t>
      </w:r>
      <w:r w:rsidR="00D75B3A">
        <w:t xml:space="preserve"> who wishes to challenge a ruling to move a motion of dissent. There have been only </w:t>
      </w:r>
      <w:r w:rsidR="00832A6D">
        <w:t>two</w:t>
      </w:r>
      <w:r w:rsidR="00D75B3A">
        <w:t xml:space="preserve"> successful </w:t>
      </w:r>
      <w:r w:rsidR="005D2280">
        <w:t xml:space="preserve">dissent </w:t>
      </w:r>
      <w:r w:rsidR="00D75B3A">
        <w:t>motions moved since 1989</w:t>
      </w:r>
      <w:r w:rsidR="005D2280">
        <w:t>—</w:t>
      </w:r>
      <w:r w:rsidR="00D75B3A">
        <w:t>one overturning a decision of the Chair that the word “furphy” was unparliamentary, and another overturning a decision not to allow access to the media to film or record proceedings of the Assembly</w:t>
      </w:r>
      <w:r w:rsidR="00222B5D">
        <w:t xml:space="preserve"> (Table 1)</w:t>
      </w:r>
      <w:r w:rsidR="00D75B3A">
        <w:t>.</w:t>
      </w:r>
    </w:p>
    <w:p w:rsidR="00DD7ABC" w:rsidRDefault="00222B5D" w:rsidP="00F26B10">
      <w:pPr>
        <w:pStyle w:val="TableTitle"/>
      </w:pPr>
      <w:r>
        <w:t xml:space="preserve">Table 1: </w:t>
      </w:r>
      <w:r w:rsidR="005105F1">
        <w:t>Motions of no confidence and dissent from Speaker’s rulings moved</w:t>
      </w:r>
      <w:r w:rsidR="00D75B3A">
        <w:t xml:space="preserve"> </w:t>
      </w:r>
    </w:p>
    <w:tbl>
      <w:tblPr>
        <w:tblStyle w:val="TableColumns3"/>
        <w:tblW w:w="0" w:type="auto"/>
        <w:tblLook w:val="04A0" w:firstRow="1" w:lastRow="0" w:firstColumn="1" w:lastColumn="0" w:noHBand="0" w:noVBand="1"/>
      </w:tblPr>
      <w:tblGrid>
        <w:gridCol w:w="2835"/>
        <w:gridCol w:w="2835"/>
        <w:gridCol w:w="3253"/>
      </w:tblGrid>
      <w:tr w:rsidR="008561EF" w:rsidRPr="00EC650C" w:rsidTr="00EC65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shd w:val="clear" w:color="auto" w:fill="F2F2F2" w:themeFill="background1" w:themeFillShade="F2"/>
          </w:tcPr>
          <w:p w:rsidR="00BF2B8F" w:rsidRPr="00EC650C" w:rsidRDefault="0032291F" w:rsidP="00600F5E">
            <w:pPr>
              <w:pStyle w:val="TableHeading"/>
              <w:rPr>
                <w:color w:val="auto"/>
              </w:rPr>
            </w:pPr>
            <w:bookmarkStart w:id="1" w:name="ColumnTitle1"/>
            <w:bookmarkEnd w:id="1"/>
            <w:r w:rsidRPr="0032291F">
              <w:rPr>
                <w:color w:val="auto"/>
              </w:rPr>
              <w:t>Assembly</w:t>
            </w:r>
          </w:p>
        </w:tc>
        <w:tc>
          <w:tcPr>
            <w:tcW w:w="2835" w:type="dxa"/>
            <w:tcBorders>
              <w:bottom w:val="single" w:sz="4" w:space="0" w:color="auto"/>
            </w:tcBorders>
            <w:shd w:val="clear" w:color="auto" w:fill="F2F2F2" w:themeFill="background1" w:themeFillShade="F2"/>
          </w:tcPr>
          <w:p w:rsidR="00BF2B8F" w:rsidRPr="00EC650C" w:rsidRDefault="0032291F" w:rsidP="00600F5E">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32291F">
              <w:rPr>
                <w:color w:val="auto"/>
              </w:rPr>
              <w:t>Want of confidence motions</w:t>
            </w:r>
          </w:p>
        </w:tc>
        <w:tc>
          <w:tcPr>
            <w:tcW w:w="3253" w:type="dxa"/>
            <w:tcBorders>
              <w:bottom w:val="single" w:sz="4" w:space="0" w:color="auto"/>
            </w:tcBorders>
            <w:shd w:val="clear" w:color="auto" w:fill="F2F2F2" w:themeFill="background1" w:themeFillShade="F2"/>
          </w:tcPr>
          <w:p w:rsidR="00BF2B8F" w:rsidRPr="00EC650C" w:rsidRDefault="0032291F" w:rsidP="00600F5E">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32291F">
              <w:rPr>
                <w:color w:val="auto"/>
              </w:rPr>
              <w:t>Dissent from Speaker’s rulings</w:t>
            </w:r>
          </w:p>
        </w:tc>
      </w:tr>
      <w:tr w:rsidR="008561EF" w:rsidRPr="008561EF" w:rsidTr="00D34B1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rsidR="00BF2B8F" w:rsidRDefault="008561EF" w:rsidP="00600F5E">
            <w:pPr>
              <w:pStyle w:val="TableText"/>
              <w:rPr>
                <w:sz w:val="24"/>
                <w:szCs w:val="24"/>
              </w:rPr>
            </w:pPr>
            <w:r>
              <w:t>First Assembly</w:t>
            </w:r>
          </w:p>
        </w:tc>
        <w:tc>
          <w:tcPr>
            <w:tcW w:w="2835" w:type="dxa"/>
            <w:tcBorders>
              <w:top w:val="single" w:sz="4" w:space="0" w:color="auto"/>
              <w:left w:val="single" w:sz="4" w:space="0" w:color="auto"/>
              <w:bottom w:val="single" w:sz="4" w:space="0" w:color="auto"/>
              <w:right w:val="single" w:sz="4" w:space="0" w:color="auto"/>
            </w:tcBorders>
          </w:tcPr>
          <w:p w:rsidR="00BF2B8F" w:rsidRPr="005105F1" w:rsidRDefault="008561EF"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w:t>
            </w:r>
          </w:p>
        </w:tc>
        <w:tc>
          <w:tcPr>
            <w:tcW w:w="3253" w:type="dxa"/>
            <w:tcBorders>
              <w:top w:val="single" w:sz="4" w:space="0" w:color="auto"/>
              <w:left w:val="single" w:sz="4" w:space="0" w:color="auto"/>
              <w:bottom w:val="single" w:sz="4" w:space="0" w:color="auto"/>
              <w:right w:val="single" w:sz="4" w:space="0" w:color="auto"/>
            </w:tcBorders>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(Asst Speaker) withdrawn</w:t>
            </w:r>
          </w:p>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passed</w:t>
            </w:r>
          </w:p>
        </w:tc>
      </w:tr>
      <w:tr w:rsidR="008561EF" w:rsidRPr="008561EF" w:rsidTr="00D34B1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rsidR="00BF2B8F" w:rsidRDefault="008561EF" w:rsidP="00600F5E">
            <w:pPr>
              <w:pStyle w:val="TableText"/>
              <w:rPr>
                <w:sz w:val="24"/>
                <w:szCs w:val="24"/>
              </w:rPr>
            </w:pPr>
            <w:r>
              <w:t>Second Assembly</w:t>
            </w:r>
          </w:p>
        </w:tc>
        <w:tc>
          <w:tcPr>
            <w:tcW w:w="2835" w:type="dxa"/>
            <w:tcBorders>
              <w:top w:val="single" w:sz="4" w:space="0" w:color="auto"/>
              <w:left w:val="single" w:sz="4" w:space="0" w:color="auto"/>
              <w:bottom w:val="single" w:sz="4" w:space="0" w:color="auto"/>
              <w:right w:val="single" w:sz="4" w:space="0" w:color="auto"/>
            </w:tcBorders>
          </w:tcPr>
          <w:p w:rsidR="00BF2B8F" w:rsidRPr="005105F1" w:rsidRDefault="008561EF"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w:t>
            </w:r>
          </w:p>
        </w:tc>
        <w:tc>
          <w:tcPr>
            <w:tcW w:w="3253" w:type="dxa"/>
            <w:tcBorders>
              <w:top w:val="single" w:sz="4" w:space="0" w:color="auto"/>
              <w:left w:val="single" w:sz="4" w:space="0" w:color="auto"/>
              <w:bottom w:val="single" w:sz="4" w:space="0" w:color="auto"/>
              <w:right w:val="single" w:sz="4" w:space="0" w:color="auto"/>
            </w:tcBorders>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w:t>
            </w:r>
          </w:p>
        </w:tc>
      </w:tr>
      <w:tr w:rsidR="00F142F9" w:rsidRPr="008561EF" w:rsidTr="00D34B1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rsidR="00BF2B8F" w:rsidRDefault="00F142F9" w:rsidP="00600F5E">
            <w:pPr>
              <w:pStyle w:val="TableText"/>
              <w:rPr>
                <w:sz w:val="24"/>
                <w:szCs w:val="24"/>
              </w:rPr>
            </w:pPr>
            <w:r>
              <w:t>Third Assembly</w:t>
            </w:r>
          </w:p>
        </w:tc>
        <w:tc>
          <w:tcPr>
            <w:tcW w:w="2835" w:type="dxa"/>
            <w:tcBorders>
              <w:top w:val="single" w:sz="4" w:space="0" w:color="auto"/>
              <w:left w:val="single" w:sz="4" w:space="0" w:color="auto"/>
              <w:bottom w:val="single" w:sz="4" w:space="0" w:color="auto"/>
              <w:right w:val="single" w:sz="4" w:space="0" w:color="auto"/>
            </w:tcBorders>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negatived</w:t>
            </w:r>
          </w:p>
        </w:tc>
        <w:tc>
          <w:tcPr>
            <w:tcW w:w="3253" w:type="dxa"/>
            <w:tcBorders>
              <w:top w:val="single" w:sz="4" w:space="0" w:color="auto"/>
              <w:left w:val="single" w:sz="4" w:space="0" w:color="auto"/>
              <w:bottom w:val="single" w:sz="4" w:space="0" w:color="auto"/>
              <w:right w:val="single" w:sz="4" w:space="0" w:color="auto"/>
            </w:tcBorders>
            <w:vAlign w:val="center"/>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adjourned</w:t>
            </w:r>
          </w:p>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4 negatived</w:t>
            </w:r>
          </w:p>
        </w:tc>
      </w:tr>
      <w:tr w:rsidR="00600F5E" w:rsidRPr="008561EF" w:rsidTr="005105F1">
        <w:trPr>
          <w:cantSplit/>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rsidR="00600F5E" w:rsidRDefault="00600F5E" w:rsidP="00600F5E">
            <w:pPr>
              <w:pStyle w:val="TableText"/>
              <w:rPr>
                <w:sz w:val="24"/>
                <w:szCs w:val="24"/>
              </w:rPr>
            </w:pPr>
            <w:r>
              <w:lastRenderedPageBreak/>
              <w:t>Fourth Assembly</w:t>
            </w:r>
          </w:p>
        </w:tc>
        <w:tc>
          <w:tcPr>
            <w:tcW w:w="2835" w:type="dxa"/>
            <w:tcBorders>
              <w:top w:val="single" w:sz="4" w:space="0" w:color="auto"/>
              <w:left w:val="single" w:sz="4" w:space="0" w:color="auto"/>
              <w:bottom w:val="single" w:sz="4" w:space="0" w:color="auto"/>
              <w:right w:val="single" w:sz="4" w:space="0" w:color="auto"/>
            </w:tcBorders>
          </w:tcPr>
          <w:p w:rsidR="00600F5E" w:rsidRPr="005105F1" w:rsidRDefault="00600F5E"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w:t>
            </w:r>
          </w:p>
        </w:tc>
        <w:tc>
          <w:tcPr>
            <w:tcW w:w="3253" w:type="dxa"/>
            <w:tcBorders>
              <w:top w:val="single" w:sz="4" w:space="0" w:color="auto"/>
              <w:left w:val="single" w:sz="4" w:space="0" w:color="auto"/>
              <w:bottom w:val="single" w:sz="4" w:space="0" w:color="auto"/>
              <w:right w:val="single" w:sz="4" w:space="0" w:color="auto"/>
            </w:tcBorders>
            <w:vAlign w:val="center"/>
          </w:tcPr>
          <w:p w:rsidR="00600F5E" w:rsidRPr="005105F1" w:rsidRDefault="00600F5E"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passed</w:t>
            </w:r>
          </w:p>
          <w:p w:rsidR="00600F5E" w:rsidRPr="005105F1" w:rsidRDefault="00600F5E"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3 negatived</w:t>
            </w:r>
          </w:p>
        </w:tc>
      </w:tr>
      <w:tr w:rsidR="00F142F9" w:rsidRPr="008561EF" w:rsidTr="00D34B1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rsidR="00BF2B8F" w:rsidRDefault="00F142F9" w:rsidP="00600F5E">
            <w:pPr>
              <w:pStyle w:val="TableText"/>
              <w:rPr>
                <w:sz w:val="24"/>
                <w:szCs w:val="24"/>
              </w:rPr>
            </w:pPr>
            <w:r>
              <w:t>Fifth Assembly</w:t>
            </w:r>
          </w:p>
        </w:tc>
        <w:tc>
          <w:tcPr>
            <w:tcW w:w="2835" w:type="dxa"/>
            <w:tcBorders>
              <w:top w:val="single" w:sz="4" w:space="0" w:color="auto"/>
              <w:left w:val="single" w:sz="4" w:space="0" w:color="auto"/>
              <w:bottom w:val="single" w:sz="4" w:space="0" w:color="auto"/>
              <w:right w:val="single" w:sz="4" w:space="0" w:color="auto"/>
            </w:tcBorders>
          </w:tcPr>
          <w:p w:rsidR="00BF2B8F"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w:t>
            </w:r>
          </w:p>
        </w:tc>
        <w:tc>
          <w:tcPr>
            <w:tcW w:w="3253" w:type="dxa"/>
            <w:tcBorders>
              <w:top w:val="single" w:sz="4" w:space="0" w:color="auto"/>
              <w:left w:val="single" w:sz="4" w:space="0" w:color="auto"/>
              <w:bottom w:val="single" w:sz="4" w:space="0" w:color="auto"/>
              <w:right w:val="single" w:sz="4" w:space="0" w:color="auto"/>
            </w:tcBorders>
            <w:vAlign w:val="center"/>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negatived</w:t>
            </w:r>
          </w:p>
        </w:tc>
      </w:tr>
      <w:tr w:rsidR="00F142F9" w:rsidRPr="008561EF" w:rsidTr="00D34B1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rsidR="00BF2B8F" w:rsidRDefault="00F142F9" w:rsidP="00600F5E">
            <w:pPr>
              <w:pStyle w:val="TableText"/>
              <w:rPr>
                <w:sz w:val="24"/>
                <w:szCs w:val="24"/>
              </w:rPr>
            </w:pPr>
            <w:r>
              <w:t>Sixth Assembly</w:t>
            </w:r>
          </w:p>
        </w:tc>
        <w:tc>
          <w:tcPr>
            <w:tcW w:w="2835" w:type="dxa"/>
            <w:tcBorders>
              <w:top w:val="single" w:sz="4" w:space="0" w:color="auto"/>
              <w:left w:val="single" w:sz="4" w:space="0" w:color="auto"/>
              <w:bottom w:val="single" w:sz="4" w:space="0" w:color="auto"/>
              <w:right w:val="single" w:sz="4" w:space="0" w:color="auto"/>
            </w:tcBorders>
          </w:tcPr>
          <w:p w:rsidR="00BF2B8F"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w:t>
            </w:r>
          </w:p>
        </w:tc>
        <w:tc>
          <w:tcPr>
            <w:tcW w:w="3253" w:type="dxa"/>
            <w:tcBorders>
              <w:top w:val="single" w:sz="4" w:space="0" w:color="auto"/>
              <w:left w:val="single" w:sz="4" w:space="0" w:color="auto"/>
              <w:bottom w:val="single" w:sz="4" w:space="0" w:color="auto"/>
              <w:right w:val="single" w:sz="4" w:space="0" w:color="auto"/>
            </w:tcBorders>
            <w:vAlign w:val="center"/>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4 negatived</w:t>
            </w:r>
          </w:p>
        </w:tc>
      </w:tr>
      <w:tr w:rsidR="00F142F9" w:rsidRPr="008561EF" w:rsidTr="00D34B1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rsidR="00BF2B8F" w:rsidRDefault="00F142F9" w:rsidP="00600F5E">
            <w:pPr>
              <w:pStyle w:val="TableText"/>
              <w:rPr>
                <w:sz w:val="24"/>
                <w:szCs w:val="24"/>
              </w:rPr>
            </w:pPr>
            <w:r>
              <w:t>Seventh Assembly</w:t>
            </w:r>
          </w:p>
        </w:tc>
        <w:tc>
          <w:tcPr>
            <w:tcW w:w="2835" w:type="dxa"/>
            <w:tcBorders>
              <w:top w:val="single" w:sz="4" w:space="0" w:color="auto"/>
              <w:left w:val="single" w:sz="4" w:space="0" w:color="auto"/>
              <w:bottom w:val="single" w:sz="4" w:space="0" w:color="auto"/>
              <w:right w:val="single" w:sz="4" w:space="0" w:color="auto"/>
            </w:tcBorders>
            <w:vAlign w:val="center"/>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(Asst Speaker) negatived</w:t>
            </w:r>
          </w:p>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resolution of confidence</w:t>
            </w:r>
          </w:p>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p>
        </w:tc>
        <w:tc>
          <w:tcPr>
            <w:tcW w:w="3253" w:type="dxa"/>
            <w:tcBorders>
              <w:top w:val="single" w:sz="4" w:space="0" w:color="auto"/>
              <w:left w:val="single" w:sz="4" w:space="0" w:color="auto"/>
              <w:bottom w:val="single" w:sz="4" w:space="0" w:color="auto"/>
              <w:right w:val="single" w:sz="4" w:space="0" w:color="auto"/>
            </w:tcBorders>
            <w:vAlign w:val="center"/>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(Dep Speaker) negatived</w:t>
            </w:r>
          </w:p>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 (Asst Speaker) withdrawn</w:t>
            </w:r>
          </w:p>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5 negatived</w:t>
            </w:r>
          </w:p>
        </w:tc>
      </w:tr>
      <w:tr w:rsidR="00F142F9" w:rsidRPr="008561EF" w:rsidTr="00D34B14">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tcPr>
          <w:p w:rsidR="00F142F9" w:rsidRDefault="00F142F9" w:rsidP="00600F5E">
            <w:pPr>
              <w:pStyle w:val="TableText"/>
            </w:pPr>
            <w:r>
              <w:t>Eighth Assembly</w:t>
            </w:r>
          </w:p>
        </w:tc>
        <w:tc>
          <w:tcPr>
            <w:tcW w:w="2835" w:type="dxa"/>
            <w:tcBorders>
              <w:top w:val="single" w:sz="4" w:space="0" w:color="auto"/>
            </w:tcBorders>
          </w:tcPr>
          <w:p w:rsidR="00F142F9"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rPr>
            </w:pPr>
            <w:r w:rsidRPr="005105F1">
              <w:rPr>
                <w:b w:val="0"/>
              </w:rPr>
              <w:t>–</w:t>
            </w:r>
          </w:p>
        </w:tc>
        <w:tc>
          <w:tcPr>
            <w:tcW w:w="3253" w:type="dxa"/>
            <w:tcBorders>
              <w:top w:val="single" w:sz="4" w:space="0" w:color="auto"/>
            </w:tcBorders>
            <w:vAlign w:val="center"/>
          </w:tcPr>
          <w:p w:rsidR="00F142F9"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1 withdrawn</w:t>
            </w:r>
          </w:p>
        </w:tc>
      </w:tr>
      <w:tr w:rsidR="00F142F9" w:rsidRPr="008561EF" w:rsidTr="00D34B14">
        <w:tc>
          <w:tcPr>
            <w:cnfStyle w:val="001000000000" w:firstRow="0" w:lastRow="0" w:firstColumn="1" w:lastColumn="0" w:oddVBand="0" w:evenVBand="0" w:oddHBand="0" w:evenHBand="0" w:firstRowFirstColumn="0" w:firstRowLastColumn="0" w:lastRowFirstColumn="0" w:lastRowLastColumn="0"/>
            <w:tcW w:w="2835" w:type="dxa"/>
          </w:tcPr>
          <w:p w:rsidR="00F142F9" w:rsidRDefault="00F142F9" w:rsidP="00600F5E">
            <w:pPr>
              <w:pStyle w:val="TableText"/>
            </w:pPr>
            <w:r>
              <w:t>Ninth Assembly</w:t>
            </w:r>
          </w:p>
        </w:tc>
        <w:tc>
          <w:tcPr>
            <w:tcW w:w="2835" w:type="dxa"/>
          </w:tcPr>
          <w:p w:rsidR="00F142F9"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rPr>
            </w:pPr>
            <w:r w:rsidRPr="005105F1">
              <w:rPr>
                <w:b w:val="0"/>
              </w:rPr>
              <w:t>–</w:t>
            </w:r>
          </w:p>
        </w:tc>
        <w:tc>
          <w:tcPr>
            <w:tcW w:w="3253" w:type="dxa"/>
            <w:vAlign w:val="center"/>
          </w:tcPr>
          <w:p w:rsidR="00F142F9"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1 negatived</w:t>
            </w:r>
          </w:p>
        </w:tc>
      </w:tr>
      <w:tr w:rsidR="00F142F9" w:rsidRPr="00A374FD" w:rsidTr="00D34B14">
        <w:tc>
          <w:tcPr>
            <w:cnfStyle w:val="001000000000" w:firstRow="0" w:lastRow="0" w:firstColumn="1" w:lastColumn="0" w:oddVBand="0" w:evenVBand="0" w:oddHBand="0" w:evenHBand="0" w:firstRowFirstColumn="0" w:firstRowLastColumn="0" w:lastRowFirstColumn="0" w:lastRowLastColumn="0"/>
            <w:tcW w:w="2835" w:type="dxa"/>
          </w:tcPr>
          <w:p w:rsidR="00F142F9" w:rsidRPr="00A374FD" w:rsidRDefault="00F142F9" w:rsidP="00600F5E">
            <w:pPr>
              <w:pStyle w:val="TableText"/>
            </w:pPr>
            <w:r w:rsidRPr="00A374FD">
              <w:t>Totals</w:t>
            </w:r>
          </w:p>
        </w:tc>
        <w:tc>
          <w:tcPr>
            <w:tcW w:w="2835" w:type="dxa"/>
          </w:tcPr>
          <w:p w:rsidR="00F142F9"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3</w:t>
            </w:r>
          </w:p>
        </w:tc>
        <w:tc>
          <w:tcPr>
            <w:tcW w:w="3253" w:type="dxa"/>
            <w:vAlign w:val="center"/>
          </w:tcPr>
          <w:p w:rsidR="00F142F9"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25</w:t>
            </w:r>
          </w:p>
        </w:tc>
      </w:tr>
    </w:tbl>
    <w:p w:rsidR="00996840" w:rsidRDefault="0058464D" w:rsidP="00A374FD">
      <w:pPr>
        <w:pStyle w:val="Heading2"/>
        <w:keepNext w:val="0"/>
      </w:pPr>
      <w:r>
        <w:t>Speaker can</w:t>
      </w:r>
      <w:r w:rsidR="006E72FC">
        <w:t xml:space="preserve"> ‘name and shame’</w:t>
      </w:r>
    </w:p>
    <w:p w:rsidR="00E41CDA" w:rsidRDefault="00E41CDA" w:rsidP="00600F5E">
      <w:pPr>
        <w:pStyle w:val="Bodycopy"/>
      </w:pPr>
      <w:r>
        <w:t xml:space="preserve">Unlike many other Australian legislatures, the Speaker does not have the power to suspend Members for short periods (often called the </w:t>
      </w:r>
      <w:r w:rsidR="00605193">
        <w:t>“</w:t>
      </w:r>
      <w:r>
        <w:t>sin bin</w:t>
      </w:r>
      <w:r w:rsidR="00605193">
        <w:t>”</w:t>
      </w:r>
      <w:r>
        <w:t>)</w:t>
      </w:r>
      <w:r w:rsidR="006E72FC">
        <w:t>, this power being reserved for the Assembly itself.</w:t>
      </w:r>
      <w:r>
        <w:t xml:space="preserve"> The Speaker does have the power to </w:t>
      </w:r>
      <w:r w:rsidR="00605193">
        <w:t>“</w:t>
      </w:r>
      <w:r>
        <w:t>name</w:t>
      </w:r>
      <w:r w:rsidR="00605193">
        <w:t>”</w:t>
      </w:r>
      <w:r>
        <w:t xml:space="preserve"> a </w:t>
      </w:r>
      <w:r w:rsidR="006D75F4">
        <w:t>Member</w:t>
      </w:r>
      <w:r>
        <w:t xml:space="preserve">, and </w:t>
      </w:r>
      <w:r w:rsidR="006E72FC">
        <w:t xml:space="preserve">it is </w:t>
      </w:r>
      <w:r>
        <w:t>the normal practice that</w:t>
      </w:r>
      <w:r w:rsidR="002A366F">
        <w:t>, after being named,</w:t>
      </w:r>
      <w:r>
        <w:t xml:space="preserve"> </w:t>
      </w:r>
      <w:r w:rsidR="00C1165B" w:rsidRPr="00C1165B">
        <w:rPr>
          <w:i/>
        </w:rPr>
        <w:t>the Assembly</w:t>
      </w:r>
      <w:r>
        <w:t xml:space="preserve"> </w:t>
      </w:r>
      <w:r w:rsidR="006E72FC">
        <w:t xml:space="preserve">resolves to </w:t>
      </w:r>
      <w:r>
        <w:t xml:space="preserve">suspend the named Member for </w:t>
      </w:r>
      <w:r w:rsidR="002A366F">
        <w:t>three</w:t>
      </w:r>
      <w:r>
        <w:t xml:space="preserve"> sitting hours or, if it is the second naming that </w:t>
      </w:r>
      <w:r w:rsidR="006D75F4">
        <w:t>calendar</w:t>
      </w:r>
      <w:r>
        <w:t xml:space="preserve"> year, for a sitting day. </w:t>
      </w:r>
    </w:p>
    <w:p w:rsidR="00E41CDA" w:rsidRDefault="00E41CDA" w:rsidP="00600F5E">
      <w:pPr>
        <w:pStyle w:val="Bodycopy"/>
      </w:pPr>
      <w:r>
        <w:t xml:space="preserve">As can be seen </w:t>
      </w:r>
      <w:r w:rsidR="00F92F7D">
        <w:t>in</w:t>
      </w:r>
      <w:r>
        <w:t xml:space="preserve"> </w:t>
      </w:r>
      <w:r w:rsidR="00F92F7D">
        <w:t>T</w:t>
      </w:r>
      <w:r>
        <w:t>able</w:t>
      </w:r>
      <w:r w:rsidR="00F92F7D">
        <w:t xml:space="preserve"> 2</w:t>
      </w:r>
      <w:r>
        <w:t xml:space="preserve">, this power has been used sparingly over the last 29 years, with a total of 35 </w:t>
      </w:r>
      <w:r w:rsidR="002A366F">
        <w:t>M</w:t>
      </w:r>
      <w:r>
        <w:t>embers being named</w:t>
      </w:r>
      <w:r w:rsidR="006F5A68">
        <w:t xml:space="preserve"> and suspended</w:t>
      </w:r>
      <w:r>
        <w:t>.</w:t>
      </w:r>
    </w:p>
    <w:p w:rsidR="00F92F7D" w:rsidRDefault="00F92F7D" w:rsidP="00F26B10">
      <w:pPr>
        <w:pStyle w:val="TableTitle"/>
      </w:pPr>
      <w:r>
        <w:t xml:space="preserve">Table 2: </w:t>
      </w:r>
      <w:r w:rsidR="005105F1">
        <w:t>Members named and suspended – 1989-2018</w:t>
      </w:r>
    </w:p>
    <w:tbl>
      <w:tblPr>
        <w:tblStyle w:val="TableColumn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118"/>
      </w:tblGrid>
      <w:tr w:rsidR="00F142F9" w:rsidRPr="00EC650C" w:rsidTr="00EC6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2F2F2" w:themeFill="background1" w:themeFillShade="F2"/>
          </w:tcPr>
          <w:p w:rsidR="00BF2B8F" w:rsidRPr="00EC650C" w:rsidRDefault="0032291F" w:rsidP="00600F5E">
            <w:pPr>
              <w:pStyle w:val="TableHeading"/>
              <w:rPr>
                <w:color w:val="auto"/>
                <w:sz w:val="24"/>
                <w:szCs w:val="24"/>
              </w:rPr>
            </w:pPr>
            <w:bookmarkStart w:id="2" w:name="ColumnTitle2"/>
            <w:bookmarkEnd w:id="2"/>
            <w:r w:rsidRPr="0032291F">
              <w:rPr>
                <w:color w:val="auto"/>
              </w:rPr>
              <w:t>Assembly</w:t>
            </w:r>
          </w:p>
        </w:tc>
        <w:tc>
          <w:tcPr>
            <w:tcW w:w="3118" w:type="dxa"/>
            <w:shd w:val="clear" w:color="auto" w:fill="F2F2F2" w:themeFill="background1" w:themeFillShade="F2"/>
          </w:tcPr>
          <w:p w:rsidR="00BF2B8F" w:rsidRPr="00EC650C" w:rsidRDefault="0032291F" w:rsidP="00600F5E">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32291F">
              <w:rPr>
                <w:color w:val="auto"/>
              </w:rPr>
              <w:t>No of Members named</w:t>
            </w:r>
          </w:p>
        </w:tc>
      </w:tr>
      <w:tr w:rsidR="00F142F9" w:rsidRPr="008561EF" w:rsidTr="006E72FC">
        <w:tc>
          <w:tcPr>
            <w:cnfStyle w:val="001000000000" w:firstRow="0" w:lastRow="0" w:firstColumn="1" w:lastColumn="0" w:oddVBand="0" w:evenVBand="0" w:oddHBand="0" w:evenHBand="0" w:firstRowFirstColumn="0" w:firstRowLastColumn="0" w:lastRowFirstColumn="0" w:lastRowLastColumn="0"/>
            <w:tcW w:w="4957" w:type="dxa"/>
          </w:tcPr>
          <w:p w:rsidR="00BF2B8F" w:rsidRDefault="00F142F9" w:rsidP="00600F5E">
            <w:pPr>
              <w:pStyle w:val="TableText"/>
              <w:rPr>
                <w:sz w:val="24"/>
                <w:szCs w:val="24"/>
              </w:rPr>
            </w:pPr>
            <w:r>
              <w:t>First Assembly</w:t>
            </w:r>
          </w:p>
        </w:tc>
        <w:tc>
          <w:tcPr>
            <w:tcW w:w="3118" w:type="dxa"/>
          </w:tcPr>
          <w:p w:rsidR="00BF2B8F"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5</w:t>
            </w:r>
          </w:p>
        </w:tc>
      </w:tr>
      <w:tr w:rsidR="00F142F9" w:rsidRPr="008561EF" w:rsidTr="006E72FC">
        <w:tc>
          <w:tcPr>
            <w:cnfStyle w:val="001000000000" w:firstRow="0" w:lastRow="0" w:firstColumn="1" w:lastColumn="0" w:oddVBand="0" w:evenVBand="0" w:oddHBand="0" w:evenHBand="0" w:firstRowFirstColumn="0" w:firstRowLastColumn="0" w:lastRowFirstColumn="0" w:lastRowLastColumn="0"/>
            <w:tcW w:w="4957" w:type="dxa"/>
          </w:tcPr>
          <w:p w:rsidR="00BF2B8F" w:rsidRDefault="00F142F9" w:rsidP="00600F5E">
            <w:pPr>
              <w:pStyle w:val="TableText"/>
              <w:rPr>
                <w:sz w:val="24"/>
                <w:szCs w:val="24"/>
              </w:rPr>
            </w:pPr>
            <w:r>
              <w:t>Second Assembly</w:t>
            </w:r>
          </w:p>
        </w:tc>
        <w:tc>
          <w:tcPr>
            <w:tcW w:w="3118" w:type="dxa"/>
          </w:tcPr>
          <w:p w:rsidR="00BF2B8F"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5</w:t>
            </w:r>
          </w:p>
        </w:tc>
      </w:tr>
      <w:tr w:rsidR="00F142F9" w:rsidRPr="008561EF" w:rsidTr="006E72FC">
        <w:tc>
          <w:tcPr>
            <w:cnfStyle w:val="001000000000" w:firstRow="0" w:lastRow="0" w:firstColumn="1" w:lastColumn="0" w:oddVBand="0" w:evenVBand="0" w:oddHBand="0" w:evenHBand="0" w:firstRowFirstColumn="0" w:firstRowLastColumn="0" w:lastRowFirstColumn="0" w:lastRowLastColumn="0"/>
            <w:tcW w:w="4957" w:type="dxa"/>
          </w:tcPr>
          <w:p w:rsidR="00BF2B8F" w:rsidRDefault="00F142F9" w:rsidP="00600F5E">
            <w:pPr>
              <w:pStyle w:val="TableText"/>
              <w:rPr>
                <w:sz w:val="24"/>
                <w:szCs w:val="24"/>
              </w:rPr>
            </w:pPr>
            <w:r>
              <w:t>Third Assembly</w:t>
            </w:r>
          </w:p>
        </w:tc>
        <w:tc>
          <w:tcPr>
            <w:tcW w:w="3118" w:type="dxa"/>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4</w:t>
            </w:r>
          </w:p>
        </w:tc>
      </w:tr>
      <w:tr w:rsidR="00F142F9" w:rsidRPr="008561EF" w:rsidTr="006E72FC">
        <w:tc>
          <w:tcPr>
            <w:cnfStyle w:val="001000000000" w:firstRow="0" w:lastRow="0" w:firstColumn="1" w:lastColumn="0" w:oddVBand="0" w:evenVBand="0" w:oddHBand="0" w:evenHBand="0" w:firstRowFirstColumn="0" w:firstRowLastColumn="0" w:lastRowFirstColumn="0" w:lastRowLastColumn="0"/>
            <w:tcW w:w="4957" w:type="dxa"/>
          </w:tcPr>
          <w:p w:rsidR="00BF2B8F" w:rsidRDefault="00F142F9" w:rsidP="00600F5E">
            <w:pPr>
              <w:pStyle w:val="TableText"/>
              <w:rPr>
                <w:sz w:val="24"/>
                <w:szCs w:val="24"/>
              </w:rPr>
            </w:pPr>
            <w:r>
              <w:t>Fourth Assembly</w:t>
            </w:r>
          </w:p>
        </w:tc>
        <w:tc>
          <w:tcPr>
            <w:tcW w:w="3118" w:type="dxa"/>
          </w:tcPr>
          <w:p w:rsidR="00BF2B8F"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3</w:t>
            </w:r>
          </w:p>
        </w:tc>
      </w:tr>
      <w:tr w:rsidR="00F142F9" w:rsidRPr="008561EF" w:rsidTr="006E72FC">
        <w:tc>
          <w:tcPr>
            <w:cnfStyle w:val="001000000000" w:firstRow="0" w:lastRow="0" w:firstColumn="1" w:lastColumn="0" w:oddVBand="0" w:evenVBand="0" w:oddHBand="0" w:evenHBand="0" w:firstRowFirstColumn="0" w:firstRowLastColumn="0" w:lastRowFirstColumn="0" w:lastRowLastColumn="0"/>
            <w:tcW w:w="4957" w:type="dxa"/>
          </w:tcPr>
          <w:p w:rsidR="00BF2B8F" w:rsidRDefault="00F142F9" w:rsidP="00600F5E">
            <w:pPr>
              <w:pStyle w:val="TableText"/>
              <w:rPr>
                <w:sz w:val="24"/>
                <w:szCs w:val="24"/>
              </w:rPr>
            </w:pPr>
            <w:r>
              <w:t>Fifth Assembly</w:t>
            </w:r>
          </w:p>
        </w:tc>
        <w:tc>
          <w:tcPr>
            <w:tcW w:w="3118" w:type="dxa"/>
          </w:tcPr>
          <w:p w:rsidR="00BF2B8F"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w:t>
            </w:r>
          </w:p>
        </w:tc>
      </w:tr>
      <w:tr w:rsidR="00F142F9" w:rsidRPr="008561EF" w:rsidTr="006E72FC">
        <w:tc>
          <w:tcPr>
            <w:cnfStyle w:val="001000000000" w:firstRow="0" w:lastRow="0" w:firstColumn="1" w:lastColumn="0" w:oddVBand="0" w:evenVBand="0" w:oddHBand="0" w:evenHBand="0" w:firstRowFirstColumn="0" w:firstRowLastColumn="0" w:lastRowFirstColumn="0" w:lastRowLastColumn="0"/>
            <w:tcW w:w="4957" w:type="dxa"/>
          </w:tcPr>
          <w:p w:rsidR="00BF2B8F" w:rsidRDefault="00F142F9" w:rsidP="00600F5E">
            <w:pPr>
              <w:pStyle w:val="TableText"/>
              <w:rPr>
                <w:sz w:val="24"/>
                <w:szCs w:val="24"/>
              </w:rPr>
            </w:pPr>
            <w:r>
              <w:t>Sixth Assembly</w:t>
            </w:r>
          </w:p>
        </w:tc>
        <w:tc>
          <w:tcPr>
            <w:tcW w:w="3118" w:type="dxa"/>
          </w:tcPr>
          <w:p w:rsidR="00BF2B8F"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11</w:t>
            </w:r>
          </w:p>
        </w:tc>
      </w:tr>
      <w:tr w:rsidR="00F142F9" w:rsidRPr="008561EF" w:rsidTr="006E72FC">
        <w:tc>
          <w:tcPr>
            <w:cnfStyle w:val="001000000000" w:firstRow="0" w:lastRow="0" w:firstColumn="1" w:lastColumn="0" w:oddVBand="0" w:evenVBand="0" w:oddHBand="0" w:evenHBand="0" w:firstRowFirstColumn="0" w:firstRowLastColumn="0" w:lastRowFirstColumn="0" w:lastRowLastColumn="0"/>
            <w:tcW w:w="4957" w:type="dxa"/>
          </w:tcPr>
          <w:p w:rsidR="00BF2B8F" w:rsidRDefault="00F142F9" w:rsidP="00600F5E">
            <w:pPr>
              <w:pStyle w:val="TableText"/>
            </w:pPr>
            <w:r>
              <w:t>Seventh Assembly</w:t>
            </w:r>
          </w:p>
        </w:tc>
        <w:tc>
          <w:tcPr>
            <w:tcW w:w="3118" w:type="dxa"/>
            <w:vAlign w:val="center"/>
          </w:tcPr>
          <w:p w:rsidR="00BF2B8F" w:rsidRPr="005105F1" w:rsidRDefault="00F142F9" w:rsidP="00600F5E">
            <w:pPr>
              <w:pStyle w:val="TableText"/>
              <w:cnfStyle w:val="000000000000" w:firstRow="0" w:lastRow="0" w:firstColumn="0" w:lastColumn="0" w:oddVBand="0" w:evenVBand="0" w:oddHBand="0" w:evenHBand="0" w:firstRowFirstColumn="0" w:firstRowLastColumn="0" w:lastRowFirstColumn="0" w:lastRowLastColumn="0"/>
              <w:rPr>
                <w:b w:val="0"/>
                <w:bCs w:val="0"/>
              </w:rPr>
            </w:pPr>
            <w:r w:rsidRPr="005105F1">
              <w:rPr>
                <w:b w:val="0"/>
              </w:rPr>
              <w:t>4</w:t>
            </w:r>
          </w:p>
        </w:tc>
      </w:tr>
      <w:tr w:rsidR="00F142F9" w:rsidRPr="008561EF" w:rsidTr="006E72FC">
        <w:tc>
          <w:tcPr>
            <w:cnfStyle w:val="001000000000" w:firstRow="0" w:lastRow="0" w:firstColumn="1" w:lastColumn="0" w:oddVBand="0" w:evenVBand="0" w:oddHBand="0" w:evenHBand="0" w:firstRowFirstColumn="0" w:firstRowLastColumn="0" w:lastRowFirstColumn="0" w:lastRowLastColumn="0"/>
            <w:tcW w:w="4957" w:type="dxa"/>
          </w:tcPr>
          <w:p w:rsidR="00BF2B8F" w:rsidRDefault="00F142F9" w:rsidP="00600F5E">
            <w:pPr>
              <w:pStyle w:val="TableText"/>
              <w:rPr>
                <w:sz w:val="24"/>
                <w:szCs w:val="24"/>
              </w:rPr>
            </w:pPr>
            <w:r>
              <w:t>Eighth Assembly</w:t>
            </w:r>
          </w:p>
        </w:tc>
        <w:tc>
          <w:tcPr>
            <w:tcW w:w="3118" w:type="dxa"/>
          </w:tcPr>
          <w:p w:rsidR="00BF2B8F" w:rsidRPr="005105F1" w:rsidRDefault="00F142F9" w:rsidP="00600F5E">
            <w:pPr>
              <w:pStyle w:val="Bodycopy"/>
              <w:cnfStyle w:val="000000000000" w:firstRow="0" w:lastRow="0" w:firstColumn="0" w:lastColumn="0" w:oddVBand="0" w:evenVBand="0" w:oddHBand="0" w:evenHBand="0" w:firstRowFirstColumn="0" w:firstRowLastColumn="0" w:lastRowFirstColumn="0" w:lastRowLastColumn="0"/>
              <w:rPr>
                <w:b w:val="0"/>
                <w:bCs w:val="0"/>
                <w:sz w:val="24"/>
                <w:szCs w:val="24"/>
              </w:rPr>
            </w:pPr>
            <w:r w:rsidRPr="005105F1">
              <w:rPr>
                <w:b w:val="0"/>
              </w:rPr>
              <w:t>2</w:t>
            </w:r>
          </w:p>
        </w:tc>
      </w:tr>
    </w:tbl>
    <w:p w:rsidR="00E41CDA" w:rsidRDefault="00E41CDA" w:rsidP="005105F1">
      <w:pPr>
        <w:pStyle w:val="Bodycopy"/>
        <w:keepNext/>
        <w:keepLines/>
      </w:pPr>
      <w:r>
        <w:t xml:space="preserve">Interestingly, </w:t>
      </w:r>
      <w:r w:rsidR="00605193">
        <w:t xml:space="preserve">over the life of the whole Legislative Assembly, </w:t>
      </w:r>
      <w:r>
        <w:t xml:space="preserve">the </w:t>
      </w:r>
      <w:r w:rsidR="006E72FC">
        <w:t xml:space="preserve">Assembly </w:t>
      </w:r>
      <w:r w:rsidR="00F92F7D">
        <w:t xml:space="preserve">that </w:t>
      </w:r>
      <w:r w:rsidR="006E72FC">
        <w:t xml:space="preserve">recorded the highest number of </w:t>
      </w:r>
      <w:r w:rsidR="00881C91">
        <w:t>M</w:t>
      </w:r>
      <w:r w:rsidR="006D75F4">
        <w:t>embers</w:t>
      </w:r>
      <w:r>
        <w:t xml:space="preserve"> named </w:t>
      </w:r>
      <w:r w:rsidR="006E72FC">
        <w:t>by the Speaker</w:t>
      </w:r>
      <w:r w:rsidR="00F92F7D">
        <w:t xml:space="preserve"> was the only Assembly in which a government majority prevailed (the Sixth Assembly)</w:t>
      </w:r>
      <w:r w:rsidR="006E72FC">
        <w:t xml:space="preserve">. </w:t>
      </w:r>
      <w:r>
        <w:t xml:space="preserve"> And the Member </w:t>
      </w:r>
      <w:r w:rsidR="00F92F7D">
        <w:t xml:space="preserve">who </w:t>
      </w:r>
      <w:r w:rsidR="006E72FC">
        <w:t xml:space="preserve">was named the most </w:t>
      </w:r>
      <w:r>
        <w:t>(</w:t>
      </w:r>
      <w:r w:rsidR="002A366F">
        <w:t>five</w:t>
      </w:r>
      <w:r>
        <w:t xml:space="preserve"> times</w:t>
      </w:r>
      <w:r w:rsidR="006E72FC">
        <w:t xml:space="preserve">) </w:t>
      </w:r>
      <w:r>
        <w:t>went on to become</w:t>
      </w:r>
      <w:r w:rsidR="006E72FC">
        <w:t xml:space="preserve"> a successful </w:t>
      </w:r>
      <w:r>
        <w:t>Speaker</w:t>
      </w:r>
      <w:r w:rsidR="006E72FC">
        <w:t>, ser</w:t>
      </w:r>
      <w:r>
        <w:t>v</w:t>
      </w:r>
      <w:r w:rsidR="00F92F7D">
        <w:t>ing</w:t>
      </w:r>
      <w:r>
        <w:t xml:space="preserve"> for </w:t>
      </w:r>
      <w:r w:rsidR="002A366F">
        <w:t>two</w:t>
      </w:r>
      <w:r>
        <w:t xml:space="preserve"> terms.</w:t>
      </w:r>
    </w:p>
    <w:p w:rsidR="006E72FC" w:rsidRDefault="0058464D" w:rsidP="00055F78">
      <w:pPr>
        <w:pStyle w:val="Heading2"/>
      </w:pPr>
      <w:r>
        <w:t xml:space="preserve">Speaker’s art advisory committee </w:t>
      </w:r>
      <w:r w:rsidR="00EB56A5">
        <w:t xml:space="preserve">selects art for the </w:t>
      </w:r>
      <w:r w:rsidR="006E72FC">
        <w:t>Assembly</w:t>
      </w:r>
    </w:p>
    <w:p w:rsidR="006E72FC" w:rsidRPr="00600F5E" w:rsidRDefault="00D6552C" w:rsidP="00600F5E">
      <w:pPr>
        <w:pStyle w:val="Bodycopy"/>
      </w:pPr>
      <w:r w:rsidRPr="00600F5E">
        <w:t xml:space="preserve">In the </w:t>
      </w:r>
      <w:r w:rsidR="002A366F" w:rsidRPr="00600F5E">
        <w:t xml:space="preserve">Third </w:t>
      </w:r>
      <w:r w:rsidRPr="00600F5E">
        <w:t>Assembly</w:t>
      </w:r>
      <w:r w:rsidR="00832A6D" w:rsidRPr="00600F5E">
        <w:t>,</w:t>
      </w:r>
      <w:r w:rsidRPr="00600F5E">
        <w:t xml:space="preserve"> Speaker McRae </w:t>
      </w:r>
      <w:r w:rsidR="00600F5E" w:rsidRPr="00600F5E">
        <w:t>inaugurated</w:t>
      </w:r>
      <w:r w:rsidRPr="00600F5E">
        <w:t xml:space="preserve"> an </w:t>
      </w:r>
      <w:r w:rsidR="006E72FC" w:rsidRPr="00600F5E">
        <w:t>a</w:t>
      </w:r>
      <w:r w:rsidRPr="00600F5E">
        <w:t xml:space="preserve">rt </w:t>
      </w:r>
      <w:r w:rsidR="006E72FC" w:rsidRPr="00600F5E">
        <w:t>a</w:t>
      </w:r>
      <w:r w:rsidRPr="00600F5E">
        <w:t xml:space="preserve">dvisory </w:t>
      </w:r>
      <w:r w:rsidR="006E72FC" w:rsidRPr="00600F5E">
        <w:t>c</w:t>
      </w:r>
      <w:r w:rsidRPr="00600F5E">
        <w:t xml:space="preserve">ommittee </w:t>
      </w:r>
      <w:r w:rsidR="006E72FC" w:rsidRPr="00600F5E">
        <w:t xml:space="preserve">the role of which was </w:t>
      </w:r>
      <w:r w:rsidRPr="00600F5E">
        <w:t xml:space="preserve">to advise the Speaker in relation to the acquisition, display and maintenance of </w:t>
      </w:r>
      <w:r w:rsidR="00A66CF9" w:rsidRPr="00600F5E">
        <w:t>artworks</w:t>
      </w:r>
      <w:r w:rsidRPr="00600F5E">
        <w:t xml:space="preserve"> in the Assembly building. </w:t>
      </w:r>
    </w:p>
    <w:p w:rsidR="008B2C94" w:rsidRDefault="00D6552C" w:rsidP="00600F5E">
      <w:pPr>
        <w:pStyle w:val="Bodycopy"/>
        <w:rPr>
          <w:b/>
        </w:rPr>
      </w:pPr>
      <w:r>
        <w:t xml:space="preserve">The </w:t>
      </w:r>
      <w:r w:rsidR="006E72FC">
        <w:t>c</w:t>
      </w:r>
      <w:r>
        <w:t xml:space="preserve">ommittee is </w:t>
      </w:r>
      <w:r w:rsidR="00FB7586">
        <w:t>chaired by the Speaker</w:t>
      </w:r>
      <w:r w:rsidR="002A366F">
        <w:t xml:space="preserve"> and </w:t>
      </w:r>
      <w:r w:rsidR="007D09C5">
        <w:t>comprises</w:t>
      </w:r>
      <w:r>
        <w:t xml:space="preserve"> </w:t>
      </w:r>
      <w:r w:rsidR="00A66CF9">
        <w:t>representatives</w:t>
      </w:r>
      <w:r>
        <w:t xml:space="preserve"> </w:t>
      </w:r>
      <w:r w:rsidR="002A7AC3">
        <w:t xml:space="preserve">from </w:t>
      </w:r>
      <w:r>
        <w:t xml:space="preserve">government, opposition and crossbench </w:t>
      </w:r>
      <w:r w:rsidR="006E72FC">
        <w:t>MLAs</w:t>
      </w:r>
      <w:r w:rsidR="006F5A68">
        <w:t>,</w:t>
      </w:r>
      <w:r>
        <w:t xml:space="preserve"> as well as </w:t>
      </w:r>
      <w:r w:rsidR="00113302">
        <w:t xml:space="preserve">three ACT arts community </w:t>
      </w:r>
      <w:r w:rsidR="00A72072">
        <w:t>representatives</w:t>
      </w:r>
      <w:r w:rsidR="006E72FC">
        <w:t>,</w:t>
      </w:r>
      <w:r w:rsidR="00113302">
        <w:t xml:space="preserve"> and </w:t>
      </w:r>
      <w:r w:rsidR="006E72FC">
        <w:t xml:space="preserve">staff of the </w:t>
      </w:r>
      <w:r>
        <w:t>Office of the Legislative Assembly</w:t>
      </w:r>
      <w:r w:rsidR="00832A6D">
        <w:t xml:space="preserve"> (the Office)</w:t>
      </w:r>
      <w:r>
        <w:t xml:space="preserve">. </w:t>
      </w:r>
    </w:p>
    <w:p w:rsidR="00E347B2" w:rsidRDefault="00D6552C" w:rsidP="00600F5E">
      <w:pPr>
        <w:pStyle w:val="Bodycopy"/>
      </w:pPr>
      <w:r>
        <w:t xml:space="preserve">The </w:t>
      </w:r>
      <w:r w:rsidR="006E72FC">
        <w:t>c</w:t>
      </w:r>
      <w:r>
        <w:t xml:space="preserve">ommittee </w:t>
      </w:r>
      <w:r w:rsidR="00A66CF9">
        <w:t>administers</w:t>
      </w:r>
      <w:r w:rsidR="006E72FC">
        <w:t xml:space="preserve"> a $30k </w:t>
      </w:r>
      <w:r>
        <w:t xml:space="preserve">budget which it uses to </w:t>
      </w:r>
      <w:r w:rsidR="006E72FC">
        <w:t xml:space="preserve">acquire </w:t>
      </w:r>
      <w:r>
        <w:t>artworks fr</w:t>
      </w:r>
      <w:r w:rsidR="002A366F">
        <w:t>o</w:t>
      </w:r>
      <w:r>
        <w:t>m local art</w:t>
      </w:r>
      <w:r w:rsidR="00832A6D">
        <w:t>ists</w:t>
      </w:r>
      <w:r>
        <w:t xml:space="preserve"> for display within the building. </w:t>
      </w:r>
      <w:r w:rsidR="001D7485">
        <w:t xml:space="preserve">The committee </w:t>
      </w:r>
      <w:r w:rsidR="00E347B2">
        <w:t xml:space="preserve">is supported by </w:t>
      </w:r>
      <w:r>
        <w:t xml:space="preserve">a curatorial adviser who is responsible for providing expert advice </w:t>
      </w:r>
      <w:r w:rsidR="00FB7586">
        <w:t xml:space="preserve">to the </w:t>
      </w:r>
      <w:r w:rsidR="00605193">
        <w:t>c</w:t>
      </w:r>
      <w:r w:rsidR="00FB7586">
        <w:t>ommittee and the Speaker on the acquisition</w:t>
      </w:r>
      <w:r w:rsidR="00E347B2">
        <w:t>,</w:t>
      </w:r>
      <w:r w:rsidR="00FB7586">
        <w:t xml:space="preserve"> storage, maintenance and display of </w:t>
      </w:r>
      <w:r w:rsidR="00E347B2">
        <w:t>art</w:t>
      </w:r>
      <w:r w:rsidR="00FB7586">
        <w:t>works.</w:t>
      </w:r>
      <w:r w:rsidR="00113302">
        <w:t xml:space="preserve"> </w:t>
      </w:r>
    </w:p>
    <w:p w:rsidR="00E347B2" w:rsidRDefault="00113302" w:rsidP="00600F5E">
      <w:pPr>
        <w:pStyle w:val="Bodycopy"/>
      </w:pPr>
      <w:r>
        <w:t>During the 201</w:t>
      </w:r>
      <w:r w:rsidR="00832A6D">
        <w:t>6-</w:t>
      </w:r>
      <w:r>
        <w:t xml:space="preserve">17 financial year the </w:t>
      </w:r>
      <w:r w:rsidR="00E347B2">
        <w:t>c</w:t>
      </w:r>
      <w:r>
        <w:t xml:space="preserve">ommittee </w:t>
      </w:r>
      <w:r w:rsidR="00E347B2">
        <w:t xml:space="preserve">acquired </w:t>
      </w:r>
      <w:r w:rsidR="00B731E2">
        <w:t>eight</w:t>
      </w:r>
      <w:r>
        <w:t xml:space="preserve"> </w:t>
      </w:r>
      <w:r w:rsidR="00A72072">
        <w:t xml:space="preserve">artworks. </w:t>
      </w:r>
      <w:r w:rsidR="007D09C5">
        <w:t>N</w:t>
      </w:r>
      <w:r>
        <w:t xml:space="preserve">ew acquisitions are </w:t>
      </w:r>
      <w:r w:rsidR="007D09C5">
        <w:t xml:space="preserve">usually </w:t>
      </w:r>
      <w:r>
        <w:t>displayed in</w:t>
      </w:r>
      <w:r w:rsidR="006F5A68">
        <w:t xml:space="preserve"> </w:t>
      </w:r>
      <w:r w:rsidR="00E347B2">
        <w:t xml:space="preserve">a prominent public space within the </w:t>
      </w:r>
      <w:r>
        <w:t>Assembly building</w:t>
      </w:r>
      <w:r w:rsidR="00E347B2">
        <w:t xml:space="preserve"> for a period of time before being </w:t>
      </w:r>
      <w:r w:rsidR="007D09C5">
        <w:t>re</w:t>
      </w:r>
      <w:r w:rsidR="00E347B2">
        <w:t xml:space="preserve">located </w:t>
      </w:r>
      <w:r w:rsidR="007D09C5">
        <w:t>to</w:t>
      </w:r>
      <w:r w:rsidR="00E347B2">
        <w:t xml:space="preserve"> other parts of the building such as internal </w:t>
      </w:r>
      <w:r w:rsidR="00600F5E">
        <w:t xml:space="preserve">hallways and </w:t>
      </w:r>
      <w:r w:rsidR="007D09C5">
        <w:t xml:space="preserve">Members’ </w:t>
      </w:r>
      <w:r w:rsidR="00600F5E">
        <w:t>offices.</w:t>
      </w:r>
    </w:p>
    <w:p w:rsidR="00D6552C" w:rsidRPr="00D6552C" w:rsidRDefault="006F5A68" w:rsidP="00600F5E">
      <w:pPr>
        <w:pStyle w:val="Bodycopy"/>
      </w:pPr>
      <w:r>
        <w:rPr>
          <w:noProof/>
        </w:rPr>
        <w:drawing>
          <wp:inline distT="0" distB="0" distL="0" distR="0">
            <wp:extent cx="1459230" cy="1953260"/>
            <wp:effectExtent l="0" t="0" r="0" b="0"/>
            <wp:docPr id="3" name="Picture 2" descr="Ho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9230" cy="1953260"/>
                    </a:xfrm>
                    <a:prstGeom prst="rect">
                      <a:avLst/>
                    </a:prstGeom>
                  </pic:spPr>
                </pic:pic>
              </a:graphicData>
            </a:graphic>
          </wp:inline>
        </w:drawing>
      </w:r>
    </w:p>
    <w:p w:rsidR="00A374FD" w:rsidRDefault="00A374FD" w:rsidP="00A374FD">
      <w:pPr>
        <w:jc w:val="left"/>
        <w:rPr>
          <w:lang w:eastAsia="en-AU"/>
        </w:rPr>
      </w:pPr>
      <w:r w:rsidRPr="00A374FD">
        <w:rPr>
          <w:i/>
        </w:rPr>
        <w:t>Listening Tree</w:t>
      </w:r>
      <w:r>
        <w:t xml:space="preserve">, </w:t>
      </w:r>
      <w:r>
        <w:rPr>
          <w:lang w:eastAsia="en-AU"/>
        </w:rPr>
        <w:t>Clay, slips and glaze, by Bev Hogg</w:t>
      </w:r>
    </w:p>
    <w:p w:rsidR="001D69D5" w:rsidRPr="001D69D5" w:rsidRDefault="001D69D5" w:rsidP="00E21817">
      <w:pPr>
        <w:ind w:left="1276" w:hanging="1276"/>
        <w:jc w:val="left"/>
        <w:rPr>
          <w:sz w:val="20"/>
          <w:szCs w:val="20"/>
          <w:lang w:eastAsia="en-AU"/>
        </w:rPr>
      </w:pPr>
      <w:r w:rsidRPr="001D69D5">
        <w:rPr>
          <w:sz w:val="20"/>
          <w:szCs w:val="20"/>
        </w:rPr>
        <w:t>Artist’s précis</w:t>
      </w:r>
      <w:r w:rsidR="004101FA">
        <w:rPr>
          <w:sz w:val="20"/>
          <w:szCs w:val="20"/>
        </w:rPr>
        <w:t>:</w:t>
      </w:r>
      <w:r>
        <w:rPr>
          <w:sz w:val="20"/>
          <w:szCs w:val="20"/>
        </w:rPr>
        <w:tab/>
      </w:r>
      <w:r w:rsidRPr="001D69D5">
        <w:rPr>
          <w:sz w:val="20"/>
          <w:szCs w:val="20"/>
        </w:rPr>
        <w:t xml:space="preserve">The </w:t>
      </w:r>
      <w:r w:rsidRPr="001D69D5">
        <w:rPr>
          <w:i/>
          <w:sz w:val="20"/>
          <w:szCs w:val="20"/>
        </w:rPr>
        <w:t>Tree</w:t>
      </w:r>
      <w:r w:rsidRPr="001D69D5">
        <w:rPr>
          <w:sz w:val="20"/>
          <w:szCs w:val="20"/>
        </w:rPr>
        <w:t xml:space="preserve"> is an allegory of the political process in its ideal state. Politics draws its substance from the community and politicians, as they undertake their duties, listen to the voices of the people of Canberra.</w:t>
      </w:r>
    </w:p>
    <w:p w:rsidR="001F1FEA" w:rsidRDefault="00940712" w:rsidP="00055F78">
      <w:pPr>
        <w:pStyle w:val="Heading2"/>
        <w:keepNext w:val="0"/>
      </w:pPr>
      <w:r>
        <w:t>Speaker controls</w:t>
      </w:r>
      <w:r w:rsidR="0058464D">
        <w:t xml:space="preserve"> access to</w:t>
      </w:r>
      <w:r>
        <w:t xml:space="preserve"> the precincts</w:t>
      </w:r>
    </w:p>
    <w:p w:rsidR="00FB7586" w:rsidRDefault="00FB7586" w:rsidP="00600F5E">
      <w:pPr>
        <w:pStyle w:val="Bodycopy"/>
      </w:pPr>
      <w:r>
        <w:t>Like most parliaments, the Assembly pa</w:t>
      </w:r>
      <w:r w:rsidR="00A66CF9">
        <w:t>ssed legislation in 2001 (t</w:t>
      </w:r>
      <w:r>
        <w:t xml:space="preserve">he </w:t>
      </w:r>
      <w:r w:rsidR="00A66CF9" w:rsidRPr="00A66CF9">
        <w:rPr>
          <w:i/>
        </w:rPr>
        <w:t>Legislative</w:t>
      </w:r>
      <w:r w:rsidRPr="00A66CF9">
        <w:rPr>
          <w:i/>
        </w:rPr>
        <w:t xml:space="preserve"> Assembly Precincts Act 2001</w:t>
      </w:r>
      <w:r w:rsidR="007D09C5">
        <w:t>) that</w:t>
      </w:r>
      <w:r w:rsidR="00BB65A2">
        <w:t xml:space="preserve"> established the precincts of the Assembly and </w:t>
      </w:r>
      <w:r w:rsidR="001D761A">
        <w:t>conferred on the Speaker a number of powers in relation to the</w:t>
      </w:r>
      <w:r w:rsidR="00BB65A2">
        <w:t>m. The</w:t>
      </w:r>
      <w:r w:rsidR="005105F1">
        <w:t xml:space="preserve"> two</w:t>
      </w:r>
      <w:r w:rsidR="00BB65A2">
        <w:t xml:space="preserve"> precincts </w:t>
      </w:r>
      <w:r w:rsidR="005105F1">
        <w:t xml:space="preserve">are </w:t>
      </w:r>
      <w:r w:rsidR="00BB65A2">
        <w:t>the Assembly building and separate office accommodation for staff of the Office of the Legislative Assembly</w:t>
      </w:r>
      <w:r w:rsidR="00A66CF9">
        <w:t xml:space="preserve">. </w:t>
      </w:r>
      <w:r w:rsidR="009472FB">
        <w:t>Amongst other matters, the Speaker may:</w:t>
      </w:r>
    </w:p>
    <w:p w:rsidR="009472FB" w:rsidRPr="002A366F" w:rsidRDefault="002A366F" w:rsidP="00A374FD">
      <w:pPr>
        <w:pStyle w:val="ListParagraph"/>
        <w:numPr>
          <w:ilvl w:val="0"/>
          <w:numId w:val="4"/>
        </w:numPr>
        <w:ind w:left="1134" w:hanging="567"/>
      </w:pPr>
      <w:r>
        <w:t>i</w:t>
      </w:r>
      <w:r w:rsidR="009472FB" w:rsidRPr="002A366F">
        <w:t>ssue licences for the use of the Assembly precinct (s</w:t>
      </w:r>
      <w:r w:rsidR="00BB65A2">
        <w:t xml:space="preserve"> </w:t>
      </w:r>
      <w:r w:rsidR="009472FB" w:rsidRPr="002A366F">
        <w:t>7A) (nu</w:t>
      </w:r>
      <w:r w:rsidR="00E53A4D" w:rsidRPr="002A366F">
        <w:t>merous community groups use cer</w:t>
      </w:r>
      <w:r w:rsidR="009472FB" w:rsidRPr="002A366F">
        <w:t>t</w:t>
      </w:r>
      <w:r w:rsidR="00E53A4D" w:rsidRPr="002A366F">
        <w:t>a</w:t>
      </w:r>
      <w:r w:rsidR="009472FB" w:rsidRPr="002A366F">
        <w:t>in rooms within the building);</w:t>
      </w:r>
    </w:p>
    <w:p w:rsidR="009472FB" w:rsidRPr="002A366F" w:rsidRDefault="002A366F" w:rsidP="00A374FD">
      <w:pPr>
        <w:pStyle w:val="ListParagraph"/>
        <w:numPr>
          <w:ilvl w:val="0"/>
          <w:numId w:val="4"/>
        </w:numPr>
        <w:ind w:left="1134" w:hanging="567"/>
      </w:pPr>
      <w:r>
        <w:t>d</w:t>
      </w:r>
      <w:r w:rsidR="009472FB" w:rsidRPr="002A366F">
        <w:t xml:space="preserve">irect that a person who is not a </w:t>
      </w:r>
      <w:r>
        <w:t>M</w:t>
      </w:r>
      <w:r w:rsidR="009472FB" w:rsidRPr="002A366F">
        <w:t xml:space="preserve">ember </w:t>
      </w:r>
      <w:r w:rsidR="007D09C5">
        <w:t xml:space="preserve">is </w:t>
      </w:r>
      <w:r w:rsidR="009472FB" w:rsidRPr="002A366F">
        <w:t>to leave or to not enter the Assembly precincts (s</w:t>
      </w:r>
      <w:r w:rsidR="00BB65A2">
        <w:t xml:space="preserve"> </w:t>
      </w:r>
      <w:r w:rsidR="009472FB" w:rsidRPr="002A366F">
        <w:t>9(1)</w:t>
      </w:r>
      <w:r>
        <w:t>);</w:t>
      </w:r>
    </w:p>
    <w:p w:rsidR="009472FB" w:rsidRPr="002A366F" w:rsidRDefault="009472FB" w:rsidP="00A374FD">
      <w:pPr>
        <w:pStyle w:val="ListParagraph"/>
        <w:numPr>
          <w:ilvl w:val="0"/>
          <w:numId w:val="4"/>
        </w:numPr>
        <w:ind w:left="1134" w:hanging="567"/>
      </w:pPr>
      <w:r w:rsidRPr="002A366F">
        <w:t>arrange for the removal or exclusion of a person from the Assembly precincts (s</w:t>
      </w:r>
      <w:r w:rsidR="007D09C5">
        <w:t xml:space="preserve"> </w:t>
      </w:r>
      <w:r w:rsidRPr="002A366F">
        <w:t>9(2));</w:t>
      </w:r>
    </w:p>
    <w:p w:rsidR="009472FB" w:rsidRPr="002A366F" w:rsidRDefault="009472FB" w:rsidP="00A374FD">
      <w:pPr>
        <w:pStyle w:val="ListParagraph"/>
        <w:numPr>
          <w:ilvl w:val="0"/>
          <w:numId w:val="4"/>
        </w:numPr>
        <w:ind w:left="1134" w:hanging="567"/>
      </w:pPr>
      <w:r w:rsidRPr="002A366F">
        <w:t>delegate his or her powers to remove a person to certain senior officers of the Office of the Legislative Assembly (s 9(5)); and</w:t>
      </w:r>
    </w:p>
    <w:p w:rsidR="009472FB" w:rsidRPr="002A366F" w:rsidRDefault="009472FB" w:rsidP="00A374FD">
      <w:pPr>
        <w:pStyle w:val="ListParagraph"/>
        <w:numPr>
          <w:ilvl w:val="0"/>
          <w:numId w:val="4"/>
        </w:numPr>
        <w:ind w:left="1134" w:hanging="567"/>
      </w:pPr>
      <w:r w:rsidRPr="002A366F">
        <w:t>determine fees in relation to the Act (</w:t>
      </w:r>
      <w:r w:rsidR="00BB65A2">
        <w:t xml:space="preserve">s </w:t>
      </w:r>
      <w:r w:rsidRPr="002A366F">
        <w:t>11A).</w:t>
      </w:r>
    </w:p>
    <w:p w:rsidR="008B2C94" w:rsidRDefault="00BB65A2" w:rsidP="00605193">
      <w:pPr>
        <w:pStyle w:val="Bodycopy"/>
        <w:keepNext/>
        <w:keepLines/>
      </w:pPr>
      <w:r>
        <w:t>I</w:t>
      </w:r>
      <w:r w:rsidR="009472FB">
        <w:t xml:space="preserve">t is a </w:t>
      </w:r>
      <w:r w:rsidR="007D09C5">
        <w:t>long-</w:t>
      </w:r>
      <w:r w:rsidR="009472FB">
        <w:t xml:space="preserve">standing parliamentary convention that </w:t>
      </w:r>
      <w:r>
        <w:t>whe</w:t>
      </w:r>
      <w:r w:rsidR="007D09C5">
        <w:t>n</w:t>
      </w:r>
      <w:r>
        <w:t xml:space="preserve"> </w:t>
      </w:r>
      <w:r w:rsidR="00881C91">
        <w:t>p</w:t>
      </w:r>
      <w:r w:rsidR="009472FB">
        <w:t>olice</w:t>
      </w:r>
      <w:r>
        <w:t xml:space="preserve"> </w:t>
      </w:r>
      <w:r w:rsidR="00881C91">
        <w:t>o</w:t>
      </w:r>
      <w:r w:rsidR="007D09C5">
        <w:t>fficers</w:t>
      </w:r>
      <w:r>
        <w:t xml:space="preserve"> wish to enter parliamentary precincts for the purposes of interviewing a </w:t>
      </w:r>
      <w:r w:rsidR="007D09C5">
        <w:t xml:space="preserve">Member </w:t>
      </w:r>
      <w:r>
        <w:t xml:space="preserve">of </w:t>
      </w:r>
      <w:r w:rsidR="00652815">
        <w:t>P</w:t>
      </w:r>
      <w:r>
        <w:t>arliament or effecting a search warrant, the</w:t>
      </w:r>
      <w:r w:rsidR="007D09C5">
        <w:t>y notify the</w:t>
      </w:r>
      <w:r>
        <w:t xml:space="preserve"> presiding officer. S</w:t>
      </w:r>
      <w:r w:rsidR="009472FB">
        <w:t>ince 9 November 2006</w:t>
      </w:r>
      <w:r>
        <w:t xml:space="preserve">, </w:t>
      </w:r>
      <w:r w:rsidR="009472FB">
        <w:t xml:space="preserve">there has been a Memorandum of Understanding (MOU) in place between the Speaker and the Chief Police Officer for the </w:t>
      </w:r>
      <w:r w:rsidR="00196037">
        <w:t>ACT</w:t>
      </w:r>
      <w:r>
        <w:t xml:space="preserve"> setting out more detailed arrangements concerning access to the precincts by police officers in the performance of their official duties. </w:t>
      </w:r>
      <w:r w:rsidR="009472FB">
        <w:t>This memorandum was recently updated.</w:t>
      </w:r>
    </w:p>
    <w:p w:rsidR="001F1FEA" w:rsidRDefault="009472FB" w:rsidP="00600F5E">
      <w:pPr>
        <w:pStyle w:val="Heading2"/>
      </w:pPr>
      <w:r>
        <w:t>Speaker c</w:t>
      </w:r>
      <w:r w:rsidR="008B2C94">
        <w:t>hairs Standing Committee on Administration and Procedure</w:t>
      </w:r>
    </w:p>
    <w:p w:rsidR="001D57ED" w:rsidRDefault="009472FB" w:rsidP="00600F5E">
      <w:pPr>
        <w:pStyle w:val="Bodycopy"/>
      </w:pPr>
      <w:r>
        <w:t>The Speaker chairs the Standing Committee on Administration and Procedure</w:t>
      </w:r>
      <w:r w:rsidR="001318DB">
        <w:t xml:space="preserve"> which is responsible for determining the order </w:t>
      </w:r>
      <w:r w:rsidR="001D57ED">
        <w:t xml:space="preserve">of </w:t>
      </w:r>
      <w:r w:rsidR="00B12186">
        <w:t xml:space="preserve">private </w:t>
      </w:r>
      <w:r w:rsidR="00605193">
        <w:t>M</w:t>
      </w:r>
      <w:r w:rsidR="00B12186">
        <w:t xml:space="preserve">embers, Assembly and executive Members </w:t>
      </w:r>
      <w:r w:rsidR="001D57ED">
        <w:t xml:space="preserve">business, as well as advising the Speaker on the operation of the Assembly library, </w:t>
      </w:r>
      <w:r w:rsidR="00605193">
        <w:t>M</w:t>
      </w:r>
      <w:r w:rsidR="00C01533">
        <w:t>ember’s</w:t>
      </w:r>
      <w:r w:rsidR="001D57ED">
        <w:t xml:space="preserve"> entitlements </w:t>
      </w:r>
      <w:r w:rsidR="002A366F">
        <w:t>(</w:t>
      </w:r>
      <w:r w:rsidR="001D57ED">
        <w:t>in</w:t>
      </w:r>
      <w:r w:rsidR="00B12186">
        <w:t>cluding facilities and services</w:t>
      </w:r>
      <w:r w:rsidR="002A366F">
        <w:t>)</w:t>
      </w:r>
      <w:r w:rsidR="00B12186">
        <w:t xml:space="preserve"> and</w:t>
      </w:r>
      <w:r w:rsidR="001D57ED">
        <w:t xml:space="preserve"> the operation of Hansard.</w:t>
      </w:r>
      <w:r w:rsidR="00B12186">
        <w:t xml:space="preserve"> It also advises the Speaker on the </w:t>
      </w:r>
      <w:r w:rsidR="002A366F">
        <w:t>b</w:t>
      </w:r>
      <w:r w:rsidR="00B12186">
        <w:t xml:space="preserve">udget for the Assembly. </w:t>
      </w:r>
    </w:p>
    <w:p w:rsidR="00B12186" w:rsidRDefault="001D57ED" w:rsidP="00600F5E">
      <w:pPr>
        <w:pStyle w:val="Bodycopy"/>
      </w:pPr>
      <w:r>
        <w:t>In addition</w:t>
      </w:r>
      <w:r w:rsidR="002A366F">
        <w:t>,</w:t>
      </w:r>
      <w:r>
        <w:t xml:space="preserve"> it rec</w:t>
      </w:r>
      <w:r w:rsidR="00E53A4D">
        <w:t>e</w:t>
      </w:r>
      <w:r>
        <w:t xml:space="preserve">ives reports of the </w:t>
      </w:r>
      <w:r w:rsidR="00E53A4D">
        <w:t xml:space="preserve">Assembly’s Commissioner of Standards (who reports on possible breaches by Members of the Assembly’s Code of Conduct or failures to declare interests) and is required to present reports to the Assembly on the matters raised with the Commissioner. </w:t>
      </w:r>
      <w:r w:rsidR="00A869D9">
        <w:t xml:space="preserve">So </w:t>
      </w:r>
      <w:r w:rsidR="002A366F">
        <w:t xml:space="preserve">far </w:t>
      </w:r>
      <w:r w:rsidR="00A869D9">
        <w:t xml:space="preserve">the </w:t>
      </w:r>
      <w:r w:rsidR="00C13D51">
        <w:t>c</w:t>
      </w:r>
      <w:r w:rsidR="00A869D9">
        <w:t xml:space="preserve">ommittee has had to consider </w:t>
      </w:r>
      <w:r w:rsidR="00C13D51">
        <w:t xml:space="preserve">four </w:t>
      </w:r>
      <w:r w:rsidR="00A869D9">
        <w:t>reports of the Commissioner</w:t>
      </w:r>
      <w:r w:rsidR="006A54D3">
        <w:t xml:space="preserve"> </w:t>
      </w:r>
      <w:r w:rsidR="00C13D51">
        <w:t>in connection with alleged breaches of the code.</w:t>
      </w:r>
      <w:r w:rsidR="00C13D51">
        <w:rPr>
          <w:rStyle w:val="FootnoteReference"/>
        </w:rPr>
        <w:footnoteReference w:id="6"/>
      </w:r>
      <w:r w:rsidR="00C13D51">
        <w:t xml:space="preserve">  </w:t>
      </w:r>
    </w:p>
    <w:p w:rsidR="00B12186" w:rsidRDefault="00C13D51" w:rsidP="00600F5E">
      <w:pPr>
        <w:pStyle w:val="Bodycopy"/>
      </w:pPr>
      <w:r>
        <w:t>In the current Assembly t</w:t>
      </w:r>
      <w:r w:rsidR="002A366F">
        <w:t>o date</w:t>
      </w:r>
      <w:r w:rsidR="006A54D3">
        <w:t>,</w:t>
      </w:r>
      <w:r w:rsidR="00B12186">
        <w:t xml:space="preserve"> the </w:t>
      </w:r>
      <w:r>
        <w:t>c</w:t>
      </w:r>
      <w:r w:rsidR="002A366F">
        <w:t>ommittee</w:t>
      </w:r>
      <w:r w:rsidR="00B12186">
        <w:t xml:space="preserve"> has</w:t>
      </w:r>
      <w:r>
        <w:t xml:space="preserve"> inquired and reported on the following matters:</w:t>
      </w:r>
    </w:p>
    <w:p w:rsidR="00B12186" w:rsidRDefault="00F142F9" w:rsidP="00A374FD">
      <w:pPr>
        <w:pStyle w:val="ListParagraph"/>
        <w:numPr>
          <w:ilvl w:val="0"/>
          <w:numId w:val="15"/>
        </w:numPr>
        <w:ind w:left="1134" w:hanging="567"/>
      </w:pPr>
      <w:r>
        <w:t>Commissioner for Standards referral process</w:t>
      </w:r>
    </w:p>
    <w:p w:rsidR="00F142F9" w:rsidRDefault="00F142F9" w:rsidP="00055F78">
      <w:pPr>
        <w:pStyle w:val="ListParagraph"/>
        <w:numPr>
          <w:ilvl w:val="0"/>
          <w:numId w:val="15"/>
        </w:numPr>
        <w:ind w:left="1124" w:hanging="562"/>
        <w:contextualSpacing w:val="0"/>
      </w:pPr>
      <w:r>
        <w:t>Omnibus Bills</w:t>
      </w:r>
    </w:p>
    <w:p w:rsidR="00F142F9" w:rsidRDefault="00F142F9" w:rsidP="00055F78">
      <w:pPr>
        <w:pStyle w:val="ListParagraph"/>
        <w:numPr>
          <w:ilvl w:val="0"/>
          <w:numId w:val="15"/>
        </w:numPr>
        <w:ind w:left="1124" w:hanging="562"/>
        <w:contextualSpacing w:val="0"/>
      </w:pPr>
      <w:r>
        <w:t>Code of Conduct for All Members of the Legislative Assembly for the Australian Capital Territory—Review</w:t>
      </w:r>
    </w:p>
    <w:p w:rsidR="00A66F6E" w:rsidRDefault="00A66F6E" w:rsidP="00055F78">
      <w:pPr>
        <w:pStyle w:val="ListParagraph"/>
        <w:numPr>
          <w:ilvl w:val="0"/>
          <w:numId w:val="15"/>
        </w:numPr>
        <w:ind w:left="1124" w:hanging="562"/>
        <w:contextualSpacing w:val="0"/>
      </w:pPr>
      <w:r>
        <w:t>Review of Continuing Resolution 9—Senator for the Australian Capital Territory—Procedures for Election</w:t>
      </w:r>
    </w:p>
    <w:p w:rsidR="00A66F6E" w:rsidRDefault="00A66F6E" w:rsidP="00055F78">
      <w:pPr>
        <w:pStyle w:val="ListParagraph"/>
        <w:numPr>
          <w:ilvl w:val="0"/>
          <w:numId w:val="15"/>
        </w:numPr>
        <w:ind w:left="1124" w:hanging="562"/>
        <w:contextualSpacing w:val="0"/>
      </w:pPr>
      <w:r>
        <w:t>Models for Estimates Inquiries</w:t>
      </w:r>
    </w:p>
    <w:p w:rsidR="00A66F6E" w:rsidRDefault="00A66F6E" w:rsidP="00055F78">
      <w:pPr>
        <w:pStyle w:val="ListParagraph"/>
        <w:numPr>
          <w:ilvl w:val="0"/>
          <w:numId w:val="15"/>
        </w:numPr>
        <w:ind w:left="1124" w:hanging="562"/>
        <w:contextualSpacing w:val="0"/>
      </w:pPr>
      <w:r>
        <w:t>Review of standing orders for the Ninth Assembly</w:t>
      </w:r>
    </w:p>
    <w:p w:rsidR="005105F1" w:rsidRDefault="00B12186" w:rsidP="00600F5E">
      <w:pPr>
        <w:pStyle w:val="Bodycopy"/>
      </w:pPr>
      <w:r>
        <w:t xml:space="preserve">At the time of writing this paper, the </w:t>
      </w:r>
      <w:r w:rsidR="00C13D51">
        <w:t>c</w:t>
      </w:r>
      <w:r>
        <w:t xml:space="preserve">ommittee is considering a comprehensive review of all of the Assembly’s 280 standing orders and 19 continuing </w:t>
      </w:r>
      <w:r w:rsidR="00C01533">
        <w:t>resolutions</w:t>
      </w:r>
      <w:r w:rsidR="00B36AA9">
        <w:t xml:space="preserve">, with a view to reporting in August 2018. </w:t>
      </w:r>
      <w:r w:rsidR="00C13D51">
        <w:t xml:space="preserve">It is a requirement under standing orders that such a review </w:t>
      </w:r>
      <w:r w:rsidR="00521CB6">
        <w:t>is</w:t>
      </w:r>
      <w:r w:rsidR="00B36AA9">
        <w:t xml:space="preserve"> undertaken </w:t>
      </w:r>
      <w:r w:rsidR="00C13D51">
        <w:t>in the third year of each Assembly</w:t>
      </w:r>
      <w:r w:rsidR="00521CB6">
        <w:t xml:space="preserve"> term</w:t>
      </w:r>
      <w:r w:rsidR="00C13D51">
        <w:t>.</w:t>
      </w:r>
    </w:p>
    <w:p w:rsidR="009472FB" w:rsidRPr="008B2C94" w:rsidRDefault="005105F1" w:rsidP="00600F5E">
      <w:pPr>
        <w:pStyle w:val="Bodycopy"/>
      </w:pPr>
      <w:r>
        <w:t xml:space="preserve">This is an initiative of the New Zealand Parliament which </w:t>
      </w:r>
      <w:r w:rsidR="00881C91">
        <w:t>the ACT has</w:t>
      </w:r>
      <w:r>
        <w:t xml:space="preserve"> replicated.</w:t>
      </w:r>
      <w:r w:rsidR="00C13D51">
        <w:t xml:space="preserve"> </w:t>
      </w:r>
    </w:p>
    <w:p w:rsidR="005F4DAA" w:rsidRDefault="005F4DAA" w:rsidP="00A374FD">
      <w:pPr>
        <w:pStyle w:val="Heading2"/>
        <w:keepNext w:val="0"/>
      </w:pPr>
      <w:r>
        <w:t xml:space="preserve">Speaker chairs meeting of </w:t>
      </w:r>
      <w:r w:rsidR="00B36AA9">
        <w:t>c</w:t>
      </w:r>
      <w:r>
        <w:t xml:space="preserve">ommittee </w:t>
      </w:r>
      <w:r w:rsidR="00B36AA9">
        <w:t>c</w:t>
      </w:r>
      <w:r>
        <w:t>hairs</w:t>
      </w:r>
    </w:p>
    <w:p w:rsidR="005F4DAA" w:rsidRDefault="005F4DAA" w:rsidP="00600F5E">
      <w:pPr>
        <w:pStyle w:val="Bodycopy"/>
      </w:pPr>
      <w:r>
        <w:t xml:space="preserve">Twice a year the Speaker convenes a meeting of </w:t>
      </w:r>
      <w:r w:rsidR="00832A6D">
        <w:t>c</w:t>
      </w:r>
      <w:r>
        <w:t xml:space="preserve">ommittee </w:t>
      </w:r>
      <w:r w:rsidR="00832A6D">
        <w:t>c</w:t>
      </w:r>
      <w:r>
        <w:t>hairs</w:t>
      </w:r>
      <w:r w:rsidR="00673AF9">
        <w:t xml:space="preserve"> (this was the subject of a paper presented to the 39</w:t>
      </w:r>
      <w:r w:rsidR="00673AF9" w:rsidRPr="00673AF9">
        <w:rPr>
          <w:vertAlign w:val="superscript"/>
        </w:rPr>
        <w:t>th</w:t>
      </w:r>
      <w:r w:rsidR="00673AF9">
        <w:t xml:space="preserve"> Presiding Officers and Clerks Conference in 2008</w:t>
      </w:r>
      <w:r w:rsidR="00521CB6">
        <w:t>—</w:t>
      </w:r>
      <w:r w:rsidR="00673AF9">
        <w:rPr>
          <w:i/>
        </w:rPr>
        <w:t>The Speaker’s meeting of committee chairs)</w:t>
      </w:r>
      <w:r>
        <w:t>. The purpose of the meeting</w:t>
      </w:r>
      <w:r w:rsidR="00673AF9">
        <w:t xml:space="preserve"> is to provide an opportunity for chairs of Assembly </w:t>
      </w:r>
      <w:r w:rsidR="00A72072">
        <w:t>committees</w:t>
      </w:r>
      <w:r w:rsidR="00673AF9">
        <w:t xml:space="preserve"> to discuss the full range of procedural and administrative matters that arise during the course of committee inquiries and other committee business. </w:t>
      </w:r>
    </w:p>
    <w:p w:rsidR="00673AF9" w:rsidRPr="005F4DAA" w:rsidRDefault="00673AF9" w:rsidP="005105F1">
      <w:pPr>
        <w:pStyle w:val="Bodycopy"/>
        <w:keepNext/>
        <w:keepLines/>
      </w:pPr>
      <w:r>
        <w:t xml:space="preserve">The meeting is attended by all Assembly </w:t>
      </w:r>
      <w:r w:rsidR="00832A6D">
        <w:t>c</w:t>
      </w:r>
      <w:r>
        <w:t xml:space="preserve">ommittee chairs (there are currently </w:t>
      </w:r>
      <w:r w:rsidR="00832A6D">
        <w:t>eight</w:t>
      </w:r>
      <w:r>
        <w:t xml:space="preserve"> standing and </w:t>
      </w:r>
      <w:r w:rsidR="00832A6D">
        <w:t>three</w:t>
      </w:r>
      <w:r>
        <w:t xml:space="preserve"> select committees operating) as well as committee secretaries</w:t>
      </w:r>
      <w:r w:rsidR="006A54D3">
        <w:t>.</w:t>
      </w:r>
      <w:r>
        <w:t xml:space="preserve"> </w:t>
      </w:r>
      <w:r w:rsidR="006A54D3">
        <w:t>M</w:t>
      </w:r>
      <w:r>
        <w:t>atters discussed include interaction between committees and ministers</w:t>
      </w:r>
      <w:r w:rsidR="00832A6D">
        <w:t>’</w:t>
      </w:r>
      <w:r>
        <w:t xml:space="preserve"> offices, resources for the operation of committees</w:t>
      </w:r>
      <w:r w:rsidR="00B36AA9">
        <w:t>,</w:t>
      </w:r>
      <w:r>
        <w:t xml:space="preserve"> use of technology</w:t>
      </w:r>
      <w:r w:rsidR="006A54D3">
        <w:t>,</w:t>
      </w:r>
      <w:r>
        <w:t xml:space="preserve"> and promotion of committee work. The meeting provides a useful opportunity for the Speaker to keep abreast of the activities of committees and to assist them in the </w:t>
      </w:r>
      <w:r w:rsidR="00A72072">
        <w:t>important</w:t>
      </w:r>
      <w:r>
        <w:t xml:space="preserve"> work they undertake. </w:t>
      </w:r>
    </w:p>
    <w:p w:rsidR="005F4DAA" w:rsidRDefault="00EB56A5" w:rsidP="00055F78">
      <w:pPr>
        <w:pStyle w:val="Heading2"/>
        <w:keepLines/>
      </w:pPr>
      <w:r>
        <w:t>Speaker a</w:t>
      </w:r>
      <w:r w:rsidR="00521CB6">
        <w:t>ppoint</w:t>
      </w:r>
      <w:r>
        <w:t>s</w:t>
      </w:r>
      <w:r w:rsidR="00521CB6">
        <w:t xml:space="preserve"> officers of the Assembly</w:t>
      </w:r>
    </w:p>
    <w:p w:rsidR="00B36AA9" w:rsidRDefault="00B12186" w:rsidP="00055F78">
      <w:pPr>
        <w:pStyle w:val="Bodycopy"/>
        <w:keepNext/>
        <w:keepLines/>
      </w:pPr>
      <w:r>
        <w:t xml:space="preserve">The </w:t>
      </w:r>
      <w:r>
        <w:rPr>
          <w:i/>
        </w:rPr>
        <w:t xml:space="preserve">Officers of the Assembly Legislation Amendment Act 2013 </w:t>
      </w:r>
      <w:r>
        <w:t xml:space="preserve">had the effect of establishing the Auditor-General, the Ombudsman (currently this role is performed by the </w:t>
      </w:r>
      <w:r w:rsidR="00C01533">
        <w:t>Commonwealth</w:t>
      </w:r>
      <w:r>
        <w:t xml:space="preserve"> Ombudsman but there is scope for the ACT to appoint its own Ombudsman) and the three Elector</w:t>
      </w:r>
      <w:r w:rsidR="005243CD">
        <w:t>al</w:t>
      </w:r>
      <w:r>
        <w:t xml:space="preserve"> Commission </w:t>
      </w:r>
      <w:r w:rsidR="00C01533">
        <w:t>members</w:t>
      </w:r>
      <w:r>
        <w:t xml:space="preserve"> as independent Officers of the Legislative Assembly. In addition</w:t>
      </w:r>
      <w:r w:rsidR="00832A6D">
        <w:t>,</w:t>
      </w:r>
      <w:r>
        <w:t xml:space="preserve"> the Government has flagged </w:t>
      </w:r>
      <w:r w:rsidR="00521CB6">
        <w:t xml:space="preserve">an intention to introduce legislation to establish an integrity commission and there are indications that any commissioner/s would also be an Officer of the Assembly.  </w:t>
      </w:r>
    </w:p>
    <w:p w:rsidR="00B12186" w:rsidRDefault="00B12186" w:rsidP="00600F5E">
      <w:pPr>
        <w:pStyle w:val="Bodycopy"/>
      </w:pPr>
      <w:r>
        <w:t>The Speaker has substantial powers in relation to the Officers of the Legislative Assembly, including:</w:t>
      </w:r>
    </w:p>
    <w:p w:rsidR="00B12186" w:rsidRDefault="00B12186" w:rsidP="00A374FD">
      <w:pPr>
        <w:pStyle w:val="ListParagraph"/>
        <w:numPr>
          <w:ilvl w:val="0"/>
          <w:numId w:val="2"/>
        </w:numPr>
        <w:ind w:left="1134" w:hanging="567"/>
      </w:pPr>
      <w:r>
        <w:t xml:space="preserve">appointing the Auditor-General, </w:t>
      </w:r>
      <w:r w:rsidR="00C01533">
        <w:t>members</w:t>
      </w:r>
      <w:r>
        <w:t xml:space="preserve"> of the </w:t>
      </w:r>
      <w:r w:rsidR="00F41186">
        <w:t>Elector</w:t>
      </w:r>
      <w:r w:rsidR="005243CD">
        <w:t>al</w:t>
      </w:r>
      <w:r w:rsidR="00F41186">
        <w:t xml:space="preserve"> Commission </w:t>
      </w:r>
      <w:r>
        <w:t>and the Electoral C</w:t>
      </w:r>
      <w:r w:rsidR="00F41186">
        <w:t>ommissioner;</w:t>
      </w:r>
      <w:r w:rsidR="00605193">
        <w:rPr>
          <w:rStyle w:val="FootnoteReference"/>
        </w:rPr>
        <w:footnoteReference w:id="7"/>
      </w:r>
    </w:p>
    <w:p w:rsidR="00F41186" w:rsidRDefault="00F41186" w:rsidP="00A374FD">
      <w:pPr>
        <w:pStyle w:val="ListParagraph"/>
        <w:numPr>
          <w:ilvl w:val="0"/>
          <w:numId w:val="2"/>
        </w:numPr>
        <w:ind w:left="1134" w:hanging="567"/>
      </w:pPr>
      <w:r>
        <w:t>appointing an acting Auditor-General, acting Clerk and acting Electoral Commissioner;</w:t>
      </w:r>
    </w:p>
    <w:p w:rsidR="00F41186" w:rsidRDefault="00F41186" w:rsidP="00A374FD">
      <w:pPr>
        <w:pStyle w:val="ListParagraph"/>
        <w:numPr>
          <w:ilvl w:val="0"/>
          <w:numId w:val="2"/>
        </w:numPr>
        <w:ind w:left="1134" w:hanging="567"/>
      </w:pPr>
      <w:r>
        <w:t>suspending and retiring the Auditor-General, the Clerk and the Electoral Commissioner;</w:t>
      </w:r>
    </w:p>
    <w:p w:rsidR="00F41186" w:rsidRDefault="00F41186" w:rsidP="00A374FD">
      <w:pPr>
        <w:pStyle w:val="ListParagraph"/>
        <w:numPr>
          <w:ilvl w:val="0"/>
          <w:numId w:val="2"/>
        </w:numPr>
        <w:ind w:left="1134" w:hanging="567"/>
      </w:pPr>
      <w:r>
        <w:t xml:space="preserve">ending the appointment of the Auditor-General, the Clerk and a member of the Electoral Commissioner (subject to certain actions of the </w:t>
      </w:r>
      <w:r w:rsidR="00B36AA9">
        <w:t>A</w:t>
      </w:r>
      <w:r>
        <w:t>ssembly); and</w:t>
      </w:r>
    </w:p>
    <w:p w:rsidR="00F41186" w:rsidRDefault="00F41186" w:rsidP="00A374FD">
      <w:pPr>
        <w:pStyle w:val="ListParagraph"/>
        <w:numPr>
          <w:ilvl w:val="0"/>
          <w:numId w:val="2"/>
        </w:numPr>
        <w:ind w:left="1134" w:hanging="567"/>
      </w:pPr>
      <w:r>
        <w:t>engaging both a strategic reviewer and an independent auditor of the Auditor-General.</w:t>
      </w:r>
    </w:p>
    <w:p w:rsidR="00FB10A9" w:rsidRDefault="00FB10A9" w:rsidP="00600F5E">
      <w:pPr>
        <w:pStyle w:val="Bodycopy"/>
      </w:pPr>
      <w:r>
        <w:t xml:space="preserve">As part of </w:t>
      </w:r>
      <w:r w:rsidR="00832A6D">
        <w:t xml:space="preserve">the </w:t>
      </w:r>
      <w:r w:rsidR="00C01533">
        <w:t>role</w:t>
      </w:r>
      <w:r>
        <w:t xml:space="preserve"> in relation to these officers</w:t>
      </w:r>
      <w:r w:rsidR="006A54D3">
        <w:t>,</w:t>
      </w:r>
      <w:r>
        <w:t xml:space="preserve"> the Speaker receives </w:t>
      </w:r>
      <w:r w:rsidR="00C01533">
        <w:t>from</w:t>
      </w:r>
      <w:r>
        <w:t xml:space="preserve"> each of them a declaration of </w:t>
      </w:r>
      <w:r w:rsidR="00376E29">
        <w:t xml:space="preserve">their </w:t>
      </w:r>
      <w:r>
        <w:t xml:space="preserve">private interests. </w:t>
      </w:r>
    </w:p>
    <w:p w:rsidR="00F41186" w:rsidRDefault="00F41186" w:rsidP="00600F5E">
      <w:pPr>
        <w:pStyle w:val="Bodycopy"/>
      </w:pPr>
      <w:r>
        <w:t>In exercising these functions</w:t>
      </w:r>
      <w:r w:rsidR="006A54D3">
        <w:t>,</w:t>
      </w:r>
      <w:r>
        <w:t xml:space="preserve"> the Speaker may receive advice from a number of sources, including the Clerk, the Solicitor-General or a private law firm, the Commissioner for Public Administration, the Ethics and Integrity Adviser and others. This advice is usually co-ordinated through the </w:t>
      </w:r>
      <w:r w:rsidR="00C01533">
        <w:t>Office</w:t>
      </w:r>
      <w:r>
        <w:t xml:space="preserve"> of the Clerk. </w:t>
      </w:r>
    </w:p>
    <w:p w:rsidR="00F41186" w:rsidRDefault="00F41186" w:rsidP="00600F5E">
      <w:pPr>
        <w:pStyle w:val="Bodycopy"/>
      </w:pPr>
      <w:r>
        <w:t>In addition</w:t>
      </w:r>
      <w:r w:rsidR="00832A6D">
        <w:t>,</w:t>
      </w:r>
      <w:r>
        <w:t xml:space="preserve"> the Speaker appoints both the Ethics and Integrity Adviser and the </w:t>
      </w:r>
      <w:r w:rsidR="00C01533">
        <w:t>Commissioner</w:t>
      </w:r>
      <w:r>
        <w:t xml:space="preserve"> for Standards. These two positions are established though resolutions of the Assembly, with the Adviser providing confidential advice to MLAs on matters of </w:t>
      </w:r>
      <w:r w:rsidR="00832A6D">
        <w:t>e</w:t>
      </w:r>
      <w:r>
        <w:t xml:space="preserve">thics and </w:t>
      </w:r>
      <w:r w:rsidR="00832A6D">
        <w:t>i</w:t>
      </w:r>
      <w:r>
        <w:t xml:space="preserve">ntegrity, and the Commissioner providing advice on possible breaches of the </w:t>
      </w:r>
      <w:r w:rsidR="00B36AA9">
        <w:t>A</w:t>
      </w:r>
      <w:r>
        <w:t>ssembly’s Code of Conduct for Members.</w:t>
      </w:r>
    </w:p>
    <w:p w:rsidR="008B2C94" w:rsidRDefault="00185350" w:rsidP="00A374FD">
      <w:pPr>
        <w:pStyle w:val="Heading2"/>
        <w:keepNext w:val="0"/>
      </w:pPr>
      <w:r>
        <w:t xml:space="preserve">Speaker </w:t>
      </w:r>
      <w:r w:rsidR="0058464D">
        <w:t>advocates for</w:t>
      </w:r>
      <w:r>
        <w:t xml:space="preserve"> funding, remuneration and accountability </w:t>
      </w:r>
    </w:p>
    <w:p w:rsidR="00F41186" w:rsidRPr="00FB10A9" w:rsidRDefault="00FB10A9" w:rsidP="00600F5E">
      <w:pPr>
        <w:pStyle w:val="Bodycopy"/>
      </w:pPr>
      <w:r>
        <w:t xml:space="preserve">As part of a set of Budget </w:t>
      </w:r>
      <w:r w:rsidR="00C01533">
        <w:t>protocols</w:t>
      </w:r>
      <w:r>
        <w:t xml:space="preserve"> developed between the Exec</w:t>
      </w:r>
      <w:r w:rsidR="00C01533">
        <w:t>ut</w:t>
      </w:r>
      <w:r>
        <w:t xml:space="preserve">ive and the </w:t>
      </w:r>
      <w:r w:rsidR="00832A6D">
        <w:t>l</w:t>
      </w:r>
      <w:r>
        <w:t>egislature, the Speaker and the Clerk appear before Budget Cabinet each financial year. This</w:t>
      </w:r>
      <w:r w:rsidR="00832A6D">
        <w:t xml:space="preserve"> gives</w:t>
      </w:r>
      <w:r>
        <w:t xml:space="preserve"> the Speaker a</w:t>
      </w:r>
      <w:r w:rsidR="00832A6D">
        <w:t>n opportunity</w:t>
      </w:r>
      <w:r>
        <w:t xml:space="preserve"> to provide Budget Cabinet with details </w:t>
      </w:r>
      <w:r w:rsidR="00185350">
        <w:t xml:space="preserve">of </w:t>
      </w:r>
      <w:r>
        <w:t xml:space="preserve">the </w:t>
      </w:r>
      <w:r w:rsidR="00B36AA9">
        <w:t>A</w:t>
      </w:r>
      <w:r>
        <w:t>ssembly’s budget proposals</w:t>
      </w:r>
      <w:r w:rsidR="00185350">
        <w:t xml:space="preserve"> and to advocate on behalf of the legislature</w:t>
      </w:r>
      <w:r>
        <w:t xml:space="preserve">. Under the provisions of the </w:t>
      </w:r>
      <w:r w:rsidRPr="00FB10A9">
        <w:rPr>
          <w:i/>
        </w:rPr>
        <w:t xml:space="preserve">Financial </w:t>
      </w:r>
      <w:r w:rsidR="00C01533" w:rsidRPr="00FB10A9">
        <w:rPr>
          <w:i/>
        </w:rPr>
        <w:t>Management</w:t>
      </w:r>
      <w:r w:rsidRPr="00FB10A9">
        <w:rPr>
          <w:i/>
        </w:rPr>
        <w:t xml:space="preserve"> Act 1996</w:t>
      </w:r>
      <w:r>
        <w:rPr>
          <w:i/>
        </w:rPr>
        <w:t xml:space="preserve">, </w:t>
      </w:r>
      <w:r>
        <w:t>where the Executive include</w:t>
      </w:r>
      <w:r w:rsidR="00185350">
        <w:t>s in the appropriation bill less than the amount requested by the Speaker</w:t>
      </w:r>
      <w:r w:rsidR="006A54D3">
        <w:t>,</w:t>
      </w:r>
      <w:r w:rsidR="00185350">
        <w:t xml:space="preserve"> </w:t>
      </w:r>
      <w:r>
        <w:t xml:space="preserve">the Treasurer is required to table a statement of reasons as to why the amounts requested were not provided. </w:t>
      </w:r>
    </w:p>
    <w:p w:rsidR="008B2C94" w:rsidRDefault="00FB10A9" w:rsidP="005105F1">
      <w:pPr>
        <w:pStyle w:val="Bodycopy"/>
        <w:keepNext/>
        <w:keepLines/>
      </w:pPr>
      <w:r w:rsidRPr="00FB10A9">
        <w:t>Following the tabling of the Office’s appropriation bill</w:t>
      </w:r>
      <w:r w:rsidR="006A54D3">
        <w:t>,</w:t>
      </w:r>
      <w:r w:rsidRPr="00FB10A9">
        <w:t xml:space="preserve"> a select committee on budget estimates is formed</w:t>
      </w:r>
      <w:r w:rsidR="006A54D3">
        <w:t>,</w:t>
      </w:r>
      <w:r w:rsidRPr="00FB10A9">
        <w:t xml:space="preserve"> and the Speaker, along with the Clerk and senior managers of the Office</w:t>
      </w:r>
      <w:r w:rsidR="00C01533" w:rsidRPr="00FB10A9">
        <w:t>,</w:t>
      </w:r>
      <w:r w:rsidRPr="00FB10A9">
        <w:t xml:space="preserve"> appear each year </w:t>
      </w:r>
      <w:r w:rsidR="00A46C96">
        <w:t>to answer questions. Following the presentation of the Office of the Legislative Assembly’s annual report</w:t>
      </w:r>
      <w:r w:rsidR="006A54D3">
        <w:t>,</w:t>
      </w:r>
      <w:r w:rsidR="00A46C96">
        <w:t xml:space="preserve"> the Speaker and relevant officers also appear as part of the Standing Committee on </w:t>
      </w:r>
      <w:r w:rsidR="00B36AA9">
        <w:t>P</w:t>
      </w:r>
      <w:r w:rsidR="00A46C96">
        <w:t>ublic Accounts</w:t>
      </w:r>
      <w:r w:rsidR="00B36AA9">
        <w:t>’</w:t>
      </w:r>
      <w:r w:rsidR="00A46C96">
        <w:t xml:space="preserve"> inquiry into annual reports. Both of </w:t>
      </w:r>
      <w:r w:rsidR="00C01533">
        <w:t>these</w:t>
      </w:r>
      <w:r w:rsidR="00A46C96">
        <w:t xml:space="preserve"> committee processes represent important opportunities for the Speaker and the </w:t>
      </w:r>
      <w:r w:rsidR="00832A6D">
        <w:t>O</w:t>
      </w:r>
      <w:r w:rsidR="00A46C96">
        <w:t xml:space="preserve">ffice to be accountable to the </w:t>
      </w:r>
      <w:r w:rsidR="00B36AA9">
        <w:t>A</w:t>
      </w:r>
      <w:r w:rsidR="00A46C96">
        <w:t xml:space="preserve">ssembly for the expenditure of public funds. </w:t>
      </w:r>
    </w:p>
    <w:p w:rsidR="006D75F4" w:rsidRDefault="006D75F4" w:rsidP="00600F5E">
      <w:pPr>
        <w:pStyle w:val="Bodycopy"/>
      </w:pPr>
      <w:r>
        <w:t xml:space="preserve">Under the </w:t>
      </w:r>
      <w:r>
        <w:rPr>
          <w:i/>
        </w:rPr>
        <w:t>Remuneration Tribunal Act 1995</w:t>
      </w:r>
      <w:r w:rsidR="00832A6D">
        <w:t>,</w:t>
      </w:r>
      <w:r>
        <w:rPr>
          <w:i/>
        </w:rPr>
        <w:t xml:space="preserve"> </w:t>
      </w:r>
      <w:r>
        <w:t xml:space="preserve">the Remuneration Tribunal for the Territory must inquire into and determine remuneration, allowances and other entitlements to be granted to particular offices set out in the Act every year. These offices include the Speaker, Chief Minister, </w:t>
      </w:r>
      <w:r w:rsidR="00605193">
        <w:t>m</w:t>
      </w:r>
      <w:r>
        <w:t xml:space="preserve">inisters and other </w:t>
      </w:r>
      <w:r w:rsidR="00A72072">
        <w:t>Members</w:t>
      </w:r>
      <w:r>
        <w:t xml:space="preserve"> of the Legislative Assembly, and the Clerk of the Legislative Assembly. </w:t>
      </w:r>
    </w:p>
    <w:p w:rsidR="006D75F4" w:rsidRPr="006D75F4" w:rsidRDefault="006D75F4" w:rsidP="00600F5E">
      <w:pPr>
        <w:pStyle w:val="Bodycopy"/>
      </w:pPr>
      <w:r>
        <w:t xml:space="preserve">As part of its annual review, it has become practice for the Speaker and Clerk to appear before the Tribunal to discuss </w:t>
      </w:r>
      <w:r w:rsidR="00832A6D">
        <w:t>issues</w:t>
      </w:r>
      <w:r>
        <w:t xml:space="preserve"> in relation to the matters being reviewed. It is not uncommon for the Speaker to make a submission to the Tribunal to outline </w:t>
      </w:r>
      <w:r w:rsidR="00A72072">
        <w:t>issues</w:t>
      </w:r>
      <w:r>
        <w:t xml:space="preserve"> that have arisen in relation to Members</w:t>
      </w:r>
      <w:r w:rsidR="00605193">
        <w:t>’</w:t>
      </w:r>
      <w:r>
        <w:t xml:space="preserve"> entitlements. </w:t>
      </w:r>
    </w:p>
    <w:p w:rsidR="008B2C94" w:rsidRDefault="008B2C94" w:rsidP="00A374FD">
      <w:pPr>
        <w:pStyle w:val="Heading2"/>
        <w:keepNext w:val="0"/>
      </w:pPr>
      <w:r>
        <w:t>Speaker presents petitions, introduces legislation and (occasionally) participates in debate</w:t>
      </w:r>
    </w:p>
    <w:p w:rsidR="008B2C94" w:rsidRDefault="006A54D3" w:rsidP="00600F5E">
      <w:pPr>
        <w:pStyle w:val="Bodycopy"/>
      </w:pPr>
      <w:r>
        <w:t>I</w:t>
      </w:r>
      <w:r w:rsidR="002F4984">
        <w:t>n the House of Commons</w:t>
      </w:r>
      <w:r>
        <w:t>,</w:t>
      </w:r>
      <w:r w:rsidR="00A46C96">
        <w:t xml:space="preserve"> </w:t>
      </w:r>
      <w:r w:rsidR="002F4984">
        <w:t>the</w:t>
      </w:r>
      <w:r w:rsidR="00A46C96">
        <w:t xml:space="preserve"> Speaker, once elected, leaves party political activities behind and</w:t>
      </w:r>
      <w:r>
        <w:t>,</w:t>
      </w:r>
      <w:r w:rsidR="00A46C96">
        <w:t xml:space="preserve"> </w:t>
      </w:r>
      <w:r>
        <w:t xml:space="preserve">according to </w:t>
      </w:r>
      <w:r w:rsidR="00A46C96">
        <w:t>convention</w:t>
      </w:r>
      <w:r>
        <w:t>,</w:t>
      </w:r>
      <w:r w:rsidR="00A46C96">
        <w:t xml:space="preserve"> faces future </w:t>
      </w:r>
      <w:r w:rsidR="00C01533">
        <w:t>elections</w:t>
      </w:r>
      <w:r w:rsidR="00A46C96">
        <w:t xml:space="preserve"> uncontested</w:t>
      </w:r>
      <w:r w:rsidR="00EB56A5">
        <w:t>. In contrast</w:t>
      </w:r>
      <w:r w:rsidR="00A46C96">
        <w:t>, in Australia</w:t>
      </w:r>
      <w:r w:rsidR="00EB56A5">
        <w:t>,</w:t>
      </w:r>
      <w:r w:rsidR="00A46C96">
        <w:t xml:space="preserve"> Speaker</w:t>
      </w:r>
      <w:r w:rsidR="00B36AA9">
        <w:t>s</w:t>
      </w:r>
      <w:r w:rsidR="00A46C96">
        <w:t xml:space="preserve"> </w:t>
      </w:r>
      <w:r w:rsidR="00C01533">
        <w:t>remain</w:t>
      </w:r>
      <w:r w:rsidR="00A46C96">
        <w:t xml:space="preserve"> party </w:t>
      </w:r>
      <w:r w:rsidR="00C01533">
        <w:t>members</w:t>
      </w:r>
      <w:r w:rsidR="00B36AA9">
        <w:t xml:space="preserve"> (or independents)</w:t>
      </w:r>
      <w:r w:rsidR="00A46C96">
        <w:t xml:space="preserve"> and have to recontest elections if they wish to remain a </w:t>
      </w:r>
      <w:r w:rsidR="00B36AA9">
        <w:t>M</w:t>
      </w:r>
      <w:r w:rsidR="00A46C96">
        <w:t xml:space="preserve">ember of parliament. In the ACT this means that some activities of a </w:t>
      </w:r>
      <w:r w:rsidR="00B36AA9">
        <w:t>M</w:t>
      </w:r>
      <w:r w:rsidR="00A46C96">
        <w:t xml:space="preserve">ember continue notwithstanding the </w:t>
      </w:r>
      <w:r w:rsidR="00605193">
        <w:t>M</w:t>
      </w:r>
      <w:r w:rsidR="00A46C96">
        <w:t xml:space="preserve">ember may be Speaker. Although not common, </w:t>
      </w:r>
      <w:r w:rsidR="00C01533">
        <w:t>several</w:t>
      </w:r>
      <w:r w:rsidR="00A46C96">
        <w:t xml:space="preserve"> Speakers have presented petitions to the </w:t>
      </w:r>
      <w:r w:rsidR="00B36AA9">
        <w:t>A</w:t>
      </w:r>
      <w:r w:rsidR="00A46C96">
        <w:t xml:space="preserve">ssembly, recognising that they are still expected to represent their constituents. </w:t>
      </w:r>
    </w:p>
    <w:p w:rsidR="00A46C96" w:rsidRDefault="00A46C96" w:rsidP="00055F78">
      <w:pPr>
        <w:pStyle w:val="Bodycopy"/>
        <w:spacing w:before="240"/>
      </w:pPr>
      <w:r>
        <w:t>Similarly</w:t>
      </w:r>
      <w:r w:rsidR="00EB56A5">
        <w:t>,</w:t>
      </w:r>
      <w:r>
        <w:t xml:space="preserve"> some occupants of the position have chosen to present legislation, although the majority of </w:t>
      </w:r>
      <w:r w:rsidR="002F4984">
        <w:t xml:space="preserve">bills have </w:t>
      </w:r>
      <w:r w:rsidR="00BF2B8F">
        <w:t>related to</w:t>
      </w:r>
      <w:r>
        <w:t xml:space="preserve"> the function of the </w:t>
      </w:r>
      <w:r w:rsidR="00C01533">
        <w:t>Assembly</w:t>
      </w:r>
      <w:r w:rsidR="00EB56A5">
        <w:t xml:space="preserve"> (T</w:t>
      </w:r>
      <w:r w:rsidR="00BF2B8F">
        <w:t>able</w:t>
      </w:r>
      <w:r w:rsidR="00EB56A5">
        <w:t xml:space="preserve"> 3)</w:t>
      </w:r>
      <w:r w:rsidR="00BF2B8F">
        <w:t>.</w:t>
      </w:r>
    </w:p>
    <w:p w:rsidR="00EB56A5" w:rsidRDefault="00EB56A5" w:rsidP="00F26B10">
      <w:pPr>
        <w:pStyle w:val="TableTitle"/>
      </w:pPr>
      <w:r>
        <w:t xml:space="preserve">Table 3: </w:t>
      </w:r>
      <w:r w:rsidR="005105F1">
        <w:t>Bills presented by Speakers relating to administration of the legislature</w:t>
      </w:r>
    </w:p>
    <w:tbl>
      <w:tblPr>
        <w:tblStyle w:val="TableColumns3"/>
        <w:tblW w:w="0" w:type="auto"/>
        <w:tblLook w:val="04A0" w:firstRow="1" w:lastRow="0" w:firstColumn="1" w:lastColumn="0" w:noHBand="0" w:noVBand="1"/>
      </w:tblPr>
      <w:tblGrid>
        <w:gridCol w:w="1278"/>
        <w:gridCol w:w="4288"/>
        <w:gridCol w:w="1472"/>
        <w:gridCol w:w="1980"/>
      </w:tblGrid>
      <w:tr w:rsidR="00BF2B8F" w:rsidRPr="00EC650C" w:rsidTr="00EC65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shd w:val="clear" w:color="auto" w:fill="F2F2F2" w:themeFill="background1" w:themeFillShade="F2"/>
          </w:tcPr>
          <w:p w:rsidR="00BF2B8F" w:rsidRPr="00EC650C" w:rsidRDefault="0032291F" w:rsidP="00600F5E">
            <w:pPr>
              <w:pStyle w:val="TableHeading"/>
              <w:rPr>
                <w:color w:val="auto"/>
              </w:rPr>
            </w:pPr>
            <w:r w:rsidRPr="0032291F">
              <w:rPr>
                <w:color w:val="auto"/>
              </w:rPr>
              <w:t>Asse</w:t>
            </w:r>
            <w:bookmarkStart w:id="3" w:name="ColumnTitle3"/>
            <w:bookmarkEnd w:id="3"/>
            <w:r w:rsidRPr="0032291F">
              <w:rPr>
                <w:color w:val="auto"/>
              </w:rPr>
              <w:t>mbly</w:t>
            </w:r>
          </w:p>
        </w:tc>
        <w:tc>
          <w:tcPr>
            <w:tcW w:w="4288" w:type="dxa"/>
            <w:tcBorders>
              <w:bottom w:val="single" w:sz="4" w:space="0" w:color="auto"/>
            </w:tcBorders>
            <w:shd w:val="clear" w:color="auto" w:fill="F2F2F2" w:themeFill="background1" w:themeFillShade="F2"/>
          </w:tcPr>
          <w:p w:rsidR="00BF2B8F" w:rsidRPr="00EC650C" w:rsidRDefault="0032291F" w:rsidP="00600F5E">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32291F">
              <w:rPr>
                <w:color w:val="auto"/>
              </w:rPr>
              <w:t>Bill Name</w:t>
            </w:r>
          </w:p>
        </w:tc>
        <w:tc>
          <w:tcPr>
            <w:tcW w:w="1472" w:type="dxa"/>
            <w:tcBorders>
              <w:bottom w:val="single" w:sz="4" w:space="0" w:color="auto"/>
            </w:tcBorders>
            <w:shd w:val="clear" w:color="auto" w:fill="F2F2F2" w:themeFill="background1" w:themeFillShade="F2"/>
          </w:tcPr>
          <w:p w:rsidR="00BF2B8F" w:rsidRPr="00EC650C" w:rsidRDefault="0032291F" w:rsidP="00600F5E">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32291F">
              <w:rPr>
                <w:color w:val="auto"/>
              </w:rPr>
              <w:t>Act No</w:t>
            </w:r>
          </w:p>
        </w:tc>
        <w:tc>
          <w:tcPr>
            <w:tcW w:w="1980" w:type="dxa"/>
            <w:tcBorders>
              <w:bottom w:val="single" w:sz="4" w:space="0" w:color="auto"/>
            </w:tcBorders>
            <w:shd w:val="clear" w:color="auto" w:fill="F2F2F2" w:themeFill="background1" w:themeFillShade="F2"/>
          </w:tcPr>
          <w:p w:rsidR="00BF2B8F" w:rsidRPr="00EC650C" w:rsidRDefault="0032291F" w:rsidP="00600F5E">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32291F">
              <w:rPr>
                <w:color w:val="auto"/>
              </w:rPr>
              <w:t>Introduced by</w:t>
            </w:r>
          </w:p>
        </w:tc>
      </w:tr>
      <w:tr w:rsidR="00BF2B8F" w:rsidRPr="008561EF" w:rsidTr="00BB4152">
        <w:trPr>
          <w:trHeight w:val="91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rsidR="00BF2B8F" w:rsidRDefault="00BF2B8F" w:rsidP="00600F5E">
            <w:pPr>
              <w:pStyle w:val="TableText"/>
              <w:rPr>
                <w:sz w:val="24"/>
                <w:szCs w:val="24"/>
              </w:rPr>
            </w:pPr>
            <w:r>
              <w:t>Fifth</w:t>
            </w:r>
          </w:p>
        </w:tc>
        <w:tc>
          <w:tcPr>
            <w:tcW w:w="4288" w:type="dxa"/>
            <w:tcBorders>
              <w:top w:val="single" w:sz="4" w:space="0" w:color="auto"/>
              <w:left w:val="single" w:sz="4" w:space="0" w:color="auto"/>
              <w:bottom w:val="single" w:sz="4" w:space="0" w:color="auto"/>
              <w:right w:val="single" w:sz="4" w:space="0" w:color="auto"/>
            </w:tcBorders>
          </w:tcPr>
          <w:p w:rsidR="00BF2B8F" w:rsidRPr="005105F1" w:rsidRDefault="00BF2B8F" w:rsidP="00F26B10">
            <w:pPr>
              <w:pStyle w:val="Bodycopy"/>
              <w:jc w:val="left"/>
              <w:cnfStyle w:val="000000000000" w:firstRow="0" w:lastRow="0" w:firstColumn="0" w:lastColumn="0" w:oddVBand="0" w:evenVBand="0" w:oddHBand="0" w:evenHBand="0" w:firstRowFirstColumn="0" w:firstRowLastColumn="0" w:lastRowFirstColumn="0" w:lastRowLastColumn="0"/>
              <w:rPr>
                <w:b w:val="0"/>
                <w:bCs w:val="0"/>
              </w:rPr>
            </w:pPr>
            <w:r w:rsidRPr="005105F1">
              <w:rPr>
                <w:b w:val="0"/>
              </w:rPr>
              <w:t>Legislative Assembly (Broadcasting) Amendment 2002</w:t>
            </w:r>
          </w:p>
        </w:tc>
        <w:tc>
          <w:tcPr>
            <w:tcW w:w="1472"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A2002-52</w:t>
            </w:r>
          </w:p>
        </w:tc>
        <w:tc>
          <w:tcPr>
            <w:tcW w:w="1980"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Speaker Berry</w:t>
            </w:r>
          </w:p>
        </w:tc>
      </w:tr>
      <w:tr w:rsidR="00BF2B8F" w:rsidRPr="008561EF" w:rsidTr="00BB4152">
        <w:trPr>
          <w:trHeight w:val="13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rsidR="00BF2B8F" w:rsidRDefault="00BB4152" w:rsidP="00600F5E">
            <w:pPr>
              <w:pStyle w:val="TableText"/>
            </w:pPr>
            <w:r>
              <w:t>Fifth</w:t>
            </w:r>
          </w:p>
        </w:tc>
        <w:tc>
          <w:tcPr>
            <w:tcW w:w="4288" w:type="dxa"/>
            <w:tcBorders>
              <w:top w:val="single" w:sz="4" w:space="0" w:color="auto"/>
              <w:left w:val="single" w:sz="4" w:space="0" w:color="auto"/>
              <w:bottom w:val="single" w:sz="4" w:space="0" w:color="auto"/>
              <w:right w:val="single" w:sz="4" w:space="0" w:color="auto"/>
            </w:tcBorders>
          </w:tcPr>
          <w:p w:rsidR="00BF2B8F" w:rsidRPr="005105F1" w:rsidRDefault="00BF2B8F" w:rsidP="00F26B10">
            <w:pPr>
              <w:pStyle w:val="Bodycopy"/>
              <w:jc w:val="left"/>
              <w:cnfStyle w:val="000000000000" w:firstRow="0" w:lastRow="0" w:firstColumn="0" w:lastColumn="0" w:oddVBand="0" w:evenVBand="0" w:oddHBand="0" w:evenHBand="0" w:firstRowFirstColumn="0" w:firstRowLastColumn="0" w:lastRowFirstColumn="0" w:lastRowLastColumn="0"/>
              <w:rPr>
                <w:b w:val="0"/>
              </w:rPr>
            </w:pPr>
            <w:r w:rsidRPr="005105F1">
              <w:rPr>
                <w:b w:val="0"/>
              </w:rPr>
              <w:t>Legislative Assembly Precincts Amendment 2002</w:t>
            </w:r>
          </w:p>
        </w:tc>
        <w:tc>
          <w:tcPr>
            <w:tcW w:w="1472"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A2002-53</w:t>
            </w:r>
          </w:p>
        </w:tc>
        <w:tc>
          <w:tcPr>
            <w:tcW w:w="1980"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Speaker Berry</w:t>
            </w:r>
          </w:p>
        </w:tc>
      </w:tr>
      <w:tr w:rsidR="00BF2B8F" w:rsidRPr="008561EF" w:rsidTr="00BF2B8F">
        <w:trPr>
          <w:trHeight w:val="37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right w:val="single" w:sz="4" w:space="0" w:color="auto"/>
            </w:tcBorders>
          </w:tcPr>
          <w:p w:rsidR="00BF2B8F" w:rsidRDefault="00BF2B8F" w:rsidP="00600F5E">
            <w:pPr>
              <w:pStyle w:val="TableText"/>
              <w:rPr>
                <w:sz w:val="24"/>
                <w:szCs w:val="24"/>
              </w:rPr>
            </w:pPr>
            <w:r>
              <w:t>Sixth</w:t>
            </w:r>
          </w:p>
        </w:tc>
        <w:tc>
          <w:tcPr>
            <w:tcW w:w="4288" w:type="dxa"/>
            <w:tcBorders>
              <w:top w:val="single" w:sz="4" w:space="0" w:color="auto"/>
              <w:left w:val="single" w:sz="4" w:space="0" w:color="auto"/>
              <w:bottom w:val="single" w:sz="4" w:space="0" w:color="auto"/>
              <w:right w:val="single" w:sz="4" w:space="0" w:color="auto"/>
            </w:tcBorders>
          </w:tcPr>
          <w:p w:rsidR="00BF2B8F" w:rsidRPr="005105F1" w:rsidRDefault="00BF2B8F" w:rsidP="00F26B10">
            <w:pPr>
              <w:pStyle w:val="Bodycopy"/>
              <w:jc w:val="left"/>
              <w:cnfStyle w:val="000000000000" w:firstRow="0" w:lastRow="0" w:firstColumn="0" w:lastColumn="0" w:oddVBand="0" w:evenVBand="0" w:oddHBand="0" w:evenHBand="0" w:firstRowFirstColumn="0" w:firstRowLastColumn="0" w:lastRowFirstColumn="0" w:lastRowLastColumn="0"/>
              <w:rPr>
                <w:b w:val="0"/>
              </w:rPr>
            </w:pPr>
            <w:r w:rsidRPr="005105F1">
              <w:rPr>
                <w:b w:val="0"/>
              </w:rPr>
              <w:t>Public Sector Management Amendment 2005 (No 2)</w:t>
            </w:r>
          </w:p>
        </w:tc>
        <w:tc>
          <w:tcPr>
            <w:tcW w:w="1472"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bCs w:val="0"/>
              </w:rPr>
            </w:pPr>
            <w:r w:rsidRPr="005105F1">
              <w:rPr>
                <w:b w:val="0"/>
              </w:rPr>
              <w:t>A2005-42</w:t>
            </w:r>
          </w:p>
        </w:tc>
        <w:tc>
          <w:tcPr>
            <w:tcW w:w="1980"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Speaker Berry</w:t>
            </w:r>
          </w:p>
        </w:tc>
      </w:tr>
      <w:tr w:rsidR="00BF2B8F" w:rsidRPr="008561EF" w:rsidTr="00BB4152">
        <w:trPr>
          <w:trHeight w:val="12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rsidR="00BF2B8F" w:rsidRDefault="00BB4152" w:rsidP="00600F5E">
            <w:pPr>
              <w:pStyle w:val="TableText"/>
            </w:pPr>
            <w:r>
              <w:t>Sixth</w:t>
            </w:r>
          </w:p>
        </w:tc>
        <w:tc>
          <w:tcPr>
            <w:tcW w:w="4288" w:type="dxa"/>
            <w:tcBorders>
              <w:top w:val="single" w:sz="4" w:space="0" w:color="auto"/>
              <w:left w:val="single" w:sz="4" w:space="0" w:color="auto"/>
              <w:bottom w:val="single" w:sz="4" w:space="0" w:color="auto"/>
              <w:right w:val="single" w:sz="4" w:space="0" w:color="auto"/>
            </w:tcBorders>
          </w:tcPr>
          <w:p w:rsidR="00BF2B8F" w:rsidRPr="005105F1" w:rsidRDefault="00BF2B8F" w:rsidP="00F26B10">
            <w:pPr>
              <w:pStyle w:val="Bodycopy"/>
              <w:jc w:val="left"/>
              <w:cnfStyle w:val="000000000000" w:firstRow="0" w:lastRow="0" w:firstColumn="0" w:lastColumn="0" w:oddVBand="0" w:evenVBand="0" w:oddHBand="0" w:evenHBand="0" w:firstRowFirstColumn="0" w:firstRowLastColumn="0" w:lastRowFirstColumn="0" w:lastRowLastColumn="0"/>
              <w:rPr>
                <w:b w:val="0"/>
              </w:rPr>
            </w:pPr>
            <w:r w:rsidRPr="005105F1">
              <w:rPr>
                <w:b w:val="0"/>
              </w:rPr>
              <w:t>Legislative Assembly Precincts Amendment 2006</w:t>
            </w:r>
          </w:p>
        </w:tc>
        <w:tc>
          <w:tcPr>
            <w:tcW w:w="1472"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A2006-20</w:t>
            </w:r>
          </w:p>
        </w:tc>
        <w:tc>
          <w:tcPr>
            <w:tcW w:w="1980"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Speaker Berry</w:t>
            </w:r>
          </w:p>
        </w:tc>
      </w:tr>
      <w:tr w:rsidR="00BF2B8F" w:rsidRPr="008561EF" w:rsidTr="00BB4152">
        <w:trPr>
          <w:trHeight w:val="12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rsidR="00BF2B8F" w:rsidRDefault="00BB4152" w:rsidP="00600F5E">
            <w:pPr>
              <w:pStyle w:val="TableText"/>
            </w:pPr>
            <w:r>
              <w:t>Sixth</w:t>
            </w:r>
          </w:p>
        </w:tc>
        <w:tc>
          <w:tcPr>
            <w:tcW w:w="4288" w:type="dxa"/>
            <w:tcBorders>
              <w:top w:val="single" w:sz="4" w:space="0" w:color="auto"/>
              <w:left w:val="single" w:sz="4" w:space="0" w:color="auto"/>
              <w:bottom w:val="single" w:sz="4" w:space="0" w:color="auto"/>
              <w:right w:val="single" w:sz="4" w:space="0" w:color="auto"/>
            </w:tcBorders>
          </w:tcPr>
          <w:p w:rsidR="00BF2B8F" w:rsidRPr="005105F1" w:rsidRDefault="00BF2B8F" w:rsidP="00F26B10">
            <w:pPr>
              <w:pStyle w:val="Bodycopy"/>
              <w:jc w:val="left"/>
              <w:cnfStyle w:val="000000000000" w:firstRow="0" w:lastRow="0" w:firstColumn="0" w:lastColumn="0" w:oddVBand="0" w:evenVBand="0" w:oddHBand="0" w:evenHBand="0" w:firstRowFirstColumn="0" w:firstRowLastColumn="0" w:lastRowFirstColumn="0" w:lastRowLastColumn="0"/>
              <w:rPr>
                <w:b w:val="0"/>
              </w:rPr>
            </w:pPr>
            <w:r w:rsidRPr="005105F1">
              <w:rPr>
                <w:b w:val="0"/>
              </w:rPr>
              <w:t>Legislative Assembly (Members’ Staff) Amendment 2008</w:t>
            </w:r>
          </w:p>
        </w:tc>
        <w:tc>
          <w:tcPr>
            <w:tcW w:w="1472"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A2008-38</w:t>
            </w:r>
          </w:p>
        </w:tc>
        <w:tc>
          <w:tcPr>
            <w:tcW w:w="1980" w:type="dxa"/>
            <w:tcBorders>
              <w:top w:val="single" w:sz="4" w:space="0" w:color="auto"/>
              <w:left w:val="single" w:sz="4" w:space="0" w:color="auto"/>
              <w:bottom w:val="single" w:sz="4" w:space="0" w:color="auto"/>
              <w:right w:val="single" w:sz="4" w:space="0" w:color="auto"/>
            </w:tcBorders>
          </w:tcPr>
          <w:p w:rsidR="00BF2B8F" w:rsidRPr="005105F1" w:rsidRDefault="00BF2B8F"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Speaker Berry</w:t>
            </w:r>
          </w:p>
        </w:tc>
      </w:tr>
      <w:tr w:rsidR="00BF2B8F" w:rsidRPr="008561EF" w:rsidTr="006034C3">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rsidR="00BF2B8F" w:rsidRDefault="00BF2B8F" w:rsidP="00600F5E">
            <w:pPr>
              <w:pStyle w:val="TableText"/>
              <w:rPr>
                <w:sz w:val="24"/>
                <w:szCs w:val="24"/>
              </w:rPr>
            </w:pPr>
            <w:r>
              <w:t>Seventh</w:t>
            </w:r>
          </w:p>
        </w:tc>
        <w:tc>
          <w:tcPr>
            <w:tcW w:w="4288" w:type="dxa"/>
            <w:tcBorders>
              <w:top w:val="single" w:sz="4" w:space="0" w:color="auto"/>
              <w:left w:val="single" w:sz="4" w:space="0" w:color="auto"/>
              <w:bottom w:val="single" w:sz="4" w:space="0" w:color="auto"/>
              <w:right w:val="single" w:sz="4" w:space="0" w:color="auto"/>
            </w:tcBorders>
          </w:tcPr>
          <w:p w:rsidR="00BF2B8F" w:rsidRPr="005105F1" w:rsidRDefault="006034C3" w:rsidP="00F26B10">
            <w:pPr>
              <w:pStyle w:val="TableText"/>
              <w:jc w:val="left"/>
              <w:cnfStyle w:val="000000000000" w:firstRow="0" w:lastRow="0" w:firstColumn="0" w:lastColumn="0" w:oddVBand="0" w:evenVBand="0" w:oddHBand="0" w:evenHBand="0" w:firstRowFirstColumn="0" w:firstRowLastColumn="0" w:lastRowFirstColumn="0" w:lastRowLastColumn="0"/>
              <w:rPr>
                <w:b w:val="0"/>
                <w:bCs w:val="0"/>
              </w:rPr>
            </w:pPr>
            <w:r w:rsidRPr="005105F1">
              <w:rPr>
                <w:b w:val="0"/>
              </w:rPr>
              <w:t>Legislative Assembly (Office of the Legislative Assembly) 2012</w:t>
            </w:r>
            <w:r w:rsidR="00BB6749" w:rsidRPr="005105F1">
              <w:rPr>
                <w:rStyle w:val="FootnoteReference"/>
                <w:b w:val="0"/>
              </w:rPr>
              <w:footnoteReference w:id="8"/>
            </w:r>
          </w:p>
        </w:tc>
        <w:tc>
          <w:tcPr>
            <w:tcW w:w="1472" w:type="dxa"/>
            <w:tcBorders>
              <w:top w:val="single" w:sz="4" w:space="0" w:color="auto"/>
              <w:left w:val="single" w:sz="4" w:space="0" w:color="auto"/>
              <w:bottom w:val="single" w:sz="4" w:space="0" w:color="auto"/>
              <w:right w:val="single" w:sz="4" w:space="0" w:color="auto"/>
            </w:tcBorders>
          </w:tcPr>
          <w:p w:rsidR="00BF2B8F" w:rsidRPr="005105F1" w:rsidRDefault="006034C3" w:rsidP="00600F5E">
            <w:pPr>
              <w:pStyle w:val="TableText"/>
              <w:cnfStyle w:val="000000000000" w:firstRow="0" w:lastRow="0" w:firstColumn="0" w:lastColumn="0" w:oddVBand="0" w:evenVBand="0" w:oddHBand="0" w:evenHBand="0" w:firstRowFirstColumn="0" w:firstRowLastColumn="0" w:lastRowFirstColumn="0" w:lastRowLastColumn="0"/>
              <w:rPr>
                <w:b w:val="0"/>
                <w:bCs w:val="0"/>
              </w:rPr>
            </w:pPr>
            <w:r w:rsidRPr="005105F1">
              <w:rPr>
                <w:b w:val="0"/>
              </w:rPr>
              <w:t>A2012-26</w:t>
            </w:r>
          </w:p>
        </w:tc>
        <w:tc>
          <w:tcPr>
            <w:tcW w:w="1980" w:type="dxa"/>
            <w:tcBorders>
              <w:top w:val="single" w:sz="4" w:space="0" w:color="auto"/>
              <w:left w:val="single" w:sz="4" w:space="0" w:color="auto"/>
              <w:bottom w:val="single" w:sz="4" w:space="0" w:color="auto"/>
              <w:right w:val="single" w:sz="4" w:space="0" w:color="auto"/>
            </w:tcBorders>
          </w:tcPr>
          <w:p w:rsidR="00BF2B8F" w:rsidRPr="005105F1" w:rsidRDefault="006034C3" w:rsidP="00600F5E">
            <w:pPr>
              <w:pStyle w:val="TableText"/>
              <w:cnfStyle w:val="000000000000" w:firstRow="0" w:lastRow="0" w:firstColumn="0" w:lastColumn="0" w:oddVBand="0" w:evenVBand="0" w:oddHBand="0" w:evenHBand="0" w:firstRowFirstColumn="0" w:firstRowLastColumn="0" w:lastRowFirstColumn="0" w:lastRowLastColumn="0"/>
              <w:rPr>
                <w:b w:val="0"/>
              </w:rPr>
            </w:pPr>
            <w:r w:rsidRPr="005105F1">
              <w:rPr>
                <w:b w:val="0"/>
              </w:rPr>
              <w:t>Speaker Rattenbury</w:t>
            </w:r>
          </w:p>
        </w:tc>
      </w:tr>
    </w:tbl>
    <w:p w:rsidR="008B2C94" w:rsidRDefault="008B2C94" w:rsidP="00A374FD">
      <w:pPr>
        <w:pStyle w:val="Heading2"/>
        <w:keepNext w:val="0"/>
      </w:pPr>
      <w:r>
        <w:t>Speaker</w:t>
      </w:r>
      <w:r w:rsidR="00EB56A5">
        <w:t xml:space="preserve"> hosts</w:t>
      </w:r>
      <w:r>
        <w:t xml:space="preserve"> citizenship functions</w:t>
      </w:r>
    </w:p>
    <w:p w:rsidR="00294A34" w:rsidRDefault="00294A34" w:rsidP="00600F5E">
      <w:pPr>
        <w:pStyle w:val="Bodycopy"/>
      </w:pPr>
      <w:r>
        <w:t>In the Sixth Assembly</w:t>
      </w:r>
      <w:r w:rsidR="00EB56A5">
        <w:t>,</w:t>
      </w:r>
      <w:r>
        <w:t xml:space="preserve"> Speaker Wayne Berry introduced a practice of inviting </w:t>
      </w:r>
      <w:r w:rsidR="00EB56A5">
        <w:t>Canberrans</w:t>
      </w:r>
      <w:r>
        <w:t xml:space="preserve"> </w:t>
      </w:r>
      <w:r w:rsidR="00EB56A5">
        <w:t xml:space="preserve">who </w:t>
      </w:r>
      <w:r>
        <w:t xml:space="preserve">had recently </w:t>
      </w:r>
      <w:r w:rsidR="00A72072">
        <w:t>received</w:t>
      </w:r>
      <w:r>
        <w:t xml:space="preserve"> Australian citizenship, along with their families, to attend a function at the Legislative Assembly </w:t>
      </w:r>
      <w:r w:rsidR="00EB56A5">
        <w:t xml:space="preserve">comprising </w:t>
      </w:r>
      <w:r>
        <w:t xml:space="preserve">light refreshments, a tour of the Assembly building and a question and answer session with MLAs and the Speaker. </w:t>
      </w:r>
    </w:p>
    <w:p w:rsidR="008B2C94" w:rsidRDefault="00294A34" w:rsidP="00055F78">
      <w:pPr>
        <w:pStyle w:val="Bodycopy"/>
        <w:keepLines/>
      </w:pPr>
      <w:r>
        <w:t xml:space="preserve">These events are held up to four times a year and </w:t>
      </w:r>
      <w:r w:rsidR="00EB56A5">
        <w:t>introduce</w:t>
      </w:r>
      <w:r w:rsidR="00B36AA9">
        <w:t xml:space="preserve"> </w:t>
      </w:r>
      <w:r>
        <w:t xml:space="preserve">new citizens </w:t>
      </w:r>
      <w:r w:rsidR="005F4DAA">
        <w:t>to the workings of the Legis</w:t>
      </w:r>
      <w:r>
        <w:t>lative Assembly. Last financial year</w:t>
      </w:r>
      <w:r w:rsidR="00EB56A5">
        <w:t>,</w:t>
      </w:r>
      <w:r>
        <w:t xml:space="preserve"> 183 new citizens participated in these events.</w:t>
      </w:r>
    </w:p>
    <w:p w:rsidR="009D5F16" w:rsidRDefault="009D5F16" w:rsidP="00600F5E">
      <w:pPr>
        <w:pStyle w:val="Bodycopy"/>
      </w:pPr>
      <w:r>
        <w:t>In addition, as part of a wider engagement strategy, the Speake</w:t>
      </w:r>
      <w:r w:rsidR="00B36AA9">
        <w:t>r</w:t>
      </w:r>
      <w:r>
        <w:t xml:space="preserve"> asks MLAs to nominate community groups within the ACT community who they consider would be interested in coming to the Assembly to learn more about its </w:t>
      </w:r>
      <w:r w:rsidR="00A72072">
        <w:t>role</w:t>
      </w:r>
      <w:r>
        <w:t xml:space="preserve"> and functions. Like the citizenship ceremonies, the Speaker offers light </w:t>
      </w:r>
      <w:r w:rsidR="00A72072">
        <w:t>refreshments</w:t>
      </w:r>
      <w:r>
        <w:t xml:space="preserve">, a tour of the Assembly building and an opportunity to meet and discuss with all MLAs matters of interest to the community groups. </w:t>
      </w:r>
    </w:p>
    <w:p w:rsidR="00673AF9" w:rsidRDefault="00EB56A5" w:rsidP="00A374FD">
      <w:pPr>
        <w:pStyle w:val="Heading2"/>
        <w:keepNext w:val="0"/>
      </w:pPr>
      <w:r>
        <w:t>Speaker a</w:t>
      </w:r>
      <w:r w:rsidR="002F4984">
        <w:t>ppoint</w:t>
      </w:r>
      <w:r>
        <w:t>s</w:t>
      </w:r>
      <w:r w:rsidR="002F4984">
        <w:t xml:space="preserve"> legal arbiter</w:t>
      </w:r>
    </w:p>
    <w:p w:rsidR="00673AF9" w:rsidRDefault="00673AF9" w:rsidP="00600F5E">
      <w:pPr>
        <w:pStyle w:val="Bodycopy"/>
      </w:pPr>
      <w:r>
        <w:t xml:space="preserve">Under standing order 213A, the </w:t>
      </w:r>
      <w:r w:rsidR="00B36AA9">
        <w:t>A</w:t>
      </w:r>
      <w:r>
        <w:t xml:space="preserve">ssembly may order documents to be tabled in the Assembly, and where the Executive refuse to provide the document on the basis that they claim a privilege and a Member disputes such a claim, the Speaker is required to appoint an independent legal arbiter who will adjudicate on the competing claims. </w:t>
      </w:r>
    </w:p>
    <w:p w:rsidR="009D5F16" w:rsidRPr="00673AF9" w:rsidRDefault="009D5F16" w:rsidP="00600F5E">
      <w:pPr>
        <w:pStyle w:val="Bodycopy"/>
      </w:pPr>
      <w:r>
        <w:t>Under the standing order</w:t>
      </w:r>
      <w:r w:rsidR="00FC2E54">
        <w:t>,</w:t>
      </w:r>
      <w:r>
        <w:t xml:space="preserve"> the Speaker must appoint a retired Supreme Court, Federal Court or High Court Judge. In this Assembly</w:t>
      </w:r>
      <w:r w:rsidR="00FC2E54">
        <w:t>,</w:t>
      </w:r>
      <w:r>
        <w:t xml:space="preserve"> the Speaker has appointed two independent legal arbiters. One of the arbiters </w:t>
      </w:r>
      <w:r w:rsidR="00A72072">
        <w:t>was a retired</w:t>
      </w:r>
      <w:r>
        <w:t xml:space="preserve"> Supreme Court Judge from NSW (who declined the </w:t>
      </w:r>
      <w:r w:rsidR="00832A6D">
        <w:t>E</w:t>
      </w:r>
      <w:r w:rsidR="00A72072">
        <w:t>xecutive’s</w:t>
      </w:r>
      <w:r>
        <w:t xml:space="preserve"> claim for privilege), and another was a retired Supreme Court Judge from the ACT (who upheld the </w:t>
      </w:r>
      <w:r w:rsidR="00832A6D">
        <w:t>E</w:t>
      </w:r>
      <w:r w:rsidR="00A72072">
        <w:t>xecutive’s</w:t>
      </w:r>
      <w:r>
        <w:t xml:space="preserve"> claim </w:t>
      </w:r>
      <w:r w:rsidR="00A72072">
        <w:t>of</w:t>
      </w:r>
      <w:r>
        <w:t xml:space="preserve"> privilege</w:t>
      </w:r>
      <w:r w:rsidR="00B36AA9">
        <w:t>)</w:t>
      </w:r>
      <w:r>
        <w:t>.</w:t>
      </w:r>
    </w:p>
    <w:p w:rsidR="008B2C94" w:rsidRDefault="008B2C94" w:rsidP="00A374FD">
      <w:pPr>
        <w:pStyle w:val="Heading2"/>
        <w:keepNext w:val="0"/>
      </w:pPr>
      <w:r>
        <w:t>Conclusion</w:t>
      </w:r>
    </w:p>
    <w:p w:rsidR="006D75F4" w:rsidRDefault="002F4984" w:rsidP="00600F5E">
      <w:pPr>
        <w:pStyle w:val="Bodycopy"/>
      </w:pPr>
      <w:r>
        <w:t>While the position of Speaker may be best known for call</w:t>
      </w:r>
      <w:r w:rsidR="00FC2E54">
        <w:t>ing</w:t>
      </w:r>
      <w:r>
        <w:t xml:space="preserve"> the chamber to order and ejecting disorderly </w:t>
      </w:r>
      <w:r w:rsidR="00605193">
        <w:t>M</w:t>
      </w:r>
      <w:r>
        <w:t xml:space="preserve">embers, </w:t>
      </w:r>
      <w:r w:rsidR="00A72072">
        <w:t xml:space="preserve">as can be seen from the above, the Speaker </w:t>
      </w:r>
      <w:r w:rsidR="007B70B8">
        <w:t xml:space="preserve">performs a </w:t>
      </w:r>
      <w:r w:rsidR="00A72072">
        <w:t xml:space="preserve">myriad of other important </w:t>
      </w:r>
      <w:r w:rsidR="007B70B8">
        <w:t>roles</w:t>
      </w:r>
      <w:r w:rsidR="00A72072">
        <w:t xml:space="preserve"> and functions. And this is </w:t>
      </w:r>
      <w:r w:rsidR="00FC2E54">
        <w:t xml:space="preserve">in addition to all the activities s/he may do to </w:t>
      </w:r>
      <w:r w:rsidR="00A72072">
        <w:t xml:space="preserve">represent his or her constituency. </w:t>
      </w:r>
    </w:p>
    <w:p w:rsidR="00A72072" w:rsidRDefault="00A72072" w:rsidP="00600F5E">
      <w:pPr>
        <w:pStyle w:val="Bodycopy"/>
      </w:pPr>
      <w:r>
        <w:t xml:space="preserve">In his book </w:t>
      </w:r>
      <w:r>
        <w:rPr>
          <w:i/>
        </w:rPr>
        <w:t>Gavel to Gavel</w:t>
      </w:r>
      <w:r w:rsidR="00FC2E54">
        <w:t xml:space="preserve">, </w:t>
      </w:r>
      <w:r>
        <w:t>the former Speaker of the NSW Legislative Assembly</w:t>
      </w:r>
      <w:r w:rsidR="00B36AA9">
        <w:t>, Kevin Rozzoli AM,</w:t>
      </w:r>
      <w:r>
        <w:t xml:space="preserve"> also highlights another less heralded role</w:t>
      </w:r>
      <w:r w:rsidR="002F4984">
        <w:t>—</w:t>
      </w:r>
      <w:r>
        <w:t xml:space="preserve">what he terms a </w:t>
      </w:r>
      <w:r w:rsidR="00FC2E54">
        <w:t>‘</w:t>
      </w:r>
      <w:r>
        <w:t>pastoral role</w:t>
      </w:r>
      <w:r w:rsidR="00FC2E54">
        <w:t>’</w:t>
      </w:r>
      <w:r w:rsidR="007B70B8">
        <w:t xml:space="preserve">. This is </w:t>
      </w:r>
      <w:r>
        <w:t xml:space="preserve">where the Speaker, because of the level of experience and respect </w:t>
      </w:r>
      <w:r w:rsidR="007B70B8">
        <w:t>often held by the Speaker,</w:t>
      </w:r>
      <w:r>
        <w:t xml:space="preserve"> is called upon </w:t>
      </w:r>
      <w:r w:rsidR="007B70B8">
        <w:t xml:space="preserve">to give confidential advice on personal matters where a </w:t>
      </w:r>
      <w:r w:rsidR="00B36AA9">
        <w:t>M</w:t>
      </w:r>
      <w:r w:rsidR="007B70B8">
        <w:t xml:space="preserve">ember is in need of objective and experienced advice that the Member may not wish to discuss with their party colleagues. </w:t>
      </w:r>
    </w:p>
    <w:p w:rsidR="007B70B8" w:rsidRDefault="007B70B8" w:rsidP="005105F1">
      <w:pPr>
        <w:pStyle w:val="Bodycopy"/>
        <w:keepNext/>
        <w:keepLines/>
      </w:pPr>
      <w:r>
        <w:t>Former speaker Rozzoli sums up what he attributes to be the characteristic</w:t>
      </w:r>
      <w:r w:rsidR="00CC1049">
        <w:t>s</w:t>
      </w:r>
      <w:r>
        <w:t xml:space="preserve"> of being a good </w:t>
      </w:r>
      <w:r w:rsidR="00B36AA9">
        <w:t>S</w:t>
      </w:r>
      <w:r>
        <w:t>peaker. It is:</w:t>
      </w:r>
    </w:p>
    <w:p w:rsidR="007B70B8" w:rsidRPr="00A72072" w:rsidRDefault="007B70B8" w:rsidP="005105F1">
      <w:pPr>
        <w:pStyle w:val="Quote"/>
        <w:keepNext/>
        <w:keepLines/>
      </w:pPr>
      <w:r>
        <w:t>..a combination of intelligence, study, authority, compassion, diligence, patience, good humour, the ability to take advice and, above all, an innate sense of humanity, fairness, impartiality and respect for others.</w:t>
      </w:r>
    </w:p>
    <w:sectPr w:rsidR="007B70B8" w:rsidRPr="00A72072" w:rsidSect="0060720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10" w:rsidRDefault="00F26B10" w:rsidP="001F1FEA">
      <w:pPr>
        <w:spacing w:before="0"/>
      </w:pPr>
      <w:r>
        <w:separator/>
      </w:r>
    </w:p>
  </w:endnote>
  <w:endnote w:type="continuationSeparator" w:id="0">
    <w:p w:rsidR="00F26B10" w:rsidRDefault="00F26B10" w:rsidP="001F1F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DF" w:rsidRDefault="00EF6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DF" w:rsidRDefault="00EF6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DF" w:rsidRDefault="00EF65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10" w:rsidRDefault="00F26B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74893"/>
      <w:docPartObj>
        <w:docPartGallery w:val="Page Numbers (Bottom of Page)"/>
        <w:docPartUnique/>
      </w:docPartObj>
    </w:sdtPr>
    <w:sdtEndPr/>
    <w:sdtContent>
      <w:p w:rsidR="00F26B10" w:rsidRDefault="000A1BB9">
        <w:pPr>
          <w:pStyle w:val="Footer"/>
          <w:jc w:val="right"/>
        </w:pPr>
        <w:r>
          <w:rPr>
            <w:noProof/>
          </w:rPr>
          <w:fldChar w:fldCharType="begin"/>
        </w:r>
        <w:r w:rsidR="00EF65DF">
          <w:rPr>
            <w:noProof/>
          </w:rPr>
          <w:instrText xml:space="preserve"> PAGE   \* MERGEFORMAT </w:instrText>
        </w:r>
        <w:r>
          <w:rPr>
            <w:noProof/>
          </w:rPr>
          <w:fldChar w:fldCharType="separate"/>
        </w:r>
        <w:r w:rsidR="003D3FEE">
          <w:rPr>
            <w:noProof/>
          </w:rPr>
          <w:t>2</w:t>
        </w:r>
        <w:r>
          <w:rPr>
            <w:noProof/>
          </w:rPr>
          <w:fldChar w:fldCharType="end"/>
        </w:r>
      </w:p>
    </w:sdtContent>
  </w:sdt>
  <w:p w:rsidR="00F26B10" w:rsidRDefault="00F26B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10" w:rsidRDefault="00F26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10" w:rsidRDefault="00F26B10" w:rsidP="001F1FEA">
      <w:pPr>
        <w:spacing w:before="0"/>
      </w:pPr>
      <w:r>
        <w:separator/>
      </w:r>
    </w:p>
  </w:footnote>
  <w:footnote w:type="continuationSeparator" w:id="0">
    <w:p w:rsidR="00F26B10" w:rsidRDefault="00F26B10" w:rsidP="001F1FEA">
      <w:pPr>
        <w:spacing w:before="0"/>
      </w:pPr>
      <w:r>
        <w:continuationSeparator/>
      </w:r>
    </w:p>
  </w:footnote>
  <w:footnote w:id="1">
    <w:p w:rsidR="00F26B10" w:rsidRDefault="00F26B10" w:rsidP="001F1FEA">
      <w:pPr>
        <w:pStyle w:val="FootnoteText"/>
      </w:pPr>
      <w:r>
        <w:rPr>
          <w:rStyle w:val="FootnoteReference"/>
        </w:rPr>
        <w:footnoteRef/>
      </w:r>
      <w:r>
        <w:rPr>
          <w:rStyle w:val="FootnoteTextChar"/>
          <w:bCs/>
        </w:rPr>
        <w:t xml:space="preserve"> Norman Wilding and Philip Laundy</w:t>
      </w:r>
      <w:r w:rsidRPr="005D5C4F">
        <w:rPr>
          <w:rStyle w:val="FootnoteTextChar"/>
          <w:bCs/>
          <w:i/>
        </w:rPr>
        <w:t>, An encyclopaedia of Parliament</w:t>
      </w:r>
      <w:r>
        <w:rPr>
          <w:rStyle w:val="FootnoteTextChar"/>
          <w:bCs/>
        </w:rPr>
        <w:t xml:space="preserve">, 1958, p540. </w:t>
      </w:r>
    </w:p>
  </w:footnote>
  <w:footnote w:id="2">
    <w:p w:rsidR="00F26B10" w:rsidRDefault="00F26B10" w:rsidP="001F1FEA">
      <w:pPr>
        <w:pStyle w:val="FootnoteText"/>
      </w:pPr>
      <w:r>
        <w:rPr>
          <w:rStyle w:val="FootnoteReference"/>
        </w:rPr>
        <w:footnoteRef/>
      </w:r>
      <w:r>
        <w:t xml:space="preserve"> Speaker Lowther quoted in </w:t>
      </w:r>
      <w:r w:rsidRPr="00DD7ABC">
        <w:rPr>
          <w:i/>
        </w:rPr>
        <w:t>Betty Boothroyd: The Autobiography</w:t>
      </w:r>
      <w:r>
        <w:t>, 2002, Random House, p209.</w:t>
      </w:r>
    </w:p>
  </w:footnote>
  <w:footnote w:id="3">
    <w:p w:rsidR="00F26B10" w:rsidRDefault="00F26B10">
      <w:pPr>
        <w:pStyle w:val="FootnoteText"/>
      </w:pPr>
      <w:r>
        <w:rPr>
          <w:rStyle w:val="FootnoteReference"/>
        </w:rPr>
        <w:footnoteRef/>
      </w:r>
      <w:r>
        <w:t xml:space="preserve"> The Assembly has 25 Members, increased in 2016 from 17. </w:t>
      </w:r>
    </w:p>
  </w:footnote>
  <w:footnote w:id="4">
    <w:p w:rsidR="00F26B10" w:rsidRPr="00090F19" w:rsidRDefault="00F26B10">
      <w:pPr>
        <w:pStyle w:val="FootnoteText"/>
      </w:pPr>
      <w:r>
        <w:rPr>
          <w:rStyle w:val="FootnoteReference"/>
        </w:rPr>
        <w:footnoteRef/>
      </w:r>
      <w:r>
        <w:t xml:space="preserve"> Legislative Assembly for the ACT, </w:t>
      </w:r>
      <w:r>
        <w:rPr>
          <w:i/>
        </w:rPr>
        <w:t xml:space="preserve">Speaker’s Guide, </w:t>
      </w:r>
      <w:r>
        <w:t xml:space="preserve">2016, p 9. </w:t>
      </w:r>
    </w:p>
  </w:footnote>
  <w:footnote w:id="5">
    <w:p w:rsidR="00F26B10" w:rsidRDefault="00F26B10">
      <w:pPr>
        <w:pStyle w:val="FootnoteText"/>
      </w:pPr>
      <w:r>
        <w:rPr>
          <w:rStyle w:val="FootnoteReference"/>
        </w:rPr>
        <w:footnoteRef/>
      </w:r>
      <w:r>
        <w:t xml:space="preserve"> There was a parliamentary agreement between the Greens and the Labor Party, and the Labor Party formed the Government.</w:t>
      </w:r>
    </w:p>
  </w:footnote>
  <w:footnote w:id="6">
    <w:p w:rsidR="00F26B10" w:rsidRDefault="00F26B10">
      <w:pPr>
        <w:pStyle w:val="FootnoteText"/>
      </w:pPr>
      <w:r>
        <w:rPr>
          <w:rStyle w:val="FootnoteReference"/>
        </w:rPr>
        <w:footnoteRef/>
      </w:r>
      <w:r>
        <w:t xml:space="preserve"> No breaches were found to have occurred.</w:t>
      </w:r>
    </w:p>
  </w:footnote>
  <w:footnote w:id="7">
    <w:p w:rsidR="00F26B10" w:rsidRDefault="00F26B10" w:rsidP="00605193">
      <w:pPr>
        <w:pStyle w:val="FootnoteText"/>
      </w:pPr>
      <w:r>
        <w:rPr>
          <w:rStyle w:val="FootnoteReference"/>
        </w:rPr>
        <w:footnoteRef/>
      </w:r>
      <w:r>
        <w:t xml:space="preserve"> Legislation enacted in 2012 created the Clerk of the Legislative Assembly as a statutory officer, and the Speaker also appoints that officer.</w:t>
      </w:r>
    </w:p>
  </w:footnote>
  <w:footnote w:id="8">
    <w:p w:rsidR="00F26B10" w:rsidRDefault="00F26B10">
      <w:pPr>
        <w:pStyle w:val="FootnoteText"/>
      </w:pPr>
      <w:r>
        <w:rPr>
          <w:rStyle w:val="FootnoteReference"/>
        </w:rPr>
        <w:footnoteRef/>
      </w:r>
      <w:r>
        <w:t xml:space="preserve"> In the Seventh Assembly, the then Speaker presented the</w:t>
      </w:r>
      <w:r w:rsidRPr="00B731E2">
        <w:t xml:space="preserve"> Legislative Assembly (Office of the Legislative Assembly) Bill 2012 </w:t>
      </w:r>
      <w:r>
        <w:t xml:space="preserve">which provided for the establishment of the Office of the Legislative Assembly and gave greater effect to the separation of powers principle by clarifying the administrative and legislative framework that applies to the support agency of the legislature and to enshrine in law its independence from executive government.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DF" w:rsidRDefault="00EF6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DF" w:rsidRDefault="00EF6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DF" w:rsidRDefault="00EF65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10" w:rsidRDefault="00F26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10" w:rsidRDefault="00F26B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10" w:rsidRDefault="00F26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66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43A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05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78E9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0F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BC6F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CC2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488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3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0F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0F59DB"/>
    <w:multiLevelType w:val="hybridMultilevel"/>
    <w:tmpl w:val="04A69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2D32F7"/>
    <w:multiLevelType w:val="hybridMultilevel"/>
    <w:tmpl w:val="E00827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D2F618D"/>
    <w:multiLevelType w:val="multilevel"/>
    <w:tmpl w:val="6CBA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A2325"/>
    <w:multiLevelType w:val="hybridMultilevel"/>
    <w:tmpl w:val="D8F48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4A23B8"/>
    <w:multiLevelType w:val="hybridMultilevel"/>
    <w:tmpl w:val="EC425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1F1FEA"/>
    <w:rsid w:val="00017890"/>
    <w:rsid w:val="00055F78"/>
    <w:rsid w:val="000717A1"/>
    <w:rsid w:val="00090F19"/>
    <w:rsid w:val="000A1BB9"/>
    <w:rsid w:val="000A5812"/>
    <w:rsid w:val="00113302"/>
    <w:rsid w:val="00116E86"/>
    <w:rsid w:val="001318DB"/>
    <w:rsid w:val="00185350"/>
    <w:rsid w:val="00196037"/>
    <w:rsid w:val="001D57ED"/>
    <w:rsid w:val="001D69D5"/>
    <w:rsid w:val="001D7485"/>
    <w:rsid w:val="001D761A"/>
    <w:rsid w:val="001F1FEA"/>
    <w:rsid w:val="00222B5D"/>
    <w:rsid w:val="00272E05"/>
    <w:rsid w:val="00294A34"/>
    <w:rsid w:val="002A366F"/>
    <w:rsid w:val="002A7AC3"/>
    <w:rsid w:val="002F4984"/>
    <w:rsid w:val="0032291F"/>
    <w:rsid w:val="00376E29"/>
    <w:rsid w:val="00397790"/>
    <w:rsid w:val="003A4214"/>
    <w:rsid w:val="003D3FEE"/>
    <w:rsid w:val="004101FA"/>
    <w:rsid w:val="004959E1"/>
    <w:rsid w:val="004A2E5B"/>
    <w:rsid w:val="004F4071"/>
    <w:rsid w:val="005105F1"/>
    <w:rsid w:val="00521CB6"/>
    <w:rsid w:val="005243CD"/>
    <w:rsid w:val="00541342"/>
    <w:rsid w:val="005516B0"/>
    <w:rsid w:val="0055479E"/>
    <w:rsid w:val="00575BC4"/>
    <w:rsid w:val="0058464D"/>
    <w:rsid w:val="00587679"/>
    <w:rsid w:val="005D2280"/>
    <w:rsid w:val="005D5C4F"/>
    <w:rsid w:val="005E6E7F"/>
    <w:rsid w:val="005F4DAA"/>
    <w:rsid w:val="00600F5E"/>
    <w:rsid w:val="006034C3"/>
    <w:rsid w:val="00605193"/>
    <w:rsid w:val="0060720B"/>
    <w:rsid w:val="00652815"/>
    <w:rsid w:val="00673AF9"/>
    <w:rsid w:val="006A54D3"/>
    <w:rsid w:val="006C79F5"/>
    <w:rsid w:val="006D75F4"/>
    <w:rsid w:val="006E72FC"/>
    <w:rsid w:val="006F25CA"/>
    <w:rsid w:val="006F5A68"/>
    <w:rsid w:val="00715176"/>
    <w:rsid w:val="00716392"/>
    <w:rsid w:val="00717996"/>
    <w:rsid w:val="00733E1F"/>
    <w:rsid w:val="007B70B8"/>
    <w:rsid w:val="007D09C5"/>
    <w:rsid w:val="00832A6D"/>
    <w:rsid w:val="0083783B"/>
    <w:rsid w:val="008561EF"/>
    <w:rsid w:val="00881C91"/>
    <w:rsid w:val="0088708E"/>
    <w:rsid w:val="0089094E"/>
    <w:rsid w:val="00891EAF"/>
    <w:rsid w:val="008B2C94"/>
    <w:rsid w:val="008C5AF4"/>
    <w:rsid w:val="008F7506"/>
    <w:rsid w:val="00925631"/>
    <w:rsid w:val="00940712"/>
    <w:rsid w:val="009472FB"/>
    <w:rsid w:val="0095455B"/>
    <w:rsid w:val="00956758"/>
    <w:rsid w:val="0096641D"/>
    <w:rsid w:val="00996123"/>
    <w:rsid w:val="00996840"/>
    <w:rsid w:val="009B7C07"/>
    <w:rsid w:val="009D5F16"/>
    <w:rsid w:val="009E6B96"/>
    <w:rsid w:val="00A04C03"/>
    <w:rsid w:val="00A150C2"/>
    <w:rsid w:val="00A374FD"/>
    <w:rsid w:val="00A46C96"/>
    <w:rsid w:val="00A56EDB"/>
    <w:rsid w:val="00A66CF9"/>
    <w:rsid w:val="00A66F6E"/>
    <w:rsid w:val="00A72072"/>
    <w:rsid w:val="00A76ECA"/>
    <w:rsid w:val="00A869D9"/>
    <w:rsid w:val="00AC5140"/>
    <w:rsid w:val="00B12186"/>
    <w:rsid w:val="00B36AA9"/>
    <w:rsid w:val="00B45AF8"/>
    <w:rsid w:val="00B731E2"/>
    <w:rsid w:val="00BB4152"/>
    <w:rsid w:val="00BB65A2"/>
    <w:rsid w:val="00BB6749"/>
    <w:rsid w:val="00BC6F61"/>
    <w:rsid w:val="00BF2B8F"/>
    <w:rsid w:val="00BF4288"/>
    <w:rsid w:val="00C01533"/>
    <w:rsid w:val="00C02378"/>
    <w:rsid w:val="00C1165B"/>
    <w:rsid w:val="00C13D51"/>
    <w:rsid w:val="00C16AE5"/>
    <w:rsid w:val="00C2686C"/>
    <w:rsid w:val="00C274D1"/>
    <w:rsid w:val="00C975F5"/>
    <w:rsid w:val="00CC1049"/>
    <w:rsid w:val="00CD000F"/>
    <w:rsid w:val="00D0021E"/>
    <w:rsid w:val="00D03746"/>
    <w:rsid w:val="00D34B14"/>
    <w:rsid w:val="00D6552C"/>
    <w:rsid w:val="00D75B3A"/>
    <w:rsid w:val="00DA00BB"/>
    <w:rsid w:val="00DD7ABC"/>
    <w:rsid w:val="00DE1952"/>
    <w:rsid w:val="00E0579B"/>
    <w:rsid w:val="00E17B3A"/>
    <w:rsid w:val="00E20F20"/>
    <w:rsid w:val="00E21817"/>
    <w:rsid w:val="00E347B2"/>
    <w:rsid w:val="00E34881"/>
    <w:rsid w:val="00E35205"/>
    <w:rsid w:val="00E36BCC"/>
    <w:rsid w:val="00E41CDA"/>
    <w:rsid w:val="00E53A4D"/>
    <w:rsid w:val="00E91790"/>
    <w:rsid w:val="00EB56A5"/>
    <w:rsid w:val="00EC650C"/>
    <w:rsid w:val="00EF65DF"/>
    <w:rsid w:val="00F142F9"/>
    <w:rsid w:val="00F25CFB"/>
    <w:rsid w:val="00F26B10"/>
    <w:rsid w:val="00F41186"/>
    <w:rsid w:val="00F92F7D"/>
    <w:rsid w:val="00FB10A9"/>
    <w:rsid w:val="00FB7586"/>
    <w:rsid w:val="00FC2E54"/>
    <w:rsid w:val="00FF7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5:docId w15:val="{83BF669E-B1B3-4FF6-B2A6-0DFE9F2F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EF"/>
    <w:pPr>
      <w:spacing w:before="120" w:after="0" w:line="240" w:lineRule="auto"/>
      <w:jc w:val="center"/>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60720B"/>
    <w:pPr>
      <w:keepNext/>
      <w:keepLines/>
      <w:spacing w:before="480"/>
      <w:outlineLvl w:val="0"/>
    </w:pPr>
    <w:rPr>
      <w:rFonts w:eastAsiaTheme="majorEastAsia" w:cstheme="majorBidi"/>
      <w:b/>
      <w:bCs/>
      <w:sz w:val="48"/>
      <w:szCs w:val="28"/>
    </w:rPr>
  </w:style>
  <w:style w:type="paragraph" w:styleId="Heading2">
    <w:name w:val="heading 2"/>
    <w:basedOn w:val="Normal"/>
    <w:next w:val="Normal"/>
    <w:link w:val="Heading2Char"/>
    <w:unhideWhenUsed/>
    <w:qFormat/>
    <w:rsid w:val="0060720B"/>
    <w:pPr>
      <w:keepNext/>
      <w:spacing w:before="360" w:after="120"/>
      <w:jc w:val="left"/>
      <w:outlineLvl w:val="1"/>
    </w:pPr>
    <w:rPr>
      <w:b/>
      <w:bCs/>
      <w:sz w:val="28"/>
    </w:rPr>
  </w:style>
  <w:style w:type="paragraph" w:styleId="Heading3">
    <w:name w:val="heading 3"/>
    <w:basedOn w:val="Normal"/>
    <w:next w:val="Normal"/>
    <w:link w:val="Heading3Char"/>
    <w:uiPriority w:val="9"/>
    <w:semiHidden/>
    <w:unhideWhenUsed/>
    <w:qFormat/>
    <w:rsid w:val="001F1FEA"/>
    <w:pPr>
      <w:keepNext/>
      <w:keepLines/>
      <w:spacing w:before="240" w:after="24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EA"/>
    <w:pPr>
      <w:tabs>
        <w:tab w:val="center" w:pos="4513"/>
        <w:tab w:val="right" w:pos="9026"/>
      </w:tabs>
      <w:spacing w:befor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1FEA"/>
  </w:style>
  <w:style w:type="paragraph" w:styleId="Footer">
    <w:name w:val="footer"/>
    <w:basedOn w:val="Normal"/>
    <w:link w:val="FooterChar"/>
    <w:uiPriority w:val="99"/>
    <w:unhideWhenUsed/>
    <w:rsid w:val="001F1FEA"/>
    <w:pPr>
      <w:tabs>
        <w:tab w:val="center" w:pos="4513"/>
        <w:tab w:val="right" w:pos="9026"/>
      </w:tabs>
      <w:spacing w:befor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1FEA"/>
  </w:style>
  <w:style w:type="character" w:customStyle="1" w:styleId="Heading2Char">
    <w:name w:val="Heading 2 Char"/>
    <w:basedOn w:val="DefaultParagraphFont"/>
    <w:link w:val="Heading2"/>
    <w:rsid w:val="0060720B"/>
    <w:rPr>
      <w:rFonts w:ascii="Calibri" w:eastAsia="Times New Roman" w:hAnsi="Calibri" w:cs="Times New Roman"/>
      <w:b/>
      <w:bCs/>
      <w:sz w:val="28"/>
      <w:szCs w:val="24"/>
    </w:rPr>
  </w:style>
  <w:style w:type="character" w:customStyle="1" w:styleId="Heading3Char">
    <w:name w:val="Heading 3 Char"/>
    <w:basedOn w:val="DefaultParagraphFont"/>
    <w:link w:val="Heading3"/>
    <w:uiPriority w:val="9"/>
    <w:semiHidden/>
    <w:rsid w:val="001F1FEA"/>
    <w:rPr>
      <w:rFonts w:ascii="Calibri" w:eastAsiaTheme="majorEastAsia" w:hAnsi="Calibri" w:cstheme="majorBidi"/>
      <w:b/>
      <w:bCs/>
      <w:sz w:val="24"/>
      <w:szCs w:val="24"/>
    </w:rPr>
  </w:style>
  <w:style w:type="paragraph" w:styleId="FootnoteText">
    <w:name w:val="footnote text"/>
    <w:basedOn w:val="Normal"/>
    <w:link w:val="FootnoteTextChar"/>
    <w:uiPriority w:val="99"/>
    <w:unhideWhenUsed/>
    <w:rsid w:val="001F1FEA"/>
    <w:pPr>
      <w:spacing w:before="0"/>
      <w:jc w:val="left"/>
    </w:pPr>
    <w:rPr>
      <w:sz w:val="18"/>
      <w:szCs w:val="20"/>
    </w:rPr>
  </w:style>
  <w:style w:type="character" w:customStyle="1" w:styleId="FootnoteTextChar">
    <w:name w:val="Footnote Text Char"/>
    <w:basedOn w:val="DefaultParagraphFont"/>
    <w:link w:val="FootnoteText"/>
    <w:uiPriority w:val="99"/>
    <w:rsid w:val="001F1FEA"/>
    <w:rPr>
      <w:rFonts w:ascii="Calibri" w:eastAsia="Times New Roman" w:hAnsi="Calibri" w:cs="Times New Roman"/>
      <w:sz w:val="18"/>
      <w:szCs w:val="20"/>
    </w:rPr>
  </w:style>
  <w:style w:type="paragraph" w:styleId="Quote">
    <w:name w:val="Quote"/>
    <w:basedOn w:val="Normal"/>
    <w:next w:val="Normal"/>
    <w:link w:val="QuoteChar"/>
    <w:uiPriority w:val="29"/>
    <w:qFormat/>
    <w:rsid w:val="0060720B"/>
    <w:pPr>
      <w:spacing w:after="120"/>
      <w:ind w:left="567" w:right="567"/>
      <w:jc w:val="left"/>
    </w:pPr>
    <w:rPr>
      <w:iCs/>
      <w:color w:val="000000" w:themeColor="text1"/>
      <w:sz w:val="22"/>
    </w:rPr>
  </w:style>
  <w:style w:type="character" w:customStyle="1" w:styleId="QuoteChar">
    <w:name w:val="Quote Char"/>
    <w:basedOn w:val="DefaultParagraphFont"/>
    <w:link w:val="Quote"/>
    <w:uiPriority w:val="29"/>
    <w:rsid w:val="0060720B"/>
    <w:rPr>
      <w:rFonts w:ascii="Calibri" w:eastAsia="Times New Roman" w:hAnsi="Calibri" w:cs="Times New Roman"/>
      <w:iCs/>
      <w:color w:val="000000" w:themeColor="text1"/>
      <w:szCs w:val="24"/>
    </w:rPr>
  </w:style>
  <w:style w:type="paragraph" w:customStyle="1" w:styleId="Bodycopy">
    <w:name w:val="Body copy"/>
    <w:autoRedefine/>
    <w:qFormat/>
    <w:rsid w:val="00600F5E"/>
    <w:pPr>
      <w:widowControl w:val="0"/>
      <w:tabs>
        <w:tab w:val="left" w:pos="1985"/>
        <w:tab w:val="left" w:pos="2268"/>
        <w:tab w:val="left" w:pos="3402"/>
        <w:tab w:val="left" w:pos="3686"/>
      </w:tabs>
      <w:spacing w:before="120" w:after="120" w:line="240" w:lineRule="auto"/>
    </w:pPr>
    <w:rPr>
      <w:rFonts w:ascii="Calibri" w:eastAsia="Calibri" w:hAnsi="Calibri" w:cs="Calibri"/>
      <w:color w:val="000000"/>
      <w:spacing w:val="-3"/>
      <w:lang w:eastAsia="en-AU"/>
    </w:rPr>
  </w:style>
  <w:style w:type="character" w:styleId="FootnoteReference">
    <w:name w:val="footnote reference"/>
    <w:basedOn w:val="DefaultParagraphFont"/>
    <w:uiPriority w:val="99"/>
    <w:semiHidden/>
    <w:unhideWhenUsed/>
    <w:rsid w:val="001F1FEA"/>
    <w:rPr>
      <w:vertAlign w:val="superscript"/>
    </w:rPr>
  </w:style>
  <w:style w:type="paragraph" w:styleId="BalloonText">
    <w:name w:val="Balloon Text"/>
    <w:basedOn w:val="Normal"/>
    <w:link w:val="BalloonTextChar"/>
    <w:uiPriority w:val="99"/>
    <w:semiHidden/>
    <w:unhideWhenUsed/>
    <w:rsid w:val="008C5AF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F4"/>
    <w:rPr>
      <w:rFonts w:ascii="Segoe UI" w:eastAsia="Times New Roman" w:hAnsi="Segoe UI" w:cs="Segoe UI"/>
      <w:sz w:val="18"/>
      <w:szCs w:val="18"/>
    </w:rPr>
  </w:style>
  <w:style w:type="paragraph" w:styleId="ListParagraph">
    <w:name w:val="List Paragraph"/>
    <w:basedOn w:val="Normal"/>
    <w:uiPriority w:val="34"/>
    <w:qFormat/>
    <w:rsid w:val="002A366F"/>
    <w:pPr>
      <w:ind w:left="567"/>
      <w:contextualSpacing/>
      <w:jc w:val="left"/>
    </w:pPr>
    <w:rPr>
      <w:sz w:val="22"/>
    </w:rPr>
  </w:style>
  <w:style w:type="character" w:styleId="CommentReference">
    <w:name w:val="annotation reference"/>
    <w:basedOn w:val="DefaultParagraphFont"/>
    <w:uiPriority w:val="99"/>
    <w:semiHidden/>
    <w:unhideWhenUsed/>
    <w:rsid w:val="00E41CDA"/>
    <w:rPr>
      <w:sz w:val="16"/>
      <w:szCs w:val="16"/>
    </w:rPr>
  </w:style>
  <w:style w:type="paragraph" w:styleId="CommentText">
    <w:name w:val="annotation text"/>
    <w:basedOn w:val="Normal"/>
    <w:link w:val="CommentTextChar"/>
    <w:uiPriority w:val="99"/>
    <w:semiHidden/>
    <w:unhideWhenUsed/>
    <w:rsid w:val="00E41CDA"/>
    <w:rPr>
      <w:sz w:val="20"/>
      <w:szCs w:val="20"/>
    </w:rPr>
  </w:style>
  <w:style w:type="character" w:customStyle="1" w:styleId="CommentTextChar">
    <w:name w:val="Comment Text Char"/>
    <w:basedOn w:val="DefaultParagraphFont"/>
    <w:link w:val="CommentText"/>
    <w:uiPriority w:val="99"/>
    <w:semiHidden/>
    <w:rsid w:val="00E41CD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1CDA"/>
    <w:rPr>
      <w:b/>
      <w:bCs/>
    </w:rPr>
  </w:style>
  <w:style w:type="character" w:customStyle="1" w:styleId="CommentSubjectChar">
    <w:name w:val="Comment Subject Char"/>
    <w:basedOn w:val="CommentTextChar"/>
    <w:link w:val="CommentSubject"/>
    <w:uiPriority w:val="99"/>
    <w:semiHidden/>
    <w:rsid w:val="00E41CDA"/>
    <w:rPr>
      <w:rFonts w:ascii="Calibri" w:eastAsia="Times New Roman" w:hAnsi="Calibri" w:cs="Times New Roman"/>
      <w:b/>
      <w:bCs/>
      <w:sz w:val="20"/>
      <w:szCs w:val="20"/>
    </w:rPr>
  </w:style>
  <w:style w:type="paragraph" w:styleId="NormalWeb">
    <w:name w:val="Normal (Web)"/>
    <w:basedOn w:val="Normal"/>
    <w:uiPriority w:val="99"/>
    <w:semiHidden/>
    <w:unhideWhenUsed/>
    <w:rsid w:val="006D75F4"/>
    <w:pPr>
      <w:spacing w:before="100" w:beforeAutospacing="1" w:after="100" w:afterAutospacing="1"/>
      <w:jc w:val="left"/>
    </w:pPr>
    <w:rPr>
      <w:rFonts w:ascii="Times New Roman" w:hAnsi="Times New Roman"/>
      <w:lang w:eastAsia="en-AU"/>
    </w:rPr>
  </w:style>
  <w:style w:type="character" w:styleId="Emphasis">
    <w:name w:val="Emphasis"/>
    <w:basedOn w:val="DefaultParagraphFont"/>
    <w:uiPriority w:val="20"/>
    <w:qFormat/>
    <w:rsid w:val="006D75F4"/>
    <w:rPr>
      <w:i/>
      <w:iCs/>
    </w:rPr>
  </w:style>
  <w:style w:type="character" w:customStyle="1" w:styleId="Heading1Char">
    <w:name w:val="Heading 1 Char"/>
    <w:basedOn w:val="DefaultParagraphFont"/>
    <w:link w:val="Heading1"/>
    <w:uiPriority w:val="9"/>
    <w:rsid w:val="0060720B"/>
    <w:rPr>
      <w:rFonts w:ascii="Calibri" w:eastAsiaTheme="majorEastAsia" w:hAnsi="Calibri" w:cstheme="majorBidi"/>
      <w:b/>
      <w:bCs/>
      <w:sz w:val="48"/>
      <w:szCs w:val="28"/>
    </w:rPr>
  </w:style>
  <w:style w:type="paragraph" w:styleId="IntenseQuote">
    <w:name w:val="Intense Quote"/>
    <w:basedOn w:val="Normal"/>
    <w:next w:val="Normal"/>
    <w:link w:val="IntenseQuoteChar"/>
    <w:uiPriority w:val="30"/>
    <w:qFormat/>
    <w:rsid w:val="0060720B"/>
    <w:pPr>
      <w:spacing w:before="200" w:after="280"/>
      <w:ind w:left="567" w:right="567"/>
    </w:pPr>
    <w:rPr>
      <w:bCs/>
      <w:i/>
      <w:iCs/>
      <w:sz w:val="22"/>
    </w:rPr>
  </w:style>
  <w:style w:type="character" w:customStyle="1" w:styleId="IntenseQuoteChar">
    <w:name w:val="Intense Quote Char"/>
    <w:basedOn w:val="DefaultParagraphFont"/>
    <w:link w:val="IntenseQuote"/>
    <w:uiPriority w:val="30"/>
    <w:rsid w:val="0060720B"/>
    <w:rPr>
      <w:rFonts w:ascii="Calibri" w:eastAsia="Times New Roman" w:hAnsi="Calibri" w:cs="Times New Roman"/>
      <w:bCs/>
      <w:i/>
      <w:iCs/>
      <w:szCs w:val="24"/>
    </w:rPr>
  </w:style>
  <w:style w:type="table" w:styleId="TableGrid">
    <w:name w:val="Table Grid"/>
    <w:basedOn w:val="TableNormal"/>
    <w:uiPriority w:val="39"/>
    <w:rsid w:val="002A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8561EF"/>
    <w:pPr>
      <w:spacing w:before="120"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Simple1">
    <w:name w:val="Table Simple 1"/>
    <w:basedOn w:val="TableNormal"/>
    <w:uiPriority w:val="99"/>
    <w:unhideWhenUsed/>
    <w:rsid w:val="008561EF"/>
    <w:pPr>
      <w:spacing w:before="120" w:after="0" w:line="24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lumns3">
    <w:name w:val="Table Columns 3"/>
    <w:basedOn w:val="TableNormal"/>
    <w:uiPriority w:val="99"/>
    <w:unhideWhenUsed/>
    <w:rsid w:val="008561EF"/>
    <w:pPr>
      <w:spacing w:before="120" w:after="0" w:line="240" w:lineRule="auto"/>
      <w:jc w:val="cente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8561EF"/>
    <w:pPr>
      <w:spacing w:before="12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copy"/>
    <w:qFormat/>
    <w:rsid w:val="008561EF"/>
  </w:style>
  <w:style w:type="paragraph" w:customStyle="1" w:styleId="TableHeading">
    <w:name w:val="Table Heading"/>
    <w:basedOn w:val="TableText"/>
    <w:qFormat/>
    <w:rsid w:val="008561EF"/>
    <w:pPr>
      <w:jc w:val="center"/>
    </w:pPr>
    <w:rPr>
      <w:b/>
      <w:color w:val="FFFFFF" w:themeColor="background1"/>
    </w:rPr>
  </w:style>
  <w:style w:type="character" w:styleId="Hyperlink">
    <w:name w:val="Hyperlink"/>
    <w:basedOn w:val="DefaultParagraphFont"/>
    <w:uiPriority w:val="99"/>
    <w:unhideWhenUsed/>
    <w:rsid w:val="00891EAF"/>
    <w:rPr>
      <w:color w:val="0563C1" w:themeColor="hyperlink"/>
      <w:u w:val="single"/>
    </w:rPr>
  </w:style>
  <w:style w:type="paragraph" w:customStyle="1" w:styleId="Quote1">
    <w:name w:val="Quote1"/>
    <w:basedOn w:val="Bodycopy"/>
    <w:qFormat/>
    <w:rsid w:val="00272E05"/>
    <w:pPr>
      <w:ind w:left="709" w:right="1229"/>
    </w:pPr>
    <w:rPr>
      <w:sz w:val="20"/>
      <w:szCs w:val="20"/>
    </w:rPr>
  </w:style>
  <w:style w:type="paragraph" w:styleId="Caption">
    <w:name w:val="caption"/>
    <w:basedOn w:val="Normal"/>
    <w:next w:val="Normal"/>
    <w:uiPriority w:val="35"/>
    <w:unhideWhenUsed/>
    <w:qFormat/>
    <w:rsid w:val="00EC650C"/>
    <w:pPr>
      <w:spacing w:before="0" w:after="200"/>
    </w:pPr>
    <w:rPr>
      <w:b/>
      <w:bCs/>
      <w:color w:val="5B9BD5" w:themeColor="accent1"/>
      <w:sz w:val="18"/>
      <w:szCs w:val="18"/>
    </w:rPr>
  </w:style>
  <w:style w:type="paragraph" w:customStyle="1" w:styleId="TableTitle">
    <w:name w:val="Table Title"/>
    <w:basedOn w:val="Bodycopy"/>
    <w:qFormat/>
    <w:rsid w:val="00F26B1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551">
      <w:bodyDiv w:val="1"/>
      <w:marLeft w:val="0"/>
      <w:marRight w:val="0"/>
      <w:marTop w:val="0"/>
      <w:marBottom w:val="0"/>
      <w:divBdr>
        <w:top w:val="none" w:sz="0" w:space="0" w:color="auto"/>
        <w:left w:val="none" w:sz="0" w:space="0" w:color="auto"/>
        <w:bottom w:val="none" w:sz="0" w:space="0" w:color="auto"/>
        <w:right w:val="none" w:sz="0" w:space="0" w:color="auto"/>
      </w:divBdr>
    </w:div>
    <w:div w:id="612518512">
      <w:bodyDiv w:val="1"/>
      <w:marLeft w:val="0"/>
      <w:marRight w:val="0"/>
      <w:marTop w:val="0"/>
      <w:marBottom w:val="0"/>
      <w:divBdr>
        <w:top w:val="none" w:sz="0" w:space="0" w:color="auto"/>
        <w:left w:val="none" w:sz="0" w:space="0" w:color="auto"/>
        <w:bottom w:val="none" w:sz="0" w:space="0" w:color="auto"/>
        <w:right w:val="none" w:sz="0" w:space="0" w:color="auto"/>
      </w:divBdr>
    </w:div>
    <w:div w:id="6542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0D43-3308-4F12-B6D3-E2BFF638306B}"/>
</file>

<file path=customXml/itemProps2.xml><?xml version="1.0" encoding="utf-8"?>
<ds:datastoreItem xmlns:ds="http://schemas.openxmlformats.org/officeDocument/2006/customXml" ds:itemID="{B24C47B3-0670-4C50-AE55-E0512B7553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57AEC61-4654-402A-B7F1-2EA80E8D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3325</Words>
  <Characters>17789</Characters>
  <Application>Microsoft Office Word</Application>
  <DocSecurity>4</DocSecurity>
  <Lines>355</Lines>
  <Paragraphs>204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Tom</dc:creator>
  <cp:lastModifiedBy>Matz, Fiona</cp:lastModifiedBy>
  <cp:revision>2</cp:revision>
  <cp:lastPrinted>2018-07-03T23:07:00Z</cp:lastPrinted>
  <dcterms:created xsi:type="dcterms:W3CDTF">2018-11-06T21:55:00Z</dcterms:created>
  <dcterms:modified xsi:type="dcterms:W3CDTF">2018-11-06T21:55:00Z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c84095c1-d276-4968-b5a4-3aeedade374b</vt:lpwstr>
  </property>
  <property fmtid="{D5CDD505-2E9C-101B-9397-08002B2CF9AE}" pid="3" name="bjSaver">
    <vt:lpwstr>/jZlg/HoArtVr7MmaKU8N33UqeNQAl2/</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