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60.xml" ContentType="application/vnd.openxmlformats-officedocument.wordprocessingml.header+xml"/>
  <Override PartName="/word/footer51.xml" ContentType="application/vnd.openxmlformats-officedocument.wordprocessingml.footer+xml"/>
  <Override PartName="/word/header61.xml" ContentType="application/vnd.openxmlformats-officedocument.wordprocessingml.header+xml"/>
  <Override PartName="/word/footer52.xml" ContentType="application/vnd.openxmlformats-officedocument.wordprocessingml.footer+xml"/>
  <Override PartName="/word/header62.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7CB" w:rsidRDefault="00FE24A7">
      <w:pPr>
        <w:pStyle w:val="BodyText"/>
        <w:rPr>
          <w:rFonts w:ascii="Times New Roman"/>
          <w:sz w:val="20"/>
        </w:rPr>
      </w:pPr>
      <w:bookmarkStart w:id="0" w:name="_GoBack"/>
      <w:bookmarkEnd w:id="0"/>
      <w:r>
        <w:pict>
          <v:group id="_x0000_s1522" alt="" style="position:absolute;margin-left:0;margin-top:0;width:595.3pt;height:841.9pt;z-index:-477520;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3" type="#_x0000_t75" alt="" style="position:absolute;width:11906;height:16838">
              <v:imagedata r:id="rId8" o:title=""/>
            </v:shape>
            <v:shape id="_x0000_s1524" type="#_x0000_t75" alt="" style="position:absolute;left:8503;top:3118;width:2268;height:2268">
              <v:imagedata r:id="rId9" o:title=""/>
            </v:shape>
            <w10:wrap anchorx="page" anchory="page"/>
          </v:group>
        </w:pict>
      </w: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spacing w:before="10"/>
        <w:rPr>
          <w:rFonts w:ascii="Times New Roman"/>
          <w:sz w:val="17"/>
        </w:rPr>
      </w:pPr>
    </w:p>
    <w:p w:rsidR="006C17CB" w:rsidRDefault="00FE24A7">
      <w:pPr>
        <w:spacing w:before="144"/>
        <w:ind w:right="1131"/>
        <w:jc w:val="right"/>
        <w:rPr>
          <w:rFonts w:ascii="Montserrat-Light"/>
          <w:sz w:val="32"/>
        </w:rPr>
      </w:pPr>
      <w:r>
        <w:pict>
          <v:shapetype id="_x0000_t202" coordsize="21600,21600" o:spt="202" path="m,l,21600r21600,l21600,xe">
            <v:stroke joinstyle="miter"/>
            <v:path gradientshapeok="t" o:connecttype="rect"/>
          </v:shapetype>
          <v:shape id="_x0000_s1521" type="#_x0000_t202" alt="" style="position:absolute;left:0;text-align:left;margin-left:250.3pt;margin-top:15.05pt;width:288.35pt;height:51.4pt;z-index:-477496;mso-wrap-style:square;mso-wrap-edited:f;mso-width-percent:0;mso-height-percent:0;mso-position-horizontal-relative:page;mso-width-percent:0;mso-height-percent:0;v-text-anchor:top" filled="f" stroked="f">
            <v:textbox inset="0,0,0,0">
              <w:txbxContent>
                <w:p w:rsidR="0030091C" w:rsidRDefault="0030091C">
                  <w:pPr>
                    <w:spacing w:before="112"/>
                    <w:rPr>
                      <w:rFonts w:ascii="Montserrat-Medium"/>
                      <w:sz w:val="66"/>
                    </w:rPr>
                  </w:pPr>
                  <w:r>
                    <w:rPr>
                      <w:rFonts w:ascii="Montserrat-Medium"/>
                      <w:color w:val="FFFFFF"/>
                      <w:spacing w:val="-7"/>
                      <w:sz w:val="66"/>
                    </w:rPr>
                    <w:t xml:space="preserve">ANNUAL </w:t>
                  </w:r>
                  <w:r>
                    <w:rPr>
                      <w:rFonts w:ascii="Montserrat-Medium"/>
                      <w:color w:val="FFFFFF"/>
                      <w:spacing w:val="-3"/>
                      <w:sz w:val="66"/>
                    </w:rPr>
                    <w:t>REPORT</w:t>
                  </w:r>
                </w:p>
              </w:txbxContent>
            </v:textbox>
            <w10:wrap anchorx="page"/>
          </v:shape>
        </w:pict>
      </w:r>
      <w:r w:rsidR="0030091C">
        <w:rPr>
          <w:rFonts w:ascii="Montserrat-Light"/>
          <w:color w:val="FFFFFF"/>
          <w:spacing w:val="-3"/>
          <w:sz w:val="32"/>
        </w:rPr>
        <w:t xml:space="preserve">OFFICE </w:t>
      </w:r>
      <w:r w:rsidR="0030091C">
        <w:rPr>
          <w:rFonts w:ascii="Montserrat-Light"/>
          <w:color w:val="FFFFFF"/>
          <w:sz w:val="32"/>
        </w:rPr>
        <w:t xml:space="preserve">OF </w:t>
      </w:r>
      <w:r w:rsidR="0030091C">
        <w:rPr>
          <w:rFonts w:ascii="Montserrat-Light"/>
          <w:color w:val="FFFFFF"/>
          <w:spacing w:val="-3"/>
          <w:sz w:val="32"/>
        </w:rPr>
        <w:t xml:space="preserve">THE </w:t>
      </w:r>
      <w:r w:rsidR="0030091C">
        <w:rPr>
          <w:rFonts w:ascii="Montserrat-Light"/>
          <w:color w:val="FFFFFF"/>
          <w:spacing w:val="-6"/>
          <w:sz w:val="32"/>
        </w:rPr>
        <w:t>LEGISLATIVE</w:t>
      </w:r>
      <w:r w:rsidR="0030091C">
        <w:rPr>
          <w:rFonts w:ascii="Montserrat-Light"/>
          <w:color w:val="FFFFFF"/>
          <w:spacing w:val="46"/>
          <w:sz w:val="32"/>
        </w:rPr>
        <w:t xml:space="preserve"> </w:t>
      </w:r>
      <w:r w:rsidR="0030091C">
        <w:rPr>
          <w:rFonts w:ascii="Montserrat-Light"/>
          <w:color w:val="FFFFFF"/>
          <w:spacing w:val="-8"/>
          <w:sz w:val="32"/>
        </w:rPr>
        <w:t>ASSEMBLY</w:t>
      </w:r>
    </w:p>
    <w:p w:rsidR="006C17CB" w:rsidRDefault="006C17CB">
      <w:pPr>
        <w:pStyle w:val="BodyText"/>
        <w:spacing w:before="11"/>
        <w:rPr>
          <w:rFonts w:ascii="Montserrat-Light"/>
          <w:sz w:val="45"/>
        </w:rPr>
      </w:pPr>
    </w:p>
    <w:p w:rsidR="006C17CB" w:rsidRDefault="0030091C">
      <w:pPr>
        <w:ind w:right="1131"/>
        <w:jc w:val="right"/>
        <w:rPr>
          <w:rFonts w:ascii="Montserrat-Light" w:hAnsi="Montserrat-Light"/>
          <w:sz w:val="32"/>
        </w:rPr>
      </w:pPr>
      <w:r>
        <w:rPr>
          <w:rFonts w:ascii="Montserrat-Light" w:hAnsi="Montserrat-Light"/>
          <w:color w:val="FFFFFF"/>
          <w:sz w:val="32"/>
        </w:rPr>
        <w:t>2017–2018</w:t>
      </w:r>
    </w:p>
    <w:p w:rsidR="006C17CB" w:rsidRDefault="006C17CB">
      <w:pPr>
        <w:pStyle w:val="BodyText"/>
        <w:rPr>
          <w:rFonts w:ascii="Montserrat-Light"/>
          <w:sz w:val="46"/>
        </w:rPr>
      </w:pPr>
    </w:p>
    <w:p w:rsidR="006C17CB" w:rsidRDefault="006C17CB">
      <w:pPr>
        <w:pStyle w:val="BodyText"/>
        <w:rPr>
          <w:rFonts w:ascii="Montserrat-Light"/>
          <w:sz w:val="46"/>
        </w:rPr>
      </w:pPr>
    </w:p>
    <w:p w:rsidR="006C17CB" w:rsidRDefault="0030091C">
      <w:pPr>
        <w:spacing w:before="299"/>
        <w:ind w:right="1096"/>
        <w:jc w:val="right"/>
        <w:rPr>
          <w:rFonts w:ascii="Montserrat-Light" w:hAnsi="Montserrat-Light"/>
          <w:sz w:val="32"/>
        </w:rPr>
      </w:pPr>
      <w:r>
        <w:rPr>
          <w:rFonts w:ascii="Montserrat-Light" w:hAnsi="Montserrat-Light"/>
          <w:color w:val="FFFFFF"/>
          <w:spacing w:val="25"/>
          <w:sz w:val="32"/>
        </w:rPr>
        <w:t xml:space="preserve">PEACE </w:t>
      </w:r>
      <w:r>
        <w:rPr>
          <w:rFonts w:ascii="Montserrat-Light" w:hAnsi="Montserrat-Light"/>
          <w:color w:val="FFFFFF"/>
          <w:sz w:val="32"/>
        </w:rPr>
        <w:t xml:space="preserve">•  </w:t>
      </w:r>
      <w:r>
        <w:rPr>
          <w:rFonts w:ascii="Montserrat-Light" w:hAnsi="Montserrat-Light"/>
          <w:color w:val="FFFFFF"/>
          <w:spacing w:val="27"/>
          <w:sz w:val="32"/>
        </w:rPr>
        <w:t xml:space="preserve">ORDER </w:t>
      </w:r>
      <w:r>
        <w:rPr>
          <w:rFonts w:ascii="Montserrat-Light" w:hAnsi="Montserrat-Light"/>
          <w:color w:val="FFFFFF"/>
          <w:sz w:val="32"/>
        </w:rPr>
        <w:t xml:space="preserve">•  </w:t>
      </w:r>
      <w:r>
        <w:rPr>
          <w:rFonts w:ascii="Montserrat-Light" w:hAnsi="Montserrat-Light"/>
          <w:color w:val="FFFFFF"/>
          <w:spacing w:val="25"/>
          <w:sz w:val="32"/>
        </w:rPr>
        <w:t>GOOD</w:t>
      </w:r>
      <w:r>
        <w:rPr>
          <w:rFonts w:ascii="Montserrat-Light" w:hAnsi="Montserrat-Light"/>
          <w:color w:val="FFFFFF"/>
          <w:spacing w:val="125"/>
          <w:sz w:val="32"/>
        </w:rPr>
        <w:t xml:space="preserve"> </w:t>
      </w:r>
      <w:r>
        <w:rPr>
          <w:rFonts w:ascii="Montserrat-Light" w:hAnsi="Montserrat-Light"/>
          <w:color w:val="FFFFFF"/>
          <w:spacing w:val="30"/>
          <w:sz w:val="32"/>
        </w:rPr>
        <w:t>GOVERNMENT</w:t>
      </w:r>
      <w:r>
        <w:rPr>
          <w:rFonts w:ascii="Montserrat-Light" w:hAnsi="Montserrat-Light"/>
          <w:color w:val="FFFFFF"/>
          <w:spacing w:val="-53"/>
          <w:sz w:val="32"/>
        </w:rPr>
        <w:t xml:space="preserve"> </w:t>
      </w:r>
    </w:p>
    <w:p w:rsidR="006C17CB" w:rsidRDefault="006C17CB">
      <w:pPr>
        <w:jc w:val="right"/>
        <w:rPr>
          <w:rFonts w:ascii="Montserrat-Light" w:hAnsi="Montserrat-Light"/>
          <w:sz w:val="32"/>
        </w:rPr>
        <w:sectPr w:rsidR="006C17CB">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580" w:right="0" w:bottom="280" w:left="980" w:header="720" w:footer="720" w:gutter="0"/>
          <w:cols w:space="720"/>
        </w:sect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spacing w:before="8"/>
        <w:rPr>
          <w:rFonts w:ascii="Montserrat-Light"/>
          <w:sz w:val="27"/>
        </w:rPr>
      </w:pPr>
    </w:p>
    <w:p w:rsidR="006C17CB" w:rsidRDefault="0030091C">
      <w:pPr>
        <w:spacing w:before="32" w:line="203" w:lineRule="exact"/>
        <w:ind w:left="153"/>
        <w:rPr>
          <w:rFonts w:ascii="Calibri"/>
          <w:sz w:val="16"/>
        </w:rPr>
      </w:pPr>
      <w:r>
        <w:rPr>
          <w:rFonts w:ascii="Calibri"/>
          <w:sz w:val="16"/>
        </w:rPr>
        <w:t>ISSN 2209-1246 (Print)</w:t>
      </w:r>
    </w:p>
    <w:p w:rsidR="006C17CB" w:rsidRDefault="0030091C">
      <w:pPr>
        <w:spacing w:line="203" w:lineRule="exact"/>
        <w:ind w:left="153"/>
        <w:rPr>
          <w:rFonts w:ascii="Calibri"/>
          <w:sz w:val="16"/>
        </w:rPr>
      </w:pPr>
      <w:r>
        <w:rPr>
          <w:rFonts w:ascii="Calibri"/>
          <w:sz w:val="16"/>
        </w:rPr>
        <w:t>ISSN 2209-1254 (Online)</w:t>
      </w:r>
    </w:p>
    <w:p w:rsidR="006C17CB" w:rsidRDefault="0030091C">
      <w:pPr>
        <w:spacing w:before="69"/>
        <w:ind w:left="153"/>
        <w:rPr>
          <w:rFonts w:ascii="Calibri" w:hAnsi="Calibri"/>
          <w:sz w:val="16"/>
        </w:rPr>
      </w:pPr>
      <w:r>
        <w:rPr>
          <w:rFonts w:ascii="Calibri" w:hAnsi="Calibri"/>
          <w:sz w:val="16"/>
        </w:rPr>
        <w:t>© Office of the Legislative Assembly</w:t>
      </w:r>
    </w:p>
    <w:p w:rsidR="006C17CB" w:rsidRDefault="0030091C">
      <w:pPr>
        <w:spacing w:before="104" w:line="182" w:lineRule="auto"/>
        <w:ind w:left="153" w:right="6259"/>
        <w:jc w:val="both"/>
        <w:rPr>
          <w:rFonts w:ascii="Calibri"/>
          <w:sz w:val="16"/>
        </w:rPr>
      </w:pPr>
      <w:r>
        <w:rPr>
          <w:rFonts w:ascii="Calibri"/>
          <w:sz w:val="16"/>
        </w:rPr>
        <w:t>This</w:t>
      </w:r>
      <w:r>
        <w:rPr>
          <w:rFonts w:ascii="Calibri"/>
          <w:spacing w:val="-11"/>
          <w:sz w:val="16"/>
        </w:rPr>
        <w:t xml:space="preserve"> </w:t>
      </w:r>
      <w:r>
        <w:rPr>
          <w:rFonts w:ascii="Calibri"/>
          <w:sz w:val="16"/>
        </w:rPr>
        <w:t>publication</w:t>
      </w:r>
      <w:r>
        <w:rPr>
          <w:rFonts w:ascii="Calibri"/>
          <w:spacing w:val="-11"/>
          <w:sz w:val="16"/>
        </w:rPr>
        <w:t xml:space="preserve"> </w:t>
      </w:r>
      <w:r>
        <w:rPr>
          <w:rFonts w:ascii="Calibri"/>
          <w:sz w:val="16"/>
        </w:rPr>
        <w:t>is</w:t>
      </w:r>
      <w:r>
        <w:rPr>
          <w:rFonts w:ascii="Calibri"/>
          <w:spacing w:val="-11"/>
          <w:sz w:val="16"/>
        </w:rPr>
        <w:t xml:space="preserve"> </w:t>
      </w:r>
      <w:r>
        <w:rPr>
          <w:rFonts w:ascii="Calibri"/>
          <w:sz w:val="16"/>
        </w:rPr>
        <w:t>subject</w:t>
      </w:r>
      <w:r>
        <w:rPr>
          <w:rFonts w:ascii="Calibri"/>
          <w:spacing w:val="-11"/>
          <w:sz w:val="16"/>
        </w:rPr>
        <w:t xml:space="preserve"> </w:t>
      </w:r>
      <w:r>
        <w:rPr>
          <w:rFonts w:ascii="Calibri"/>
          <w:sz w:val="16"/>
        </w:rPr>
        <w:t>to</w:t>
      </w:r>
      <w:r>
        <w:rPr>
          <w:rFonts w:ascii="Calibri"/>
          <w:spacing w:val="-11"/>
          <w:sz w:val="16"/>
        </w:rPr>
        <w:t xml:space="preserve"> </w:t>
      </w:r>
      <w:r>
        <w:rPr>
          <w:rFonts w:ascii="Calibri"/>
          <w:sz w:val="16"/>
        </w:rPr>
        <w:t>copyright.</w:t>
      </w:r>
      <w:r>
        <w:rPr>
          <w:rFonts w:ascii="Calibri"/>
          <w:spacing w:val="-10"/>
          <w:sz w:val="16"/>
        </w:rPr>
        <w:t xml:space="preserve"> </w:t>
      </w:r>
      <w:r>
        <w:rPr>
          <w:rFonts w:ascii="Calibri"/>
          <w:sz w:val="16"/>
        </w:rPr>
        <w:t>Except</w:t>
      </w:r>
      <w:r>
        <w:rPr>
          <w:rFonts w:ascii="Calibri"/>
          <w:spacing w:val="-10"/>
          <w:sz w:val="16"/>
        </w:rPr>
        <w:t xml:space="preserve"> </w:t>
      </w:r>
      <w:r>
        <w:rPr>
          <w:rFonts w:ascii="Calibri"/>
          <w:sz w:val="16"/>
        </w:rPr>
        <w:t>as</w:t>
      </w:r>
      <w:r>
        <w:rPr>
          <w:rFonts w:ascii="Calibri"/>
          <w:spacing w:val="-11"/>
          <w:sz w:val="16"/>
        </w:rPr>
        <w:t xml:space="preserve"> </w:t>
      </w:r>
      <w:r>
        <w:rPr>
          <w:rFonts w:ascii="Calibri"/>
          <w:sz w:val="16"/>
        </w:rPr>
        <w:t>permitted</w:t>
      </w:r>
      <w:r>
        <w:rPr>
          <w:rFonts w:ascii="Calibri"/>
          <w:spacing w:val="-10"/>
          <w:sz w:val="16"/>
        </w:rPr>
        <w:t xml:space="preserve"> </w:t>
      </w:r>
      <w:r>
        <w:rPr>
          <w:rFonts w:ascii="Calibri"/>
          <w:sz w:val="16"/>
        </w:rPr>
        <w:t>under</w:t>
      </w:r>
      <w:r>
        <w:rPr>
          <w:rFonts w:ascii="Calibri"/>
          <w:spacing w:val="-11"/>
          <w:sz w:val="16"/>
        </w:rPr>
        <w:t xml:space="preserve"> </w:t>
      </w:r>
      <w:r>
        <w:rPr>
          <w:rFonts w:ascii="Calibri"/>
          <w:sz w:val="16"/>
        </w:rPr>
        <w:t xml:space="preserve">the </w:t>
      </w:r>
      <w:r>
        <w:rPr>
          <w:rFonts w:ascii="Calibri"/>
          <w:i/>
          <w:spacing w:val="-3"/>
          <w:sz w:val="16"/>
        </w:rPr>
        <w:t>Copyright</w:t>
      </w:r>
      <w:r>
        <w:rPr>
          <w:rFonts w:ascii="Calibri"/>
          <w:i/>
          <w:spacing w:val="-7"/>
          <w:sz w:val="16"/>
        </w:rPr>
        <w:t xml:space="preserve"> </w:t>
      </w:r>
      <w:r>
        <w:rPr>
          <w:rFonts w:ascii="Calibri"/>
          <w:i/>
          <w:spacing w:val="-3"/>
          <w:sz w:val="16"/>
        </w:rPr>
        <w:t>Amendment</w:t>
      </w:r>
      <w:r>
        <w:rPr>
          <w:rFonts w:ascii="Calibri"/>
          <w:i/>
          <w:spacing w:val="-7"/>
          <w:sz w:val="16"/>
        </w:rPr>
        <w:t xml:space="preserve"> </w:t>
      </w:r>
      <w:r>
        <w:rPr>
          <w:rFonts w:ascii="Calibri"/>
          <w:i/>
          <w:spacing w:val="-3"/>
          <w:sz w:val="16"/>
        </w:rPr>
        <w:t>(Parallel</w:t>
      </w:r>
      <w:r>
        <w:rPr>
          <w:rFonts w:ascii="Calibri"/>
          <w:i/>
          <w:spacing w:val="-7"/>
          <w:sz w:val="16"/>
        </w:rPr>
        <w:t xml:space="preserve"> </w:t>
      </w:r>
      <w:r>
        <w:rPr>
          <w:rFonts w:ascii="Calibri"/>
          <w:i/>
          <w:spacing w:val="-3"/>
          <w:sz w:val="16"/>
        </w:rPr>
        <w:t>Importation)</w:t>
      </w:r>
      <w:r>
        <w:rPr>
          <w:rFonts w:ascii="Calibri"/>
          <w:i/>
          <w:spacing w:val="-7"/>
          <w:sz w:val="16"/>
        </w:rPr>
        <w:t xml:space="preserve"> </w:t>
      </w:r>
      <w:r>
        <w:rPr>
          <w:rFonts w:ascii="Calibri"/>
          <w:i/>
          <w:sz w:val="16"/>
        </w:rPr>
        <w:t>Act</w:t>
      </w:r>
      <w:r>
        <w:rPr>
          <w:rFonts w:ascii="Calibri"/>
          <w:i/>
          <w:spacing w:val="-7"/>
          <w:sz w:val="16"/>
        </w:rPr>
        <w:t xml:space="preserve"> </w:t>
      </w:r>
      <w:r>
        <w:rPr>
          <w:rFonts w:ascii="Calibri"/>
          <w:i/>
          <w:spacing w:val="-3"/>
          <w:sz w:val="16"/>
        </w:rPr>
        <w:t>2003</w:t>
      </w:r>
      <w:r>
        <w:rPr>
          <w:rFonts w:ascii="Calibri"/>
          <w:spacing w:val="-3"/>
          <w:sz w:val="16"/>
        </w:rPr>
        <w:t>,</w:t>
      </w:r>
      <w:r>
        <w:rPr>
          <w:rFonts w:ascii="Calibri"/>
          <w:spacing w:val="-1"/>
          <w:sz w:val="16"/>
        </w:rPr>
        <w:t xml:space="preserve"> </w:t>
      </w:r>
      <w:r>
        <w:rPr>
          <w:rFonts w:ascii="Calibri"/>
          <w:sz w:val="16"/>
        </w:rPr>
        <w:t>no</w:t>
      </w:r>
      <w:r>
        <w:rPr>
          <w:rFonts w:ascii="Calibri"/>
          <w:spacing w:val="-2"/>
          <w:sz w:val="16"/>
        </w:rPr>
        <w:t xml:space="preserve"> </w:t>
      </w:r>
      <w:r>
        <w:rPr>
          <w:rFonts w:ascii="Calibri"/>
          <w:sz w:val="16"/>
        </w:rPr>
        <w:t>part</w:t>
      </w:r>
      <w:r>
        <w:rPr>
          <w:rFonts w:ascii="Calibri"/>
          <w:spacing w:val="-2"/>
          <w:sz w:val="16"/>
        </w:rPr>
        <w:t xml:space="preserve"> </w:t>
      </w:r>
      <w:r>
        <w:rPr>
          <w:rFonts w:ascii="Calibri"/>
          <w:sz w:val="16"/>
        </w:rPr>
        <w:t>of</w:t>
      </w:r>
      <w:r>
        <w:rPr>
          <w:rFonts w:ascii="Calibri"/>
          <w:spacing w:val="-2"/>
          <w:sz w:val="16"/>
        </w:rPr>
        <w:t xml:space="preserve"> </w:t>
      </w:r>
      <w:r>
        <w:rPr>
          <w:rFonts w:ascii="Calibri"/>
          <w:sz w:val="16"/>
        </w:rPr>
        <w:t>it</w:t>
      </w:r>
      <w:r>
        <w:rPr>
          <w:rFonts w:ascii="Calibri"/>
          <w:spacing w:val="-2"/>
          <w:sz w:val="16"/>
        </w:rPr>
        <w:t xml:space="preserve"> </w:t>
      </w:r>
      <w:r>
        <w:rPr>
          <w:rFonts w:ascii="Calibri"/>
          <w:sz w:val="16"/>
        </w:rPr>
        <w:t>may in</w:t>
      </w:r>
      <w:r>
        <w:rPr>
          <w:rFonts w:ascii="Calibri"/>
          <w:spacing w:val="-4"/>
          <w:sz w:val="16"/>
        </w:rPr>
        <w:t xml:space="preserve"> </w:t>
      </w:r>
      <w:r>
        <w:rPr>
          <w:rFonts w:ascii="Calibri"/>
          <w:sz w:val="16"/>
        </w:rPr>
        <w:t>any</w:t>
      </w:r>
      <w:r>
        <w:rPr>
          <w:rFonts w:ascii="Calibri"/>
          <w:spacing w:val="-3"/>
          <w:sz w:val="16"/>
        </w:rPr>
        <w:t xml:space="preserve"> </w:t>
      </w:r>
      <w:r>
        <w:rPr>
          <w:rFonts w:ascii="Calibri"/>
          <w:sz w:val="16"/>
        </w:rPr>
        <w:t>form</w:t>
      </w:r>
      <w:r>
        <w:rPr>
          <w:rFonts w:ascii="Calibri"/>
          <w:spacing w:val="-4"/>
          <w:sz w:val="16"/>
        </w:rPr>
        <w:t xml:space="preserve"> </w:t>
      </w:r>
      <w:r>
        <w:rPr>
          <w:rFonts w:ascii="Calibri"/>
          <w:sz w:val="16"/>
        </w:rPr>
        <w:t>or</w:t>
      </w:r>
      <w:r>
        <w:rPr>
          <w:rFonts w:ascii="Calibri"/>
          <w:spacing w:val="-4"/>
          <w:sz w:val="16"/>
        </w:rPr>
        <w:t xml:space="preserve"> </w:t>
      </w:r>
      <w:r>
        <w:rPr>
          <w:rFonts w:ascii="Calibri"/>
          <w:sz w:val="16"/>
        </w:rPr>
        <w:t>by</w:t>
      </w:r>
      <w:r>
        <w:rPr>
          <w:rFonts w:ascii="Calibri"/>
          <w:spacing w:val="-3"/>
          <w:sz w:val="16"/>
        </w:rPr>
        <w:t xml:space="preserve"> </w:t>
      </w:r>
      <w:r>
        <w:rPr>
          <w:rFonts w:ascii="Calibri"/>
          <w:sz w:val="16"/>
        </w:rPr>
        <w:t>any</w:t>
      </w:r>
      <w:r>
        <w:rPr>
          <w:rFonts w:ascii="Calibri"/>
          <w:spacing w:val="-3"/>
          <w:sz w:val="16"/>
        </w:rPr>
        <w:t xml:space="preserve"> </w:t>
      </w:r>
      <w:r>
        <w:rPr>
          <w:rFonts w:ascii="Calibri"/>
          <w:sz w:val="16"/>
        </w:rPr>
        <w:t>means</w:t>
      </w:r>
      <w:r>
        <w:rPr>
          <w:rFonts w:ascii="Calibri"/>
          <w:spacing w:val="-3"/>
          <w:sz w:val="16"/>
        </w:rPr>
        <w:t xml:space="preserve"> </w:t>
      </w:r>
      <w:r>
        <w:rPr>
          <w:rFonts w:ascii="Calibri"/>
          <w:sz w:val="16"/>
        </w:rPr>
        <w:t>(electronic,</w:t>
      </w:r>
      <w:r>
        <w:rPr>
          <w:rFonts w:ascii="Calibri"/>
          <w:spacing w:val="-4"/>
          <w:sz w:val="16"/>
        </w:rPr>
        <w:t xml:space="preserve"> </w:t>
      </w:r>
      <w:r>
        <w:rPr>
          <w:rFonts w:ascii="Calibri"/>
          <w:sz w:val="16"/>
        </w:rPr>
        <w:t>mechanical,</w:t>
      </w:r>
      <w:r>
        <w:rPr>
          <w:rFonts w:ascii="Calibri"/>
          <w:spacing w:val="-4"/>
          <w:sz w:val="16"/>
        </w:rPr>
        <w:t xml:space="preserve"> </w:t>
      </w:r>
      <w:r>
        <w:rPr>
          <w:rFonts w:ascii="Calibri"/>
          <w:sz w:val="16"/>
        </w:rPr>
        <w:t>microcopying,</w:t>
      </w:r>
    </w:p>
    <w:p w:rsidR="006C17CB" w:rsidRDefault="0030091C">
      <w:pPr>
        <w:spacing w:before="2" w:line="182" w:lineRule="auto"/>
        <w:ind w:left="153" w:right="5488"/>
        <w:rPr>
          <w:rFonts w:ascii="Calibri"/>
          <w:sz w:val="16"/>
        </w:rPr>
      </w:pPr>
      <w:r>
        <w:rPr>
          <w:rFonts w:ascii="Calibri"/>
          <w:sz w:val="16"/>
        </w:rPr>
        <w:t>photocopying, recording or otherwise) be reproduced, stored in a retrieval system or transmitted without prior written permission.</w:t>
      </w:r>
    </w:p>
    <w:p w:rsidR="006C17CB" w:rsidRDefault="0030091C">
      <w:pPr>
        <w:spacing w:before="10" w:line="290" w:lineRule="atLeast"/>
        <w:ind w:left="153" w:right="7641"/>
        <w:rPr>
          <w:rFonts w:ascii="Calibri"/>
          <w:sz w:val="16"/>
        </w:rPr>
      </w:pPr>
      <w:r>
        <w:rPr>
          <w:rFonts w:ascii="Calibri"/>
          <w:sz w:val="16"/>
        </w:rPr>
        <w:t>Inquiries should be addressed to the publishers. First published October 2018</w:t>
      </w:r>
    </w:p>
    <w:p w:rsidR="006C17CB" w:rsidRDefault="0030091C">
      <w:pPr>
        <w:spacing w:line="175" w:lineRule="exact"/>
        <w:ind w:left="153"/>
        <w:rPr>
          <w:rFonts w:ascii="Calibri"/>
          <w:sz w:val="16"/>
        </w:rPr>
      </w:pPr>
      <w:r>
        <w:rPr>
          <w:rFonts w:ascii="Calibri"/>
          <w:sz w:val="16"/>
        </w:rPr>
        <w:t>Published in Australia by the Office of the Legislative Assembly</w:t>
      </w:r>
    </w:p>
    <w:p w:rsidR="006C17CB" w:rsidRDefault="0030091C">
      <w:pPr>
        <w:spacing w:before="104" w:line="182" w:lineRule="auto"/>
        <w:ind w:left="153" w:right="8554"/>
        <w:rPr>
          <w:rFonts w:ascii="Calibri"/>
          <w:sz w:val="16"/>
        </w:rPr>
      </w:pPr>
      <w:r>
        <w:rPr>
          <w:rFonts w:ascii="Calibri"/>
          <w:sz w:val="16"/>
        </w:rPr>
        <w:t>Office of the Legislative Assembly 196 London Circuit</w:t>
      </w:r>
    </w:p>
    <w:p w:rsidR="006C17CB" w:rsidRDefault="0030091C">
      <w:pPr>
        <w:spacing w:line="187" w:lineRule="exact"/>
        <w:ind w:left="153"/>
        <w:rPr>
          <w:rFonts w:ascii="Calibri"/>
          <w:sz w:val="16"/>
        </w:rPr>
      </w:pPr>
      <w:r>
        <w:rPr>
          <w:rFonts w:ascii="Calibri"/>
          <w:sz w:val="16"/>
        </w:rPr>
        <w:t>Canberra ACT 2601 Australia</w:t>
      </w:r>
    </w:p>
    <w:p w:rsidR="006C17CB" w:rsidRDefault="0030091C">
      <w:pPr>
        <w:spacing w:before="59" w:line="203" w:lineRule="exact"/>
        <w:ind w:left="153"/>
        <w:rPr>
          <w:rFonts w:ascii="Calibri"/>
          <w:sz w:val="16"/>
        </w:rPr>
      </w:pPr>
      <w:r>
        <w:rPr>
          <w:rFonts w:ascii="Calibri"/>
          <w:sz w:val="16"/>
        </w:rPr>
        <w:t>Telephone 6205 0439</w:t>
      </w:r>
    </w:p>
    <w:p w:rsidR="006C17CB" w:rsidRDefault="0030091C">
      <w:pPr>
        <w:spacing w:line="203" w:lineRule="exact"/>
        <w:ind w:left="153"/>
        <w:rPr>
          <w:rFonts w:ascii="Calibri"/>
          <w:sz w:val="16"/>
        </w:rPr>
      </w:pPr>
      <w:r>
        <w:rPr>
          <w:rFonts w:ascii="Calibri"/>
          <w:sz w:val="16"/>
        </w:rPr>
        <w:t>Facsimile    6205 3109</w:t>
      </w:r>
    </w:p>
    <w:p w:rsidR="006C17CB" w:rsidRDefault="0030091C">
      <w:pPr>
        <w:tabs>
          <w:tab w:val="left" w:pos="873"/>
        </w:tabs>
        <w:spacing w:before="104" w:line="182" w:lineRule="auto"/>
        <w:ind w:left="153" w:right="8232"/>
        <w:rPr>
          <w:rFonts w:ascii="Calibri"/>
          <w:sz w:val="16"/>
        </w:rPr>
      </w:pPr>
      <w:r>
        <w:rPr>
          <w:rFonts w:ascii="Calibri"/>
          <w:sz w:val="16"/>
        </w:rPr>
        <w:t>Email</w:t>
      </w:r>
      <w:r>
        <w:rPr>
          <w:rFonts w:ascii="Calibri"/>
          <w:sz w:val="16"/>
        </w:rPr>
        <w:tab/>
      </w:r>
      <w:hyperlink r:id="rId16">
        <w:r>
          <w:rPr>
            <w:rFonts w:ascii="Calibri"/>
            <w:color w:val="004289"/>
            <w:spacing w:val="-1"/>
            <w:sz w:val="16"/>
            <w:u w:val="single" w:color="004289"/>
          </w:rPr>
          <w:t>OLA@parliament.act.gov.au</w:t>
        </w:r>
      </w:hyperlink>
      <w:r>
        <w:rPr>
          <w:rFonts w:ascii="Calibri"/>
          <w:color w:val="004289"/>
          <w:spacing w:val="-1"/>
          <w:sz w:val="16"/>
        </w:rPr>
        <w:t xml:space="preserve"> </w:t>
      </w:r>
      <w:r>
        <w:rPr>
          <w:rFonts w:ascii="Calibri"/>
          <w:sz w:val="16"/>
        </w:rPr>
        <w:t>Web</w:t>
      </w:r>
      <w:r>
        <w:rPr>
          <w:rFonts w:ascii="Calibri"/>
          <w:sz w:val="16"/>
        </w:rPr>
        <w:tab/>
      </w:r>
      <w:hyperlink r:id="rId17">
        <w:r>
          <w:rPr>
            <w:rFonts w:ascii="Calibri"/>
            <w:color w:val="004289"/>
            <w:spacing w:val="-1"/>
            <w:sz w:val="16"/>
            <w:u w:val="single" w:color="004289"/>
          </w:rPr>
          <w:t>www.parliament.act.gov.au</w:t>
        </w:r>
      </w:hyperlink>
    </w:p>
    <w:p w:rsidR="006C17CB" w:rsidRDefault="0030091C">
      <w:pPr>
        <w:tabs>
          <w:tab w:val="left" w:pos="873"/>
        </w:tabs>
        <w:spacing w:before="115" w:line="182" w:lineRule="auto"/>
        <w:ind w:left="153" w:right="8953"/>
        <w:rPr>
          <w:rFonts w:ascii="Calibri"/>
          <w:sz w:val="16"/>
        </w:rPr>
      </w:pPr>
      <w:r>
        <w:rPr>
          <w:rFonts w:ascii="Calibri"/>
          <w:sz w:val="16"/>
        </w:rPr>
        <w:t>Twitter</w:t>
      </w:r>
      <w:r>
        <w:rPr>
          <w:rFonts w:ascii="Calibri"/>
          <w:sz w:val="16"/>
        </w:rPr>
        <w:tab/>
        <w:t>@ACT_Assembly Facebook</w:t>
      </w:r>
      <w:r>
        <w:rPr>
          <w:rFonts w:ascii="Calibri"/>
          <w:spacing w:val="16"/>
          <w:sz w:val="16"/>
        </w:rPr>
        <w:t xml:space="preserve"> </w:t>
      </w:r>
      <w:r>
        <w:rPr>
          <w:rFonts w:ascii="Calibri"/>
          <w:sz w:val="16"/>
        </w:rPr>
        <w:t>@ACTAssembly</w:t>
      </w:r>
    </w:p>
    <w:p w:rsidR="006C17CB" w:rsidRDefault="0030091C">
      <w:pPr>
        <w:spacing w:before="114" w:line="182" w:lineRule="auto"/>
        <w:ind w:left="153" w:right="5910"/>
        <w:rPr>
          <w:rFonts w:ascii="Calibri"/>
          <w:sz w:val="16"/>
        </w:rPr>
      </w:pPr>
      <w:r>
        <w:rPr>
          <w:rFonts w:ascii="Calibri"/>
          <w:sz w:val="16"/>
        </w:rPr>
        <w:t>Produced by: ACT Government Publishing Services Publication No 18/1045 Printed on 100% recycled paper</w:t>
      </w:r>
    </w:p>
    <w:p w:rsidR="006C17CB" w:rsidRDefault="006C17CB">
      <w:pPr>
        <w:spacing w:line="182" w:lineRule="auto"/>
        <w:rPr>
          <w:rFonts w:ascii="Calibri"/>
          <w:sz w:val="16"/>
        </w:rPr>
        <w:sectPr w:rsidR="006C17CB">
          <w:footerReference w:type="even" r:id="rId18"/>
          <w:footerReference w:type="default" r:id="rId19"/>
          <w:pgSz w:w="11910" w:h="16840"/>
          <w:pgMar w:top="1580" w:right="0" w:bottom="720" w:left="980" w:header="0" w:footer="523" w:gutter="0"/>
          <w:pgNumType w:start="2"/>
          <w:cols w:space="720"/>
        </w:sectPr>
      </w:pPr>
    </w:p>
    <w:p w:rsidR="006C17CB" w:rsidRDefault="0030091C">
      <w:pPr>
        <w:pStyle w:val="Heading3"/>
      </w:pPr>
      <w:bookmarkStart w:id="1" w:name="Transmittal_certificate"/>
      <w:bookmarkStart w:id="2" w:name="_bookmark0"/>
      <w:bookmarkEnd w:id="1"/>
      <w:bookmarkEnd w:id="2"/>
      <w:r>
        <w:rPr>
          <w:color w:val="004289"/>
        </w:rPr>
        <w:lastRenderedPageBreak/>
        <w:t>TRANSMITTAL CERTIFICATE</w:t>
      </w: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30091C">
      <w:pPr>
        <w:spacing w:before="293" w:line="189" w:lineRule="auto"/>
        <w:ind w:left="153" w:right="9413"/>
        <w:rPr>
          <w:rFonts w:ascii="Calibri"/>
          <w:b/>
        </w:rPr>
      </w:pPr>
      <w:r>
        <w:rPr>
          <w:rFonts w:ascii="Calibri"/>
          <w:b/>
        </w:rPr>
        <w:t>Joy Burch MLA Speaker</w:t>
      </w:r>
    </w:p>
    <w:p w:rsidR="006C17CB" w:rsidRDefault="0030091C">
      <w:pPr>
        <w:spacing w:line="189" w:lineRule="auto"/>
        <w:ind w:left="153" w:right="7641"/>
        <w:rPr>
          <w:rFonts w:ascii="Calibri"/>
          <w:b/>
        </w:rPr>
      </w:pPr>
      <w:r>
        <w:rPr>
          <w:rFonts w:ascii="Calibri"/>
          <w:b/>
        </w:rPr>
        <w:t>Legislative Assembly for the ACT Civic Square</w:t>
      </w:r>
    </w:p>
    <w:p w:rsidR="006C17CB" w:rsidRDefault="0030091C">
      <w:pPr>
        <w:spacing w:line="189" w:lineRule="auto"/>
        <w:ind w:left="153" w:right="9015"/>
        <w:rPr>
          <w:rFonts w:ascii="Calibri"/>
          <w:b/>
        </w:rPr>
      </w:pPr>
      <w:r>
        <w:rPr>
          <w:rFonts w:ascii="Calibri"/>
          <w:b/>
        </w:rPr>
        <w:t>London Circuit Canberra ACT 2601</w:t>
      </w:r>
    </w:p>
    <w:p w:rsidR="006C17CB" w:rsidRDefault="006C17CB">
      <w:pPr>
        <w:pStyle w:val="BodyText"/>
        <w:spacing w:before="7"/>
        <w:rPr>
          <w:rFonts w:ascii="Calibri"/>
          <w:b/>
          <w:sz w:val="27"/>
        </w:rPr>
      </w:pPr>
    </w:p>
    <w:p w:rsidR="006C17CB" w:rsidRDefault="0030091C">
      <w:pPr>
        <w:pStyle w:val="BodyText"/>
        <w:ind w:left="153"/>
      </w:pPr>
      <w:r>
        <w:t>Dear Madam Speaker</w:t>
      </w:r>
    </w:p>
    <w:p w:rsidR="006C17CB" w:rsidRDefault="0030091C">
      <w:pPr>
        <w:pStyle w:val="BodyText"/>
        <w:spacing w:before="100" w:line="189" w:lineRule="auto"/>
        <w:ind w:left="153" w:right="1412"/>
      </w:pPr>
      <w:r>
        <w:t>I am pleased to submit for your information and presentation to the Legislative Assembly for the ACT this annual report of the Office of the Legislative Assembly (the Office) for the year ended 30 June 2018.</w:t>
      </w:r>
    </w:p>
    <w:p w:rsidR="006C17CB" w:rsidRDefault="0030091C">
      <w:pPr>
        <w:pStyle w:val="BodyText"/>
        <w:spacing w:before="113" w:line="189" w:lineRule="auto"/>
        <w:ind w:left="153" w:right="1412"/>
      </w:pPr>
      <w:r>
        <w:t xml:space="preserve">Pursuant to section 7B of the </w:t>
      </w:r>
      <w:hyperlink r:id="rId20">
        <w:r>
          <w:rPr>
            <w:rFonts w:ascii="Calibri"/>
            <w:i/>
          </w:rPr>
          <w:t>Annual Reports (Government Agencies) Act 2004</w:t>
        </w:r>
      </w:hyperlink>
      <w:r>
        <w:t>, the Office is required to prepare a report that includes an account of the management of the Office during the reporting year. You will be aware, however, that the Office is not required to comply with an annual report direction made by the minister in accordance with section 8 of the Act.</w:t>
      </w:r>
    </w:p>
    <w:p w:rsidR="006C17CB" w:rsidRDefault="0030091C">
      <w:pPr>
        <w:pStyle w:val="BodyText"/>
        <w:spacing w:before="57"/>
        <w:ind w:left="153"/>
      </w:pPr>
      <w:r>
        <w:t>I commend the report to you and trust that you find it informative.</w:t>
      </w: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30091C">
      <w:pPr>
        <w:pStyle w:val="BodyText"/>
        <w:spacing w:before="3"/>
        <w:rPr>
          <w:sz w:val="19"/>
        </w:rPr>
      </w:pPr>
      <w:r>
        <w:rPr>
          <w:noProof/>
          <w:lang w:val="en-AU" w:eastAsia="en-AU" w:bidi="ar-SA"/>
        </w:rPr>
        <w:drawing>
          <wp:anchor distT="0" distB="0" distL="0" distR="0" simplePos="0" relativeHeight="1072" behindDoc="0" locked="0" layoutInCell="1" allowOverlap="1">
            <wp:simplePos x="0" y="0"/>
            <wp:positionH relativeFrom="page">
              <wp:posOffset>738882</wp:posOffset>
            </wp:positionH>
            <wp:positionV relativeFrom="paragraph">
              <wp:posOffset>200724</wp:posOffset>
            </wp:positionV>
            <wp:extent cx="1288205" cy="501491"/>
            <wp:effectExtent l="0" t="0" r="0" b="0"/>
            <wp:wrapTopAndBottom/>
            <wp:docPr id="1" name="image3.png"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1" cstate="print"/>
                    <a:stretch>
                      <a:fillRect/>
                    </a:stretch>
                  </pic:blipFill>
                  <pic:spPr>
                    <a:xfrm>
                      <a:off x="0" y="0"/>
                      <a:ext cx="1288205" cy="501491"/>
                    </a:xfrm>
                    <a:prstGeom prst="rect">
                      <a:avLst/>
                    </a:prstGeom>
                  </pic:spPr>
                </pic:pic>
              </a:graphicData>
            </a:graphic>
          </wp:anchor>
        </w:drawing>
      </w:r>
    </w:p>
    <w:p w:rsidR="006C17CB" w:rsidRDefault="006C17CB">
      <w:pPr>
        <w:pStyle w:val="BodyText"/>
        <w:spacing w:before="3"/>
        <w:rPr>
          <w:sz w:val="7"/>
        </w:rPr>
      </w:pPr>
    </w:p>
    <w:p w:rsidR="006C17CB" w:rsidRDefault="0030091C">
      <w:pPr>
        <w:spacing w:before="7" w:line="307" w:lineRule="exact"/>
        <w:ind w:left="153"/>
        <w:rPr>
          <w:rFonts w:ascii="Calibri"/>
          <w:b/>
        </w:rPr>
      </w:pPr>
      <w:r>
        <w:rPr>
          <w:rFonts w:ascii="Calibri"/>
          <w:b/>
        </w:rPr>
        <w:t>Tom Duncan</w:t>
      </w:r>
    </w:p>
    <w:p w:rsidR="006C17CB" w:rsidRDefault="0030091C">
      <w:pPr>
        <w:spacing w:line="221" w:lineRule="exact"/>
        <w:ind w:left="153"/>
        <w:rPr>
          <w:rFonts w:ascii="Calibri"/>
          <w:sz w:val="18"/>
        </w:rPr>
      </w:pPr>
      <w:r>
        <w:rPr>
          <w:rFonts w:ascii="Calibri"/>
          <w:sz w:val="18"/>
        </w:rPr>
        <w:t>CLERK</w:t>
      </w:r>
    </w:p>
    <w:p w:rsidR="006C17CB" w:rsidRDefault="0030091C">
      <w:pPr>
        <w:pStyle w:val="BodyText"/>
        <w:spacing w:before="26" w:line="189" w:lineRule="auto"/>
        <w:ind w:left="153" w:right="7905"/>
      </w:pPr>
      <w:r>
        <w:t>Legislative Assembly for the ACT October 2018</w:t>
      </w:r>
    </w:p>
    <w:p w:rsidR="006C17CB" w:rsidRDefault="006C17CB">
      <w:pPr>
        <w:spacing w:line="189" w:lineRule="auto"/>
        <w:sectPr w:rsidR="006C17CB">
          <w:pgSz w:w="11910" w:h="16840"/>
          <w:pgMar w:top="1040" w:right="0" w:bottom="740" w:left="980" w:header="0" w:footer="551" w:gutter="0"/>
          <w:cols w:space="720"/>
        </w:sectPr>
      </w:pPr>
    </w:p>
    <w:p w:rsidR="006C17CB" w:rsidRDefault="0030091C">
      <w:pPr>
        <w:spacing w:before="136"/>
        <w:ind w:left="153"/>
        <w:rPr>
          <w:rFonts w:ascii="Montserrat-Light"/>
          <w:sz w:val="38"/>
        </w:rPr>
      </w:pPr>
      <w:r>
        <w:rPr>
          <w:rFonts w:ascii="Montserrat-Light"/>
          <w:color w:val="878787"/>
          <w:sz w:val="38"/>
        </w:rPr>
        <w:lastRenderedPageBreak/>
        <w:t>CONTENTS</w:t>
      </w:r>
    </w:p>
    <w:p w:rsidR="006C17CB" w:rsidRDefault="006C17CB">
      <w:pPr>
        <w:pStyle w:val="BodyText"/>
        <w:rPr>
          <w:rFonts w:ascii="Montserrat-Light"/>
          <w:sz w:val="20"/>
        </w:rPr>
      </w:pPr>
    </w:p>
    <w:p w:rsidR="006C17CB" w:rsidRDefault="006C17CB">
      <w:pPr>
        <w:pStyle w:val="BodyText"/>
        <w:spacing w:before="1"/>
        <w:rPr>
          <w:rFonts w:ascii="Montserrat-Light"/>
          <w:sz w:val="24"/>
        </w:rPr>
      </w:pPr>
    </w:p>
    <w:p w:rsidR="006C17CB" w:rsidRDefault="006C17CB">
      <w:pPr>
        <w:rPr>
          <w:rFonts w:ascii="Montserrat-Light"/>
          <w:sz w:val="24"/>
        </w:rPr>
        <w:sectPr w:rsidR="006C17CB">
          <w:pgSz w:w="11910" w:h="16840"/>
          <w:pgMar w:top="980" w:right="0" w:bottom="720" w:left="980" w:header="0" w:footer="523" w:gutter="0"/>
          <w:cols w:space="720"/>
        </w:sectPr>
      </w:pPr>
    </w:p>
    <w:p w:rsidR="006C17CB" w:rsidRDefault="006C17CB">
      <w:pPr>
        <w:pStyle w:val="BodyText"/>
        <w:rPr>
          <w:rFonts w:ascii="Montserrat-Light"/>
          <w:sz w:val="24"/>
        </w:rPr>
      </w:pPr>
    </w:p>
    <w:p w:rsidR="006C17CB" w:rsidRDefault="006C17CB">
      <w:pPr>
        <w:pStyle w:val="BodyText"/>
        <w:rPr>
          <w:rFonts w:ascii="Montserrat-Light"/>
          <w:sz w:val="24"/>
        </w:rPr>
      </w:pPr>
    </w:p>
    <w:p w:rsidR="006C17CB" w:rsidRDefault="006C17CB">
      <w:pPr>
        <w:pStyle w:val="BodyText"/>
        <w:rPr>
          <w:rFonts w:ascii="Montserrat-Light"/>
          <w:sz w:val="24"/>
        </w:rPr>
      </w:pPr>
    </w:p>
    <w:sdt>
      <w:sdtPr>
        <w:rPr>
          <w:rFonts w:ascii="Calibri-Light" w:eastAsia="Calibri-Light" w:hAnsi="Calibri-Light" w:cs="Calibri-Light"/>
          <w:b w:val="0"/>
          <w:bCs w:val="0"/>
        </w:rPr>
        <w:id w:val="1408500377"/>
        <w:docPartObj>
          <w:docPartGallery w:val="Table of Contents"/>
          <w:docPartUnique/>
        </w:docPartObj>
      </w:sdtPr>
      <w:sdtEndPr/>
      <w:sdtContent>
        <w:p w:rsidR="006C17CB" w:rsidRDefault="00FE24A7">
          <w:pPr>
            <w:pStyle w:val="TOC3"/>
            <w:tabs>
              <w:tab w:val="left" w:leader="dot" w:pos="4662"/>
            </w:tabs>
            <w:spacing w:before="183"/>
            <w:rPr>
              <w:rFonts w:ascii="Calibri-Light"/>
              <w:b w:val="0"/>
            </w:rPr>
          </w:pPr>
          <w:hyperlink w:anchor="_bookmark0" w:history="1">
            <w:r w:rsidR="0030091C">
              <w:t>Transmittal</w:t>
            </w:r>
            <w:r w:rsidR="0030091C">
              <w:rPr>
                <w:spacing w:val="-5"/>
              </w:rPr>
              <w:t xml:space="preserve"> </w:t>
            </w:r>
            <w:r w:rsidR="0030091C">
              <w:t>certificate</w:t>
            </w:r>
            <w:r w:rsidR="0030091C">
              <w:tab/>
            </w:r>
            <w:r w:rsidR="0030091C">
              <w:rPr>
                <w:rFonts w:ascii="Calibri-Light"/>
                <w:b w:val="0"/>
              </w:rPr>
              <w:t>3</w:t>
            </w:r>
          </w:hyperlink>
        </w:p>
        <w:p w:rsidR="006C17CB" w:rsidRDefault="00FE24A7">
          <w:pPr>
            <w:pStyle w:val="TOC3"/>
            <w:tabs>
              <w:tab w:val="left" w:leader="dot" w:pos="4662"/>
            </w:tabs>
            <w:rPr>
              <w:rFonts w:ascii="Calibri-Light" w:hAnsi="Calibri-Light"/>
              <w:b w:val="0"/>
            </w:rPr>
          </w:pPr>
          <w:hyperlink w:anchor="_bookmark1" w:history="1">
            <w:r w:rsidR="0030091C">
              <w:t>The clerk’s</w:t>
            </w:r>
            <w:r w:rsidR="0030091C">
              <w:rPr>
                <w:spacing w:val="-1"/>
              </w:rPr>
              <w:t xml:space="preserve"> </w:t>
            </w:r>
            <w:r w:rsidR="0030091C">
              <w:t>overview</w:t>
            </w:r>
            <w:r w:rsidR="0030091C">
              <w:rPr>
                <w:spacing w:val="-1"/>
              </w:rPr>
              <w:t xml:space="preserve"> </w:t>
            </w:r>
            <w:r w:rsidR="0030091C">
              <w:rPr>
                <w:spacing w:val="-3"/>
              </w:rPr>
              <w:t>2017-2018</w:t>
            </w:r>
            <w:r w:rsidR="0030091C">
              <w:rPr>
                <w:spacing w:val="-3"/>
              </w:rPr>
              <w:tab/>
            </w:r>
            <w:r w:rsidR="0030091C">
              <w:rPr>
                <w:rFonts w:ascii="Calibri-Light" w:hAnsi="Calibri-Light"/>
                <w:b w:val="0"/>
              </w:rPr>
              <w:t>6</w:t>
            </w:r>
          </w:hyperlink>
        </w:p>
        <w:p w:rsidR="006C17CB" w:rsidRDefault="00FE24A7">
          <w:pPr>
            <w:pStyle w:val="TOC3"/>
            <w:tabs>
              <w:tab w:val="left" w:leader="dot" w:pos="4662"/>
            </w:tabs>
            <w:rPr>
              <w:rFonts w:ascii="Calibri-Light"/>
              <w:b w:val="0"/>
            </w:rPr>
          </w:pPr>
          <w:hyperlink w:anchor="_bookmark2" w:history="1">
            <w:r w:rsidR="0030091C">
              <w:rPr>
                <w:spacing w:val="-3"/>
              </w:rPr>
              <w:t xml:space="preserve">2017-2018 </w:t>
            </w:r>
            <w:r w:rsidR="0030091C">
              <w:t>at</w:t>
            </w:r>
            <w:r w:rsidR="0030091C">
              <w:rPr>
                <w:spacing w:val="1"/>
              </w:rPr>
              <w:t xml:space="preserve"> </w:t>
            </w:r>
            <w:r w:rsidR="0030091C">
              <w:t>a</w:t>
            </w:r>
            <w:r w:rsidR="0030091C">
              <w:rPr>
                <w:spacing w:val="-2"/>
              </w:rPr>
              <w:t xml:space="preserve"> </w:t>
            </w:r>
            <w:r w:rsidR="0030091C">
              <w:t>glance</w:t>
            </w:r>
            <w:r w:rsidR="0030091C">
              <w:tab/>
            </w:r>
            <w:r w:rsidR="0030091C">
              <w:rPr>
                <w:rFonts w:ascii="Calibri-Light"/>
                <w:b w:val="0"/>
              </w:rPr>
              <w:t>7</w:t>
            </w:r>
          </w:hyperlink>
        </w:p>
        <w:p w:rsidR="006C17CB" w:rsidRDefault="00FE24A7">
          <w:pPr>
            <w:pStyle w:val="TOC4"/>
            <w:tabs>
              <w:tab w:val="left" w:leader="dot" w:pos="4662"/>
            </w:tabs>
            <w:spacing w:before="27"/>
          </w:pPr>
          <w:hyperlink w:anchor="_bookmark2" w:history="1">
            <w:r w:rsidR="0030091C">
              <w:t>Legislation</w:t>
            </w:r>
            <w:r w:rsidR="0030091C">
              <w:tab/>
              <w:t>7</w:t>
            </w:r>
          </w:hyperlink>
        </w:p>
        <w:p w:rsidR="006C17CB" w:rsidRDefault="00FE24A7">
          <w:pPr>
            <w:pStyle w:val="TOC4"/>
            <w:tabs>
              <w:tab w:val="left" w:leader="dot" w:pos="4662"/>
            </w:tabs>
          </w:pPr>
          <w:hyperlink w:anchor="_bookmark2" w:history="1">
            <w:r w:rsidR="0030091C">
              <w:t>Questioning</w:t>
            </w:r>
            <w:r w:rsidR="0030091C">
              <w:rPr>
                <w:spacing w:val="-4"/>
              </w:rPr>
              <w:t xml:space="preserve"> </w:t>
            </w:r>
            <w:r w:rsidR="0030091C">
              <w:t>the</w:t>
            </w:r>
            <w:r w:rsidR="0030091C">
              <w:rPr>
                <w:spacing w:val="-5"/>
              </w:rPr>
              <w:t xml:space="preserve"> </w:t>
            </w:r>
            <w:r w:rsidR="0030091C">
              <w:t>executive</w:t>
            </w:r>
            <w:r w:rsidR="0030091C">
              <w:tab/>
              <w:t>7</w:t>
            </w:r>
          </w:hyperlink>
        </w:p>
        <w:p w:rsidR="006C17CB" w:rsidRDefault="00FE24A7">
          <w:pPr>
            <w:pStyle w:val="TOC4"/>
          </w:pPr>
          <w:hyperlink w:anchor="_bookmark2" w:history="1">
            <w:r w:rsidR="0030091C">
              <w:t>Revised standing orders for the Ninth Assembly    . 7</w:t>
            </w:r>
          </w:hyperlink>
        </w:p>
        <w:p w:rsidR="006C17CB" w:rsidRDefault="00FE24A7">
          <w:pPr>
            <w:pStyle w:val="TOC4"/>
            <w:tabs>
              <w:tab w:val="left" w:leader="dot" w:pos="4662"/>
            </w:tabs>
            <w:spacing w:before="96" w:line="175" w:lineRule="auto"/>
            <w:ind w:right="38"/>
          </w:pPr>
          <w:hyperlink w:anchor="_bookmark2" w:history="1">
            <w:r w:rsidR="0030091C">
              <w:t>Redevelopment of Procedural Information</w:t>
            </w:r>
          </w:hyperlink>
          <w:r w:rsidR="0030091C">
            <w:t xml:space="preserve"> </w:t>
          </w:r>
          <w:hyperlink w:anchor="_bookmark2" w:history="1">
            <w:r w:rsidR="0030091C">
              <w:t>Production</w:t>
            </w:r>
            <w:r w:rsidR="0030091C">
              <w:rPr>
                <w:spacing w:val="-2"/>
              </w:rPr>
              <w:t xml:space="preserve"> </w:t>
            </w:r>
            <w:r w:rsidR="0030091C">
              <w:t>System</w:t>
            </w:r>
            <w:r w:rsidR="0030091C">
              <w:rPr>
                <w:spacing w:val="-3"/>
              </w:rPr>
              <w:t xml:space="preserve"> </w:t>
            </w:r>
            <w:r w:rsidR="0030091C">
              <w:rPr>
                <w:spacing w:val="-4"/>
              </w:rPr>
              <w:t>(PIPS)</w:t>
            </w:r>
            <w:r w:rsidR="0030091C">
              <w:rPr>
                <w:spacing w:val="-4"/>
              </w:rPr>
              <w:tab/>
            </w:r>
            <w:r w:rsidR="0030091C">
              <w:t>7</w:t>
            </w:r>
          </w:hyperlink>
        </w:p>
        <w:p w:rsidR="006C17CB" w:rsidRDefault="00FE24A7">
          <w:pPr>
            <w:pStyle w:val="TOC4"/>
            <w:tabs>
              <w:tab w:val="left" w:leader="dot" w:pos="4662"/>
            </w:tabs>
            <w:spacing w:before="41"/>
          </w:pPr>
          <w:hyperlink w:anchor="_bookmark2" w:history="1">
            <w:r w:rsidR="0030091C">
              <w:t>Committees</w:t>
            </w:r>
            <w:r w:rsidR="0030091C">
              <w:tab/>
              <w:t>7</w:t>
            </w:r>
          </w:hyperlink>
        </w:p>
        <w:p w:rsidR="006C17CB" w:rsidRDefault="00FE24A7">
          <w:pPr>
            <w:pStyle w:val="TOC4"/>
            <w:tabs>
              <w:tab w:val="left" w:leader="dot" w:pos="4662"/>
            </w:tabs>
            <w:spacing w:line="259" w:lineRule="auto"/>
            <w:ind w:right="38"/>
          </w:pPr>
          <w:hyperlink w:anchor="_bookmark2" w:history="1">
            <w:r w:rsidR="0030091C">
              <w:t>Rollout of tablets to non-executive members. . . 7</w:t>
            </w:r>
          </w:hyperlink>
          <w:r w:rsidR="0030091C">
            <w:t xml:space="preserve"> </w:t>
          </w:r>
          <w:hyperlink w:anchor="_bookmark2" w:history="1">
            <w:r w:rsidR="0030091C">
              <w:t>Hansard</w:t>
            </w:r>
            <w:r w:rsidR="0030091C">
              <w:tab/>
              <w:t>7</w:t>
            </w:r>
          </w:hyperlink>
        </w:p>
        <w:p w:rsidR="006C17CB" w:rsidRDefault="00FE24A7">
          <w:pPr>
            <w:pStyle w:val="TOC4"/>
            <w:tabs>
              <w:tab w:val="left" w:leader="dot" w:pos="4662"/>
            </w:tabs>
            <w:spacing w:before="2"/>
          </w:pPr>
          <w:hyperlink w:anchor="_bookmark2" w:history="1">
            <w:r w:rsidR="0030091C">
              <w:t>Facility</w:t>
            </w:r>
            <w:r w:rsidR="0030091C">
              <w:rPr>
                <w:spacing w:val="-7"/>
              </w:rPr>
              <w:t xml:space="preserve"> </w:t>
            </w:r>
            <w:r w:rsidR="0030091C">
              <w:t>management</w:t>
            </w:r>
            <w:r w:rsidR="0030091C">
              <w:tab/>
              <w:t>7</w:t>
            </w:r>
          </w:hyperlink>
        </w:p>
        <w:p w:rsidR="006C17CB" w:rsidRDefault="00FE24A7">
          <w:pPr>
            <w:pStyle w:val="TOC4"/>
            <w:tabs>
              <w:tab w:val="left" w:leader="dot" w:pos="4662"/>
            </w:tabs>
          </w:pPr>
          <w:hyperlink w:anchor="_bookmark3" w:history="1">
            <w:r w:rsidR="0030091C">
              <w:t>Protective security</w:t>
            </w:r>
            <w:r w:rsidR="0030091C">
              <w:rPr>
                <w:spacing w:val="-6"/>
              </w:rPr>
              <w:t xml:space="preserve"> </w:t>
            </w:r>
            <w:r w:rsidR="0030091C">
              <w:t>policy</w:t>
            </w:r>
            <w:r w:rsidR="0030091C">
              <w:rPr>
                <w:spacing w:val="-3"/>
              </w:rPr>
              <w:t xml:space="preserve"> </w:t>
            </w:r>
            <w:r w:rsidR="0030091C">
              <w:t>framework</w:t>
            </w:r>
            <w:r w:rsidR="0030091C">
              <w:tab/>
              <w:t>8</w:t>
            </w:r>
          </w:hyperlink>
        </w:p>
        <w:p w:rsidR="006C17CB" w:rsidRDefault="00FE24A7">
          <w:pPr>
            <w:pStyle w:val="TOC4"/>
            <w:tabs>
              <w:tab w:val="left" w:leader="dot" w:pos="4662"/>
            </w:tabs>
            <w:spacing w:before="27"/>
          </w:pPr>
          <w:hyperlink w:anchor="_bookmark3" w:history="1">
            <w:r w:rsidR="0030091C">
              <w:t>Assembly library</w:t>
            </w:r>
            <w:r w:rsidR="0030091C">
              <w:tab/>
              <w:t>8</w:t>
            </w:r>
          </w:hyperlink>
        </w:p>
        <w:p w:rsidR="006C17CB" w:rsidRDefault="00FE24A7">
          <w:pPr>
            <w:pStyle w:val="TOC4"/>
            <w:tabs>
              <w:tab w:val="left" w:leader="dot" w:pos="4662"/>
            </w:tabs>
            <w:spacing w:before="95" w:line="175" w:lineRule="auto"/>
            <w:ind w:right="38"/>
          </w:pPr>
          <w:hyperlink w:anchor="_bookmark3" w:history="1">
            <w:r w:rsidR="0030091C">
              <w:t>Construction of the Constitution Place</w:t>
            </w:r>
          </w:hyperlink>
          <w:r w:rsidR="0030091C">
            <w:t xml:space="preserve"> </w:t>
          </w:r>
          <w:hyperlink w:anchor="_bookmark3" w:history="1">
            <w:r w:rsidR="0030091C">
              <w:t>development–monitoring</w:t>
            </w:r>
            <w:r w:rsidR="0030091C">
              <w:rPr>
                <w:spacing w:val="-8"/>
              </w:rPr>
              <w:t xml:space="preserve"> </w:t>
            </w:r>
            <w:r w:rsidR="0030091C">
              <w:t>impact</w:t>
            </w:r>
            <w:r w:rsidR="0030091C">
              <w:tab/>
              <w:t>8</w:t>
            </w:r>
          </w:hyperlink>
        </w:p>
        <w:p w:rsidR="006C17CB" w:rsidRDefault="00FE24A7">
          <w:pPr>
            <w:pStyle w:val="TOC4"/>
            <w:tabs>
              <w:tab w:val="left" w:leader="dot" w:pos="4662"/>
            </w:tabs>
            <w:spacing w:before="41"/>
          </w:pPr>
          <w:hyperlink w:anchor="_bookmark3" w:history="1">
            <w:r w:rsidR="0030091C">
              <w:t>Digital</w:t>
            </w:r>
            <w:r w:rsidR="0030091C">
              <w:rPr>
                <w:spacing w:val="-4"/>
              </w:rPr>
              <w:t xml:space="preserve"> </w:t>
            </w:r>
            <w:r w:rsidR="0030091C">
              <w:t>display</w:t>
            </w:r>
            <w:r w:rsidR="0030091C">
              <w:rPr>
                <w:spacing w:val="-4"/>
              </w:rPr>
              <w:t xml:space="preserve"> </w:t>
            </w:r>
            <w:r w:rsidR="0030091C">
              <w:t>screen</w:t>
            </w:r>
            <w:r w:rsidR="0030091C">
              <w:tab/>
              <w:t>8</w:t>
            </w:r>
          </w:hyperlink>
        </w:p>
        <w:p w:rsidR="006C17CB" w:rsidRDefault="00FE24A7">
          <w:pPr>
            <w:pStyle w:val="TOC4"/>
            <w:tabs>
              <w:tab w:val="left" w:leader="dot" w:pos="4662"/>
            </w:tabs>
          </w:pPr>
          <w:hyperlink w:anchor="_bookmark3" w:history="1">
            <w:r w:rsidR="0030091C">
              <w:t>Strategic</w:t>
            </w:r>
            <w:r w:rsidR="0030091C">
              <w:rPr>
                <w:spacing w:val="-6"/>
              </w:rPr>
              <w:t xml:space="preserve"> </w:t>
            </w:r>
            <w:r w:rsidR="0030091C">
              <w:t>plan</w:t>
            </w:r>
            <w:r w:rsidR="0030091C">
              <w:rPr>
                <w:spacing w:val="-5"/>
              </w:rPr>
              <w:t xml:space="preserve"> </w:t>
            </w:r>
            <w:r w:rsidR="0030091C">
              <w:t>review</w:t>
            </w:r>
            <w:r w:rsidR="0030091C">
              <w:tab/>
              <w:t>8</w:t>
            </w:r>
          </w:hyperlink>
        </w:p>
        <w:p w:rsidR="006C17CB" w:rsidRDefault="00FE24A7">
          <w:pPr>
            <w:pStyle w:val="TOC3"/>
            <w:tabs>
              <w:tab w:val="left" w:leader="dot" w:pos="4662"/>
            </w:tabs>
            <w:spacing w:before="27"/>
            <w:rPr>
              <w:rFonts w:ascii="Calibri-Light"/>
              <w:b w:val="0"/>
            </w:rPr>
          </w:pPr>
          <w:hyperlink w:anchor="_bookmark4" w:history="1">
            <w:r w:rsidR="0030091C">
              <w:t>The</w:t>
            </w:r>
            <w:r w:rsidR="0030091C">
              <w:rPr>
                <w:spacing w:val="-2"/>
              </w:rPr>
              <w:t xml:space="preserve"> </w:t>
            </w:r>
            <w:r w:rsidR="0030091C">
              <w:t>year</w:t>
            </w:r>
            <w:r w:rsidR="0030091C">
              <w:rPr>
                <w:spacing w:val="-2"/>
              </w:rPr>
              <w:t xml:space="preserve"> </w:t>
            </w:r>
            <w:r w:rsidR="0030091C">
              <w:t>ahead</w:t>
            </w:r>
            <w:r w:rsidR="0030091C">
              <w:tab/>
            </w:r>
            <w:r w:rsidR="0030091C">
              <w:rPr>
                <w:rFonts w:ascii="Calibri-Light"/>
                <w:b w:val="0"/>
              </w:rPr>
              <w:t>9</w:t>
            </w:r>
          </w:hyperlink>
        </w:p>
        <w:p w:rsidR="006C17CB" w:rsidRDefault="00FE24A7">
          <w:pPr>
            <w:pStyle w:val="TOC4"/>
            <w:tabs>
              <w:tab w:val="left" w:leader="dot" w:pos="4662"/>
            </w:tabs>
          </w:pPr>
          <w:hyperlink w:anchor="_bookmark4" w:history="1">
            <w:r w:rsidR="0030091C">
              <w:t>Hansard</w:t>
            </w:r>
            <w:r w:rsidR="0030091C">
              <w:tab/>
              <w:t>9</w:t>
            </w:r>
          </w:hyperlink>
        </w:p>
        <w:p w:rsidR="006C17CB" w:rsidRDefault="00FE24A7">
          <w:pPr>
            <w:pStyle w:val="TOC4"/>
            <w:tabs>
              <w:tab w:val="left" w:leader="dot" w:pos="4662"/>
            </w:tabs>
          </w:pPr>
          <w:hyperlink w:anchor="_bookmark4" w:history="1">
            <w:r w:rsidR="0030091C">
              <w:t>Library</w:t>
            </w:r>
            <w:r w:rsidR="0030091C">
              <w:tab/>
              <w:t>9</w:t>
            </w:r>
          </w:hyperlink>
        </w:p>
        <w:p w:rsidR="006C17CB" w:rsidRDefault="00FE24A7">
          <w:pPr>
            <w:pStyle w:val="TOC4"/>
            <w:tabs>
              <w:tab w:val="left" w:leader="dot" w:pos="4662"/>
            </w:tabs>
            <w:spacing w:before="27"/>
          </w:pPr>
          <w:hyperlink w:anchor="_bookmark4" w:history="1">
            <w:r w:rsidR="0030091C">
              <w:t>Facility</w:t>
            </w:r>
            <w:r w:rsidR="0030091C">
              <w:rPr>
                <w:spacing w:val="-7"/>
              </w:rPr>
              <w:t xml:space="preserve"> </w:t>
            </w:r>
            <w:r w:rsidR="0030091C">
              <w:t>management</w:t>
            </w:r>
            <w:r w:rsidR="0030091C">
              <w:tab/>
              <w:t>9</w:t>
            </w:r>
          </w:hyperlink>
        </w:p>
        <w:p w:rsidR="006C17CB" w:rsidRDefault="00FE24A7">
          <w:pPr>
            <w:pStyle w:val="TOC4"/>
            <w:tabs>
              <w:tab w:val="left" w:leader="dot" w:pos="4662"/>
            </w:tabs>
          </w:pPr>
          <w:hyperlink w:anchor="_bookmark4" w:history="1">
            <w:r w:rsidR="0030091C">
              <w:t>Assembly</w:t>
            </w:r>
            <w:r w:rsidR="0030091C">
              <w:rPr>
                <w:spacing w:val="-2"/>
              </w:rPr>
              <w:t xml:space="preserve"> </w:t>
            </w:r>
            <w:r w:rsidR="0030091C">
              <w:t>archival</w:t>
            </w:r>
            <w:r w:rsidR="0030091C">
              <w:rPr>
                <w:spacing w:val="-2"/>
              </w:rPr>
              <w:t xml:space="preserve"> </w:t>
            </w:r>
            <w:r w:rsidR="0030091C">
              <w:t>project</w:t>
            </w:r>
            <w:r w:rsidR="0030091C">
              <w:tab/>
              <w:t>9</w:t>
            </w:r>
          </w:hyperlink>
        </w:p>
        <w:p w:rsidR="006C17CB" w:rsidRDefault="00FE24A7">
          <w:pPr>
            <w:pStyle w:val="TOC4"/>
            <w:tabs>
              <w:tab w:val="left" w:leader="dot" w:pos="4662"/>
            </w:tabs>
          </w:pPr>
          <w:hyperlink w:anchor="_bookmark4" w:history="1">
            <w:r w:rsidR="0030091C">
              <w:t>Digitisation of</w:t>
            </w:r>
            <w:r w:rsidR="0030091C">
              <w:rPr>
                <w:spacing w:val="-5"/>
              </w:rPr>
              <w:t xml:space="preserve"> </w:t>
            </w:r>
            <w:r w:rsidR="0030091C">
              <w:t>existing</w:t>
            </w:r>
            <w:r w:rsidR="0030091C">
              <w:rPr>
                <w:spacing w:val="-3"/>
              </w:rPr>
              <w:t xml:space="preserve"> </w:t>
            </w:r>
            <w:r w:rsidR="0030091C">
              <w:t>workflows</w:t>
            </w:r>
            <w:r w:rsidR="0030091C">
              <w:tab/>
              <w:t>9</w:t>
            </w:r>
          </w:hyperlink>
        </w:p>
        <w:p w:rsidR="006C17CB" w:rsidRDefault="0030091C">
          <w:pPr>
            <w:pStyle w:val="TOC2"/>
          </w:pPr>
          <w:r>
            <w:br w:type="column"/>
          </w:r>
          <w:hyperlink w:anchor="_bookmark5" w:history="1">
            <w:r>
              <w:rPr>
                <w:color w:val="004289"/>
              </w:rPr>
              <w:t>SECTION A</w:t>
            </w:r>
          </w:hyperlink>
        </w:p>
        <w:p w:rsidR="006C17CB" w:rsidRDefault="00FE24A7">
          <w:pPr>
            <w:pStyle w:val="TOC1"/>
          </w:pPr>
          <w:hyperlink w:anchor="_bookmark5" w:history="1">
            <w:r w:rsidR="0030091C">
              <w:rPr>
                <w:color w:val="004289"/>
              </w:rPr>
              <w:t>PERFORMANCE</w:t>
            </w:r>
          </w:hyperlink>
        </w:p>
        <w:p w:rsidR="006C17CB" w:rsidRDefault="00FE24A7">
          <w:pPr>
            <w:pStyle w:val="TOC1"/>
            <w:tabs>
              <w:tab w:val="left" w:pos="4580"/>
            </w:tabs>
            <w:spacing w:line="271" w:lineRule="exact"/>
          </w:pPr>
          <w:r>
            <w:pict>
              <v:line id="_x0000_s1520" alt="" style="position:absolute;left:0;text-align:left;z-index:1096;mso-wrap-edited:f;mso-width-percent:0;mso-height-percent:0;mso-position-horizontal-relative:page;mso-width-percent:0;mso-height-percent:0" from="307.55pt,15.7pt" to="540pt,15.7pt" strokecolor="#004289" strokeweight=".7pt">
                <w10:wrap anchorx="page"/>
              </v:line>
            </w:pict>
          </w:r>
          <w:hyperlink w:anchor="_bookmark5" w:history="1">
            <w:r w:rsidR="0030091C">
              <w:rPr>
                <w:color w:val="004289"/>
                <w:spacing w:val="3"/>
              </w:rPr>
              <w:t>REPORTING</w:t>
            </w:r>
            <w:r w:rsidR="0030091C">
              <w:rPr>
                <w:color w:val="004289"/>
                <w:spacing w:val="3"/>
              </w:rPr>
              <w:tab/>
            </w:r>
            <w:r w:rsidR="0030091C">
              <w:rPr>
                <w:color w:val="004289"/>
              </w:rPr>
              <w:t>11</w:t>
            </w:r>
          </w:hyperlink>
        </w:p>
        <w:p w:rsidR="006C17CB" w:rsidRDefault="00FE24A7">
          <w:pPr>
            <w:pStyle w:val="TOC3"/>
            <w:tabs>
              <w:tab w:val="left" w:leader="dot" w:pos="4551"/>
            </w:tabs>
            <w:spacing w:before="139"/>
            <w:rPr>
              <w:rFonts w:ascii="Calibri-Light"/>
              <w:b w:val="0"/>
            </w:rPr>
          </w:pPr>
          <w:hyperlink w:anchor="_bookmark6" w:history="1">
            <w:r w:rsidR="0030091C">
              <w:t>The</w:t>
            </w:r>
            <w:r w:rsidR="0030091C">
              <w:rPr>
                <w:spacing w:val="-2"/>
              </w:rPr>
              <w:t xml:space="preserve"> </w:t>
            </w:r>
            <w:r w:rsidR="0030091C">
              <w:t>organisation</w:t>
            </w:r>
            <w:r w:rsidR="0030091C">
              <w:tab/>
            </w:r>
            <w:r w:rsidR="0030091C">
              <w:rPr>
                <w:rFonts w:ascii="Calibri-Light"/>
                <w:b w:val="0"/>
              </w:rPr>
              <w:t>12</w:t>
            </w:r>
          </w:hyperlink>
        </w:p>
        <w:p w:rsidR="006C17CB" w:rsidRDefault="00FE24A7">
          <w:pPr>
            <w:pStyle w:val="TOC4"/>
            <w:tabs>
              <w:tab w:val="left" w:leader="dot" w:pos="4551"/>
            </w:tabs>
          </w:pPr>
          <w:hyperlink w:anchor="_bookmark6" w:history="1">
            <w:r w:rsidR="0030091C">
              <w:t>Accountability</w:t>
            </w:r>
            <w:r w:rsidR="0030091C">
              <w:tab/>
              <w:t>12</w:t>
            </w:r>
          </w:hyperlink>
        </w:p>
        <w:p w:rsidR="006C17CB" w:rsidRDefault="00FE24A7">
          <w:pPr>
            <w:pStyle w:val="TOC4"/>
            <w:tabs>
              <w:tab w:val="left" w:leader="dot" w:pos="4551"/>
            </w:tabs>
          </w:pPr>
          <w:hyperlink w:anchor="_bookmark6" w:history="1">
            <w:r w:rsidR="0030091C">
              <w:t>The</w:t>
            </w:r>
            <w:r w:rsidR="0030091C">
              <w:rPr>
                <w:spacing w:val="-7"/>
              </w:rPr>
              <w:t xml:space="preserve"> </w:t>
            </w:r>
            <w:r w:rsidR="0030091C">
              <w:t>Office’s</w:t>
            </w:r>
            <w:r w:rsidR="0030091C">
              <w:rPr>
                <w:spacing w:val="-6"/>
              </w:rPr>
              <w:t xml:space="preserve"> </w:t>
            </w:r>
            <w:r w:rsidR="0030091C">
              <w:t>approach</w:t>
            </w:r>
            <w:r w:rsidR="0030091C">
              <w:tab/>
              <w:t>12</w:t>
            </w:r>
          </w:hyperlink>
        </w:p>
        <w:p w:rsidR="006C17CB" w:rsidRDefault="00FE24A7">
          <w:pPr>
            <w:pStyle w:val="TOC4"/>
            <w:tabs>
              <w:tab w:val="left" w:leader="dot" w:pos="4550"/>
            </w:tabs>
          </w:pPr>
          <w:hyperlink w:anchor="_bookmark7" w:history="1">
            <w:r w:rsidR="0030091C">
              <w:t>The</w:t>
            </w:r>
            <w:r w:rsidR="0030091C">
              <w:rPr>
                <w:spacing w:val="-6"/>
              </w:rPr>
              <w:t xml:space="preserve"> </w:t>
            </w:r>
            <w:r w:rsidR="0030091C">
              <w:t>Office’s</w:t>
            </w:r>
            <w:r w:rsidR="0030091C">
              <w:rPr>
                <w:spacing w:val="-5"/>
              </w:rPr>
              <w:t xml:space="preserve"> </w:t>
            </w:r>
            <w:r w:rsidR="0030091C">
              <w:t>objectives</w:t>
            </w:r>
            <w:r w:rsidR="0030091C">
              <w:tab/>
              <w:t>13</w:t>
            </w:r>
          </w:hyperlink>
        </w:p>
        <w:p w:rsidR="006C17CB" w:rsidRDefault="00FE24A7">
          <w:pPr>
            <w:pStyle w:val="TOC4"/>
            <w:tabs>
              <w:tab w:val="left" w:leader="dot" w:pos="4550"/>
            </w:tabs>
            <w:spacing w:before="27"/>
          </w:pPr>
          <w:hyperlink w:anchor="_bookmark7" w:history="1">
            <w:r w:rsidR="0030091C">
              <w:t>Values</w:t>
            </w:r>
            <w:r w:rsidR="0030091C">
              <w:tab/>
              <w:t>13</w:t>
            </w:r>
          </w:hyperlink>
        </w:p>
        <w:p w:rsidR="006C17CB" w:rsidRDefault="00FE24A7">
          <w:pPr>
            <w:pStyle w:val="TOC4"/>
            <w:tabs>
              <w:tab w:val="left" w:leader="dot" w:pos="4557"/>
            </w:tabs>
          </w:pPr>
          <w:hyperlink w:anchor="_bookmark8" w:history="1">
            <w:r w:rsidR="0030091C">
              <w:t>The</w:t>
            </w:r>
            <w:r w:rsidR="0030091C">
              <w:rPr>
                <w:spacing w:val="-9"/>
              </w:rPr>
              <w:t xml:space="preserve"> </w:t>
            </w:r>
            <w:r w:rsidR="0030091C">
              <w:t>Office’s</w:t>
            </w:r>
            <w:r w:rsidR="0030091C">
              <w:rPr>
                <w:spacing w:val="-8"/>
              </w:rPr>
              <w:t xml:space="preserve"> </w:t>
            </w:r>
            <w:r w:rsidR="0030091C">
              <w:t>relationships</w:t>
            </w:r>
            <w:r w:rsidR="0030091C">
              <w:tab/>
            </w:r>
            <w:r w:rsidR="0030091C">
              <w:rPr>
                <w:spacing w:val="-4"/>
              </w:rPr>
              <w:t>14</w:t>
            </w:r>
          </w:hyperlink>
        </w:p>
        <w:p w:rsidR="006C17CB" w:rsidRDefault="00FE24A7">
          <w:pPr>
            <w:pStyle w:val="TOC4"/>
            <w:tabs>
              <w:tab w:val="left" w:leader="dot" w:pos="4557"/>
            </w:tabs>
          </w:pPr>
          <w:hyperlink w:anchor="_bookmark8" w:history="1">
            <w:r w:rsidR="0030091C">
              <w:t>Structure of</w:t>
            </w:r>
            <w:r w:rsidR="0030091C">
              <w:rPr>
                <w:spacing w:val="-7"/>
              </w:rPr>
              <w:t xml:space="preserve"> </w:t>
            </w:r>
            <w:r w:rsidR="0030091C">
              <w:t>the</w:t>
            </w:r>
            <w:r w:rsidR="0030091C">
              <w:rPr>
                <w:spacing w:val="-4"/>
              </w:rPr>
              <w:t xml:space="preserve"> </w:t>
            </w:r>
            <w:r w:rsidR="0030091C">
              <w:t>Office</w:t>
            </w:r>
            <w:r w:rsidR="0030091C">
              <w:tab/>
            </w:r>
            <w:r w:rsidR="0030091C">
              <w:rPr>
                <w:spacing w:val="-4"/>
              </w:rPr>
              <w:t>14</w:t>
            </w:r>
          </w:hyperlink>
        </w:p>
        <w:p w:rsidR="006C17CB" w:rsidRDefault="00FE24A7">
          <w:pPr>
            <w:pStyle w:val="TOC3"/>
            <w:tabs>
              <w:tab w:val="left" w:leader="dot" w:pos="4556"/>
            </w:tabs>
            <w:rPr>
              <w:rFonts w:ascii="Calibri-Light"/>
              <w:b w:val="0"/>
            </w:rPr>
          </w:pPr>
          <w:hyperlink w:anchor="_bookmark9" w:history="1">
            <w:r w:rsidR="0030091C">
              <w:t>Assembly proceedings</w:t>
            </w:r>
            <w:r w:rsidR="0030091C">
              <w:tab/>
            </w:r>
            <w:r w:rsidR="0030091C">
              <w:rPr>
                <w:rFonts w:ascii="Calibri-Light"/>
                <w:b w:val="0"/>
                <w:spacing w:val="-6"/>
              </w:rPr>
              <w:t>16</w:t>
            </w:r>
          </w:hyperlink>
        </w:p>
        <w:p w:rsidR="006C17CB" w:rsidRDefault="00FE24A7">
          <w:pPr>
            <w:pStyle w:val="TOC4"/>
            <w:tabs>
              <w:tab w:val="left" w:leader="dot" w:pos="4556"/>
            </w:tabs>
            <w:spacing w:before="27"/>
          </w:pPr>
          <w:hyperlink w:anchor="_bookmark9" w:history="1">
            <w:r w:rsidR="0030091C">
              <w:t>Chamber</w:t>
            </w:r>
            <w:r w:rsidR="0030091C">
              <w:rPr>
                <w:spacing w:val="-4"/>
              </w:rPr>
              <w:t xml:space="preserve"> </w:t>
            </w:r>
            <w:r w:rsidR="0030091C">
              <w:t>proceedings</w:t>
            </w:r>
            <w:r w:rsidR="0030091C">
              <w:tab/>
            </w:r>
            <w:r w:rsidR="0030091C">
              <w:rPr>
                <w:spacing w:val="-6"/>
              </w:rPr>
              <w:t>16</w:t>
            </w:r>
          </w:hyperlink>
        </w:p>
        <w:p w:rsidR="006C17CB" w:rsidRDefault="00FE24A7">
          <w:pPr>
            <w:pStyle w:val="TOC4"/>
            <w:tabs>
              <w:tab w:val="left" w:leader="dot" w:pos="4556"/>
            </w:tabs>
          </w:pPr>
          <w:hyperlink w:anchor="_bookmark9" w:history="1">
            <w:r w:rsidR="0030091C">
              <w:t>Assembly</w:t>
            </w:r>
            <w:r w:rsidR="0030091C">
              <w:rPr>
                <w:spacing w:val="-4"/>
              </w:rPr>
              <w:t xml:space="preserve"> </w:t>
            </w:r>
            <w:r w:rsidR="0030091C">
              <w:t>committees</w:t>
            </w:r>
            <w:r w:rsidR="0030091C">
              <w:tab/>
            </w:r>
            <w:r w:rsidR="0030091C">
              <w:rPr>
                <w:spacing w:val="-6"/>
              </w:rPr>
              <w:t>16</w:t>
            </w:r>
          </w:hyperlink>
        </w:p>
        <w:p w:rsidR="006C17CB" w:rsidRDefault="00FE24A7">
          <w:pPr>
            <w:pStyle w:val="TOC4"/>
            <w:tabs>
              <w:tab w:val="left" w:leader="dot" w:pos="4553"/>
            </w:tabs>
          </w:pPr>
          <w:hyperlink w:anchor="_bookmark10" w:history="1">
            <w:r w:rsidR="0030091C">
              <w:t>Procedural</w:t>
            </w:r>
            <w:r w:rsidR="0030091C">
              <w:rPr>
                <w:spacing w:val="-4"/>
              </w:rPr>
              <w:t xml:space="preserve"> </w:t>
            </w:r>
            <w:r w:rsidR="0030091C">
              <w:t>digest</w:t>
            </w:r>
            <w:r w:rsidR="0030091C">
              <w:tab/>
              <w:t>20</w:t>
            </w:r>
          </w:hyperlink>
        </w:p>
        <w:p w:rsidR="006C17CB" w:rsidRDefault="00FE24A7">
          <w:pPr>
            <w:pStyle w:val="TOC4"/>
            <w:tabs>
              <w:tab w:val="left" w:leader="dot" w:pos="4550"/>
            </w:tabs>
            <w:spacing w:before="27"/>
          </w:pPr>
          <w:hyperlink w:anchor="_bookmark11" w:history="1">
            <w:r w:rsidR="0030091C">
              <w:t>Interparliamentary</w:t>
            </w:r>
            <w:r w:rsidR="0030091C">
              <w:rPr>
                <w:spacing w:val="-5"/>
              </w:rPr>
              <w:t xml:space="preserve"> </w:t>
            </w:r>
            <w:r w:rsidR="0030091C">
              <w:t>activities</w:t>
            </w:r>
            <w:r w:rsidR="0030091C">
              <w:tab/>
              <w:t>25</w:t>
            </w:r>
          </w:hyperlink>
        </w:p>
        <w:p w:rsidR="006C17CB" w:rsidRDefault="00FE24A7">
          <w:pPr>
            <w:pStyle w:val="TOC4"/>
            <w:tabs>
              <w:tab w:val="left" w:leader="dot" w:pos="4556"/>
            </w:tabs>
          </w:pPr>
          <w:hyperlink w:anchor="_bookmark12" w:history="1">
            <w:r w:rsidR="0030091C">
              <w:t>The ACT register</w:t>
            </w:r>
            <w:r w:rsidR="0030091C">
              <w:rPr>
                <w:spacing w:val="-5"/>
              </w:rPr>
              <w:t xml:space="preserve"> </w:t>
            </w:r>
            <w:r w:rsidR="0030091C">
              <w:t>of</w:t>
            </w:r>
            <w:r w:rsidR="0030091C">
              <w:rPr>
                <w:spacing w:val="-1"/>
              </w:rPr>
              <w:t xml:space="preserve"> </w:t>
            </w:r>
            <w:r w:rsidR="0030091C">
              <w:t>lobbyists</w:t>
            </w:r>
            <w:r w:rsidR="0030091C">
              <w:tab/>
            </w:r>
            <w:r w:rsidR="0030091C">
              <w:rPr>
                <w:spacing w:val="-3"/>
              </w:rPr>
              <w:t>26</w:t>
            </w:r>
          </w:hyperlink>
        </w:p>
        <w:p w:rsidR="006C17CB" w:rsidRDefault="00FE24A7">
          <w:pPr>
            <w:pStyle w:val="TOC4"/>
            <w:tabs>
              <w:tab w:val="left" w:leader="dot" w:pos="4557"/>
            </w:tabs>
          </w:pPr>
          <w:hyperlink w:anchor="_bookmark13" w:history="1">
            <w:r w:rsidR="0030091C">
              <w:t>Analysis of the</w:t>
            </w:r>
            <w:r w:rsidR="0030091C">
              <w:rPr>
                <w:spacing w:val="-17"/>
              </w:rPr>
              <w:t xml:space="preserve"> </w:t>
            </w:r>
            <w:r w:rsidR="0030091C">
              <w:t>Office’s</w:t>
            </w:r>
            <w:r w:rsidR="0030091C">
              <w:rPr>
                <w:spacing w:val="-6"/>
              </w:rPr>
              <w:t xml:space="preserve"> </w:t>
            </w:r>
            <w:r w:rsidR="0030091C">
              <w:t>performance</w:t>
            </w:r>
            <w:r w:rsidR="0030091C">
              <w:tab/>
            </w:r>
            <w:r w:rsidR="0030091C">
              <w:rPr>
                <w:spacing w:val="-7"/>
              </w:rPr>
              <w:t>27</w:t>
            </w:r>
          </w:hyperlink>
        </w:p>
      </w:sdtContent>
    </w:sdt>
    <w:p w:rsidR="006C17CB" w:rsidRDefault="006C17CB">
      <w:pPr>
        <w:sectPr w:rsidR="006C17CB">
          <w:type w:val="continuous"/>
          <w:pgSz w:w="11910" w:h="16840"/>
          <w:pgMar w:top="1580" w:right="0" w:bottom="280" w:left="980" w:header="720" w:footer="720" w:gutter="0"/>
          <w:cols w:num="2" w:space="720" w:equalWidth="0">
            <w:col w:w="4814" w:space="203"/>
            <w:col w:w="5913"/>
          </w:cols>
        </w:sectPr>
      </w:pPr>
    </w:p>
    <w:p w:rsidR="006C17CB" w:rsidRDefault="00FE24A7">
      <w:pPr>
        <w:spacing w:before="670" w:line="271" w:lineRule="exact"/>
        <w:ind w:left="125"/>
        <w:rPr>
          <w:rFonts w:ascii="Montserrat-Light"/>
          <w:sz w:val="24"/>
        </w:rPr>
      </w:pPr>
      <w:hyperlink w:anchor="_bookmark14" w:history="1">
        <w:r w:rsidR="0030091C">
          <w:rPr>
            <w:rFonts w:ascii="Montserrat-Light"/>
            <w:color w:val="004289"/>
            <w:sz w:val="24"/>
          </w:rPr>
          <w:t>SECTION B</w:t>
        </w:r>
      </w:hyperlink>
    </w:p>
    <w:p w:rsidR="006C17CB" w:rsidRDefault="00FE24A7">
      <w:pPr>
        <w:pStyle w:val="Heading6"/>
        <w:spacing w:line="250" w:lineRule="exact"/>
        <w:ind w:left="126"/>
        <w:rPr>
          <w:rFonts w:ascii="Montserrat-SemiBold"/>
        </w:rPr>
      </w:pPr>
      <w:hyperlink w:anchor="_bookmark14" w:history="1">
        <w:r w:rsidR="0030091C">
          <w:rPr>
            <w:rFonts w:ascii="Montserrat-SemiBold"/>
            <w:color w:val="004289"/>
          </w:rPr>
          <w:t>CONSULTATION AND</w:t>
        </w:r>
      </w:hyperlink>
    </w:p>
    <w:p w:rsidR="006C17CB" w:rsidRDefault="00FE24A7">
      <w:pPr>
        <w:pStyle w:val="Heading6"/>
        <w:tabs>
          <w:tab w:val="left" w:pos="4467"/>
        </w:tabs>
        <w:spacing w:line="271" w:lineRule="exact"/>
        <w:ind w:left="126"/>
        <w:rPr>
          <w:rFonts w:ascii="Montserrat-SemiBold"/>
        </w:rPr>
      </w:pPr>
      <w:r>
        <w:pict>
          <v:line id="_x0000_s1519" alt="" style="position:absolute;left:0;text-align:left;z-index:1120;mso-wrap-edited:f;mso-width-percent:0;mso-height-percent:0;mso-position-horizontal-relative:page;mso-width-percent:0;mso-height-percent:0" from="55.3pt,15.7pt" to="287.7pt,15.7pt" strokecolor="#004289" strokeweight=".7pt">
            <w10:wrap anchorx="page"/>
          </v:line>
        </w:pict>
      </w:r>
      <w:hyperlink w:anchor="_bookmark14" w:history="1">
        <w:r w:rsidR="0030091C">
          <w:rPr>
            <w:rFonts w:ascii="Montserrat-SemiBold"/>
            <w:color w:val="004289"/>
            <w:spacing w:val="2"/>
          </w:rPr>
          <w:t>SCRUTINY</w:t>
        </w:r>
        <w:r w:rsidR="0030091C">
          <w:rPr>
            <w:rFonts w:ascii="Montserrat-SemiBold"/>
            <w:color w:val="004289"/>
            <w:spacing w:val="16"/>
          </w:rPr>
          <w:t xml:space="preserve"> </w:t>
        </w:r>
        <w:r w:rsidR="0030091C">
          <w:rPr>
            <w:rFonts w:ascii="Montserrat-SemiBold"/>
            <w:color w:val="004289"/>
            <w:spacing w:val="2"/>
          </w:rPr>
          <w:t>REPORTING</w:t>
        </w:r>
        <w:r w:rsidR="0030091C">
          <w:rPr>
            <w:rFonts w:ascii="Montserrat-SemiBold"/>
            <w:color w:val="004289"/>
            <w:spacing w:val="2"/>
          </w:rPr>
          <w:tab/>
        </w:r>
        <w:r w:rsidR="0030091C">
          <w:rPr>
            <w:rFonts w:ascii="Montserrat-SemiBold"/>
            <w:color w:val="004289"/>
          </w:rPr>
          <w:t>35</w:t>
        </w:r>
      </w:hyperlink>
    </w:p>
    <w:p w:rsidR="006C17CB" w:rsidRDefault="00FE24A7">
      <w:pPr>
        <w:tabs>
          <w:tab w:val="left" w:leader="dot" w:pos="4524"/>
        </w:tabs>
        <w:spacing w:before="138"/>
        <w:ind w:left="125"/>
      </w:pPr>
      <w:hyperlink w:anchor="_bookmark15" w:history="1">
        <w:r w:rsidR="0030091C">
          <w:rPr>
            <w:rFonts w:ascii="Calibri"/>
            <w:b/>
          </w:rPr>
          <w:t>Internal and</w:t>
        </w:r>
        <w:r w:rsidR="0030091C">
          <w:rPr>
            <w:rFonts w:ascii="Calibri"/>
            <w:b/>
            <w:spacing w:val="-2"/>
          </w:rPr>
          <w:t xml:space="preserve"> </w:t>
        </w:r>
        <w:r w:rsidR="0030091C">
          <w:rPr>
            <w:rFonts w:ascii="Calibri"/>
            <w:b/>
          </w:rPr>
          <w:t>external</w:t>
        </w:r>
        <w:r w:rsidR="0030091C">
          <w:rPr>
            <w:rFonts w:ascii="Calibri"/>
            <w:b/>
            <w:spacing w:val="-1"/>
          </w:rPr>
          <w:t xml:space="preserve"> </w:t>
        </w:r>
        <w:r w:rsidR="0030091C">
          <w:rPr>
            <w:rFonts w:ascii="Calibri"/>
            <w:b/>
          </w:rPr>
          <w:t>scrutiny</w:t>
        </w:r>
        <w:r w:rsidR="0030091C">
          <w:rPr>
            <w:rFonts w:ascii="Calibri"/>
            <w:b/>
          </w:rPr>
          <w:tab/>
        </w:r>
        <w:r w:rsidR="0030091C">
          <w:t>36</w:t>
        </w:r>
      </w:hyperlink>
    </w:p>
    <w:p w:rsidR="006C17CB" w:rsidRDefault="00FE24A7">
      <w:pPr>
        <w:pStyle w:val="BodyText"/>
        <w:spacing w:before="26" w:line="274" w:lineRule="exact"/>
        <w:ind w:left="125"/>
      </w:pPr>
      <w:hyperlink w:anchor="_bookmark15" w:history="1">
        <w:r w:rsidR="0030091C">
          <w:t>Legislative Assembly committee</w:t>
        </w:r>
      </w:hyperlink>
    </w:p>
    <w:p w:rsidR="006C17CB" w:rsidRDefault="00FE24A7">
      <w:pPr>
        <w:pStyle w:val="BodyText"/>
        <w:tabs>
          <w:tab w:val="left" w:leader="dot" w:pos="4524"/>
        </w:tabs>
        <w:spacing w:line="274" w:lineRule="exact"/>
        <w:ind w:left="125"/>
      </w:pPr>
      <w:hyperlink w:anchor="_bookmark15" w:history="1">
        <w:r w:rsidR="0030091C">
          <w:t>recommendations</w:t>
        </w:r>
        <w:r w:rsidR="0030091C">
          <w:tab/>
          <w:t>36</w:t>
        </w:r>
      </w:hyperlink>
    </w:p>
    <w:p w:rsidR="006C17CB" w:rsidRDefault="00FE24A7">
      <w:pPr>
        <w:spacing w:before="809" w:line="271" w:lineRule="exact"/>
        <w:ind w:left="125"/>
        <w:rPr>
          <w:rFonts w:ascii="Montserrat-Light"/>
          <w:sz w:val="24"/>
        </w:rPr>
      </w:pPr>
      <w:hyperlink w:anchor="_bookmark16" w:history="1">
        <w:r w:rsidR="0030091C">
          <w:rPr>
            <w:rFonts w:ascii="Montserrat-Light"/>
            <w:color w:val="004289"/>
            <w:sz w:val="24"/>
          </w:rPr>
          <w:t>SECTION C</w:t>
        </w:r>
      </w:hyperlink>
    </w:p>
    <w:p w:rsidR="006C17CB" w:rsidRDefault="00FE24A7">
      <w:pPr>
        <w:pStyle w:val="Heading6"/>
        <w:spacing w:line="250" w:lineRule="exact"/>
        <w:ind w:left="126"/>
        <w:rPr>
          <w:rFonts w:ascii="Montserrat-SemiBold"/>
        </w:rPr>
      </w:pPr>
      <w:hyperlink w:anchor="_bookmark16" w:history="1">
        <w:r w:rsidR="0030091C">
          <w:rPr>
            <w:rFonts w:ascii="Montserrat-SemiBold"/>
            <w:color w:val="004289"/>
          </w:rPr>
          <w:t>LEGISLATIVE AND POLICY</w:t>
        </w:r>
      </w:hyperlink>
    </w:p>
    <w:p w:rsidR="006C17CB" w:rsidRDefault="00FE24A7">
      <w:pPr>
        <w:pStyle w:val="Heading6"/>
        <w:tabs>
          <w:tab w:val="left" w:pos="4473"/>
        </w:tabs>
        <w:spacing w:line="271" w:lineRule="exact"/>
        <w:ind w:left="126"/>
        <w:rPr>
          <w:rFonts w:ascii="Montserrat-SemiBold"/>
        </w:rPr>
      </w:pPr>
      <w:r>
        <w:pict>
          <v:line id="_x0000_s1518" alt="" style="position:absolute;left:0;text-align:left;z-index:1144;mso-wrap-edited:f;mso-width-percent:0;mso-height-percent:0;mso-position-horizontal-relative:page;mso-width-percent:0;mso-height-percent:0" from="55.3pt,15.7pt" to="287.7pt,15.7pt" strokecolor="#004289" strokeweight=".7pt">
            <w10:wrap anchorx="page"/>
          </v:line>
        </w:pict>
      </w:r>
      <w:hyperlink w:anchor="_bookmark16" w:history="1">
        <w:r w:rsidR="0030091C">
          <w:rPr>
            <w:rFonts w:ascii="Montserrat-SemiBold"/>
            <w:color w:val="004289"/>
            <w:spacing w:val="2"/>
          </w:rPr>
          <w:t>BASED</w:t>
        </w:r>
        <w:r w:rsidR="0030091C">
          <w:rPr>
            <w:rFonts w:ascii="Montserrat-SemiBold"/>
            <w:color w:val="004289"/>
            <w:spacing w:val="16"/>
          </w:rPr>
          <w:t xml:space="preserve"> </w:t>
        </w:r>
        <w:r w:rsidR="0030091C">
          <w:rPr>
            <w:rFonts w:ascii="Montserrat-SemiBold"/>
            <w:color w:val="004289"/>
            <w:spacing w:val="2"/>
          </w:rPr>
          <w:t>REPORTING</w:t>
        </w:r>
        <w:r w:rsidR="0030091C">
          <w:rPr>
            <w:rFonts w:ascii="Montserrat-SemiBold"/>
            <w:color w:val="004289"/>
            <w:spacing w:val="2"/>
          </w:rPr>
          <w:tab/>
        </w:r>
        <w:r w:rsidR="0030091C">
          <w:rPr>
            <w:rFonts w:ascii="Montserrat-SemiBold"/>
            <w:color w:val="004289"/>
          </w:rPr>
          <w:t>37</w:t>
        </w:r>
      </w:hyperlink>
    </w:p>
    <w:p w:rsidR="006C17CB" w:rsidRDefault="00FE24A7">
      <w:pPr>
        <w:tabs>
          <w:tab w:val="left" w:leader="dot" w:pos="4522"/>
        </w:tabs>
        <w:spacing w:before="139"/>
        <w:ind w:left="125"/>
      </w:pPr>
      <w:hyperlink w:anchor="_bookmark17" w:history="1">
        <w:r w:rsidR="0030091C">
          <w:rPr>
            <w:rFonts w:ascii="Calibri"/>
            <w:b/>
          </w:rPr>
          <w:t>Risk management and</w:t>
        </w:r>
        <w:r w:rsidR="0030091C">
          <w:rPr>
            <w:rFonts w:ascii="Calibri"/>
            <w:b/>
            <w:spacing w:val="-5"/>
          </w:rPr>
          <w:t xml:space="preserve"> </w:t>
        </w:r>
        <w:r w:rsidR="0030091C">
          <w:rPr>
            <w:rFonts w:ascii="Calibri"/>
            <w:b/>
          </w:rPr>
          <w:t>internal</w:t>
        </w:r>
        <w:r w:rsidR="0030091C">
          <w:rPr>
            <w:rFonts w:ascii="Calibri"/>
            <w:b/>
            <w:spacing w:val="-2"/>
          </w:rPr>
          <w:t xml:space="preserve"> </w:t>
        </w:r>
        <w:r w:rsidR="0030091C">
          <w:rPr>
            <w:rFonts w:ascii="Calibri"/>
            <w:b/>
          </w:rPr>
          <w:t>audit</w:t>
        </w:r>
        <w:r w:rsidR="0030091C">
          <w:rPr>
            <w:rFonts w:ascii="Calibri"/>
            <w:b/>
          </w:rPr>
          <w:tab/>
        </w:r>
        <w:r w:rsidR="0030091C">
          <w:t>38</w:t>
        </w:r>
      </w:hyperlink>
    </w:p>
    <w:p w:rsidR="006C17CB" w:rsidRDefault="00FE24A7">
      <w:pPr>
        <w:pStyle w:val="BodyText"/>
        <w:tabs>
          <w:tab w:val="left" w:leader="dot" w:pos="4522"/>
        </w:tabs>
        <w:spacing w:before="26"/>
        <w:ind w:left="125"/>
      </w:pPr>
      <w:hyperlink w:anchor="_bookmark17" w:history="1">
        <w:r w:rsidR="0030091C">
          <w:t>Risk</w:t>
        </w:r>
        <w:r w:rsidR="0030091C">
          <w:rPr>
            <w:spacing w:val="-6"/>
          </w:rPr>
          <w:t xml:space="preserve"> </w:t>
        </w:r>
        <w:r w:rsidR="0030091C">
          <w:t>management</w:t>
        </w:r>
        <w:r w:rsidR="0030091C">
          <w:tab/>
          <w:t>38</w:t>
        </w:r>
      </w:hyperlink>
    </w:p>
    <w:p w:rsidR="006C17CB" w:rsidRDefault="00FE24A7">
      <w:pPr>
        <w:pStyle w:val="BodyText"/>
        <w:tabs>
          <w:tab w:val="left" w:leader="dot" w:pos="4522"/>
        </w:tabs>
        <w:spacing w:before="26"/>
        <w:ind w:left="125"/>
      </w:pPr>
      <w:hyperlink w:anchor="_bookmark17" w:history="1">
        <w:r w:rsidR="0030091C">
          <w:t>Internal</w:t>
        </w:r>
        <w:r w:rsidR="0030091C">
          <w:rPr>
            <w:spacing w:val="-6"/>
          </w:rPr>
          <w:t xml:space="preserve"> </w:t>
        </w:r>
        <w:r w:rsidR="0030091C">
          <w:t>audit</w:t>
        </w:r>
        <w:r w:rsidR="0030091C">
          <w:tab/>
          <w:t>38</w:t>
        </w:r>
      </w:hyperlink>
    </w:p>
    <w:p w:rsidR="006C17CB" w:rsidRDefault="00FE24A7">
      <w:pPr>
        <w:tabs>
          <w:tab w:val="left" w:leader="dot" w:pos="4525"/>
        </w:tabs>
        <w:spacing w:before="27"/>
        <w:ind w:left="125"/>
      </w:pPr>
      <w:hyperlink w:anchor="_bookmark18" w:history="1">
        <w:r w:rsidR="0030091C">
          <w:rPr>
            <w:rFonts w:ascii="Calibri"/>
            <w:b/>
          </w:rPr>
          <w:t>Fraud and</w:t>
        </w:r>
        <w:r w:rsidR="0030091C">
          <w:rPr>
            <w:rFonts w:ascii="Calibri"/>
            <w:b/>
            <w:spacing w:val="-4"/>
          </w:rPr>
          <w:t xml:space="preserve"> </w:t>
        </w:r>
        <w:r w:rsidR="0030091C">
          <w:rPr>
            <w:rFonts w:ascii="Calibri"/>
            <w:b/>
          </w:rPr>
          <w:t>corruption</w:t>
        </w:r>
        <w:r w:rsidR="0030091C">
          <w:rPr>
            <w:rFonts w:ascii="Calibri"/>
            <w:b/>
            <w:spacing w:val="-2"/>
          </w:rPr>
          <w:t xml:space="preserve"> </w:t>
        </w:r>
        <w:r w:rsidR="0030091C">
          <w:rPr>
            <w:rFonts w:ascii="Calibri"/>
            <w:b/>
          </w:rPr>
          <w:t>prevention</w:t>
        </w:r>
        <w:r w:rsidR="0030091C">
          <w:rPr>
            <w:rFonts w:ascii="Calibri"/>
            <w:b/>
          </w:rPr>
          <w:tab/>
        </w:r>
        <w:r w:rsidR="0030091C">
          <w:t>39</w:t>
        </w:r>
      </w:hyperlink>
    </w:p>
    <w:p w:rsidR="006C17CB" w:rsidRDefault="00FE24A7">
      <w:pPr>
        <w:tabs>
          <w:tab w:val="left" w:leader="dot" w:pos="4525"/>
        </w:tabs>
        <w:spacing w:before="26"/>
        <w:ind w:left="125"/>
      </w:pPr>
      <w:hyperlink w:anchor="_bookmark18" w:history="1">
        <w:r w:rsidR="0030091C">
          <w:rPr>
            <w:rFonts w:ascii="Calibri"/>
            <w:b/>
          </w:rPr>
          <w:t>Public</w:t>
        </w:r>
        <w:r w:rsidR="0030091C">
          <w:rPr>
            <w:rFonts w:ascii="Calibri"/>
            <w:b/>
            <w:spacing w:val="-1"/>
          </w:rPr>
          <w:t xml:space="preserve"> </w:t>
        </w:r>
        <w:r w:rsidR="0030091C">
          <w:rPr>
            <w:rFonts w:ascii="Calibri"/>
            <w:b/>
          </w:rPr>
          <w:t>interest disclosure</w:t>
        </w:r>
        <w:r w:rsidR="0030091C">
          <w:rPr>
            <w:rFonts w:ascii="Calibri"/>
            <w:b/>
          </w:rPr>
          <w:tab/>
        </w:r>
        <w:r w:rsidR="0030091C">
          <w:t>39</w:t>
        </w:r>
      </w:hyperlink>
    </w:p>
    <w:p w:rsidR="006C17CB" w:rsidRDefault="00FE24A7">
      <w:pPr>
        <w:tabs>
          <w:tab w:val="left" w:leader="dot" w:pos="4525"/>
        </w:tabs>
        <w:spacing w:before="26"/>
        <w:ind w:left="125"/>
      </w:pPr>
      <w:hyperlink w:anchor="_bookmark18" w:history="1">
        <w:r w:rsidR="0030091C">
          <w:rPr>
            <w:rFonts w:ascii="Calibri"/>
            <w:b/>
          </w:rPr>
          <w:t>Freedom</w:t>
        </w:r>
        <w:r w:rsidR="0030091C">
          <w:rPr>
            <w:rFonts w:ascii="Calibri"/>
            <w:b/>
            <w:spacing w:val="-24"/>
          </w:rPr>
          <w:t xml:space="preserve"> </w:t>
        </w:r>
        <w:r w:rsidR="0030091C">
          <w:rPr>
            <w:rFonts w:ascii="Calibri"/>
            <w:b/>
          </w:rPr>
          <w:t>of</w:t>
        </w:r>
        <w:r w:rsidR="0030091C">
          <w:rPr>
            <w:rFonts w:ascii="Calibri"/>
            <w:b/>
            <w:spacing w:val="-24"/>
          </w:rPr>
          <w:t xml:space="preserve"> </w:t>
        </w:r>
        <w:r w:rsidR="0030091C">
          <w:rPr>
            <w:rFonts w:ascii="Calibri"/>
            <w:b/>
          </w:rPr>
          <w:t>information</w:t>
        </w:r>
        <w:r w:rsidR="0030091C">
          <w:rPr>
            <w:rFonts w:ascii="Calibri"/>
            <w:b/>
            <w:spacing w:val="-3"/>
          </w:rPr>
          <w:t xml:space="preserve"> </w:t>
        </w:r>
        <w:r w:rsidR="0030091C">
          <w:rPr>
            <w:rFonts w:ascii="Calibri"/>
            <w:b/>
          </w:rPr>
          <w:t>(FOI)</w:t>
        </w:r>
        <w:r w:rsidR="0030091C">
          <w:rPr>
            <w:rFonts w:ascii="Calibri"/>
            <w:b/>
          </w:rPr>
          <w:tab/>
        </w:r>
        <w:r w:rsidR="0030091C">
          <w:t>39</w:t>
        </w:r>
      </w:hyperlink>
    </w:p>
    <w:p w:rsidR="006C17CB" w:rsidRDefault="00FE24A7">
      <w:pPr>
        <w:pStyle w:val="BodyText"/>
        <w:tabs>
          <w:tab w:val="left" w:leader="dot" w:pos="4534"/>
        </w:tabs>
        <w:spacing w:before="27"/>
        <w:ind w:left="125"/>
      </w:pPr>
      <w:hyperlink w:anchor="_bookmark19" w:history="1">
        <w:r w:rsidR="0030091C">
          <w:t>Internal</w:t>
        </w:r>
        <w:r w:rsidR="0030091C">
          <w:rPr>
            <w:spacing w:val="-7"/>
          </w:rPr>
          <w:t xml:space="preserve"> </w:t>
        </w:r>
        <w:r w:rsidR="0030091C">
          <w:t>accountability</w:t>
        </w:r>
        <w:r w:rsidR="0030091C">
          <w:tab/>
        </w:r>
        <w:r w:rsidR="0030091C">
          <w:rPr>
            <w:spacing w:val="-12"/>
          </w:rPr>
          <w:t>41</w:t>
        </w:r>
      </w:hyperlink>
    </w:p>
    <w:p w:rsidR="006C17CB" w:rsidRDefault="00FE24A7">
      <w:pPr>
        <w:pStyle w:val="BodyText"/>
        <w:tabs>
          <w:tab w:val="left" w:leader="dot" w:pos="4526"/>
        </w:tabs>
        <w:spacing w:before="26"/>
        <w:ind w:left="125"/>
      </w:pPr>
      <w:hyperlink w:anchor="_bookmark20" w:history="1">
        <w:r w:rsidR="0030091C">
          <w:t>Human resource</w:t>
        </w:r>
        <w:r w:rsidR="0030091C">
          <w:rPr>
            <w:spacing w:val="28"/>
          </w:rPr>
          <w:t xml:space="preserve"> </w:t>
        </w:r>
        <w:r w:rsidR="0030091C">
          <w:t>performance</w:t>
        </w:r>
        <w:r w:rsidR="0030091C">
          <w:tab/>
        </w:r>
        <w:r w:rsidR="0030091C">
          <w:rPr>
            <w:spacing w:val="-3"/>
          </w:rPr>
          <w:t>42</w:t>
        </w:r>
      </w:hyperlink>
    </w:p>
    <w:p w:rsidR="006C17CB" w:rsidRDefault="00FE24A7">
      <w:pPr>
        <w:pStyle w:val="BodyText"/>
        <w:tabs>
          <w:tab w:val="left" w:leader="dot" w:pos="4529"/>
        </w:tabs>
        <w:spacing w:before="26"/>
        <w:ind w:left="125"/>
      </w:pPr>
      <w:hyperlink w:anchor="_bookmark21" w:history="1">
        <w:r w:rsidR="0030091C">
          <w:t>Strategic</w:t>
        </w:r>
        <w:r w:rsidR="0030091C">
          <w:rPr>
            <w:spacing w:val="-8"/>
          </w:rPr>
          <w:t xml:space="preserve"> </w:t>
        </w:r>
        <w:r w:rsidR="0030091C">
          <w:t>asset</w:t>
        </w:r>
        <w:r w:rsidR="0030091C">
          <w:rPr>
            <w:spacing w:val="-7"/>
          </w:rPr>
          <w:t xml:space="preserve"> </w:t>
        </w:r>
        <w:r w:rsidR="0030091C">
          <w:t>management</w:t>
        </w:r>
        <w:r w:rsidR="0030091C">
          <w:tab/>
        </w:r>
        <w:r w:rsidR="0030091C">
          <w:rPr>
            <w:spacing w:val="-4"/>
          </w:rPr>
          <w:t>47</w:t>
        </w:r>
      </w:hyperlink>
    </w:p>
    <w:p w:rsidR="006C17CB" w:rsidRDefault="00FE24A7">
      <w:pPr>
        <w:pStyle w:val="BodyText"/>
        <w:tabs>
          <w:tab w:val="left" w:leader="dot" w:pos="4521"/>
        </w:tabs>
        <w:spacing w:before="26" w:line="259" w:lineRule="auto"/>
        <w:ind w:left="125" w:right="38"/>
      </w:pPr>
      <w:hyperlink w:anchor="_bookmark22" w:history="1">
        <w:r w:rsidR="0030091C">
          <w:t>Capital upgrade funding and expenditure . . . 48</w:t>
        </w:r>
      </w:hyperlink>
      <w:r w:rsidR="0030091C">
        <w:t xml:space="preserve"> </w:t>
      </w:r>
      <w:hyperlink w:anchor="_bookmark23" w:history="1">
        <w:r w:rsidR="0030091C">
          <w:t>Territory</w:t>
        </w:r>
        <w:r w:rsidR="0030091C">
          <w:rPr>
            <w:spacing w:val="-5"/>
          </w:rPr>
          <w:t xml:space="preserve"> </w:t>
        </w:r>
        <w:r w:rsidR="0030091C">
          <w:t>records</w:t>
        </w:r>
        <w:r w:rsidR="0030091C">
          <w:tab/>
          <w:t>50</w:t>
        </w:r>
      </w:hyperlink>
    </w:p>
    <w:p w:rsidR="006C17CB" w:rsidRDefault="00FE24A7">
      <w:pPr>
        <w:pStyle w:val="BodyText"/>
        <w:tabs>
          <w:tab w:val="left" w:leader="dot" w:pos="4528"/>
        </w:tabs>
        <w:spacing w:before="2"/>
        <w:ind w:left="125"/>
      </w:pPr>
      <w:hyperlink w:anchor="_bookmark24" w:history="1">
        <w:r w:rsidR="0030091C">
          <w:t>Human</w:t>
        </w:r>
        <w:r w:rsidR="0030091C">
          <w:rPr>
            <w:spacing w:val="-2"/>
          </w:rPr>
          <w:t xml:space="preserve"> </w:t>
        </w:r>
        <w:r w:rsidR="0030091C">
          <w:t>Rights</w:t>
        </w:r>
        <w:r w:rsidR="0030091C">
          <w:rPr>
            <w:spacing w:val="-2"/>
          </w:rPr>
          <w:t xml:space="preserve"> </w:t>
        </w:r>
        <w:r w:rsidR="0030091C">
          <w:t>Act</w:t>
        </w:r>
        <w:r w:rsidR="0030091C">
          <w:tab/>
        </w:r>
        <w:r w:rsidR="0030091C">
          <w:rPr>
            <w:spacing w:val="-7"/>
          </w:rPr>
          <w:t>52</w:t>
        </w:r>
      </w:hyperlink>
    </w:p>
    <w:p w:rsidR="006C17CB" w:rsidRDefault="00FE24A7">
      <w:pPr>
        <w:pStyle w:val="BodyText"/>
        <w:tabs>
          <w:tab w:val="left" w:leader="dot" w:pos="4528"/>
        </w:tabs>
        <w:spacing w:before="26"/>
        <w:ind w:left="125"/>
      </w:pPr>
      <w:hyperlink w:anchor="_bookmark24" w:history="1">
        <w:r w:rsidR="0030091C">
          <w:t>Sustainability</w:t>
        </w:r>
        <w:r w:rsidR="0030091C">
          <w:rPr>
            <w:spacing w:val="-3"/>
          </w:rPr>
          <w:t xml:space="preserve"> </w:t>
        </w:r>
        <w:r w:rsidR="0030091C">
          <w:t>reporting</w:t>
        </w:r>
        <w:r w:rsidR="0030091C">
          <w:tab/>
        </w:r>
        <w:r w:rsidR="0030091C">
          <w:rPr>
            <w:spacing w:val="-7"/>
          </w:rPr>
          <w:t>52</w:t>
        </w:r>
      </w:hyperlink>
    </w:p>
    <w:p w:rsidR="006C17CB" w:rsidRDefault="0030091C">
      <w:pPr>
        <w:pStyle w:val="BodyText"/>
        <w:rPr>
          <w:sz w:val="30"/>
        </w:rPr>
      </w:pPr>
      <w:r>
        <w:br w:type="column"/>
      </w:r>
    </w:p>
    <w:p w:rsidR="006C17CB" w:rsidRDefault="006C17CB">
      <w:pPr>
        <w:pStyle w:val="BodyText"/>
        <w:rPr>
          <w:sz w:val="30"/>
        </w:rPr>
      </w:pPr>
    </w:p>
    <w:p w:rsidR="006C17CB" w:rsidRDefault="006C17CB">
      <w:pPr>
        <w:pStyle w:val="BodyText"/>
        <w:spacing w:before="12"/>
        <w:rPr>
          <w:sz w:val="21"/>
        </w:rPr>
      </w:pPr>
    </w:p>
    <w:p w:rsidR="006C17CB" w:rsidRDefault="00FE24A7">
      <w:pPr>
        <w:pStyle w:val="Heading6"/>
        <w:tabs>
          <w:tab w:val="left" w:pos="4464"/>
        </w:tabs>
        <w:ind w:left="126"/>
        <w:rPr>
          <w:rFonts w:ascii="Montserrat-SemiBold"/>
        </w:rPr>
      </w:pPr>
      <w:hyperlink w:anchor="_bookmark25" w:history="1">
        <w:r w:rsidR="0030091C">
          <w:rPr>
            <w:rFonts w:ascii="Montserrat-SemiBold"/>
            <w:color w:val="004289"/>
            <w:spacing w:val="2"/>
          </w:rPr>
          <w:t>APPENDICES</w:t>
        </w:r>
        <w:r w:rsidR="0030091C">
          <w:rPr>
            <w:rFonts w:ascii="Montserrat-SemiBold"/>
            <w:color w:val="004289"/>
            <w:spacing w:val="2"/>
          </w:rPr>
          <w:tab/>
        </w:r>
        <w:r w:rsidR="0030091C">
          <w:rPr>
            <w:rFonts w:ascii="Montserrat-SemiBold"/>
            <w:color w:val="004289"/>
          </w:rPr>
          <w:t>57</w:t>
        </w:r>
      </w:hyperlink>
    </w:p>
    <w:p w:rsidR="006C17CB" w:rsidRDefault="00FE24A7">
      <w:pPr>
        <w:tabs>
          <w:tab w:val="left" w:leader="dot" w:pos="4522"/>
        </w:tabs>
        <w:spacing w:before="139"/>
        <w:ind w:left="125"/>
      </w:pPr>
      <w:r>
        <w:pict>
          <v:line id="_x0000_s1517" alt="" style="position:absolute;left:0;text-align:left;z-index:1168;mso-wrap-edited:f;mso-width-percent:0;mso-height-percent:0;mso-position-horizontal-relative:page;mso-width-percent:0;mso-height-percent:0" from="307.1pt,2.2pt" to="539.55pt,2.2pt" strokecolor="#004289" strokeweight=".7pt">
            <w10:wrap anchorx="page"/>
          </v:line>
        </w:pict>
      </w:r>
      <w:hyperlink w:anchor="_bookmark26" w:history="1">
        <w:r w:rsidR="0030091C">
          <w:rPr>
            <w:rFonts w:ascii="Calibri" w:hAnsi="Calibri"/>
            <w:b/>
          </w:rPr>
          <w:t xml:space="preserve">Appendix 1 </w:t>
        </w:r>
        <w:r w:rsidR="0030091C">
          <w:t>–</w:t>
        </w:r>
        <w:r w:rsidR="0030091C">
          <w:rPr>
            <w:spacing w:val="-8"/>
          </w:rPr>
          <w:t xml:space="preserve"> </w:t>
        </w:r>
        <w:r w:rsidR="0030091C">
          <w:t>Sitting</w:t>
        </w:r>
        <w:r w:rsidR="0030091C">
          <w:rPr>
            <w:spacing w:val="-2"/>
          </w:rPr>
          <w:t xml:space="preserve"> </w:t>
        </w:r>
        <w:r w:rsidR="0030091C">
          <w:t>days</w:t>
        </w:r>
        <w:r w:rsidR="0030091C">
          <w:tab/>
          <w:t>58</w:t>
        </w:r>
      </w:hyperlink>
    </w:p>
    <w:p w:rsidR="006C17CB" w:rsidRDefault="00FE24A7">
      <w:pPr>
        <w:tabs>
          <w:tab w:val="left" w:leader="dot" w:pos="4527"/>
        </w:tabs>
        <w:spacing w:before="26"/>
        <w:ind w:left="125"/>
      </w:pPr>
      <w:hyperlink w:anchor="_bookmark27" w:history="1">
        <w:r w:rsidR="0030091C">
          <w:rPr>
            <w:rFonts w:ascii="Calibri" w:hAnsi="Calibri"/>
            <w:b/>
          </w:rPr>
          <w:t>Appendix 2</w:t>
        </w:r>
        <w:r w:rsidR="0030091C">
          <w:rPr>
            <w:rFonts w:ascii="Calibri" w:hAnsi="Calibri"/>
            <w:b/>
            <w:spacing w:val="-3"/>
          </w:rPr>
          <w:t xml:space="preserve"> </w:t>
        </w:r>
        <w:r w:rsidR="0030091C">
          <w:t>–</w:t>
        </w:r>
        <w:r w:rsidR="0030091C">
          <w:rPr>
            <w:spacing w:val="-2"/>
          </w:rPr>
          <w:t xml:space="preserve"> </w:t>
        </w:r>
        <w:r w:rsidR="0030091C">
          <w:t>Proceedings</w:t>
        </w:r>
        <w:r w:rsidR="0030091C">
          <w:tab/>
        </w:r>
        <w:r w:rsidR="0030091C">
          <w:rPr>
            <w:spacing w:val="-6"/>
          </w:rPr>
          <w:t>59</w:t>
        </w:r>
      </w:hyperlink>
    </w:p>
    <w:p w:rsidR="006C17CB" w:rsidRDefault="00FE24A7">
      <w:pPr>
        <w:tabs>
          <w:tab w:val="left" w:leader="dot" w:pos="4519"/>
        </w:tabs>
        <w:spacing w:before="26"/>
        <w:ind w:left="125"/>
      </w:pPr>
      <w:hyperlink w:anchor="_bookmark28" w:history="1">
        <w:r w:rsidR="0030091C">
          <w:rPr>
            <w:rFonts w:ascii="Calibri" w:hAnsi="Calibri"/>
            <w:b/>
          </w:rPr>
          <w:t xml:space="preserve">Appendix 3 </w:t>
        </w:r>
        <w:r w:rsidR="0030091C">
          <w:t>– Minutes</w:t>
        </w:r>
        <w:r w:rsidR="0030091C">
          <w:rPr>
            <w:spacing w:val="-10"/>
          </w:rPr>
          <w:t xml:space="preserve"> </w:t>
        </w:r>
        <w:r w:rsidR="0030091C">
          <w:t>of</w:t>
        </w:r>
        <w:r w:rsidR="0030091C">
          <w:rPr>
            <w:spacing w:val="-2"/>
          </w:rPr>
          <w:t xml:space="preserve"> </w:t>
        </w:r>
        <w:r w:rsidR="0030091C">
          <w:t>proceedings</w:t>
        </w:r>
        <w:r w:rsidR="0030091C">
          <w:tab/>
          <w:t>60</w:t>
        </w:r>
      </w:hyperlink>
    </w:p>
    <w:p w:rsidR="006C17CB" w:rsidRDefault="00FE24A7">
      <w:pPr>
        <w:spacing w:before="27"/>
        <w:ind w:left="125"/>
        <w:jc w:val="both"/>
      </w:pPr>
      <w:hyperlink w:anchor="_bookmark29" w:history="1">
        <w:r w:rsidR="0030091C">
          <w:rPr>
            <w:rFonts w:ascii="Calibri" w:hAnsi="Calibri"/>
            <w:b/>
          </w:rPr>
          <w:t xml:space="preserve">Appendix 4 </w:t>
        </w:r>
        <w:r w:rsidR="0030091C">
          <w:t>– Bills and amendments 2017-2018 .  61</w:t>
        </w:r>
      </w:hyperlink>
    </w:p>
    <w:p w:rsidR="006C17CB" w:rsidRDefault="00FE24A7">
      <w:pPr>
        <w:tabs>
          <w:tab w:val="left" w:leader="dot" w:pos="4525"/>
        </w:tabs>
        <w:spacing w:before="26"/>
        <w:ind w:left="125"/>
      </w:pPr>
      <w:hyperlink w:anchor="_bookmark30" w:history="1">
        <w:r w:rsidR="0030091C">
          <w:rPr>
            <w:rFonts w:ascii="Calibri" w:hAnsi="Calibri"/>
            <w:b/>
          </w:rPr>
          <w:t xml:space="preserve">Appendix 5 </w:t>
        </w:r>
        <w:r w:rsidR="0030091C">
          <w:t>–</w:t>
        </w:r>
        <w:r w:rsidR="0030091C">
          <w:rPr>
            <w:spacing w:val="-10"/>
          </w:rPr>
          <w:t xml:space="preserve"> </w:t>
        </w:r>
        <w:r w:rsidR="0030091C">
          <w:t>Bills</w:t>
        </w:r>
        <w:r w:rsidR="0030091C">
          <w:rPr>
            <w:spacing w:val="-3"/>
          </w:rPr>
          <w:t xml:space="preserve"> </w:t>
        </w:r>
        <w:r w:rsidR="0030091C">
          <w:t>presented</w:t>
        </w:r>
        <w:r w:rsidR="0030091C">
          <w:tab/>
        </w:r>
        <w:r w:rsidR="0030091C">
          <w:rPr>
            <w:spacing w:val="-4"/>
          </w:rPr>
          <w:t>62</w:t>
        </w:r>
      </w:hyperlink>
    </w:p>
    <w:p w:rsidR="006C17CB" w:rsidRDefault="00FE24A7">
      <w:pPr>
        <w:spacing w:before="26"/>
        <w:ind w:left="125"/>
        <w:jc w:val="both"/>
      </w:pPr>
      <w:hyperlink w:anchor="_bookmark31" w:history="1">
        <w:r w:rsidR="0030091C">
          <w:rPr>
            <w:rFonts w:ascii="Calibri" w:hAnsi="Calibri"/>
            <w:b/>
          </w:rPr>
          <w:t xml:space="preserve">Appendix 6 </w:t>
        </w:r>
        <w:r w:rsidR="0030091C">
          <w:t>– Questions with and without notice 63</w:t>
        </w:r>
      </w:hyperlink>
    </w:p>
    <w:p w:rsidR="006C17CB" w:rsidRDefault="00FE24A7">
      <w:pPr>
        <w:tabs>
          <w:tab w:val="left" w:leader="dot" w:pos="4517"/>
        </w:tabs>
        <w:spacing w:before="26"/>
        <w:ind w:left="125"/>
      </w:pPr>
      <w:hyperlink w:anchor="_bookmark32" w:history="1">
        <w:r w:rsidR="0030091C">
          <w:rPr>
            <w:rFonts w:ascii="Calibri" w:hAnsi="Calibri"/>
            <w:b/>
          </w:rPr>
          <w:t xml:space="preserve">Appendix 7 </w:t>
        </w:r>
        <w:r w:rsidR="0030091C">
          <w:t>–</w:t>
        </w:r>
        <w:r w:rsidR="0030091C">
          <w:rPr>
            <w:spacing w:val="-6"/>
          </w:rPr>
          <w:t xml:space="preserve"> </w:t>
        </w:r>
        <w:r w:rsidR="0030091C">
          <w:t>Committee</w:t>
        </w:r>
        <w:r w:rsidR="0030091C">
          <w:rPr>
            <w:spacing w:val="-3"/>
          </w:rPr>
          <w:t xml:space="preserve"> </w:t>
        </w:r>
        <w:r w:rsidR="0030091C">
          <w:t>statistics</w:t>
        </w:r>
        <w:r w:rsidR="0030091C">
          <w:tab/>
        </w:r>
        <w:r w:rsidR="0030091C">
          <w:rPr>
            <w:spacing w:val="2"/>
          </w:rPr>
          <w:t>64</w:t>
        </w:r>
      </w:hyperlink>
    </w:p>
    <w:p w:rsidR="006C17CB" w:rsidRDefault="00FE24A7">
      <w:pPr>
        <w:spacing w:before="27" w:line="274" w:lineRule="exact"/>
        <w:ind w:left="125"/>
        <w:jc w:val="both"/>
      </w:pPr>
      <w:hyperlink w:anchor="_bookmark33" w:history="1">
        <w:r w:rsidR="0030091C">
          <w:rPr>
            <w:rFonts w:ascii="Calibri" w:hAnsi="Calibri"/>
            <w:b/>
          </w:rPr>
          <w:t xml:space="preserve">Appendix 8 </w:t>
        </w:r>
        <w:r w:rsidR="0030091C">
          <w:t>– Broadcasting and website</w:t>
        </w:r>
      </w:hyperlink>
    </w:p>
    <w:p w:rsidR="006C17CB" w:rsidRDefault="00FE24A7">
      <w:pPr>
        <w:pStyle w:val="BodyText"/>
        <w:tabs>
          <w:tab w:val="left" w:leader="dot" w:pos="3378"/>
        </w:tabs>
        <w:spacing w:line="274" w:lineRule="exact"/>
        <w:ind w:left="231"/>
        <w:jc w:val="center"/>
      </w:pPr>
      <w:hyperlink w:anchor="_bookmark33" w:history="1">
        <w:r w:rsidR="0030091C">
          <w:t>management</w:t>
        </w:r>
        <w:r w:rsidR="0030091C">
          <w:tab/>
          <w:t>68</w:t>
        </w:r>
      </w:hyperlink>
    </w:p>
    <w:p w:rsidR="006C17CB" w:rsidRDefault="00FE24A7">
      <w:pPr>
        <w:spacing w:before="26" w:line="259" w:lineRule="auto"/>
        <w:ind w:left="125" w:right="1141"/>
        <w:jc w:val="both"/>
      </w:pPr>
      <w:hyperlink w:anchor="_bookmark34" w:history="1">
        <w:r w:rsidR="0030091C">
          <w:rPr>
            <w:rFonts w:ascii="Calibri" w:hAnsi="Calibri"/>
            <w:b/>
          </w:rPr>
          <w:t xml:space="preserve">Appendix 9 </w:t>
        </w:r>
        <w:r w:rsidR="0030091C">
          <w:t>– Library and reference services . . 69</w:t>
        </w:r>
      </w:hyperlink>
      <w:r w:rsidR="0030091C">
        <w:t xml:space="preserve"> </w:t>
      </w:r>
      <w:hyperlink w:anchor="_bookmark35" w:history="1">
        <w:r w:rsidR="0030091C">
          <w:rPr>
            <w:rFonts w:ascii="Calibri" w:hAnsi="Calibri"/>
            <w:b/>
          </w:rPr>
          <w:t xml:space="preserve">Appendix 10 </w:t>
        </w:r>
        <w:r w:rsidR="0030091C">
          <w:t>– Members of the Ninth Assembly. 71</w:t>
        </w:r>
      </w:hyperlink>
      <w:r w:rsidR="0030091C">
        <w:t xml:space="preserve"> </w:t>
      </w:r>
      <w:hyperlink w:anchor="_bookmark36" w:history="1">
        <w:r w:rsidR="0030091C">
          <w:rPr>
            <w:rFonts w:ascii="Calibri" w:hAnsi="Calibri"/>
            <w:b/>
          </w:rPr>
          <w:t xml:space="preserve">Appendix 11 </w:t>
        </w:r>
        <w:r w:rsidR="0030091C">
          <w:t>– Office holders of the Ninth</w:t>
        </w:r>
      </w:hyperlink>
    </w:p>
    <w:p w:rsidR="006C17CB" w:rsidRDefault="00FE24A7">
      <w:pPr>
        <w:pStyle w:val="BodyText"/>
        <w:tabs>
          <w:tab w:val="left" w:leader="dot" w:pos="4523"/>
        </w:tabs>
        <w:spacing w:line="206" w:lineRule="exact"/>
        <w:ind w:left="1486"/>
      </w:pPr>
      <w:hyperlink w:anchor="_bookmark36" w:history="1">
        <w:r w:rsidR="0030091C">
          <w:t>Assembly</w:t>
        </w:r>
        <w:r w:rsidR="0030091C">
          <w:tab/>
          <w:t>72</w:t>
        </w:r>
      </w:hyperlink>
    </w:p>
    <w:p w:rsidR="006C17CB" w:rsidRDefault="00FE24A7">
      <w:pPr>
        <w:spacing w:before="26"/>
        <w:ind w:left="125"/>
        <w:jc w:val="both"/>
      </w:pPr>
      <w:hyperlink w:anchor="_bookmark37" w:history="1">
        <w:r w:rsidR="0030091C">
          <w:rPr>
            <w:rFonts w:ascii="Calibri" w:hAnsi="Calibri"/>
            <w:b/>
          </w:rPr>
          <w:t xml:space="preserve">Appendix 12 </w:t>
        </w:r>
        <w:r w:rsidR="0030091C">
          <w:t>– Ministers as at 30 June 2018   .   .  73</w:t>
        </w:r>
      </w:hyperlink>
    </w:p>
    <w:p w:rsidR="006C17CB" w:rsidRDefault="00FE24A7">
      <w:pPr>
        <w:tabs>
          <w:tab w:val="left" w:leader="dot" w:pos="4535"/>
        </w:tabs>
        <w:spacing w:before="27"/>
        <w:ind w:left="125"/>
      </w:pPr>
      <w:hyperlink w:anchor="_bookmark38" w:history="1">
        <w:r w:rsidR="0030091C">
          <w:rPr>
            <w:rFonts w:ascii="Calibri" w:hAnsi="Calibri"/>
            <w:b/>
          </w:rPr>
          <w:t xml:space="preserve">Appendix 13 </w:t>
        </w:r>
        <w:r w:rsidR="0030091C">
          <w:t>– Remuneration</w:t>
        </w:r>
        <w:r w:rsidR="0030091C">
          <w:rPr>
            <w:spacing w:val="-10"/>
          </w:rPr>
          <w:t xml:space="preserve"> </w:t>
        </w:r>
        <w:r w:rsidR="0030091C">
          <w:t>of</w:t>
        </w:r>
        <w:r w:rsidR="0030091C">
          <w:rPr>
            <w:spacing w:val="-2"/>
          </w:rPr>
          <w:t xml:space="preserve"> </w:t>
        </w:r>
        <w:r w:rsidR="0030091C">
          <w:rPr>
            <w:spacing w:val="1"/>
          </w:rPr>
          <w:t>MLAs</w:t>
        </w:r>
        <w:r w:rsidR="0030091C">
          <w:rPr>
            <w:spacing w:val="1"/>
          </w:rPr>
          <w:tab/>
        </w:r>
        <w:r w:rsidR="0030091C">
          <w:rPr>
            <w:spacing w:val="-7"/>
          </w:rPr>
          <w:t>74</w:t>
        </w:r>
      </w:hyperlink>
    </w:p>
    <w:p w:rsidR="006C17CB" w:rsidRDefault="00FE24A7">
      <w:pPr>
        <w:spacing w:before="26" w:line="274" w:lineRule="exact"/>
        <w:ind w:left="125"/>
        <w:jc w:val="both"/>
      </w:pPr>
      <w:hyperlink w:anchor="_bookmark39" w:history="1">
        <w:r w:rsidR="0030091C">
          <w:rPr>
            <w:rFonts w:ascii="Calibri" w:hAnsi="Calibri"/>
            <w:b/>
          </w:rPr>
          <w:t xml:space="preserve">Appendix 14 </w:t>
        </w:r>
        <w:r w:rsidR="0030091C">
          <w:t>– Non-executive members’ staff</w:t>
        </w:r>
      </w:hyperlink>
    </w:p>
    <w:p w:rsidR="006C17CB" w:rsidRDefault="00FE24A7">
      <w:pPr>
        <w:pStyle w:val="BodyText"/>
        <w:tabs>
          <w:tab w:val="left" w:leader="dot" w:pos="4524"/>
        </w:tabs>
        <w:spacing w:line="274" w:lineRule="exact"/>
        <w:ind w:left="1486"/>
      </w:pPr>
      <w:hyperlink w:anchor="_bookmark39" w:history="1">
        <w:r w:rsidR="0030091C">
          <w:t>employment</w:t>
        </w:r>
        <w:r w:rsidR="0030091C">
          <w:tab/>
        </w:r>
        <w:r w:rsidR="0030091C">
          <w:rPr>
            <w:spacing w:val="-3"/>
          </w:rPr>
          <w:t>75</w:t>
        </w:r>
      </w:hyperlink>
    </w:p>
    <w:p w:rsidR="006C17CB" w:rsidRDefault="00FE24A7">
      <w:pPr>
        <w:spacing w:before="26" w:line="274" w:lineRule="exact"/>
        <w:ind w:left="125"/>
        <w:jc w:val="both"/>
      </w:pPr>
      <w:hyperlink w:anchor="_bookmark40" w:history="1">
        <w:r w:rsidR="0030091C">
          <w:rPr>
            <w:rFonts w:ascii="Calibri" w:hAnsi="Calibri"/>
            <w:b/>
          </w:rPr>
          <w:t xml:space="preserve">Appendix 15 </w:t>
        </w:r>
        <w:r w:rsidR="0030091C">
          <w:t>– Visits by members and</w:t>
        </w:r>
      </w:hyperlink>
    </w:p>
    <w:p w:rsidR="006C17CB" w:rsidRDefault="00FE24A7">
      <w:pPr>
        <w:pStyle w:val="BodyText"/>
        <w:spacing w:before="26" w:line="175" w:lineRule="auto"/>
        <w:ind w:left="1486" w:right="1514"/>
      </w:pPr>
      <w:hyperlink w:anchor="_bookmark40" w:history="1">
        <w:r w:rsidR="0030091C">
          <w:t>parliamentary officers from</w:t>
        </w:r>
      </w:hyperlink>
      <w:r w:rsidR="0030091C">
        <w:t xml:space="preserve"> </w:t>
      </w:r>
      <w:hyperlink w:anchor="_bookmark40" w:history="1">
        <w:r w:rsidR="0030091C">
          <w:t>other legislatures, delegations</w:t>
        </w:r>
      </w:hyperlink>
    </w:p>
    <w:p w:rsidR="006C17CB" w:rsidRDefault="00FE24A7">
      <w:pPr>
        <w:pStyle w:val="BodyText"/>
        <w:tabs>
          <w:tab w:val="left" w:leader="dot" w:pos="4520"/>
        </w:tabs>
        <w:spacing w:line="244" w:lineRule="exact"/>
        <w:ind w:left="1486"/>
      </w:pPr>
      <w:hyperlink w:anchor="_bookmark40" w:history="1">
        <w:r w:rsidR="0030091C">
          <w:t>and</w:t>
        </w:r>
        <w:r w:rsidR="0030091C">
          <w:rPr>
            <w:spacing w:val="-2"/>
          </w:rPr>
          <w:t xml:space="preserve"> </w:t>
        </w:r>
        <w:r w:rsidR="0030091C">
          <w:t>others</w:t>
        </w:r>
        <w:r w:rsidR="0030091C">
          <w:tab/>
          <w:t>77</w:t>
        </w:r>
      </w:hyperlink>
    </w:p>
    <w:p w:rsidR="006C17CB" w:rsidRDefault="00FE24A7">
      <w:pPr>
        <w:spacing w:before="27" w:line="274" w:lineRule="exact"/>
        <w:ind w:left="125"/>
        <w:jc w:val="both"/>
      </w:pPr>
      <w:hyperlink w:anchor="_bookmark41" w:history="1">
        <w:r w:rsidR="0030091C">
          <w:rPr>
            <w:rFonts w:ascii="Calibri" w:hAnsi="Calibri"/>
            <w:b/>
          </w:rPr>
          <w:t xml:space="preserve">Appendix 16 </w:t>
        </w:r>
        <w:r w:rsidR="0030091C">
          <w:t>– Administrative support for</w:t>
        </w:r>
      </w:hyperlink>
    </w:p>
    <w:p w:rsidR="006C17CB" w:rsidRDefault="00FE24A7">
      <w:pPr>
        <w:pStyle w:val="BodyText"/>
        <w:tabs>
          <w:tab w:val="left" w:leader="dot" w:pos="4524"/>
        </w:tabs>
        <w:spacing w:before="26" w:line="175" w:lineRule="auto"/>
        <w:ind w:left="1486" w:right="1144"/>
      </w:pPr>
      <w:hyperlink w:anchor="_bookmark41" w:history="1">
        <w:r w:rsidR="0030091C">
          <w:t>the Assembly Branch of the</w:t>
        </w:r>
      </w:hyperlink>
      <w:r w:rsidR="0030091C">
        <w:t xml:space="preserve"> </w:t>
      </w:r>
      <w:hyperlink w:anchor="_bookmark41" w:history="1">
        <w:r w:rsidR="0030091C">
          <w:t>Commonwealth Parliamentary</w:t>
        </w:r>
      </w:hyperlink>
      <w:r w:rsidR="0030091C">
        <w:t xml:space="preserve"> </w:t>
      </w:r>
      <w:hyperlink w:anchor="_bookmark41" w:history="1">
        <w:r w:rsidR="0030091C">
          <w:t xml:space="preserve">Association </w:t>
        </w:r>
        <w:r w:rsidR="0030091C">
          <w:rPr>
            <w:spacing w:val="-6"/>
          </w:rPr>
          <w:t>2017-2018</w:t>
        </w:r>
        <w:r w:rsidR="0030091C">
          <w:rPr>
            <w:spacing w:val="-6"/>
          </w:rPr>
          <w:tab/>
        </w:r>
        <w:r w:rsidR="0030091C">
          <w:rPr>
            <w:spacing w:val="-3"/>
          </w:rPr>
          <w:t>78</w:t>
        </w:r>
      </w:hyperlink>
    </w:p>
    <w:p w:rsidR="006C17CB" w:rsidRDefault="00FE24A7">
      <w:pPr>
        <w:tabs>
          <w:tab w:val="left" w:leader="dot" w:pos="4523"/>
        </w:tabs>
        <w:spacing w:before="39"/>
        <w:ind w:left="125"/>
      </w:pPr>
      <w:hyperlink w:anchor="_bookmark42" w:history="1">
        <w:r w:rsidR="0030091C">
          <w:rPr>
            <w:rFonts w:ascii="Calibri" w:hAnsi="Calibri"/>
            <w:b/>
          </w:rPr>
          <w:t xml:space="preserve">Appendix </w:t>
        </w:r>
        <w:r w:rsidR="0030091C">
          <w:rPr>
            <w:rFonts w:ascii="Calibri" w:hAnsi="Calibri"/>
            <w:b/>
            <w:spacing w:val="-4"/>
          </w:rPr>
          <w:t xml:space="preserve">17 </w:t>
        </w:r>
        <w:r w:rsidR="0030091C">
          <w:t>–</w:t>
        </w:r>
        <w:r w:rsidR="0030091C">
          <w:rPr>
            <w:spacing w:val="-2"/>
          </w:rPr>
          <w:t xml:space="preserve"> </w:t>
        </w:r>
        <w:r w:rsidR="0030091C">
          <w:t>Education</w:t>
        </w:r>
        <w:r w:rsidR="0030091C">
          <w:rPr>
            <w:spacing w:val="-2"/>
          </w:rPr>
          <w:t xml:space="preserve"> </w:t>
        </w:r>
        <w:r w:rsidR="0030091C">
          <w:t>program</w:t>
        </w:r>
        <w:r w:rsidR="0030091C">
          <w:tab/>
          <w:t>79</w:t>
        </w:r>
      </w:hyperlink>
    </w:p>
    <w:p w:rsidR="006C17CB" w:rsidRDefault="00FE24A7">
      <w:pPr>
        <w:spacing w:before="26" w:line="274" w:lineRule="exact"/>
        <w:ind w:left="125"/>
      </w:pPr>
      <w:hyperlink w:anchor="_bookmark43" w:history="1">
        <w:r w:rsidR="0030091C">
          <w:rPr>
            <w:rFonts w:ascii="Calibri" w:hAnsi="Calibri"/>
            <w:b/>
          </w:rPr>
          <w:t xml:space="preserve">Appendix 18 </w:t>
        </w:r>
        <w:r w:rsidR="0030091C">
          <w:t>– Office of the Legislative Assembly</w:t>
        </w:r>
      </w:hyperlink>
    </w:p>
    <w:p w:rsidR="006C17CB" w:rsidRDefault="00FE24A7">
      <w:pPr>
        <w:pStyle w:val="BodyText"/>
        <w:spacing w:before="26" w:line="175" w:lineRule="auto"/>
        <w:ind w:left="1486" w:right="1514"/>
      </w:pPr>
      <w:hyperlink w:anchor="_bookmark43" w:history="1">
        <w:r w:rsidR="0030091C">
          <w:t>financial statements and</w:t>
        </w:r>
      </w:hyperlink>
      <w:r w:rsidR="0030091C">
        <w:t xml:space="preserve"> </w:t>
      </w:r>
      <w:hyperlink w:anchor="_bookmark43" w:history="1">
        <w:r w:rsidR="0030091C">
          <w:t>management discussion</w:t>
        </w:r>
      </w:hyperlink>
    </w:p>
    <w:p w:rsidR="006C17CB" w:rsidRDefault="00FE24A7">
      <w:pPr>
        <w:pStyle w:val="BodyText"/>
        <w:tabs>
          <w:tab w:val="left" w:leader="dot" w:pos="4520"/>
        </w:tabs>
        <w:spacing w:line="244" w:lineRule="exact"/>
        <w:ind w:left="1486"/>
      </w:pPr>
      <w:hyperlink w:anchor="_bookmark43" w:history="1">
        <w:r w:rsidR="0030091C">
          <w:t>and</w:t>
        </w:r>
        <w:r w:rsidR="0030091C">
          <w:rPr>
            <w:spacing w:val="-4"/>
          </w:rPr>
          <w:t xml:space="preserve"> </w:t>
        </w:r>
        <w:r w:rsidR="0030091C">
          <w:t>analysis</w:t>
        </w:r>
        <w:r w:rsidR="0030091C">
          <w:tab/>
          <w:t>80</w:t>
        </w:r>
      </w:hyperlink>
    </w:p>
    <w:p w:rsidR="006C17CB" w:rsidRDefault="00FE24A7">
      <w:pPr>
        <w:pStyle w:val="BodyText"/>
        <w:tabs>
          <w:tab w:val="left" w:pos="4520"/>
        </w:tabs>
        <w:spacing w:before="27"/>
        <w:ind w:left="125"/>
      </w:pPr>
      <w:hyperlink w:anchor="_bookmark43" w:history="1">
        <w:r w:rsidR="0030091C">
          <w:t>Management discussion and</w:t>
        </w:r>
        <w:r w:rsidR="0030091C">
          <w:rPr>
            <w:spacing w:val="-19"/>
          </w:rPr>
          <w:t xml:space="preserve"> </w:t>
        </w:r>
        <w:r w:rsidR="0030091C">
          <w:t>analysis</w:t>
        </w:r>
        <w:r w:rsidR="0030091C">
          <w:rPr>
            <w:spacing w:val="-6"/>
          </w:rPr>
          <w:t xml:space="preserve"> </w:t>
        </w:r>
        <w:r w:rsidR="0030091C">
          <w:rPr>
            <w:spacing w:val="-5"/>
          </w:rPr>
          <w:t>2017-2018</w:t>
        </w:r>
        <w:r w:rsidR="0030091C">
          <w:rPr>
            <w:spacing w:val="-5"/>
          </w:rPr>
          <w:tab/>
        </w:r>
        <w:r w:rsidR="0030091C">
          <w:t>80</w:t>
        </w:r>
      </w:hyperlink>
    </w:p>
    <w:p w:rsidR="006C17CB" w:rsidRDefault="00FE24A7">
      <w:pPr>
        <w:pStyle w:val="BodyText"/>
        <w:tabs>
          <w:tab w:val="left" w:leader="dot" w:pos="4224"/>
        </w:tabs>
        <w:spacing w:before="26"/>
        <w:ind w:right="844"/>
        <w:jc w:val="center"/>
      </w:pPr>
      <w:hyperlink w:anchor="_bookmark43" w:history="1">
        <w:r w:rsidR="0030091C">
          <w:t>Legislative</w:t>
        </w:r>
        <w:r w:rsidR="0030091C">
          <w:rPr>
            <w:spacing w:val="-4"/>
          </w:rPr>
          <w:t xml:space="preserve"> </w:t>
        </w:r>
        <w:r w:rsidR="0030091C">
          <w:t>overview</w:t>
        </w:r>
        <w:r w:rsidR="0030091C">
          <w:tab/>
          <w:t>80</w:t>
        </w:r>
      </w:hyperlink>
    </w:p>
    <w:p w:rsidR="006C17CB" w:rsidRDefault="00FE24A7">
      <w:pPr>
        <w:pStyle w:val="BodyText"/>
        <w:tabs>
          <w:tab w:val="left" w:leader="dot" w:pos="4224"/>
        </w:tabs>
        <w:spacing w:before="26"/>
        <w:ind w:right="844"/>
        <w:jc w:val="center"/>
      </w:pPr>
      <w:hyperlink w:anchor="_bookmark43" w:history="1">
        <w:r w:rsidR="0030091C">
          <w:t>Risk</w:t>
        </w:r>
        <w:r w:rsidR="0030091C">
          <w:rPr>
            <w:spacing w:val="-6"/>
          </w:rPr>
          <w:t xml:space="preserve"> </w:t>
        </w:r>
        <w:r w:rsidR="0030091C">
          <w:t>management</w:t>
        </w:r>
        <w:r w:rsidR="0030091C">
          <w:tab/>
          <w:t>80</w:t>
        </w:r>
      </w:hyperlink>
    </w:p>
    <w:p w:rsidR="006C17CB" w:rsidRDefault="00FE24A7">
      <w:pPr>
        <w:pStyle w:val="BodyText"/>
        <w:tabs>
          <w:tab w:val="left" w:leader="dot" w:pos="4224"/>
        </w:tabs>
        <w:spacing w:before="26"/>
        <w:ind w:right="844"/>
        <w:jc w:val="center"/>
      </w:pPr>
      <w:hyperlink w:anchor="_bookmark43" w:history="1">
        <w:r w:rsidR="0030091C">
          <w:t>Reporting</w:t>
        </w:r>
        <w:r w:rsidR="0030091C">
          <w:rPr>
            <w:spacing w:val="-3"/>
          </w:rPr>
          <w:t xml:space="preserve"> </w:t>
        </w:r>
        <w:r w:rsidR="0030091C">
          <w:t>entities</w:t>
        </w:r>
        <w:r w:rsidR="0030091C">
          <w:tab/>
          <w:t>80</w:t>
        </w:r>
      </w:hyperlink>
    </w:p>
    <w:p w:rsidR="006C17CB" w:rsidRDefault="00FE24A7">
      <w:pPr>
        <w:pStyle w:val="BodyText"/>
        <w:tabs>
          <w:tab w:val="left" w:leader="dot" w:pos="4224"/>
        </w:tabs>
        <w:spacing w:before="27"/>
        <w:ind w:right="844"/>
        <w:jc w:val="center"/>
      </w:pPr>
      <w:hyperlink w:anchor="_bookmark43" w:history="1">
        <w:r w:rsidR="0030091C">
          <w:t>Controlled</w:t>
        </w:r>
        <w:r w:rsidR="0030091C">
          <w:rPr>
            <w:spacing w:val="-7"/>
          </w:rPr>
          <w:t xml:space="preserve"> </w:t>
        </w:r>
        <w:r w:rsidR="0030091C">
          <w:t>financial</w:t>
        </w:r>
        <w:r w:rsidR="0030091C">
          <w:rPr>
            <w:spacing w:val="-6"/>
          </w:rPr>
          <w:t xml:space="preserve"> </w:t>
        </w:r>
        <w:r w:rsidR="0030091C">
          <w:t>performance</w:t>
        </w:r>
        <w:r w:rsidR="0030091C">
          <w:tab/>
          <w:t>80</w:t>
        </w:r>
      </w:hyperlink>
    </w:p>
    <w:p w:rsidR="006C17CB" w:rsidRDefault="00FE24A7">
      <w:pPr>
        <w:pStyle w:val="BodyText"/>
        <w:tabs>
          <w:tab w:val="left" w:leader="dot" w:pos="4229"/>
        </w:tabs>
        <w:spacing w:before="26"/>
        <w:ind w:right="846"/>
        <w:jc w:val="center"/>
      </w:pPr>
      <w:hyperlink w:anchor="_bookmark44" w:history="1">
        <w:r w:rsidR="0030091C">
          <w:t>Controlled</w:t>
        </w:r>
        <w:r w:rsidR="0030091C">
          <w:rPr>
            <w:spacing w:val="-7"/>
          </w:rPr>
          <w:t xml:space="preserve"> </w:t>
        </w:r>
        <w:r w:rsidR="0030091C">
          <w:t>financial</w:t>
        </w:r>
        <w:r w:rsidR="0030091C">
          <w:rPr>
            <w:spacing w:val="-6"/>
          </w:rPr>
          <w:t xml:space="preserve"> </w:t>
        </w:r>
        <w:r w:rsidR="0030091C">
          <w:t>position</w:t>
        </w:r>
        <w:r w:rsidR="0030091C">
          <w:tab/>
          <w:t>82</w:t>
        </w:r>
      </w:hyperlink>
    </w:p>
    <w:p w:rsidR="006C17CB" w:rsidRDefault="00FE24A7">
      <w:pPr>
        <w:pStyle w:val="BodyText"/>
        <w:tabs>
          <w:tab w:val="left" w:pos="4222"/>
        </w:tabs>
        <w:spacing w:before="26"/>
        <w:ind w:right="846"/>
        <w:jc w:val="center"/>
      </w:pPr>
      <w:hyperlink w:anchor="_bookmark45" w:history="1">
        <w:r w:rsidR="0030091C">
          <w:rPr>
            <w:spacing w:val="-3"/>
          </w:rPr>
          <w:t xml:space="preserve">Territorial </w:t>
        </w:r>
        <w:r w:rsidR="0030091C">
          <w:t>statement of income</w:t>
        </w:r>
        <w:r w:rsidR="0030091C">
          <w:rPr>
            <w:spacing w:val="-7"/>
          </w:rPr>
          <w:t xml:space="preserve"> </w:t>
        </w:r>
        <w:r w:rsidR="0030091C">
          <w:t>and</w:t>
        </w:r>
        <w:r w:rsidR="0030091C">
          <w:rPr>
            <w:spacing w:val="-3"/>
          </w:rPr>
          <w:t xml:space="preserve"> </w:t>
        </w:r>
        <w:r w:rsidR="0030091C">
          <w:t>expenses</w:t>
        </w:r>
        <w:r w:rsidR="0030091C">
          <w:tab/>
          <w:t>84</w:t>
        </w:r>
      </w:hyperlink>
    </w:p>
    <w:p w:rsidR="006C17CB" w:rsidRDefault="00FE24A7">
      <w:pPr>
        <w:pStyle w:val="BodyText"/>
        <w:tabs>
          <w:tab w:val="left" w:leader="dot" w:pos="4222"/>
        </w:tabs>
        <w:spacing w:before="26"/>
        <w:ind w:right="846"/>
        <w:jc w:val="center"/>
      </w:pPr>
      <w:hyperlink w:anchor="_bookmark45" w:history="1">
        <w:r w:rsidR="0030091C">
          <w:rPr>
            <w:spacing w:val="-4"/>
          </w:rPr>
          <w:t>Total</w:t>
        </w:r>
        <w:r w:rsidR="0030091C">
          <w:rPr>
            <w:spacing w:val="-2"/>
          </w:rPr>
          <w:t xml:space="preserve"> </w:t>
        </w:r>
        <w:r w:rsidR="0030091C">
          <w:t>expenditure</w:t>
        </w:r>
        <w:r w:rsidR="0030091C">
          <w:tab/>
          <w:t>84</w:t>
        </w:r>
      </w:hyperlink>
    </w:p>
    <w:p w:rsidR="006C17CB" w:rsidRDefault="00FE24A7">
      <w:pPr>
        <w:pStyle w:val="BodyText"/>
        <w:tabs>
          <w:tab w:val="left" w:leader="dot" w:pos="4226"/>
        </w:tabs>
        <w:spacing w:before="27"/>
        <w:ind w:right="845"/>
        <w:jc w:val="center"/>
      </w:pPr>
      <w:hyperlink w:anchor="_bookmark46" w:history="1">
        <w:r w:rsidR="0030091C">
          <w:rPr>
            <w:spacing w:val="-3"/>
          </w:rPr>
          <w:t>Territorial</w:t>
        </w:r>
        <w:r w:rsidR="0030091C">
          <w:rPr>
            <w:spacing w:val="-2"/>
          </w:rPr>
          <w:t xml:space="preserve"> </w:t>
        </w:r>
        <w:r w:rsidR="0030091C">
          <w:t>financial</w:t>
        </w:r>
        <w:r w:rsidR="0030091C">
          <w:rPr>
            <w:spacing w:val="-2"/>
          </w:rPr>
          <w:t xml:space="preserve"> </w:t>
        </w:r>
        <w:r w:rsidR="0030091C">
          <w:t>position</w:t>
        </w:r>
        <w:r w:rsidR="0030091C">
          <w:tab/>
          <w:t>85</w:t>
        </w:r>
      </w:hyperlink>
    </w:p>
    <w:p w:rsidR="006C17CB" w:rsidRDefault="006C17CB">
      <w:pPr>
        <w:jc w:val="center"/>
        <w:sectPr w:rsidR="006C17CB">
          <w:pgSz w:w="11910" w:h="16840"/>
          <w:pgMar w:top="1580" w:right="0" w:bottom="740" w:left="980" w:header="0" w:footer="551" w:gutter="0"/>
          <w:cols w:num="2" w:space="720" w:equalWidth="0">
            <w:col w:w="4787" w:space="249"/>
            <w:col w:w="5894"/>
          </w:cols>
        </w:sectPr>
      </w:pPr>
    </w:p>
    <w:p w:rsidR="006C17CB" w:rsidRDefault="0030091C">
      <w:pPr>
        <w:pStyle w:val="Heading3"/>
      </w:pPr>
      <w:bookmarkStart w:id="3" w:name="The_clerk’s_overview_2017-2018"/>
      <w:bookmarkStart w:id="4" w:name="_bookmark1"/>
      <w:bookmarkEnd w:id="3"/>
      <w:bookmarkEnd w:id="4"/>
      <w:r>
        <w:rPr>
          <w:color w:val="004289"/>
        </w:rPr>
        <w:t>THE CLERK’S OVERVIEW 2017-2018</w:t>
      </w:r>
    </w:p>
    <w:p w:rsidR="006C17CB" w:rsidRDefault="006C17CB">
      <w:pPr>
        <w:pStyle w:val="BodyText"/>
        <w:rPr>
          <w:rFonts w:ascii="Montserrat-SemiBold"/>
          <w:b/>
          <w:sz w:val="48"/>
        </w:rPr>
      </w:pPr>
    </w:p>
    <w:p w:rsidR="006C17CB" w:rsidRDefault="0030091C">
      <w:pPr>
        <w:pStyle w:val="BodyText"/>
        <w:spacing w:before="329" w:line="189" w:lineRule="auto"/>
        <w:ind w:left="153" w:right="1412"/>
      </w:pPr>
      <w:r>
        <w:t>The reporting period has seen a number of considerable changes and achievements for the Office of the Legislative Assembly.</w:t>
      </w:r>
    </w:p>
    <w:p w:rsidR="006C17CB" w:rsidRDefault="0030091C">
      <w:pPr>
        <w:pStyle w:val="BodyText"/>
        <w:spacing w:before="113" w:line="189" w:lineRule="auto"/>
        <w:ind w:left="153" w:right="1132"/>
        <w:jc w:val="both"/>
      </w:pPr>
      <w:r>
        <w:t>Following</w:t>
      </w:r>
      <w:r>
        <w:rPr>
          <w:spacing w:val="-5"/>
        </w:rPr>
        <w:t xml:space="preserve"> </w:t>
      </w:r>
      <w:r>
        <w:t>the</w:t>
      </w:r>
      <w:r>
        <w:rPr>
          <w:spacing w:val="-6"/>
        </w:rPr>
        <w:t xml:space="preserve"> </w:t>
      </w:r>
      <w:r>
        <w:t>introduction</w:t>
      </w:r>
      <w:r>
        <w:rPr>
          <w:spacing w:val="-5"/>
        </w:rPr>
        <w:t xml:space="preserve"> </w:t>
      </w:r>
      <w:r>
        <w:t>of</w:t>
      </w:r>
      <w:r>
        <w:rPr>
          <w:spacing w:val="-5"/>
        </w:rPr>
        <w:t xml:space="preserve"> </w:t>
      </w:r>
      <w:r>
        <w:t>a</w:t>
      </w:r>
      <w:r>
        <w:rPr>
          <w:spacing w:val="-5"/>
        </w:rPr>
        <w:t xml:space="preserve"> </w:t>
      </w:r>
      <w:r>
        <w:t>new</w:t>
      </w:r>
      <w:r>
        <w:rPr>
          <w:spacing w:val="-5"/>
        </w:rPr>
        <w:t xml:space="preserve"> </w:t>
      </w:r>
      <w:r>
        <w:t>corporate</w:t>
      </w:r>
      <w:r>
        <w:rPr>
          <w:spacing w:val="-6"/>
        </w:rPr>
        <w:t xml:space="preserve"> </w:t>
      </w:r>
      <w:r>
        <w:t>structure</w:t>
      </w:r>
      <w:r>
        <w:rPr>
          <w:spacing w:val="-6"/>
        </w:rPr>
        <w:t xml:space="preserve"> </w:t>
      </w:r>
      <w:r>
        <w:t>in</w:t>
      </w:r>
      <w:r>
        <w:rPr>
          <w:spacing w:val="-6"/>
        </w:rPr>
        <w:t xml:space="preserve"> </w:t>
      </w:r>
      <w:r>
        <w:t>late</w:t>
      </w:r>
      <w:r>
        <w:rPr>
          <w:spacing w:val="-6"/>
        </w:rPr>
        <w:t xml:space="preserve"> </w:t>
      </w:r>
      <w:r>
        <w:rPr>
          <w:spacing w:val="-4"/>
        </w:rPr>
        <w:t>2016</w:t>
      </w:r>
      <w:r>
        <w:rPr>
          <w:spacing w:val="-5"/>
        </w:rPr>
        <w:t xml:space="preserve"> </w:t>
      </w:r>
      <w:r>
        <w:t>to</w:t>
      </w:r>
      <w:r>
        <w:rPr>
          <w:spacing w:val="-6"/>
        </w:rPr>
        <w:t xml:space="preserve"> </w:t>
      </w:r>
      <w:r>
        <w:t>better</w:t>
      </w:r>
      <w:r>
        <w:rPr>
          <w:spacing w:val="-5"/>
        </w:rPr>
        <w:t xml:space="preserve"> </w:t>
      </w:r>
      <w:r>
        <w:t>align</w:t>
      </w:r>
      <w:r>
        <w:rPr>
          <w:spacing w:val="-5"/>
        </w:rPr>
        <w:t xml:space="preserve"> </w:t>
      </w:r>
      <w:r>
        <w:t>with</w:t>
      </w:r>
      <w:r>
        <w:rPr>
          <w:spacing w:val="-5"/>
        </w:rPr>
        <w:t xml:space="preserve"> </w:t>
      </w:r>
      <w:r>
        <w:t>the</w:t>
      </w:r>
      <w:r>
        <w:rPr>
          <w:spacing w:val="-6"/>
        </w:rPr>
        <w:t xml:space="preserve"> </w:t>
      </w:r>
      <w:r>
        <w:t>Office’s</w:t>
      </w:r>
      <w:r>
        <w:rPr>
          <w:spacing w:val="-5"/>
        </w:rPr>
        <w:t xml:space="preserve"> </w:t>
      </w:r>
      <w:r>
        <w:t>statutory functions,</w:t>
      </w:r>
      <w:r>
        <w:rPr>
          <w:spacing w:val="-6"/>
        </w:rPr>
        <w:t xml:space="preserve"> </w:t>
      </w:r>
      <w:r>
        <w:t>in</w:t>
      </w:r>
      <w:r>
        <w:rPr>
          <w:spacing w:val="-6"/>
        </w:rPr>
        <w:t xml:space="preserve"> </w:t>
      </w:r>
      <w:r>
        <w:rPr>
          <w:spacing w:val="-5"/>
        </w:rPr>
        <w:t>2017-2018</w:t>
      </w:r>
      <w:r>
        <w:rPr>
          <w:spacing w:val="-6"/>
        </w:rPr>
        <w:t xml:space="preserve"> </w:t>
      </w:r>
      <w:r>
        <w:t>the</w:t>
      </w:r>
      <w:r>
        <w:rPr>
          <w:spacing w:val="-6"/>
        </w:rPr>
        <w:t xml:space="preserve"> </w:t>
      </w:r>
      <w:r>
        <w:t>Office</w:t>
      </w:r>
      <w:r>
        <w:rPr>
          <w:spacing w:val="-6"/>
        </w:rPr>
        <w:t xml:space="preserve"> </w:t>
      </w:r>
      <w:r>
        <w:t>continued</w:t>
      </w:r>
      <w:r>
        <w:rPr>
          <w:spacing w:val="-6"/>
        </w:rPr>
        <w:t xml:space="preserve"> </w:t>
      </w:r>
      <w:r>
        <w:t>to</w:t>
      </w:r>
      <w:r>
        <w:rPr>
          <w:spacing w:val="-6"/>
        </w:rPr>
        <w:t xml:space="preserve"> </w:t>
      </w:r>
      <w:r>
        <w:t>consolidate</w:t>
      </w:r>
      <w:r>
        <w:rPr>
          <w:spacing w:val="-6"/>
        </w:rPr>
        <w:t xml:space="preserve"> </w:t>
      </w:r>
      <w:r>
        <w:t>accountability</w:t>
      </w:r>
      <w:r>
        <w:rPr>
          <w:spacing w:val="-6"/>
        </w:rPr>
        <w:t xml:space="preserve"> </w:t>
      </w:r>
      <w:r>
        <w:t>and</w:t>
      </w:r>
      <w:r>
        <w:rPr>
          <w:spacing w:val="-6"/>
        </w:rPr>
        <w:t xml:space="preserve"> </w:t>
      </w:r>
      <w:r>
        <w:t>reporting</w:t>
      </w:r>
      <w:r>
        <w:rPr>
          <w:spacing w:val="-6"/>
        </w:rPr>
        <w:t xml:space="preserve"> </w:t>
      </w:r>
      <w:r>
        <w:t>arrangements</w:t>
      </w:r>
      <w:r>
        <w:rPr>
          <w:spacing w:val="-6"/>
        </w:rPr>
        <w:t xml:space="preserve"> </w:t>
      </w:r>
      <w:r>
        <w:t>within the Office of the Clerk, the Parliamentary Support Branch, and the Business Support</w:t>
      </w:r>
      <w:r>
        <w:rPr>
          <w:spacing w:val="-20"/>
        </w:rPr>
        <w:t xml:space="preserve"> </w:t>
      </w:r>
      <w:r>
        <w:t>Branch.</w:t>
      </w:r>
    </w:p>
    <w:p w:rsidR="006C17CB" w:rsidRDefault="0030091C">
      <w:pPr>
        <w:pStyle w:val="BodyText"/>
        <w:spacing w:before="111" w:line="189" w:lineRule="auto"/>
        <w:ind w:left="153" w:right="1177"/>
      </w:pPr>
      <w:r>
        <w:t>Following a series of staff-led workshops, the Office adopted a strategic plan for 2018-2021. The plan identifies three interrelated objectives: (1) support the Assembly as a democratic institution; (2) support and advise members of the Legislative Assembly; and (3) maintain and build internal organisational capabilities. The Office aims to achieve these objectives by:</w:t>
      </w:r>
    </w:p>
    <w:p w:rsidR="006C17CB" w:rsidRDefault="0030091C">
      <w:pPr>
        <w:pStyle w:val="ListParagraph"/>
        <w:numPr>
          <w:ilvl w:val="0"/>
          <w:numId w:val="22"/>
        </w:numPr>
        <w:tabs>
          <w:tab w:val="left" w:pos="381"/>
        </w:tabs>
        <w:spacing w:before="58" w:line="306" w:lineRule="exact"/>
      </w:pPr>
      <w:r>
        <w:t>providing procedural</w:t>
      </w:r>
      <w:r>
        <w:rPr>
          <w:spacing w:val="-2"/>
        </w:rPr>
        <w:t xml:space="preserve"> </w:t>
      </w:r>
      <w:r>
        <w:t>stewardship;</w:t>
      </w:r>
    </w:p>
    <w:p w:rsidR="006C17CB" w:rsidRDefault="0030091C">
      <w:pPr>
        <w:pStyle w:val="ListParagraph"/>
        <w:numPr>
          <w:ilvl w:val="0"/>
          <w:numId w:val="22"/>
        </w:numPr>
        <w:tabs>
          <w:tab w:val="left" w:pos="381"/>
        </w:tabs>
      </w:pPr>
      <w:r>
        <w:t>providing good</w:t>
      </w:r>
      <w:r>
        <w:rPr>
          <w:spacing w:val="-2"/>
        </w:rPr>
        <w:t xml:space="preserve"> </w:t>
      </w:r>
      <w:r>
        <w:t>governance;</w:t>
      </w:r>
    </w:p>
    <w:p w:rsidR="006C17CB" w:rsidRDefault="0030091C">
      <w:pPr>
        <w:pStyle w:val="ListParagraph"/>
        <w:numPr>
          <w:ilvl w:val="0"/>
          <w:numId w:val="22"/>
        </w:numPr>
        <w:tabs>
          <w:tab w:val="left" w:pos="381"/>
        </w:tabs>
      </w:pPr>
      <w:r>
        <w:t>removing barriers and promoting and</w:t>
      </w:r>
      <w:r>
        <w:rPr>
          <w:spacing w:val="-2"/>
        </w:rPr>
        <w:t xml:space="preserve"> </w:t>
      </w:r>
      <w:r>
        <w:t>communicating;</w:t>
      </w:r>
    </w:p>
    <w:p w:rsidR="006C17CB" w:rsidRDefault="0030091C">
      <w:pPr>
        <w:pStyle w:val="ListParagraph"/>
        <w:numPr>
          <w:ilvl w:val="0"/>
          <w:numId w:val="22"/>
        </w:numPr>
        <w:tabs>
          <w:tab w:val="left" w:pos="381"/>
        </w:tabs>
      </w:pPr>
      <w:r>
        <w:t>providing safe and functional</w:t>
      </w:r>
      <w:r>
        <w:rPr>
          <w:spacing w:val="-2"/>
        </w:rPr>
        <w:t xml:space="preserve"> </w:t>
      </w:r>
      <w:r>
        <w:t>precincts;</w:t>
      </w:r>
    </w:p>
    <w:p w:rsidR="006C17CB" w:rsidRDefault="0030091C">
      <w:pPr>
        <w:pStyle w:val="ListParagraph"/>
        <w:numPr>
          <w:ilvl w:val="0"/>
          <w:numId w:val="22"/>
        </w:numPr>
        <w:tabs>
          <w:tab w:val="left" w:pos="381"/>
        </w:tabs>
      </w:pPr>
      <w:r>
        <w:t>fostering staff learning and</w:t>
      </w:r>
      <w:r>
        <w:rPr>
          <w:spacing w:val="-2"/>
        </w:rPr>
        <w:t xml:space="preserve"> </w:t>
      </w:r>
      <w:r>
        <w:t>development;</w:t>
      </w:r>
    </w:p>
    <w:p w:rsidR="006C17CB" w:rsidRDefault="0030091C">
      <w:pPr>
        <w:pStyle w:val="ListParagraph"/>
        <w:numPr>
          <w:ilvl w:val="0"/>
          <w:numId w:val="22"/>
        </w:numPr>
        <w:tabs>
          <w:tab w:val="left" w:pos="381"/>
        </w:tabs>
      </w:pPr>
      <w:r>
        <w:t>harnessing technology;</w:t>
      </w:r>
      <w:r>
        <w:rPr>
          <w:spacing w:val="-1"/>
        </w:rPr>
        <w:t xml:space="preserve"> </w:t>
      </w:r>
      <w:r>
        <w:t>and</w:t>
      </w:r>
    </w:p>
    <w:p w:rsidR="006C17CB" w:rsidRDefault="0030091C">
      <w:pPr>
        <w:pStyle w:val="ListParagraph"/>
        <w:numPr>
          <w:ilvl w:val="0"/>
          <w:numId w:val="22"/>
        </w:numPr>
        <w:tabs>
          <w:tab w:val="left" w:pos="381"/>
        </w:tabs>
        <w:spacing w:line="306" w:lineRule="exact"/>
      </w:pPr>
      <w:r>
        <w:t>sharing knowledge and</w:t>
      </w:r>
      <w:r>
        <w:rPr>
          <w:spacing w:val="-2"/>
        </w:rPr>
        <w:t xml:space="preserve"> </w:t>
      </w:r>
      <w:r>
        <w:t>information.</w:t>
      </w:r>
    </w:p>
    <w:p w:rsidR="006C17CB" w:rsidRDefault="0030091C">
      <w:pPr>
        <w:pStyle w:val="BodyText"/>
        <w:spacing w:before="185" w:line="189" w:lineRule="auto"/>
        <w:ind w:left="153" w:right="1177"/>
      </w:pPr>
      <w:r>
        <w:t>Assembly committees perform critical scrutiny, accountability and public engagement functions. During the year, the Office supported more Assembly committees than at any time since self-government.</w:t>
      </w:r>
    </w:p>
    <w:p w:rsidR="006C17CB" w:rsidRDefault="0030091C">
      <w:pPr>
        <w:pStyle w:val="BodyText"/>
        <w:spacing w:before="112" w:line="189" w:lineRule="auto"/>
        <w:ind w:left="153" w:right="1177"/>
      </w:pPr>
      <w:r>
        <w:t>The Office introduced new performance and development arrangements for Office staff, established a standalone protective security committee and developed a 10-year life cycle plan for the Assembly building.</w:t>
      </w:r>
    </w:p>
    <w:p w:rsidR="006C17CB" w:rsidRDefault="0030091C">
      <w:pPr>
        <w:pStyle w:val="BodyText"/>
        <w:spacing w:before="113" w:line="189" w:lineRule="auto"/>
        <w:ind w:left="153" w:right="1114"/>
      </w:pPr>
      <w:r>
        <w:t>The Office’s focus for 2018-2019 includes a number of business improvement projects to ensure that the services and advice provided by the Office remain effective and efficient. The Office will also provide support to the Standing Committee on Administration and Procedure in its major review of standing orders and resolutions of continuing effect.</w:t>
      </w:r>
    </w:p>
    <w:p w:rsidR="006C17CB" w:rsidRDefault="0030091C">
      <w:pPr>
        <w:pStyle w:val="BodyText"/>
        <w:spacing w:before="111" w:line="189" w:lineRule="auto"/>
        <w:ind w:left="153" w:right="1493"/>
        <w:jc w:val="both"/>
      </w:pPr>
      <w:r>
        <w:t>I</w:t>
      </w:r>
      <w:r>
        <w:rPr>
          <w:spacing w:val="-6"/>
        </w:rPr>
        <w:t xml:space="preserve"> </w:t>
      </w:r>
      <w:r>
        <w:t>would</w:t>
      </w:r>
      <w:r>
        <w:rPr>
          <w:spacing w:val="-6"/>
        </w:rPr>
        <w:t xml:space="preserve"> </w:t>
      </w:r>
      <w:r>
        <w:t>like</w:t>
      </w:r>
      <w:r>
        <w:rPr>
          <w:spacing w:val="-6"/>
        </w:rPr>
        <w:t xml:space="preserve"> </w:t>
      </w:r>
      <w:r>
        <w:t>to</w:t>
      </w:r>
      <w:r>
        <w:rPr>
          <w:spacing w:val="-6"/>
        </w:rPr>
        <w:t xml:space="preserve"> </w:t>
      </w:r>
      <w:r>
        <w:t>thank</w:t>
      </w:r>
      <w:r>
        <w:rPr>
          <w:spacing w:val="-5"/>
        </w:rPr>
        <w:t xml:space="preserve"> </w:t>
      </w:r>
      <w:r>
        <w:t>all</w:t>
      </w:r>
      <w:r>
        <w:rPr>
          <w:spacing w:val="-5"/>
        </w:rPr>
        <w:t xml:space="preserve"> </w:t>
      </w:r>
      <w:r>
        <w:t>Office</w:t>
      </w:r>
      <w:r>
        <w:rPr>
          <w:spacing w:val="-6"/>
        </w:rPr>
        <w:t xml:space="preserve"> </w:t>
      </w:r>
      <w:r>
        <w:t>staff</w:t>
      </w:r>
      <w:r>
        <w:rPr>
          <w:spacing w:val="-5"/>
        </w:rPr>
        <w:t xml:space="preserve"> </w:t>
      </w:r>
      <w:r>
        <w:t>for</w:t>
      </w:r>
      <w:r>
        <w:rPr>
          <w:spacing w:val="-6"/>
        </w:rPr>
        <w:t xml:space="preserve"> </w:t>
      </w:r>
      <w:r>
        <w:t>their</w:t>
      </w:r>
      <w:r>
        <w:rPr>
          <w:spacing w:val="-5"/>
        </w:rPr>
        <w:t xml:space="preserve"> </w:t>
      </w:r>
      <w:r>
        <w:t>dedication</w:t>
      </w:r>
      <w:r>
        <w:rPr>
          <w:spacing w:val="-5"/>
        </w:rPr>
        <w:t xml:space="preserve"> </w:t>
      </w:r>
      <w:r>
        <w:t>and</w:t>
      </w:r>
      <w:r>
        <w:rPr>
          <w:spacing w:val="-5"/>
        </w:rPr>
        <w:t xml:space="preserve"> </w:t>
      </w:r>
      <w:r>
        <w:t>hard</w:t>
      </w:r>
      <w:r>
        <w:rPr>
          <w:spacing w:val="-5"/>
        </w:rPr>
        <w:t xml:space="preserve"> </w:t>
      </w:r>
      <w:r>
        <w:t>work</w:t>
      </w:r>
      <w:r>
        <w:rPr>
          <w:spacing w:val="-5"/>
        </w:rPr>
        <w:t xml:space="preserve"> </w:t>
      </w:r>
      <w:r>
        <w:t>during</w:t>
      </w:r>
      <w:r>
        <w:rPr>
          <w:spacing w:val="-5"/>
        </w:rPr>
        <w:t xml:space="preserve"> </w:t>
      </w:r>
      <w:r>
        <w:t>the</w:t>
      </w:r>
      <w:r>
        <w:rPr>
          <w:spacing w:val="-6"/>
        </w:rPr>
        <w:t xml:space="preserve"> </w:t>
      </w:r>
      <w:r>
        <w:t>last</w:t>
      </w:r>
      <w:r>
        <w:rPr>
          <w:spacing w:val="-5"/>
        </w:rPr>
        <w:t xml:space="preserve"> </w:t>
      </w:r>
      <w:r>
        <w:t>year</w:t>
      </w:r>
      <w:r>
        <w:rPr>
          <w:spacing w:val="-5"/>
        </w:rPr>
        <w:t xml:space="preserve"> </w:t>
      </w:r>
      <w:r>
        <w:t>in</w:t>
      </w:r>
      <w:r>
        <w:rPr>
          <w:spacing w:val="-5"/>
        </w:rPr>
        <w:t xml:space="preserve"> </w:t>
      </w:r>
      <w:r>
        <w:t>continuing</w:t>
      </w:r>
      <w:r>
        <w:rPr>
          <w:spacing w:val="-5"/>
        </w:rPr>
        <w:t xml:space="preserve"> </w:t>
      </w:r>
      <w:r>
        <w:t>to meet</w:t>
      </w:r>
      <w:r>
        <w:rPr>
          <w:spacing w:val="-5"/>
        </w:rPr>
        <w:t xml:space="preserve"> </w:t>
      </w:r>
      <w:r>
        <w:t>the</w:t>
      </w:r>
      <w:r>
        <w:rPr>
          <w:spacing w:val="-6"/>
        </w:rPr>
        <w:t xml:space="preserve"> </w:t>
      </w:r>
      <w:r>
        <w:t>challenges</w:t>
      </w:r>
      <w:r>
        <w:rPr>
          <w:spacing w:val="-5"/>
        </w:rPr>
        <w:t xml:space="preserve"> </w:t>
      </w:r>
      <w:r>
        <w:t>of</w:t>
      </w:r>
      <w:r>
        <w:rPr>
          <w:spacing w:val="-5"/>
        </w:rPr>
        <w:t xml:space="preserve"> </w:t>
      </w:r>
      <w:r>
        <w:t>an</w:t>
      </w:r>
      <w:r>
        <w:rPr>
          <w:spacing w:val="-5"/>
        </w:rPr>
        <w:t xml:space="preserve"> </w:t>
      </w:r>
      <w:r>
        <w:t>expanded</w:t>
      </w:r>
      <w:r>
        <w:rPr>
          <w:spacing w:val="-6"/>
        </w:rPr>
        <w:t xml:space="preserve"> </w:t>
      </w:r>
      <w:r>
        <w:t>Assembly.</w:t>
      </w:r>
      <w:r>
        <w:rPr>
          <w:spacing w:val="-5"/>
        </w:rPr>
        <w:t xml:space="preserve"> </w:t>
      </w:r>
      <w:r>
        <w:t>I</w:t>
      </w:r>
      <w:r>
        <w:rPr>
          <w:spacing w:val="-6"/>
        </w:rPr>
        <w:t xml:space="preserve"> </w:t>
      </w:r>
      <w:r>
        <w:t>know</w:t>
      </w:r>
      <w:r>
        <w:rPr>
          <w:spacing w:val="-5"/>
        </w:rPr>
        <w:t xml:space="preserve"> </w:t>
      </w:r>
      <w:r>
        <w:t>that</w:t>
      </w:r>
      <w:r>
        <w:rPr>
          <w:spacing w:val="-5"/>
        </w:rPr>
        <w:t xml:space="preserve"> </w:t>
      </w:r>
      <w:r>
        <w:t>members,</w:t>
      </w:r>
      <w:r>
        <w:rPr>
          <w:spacing w:val="-5"/>
        </w:rPr>
        <w:t xml:space="preserve"> </w:t>
      </w:r>
      <w:r>
        <w:t>their</w:t>
      </w:r>
      <w:r>
        <w:rPr>
          <w:spacing w:val="-5"/>
        </w:rPr>
        <w:t xml:space="preserve"> </w:t>
      </w:r>
      <w:r>
        <w:t>staff</w:t>
      </w:r>
      <w:r>
        <w:rPr>
          <w:spacing w:val="-5"/>
        </w:rPr>
        <w:t xml:space="preserve"> </w:t>
      </w:r>
      <w:r>
        <w:t>and</w:t>
      </w:r>
      <w:r>
        <w:rPr>
          <w:spacing w:val="-5"/>
        </w:rPr>
        <w:t xml:space="preserve"> </w:t>
      </w:r>
      <w:r>
        <w:t>the</w:t>
      </w:r>
      <w:r>
        <w:rPr>
          <w:spacing w:val="-6"/>
        </w:rPr>
        <w:t xml:space="preserve"> </w:t>
      </w:r>
      <w:r>
        <w:t>wider</w:t>
      </w:r>
      <w:r>
        <w:rPr>
          <w:spacing w:val="-5"/>
        </w:rPr>
        <w:t xml:space="preserve"> </w:t>
      </w:r>
      <w:r>
        <w:t>ACT</w:t>
      </w:r>
      <w:r>
        <w:rPr>
          <w:spacing w:val="-6"/>
        </w:rPr>
        <w:t xml:space="preserve"> </w:t>
      </w:r>
      <w:r>
        <w:t>public sector recognise the Office’s contribution to the good governance of the</w:t>
      </w:r>
      <w:r>
        <w:rPr>
          <w:spacing w:val="-20"/>
        </w:rPr>
        <w:t xml:space="preserve"> </w:t>
      </w:r>
      <w:r>
        <w:rPr>
          <w:spacing w:val="-3"/>
        </w:rPr>
        <w:t>Territory.</w:t>
      </w:r>
    </w:p>
    <w:p w:rsidR="006C17CB" w:rsidRDefault="006C17CB">
      <w:pPr>
        <w:spacing w:line="189" w:lineRule="auto"/>
        <w:jc w:val="both"/>
        <w:sectPr w:rsidR="006C17CB">
          <w:pgSz w:w="11910" w:h="16840"/>
          <w:pgMar w:top="1040" w:right="0" w:bottom="720" w:left="980" w:header="0" w:footer="523" w:gutter="0"/>
          <w:cols w:space="720"/>
        </w:sectPr>
      </w:pPr>
    </w:p>
    <w:p w:rsidR="006C17CB" w:rsidRDefault="0030091C">
      <w:pPr>
        <w:pStyle w:val="Heading3"/>
        <w:ind w:left="153"/>
      </w:pPr>
      <w:bookmarkStart w:id="5" w:name="2017-2018_at_a_glance"/>
      <w:bookmarkStart w:id="6" w:name="Legislation"/>
      <w:bookmarkStart w:id="7" w:name="Questioning_the_executive"/>
      <w:bookmarkStart w:id="8" w:name="Revised_standing_orders_for_the_Ninth_As"/>
      <w:bookmarkStart w:id="9" w:name="Redevelopment_of_Procedural_Information_"/>
      <w:bookmarkStart w:id="10" w:name="Committees"/>
      <w:bookmarkStart w:id="11" w:name="Rollout_of_tablets_to_non-executive_memb"/>
      <w:bookmarkStart w:id="12" w:name="_bookmark2"/>
      <w:bookmarkEnd w:id="5"/>
      <w:bookmarkEnd w:id="6"/>
      <w:bookmarkEnd w:id="7"/>
      <w:bookmarkEnd w:id="8"/>
      <w:bookmarkEnd w:id="9"/>
      <w:bookmarkEnd w:id="10"/>
      <w:bookmarkEnd w:id="11"/>
      <w:bookmarkEnd w:id="12"/>
      <w:r>
        <w:rPr>
          <w:color w:val="004289"/>
        </w:rPr>
        <w:t>2017-2018 AT A GLANCE</w:t>
      </w:r>
    </w:p>
    <w:p w:rsidR="006C17CB" w:rsidRDefault="006C17CB">
      <w:pPr>
        <w:pStyle w:val="BodyText"/>
        <w:spacing w:before="11"/>
        <w:rPr>
          <w:rFonts w:ascii="Montserrat-SemiBold"/>
          <w:b/>
          <w:sz w:val="71"/>
        </w:rPr>
      </w:pPr>
    </w:p>
    <w:p w:rsidR="006C17CB" w:rsidRDefault="0030091C">
      <w:pPr>
        <w:pStyle w:val="Heading5"/>
        <w:spacing w:before="1"/>
        <w:rPr>
          <w:rFonts w:ascii="Montserrat"/>
        </w:rPr>
      </w:pPr>
      <w:r>
        <w:rPr>
          <w:rFonts w:ascii="Montserrat"/>
          <w:color w:val="556EAA"/>
        </w:rPr>
        <w:t>Legislation</w:t>
      </w:r>
    </w:p>
    <w:p w:rsidR="006C17CB" w:rsidRDefault="0030091C">
      <w:pPr>
        <w:pStyle w:val="BodyText"/>
        <w:spacing w:before="89" w:line="189" w:lineRule="auto"/>
        <w:ind w:left="153" w:right="1232"/>
      </w:pPr>
      <w:r>
        <w:t>The Office facilitated the presentation of 54 executive bills, nine private members’ bills and one Assembly bill</w:t>
      </w:r>
      <w:r>
        <w:rPr>
          <w:spacing w:val="-5"/>
        </w:rPr>
        <w:t xml:space="preserve"> </w:t>
      </w:r>
      <w:r>
        <w:t>in</w:t>
      </w:r>
      <w:r>
        <w:rPr>
          <w:spacing w:val="-5"/>
        </w:rPr>
        <w:t xml:space="preserve"> </w:t>
      </w:r>
      <w:r>
        <w:t>the</w:t>
      </w:r>
      <w:r>
        <w:rPr>
          <w:spacing w:val="-6"/>
        </w:rPr>
        <w:t xml:space="preserve"> </w:t>
      </w:r>
      <w:r>
        <w:t>Legislative</w:t>
      </w:r>
      <w:r>
        <w:rPr>
          <w:spacing w:val="-6"/>
        </w:rPr>
        <w:t xml:space="preserve"> </w:t>
      </w:r>
      <w:r>
        <w:t>Assembly,</w:t>
      </w:r>
      <w:r>
        <w:rPr>
          <w:spacing w:val="-5"/>
        </w:rPr>
        <w:t xml:space="preserve"> </w:t>
      </w:r>
      <w:r>
        <w:t>and</w:t>
      </w:r>
      <w:r>
        <w:rPr>
          <w:spacing w:val="-5"/>
        </w:rPr>
        <w:t xml:space="preserve"> </w:t>
      </w:r>
      <w:r>
        <w:t>arranged</w:t>
      </w:r>
      <w:r>
        <w:rPr>
          <w:spacing w:val="-6"/>
        </w:rPr>
        <w:t xml:space="preserve"> </w:t>
      </w:r>
      <w:r>
        <w:t>for</w:t>
      </w:r>
      <w:r>
        <w:rPr>
          <w:spacing w:val="-6"/>
        </w:rPr>
        <w:t xml:space="preserve"> </w:t>
      </w:r>
      <w:r>
        <w:t>the</w:t>
      </w:r>
      <w:r>
        <w:rPr>
          <w:spacing w:val="-6"/>
        </w:rPr>
        <w:t xml:space="preserve"> </w:t>
      </w:r>
      <w:r>
        <w:t>notification</w:t>
      </w:r>
      <w:r>
        <w:rPr>
          <w:spacing w:val="-5"/>
        </w:rPr>
        <w:t xml:space="preserve"> </w:t>
      </w:r>
      <w:r>
        <w:t>of</w:t>
      </w:r>
      <w:r>
        <w:rPr>
          <w:spacing w:val="-5"/>
        </w:rPr>
        <w:t xml:space="preserve"> </w:t>
      </w:r>
      <w:r>
        <w:rPr>
          <w:spacing w:val="-4"/>
        </w:rPr>
        <w:t>52</w:t>
      </w:r>
      <w:r>
        <w:rPr>
          <w:spacing w:val="-5"/>
        </w:rPr>
        <w:t xml:space="preserve"> </w:t>
      </w:r>
      <w:r>
        <w:t>passed</w:t>
      </w:r>
      <w:r>
        <w:rPr>
          <w:spacing w:val="-6"/>
        </w:rPr>
        <w:t xml:space="preserve"> </w:t>
      </w:r>
      <w:r>
        <w:t>bills.</w:t>
      </w:r>
      <w:r>
        <w:rPr>
          <w:spacing w:val="-5"/>
        </w:rPr>
        <w:t xml:space="preserve"> </w:t>
      </w:r>
      <w:r>
        <w:t>The</w:t>
      </w:r>
      <w:r>
        <w:rPr>
          <w:spacing w:val="-6"/>
        </w:rPr>
        <w:t xml:space="preserve"> </w:t>
      </w:r>
      <w:r>
        <w:t>Office</w:t>
      </w:r>
      <w:r>
        <w:rPr>
          <w:spacing w:val="-6"/>
        </w:rPr>
        <w:t xml:space="preserve"> </w:t>
      </w:r>
      <w:r>
        <w:t>also</w:t>
      </w:r>
      <w:r>
        <w:rPr>
          <w:spacing w:val="-6"/>
        </w:rPr>
        <w:t xml:space="preserve"> </w:t>
      </w:r>
      <w:r>
        <w:t>processed the tabling of 409 items of subordinate</w:t>
      </w:r>
      <w:r>
        <w:rPr>
          <w:spacing w:val="-5"/>
        </w:rPr>
        <w:t xml:space="preserve"> </w:t>
      </w:r>
      <w:r>
        <w:t>legislation.</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Questioning the executive</w:t>
      </w:r>
    </w:p>
    <w:p w:rsidR="006C17CB" w:rsidRDefault="0030091C">
      <w:pPr>
        <w:pStyle w:val="BodyText"/>
        <w:spacing w:before="89" w:line="189" w:lineRule="auto"/>
        <w:ind w:left="153" w:right="1177"/>
      </w:pPr>
      <w:r>
        <w:t>The Office supported members in their scrutiny of the executive, processing 1,207 questions on notice. During the reporting period, 1,826 questions without notice were asked (this figure includes supplementary questions without notice).</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Revised standing orders for the Ninth Assembly</w:t>
      </w:r>
    </w:p>
    <w:p w:rsidR="006C17CB" w:rsidRDefault="0030091C">
      <w:pPr>
        <w:pStyle w:val="BodyText"/>
        <w:spacing w:before="90" w:line="189" w:lineRule="auto"/>
        <w:ind w:left="153" w:right="1114"/>
      </w:pPr>
      <w:r>
        <w:t>The Standing Committee on Administration and Procedure announced a major review of the standing orders. The Office made a comprehensive submission to the inquiry. The committee is due to report in the next reporting period.</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Redevelopment of Procedural Information Production System (PIPS)</w:t>
      </w:r>
    </w:p>
    <w:p w:rsidR="006C17CB" w:rsidRDefault="0030091C">
      <w:pPr>
        <w:pStyle w:val="BodyText"/>
        <w:spacing w:before="89" w:line="189" w:lineRule="auto"/>
        <w:ind w:left="153" w:right="1648"/>
        <w:jc w:val="both"/>
      </w:pPr>
      <w:r>
        <w:t>The</w:t>
      </w:r>
      <w:r>
        <w:rPr>
          <w:spacing w:val="-14"/>
        </w:rPr>
        <w:t xml:space="preserve"> </w:t>
      </w:r>
      <w:r>
        <w:t>project</w:t>
      </w:r>
      <w:r>
        <w:rPr>
          <w:spacing w:val="-14"/>
        </w:rPr>
        <w:t xml:space="preserve"> </w:t>
      </w:r>
      <w:r>
        <w:t>to</w:t>
      </w:r>
      <w:r>
        <w:rPr>
          <w:spacing w:val="-14"/>
        </w:rPr>
        <w:t xml:space="preserve"> </w:t>
      </w:r>
      <w:r>
        <w:t>redevelop</w:t>
      </w:r>
      <w:r>
        <w:rPr>
          <w:spacing w:val="-15"/>
        </w:rPr>
        <w:t xml:space="preserve"> </w:t>
      </w:r>
      <w:r>
        <w:t>the</w:t>
      </w:r>
      <w:r>
        <w:rPr>
          <w:spacing w:val="-14"/>
        </w:rPr>
        <w:t xml:space="preserve"> </w:t>
      </w:r>
      <w:r>
        <w:t>IT</w:t>
      </w:r>
      <w:r>
        <w:rPr>
          <w:spacing w:val="-14"/>
        </w:rPr>
        <w:t xml:space="preserve"> </w:t>
      </w:r>
      <w:r>
        <w:t>system</w:t>
      </w:r>
      <w:r>
        <w:rPr>
          <w:spacing w:val="-14"/>
        </w:rPr>
        <w:t xml:space="preserve"> </w:t>
      </w:r>
      <w:r>
        <w:t>used</w:t>
      </w:r>
      <w:r>
        <w:rPr>
          <w:spacing w:val="-15"/>
        </w:rPr>
        <w:t xml:space="preserve"> </w:t>
      </w:r>
      <w:r>
        <w:t>to</w:t>
      </w:r>
      <w:r>
        <w:rPr>
          <w:spacing w:val="-15"/>
        </w:rPr>
        <w:t xml:space="preserve"> </w:t>
      </w:r>
      <w:r>
        <w:t>produce</w:t>
      </w:r>
      <w:r>
        <w:rPr>
          <w:spacing w:val="-14"/>
        </w:rPr>
        <w:t xml:space="preserve"> </w:t>
      </w:r>
      <w:r>
        <w:t>daily</w:t>
      </w:r>
      <w:r>
        <w:rPr>
          <w:spacing w:val="-14"/>
        </w:rPr>
        <w:t xml:space="preserve"> </w:t>
      </w:r>
      <w:r>
        <w:t>procedural</w:t>
      </w:r>
      <w:r>
        <w:rPr>
          <w:spacing w:val="-14"/>
        </w:rPr>
        <w:t xml:space="preserve"> </w:t>
      </w:r>
      <w:r>
        <w:t>documents</w:t>
      </w:r>
      <w:r>
        <w:rPr>
          <w:spacing w:val="-14"/>
        </w:rPr>
        <w:t xml:space="preserve"> </w:t>
      </w:r>
      <w:r>
        <w:t>for</w:t>
      </w:r>
      <w:r>
        <w:rPr>
          <w:spacing w:val="-15"/>
        </w:rPr>
        <w:t xml:space="preserve"> </w:t>
      </w:r>
      <w:r>
        <w:t>Assembly</w:t>
      </w:r>
      <w:r>
        <w:rPr>
          <w:spacing w:val="-14"/>
        </w:rPr>
        <w:t xml:space="preserve"> </w:t>
      </w:r>
      <w:r>
        <w:t>sittings continued</w:t>
      </w:r>
      <w:r>
        <w:rPr>
          <w:spacing w:val="-6"/>
        </w:rPr>
        <w:t xml:space="preserve"> </w:t>
      </w:r>
      <w:r>
        <w:t>to</w:t>
      </w:r>
      <w:r>
        <w:rPr>
          <w:spacing w:val="-6"/>
        </w:rPr>
        <w:t xml:space="preserve"> </w:t>
      </w:r>
      <w:r>
        <w:t>experience</w:t>
      </w:r>
      <w:r>
        <w:rPr>
          <w:spacing w:val="-16"/>
        </w:rPr>
        <w:t xml:space="preserve"> </w:t>
      </w:r>
      <w:r>
        <w:t>delays</w:t>
      </w:r>
      <w:r>
        <w:rPr>
          <w:spacing w:val="-15"/>
        </w:rPr>
        <w:t xml:space="preserve"> </w:t>
      </w:r>
      <w:r>
        <w:t>but</w:t>
      </w:r>
      <w:r>
        <w:rPr>
          <w:spacing w:val="-15"/>
        </w:rPr>
        <w:t xml:space="preserve"> </w:t>
      </w:r>
      <w:r>
        <w:t>user</w:t>
      </w:r>
      <w:r>
        <w:rPr>
          <w:spacing w:val="-15"/>
        </w:rPr>
        <w:t xml:space="preserve"> </w:t>
      </w:r>
      <w:r>
        <w:t>acceptance</w:t>
      </w:r>
      <w:r>
        <w:rPr>
          <w:spacing w:val="-16"/>
        </w:rPr>
        <w:t xml:space="preserve"> </w:t>
      </w:r>
      <w:r>
        <w:t>testing</w:t>
      </w:r>
      <w:r>
        <w:rPr>
          <w:spacing w:val="-15"/>
        </w:rPr>
        <w:t xml:space="preserve"> </w:t>
      </w:r>
      <w:r>
        <w:t>had</w:t>
      </w:r>
      <w:r>
        <w:rPr>
          <w:spacing w:val="-15"/>
        </w:rPr>
        <w:t xml:space="preserve"> </w:t>
      </w:r>
      <w:r>
        <w:t>commenced</w:t>
      </w:r>
      <w:r>
        <w:rPr>
          <w:spacing w:val="-16"/>
        </w:rPr>
        <w:t xml:space="preserve"> </w:t>
      </w:r>
      <w:r>
        <w:t>by</w:t>
      </w:r>
      <w:r>
        <w:rPr>
          <w:spacing w:val="-15"/>
        </w:rPr>
        <w:t xml:space="preserve"> </w:t>
      </w:r>
      <w:r>
        <w:t>the</w:t>
      </w:r>
      <w:r>
        <w:rPr>
          <w:spacing w:val="-16"/>
        </w:rPr>
        <w:t xml:space="preserve"> </w:t>
      </w:r>
      <w:r>
        <w:t>end</w:t>
      </w:r>
      <w:r>
        <w:rPr>
          <w:spacing w:val="-15"/>
        </w:rPr>
        <w:t xml:space="preserve"> </w:t>
      </w:r>
      <w:r>
        <w:t>of</w:t>
      </w:r>
      <w:r>
        <w:rPr>
          <w:spacing w:val="-15"/>
        </w:rPr>
        <w:t xml:space="preserve"> </w:t>
      </w:r>
      <w:r>
        <w:t>the</w:t>
      </w:r>
      <w:r>
        <w:rPr>
          <w:spacing w:val="-16"/>
        </w:rPr>
        <w:t xml:space="preserve"> </w:t>
      </w:r>
      <w:r>
        <w:t>reporting period.</w:t>
      </w:r>
      <w:r>
        <w:rPr>
          <w:spacing w:val="-1"/>
        </w:rPr>
        <w:t xml:space="preserve"> </w:t>
      </w:r>
      <w:r>
        <w:t>The</w:t>
      </w:r>
      <w:r>
        <w:rPr>
          <w:spacing w:val="-9"/>
        </w:rPr>
        <w:t xml:space="preserve"> </w:t>
      </w:r>
      <w:r>
        <w:t>new</w:t>
      </w:r>
      <w:r>
        <w:rPr>
          <w:spacing w:val="-9"/>
        </w:rPr>
        <w:t xml:space="preserve"> </w:t>
      </w:r>
      <w:r>
        <w:t>system</w:t>
      </w:r>
      <w:r>
        <w:rPr>
          <w:spacing w:val="-9"/>
        </w:rPr>
        <w:t xml:space="preserve"> </w:t>
      </w:r>
      <w:r>
        <w:t>is</w:t>
      </w:r>
      <w:r>
        <w:rPr>
          <w:spacing w:val="-9"/>
        </w:rPr>
        <w:t xml:space="preserve"> </w:t>
      </w:r>
      <w:r>
        <w:t>now</w:t>
      </w:r>
      <w:r>
        <w:rPr>
          <w:spacing w:val="-9"/>
        </w:rPr>
        <w:t xml:space="preserve"> </w:t>
      </w:r>
      <w:r>
        <w:t>expected</w:t>
      </w:r>
      <w:r>
        <w:rPr>
          <w:spacing w:val="-10"/>
        </w:rPr>
        <w:t xml:space="preserve"> </w:t>
      </w:r>
      <w:r>
        <w:t>to</w:t>
      </w:r>
      <w:r>
        <w:rPr>
          <w:spacing w:val="-10"/>
        </w:rPr>
        <w:t xml:space="preserve"> </w:t>
      </w:r>
      <w:r>
        <w:t>be</w:t>
      </w:r>
      <w:r>
        <w:rPr>
          <w:spacing w:val="-9"/>
        </w:rPr>
        <w:t xml:space="preserve"> </w:t>
      </w:r>
      <w:r>
        <w:t>in</w:t>
      </w:r>
      <w:r>
        <w:rPr>
          <w:spacing w:val="-9"/>
        </w:rPr>
        <w:t xml:space="preserve"> </w:t>
      </w:r>
      <w:r>
        <w:t>production</w:t>
      </w:r>
      <w:r>
        <w:rPr>
          <w:spacing w:val="-9"/>
        </w:rPr>
        <w:t xml:space="preserve"> </w:t>
      </w:r>
      <w:r>
        <w:t>in</w:t>
      </w:r>
      <w:r>
        <w:rPr>
          <w:spacing w:val="-1"/>
        </w:rPr>
        <w:t xml:space="preserve"> </w:t>
      </w:r>
      <w:r>
        <w:t>the</w:t>
      </w:r>
      <w:r>
        <w:rPr>
          <w:spacing w:val="-2"/>
        </w:rPr>
        <w:t xml:space="preserve"> </w:t>
      </w:r>
      <w:r>
        <w:t>next</w:t>
      </w:r>
      <w:r>
        <w:rPr>
          <w:spacing w:val="-1"/>
        </w:rPr>
        <w:t xml:space="preserve"> </w:t>
      </w:r>
      <w:r>
        <w:t>reporting</w:t>
      </w:r>
      <w:r>
        <w:rPr>
          <w:spacing w:val="-1"/>
        </w:rPr>
        <w:t xml:space="preserve"> </w:t>
      </w:r>
      <w:r>
        <w:t>period.</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Committees</w:t>
      </w:r>
    </w:p>
    <w:p w:rsidR="006C17CB" w:rsidRDefault="0030091C">
      <w:pPr>
        <w:pStyle w:val="BodyText"/>
        <w:spacing w:before="89" w:line="189" w:lineRule="auto"/>
        <w:ind w:left="153" w:right="1177"/>
      </w:pPr>
      <w:r>
        <w:t>During the reporting period, the Office supported nine standing committees and seven select committees, which tabled 36 reports. Committees received 898 submissions during the reporting period, with the Select Committee on End of Life Choices in the ACT, alone, receiving 487 submissions.</w:t>
      </w:r>
    </w:p>
    <w:p w:rsidR="006C17CB" w:rsidRDefault="0030091C">
      <w:pPr>
        <w:pStyle w:val="BodyText"/>
        <w:spacing w:before="112" w:line="189" w:lineRule="auto"/>
        <w:ind w:left="153" w:right="1412"/>
      </w:pPr>
      <w:r>
        <w:t>Four select committees tabled their reports and were dissolved during the reporting period, while three select committees continued their inquiries as at 30 June.</w:t>
      </w:r>
    </w:p>
    <w:p w:rsidR="006C17CB" w:rsidRDefault="006C17CB">
      <w:pPr>
        <w:pStyle w:val="BodyText"/>
        <w:spacing w:before="14"/>
        <w:rPr>
          <w:sz w:val="20"/>
        </w:rPr>
      </w:pPr>
    </w:p>
    <w:p w:rsidR="006C17CB" w:rsidRDefault="0030091C">
      <w:pPr>
        <w:pStyle w:val="Heading5"/>
        <w:rPr>
          <w:rFonts w:ascii="Montserrat"/>
        </w:rPr>
      </w:pPr>
      <w:r>
        <w:rPr>
          <w:rFonts w:ascii="Montserrat"/>
          <w:color w:val="556EAA"/>
        </w:rPr>
        <w:t>Rollout of tablets to non-executive members</w:t>
      </w:r>
    </w:p>
    <w:p w:rsidR="006C17CB" w:rsidRDefault="0030091C">
      <w:pPr>
        <w:pStyle w:val="BodyText"/>
        <w:spacing w:before="89" w:line="189" w:lineRule="auto"/>
        <w:ind w:left="153" w:right="1541"/>
      </w:pPr>
      <w:r>
        <w:t>The Assembly adoped new arrangements for the distribution of documents in the chamber and to committees. To facilitate these arrangements, all non-executive members were allocated a tablet device with wi-fi connectivity. The Office has observed a steep decline in paper consumption during the period.</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Hansard</w:t>
      </w:r>
    </w:p>
    <w:p w:rsidR="006C17CB" w:rsidRDefault="0030091C">
      <w:pPr>
        <w:pStyle w:val="BodyText"/>
        <w:spacing w:before="90" w:line="189" w:lineRule="auto"/>
        <w:ind w:left="153" w:right="1412"/>
      </w:pPr>
      <w:r>
        <w:t>Increased committee activity during the reporting period, together with a significant proliferation in the number of questions on notice, has resulted in a greater workload for Hansard and escalating costs for transcription and editing.</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Facility management</w:t>
      </w:r>
    </w:p>
    <w:p w:rsidR="006C17CB" w:rsidRDefault="0030091C">
      <w:pPr>
        <w:pStyle w:val="BodyText"/>
        <w:spacing w:before="89" w:line="189" w:lineRule="auto"/>
        <w:ind w:left="153" w:right="1320"/>
      </w:pPr>
      <w:r>
        <w:t>During the reporting period, an expert consultant was engaged to conduct an assessment of the Assembly building’s various elements and to develop a 10-year life cycle plan. This review was used to support the case for a baseline increase in recurrent capital upgrade funding, although this funding was not agreed to by budget cabinet.</w:t>
      </w:r>
    </w:p>
    <w:p w:rsidR="006C17CB" w:rsidRDefault="006C17CB">
      <w:pPr>
        <w:spacing w:line="189" w:lineRule="auto"/>
        <w:sectPr w:rsidR="006C17CB">
          <w:pgSz w:w="11910" w:h="16840"/>
          <w:pgMar w:top="104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7"/>
        <w:rPr>
          <w:sz w:val="15"/>
        </w:rPr>
      </w:pPr>
    </w:p>
    <w:p w:rsidR="006C17CB" w:rsidRDefault="0030091C">
      <w:pPr>
        <w:pStyle w:val="Heading5"/>
        <w:spacing w:before="153"/>
        <w:rPr>
          <w:rFonts w:ascii="Montserrat"/>
        </w:rPr>
      </w:pPr>
      <w:bookmarkStart w:id="13" w:name="Protective_security_policy_framework"/>
      <w:bookmarkStart w:id="14" w:name="Assembly_library"/>
      <w:bookmarkStart w:id="15" w:name="Construction_of_the_Constitution_Place_d"/>
      <w:bookmarkStart w:id="16" w:name="Digital_display_screen"/>
      <w:bookmarkStart w:id="17" w:name="Strategic_plan_review"/>
      <w:bookmarkStart w:id="18" w:name="_bookmark3"/>
      <w:bookmarkEnd w:id="13"/>
      <w:bookmarkEnd w:id="14"/>
      <w:bookmarkEnd w:id="15"/>
      <w:bookmarkEnd w:id="16"/>
      <w:bookmarkEnd w:id="17"/>
      <w:bookmarkEnd w:id="18"/>
      <w:r>
        <w:rPr>
          <w:rFonts w:ascii="Montserrat"/>
          <w:color w:val="556EAA"/>
        </w:rPr>
        <w:t>Protective security policy framework</w:t>
      </w:r>
    </w:p>
    <w:p w:rsidR="006C17CB" w:rsidRDefault="0030091C">
      <w:pPr>
        <w:pStyle w:val="BodyText"/>
        <w:spacing w:before="90" w:line="189" w:lineRule="auto"/>
        <w:ind w:left="153" w:right="1477"/>
        <w:jc w:val="both"/>
      </w:pPr>
      <w:r>
        <w:t>During</w:t>
      </w:r>
      <w:r>
        <w:rPr>
          <w:spacing w:val="-5"/>
        </w:rPr>
        <w:t xml:space="preserve"> </w:t>
      </w:r>
      <w:r>
        <w:t>the</w:t>
      </w:r>
      <w:r>
        <w:rPr>
          <w:spacing w:val="-6"/>
        </w:rPr>
        <w:t xml:space="preserve"> </w:t>
      </w:r>
      <w:r>
        <w:rPr>
          <w:spacing w:val="-5"/>
        </w:rPr>
        <w:t xml:space="preserve">year, </w:t>
      </w:r>
      <w:r>
        <w:t>the</w:t>
      </w:r>
      <w:r>
        <w:rPr>
          <w:spacing w:val="-6"/>
        </w:rPr>
        <w:t xml:space="preserve"> </w:t>
      </w:r>
      <w:r>
        <w:t>Office</w:t>
      </w:r>
      <w:r>
        <w:rPr>
          <w:spacing w:val="-6"/>
        </w:rPr>
        <w:t xml:space="preserve"> </w:t>
      </w:r>
      <w:r>
        <w:t>established</w:t>
      </w:r>
      <w:r>
        <w:rPr>
          <w:spacing w:val="-6"/>
        </w:rPr>
        <w:t xml:space="preserve"> </w:t>
      </w:r>
      <w:r>
        <w:t>a</w:t>
      </w:r>
      <w:r>
        <w:rPr>
          <w:spacing w:val="-5"/>
        </w:rPr>
        <w:t xml:space="preserve"> </w:t>
      </w:r>
      <w:r>
        <w:t>dedicated</w:t>
      </w:r>
      <w:r>
        <w:rPr>
          <w:spacing w:val="-6"/>
        </w:rPr>
        <w:t xml:space="preserve"> </w:t>
      </w:r>
      <w:r>
        <w:t>protective</w:t>
      </w:r>
      <w:r>
        <w:rPr>
          <w:spacing w:val="-6"/>
        </w:rPr>
        <w:t xml:space="preserve"> </w:t>
      </w:r>
      <w:r>
        <w:t>security</w:t>
      </w:r>
      <w:r>
        <w:rPr>
          <w:spacing w:val="-5"/>
        </w:rPr>
        <w:t xml:space="preserve"> </w:t>
      </w:r>
      <w:r>
        <w:t>committee</w:t>
      </w:r>
      <w:r>
        <w:rPr>
          <w:spacing w:val="-6"/>
        </w:rPr>
        <w:t xml:space="preserve"> </w:t>
      </w:r>
      <w:r>
        <w:t>to</w:t>
      </w:r>
      <w:r>
        <w:rPr>
          <w:spacing w:val="-6"/>
        </w:rPr>
        <w:t xml:space="preserve"> </w:t>
      </w:r>
      <w:r>
        <w:t>oversee</w:t>
      </w:r>
      <w:r>
        <w:rPr>
          <w:spacing w:val="-6"/>
        </w:rPr>
        <w:t xml:space="preserve"> </w:t>
      </w:r>
      <w:r>
        <w:t>and</w:t>
      </w:r>
      <w:r>
        <w:rPr>
          <w:spacing w:val="-5"/>
        </w:rPr>
        <w:t xml:space="preserve"> </w:t>
      </w:r>
      <w:r>
        <w:t>plan</w:t>
      </w:r>
      <w:r>
        <w:rPr>
          <w:spacing w:val="-5"/>
        </w:rPr>
        <w:t xml:space="preserve"> </w:t>
      </w:r>
      <w:r>
        <w:t>the Office’s</w:t>
      </w:r>
      <w:r>
        <w:rPr>
          <w:spacing w:val="-5"/>
        </w:rPr>
        <w:t xml:space="preserve"> </w:t>
      </w:r>
      <w:r>
        <w:t>compliance</w:t>
      </w:r>
      <w:r>
        <w:rPr>
          <w:spacing w:val="-6"/>
        </w:rPr>
        <w:t xml:space="preserve"> </w:t>
      </w:r>
      <w:r>
        <w:t>with</w:t>
      </w:r>
      <w:r>
        <w:rPr>
          <w:spacing w:val="-5"/>
        </w:rPr>
        <w:t xml:space="preserve"> </w:t>
      </w:r>
      <w:r>
        <w:t>the</w:t>
      </w:r>
      <w:r>
        <w:rPr>
          <w:spacing w:val="-6"/>
        </w:rPr>
        <w:t xml:space="preserve"> </w:t>
      </w:r>
      <w:r>
        <w:rPr>
          <w:spacing w:val="-3"/>
        </w:rPr>
        <w:t>Territory’s</w:t>
      </w:r>
      <w:r>
        <w:rPr>
          <w:spacing w:val="-5"/>
        </w:rPr>
        <w:t xml:space="preserve"> </w:t>
      </w:r>
      <w:r>
        <w:t>protective</w:t>
      </w:r>
      <w:r>
        <w:rPr>
          <w:spacing w:val="-6"/>
        </w:rPr>
        <w:t xml:space="preserve"> </w:t>
      </w:r>
      <w:r>
        <w:t>security</w:t>
      </w:r>
      <w:r>
        <w:rPr>
          <w:spacing w:val="-5"/>
        </w:rPr>
        <w:t xml:space="preserve"> </w:t>
      </w:r>
      <w:r>
        <w:t>policy</w:t>
      </w:r>
      <w:r>
        <w:rPr>
          <w:spacing w:val="-5"/>
        </w:rPr>
        <w:t xml:space="preserve"> </w:t>
      </w:r>
      <w:r>
        <w:t>framework.</w:t>
      </w:r>
      <w:r>
        <w:rPr>
          <w:spacing w:val="-5"/>
        </w:rPr>
        <w:t xml:space="preserve"> </w:t>
      </w:r>
      <w:r>
        <w:t>The</w:t>
      </w:r>
      <w:r>
        <w:rPr>
          <w:spacing w:val="-6"/>
        </w:rPr>
        <w:t xml:space="preserve"> </w:t>
      </w:r>
      <w:r>
        <w:t>committee</w:t>
      </w:r>
      <w:r>
        <w:rPr>
          <w:spacing w:val="-6"/>
        </w:rPr>
        <w:t xml:space="preserve"> </w:t>
      </w:r>
      <w:r>
        <w:t>oversaw</w:t>
      </w:r>
      <w:r>
        <w:rPr>
          <w:spacing w:val="-5"/>
        </w:rPr>
        <w:t xml:space="preserve"> </w:t>
      </w:r>
      <w:r>
        <w:t>the development of a protective security plan and an associated implementation</w:t>
      </w:r>
      <w:r>
        <w:rPr>
          <w:spacing w:val="-18"/>
        </w:rPr>
        <w:t xml:space="preserve"> </w:t>
      </w:r>
      <w:r>
        <w:t>schedule.</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Assembly library</w:t>
      </w:r>
    </w:p>
    <w:p w:rsidR="006C17CB" w:rsidRDefault="0030091C">
      <w:pPr>
        <w:pStyle w:val="BodyText"/>
        <w:spacing w:before="89" w:line="189" w:lineRule="auto"/>
        <w:ind w:left="153" w:right="1177"/>
      </w:pPr>
      <w:r>
        <w:t>In July 2017 the Assembly library opened its new digital repository to users. The repository enables the capture of electronic documents into a searchable database, structured to create searchable collections of ACT media releases, media clips, reports and articles.</w:t>
      </w:r>
    </w:p>
    <w:p w:rsidR="006C17CB" w:rsidRDefault="006C17CB">
      <w:pPr>
        <w:pStyle w:val="BodyText"/>
        <w:spacing w:before="4"/>
        <w:rPr>
          <w:sz w:val="24"/>
        </w:rPr>
      </w:pPr>
    </w:p>
    <w:p w:rsidR="006C17CB" w:rsidRDefault="0030091C">
      <w:pPr>
        <w:pStyle w:val="Heading5"/>
        <w:spacing w:line="196" w:lineRule="auto"/>
        <w:ind w:right="1412"/>
        <w:rPr>
          <w:rFonts w:ascii="Montserrat" w:hAnsi="Montserrat"/>
        </w:rPr>
      </w:pPr>
      <w:r>
        <w:rPr>
          <w:rFonts w:ascii="Montserrat" w:hAnsi="Montserrat"/>
          <w:color w:val="556EAA"/>
        </w:rPr>
        <w:t>Construction of the Constitution Place development–monitoring impact</w:t>
      </w:r>
    </w:p>
    <w:p w:rsidR="006C17CB" w:rsidRDefault="0030091C">
      <w:pPr>
        <w:pStyle w:val="BodyText"/>
        <w:spacing w:before="102" w:line="189" w:lineRule="auto"/>
        <w:ind w:left="153" w:right="1320"/>
      </w:pPr>
      <w:r>
        <w:t>During 2017-2018 construction commenced on the Constitution Place development, on land adjacent to the Assembly building. The Office continues to work closely with developers and other key stakeholders to minimise the impact of these disruptions on Assembly building occupants.</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Digital display screen</w:t>
      </w:r>
    </w:p>
    <w:p w:rsidR="006C17CB" w:rsidRDefault="0030091C">
      <w:pPr>
        <w:pStyle w:val="BodyText"/>
        <w:spacing w:before="90" w:line="189" w:lineRule="auto"/>
        <w:ind w:left="153" w:right="1412"/>
      </w:pPr>
      <w:r>
        <w:t>In May the Office installed a digital display screen on the ground floor of the Assembly building, facing the vehicular and foot traffic on London Circuit. The screen projects general welcome information, as well as details on how to contact members and find out about Assembly proceedings.</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Strategic plan review</w:t>
      </w:r>
    </w:p>
    <w:p w:rsidR="006C17CB" w:rsidRDefault="0030091C">
      <w:pPr>
        <w:pStyle w:val="BodyText"/>
        <w:spacing w:before="89" w:line="189" w:lineRule="auto"/>
        <w:ind w:left="153" w:right="1106"/>
      </w:pPr>
      <w:r>
        <w:t xml:space="preserve">During the reporting period, the Office completed a wide-ranging review of its strategic direction and adopted a new plan for </w:t>
      </w:r>
      <w:r>
        <w:rPr>
          <w:spacing w:val="-4"/>
        </w:rPr>
        <w:t xml:space="preserve">2018-2021. </w:t>
      </w:r>
      <w:r>
        <w:t>The plan recognises the role the Office plays in the governance of the ACT and sets out its objectives for the next three years.</w:t>
      </w:r>
    </w:p>
    <w:p w:rsidR="006C17CB" w:rsidRDefault="006C17CB">
      <w:pPr>
        <w:spacing w:line="189" w:lineRule="auto"/>
        <w:sectPr w:rsidR="006C17CB">
          <w:pgSz w:w="11910" w:h="16840"/>
          <w:pgMar w:top="1580" w:right="0" w:bottom="720" w:left="980" w:header="0" w:footer="523" w:gutter="0"/>
          <w:cols w:space="720"/>
        </w:sectPr>
      </w:pPr>
    </w:p>
    <w:p w:rsidR="006C17CB" w:rsidRDefault="0030091C">
      <w:pPr>
        <w:pStyle w:val="Heading3"/>
      </w:pPr>
      <w:bookmarkStart w:id="19" w:name="The_year_ahead"/>
      <w:bookmarkStart w:id="20" w:name="Hansard"/>
      <w:bookmarkStart w:id="21" w:name="Library"/>
      <w:bookmarkStart w:id="22" w:name="Facility_management"/>
      <w:bookmarkStart w:id="23" w:name="Assembly_archival_project"/>
      <w:bookmarkStart w:id="24" w:name="Digitisation_of_existing_workflows"/>
      <w:bookmarkStart w:id="25" w:name="_bookmark4"/>
      <w:bookmarkEnd w:id="19"/>
      <w:bookmarkEnd w:id="20"/>
      <w:bookmarkEnd w:id="21"/>
      <w:bookmarkEnd w:id="22"/>
      <w:bookmarkEnd w:id="23"/>
      <w:bookmarkEnd w:id="24"/>
      <w:bookmarkEnd w:id="25"/>
      <w:r>
        <w:rPr>
          <w:color w:val="004289"/>
        </w:rPr>
        <w:t>THE YEAR AHEAD</w:t>
      </w:r>
    </w:p>
    <w:p w:rsidR="006C17CB" w:rsidRDefault="006C17CB">
      <w:pPr>
        <w:pStyle w:val="BodyText"/>
        <w:spacing w:before="11"/>
        <w:rPr>
          <w:rFonts w:ascii="Montserrat-SemiBold"/>
          <w:b/>
          <w:sz w:val="71"/>
        </w:rPr>
      </w:pPr>
    </w:p>
    <w:p w:rsidR="006C17CB" w:rsidRDefault="0030091C">
      <w:pPr>
        <w:pStyle w:val="Heading5"/>
        <w:spacing w:before="1"/>
        <w:rPr>
          <w:rFonts w:ascii="Montserrat"/>
        </w:rPr>
      </w:pPr>
      <w:r>
        <w:rPr>
          <w:rFonts w:ascii="Montserrat"/>
          <w:color w:val="556EAA"/>
        </w:rPr>
        <w:t>Hansard</w:t>
      </w:r>
    </w:p>
    <w:p w:rsidR="006C17CB" w:rsidRDefault="0030091C">
      <w:pPr>
        <w:pStyle w:val="BodyText"/>
        <w:spacing w:before="89" w:line="189" w:lineRule="auto"/>
        <w:ind w:left="153" w:right="1227"/>
      </w:pPr>
      <w:r>
        <w:t>Hansard will be investigating and trialling new technologies with a view to reducing committee transcription costs and streamlining the production of committee transcripts.</w:t>
      </w:r>
    </w:p>
    <w:p w:rsidR="006C17CB" w:rsidRDefault="006C17CB">
      <w:pPr>
        <w:pStyle w:val="BodyText"/>
        <w:spacing w:before="13"/>
        <w:rPr>
          <w:sz w:val="20"/>
        </w:rPr>
      </w:pPr>
    </w:p>
    <w:p w:rsidR="006C17CB" w:rsidRDefault="0030091C">
      <w:pPr>
        <w:pStyle w:val="Heading5"/>
        <w:spacing w:before="1"/>
        <w:rPr>
          <w:rFonts w:ascii="Montserrat"/>
        </w:rPr>
      </w:pPr>
      <w:r>
        <w:rPr>
          <w:rFonts w:ascii="Montserrat"/>
          <w:color w:val="556EAA"/>
        </w:rPr>
        <w:t>Library</w:t>
      </w:r>
    </w:p>
    <w:p w:rsidR="006C17CB" w:rsidRDefault="0030091C">
      <w:pPr>
        <w:pStyle w:val="BodyText"/>
        <w:spacing w:before="89" w:line="189" w:lineRule="auto"/>
        <w:ind w:left="153" w:right="1177"/>
      </w:pPr>
      <w:r>
        <w:t>The Assembly library will focus on addressing recommendations made as part of an internal audit. This will include reviewing all library policies and procedures to ensure that they are up to date.</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Facility management</w:t>
      </w:r>
    </w:p>
    <w:p w:rsidR="006C17CB" w:rsidRDefault="0030091C">
      <w:pPr>
        <w:pStyle w:val="BodyText"/>
        <w:spacing w:before="90" w:line="189" w:lineRule="auto"/>
        <w:ind w:left="153" w:right="1440"/>
      </w:pPr>
      <w:r>
        <w:t>The Office will continue to pursue additional capital funding, particularly to complete an upgrade of the Assembly building’s heating, ventilation and cooling system, which was partly upgraded in 2015-2016 and which has some components that are nearly 25 years old.</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Assembly archival project</w:t>
      </w:r>
    </w:p>
    <w:p w:rsidR="006C17CB" w:rsidRDefault="0030091C">
      <w:pPr>
        <w:pStyle w:val="BodyText"/>
        <w:spacing w:before="89" w:line="189" w:lineRule="auto"/>
        <w:ind w:left="153" w:right="1173"/>
      </w:pPr>
      <w:r>
        <w:t>During the coming year, using funding provided in the 2018-2019 budget, the Office will begin examining its collection of archived records that date back to the commencement of selfgovernment in 1989. This process aims to inform a digitisation strategy for those records, to remove contaminants from the collection and to repack some records that are not currently stored in ideal conditions. These measures will prolong the life of most of these paper records, delaying the need for digitisation.</w:t>
      </w:r>
    </w:p>
    <w:p w:rsidR="006C17CB" w:rsidRDefault="006C17CB">
      <w:pPr>
        <w:pStyle w:val="BodyText"/>
        <w:spacing w:before="12"/>
        <w:rPr>
          <w:sz w:val="20"/>
        </w:rPr>
      </w:pPr>
    </w:p>
    <w:p w:rsidR="006C17CB" w:rsidRDefault="0030091C">
      <w:pPr>
        <w:pStyle w:val="Heading5"/>
        <w:rPr>
          <w:rFonts w:ascii="Montserrat"/>
        </w:rPr>
      </w:pPr>
      <w:r>
        <w:rPr>
          <w:rFonts w:ascii="Montserrat"/>
          <w:color w:val="556EAA"/>
        </w:rPr>
        <w:t>Digitisation of existing workflows</w:t>
      </w:r>
    </w:p>
    <w:p w:rsidR="006C17CB" w:rsidRDefault="0030091C" w:rsidP="0030091C">
      <w:pPr>
        <w:pStyle w:val="BodyText"/>
        <w:spacing w:before="89" w:line="189" w:lineRule="auto"/>
        <w:ind w:left="153" w:right="1138"/>
      </w:pPr>
      <w:r>
        <w:t xml:space="preserve">The Office received funding in the </w:t>
      </w:r>
      <w:r>
        <w:rPr>
          <w:spacing w:val="-3"/>
        </w:rPr>
        <w:t xml:space="preserve">2018-2019 </w:t>
      </w:r>
      <w:r>
        <w:t xml:space="preserve">budget to build on work undertaken in </w:t>
      </w:r>
      <w:r>
        <w:rPr>
          <w:spacing w:val="-6"/>
        </w:rPr>
        <w:t xml:space="preserve">2017-2018 </w:t>
      </w:r>
      <w:r>
        <w:t>that explored digitisation opportunities in various Assembly business processes. The project will review processes and seek a technical solution that enables a digital workflow. The project will also explore the development of databases that improve access to historical procedural information.</w:t>
      </w:r>
    </w:p>
    <w:p w:rsidR="006C17CB" w:rsidRDefault="006C17CB">
      <w:pPr>
        <w:spacing w:line="189" w:lineRule="auto"/>
        <w:sectPr w:rsidR="006C17CB">
          <w:pgSz w:w="11910" w:h="16840"/>
          <w:pgMar w:top="1040" w:right="0" w:bottom="740" w:left="980" w:header="0" w:footer="551" w:gutter="0"/>
          <w:cols w:space="720"/>
        </w:sectPr>
      </w:pPr>
    </w:p>
    <w:p w:rsidR="006C17CB" w:rsidRDefault="00FE24A7">
      <w:pPr>
        <w:pStyle w:val="BodyText"/>
        <w:spacing w:before="4"/>
        <w:rPr>
          <w:rFonts w:ascii="Times New Roman"/>
          <w:sz w:val="17"/>
        </w:rPr>
      </w:pPr>
      <w:r>
        <w:pict>
          <v:shape id="_x0000_s1516" alt="" style="position:absolute;margin-left:595.3pt;margin-top:788pt;width:.1pt;height:1.65pt;z-index:1192;mso-wrap-edited:f;mso-width-percent:0;mso-height-percent:0;mso-position-horizontal-relative:page;mso-position-vertical-relative:page;mso-width-percent:0;mso-height-percent:0" coordsize="1270,33" path="m,32l,,,32xe" fillcolor="#7098d0" stroked="f">
            <v:path arrowok="t" o:connecttype="custom" o:connectlocs="0,2147483646;0,2147483646;0,2147483646" o:connectangles="0,0,0"/>
            <w10:wrap anchorx="page" anchory="page"/>
          </v:shape>
        </w:pict>
      </w:r>
      <w:r>
        <w:pict>
          <v:shape id="_x0000_s1515" alt="" style="position:absolute;margin-left:595.3pt;margin-top:828.45pt;width:.1pt;height:13.15pt;z-index:1216;mso-wrap-edited:f;mso-width-percent:0;mso-height-percent:0;mso-position-horizontal-relative:page;mso-position-vertical-relative:page;mso-width-percent:0;mso-height-percent:0" coordsize="1270,263" path="m,262l,,,262xe" fillcolor="#7098d0" stroked="f">
            <v:path arrowok="t" o:connecttype="custom" o:connectlocs="0,2147483646;0,2147483646;0,2147483646" o:connectangles="0,0,0"/>
            <w10:wrap anchorx="page" anchory="page"/>
          </v:shape>
        </w:pict>
      </w:r>
      <w:r>
        <w:pict>
          <v:shape id="_x0000_s1514" alt="" style="position:absolute;margin-left:595.3pt;margin-top:571.15pt;width:.1pt;height:150.8pt;z-index:1240;mso-wrap-edited:f;mso-width-percent:0;mso-height-percent:0;mso-position-horizontal-relative:page;mso-position-vertical-relative:page;mso-width-percent:0;mso-height-percent:0" coordsize="1270,3016" path="m,3016l,,,3016xe" fillcolor="#7098d0" stroked="f">
            <v:path arrowok="t" o:connecttype="custom" o:connectlocs="0,2147483646;0,2147483646;0,2147483646" o:connectangles="0,0,0"/>
            <w10:wrap anchorx="page" anchory="page"/>
          </v:shape>
        </w:pict>
      </w:r>
      <w:r>
        <w:pict>
          <v:shape id="_x0000_s1513" alt="" style="position:absolute;margin-left:595.3pt;margin-top:757.5pt;width:.1pt;height:7.9pt;z-index:1264;mso-wrap-edited:f;mso-width-percent:0;mso-height-percent:0;mso-position-horizontal-relative:page;mso-position-vertical-relative:page;mso-width-percent:0;mso-height-percent:0" coordsize="1270,158" path="m,158l,,,158xe" fillcolor="#7098d0" stroked="f">
            <v:path arrowok="t" o:connecttype="custom" o:connectlocs="0,2147483646;0,2147483646;0,2147483646" o:connectangles="0,0,0"/>
            <w10:wrap anchorx="page" anchory="page"/>
          </v:shape>
        </w:pict>
      </w:r>
      <w:r>
        <w:pict>
          <v:shape id="_x0000_s1512" alt="" style="position:absolute;margin-left:41.1pt;margin-top:128.15pt;width:294.25pt;height:241pt;z-index:1288;mso-wrap-edited:f;mso-width-percent:0;mso-height-percent:0;mso-position-horizontal-relative:page;mso-position-vertical-relative:page;mso-width-percent:0;mso-height-percent:0" coordsize="5885,4820" o:spt="100" adj="0,,0" path="m2733,3933r-7,-60l2714,3831r-5,-15l2684,3765r-35,-42l2606,3691r-52,-19l2463,3673r-89,31l2297,3749r-58,47l2208,3830r-6,1l2196,3813r-9,-32l2181,3766r-10,-25l2144,3697r-42,-41l2042,3623r-83,-20l1850,3601r-103,11l1649,3627r-94,18l1466,3665r-84,22l1170,3746r-57,15l1065,3772r-40,5l1012,3778r252,-9l1446,3766r107,l1631,3767r83,3l1787,3775r59,7l1888,3792r79,38l2029,3876r47,52l2108,3980r16,49l2135,4067r21,47l2190,4162r51,44l2310,4240r91,16l2516,4250r61,-17l2627,4202r41,-41l2698,4110r21,-56l2731,3994r2,-61m5884,2960r-82,-20l5727,2940r-70,-20l5522,2880r-69,-20l5379,2840r-81,-20l5207,2800r3,-40l5212,2740r3,-60l5218,2620r,-60l5217,2480r-3,-80l5209,2340r-8,-80l5192,2180r-12,-60l5166,2040r-15,-60l5133,1900r-19,-60l5092,1760r-23,-60l5047,1629r,931l5046,2600r-1,40l5042,2700r-3,40l5027,2737r,380l4379,3020r-415,-20l3628,3100r-433,260l3449,3100r174,-140l3799,2900r258,-20l4159,2880r103,20l4366,2900r102,20l4567,2960r94,20l4749,3000r79,40l4898,3060r58,20l5001,3100r26,17l5027,2737r-57,-17l4896,2700r-80,-40l4729,2640r-93,-40l4130,2500r-365,40l3543,2620r-75,40l3631,2340r125,-380l3835,1640r28,-140l3917,1200r11,-60l3965,940r25,-160l4016,600r61,40l4137,680r59,60l4253,780r55,60l4362,880r52,60l4464,1000r49,60l4560,1120r44,60l4647,1240r41,60l4727,1360r38,80l4799,1500r33,60l4863,1640r28,80l4918,1780r24,80l4963,1940r19,60l4999,2080r14,80l5025,2240r10,80l5041,2400r4,80l5047,2560r,-931l5044,1620r-27,-60l4988,1500r-30,-60l4926,1360r-34,-60l4856,1240r-37,-60l4781,1120r-41,-60l4699,1020r-44,-60l4611,900r-47,-40l4517,800r-49,-60l4417,700r-51,-40l4313,600r-54,-40l4203,520r-56,-40l4089,440r-59,-40l3970,360r-61,-40l3873,309r,191l3698,600r-128,84l3570,1200r-86,500l3385,2020r-175,320l2894,2760r20,-300l2943,2000r87,-400l3218,1380r352,-180l3570,684r-54,36l3374,800r-58,20l2857,1240r-268,540l2464,2260r-31,200l2424,2340r-15,-120l2391,2100r-22,-100l2343,1880r-29,-80l2282,1700r-34,-100l2213,1520r-37,-80l2160,1416r,1224l2160,2700r-3,80l2154,2860r-5,100l2144,3040r-5,80l2133,3220r-2,-20l2098,2940r-62,-500l2011,2315r,1045l2007,3360r-27,-18l2011,3360r,-1045l1977,2144r,1196l1926,3340r-69,-20l1582,3320r-101,20l1383,3380r-294,80l1014,3460r-77,20l615,3480r-86,-20l471,3460r19,-20l669,3440r181,-40l937,3400r147,-40l1159,3320r75,-20l1308,3260r72,-20l1448,3220r62,-20l1566,3200r78,20l1735,3260r93,20l1912,3320r65,20l1977,2144r-33,-164l1805,1680,1689,1514r,1426l1592,2880r-90,-40l1419,2800r-147,l1208,2820r-57,20l1100,2860r-45,20l1017,2900r-32,20l959,2940r-32,20l877,2980r-65,40l735,3060r-87,40l556,3140,368,3240r-20,-80l330,3080r-15,-60l301,2940r-11,-80l282,2780r-6,-60l272,2640r-1,-80l272,2480r4,-80l283,2320r9,-80l303,2160r14,-80l334,2020r18,-80l374,1860r23,-60l423,1720r28,-80l481,1580r32,-60l547,1440r36,-60l621,1320r41,-60l704,1180r44,-60l794,1060r47,-40l890,960r51,-60l994,840r55,-40l1104,740r58,-40l1221,660r-3,40l1215,780r-3,80l1208,940r-3,100l1202,1160r69,560l1439,2280r171,460l1689,2940r,-1426l1567,1340r231,180l1930,1660r84,160l2100,2100r18,80l2132,2240r11,80l2151,2380r5,80l2159,2540r1,60l2160,2640r,-1224l2138,1380r-19,-40l2100,1300r-39,-60l2024,1180r-37,-40l1951,1080r-34,-40l1885,1000r-29,-20l1830,960r-23,-20l1789,920r-45,-40l1619,780,1465,660,1338,560r64,-40l1467,480r66,-20l1601,420r69,-40l1740,360r71,-40l2261,200r78,l2418,180r160,l2659,160r82,20l2905,180r80,20l3065,200r384,100l3523,340r73,20l3667,400r70,20l3806,460r67,40l3873,309r-26,-9l3719,220,3588,180r-33,-20l3521,140,3245,60r-71,l3030,20r-73,l2883,,2434,r-73,20l2288,20,2143,60r-71,l1796,140r-67,40l1598,220r-127,80l1409,320r-61,40l1287,400r-58,40l1171,480r-57,40l1059,560r-54,40l952,660r-52,40l850,740r-49,60l753,860r-46,40l662,960r-43,60l577,1060r-40,60l498,1180r-37,60l426,1300r-34,60l360,1440r-31,60l301,1560r-27,60l249,1700r-24,60l204,1840r-20,60l167,1980r-16,60l137,2120r-11,60l116,2260r-7,80l103,2400r-3,80l99,2560r1,80l104,2720r6,80l118,2860r10,80l140,3020r15,80l172,3160r19,80l212,3320r-63,20l95,3360r-44,40l20,3400,,3440r11,20l46,3500r53,40l163,3580r139,80l364,3700r33,20l424,3720r17,20l447,3740r152,300l719,4220r151,140l1114,4500r66,20l1247,4560r213,60l1526,4640r67,l1662,4660r69,l1801,4640r70,l2157,4560r108,-60l2373,4440r119,-100l2516,4320r-155,20l2246,4300r-72,-40l2150,4240r17,20l2172,4300r-9,20l2141,4360r-33,40l2062,4420r-57,40l1936,4480r-79,20l1559,4500,1184,4360,877,4080,669,3840,592,3720r284,l1292,3620r79,-20l1447,3580r423,-60l2108,3540r104,80l2235,3660r121,-140l2390,3480r87,-100l2495,3360r17,-20l2601,3240r15,-20l2647,3180r6,-20l2654,3120r6,-100l2676,2920r31,-40l2741,2880r24,60l2779,2980r4,40l2870,2960r68,20l2974,3000r-8,l2887,3020r-54,40l2801,3100r-10,20l2776,3200r-291,340l3024,3700r263,320l3372,4320r7,140l3340,4340r-42,-100l3251,4140r-49,-80l3151,3980,2992,3800r-52,-40l2891,3720r-47,-20l2801,3680r-39,-20l2664,3660r5,20l2684,3680r48,40l2767,3740r25,40l2809,3820r9,60l2822,3920r1,40l2823,4040r1,40l2826,4140r7,40l2846,4240r21,60l2898,4360r43,60l2997,4500r88,80l3173,4640r87,60l3342,4740r75,40l3483,4800r54,20l3608,4820r-4,-40l3610,4720r13,-60l3642,4560r26,-80l3674,4460r25,-80l3727,4300r20,-80l3759,4160r,-60l3747,4020r-27,-60l3677,3880r-62,-60l3485,3720r-26,-20l3301,3680r-122,20l3130,3720r63,-120l3348,3540r370,-60l4424,3440r88,-20l4677,3420r77,-20l4828,3400r71,-20l4872,3460r-27,60l4816,3600r-30,60l4754,3740r-33,60l4687,3880r-37,60l4612,4020r-40,60l4531,4140r-45,60l4440,4260r-48,60l4341,4380r-54,60l4231,4500r-59,40l4110,4580r-21,20l4154,4560r64,-40l4280,4460r62,-40l4401,4360r58,-60l4516,4260r55,-60l4624,4140r51,-60l4724,4020r48,-60l4817,3900r43,-60l4901,3760r38,-60l4975,3640r34,-80l5040,3500r28,-80l5081,3380r6,-20l5094,3340r395,-120l5690,3120r41,-20l5851,3000r33,-40e" fillcolor="#ebf3fb" stroked="f">
            <v:stroke joinstyle="round"/>
            <v:formulas/>
            <v:path arrowok="t" o:connecttype="custom" o:connectlocs="926207825,2147483646;789917775,2147483646;408063700,2147483646;837095100,2147483646;1059272075,2147483646;2147483646,2147483646;2100399025,1977012175;2035076575,2065721675;1390723025,2147483646;1946770300,2147483646;1665319250,2041528175;1608867750,1347981175;1838706000,1485077675;1992737950,1783464175;2033866900,1686690175;1877012375,1420561675;1648787025,1210884675;1294352250,1977012175;1152013825,1533464675;906449800,1678625675;860078925,2147483646;797175825,2147483646;189918975,2147483646;608869750,2147483646;681047025,2147483646;386692775,2147483646;121370725,2147483646;127822325,1872173675;250402725,1565722675;468547450,1315723175;681047025,2147483646;869353100,2025399175;786691975,1468948675;565321450,1243142675;1072175275,1097981675;1561690425,1235078175;1162497675,1033465675;543547300,1178626675;303628425,1380239175;132661025,1638303175;46774100,1944754175;62499875,2147483646;39919275,2147483646;449192650,2147483646;913304625,2147483646;863304725,2147483646;353225100,2147483646;1006046375,2147483646;1114917125,2147483646;1119352600,2147483646;1206449200,2147483646;1125804200,2147483646;1168546050,2147483646;1453222900,2147483646;1510884075,2147483646;1499190550,2147483646;1916931650,2147483646;1728625575,2147483646;1820964100,2147483646;2019754025,2147483646" o:connectangles="0,0,0,0,0,0,0,0,0,0,0,0,0,0,0,0,0,0,0,0,0,0,0,0,0,0,0,0,0,0,0,0,0,0,0,0,0,0,0,0,0,0,0,0,0,0,0,0,0,0,0,0,0,0,0,0,0,0,0,0"/>
            <w10:wrap anchorx="page" anchory="page"/>
          </v:shape>
        </w:pict>
      </w:r>
    </w:p>
    <w:p w:rsidR="006C17CB" w:rsidRDefault="006C17CB">
      <w:pPr>
        <w:rPr>
          <w:rFonts w:ascii="Times New Roman"/>
          <w:sz w:val="17"/>
        </w:rPr>
        <w:sectPr w:rsidR="006C17CB">
          <w:pgSz w:w="11910" w:h="16840"/>
          <w:pgMar w:top="1580" w:right="0" w:bottom="640" w:left="980" w:header="0" w:footer="523" w:gutter="0"/>
          <w:cols w:space="720"/>
        </w:sectPr>
      </w:pPr>
    </w:p>
    <w:p w:rsidR="006C17CB" w:rsidRDefault="00FE24A7">
      <w:pPr>
        <w:pStyle w:val="BodyText"/>
        <w:rPr>
          <w:rFonts w:ascii="Times New Roman"/>
          <w:sz w:val="20"/>
        </w:rPr>
      </w:pPr>
      <w:r>
        <w:pict>
          <v:group id="_x0000_s1509" alt="" style="position:absolute;margin-left:0;margin-top:127.55pt;width:595.3pt;height:714.35pt;z-index:-477232;mso-position-horizontal-relative:page;mso-position-vertical-relative:page" coordorigin=",2551" coordsize="11906,14287">
            <v:rect id="_x0000_s1510" alt="" style="position:absolute;top:2551;width:11906;height:14287" fillcolor="#7ea0d4" stroked="f"/>
            <v:shape id="_x0000_s1511" alt="" style="position:absolute;top:10437;width:6705;height:6400" coordorigin=",10438" coordsize="6705,6400" o:spt="100" adj="0,,0" path="m687,16838r-118,-20l38,16618,,16578r,260l687,16838t1239,-260l1707,16598r-163,-60l1442,16478r-35,-40l1428,16478r10,20l1437,16538r-11,40l1405,16618r-32,40l1333,16678r-51,40l1223,16758r-69,20l1077,16798r-85,20l898,16838r665,l1636,16778r73,-40l1782,16678r72,-40l1902,16598r24,-20m2234,16064r-1,-63l2225,15939r-15,-59l2209,15879r-21,-54l2160,15775r-35,-44l2083,15695r-48,-28l1981,15650r-81,-5l1819,15660r-78,28l1668,15726r-64,42l1551,15810r-39,37l1490,15874r-6,5l1478,15869r-5,-22l1464,15817r-11,-34l1451,15780r-18,-42l1406,15695r-36,-41l1322,15615r-61,-32l1185,15560r-93,-12l981,15549r-107,11l770,15574r-101,17l572,15610r-94,20l388,15652r-85,23l11,15757r-11,3l,15792r277,-7l463,15783r92,l646,15784r85,2l811,15790r73,5l946,15801r51,9l1035,15820r95,44l1209,15917r63,59l1320,16038r33,61l1371,16156r9,37l1396,16236r24,48l1453,16332r44,46l1553,16419r70,32l1708,16473r101,7l1927,16470r63,-16l2046,16428r49,-35l2136,16350r34,-49l2197,16246r19,-59l2229,16126r5,-62m6704,14638r-89,-20l6533,14598r-78,l6166,14518r-74,-20l6014,14478r-83,-20l5841,14438r-97,-40l5747,14358r4,-40l5756,14238r3,-80l5760,14058r-1,-60l5756,13918r-3,-80l5747,13758r-7,-60l5732,13618r-10,-80l5711,13478r-13,-80l5684,13318r-16,-60l5651,13178r-18,-60l5613,13038r-21,-60l5570,12898r-24,-60l5521,12778r-5,-15l5516,14058r-1,80l5513,14198r-3,60l5506,14318r-38,-13l5468,14850r-899,-152l3981,14698r-478,140l2890,15198r359,-380l3472,14638r25,-20l3746,14558r366,-20l4211,14518r100,20l4411,14538r489,100l4989,14678r85,20l5154,14718r74,40l5295,14778r59,20l5406,14818r42,20l5468,14850r,-545l5445,14298r-63,-20l5316,14258r-69,-20l5174,14218r-76,-40l5018,14158r-84,-40l4216,13978r-518,40l3383,14158r-106,60l3509,13758r176,-540l3798,12758r40,-200l3914,12138r15,-80l3982,11778r35,-220l4054,11278r61,40l4175,11378r59,40l4292,11458r57,60l4405,11558r54,60l4513,11658r53,60l4617,11778r50,40l4716,11878r48,60l4810,11998r45,60l4899,12118r42,60l4983,12238r39,60l5061,12378r37,60l5134,12498r34,80l5200,12638r32,60l5261,12778r29,60l5316,12918r25,80l5365,13058r22,80l5407,13218r18,60l5442,13358r16,80l5471,13518r12,80l5493,13678r8,60l5508,13818r4,80l5515,13978r1,80l5516,12763r-22,-65l5467,12638r-29,-60l5408,12498r-32,-60l5344,12378r-34,-60l5275,12258r-36,-60l5202,12138r-39,-60l5124,12018r-41,-60l5041,11898r-42,-60l4955,11798r-45,-60l4864,11678r-47,-60l4769,11578r-49,-60l4670,11478r-51,-60l4567,11378r-53,-40l4461,11278r-55,-40l4351,11198r-56,-40l4237,11118r-116,-80l4001,10958r-123,-80l3852,10870r,288l3603,11298r-181,98l3422,12138r-122,720l3160,13318r-249,440l2463,14358r29,-440l2533,13298r123,-600l2922,12378r500,-240l3422,11396r-76,42l3143,11558r-81,60l2410,12178r-380,780l1853,13638r-44,280l1800,13798r-11,-120l1774,13578r-18,-120l1736,13358r-23,-120l1688,13138r-28,-100l1631,12958r-31,-100l1568,12778r-34,-80l1499,12618r-35,-80l1427,12458r-5,-11l1422,14178r,60l1420,14318r-3,80l1414,14478r-4,80l1405,14658r-5,80l1395,14818r-6,100l1384,14998r-3,-20l1333,14598r-88,-700l1115,13258,919,12818,580,12358r328,240l1096,12778r119,260l1336,13418r18,80l1370,13558r13,80l1394,13698r9,80l1410,13838r6,80l1419,13998r2,80l1422,14138r,40l1422,12447r-32,-69l1378,12358r-100,-160l1241,12138r-36,-40l1169,12038r-35,-40l1101,11958r-33,-40l1037,11878r-29,-40l981,11818r-25,-20l933,11778r-21,-20l895,11738r-42,-40l740,11618,456,11398r-50,-40l255,11238r131,-80l521,11078r69,-20l730,10978r72,-20l874,10918r73,-20l1021,10858r539,-140l1640,10718r80,-20l1801,10698r81,-20l2373,10678r80,20l2533,10698r79,20l2691,10718r605,160l3369,10918r71,20l3511,10978r70,20l3718,11078r134,80l3852,10870r-37,-12l3687,10778r-64,-20l3557,10718r-133,-40l3357,10658r-68,-40l2940,10518r-71,l2724,10478r-73,l2578,10458r-74,l2430,10438r-602,l1754,10458r-74,l1606,10478r-73,l1389,10518r-71,l969,10618r-68,40l701,10718r-66,40l570,10778r-127,80l380,10878r-123,80l137,11038r-117,80l,11118r,320l30,11418r59,-60l87,11418r-3,60l81,11538r-3,60l75,11678r-6,200l65,11978r-3,120l160,12858r239,820l642,14338r111,260l649,14538r-98,-60l458,14438r-88,-20l288,14418r-78,-20l138,14418r-67,l9,14438r-9,20l,15158r21,l175,15078r76,-20l324,15018r70,-20l461,14978r118,l660,14998r93,40l853,15058r98,40l1042,15118r78,40l1178,15178r32,20l1192,15198r-34,-20l1109,15178r-62,-20l893,15158r-89,-20l710,15138r-97,20l514,15158r-99,20l319,15218r-71,20l177,15278r-142,40l,15318r,300l22,15618r239,-60l337,15538r73,-20l1010,15418r337,60l1495,15578r33,60l1716,15418r155,-180l1906,15198r141,-160l2073,14998r39,-60l2121,14918r1,-20l2124,14818r7,-100l2144,14638r21,-80l2197,14518r49,20l2280,14598r19,80l2305,14698r84,-40l2464,14638r61,20l2566,14678r15,20l2565,14698r-112,20l2376,14778r-45,60l2316,14878r-21,120l1883,15458r765,220l3020,16118r121,460l3150,16778r-37,-120l3074,16538r-43,-100l2986,16338r-47,-80l2890,16178r-51,-80l2788,16018r-52,-60l2684,15918r-52,-60l2581,15818r-50,-40l2482,15738r-47,-20l2390,15698r-43,-20l2307,15658r-37,-20l2237,15638r-29,-20l2139,15618r-3,20l2139,15638r9,20l2165,15658r51,40l2258,15718r33,40l2316,15798r18,40l2347,15898r9,40l2360,15978r2,60l2362,16058r,140l2364,16258r4,60l2375,16378r12,60l2405,16498r23,60l2460,16618r40,60l2549,16738r60,80l2652,16838r892,l3564,16778r7,-20l3605,16658r27,-80l3655,16498r18,-60l3685,16378r6,-80l3690,16238r-9,-60l3663,16118r-28,-60l3597,15978r-50,-60l3486,15838r-190,-120l3264,15698r-224,-40l2867,15698r-69,20l2886,15538r221,-100l3632,15378r1002,-60l4727,15298r179,l4991,15278r83,l5231,15238r75,l5279,15318r-28,60l5222,15458r-30,80l5161,15598r-32,80l5096,15758r-34,60l5026,15898r-36,60l4952,16038r-39,60l4872,16178r-42,60l4786,16318r-45,60l4694,16438r-48,60l4595,16558r-52,60l4489,16678r-56,60l4375,16798r-61,40l4350,16838r62,-60l4473,16738r60,-60l4592,16638r58,-60l4707,16518r56,-60l4818,16418r53,-60l4924,16298r51,-60l5024,16178r49,-60l5120,16058r45,-60l5209,15938r42,-60l5292,15798r39,-60l5369,15678r36,-80l5439,15538r32,-60l5502,15398r29,-60l5558,15258r6,-20l5576,15198r7,-20l6143,15018r305,-160l6486,14838r172,-140l6704,14638e" fillcolor="#7098d0" stroked="f">
              <v:stroke joinstyle="round"/>
              <v:formulas/>
              <v:path arrowok="t" o:connecttype="segments"/>
            </v:shape>
            <w10:wrap anchorx="page" anchory="page"/>
          </v:group>
        </w:pict>
      </w: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spacing w:before="2"/>
        <w:rPr>
          <w:rFonts w:ascii="Times New Roman"/>
        </w:rPr>
      </w:pPr>
    </w:p>
    <w:p w:rsidR="006C17CB" w:rsidRDefault="0030091C">
      <w:pPr>
        <w:spacing w:before="219" w:line="196" w:lineRule="auto"/>
        <w:ind w:left="6860" w:right="1124" w:firstLine="972"/>
        <w:jc w:val="right"/>
        <w:rPr>
          <w:rFonts w:ascii="Montserrat-SemiBold"/>
          <w:b/>
          <w:sz w:val="38"/>
        </w:rPr>
      </w:pPr>
      <w:bookmarkStart w:id="26" w:name="SECTION_A_PERFORMANCE_REPORTING"/>
      <w:bookmarkStart w:id="27" w:name="_bookmark5"/>
      <w:bookmarkEnd w:id="26"/>
      <w:bookmarkEnd w:id="27"/>
      <w:r>
        <w:rPr>
          <w:rFonts w:ascii="Montserrat-Light"/>
          <w:color w:val="FFFFFF"/>
          <w:w w:val="95"/>
          <w:sz w:val="38"/>
        </w:rPr>
        <w:t>SECTION A</w:t>
      </w:r>
      <w:r>
        <w:rPr>
          <w:rFonts w:ascii="Montserrat-Light"/>
          <w:color w:val="FFFFFF"/>
          <w:w w:val="92"/>
          <w:sz w:val="38"/>
        </w:rPr>
        <w:t xml:space="preserve"> </w:t>
      </w:r>
      <w:r>
        <w:rPr>
          <w:rFonts w:ascii="Montserrat-SemiBold"/>
          <w:b/>
          <w:color w:val="FFFFFF"/>
          <w:w w:val="90"/>
          <w:sz w:val="38"/>
        </w:rPr>
        <w:t>PERFORMANCE REPORTING</w:t>
      </w: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30091C">
      <w:pPr>
        <w:tabs>
          <w:tab w:val="right" w:pos="9790"/>
        </w:tabs>
        <w:spacing w:before="420"/>
        <w:ind w:left="4542"/>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ANNUAL</w:t>
      </w:r>
      <w:r>
        <w:rPr>
          <w:rFonts w:ascii="Montserrat" w:hAnsi="Montserrat"/>
          <w:b/>
          <w:spacing w:val="21"/>
          <w:sz w:val="14"/>
        </w:rPr>
        <w:t xml:space="preserve"> </w:t>
      </w:r>
      <w:r>
        <w:rPr>
          <w:rFonts w:ascii="Montserrat" w:hAnsi="Montserrat"/>
          <w:b/>
          <w:sz w:val="14"/>
        </w:rPr>
        <w:t>REPORT</w:t>
      </w:r>
      <w:r>
        <w:rPr>
          <w:rFonts w:ascii="Montserrat" w:hAnsi="Montserrat"/>
          <w:b/>
          <w:spacing w:val="10"/>
          <w:sz w:val="14"/>
        </w:rPr>
        <w:t xml:space="preserve"> </w:t>
      </w:r>
      <w:r>
        <w:rPr>
          <w:rFonts w:ascii="Montserrat-Light" w:hAnsi="Montserrat-Light"/>
          <w:sz w:val="14"/>
        </w:rPr>
        <w:t>2017–2018</w:t>
      </w:r>
      <w:r>
        <w:rPr>
          <w:rFonts w:ascii="Montserrat-Light" w:hAnsi="Montserrat-Light"/>
          <w:sz w:val="14"/>
        </w:rPr>
        <w:tab/>
      </w:r>
      <w:r>
        <w:rPr>
          <w:rFonts w:ascii="Montserrat-Light" w:hAnsi="Montserrat-Light"/>
          <w:sz w:val="16"/>
        </w:rPr>
        <w:t>11</w:t>
      </w:r>
    </w:p>
    <w:p w:rsidR="006C17CB" w:rsidRDefault="006C17CB">
      <w:pPr>
        <w:rPr>
          <w:rFonts w:ascii="Montserrat-Light" w:hAnsi="Montserrat-Light"/>
          <w:sz w:val="16"/>
        </w:rPr>
        <w:sectPr w:rsidR="006C17CB">
          <w:footerReference w:type="default" r:id="rId22"/>
          <w:pgSz w:w="11910" w:h="16840"/>
          <w:pgMar w:top="1580" w:right="0" w:bottom="280" w:left="980" w:header="0" w:footer="0" w:gutter="0"/>
          <w:cols w:space="720"/>
        </w:sectPr>
      </w:pPr>
    </w:p>
    <w:p w:rsidR="006C17CB" w:rsidRDefault="0030091C">
      <w:pPr>
        <w:pStyle w:val="Heading3"/>
      </w:pPr>
      <w:bookmarkStart w:id="28" w:name="The_organisation"/>
      <w:bookmarkStart w:id="29" w:name="Accountability"/>
      <w:bookmarkStart w:id="30" w:name="The_Office’s_approach"/>
      <w:bookmarkStart w:id="31" w:name="_bookmark6"/>
      <w:bookmarkEnd w:id="28"/>
      <w:bookmarkEnd w:id="29"/>
      <w:bookmarkEnd w:id="30"/>
      <w:bookmarkEnd w:id="31"/>
      <w:r>
        <w:rPr>
          <w:color w:val="004289"/>
        </w:rPr>
        <w:t>THE ORGANISATION</w:t>
      </w:r>
    </w:p>
    <w:p w:rsidR="006C17CB" w:rsidRDefault="006C17CB">
      <w:pPr>
        <w:pStyle w:val="BodyText"/>
        <w:rPr>
          <w:rFonts w:ascii="Montserrat-SemiBold"/>
          <w:b/>
          <w:sz w:val="48"/>
        </w:rPr>
      </w:pPr>
    </w:p>
    <w:p w:rsidR="006C17CB" w:rsidRDefault="0030091C">
      <w:pPr>
        <w:pStyle w:val="BodyText"/>
        <w:spacing w:before="329" w:line="189" w:lineRule="auto"/>
        <w:ind w:left="153" w:right="1341"/>
        <w:jc w:val="both"/>
      </w:pPr>
      <w:r>
        <w:t>Headed by the Clerk of the Legislative Assembly, the Office supports the Assembly as the democratic body responsible</w:t>
      </w:r>
      <w:r>
        <w:rPr>
          <w:spacing w:val="-7"/>
        </w:rPr>
        <w:t xml:space="preserve"> </w:t>
      </w:r>
      <w:r>
        <w:t>for</w:t>
      </w:r>
      <w:r>
        <w:rPr>
          <w:spacing w:val="-7"/>
        </w:rPr>
        <w:t xml:space="preserve"> </w:t>
      </w:r>
      <w:r>
        <w:t>considering</w:t>
      </w:r>
      <w:r>
        <w:rPr>
          <w:spacing w:val="-6"/>
        </w:rPr>
        <w:t xml:space="preserve"> </w:t>
      </w:r>
      <w:r>
        <w:t>and</w:t>
      </w:r>
      <w:r>
        <w:rPr>
          <w:spacing w:val="-6"/>
        </w:rPr>
        <w:t xml:space="preserve"> </w:t>
      </w:r>
      <w:r>
        <w:t>passing</w:t>
      </w:r>
      <w:r>
        <w:rPr>
          <w:spacing w:val="-6"/>
        </w:rPr>
        <w:t xml:space="preserve"> </w:t>
      </w:r>
      <w:r>
        <w:t>laws,</w:t>
      </w:r>
      <w:r>
        <w:rPr>
          <w:spacing w:val="-6"/>
        </w:rPr>
        <w:t xml:space="preserve"> </w:t>
      </w:r>
      <w:r>
        <w:t>holding</w:t>
      </w:r>
      <w:r>
        <w:rPr>
          <w:spacing w:val="-6"/>
        </w:rPr>
        <w:t xml:space="preserve"> </w:t>
      </w:r>
      <w:r>
        <w:t>the</w:t>
      </w:r>
      <w:r>
        <w:rPr>
          <w:spacing w:val="-7"/>
        </w:rPr>
        <w:t xml:space="preserve"> </w:t>
      </w:r>
      <w:r>
        <w:t>Executive</w:t>
      </w:r>
      <w:r>
        <w:rPr>
          <w:spacing w:val="-7"/>
        </w:rPr>
        <w:t xml:space="preserve"> </w:t>
      </w:r>
      <w:r>
        <w:t>to</w:t>
      </w:r>
      <w:r>
        <w:rPr>
          <w:spacing w:val="-7"/>
        </w:rPr>
        <w:t xml:space="preserve"> </w:t>
      </w:r>
      <w:r>
        <w:t>account</w:t>
      </w:r>
      <w:r>
        <w:rPr>
          <w:spacing w:val="-6"/>
        </w:rPr>
        <w:t xml:space="preserve"> </w:t>
      </w:r>
      <w:r>
        <w:t>and</w:t>
      </w:r>
      <w:r>
        <w:rPr>
          <w:spacing w:val="-6"/>
        </w:rPr>
        <w:t xml:space="preserve"> </w:t>
      </w:r>
      <w:r>
        <w:t>representing</w:t>
      </w:r>
      <w:r>
        <w:rPr>
          <w:spacing w:val="-6"/>
        </w:rPr>
        <w:t xml:space="preserve"> </w:t>
      </w:r>
      <w:r>
        <w:t>the</w:t>
      </w:r>
      <w:r>
        <w:rPr>
          <w:spacing w:val="-7"/>
        </w:rPr>
        <w:t xml:space="preserve"> </w:t>
      </w:r>
      <w:r>
        <w:t>people of the</w:t>
      </w:r>
      <w:r>
        <w:rPr>
          <w:spacing w:val="-2"/>
        </w:rPr>
        <w:t xml:space="preserve"> </w:t>
      </w:r>
      <w:r>
        <w:rPr>
          <w:spacing w:val="-3"/>
        </w:rPr>
        <w:t>ACT.</w:t>
      </w:r>
    </w:p>
    <w:p w:rsidR="006C17CB" w:rsidRDefault="0030091C">
      <w:pPr>
        <w:spacing w:before="112" w:line="189" w:lineRule="auto"/>
        <w:ind w:left="153" w:right="1232"/>
      </w:pPr>
      <w:r>
        <w:t xml:space="preserve">These responsibilities are concisely expressed in section 6 of the </w:t>
      </w:r>
      <w:hyperlink r:id="rId23">
        <w:r>
          <w:rPr>
            <w:rFonts w:ascii="Calibri"/>
            <w:i/>
            <w:spacing w:val="-5"/>
          </w:rPr>
          <w:t xml:space="preserve">Legislative Assembly </w:t>
        </w:r>
        <w:r>
          <w:rPr>
            <w:rFonts w:ascii="Calibri"/>
            <w:i/>
            <w:spacing w:val="-4"/>
          </w:rPr>
          <w:t xml:space="preserve">(Office </w:t>
        </w:r>
        <w:r>
          <w:rPr>
            <w:rFonts w:ascii="Calibri"/>
            <w:i/>
            <w:spacing w:val="-3"/>
          </w:rPr>
          <w:t xml:space="preserve">of </w:t>
        </w:r>
        <w:r>
          <w:rPr>
            <w:rFonts w:ascii="Calibri"/>
            <w:i/>
            <w:spacing w:val="-4"/>
          </w:rPr>
          <w:t xml:space="preserve">the </w:t>
        </w:r>
        <w:r>
          <w:rPr>
            <w:rFonts w:ascii="Calibri"/>
            <w:i/>
            <w:spacing w:val="-5"/>
          </w:rPr>
          <w:t>Legislative</w:t>
        </w:r>
      </w:hyperlink>
      <w:r>
        <w:rPr>
          <w:rFonts w:ascii="Calibri"/>
          <w:i/>
          <w:spacing w:val="-5"/>
        </w:rPr>
        <w:t xml:space="preserve"> </w:t>
      </w:r>
      <w:hyperlink r:id="rId24">
        <w:r>
          <w:rPr>
            <w:rFonts w:ascii="Calibri"/>
            <w:i/>
            <w:spacing w:val="-6"/>
          </w:rPr>
          <w:t xml:space="preserve">Assembly) </w:t>
        </w:r>
        <w:r>
          <w:rPr>
            <w:rFonts w:ascii="Calibri"/>
            <w:i/>
            <w:spacing w:val="-3"/>
          </w:rPr>
          <w:t xml:space="preserve">Act </w:t>
        </w:r>
        <w:r>
          <w:rPr>
            <w:rFonts w:ascii="Calibri"/>
            <w:i/>
            <w:spacing w:val="-6"/>
          </w:rPr>
          <w:t xml:space="preserve">2012 </w:t>
        </w:r>
      </w:hyperlink>
      <w:r>
        <w:rPr>
          <w:spacing w:val="-3"/>
        </w:rPr>
        <w:t xml:space="preserve">(the </w:t>
      </w:r>
      <w:r>
        <w:t xml:space="preserve">Act), which establishes the function of the Office as being </w:t>
      </w:r>
      <w:r>
        <w:rPr>
          <w:spacing w:val="-4"/>
        </w:rPr>
        <w:t>to:</w:t>
      </w:r>
    </w:p>
    <w:p w:rsidR="006C17CB" w:rsidRDefault="0030091C">
      <w:pPr>
        <w:spacing w:before="176" w:line="211" w:lineRule="auto"/>
        <w:ind w:left="720" w:right="2844"/>
        <w:rPr>
          <w:rFonts w:ascii="Calibri" w:hAnsi="Calibri"/>
          <w:i/>
        </w:rPr>
      </w:pPr>
      <w:r>
        <w:rPr>
          <w:rFonts w:ascii="Calibri" w:hAnsi="Calibri"/>
          <w:i/>
        </w:rPr>
        <w:t>… provide impartial advice and support to the Legislative Assembly, its committees and members of the Assembly …</w:t>
      </w:r>
    </w:p>
    <w:p w:rsidR="006C17CB" w:rsidRDefault="0030091C">
      <w:pPr>
        <w:pStyle w:val="BodyText"/>
        <w:spacing w:before="165" w:line="189" w:lineRule="auto"/>
        <w:ind w:left="153" w:right="1213"/>
        <w:jc w:val="both"/>
      </w:pPr>
      <w:r>
        <w:t>The</w:t>
      </w:r>
      <w:r>
        <w:rPr>
          <w:spacing w:val="-5"/>
        </w:rPr>
        <w:t xml:space="preserve"> </w:t>
      </w:r>
      <w:r>
        <w:t>Office</w:t>
      </w:r>
      <w:r>
        <w:rPr>
          <w:spacing w:val="-5"/>
        </w:rPr>
        <w:t xml:space="preserve"> </w:t>
      </w:r>
      <w:r>
        <w:t>is</w:t>
      </w:r>
      <w:r>
        <w:rPr>
          <w:spacing w:val="-4"/>
        </w:rPr>
        <w:t xml:space="preserve"> </w:t>
      </w:r>
      <w:r>
        <w:t>established</w:t>
      </w:r>
      <w:r>
        <w:rPr>
          <w:spacing w:val="-5"/>
        </w:rPr>
        <w:t xml:space="preserve"> </w:t>
      </w:r>
      <w:r>
        <w:t>as</w:t>
      </w:r>
      <w:r>
        <w:rPr>
          <w:spacing w:val="-4"/>
        </w:rPr>
        <w:t xml:space="preserve"> </w:t>
      </w:r>
      <w:r>
        <w:t>an</w:t>
      </w:r>
      <w:r>
        <w:rPr>
          <w:spacing w:val="-5"/>
        </w:rPr>
        <w:t xml:space="preserve"> </w:t>
      </w:r>
      <w:r>
        <w:t>independent</w:t>
      </w:r>
      <w:r>
        <w:rPr>
          <w:spacing w:val="-4"/>
        </w:rPr>
        <w:t xml:space="preserve"> </w:t>
      </w:r>
      <w:r>
        <w:t>statutory</w:t>
      </w:r>
      <w:r>
        <w:rPr>
          <w:spacing w:val="-4"/>
        </w:rPr>
        <w:t xml:space="preserve"> </w:t>
      </w:r>
      <w:r>
        <w:t>agency</w:t>
      </w:r>
      <w:r>
        <w:rPr>
          <w:spacing w:val="-4"/>
        </w:rPr>
        <w:t xml:space="preserve"> </w:t>
      </w:r>
      <w:r>
        <w:t>under</w:t>
      </w:r>
      <w:r>
        <w:rPr>
          <w:spacing w:val="-4"/>
        </w:rPr>
        <w:t xml:space="preserve"> </w:t>
      </w:r>
      <w:r>
        <w:t>the</w:t>
      </w:r>
      <w:r>
        <w:rPr>
          <w:spacing w:val="-5"/>
        </w:rPr>
        <w:t xml:space="preserve"> </w:t>
      </w:r>
      <w:r>
        <w:t>Act.</w:t>
      </w:r>
      <w:r>
        <w:rPr>
          <w:spacing w:val="-4"/>
        </w:rPr>
        <w:t xml:space="preserve"> </w:t>
      </w:r>
      <w:r>
        <w:t>Section</w:t>
      </w:r>
      <w:r>
        <w:rPr>
          <w:spacing w:val="-4"/>
        </w:rPr>
        <w:t xml:space="preserve"> </w:t>
      </w:r>
      <w:r>
        <w:t>6</w:t>
      </w:r>
      <w:r>
        <w:rPr>
          <w:spacing w:val="-4"/>
        </w:rPr>
        <w:t xml:space="preserve"> </w:t>
      </w:r>
      <w:r>
        <w:t>states</w:t>
      </w:r>
      <w:r>
        <w:rPr>
          <w:spacing w:val="-4"/>
        </w:rPr>
        <w:t xml:space="preserve"> </w:t>
      </w:r>
      <w:r>
        <w:t>that</w:t>
      </w:r>
      <w:r>
        <w:rPr>
          <w:spacing w:val="-4"/>
        </w:rPr>
        <w:t xml:space="preserve"> </w:t>
      </w:r>
      <w:r>
        <w:t>the</w:t>
      </w:r>
      <w:r>
        <w:rPr>
          <w:spacing w:val="-5"/>
        </w:rPr>
        <w:t xml:space="preserve"> </w:t>
      </w:r>
      <w:r>
        <w:t>Office’s function</w:t>
      </w:r>
      <w:r>
        <w:rPr>
          <w:spacing w:val="-5"/>
        </w:rPr>
        <w:t xml:space="preserve"> </w:t>
      </w:r>
      <w:r>
        <w:t>is</w:t>
      </w:r>
      <w:r>
        <w:rPr>
          <w:spacing w:val="-5"/>
        </w:rPr>
        <w:t xml:space="preserve"> </w:t>
      </w:r>
      <w:r>
        <w:t>to</w:t>
      </w:r>
      <w:r>
        <w:rPr>
          <w:spacing w:val="-6"/>
        </w:rPr>
        <w:t xml:space="preserve"> </w:t>
      </w:r>
      <w:r>
        <w:t>provide</w:t>
      </w:r>
      <w:r>
        <w:rPr>
          <w:spacing w:val="-6"/>
        </w:rPr>
        <w:t xml:space="preserve"> </w:t>
      </w:r>
      <w:r>
        <w:t>impartial</w:t>
      </w:r>
      <w:r>
        <w:rPr>
          <w:spacing w:val="-5"/>
        </w:rPr>
        <w:t xml:space="preserve"> </w:t>
      </w:r>
      <w:r>
        <w:t>advice</w:t>
      </w:r>
      <w:r>
        <w:rPr>
          <w:spacing w:val="-6"/>
        </w:rPr>
        <w:t xml:space="preserve"> </w:t>
      </w:r>
      <w:r>
        <w:t>and</w:t>
      </w:r>
      <w:r>
        <w:rPr>
          <w:spacing w:val="-5"/>
        </w:rPr>
        <w:t xml:space="preserve"> </w:t>
      </w:r>
      <w:r>
        <w:t>support</w:t>
      </w:r>
      <w:r>
        <w:rPr>
          <w:spacing w:val="-5"/>
        </w:rPr>
        <w:t xml:space="preserve"> </w:t>
      </w:r>
      <w:r>
        <w:t>to</w:t>
      </w:r>
      <w:r>
        <w:rPr>
          <w:spacing w:val="-6"/>
        </w:rPr>
        <w:t xml:space="preserve"> </w:t>
      </w:r>
      <w:r>
        <w:t>the</w:t>
      </w:r>
      <w:r>
        <w:rPr>
          <w:spacing w:val="-6"/>
        </w:rPr>
        <w:t xml:space="preserve"> </w:t>
      </w:r>
      <w:r>
        <w:t>Legislative</w:t>
      </w:r>
      <w:r>
        <w:rPr>
          <w:spacing w:val="-6"/>
        </w:rPr>
        <w:t xml:space="preserve"> </w:t>
      </w:r>
      <w:r>
        <w:t>Assembly,</w:t>
      </w:r>
      <w:r>
        <w:rPr>
          <w:spacing w:val="-5"/>
        </w:rPr>
        <w:t xml:space="preserve"> </w:t>
      </w:r>
      <w:r>
        <w:t>its</w:t>
      </w:r>
      <w:r>
        <w:rPr>
          <w:spacing w:val="-5"/>
        </w:rPr>
        <w:t xml:space="preserve"> </w:t>
      </w:r>
      <w:r>
        <w:t>committees</w:t>
      </w:r>
      <w:r>
        <w:rPr>
          <w:spacing w:val="-5"/>
        </w:rPr>
        <w:t xml:space="preserve"> </w:t>
      </w:r>
      <w:r>
        <w:t>and</w:t>
      </w:r>
      <w:r>
        <w:rPr>
          <w:spacing w:val="-5"/>
        </w:rPr>
        <w:t xml:space="preserve"> </w:t>
      </w:r>
      <w:r>
        <w:t>members of the Assembly, including</w:t>
      </w:r>
      <w:r>
        <w:rPr>
          <w:spacing w:val="-2"/>
        </w:rPr>
        <w:t xml:space="preserve"> </w:t>
      </w:r>
      <w:r>
        <w:t>by:</w:t>
      </w:r>
    </w:p>
    <w:p w:rsidR="006C17CB" w:rsidRDefault="0030091C">
      <w:pPr>
        <w:pStyle w:val="ListParagraph"/>
        <w:numPr>
          <w:ilvl w:val="0"/>
          <w:numId w:val="22"/>
        </w:numPr>
        <w:tabs>
          <w:tab w:val="left" w:pos="381"/>
        </w:tabs>
        <w:spacing w:before="112" w:line="189" w:lineRule="auto"/>
        <w:ind w:right="1982"/>
      </w:pPr>
      <w:r>
        <w:t>providing</w:t>
      </w:r>
      <w:r>
        <w:rPr>
          <w:spacing w:val="-4"/>
        </w:rPr>
        <w:t xml:space="preserve"> </w:t>
      </w:r>
      <w:r>
        <w:t>advice</w:t>
      </w:r>
      <w:r>
        <w:rPr>
          <w:spacing w:val="-5"/>
        </w:rPr>
        <w:t xml:space="preserve"> </w:t>
      </w:r>
      <w:r>
        <w:t>on</w:t>
      </w:r>
      <w:r>
        <w:rPr>
          <w:spacing w:val="-4"/>
        </w:rPr>
        <w:t xml:space="preserve"> </w:t>
      </w:r>
      <w:r>
        <w:t>parliamentary</w:t>
      </w:r>
      <w:r>
        <w:rPr>
          <w:spacing w:val="-4"/>
        </w:rPr>
        <w:t xml:space="preserve"> </w:t>
      </w:r>
      <w:r>
        <w:t>practice</w:t>
      </w:r>
      <w:r>
        <w:rPr>
          <w:spacing w:val="-4"/>
        </w:rPr>
        <w:t xml:space="preserve"> </w:t>
      </w:r>
      <w:r>
        <w:t>and</w:t>
      </w:r>
      <w:r>
        <w:rPr>
          <w:spacing w:val="-4"/>
        </w:rPr>
        <w:t xml:space="preserve"> </w:t>
      </w:r>
      <w:r>
        <w:t>procedure</w:t>
      </w:r>
      <w:r>
        <w:rPr>
          <w:spacing w:val="-5"/>
        </w:rPr>
        <w:t xml:space="preserve"> </w:t>
      </w:r>
      <w:r>
        <w:t>and</w:t>
      </w:r>
      <w:r>
        <w:rPr>
          <w:spacing w:val="-4"/>
        </w:rPr>
        <w:t xml:space="preserve"> </w:t>
      </w:r>
      <w:r>
        <w:t>the</w:t>
      </w:r>
      <w:r>
        <w:rPr>
          <w:spacing w:val="-5"/>
        </w:rPr>
        <w:t xml:space="preserve"> </w:t>
      </w:r>
      <w:r>
        <w:t>functions</w:t>
      </w:r>
      <w:r>
        <w:rPr>
          <w:spacing w:val="-4"/>
        </w:rPr>
        <w:t xml:space="preserve"> </w:t>
      </w:r>
      <w:r>
        <w:t>of</w:t>
      </w:r>
      <w:r>
        <w:rPr>
          <w:spacing w:val="-4"/>
        </w:rPr>
        <w:t xml:space="preserve"> </w:t>
      </w:r>
      <w:r>
        <w:t>the</w:t>
      </w:r>
      <w:r>
        <w:rPr>
          <w:spacing w:val="-5"/>
        </w:rPr>
        <w:t xml:space="preserve"> </w:t>
      </w:r>
      <w:r>
        <w:t>Assembly</w:t>
      </w:r>
      <w:r>
        <w:rPr>
          <w:spacing w:val="-4"/>
        </w:rPr>
        <w:t xml:space="preserve"> </w:t>
      </w:r>
      <w:r>
        <w:t>and committees;</w:t>
      </w:r>
    </w:p>
    <w:p w:rsidR="006C17CB" w:rsidRDefault="0030091C">
      <w:pPr>
        <w:pStyle w:val="ListParagraph"/>
        <w:numPr>
          <w:ilvl w:val="0"/>
          <w:numId w:val="22"/>
        </w:numPr>
        <w:tabs>
          <w:tab w:val="left" w:pos="381"/>
        </w:tabs>
        <w:spacing w:line="296" w:lineRule="exact"/>
      </w:pPr>
      <w:r>
        <w:t>reporting proceedings of the Assembly and meetings of</w:t>
      </w:r>
      <w:r>
        <w:rPr>
          <w:spacing w:val="-5"/>
        </w:rPr>
        <w:t xml:space="preserve"> </w:t>
      </w:r>
      <w:r>
        <w:t>committees;</w:t>
      </w:r>
    </w:p>
    <w:p w:rsidR="006C17CB" w:rsidRDefault="0030091C">
      <w:pPr>
        <w:pStyle w:val="ListParagraph"/>
        <w:numPr>
          <w:ilvl w:val="0"/>
          <w:numId w:val="22"/>
        </w:numPr>
        <w:tabs>
          <w:tab w:val="left" w:pos="381"/>
        </w:tabs>
      </w:pPr>
      <w:r>
        <w:t>maintaining an official record of proceedings of the</w:t>
      </w:r>
      <w:r>
        <w:rPr>
          <w:spacing w:val="-6"/>
        </w:rPr>
        <w:t xml:space="preserve"> </w:t>
      </w:r>
      <w:r>
        <w:t>Assembly;</w:t>
      </w:r>
    </w:p>
    <w:p w:rsidR="006C17CB" w:rsidRDefault="0030091C">
      <w:pPr>
        <w:pStyle w:val="ListParagraph"/>
        <w:numPr>
          <w:ilvl w:val="0"/>
          <w:numId w:val="22"/>
        </w:numPr>
        <w:tabs>
          <w:tab w:val="left" w:pos="381"/>
        </w:tabs>
      </w:pPr>
      <w:r>
        <w:t>providing library and information facilities and services for</w:t>
      </w:r>
      <w:r>
        <w:rPr>
          <w:spacing w:val="-5"/>
        </w:rPr>
        <w:t xml:space="preserve"> </w:t>
      </w:r>
      <w:r>
        <w:t>members;</w:t>
      </w:r>
    </w:p>
    <w:p w:rsidR="006C17CB" w:rsidRDefault="0030091C">
      <w:pPr>
        <w:pStyle w:val="ListParagraph"/>
        <w:numPr>
          <w:ilvl w:val="0"/>
          <w:numId w:val="22"/>
        </w:numPr>
        <w:tabs>
          <w:tab w:val="left" w:pos="381"/>
        </w:tabs>
      </w:pPr>
      <w:r>
        <w:t>providing staff to enable the Assembly and committees to operate</w:t>
      </w:r>
      <w:r>
        <w:rPr>
          <w:spacing w:val="-14"/>
        </w:rPr>
        <w:t xml:space="preserve"> </w:t>
      </w:r>
      <w:r>
        <w:t>efficiently;</w:t>
      </w:r>
    </w:p>
    <w:p w:rsidR="006C17CB" w:rsidRDefault="0030091C">
      <w:pPr>
        <w:pStyle w:val="ListParagraph"/>
        <w:numPr>
          <w:ilvl w:val="0"/>
          <w:numId w:val="22"/>
        </w:numPr>
        <w:tabs>
          <w:tab w:val="left" w:pos="381"/>
        </w:tabs>
        <w:spacing w:before="43" w:line="189" w:lineRule="auto"/>
        <w:ind w:right="1401"/>
      </w:pPr>
      <w:r>
        <w:t>providing</w:t>
      </w:r>
      <w:r>
        <w:rPr>
          <w:spacing w:val="-6"/>
        </w:rPr>
        <w:t xml:space="preserve"> </w:t>
      </w:r>
      <w:r>
        <w:t>business</w:t>
      </w:r>
      <w:r>
        <w:rPr>
          <w:spacing w:val="-6"/>
        </w:rPr>
        <w:t xml:space="preserve"> </w:t>
      </w:r>
      <w:r>
        <w:t>support</w:t>
      </w:r>
      <w:r>
        <w:rPr>
          <w:spacing w:val="-6"/>
        </w:rPr>
        <w:t xml:space="preserve"> </w:t>
      </w:r>
      <w:r>
        <w:t>functions,</w:t>
      </w:r>
      <w:r>
        <w:rPr>
          <w:spacing w:val="-6"/>
        </w:rPr>
        <w:t xml:space="preserve"> </w:t>
      </w:r>
      <w:r>
        <w:t>including</w:t>
      </w:r>
      <w:r>
        <w:rPr>
          <w:spacing w:val="-6"/>
        </w:rPr>
        <w:t xml:space="preserve"> </w:t>
      </w:r>
      <w:r>
        <w:t>administering</w:t>
      </w:r>
      <w:r>
        <w:rPr>
          <w:spacing w:val="-6"/>
        </w:rPr>
        <w:t xml:space="preserve"> </w:t>
      </w:r>
      <w:r>
        <w:t>the</w:t>
      </w:r>
      <w:r>
        <w:rPr>
          <w:spacing w:val="-7"/>
        </w:rPr>
        <w:t xml:space="preserve"> </w:t>
      </w:r>
      <w:r>
        <w:t>entitlements</w:t>
      </w:r>
      <w:r>
        <w:rPr>
          <w:spacing w:val="-6"/>
        </w:rPr>
        <w:t xml:space="preserve"> </w:t>
      </w:r>
      <w:r>
        <w:t>of</w:t>
      </w:r>
      <w:r>
        <w:rPr>
          <w:spacing w:val="-6"/>
        </w:rPr>
        <w:t xml:space="preserve"> </w:t>
      </w:r>
      <w:r>
        <w:t>members</w:t>
      </w:r>
      <w:r>
        <w:rPr>
          <w:spacing w:val="-6"/>
        </w:rPr>
        <w:t xml:space="preserve"> </w:t>
      </w:r>
      <w:r>
        <w:t>who</w:t>
      </w:r>
      <w:r>
        <w:rPr>
          <w:spacing w:val="-7"/>
        </w:rPr>
        <w:t xml:space="preserve"> </w:t>
      </w:r>
      <w:r>
        <w:t>are</w:t>
      </w:r>
      <w:r>
        <w:rPr>
          <w:spacing w:val="-7"/>
        </w:rPr>
        <w:t xml:space="preserve"> </w:t>
      </w:r>
      <w:r>
        <w:t>not part of the</w:t>
      </w:r>
      <w:r>
        <w:rPr>
          <w:spacing w:val="-2"/>
        </w:rPr>
        <w:t xml:space="preserve"> </w:t>
      </w:r>
      <w:r>
        <w:t>Executive;</w:t>
      </w:r>
    </w:p>
    <w:p w:rsidR="006C17CB" w:rsidRDefault="0030091C">
      <w:pPr>
        <w:pStyle w:val="ListParagraph"/>
        <w:numPr>
          <w:ilvl w:val="0"/>
          <w:numId w:val="22"/>
        </w:numPr>
        <w:tabs>
          <w:tab w:val="left" w:pos="381"/>
        </w:tabs>
        <w:spacing w:line="296" w:lineRule="exact"/>
      </w:pPr>
      <w:r>
        <w:t>maintaining the Assembly precincts (including, through the Precincts Act, providing security services);</w:t>
      </w:r>
      <w:r>
        <w:rPr>
          <w:spacing w:val="-23"/>
        </w:rPr>
        <w:t xml:space="preserve"> </w:t>
      </w:r>
      <w:r>
        <w:t>and</w:t>
      </w:r>
    </w:p>
    <w:p w:rsidR="006C17CB" w:rsidRDefault="0030091C">
      <w:pPr>
        <w:pStyle w:val="ListParagraph"/>
        <w:numPr>
          <w:ilvl w:val="0"/>
          <w:numId w:val="22"/>
        </w:numPr>
        <w:tabs>
          <w:tab w:val="left" w:pos="381"/>
        </w:tabs>
        <w:spacing w:line="306" w:lineRule="exact"/>
      </w:pPr>
      <w:r>
        <w:t>providing public education about the function of the Assembly and</w:t>
      </w:r>
      <w:r>
        <w:rPr>
          <w:spacing w:val="-9"/>
        </w:rPr>
        <w:t xml:space="preserve"> </w:t>
      </w:r>
      <w:r>
        <w:t>committees.</w:t>
      </w:r>
    </w:p>
    <w:p w:rsidR="006C17CB" w:rsidRDefault="0030091C">
      <w:pPr>
        <w:spacing w:before="186" w:line="189" w:lineRule="auto"/>
        <w:ind w:left="153" w:right="1412"/>
      </w:pPr>
      <w:r>
        <w:t xml:space="preserve">The Office has functions under other legislation, including the </w:t>
      </w:r>
      <w:hyperlink r:id="rId25">
        <w:r>
          <w:rPr>
            <w:rFonts w:ascii="Calibri" w:hAnsi="Calibri"/>
            <w:i/>
            <w:spacing w:val="-5"/>
          </w:rPr>
          <w:t xml:space="preserve">Legislative Assembly (Broadcasting) </w:t>
        </w:r>
        <w:r>
          <w:rPr>
            <w:rFonts w:ascii="Calibri" w:hAnsi="Calibri"/>
            <w:i/>
            <w:spacing w:val="-3"/>
          </w:rPr>
          <w:t xml:space="preserve">Act </w:t>
        </w:r>
        <w:r>
          <w:rPr>
            <w:rFonts w:ascii="Calibri" w:hAnsi="Calibri"/>
            <w:i/>
            <w:spacing w:val="-4"/>
          </w:rPr>
          <w:t>2001</w:t>
        </w:r>
      </w:hyperlink>
      <w:r>
        <w:rPr>
          <w:rFonts w:ascii="Calibri" w:hAnsi="Calibri"/>
          <w:i/>
          <w:spacing w:val="-4"/>
        </w:rPr>
        <w:t xml:space="preserve"> </w:t>
      </w:r>
      <w:r>
        <w:t xml:space="preserve">and the </w:t>
      </w:r>
      <w:hyperlink r:id="rId26">
        <w:r>
          <w:rPr>
            <w:rFonts w:ascii="Calibri" w:hAnsi="Calibri"/>
            <w:i/>
            <w:spacing w:val="-5"/>
          </w:rPr>
          <w:t xml:space="preserve">Legislative Assembly Precincts </w:t>
        </w:r>
        <w:r>
          <w:rPr>
            <w:rFonts w:ascii="Calibri" w:hAnsi="Calibri"/>
            <w:i/>
            <w:spacing w:val="-3"/>
          </w:rPr>
          <w:t xml:space="preserve">Act </w:t>
        </w:r>
        <w:r>
          <w:rPr>
            <w:rFonts w:ascii="Calibri" w:hAnsi="Calibri"/>
            <w:i/>
            <w:spacing w:val="-5"/>
          </w:rPr>
          <w:t>2001</w:t>
        </w:r>
      </w:hyperlink>
      <w:r>
        <w:rPr>
          <w:spacing w:val="-5"/>
        </w:rPr>
        <w:t xml:space="preserve">. </w:t>
      </w:r>
      <w:r>
        <w:t>The Clerk and staff of the Office also perform a wide range of core parliamentary roles arising from the Assembly’s standing orders and continuing resolutions and parliamentary practice and procedure.</w:t>
      </w:r>
    </w:p>
    <w:p w:rsidR="006C17CB" w:rsidRDefault="006C17CB">
      <w:pPr>
        <w:pStyle w:val="BodyText"/>
        <w:spacing w:before="12"/>
        <w:rPr>
          <w:sz w:val="20"/>
        </w:rPr>
      </w:pPr>
    </w:p>
    <w:p w:rsidR="006C17CB" w:rsidRDefault="0030091C">
      <w:pPr>
        <w:pStyle w:val="Heading5"/>
        <w:rPr>
          <w:rFonts w:ascii="Montserrat"/>
        </w:rPr>
      </w:pPr>
      <w:r>
        <w:rPr>
          <w:rFonts w:ascii="Montserrat"/>
          <w:color w:val="556EAA"/>
        </w:rPr>
        <w:t>Accountability</w:t>
      </w:r>
    </w:p>
    <w:p w:rsidR="006C17CB" w:rsidRDefault="0030091C">
      <w:pPr>
        <w:pStyle w:val="BodyText"/>
        <w:spacing w:before="90" w:line="189" w:lineRule="auto"/>
        <w:ind w:left="153" w:right="1177"/>
      </w:pPr>
      <w:r>
        <w:t>All staff within the Office are accountable to the Clerk. The Office is accountable for its performance not to the executive but to the Assembly as a whole, through the Speaker.</w:t>
      </w:r>
    </w:p>
    <w:p w:rsidR="006C17CB" w:rsidRDefault="006C17CB">
      <w:pPr>
        <w:pStyle w:val="BodyText"/>
        <w:spacing w:before="13"/>
        <w:rPr>
          <w:sz w:val="20"/>
        </w:rPr>
      </w:pPr>
    </w:p>
    <w:p w:rsidR="006C17CB" w:rsidRDefault="0030091C">
      <w:pPr>
        <w:pStyle w:val="Heading5"/>
        <w:rPr>
          <w:rFonts w:ascii="Montserrat" w:hAnsi="Montserrat"/>
        </w:rPr>
      </w:pPr>
      <w:r>
        <w:rPr>
          <w:rFonts w:ascii="Montserrat" w:hAnsi="Montserrat"/>
          <w:color w:val="556EAA"/>
        </w:rPr>
        <w:t>The Office’s approach</w:t>
      </w:r>
    </w:p>
    <w:p w:rsidR="006C17CB" w:rsidRDefault="0030091C">
      <w:pPr>
        <w:pStyle w:val="BodyText"/>
        <w:spacing w:before="89" w:line="189" w:lineRule="auto"/>
        <w:ind w:left="153" w:right="1114"/>
      </w:pPr>
      <w:r>
        <w:t>During the reporting period, the Office finalised its strategic plan for 2018-2021. The new plan sets out the Office’s values, the factors that are likely to impact on its performance, its objectives and the strategies it will adopt to achieve its objectives.</w:t>
      </w:r>
    </w:p>
    <w:p w:rsidR="006C17CB" w:rsidRDefault="006C17CB">
      <w:pPr>
        <w:spacing w:line="189" w:lineRule="auto"/>
        <w:sectPr w:rsidR="006C17CB">
          <w:footerReference w:type="even" r:id="rId27"/>
          <w:footerReference w:type="default" r:id="rId28"/>
          <w:pgSz w:w="11910" w:h="16840"/>
          <w:pgMar w:top="1040" w:right="0" w:bottom="640" w:left="980" w:header="0" w:footer="443" w:gutter="0"/>
          <w:pgNumType w:start="12"/>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7"/>
        <w:rPr>
          <w:sz w:val="15"/>
        </w:rPr>
      </w:pPr>
    </w:p>
    <w:p w:rsidR="006C17CB" w:rsidRDefault="0030091C">
      <w:pPr>
        <w:pStyle w:val="Heading5"/>
        <w:spacing w:before="153"/>
        <w:rPr>
          <w:rFonts w:ascii="Montserrat" w:hAnsi="Montserrat"/>
        </w:rPr>
      </w:pPr>
      <w:bookmarkStart w:id="32" w:name="The_Office’s_objectives"/>
      <w:bookmarkStart w:id="33" w:name="Values"/>
      <w:bookmarkStart w:id="34" w:name="_bookmark7"/>
      <w:bookmarkEnd w:id="32"/>
      <w:bookmarkEnd w:id="33"/>
      <w:bookmarkEnd w:id="34"/>
      <w:r>
        <w:rPr>
          <w:rFonts w:ascii="Montserrat" w:hAnsi="Montserrat"/>
          <w:color w:val="556EAA"/>
        </w:rPr>
        <w:t>The Office’s objectives</w:t>
      </w:r>
    </w:p>
    <w:p w:rsidR="006C17CB" w:rsidRDefault="0030091C">
      <w:pPr>
        <w:pStyle w:val="BodyText"/>
        <w:spacing w:before="35"/>
        <w:ind w:left="153"/>
      </w:pPr>
      <w:r>
        <w:t>The Office’s objectives are to:</w:t>
      </w:r>
    </w:p>
    <w:p w:rsidR="006C17CB" w:rsidRDefault="0030091C">
      <w:pPr>
        <w:pStyle w:val="ListParagraph"/>
        <w:numPr>
          <w:ilvl w:val="0"/>
          <w:numId w:val="22"/>
        </w:numPr>
        <w:tabs>
          <w:tab w:val="left" w:pos="381"/>
        </w:tabs>
        <w:spacing w:before="101" w:line="189" w:lineRule="auto"/>
        <w:ind w:right="1341"/>
      </w:pPr>
      <w:r>
        <w:rPr>
          <w:rFonts w:ascii="Calibri" w:hAnsi="Calibri"/>
          <w:b/>
        </w:rPr>
        <w:t>Support the Assembly as a democratic institution</w:t>
      </w:r>
      <w:r>
        <w:t>—the Office will work to facilitate and strengthen the legislative, accountability and representative functions of the Assembly and its committees, including enhancing understanding and awareness of the work of the Assembly and promoting opportunities to become</w:t>
      </w:r>
      <w:r>
        <w:rPr>
          <w:spacing w:val="-2"/>
        </w:rPr>
        <w:t xml:space="preserve"> </w:t>
      </w:r>
      <w:r>
        <w:t>involved.</w:t>
      </w:r>
    </w:p>
    <w:p w:rsidR="006C17CB" w:rsidRDefault="0030091C">
      <w:pPr>
        <w:pStyle w:val="ListParagraph"/>
        <w:numPr>
          <w:ilvl w:val="0"/>
          <w:numId w:val="22"/>
        </w:numPr>
        <w:tabs>
          <w:tab w:val="left" w:pos="381"/>
        </w:tabs>
        <w:spacing w:before="43" w:line="189" w:lineRule="auto"/>
        <w:ind w:right="1361"/>
      </w:pPr>
      <w:r>
        <w:rPr>
          <w:rFonts w:ascii="Calibri" w:hAnsi="Calibri"/>
          <w:b/>
        </w:rPr>
        <w:t>Support and advise members of the Legislative Assembly</w:t>
      </w:r>
      <w:r>
        <w:t>—the Office will provide high-quality and timely</w:t>
      </w:r>
      <w:r>
        <w:rPr>
          <w:spacing w:val="-5"/>
        </w:rPr>
        <w:t xml:space="preserve"> </w:t>
      </w:r>
      <w:r>
        <w:t>advisory</w:t>
      </w:r>
      <w:r>
        <w:rPr>
          <w:spacing w:val="-5"/>
        </w:rPr>
        <w:t xml:space="preserve"> </w:t>
      </w:r>
      <w:r>
        <w:t>and</w:t>
      </w:r>
      <w:r>
        <w:rPr>
          <w:spacing w:val="-5"/>
        </w:rPr>
        <w:t xml:space="preserve"> </w:t>
      </w:r>
      <w:r>
        <w:t>administrative</w:t>
      </w:r>
      <w:r>
        <w:rPr>
          <w:spacing w:val="-6"/>
        </w:rPr>
        <w:t xml:space="preserve"> </w:t>
      </w:r>
      <w:r>
        <w:t>services,</w:t>
      </w:r>
      <w:r>
        <w:rPr>
          <w:spacing w:val="-5"/>
        </w:rPr>
        <w:t xml:space="preserve"> </w:t>
      </w:r>
      <w:r>
        <w:t>enabling</w:t>
      </w:r>
      <w:r>
        <w:rPr>
          <w:spacing w:val="-5"/>
        </w:rPr>
        <w:t xml:space="preserve"> </w:t>
      </w:r>
      <w:r>
        <w:t>members</w:t>
      </w:r>
      <w:r>
        <w:rPr>
          <w:spacing w:val="-5"/>
        </w:rPr>
        <w:t xml:space="preserve"> </w:t>
      </w:r>
      <w:r>
        <w:t>of</w:t>
      </w:r>
      <w:r>
        <w:rPr>
          <w:spacing w:val="-5"/>
        </w:rPr>
        <w:t xml:space="preserve"> </w:t>
      </w:r>
      <w:r>
        <w:t>the</w:t>
      </w:r>
      <w:r>
        <w:rPr>
          <w:spacing w:val="-6"/>
        </w:rPr>
        <w:t xml:space="preserve"> </w:t>
      </w:r>
      <w:r>
        <w:t>Legislative</w:t>
      </w:r>
      <w:r>
        <w:rPr>
          <w:spacing w:val="-6"/>
        </w:rPr>
        <w:t xml:space="preserve"> </w:t>
      </w:r>
      <w:r>
        <w:t>Assembly</w:t>
      </w:r>
      <w:r>
        <w:rPr>
          <w:spacing w:val="-5"/>
        </w:rPr>
        <w:t xml:space="preserve"> </w:t>
      </w:r>
      <w:r>
        <w:t>to</w:t>
      </w:r>
      <w:r>
        <w:rPr>
          <w:spacing w:val="-6"/>
        </w:rPr>
        <w:t xml:space="preserve"> </w:t>
      </w:r>
      <w:r>
        <w:t>participate effectively in the work of the Assembly and its committees and to undertake their constituency related roles.</w:t>
      </w:r>
    </w:p>
    <w:p w:rsidR="006C17CB" w:rsidRDefault="0030091C">
      <w:pPr>
        <w:pStyle w:val="ListParagraph"/>
        <w:numPr>
          <w:ilvl w:val="0"/>
          <w:numId w:val="22"/>
        </w:numPr>
        <w:tabs>
          <w:tab w:val="left" w:pos="381"/>
        </w:tabs>
        <w:spacing w:before="43" w:line="189" w:lineRule="auto"/>
        <w:ind w:right="1254"/>
      </w:pPr>
      <w:r>
        <w:rPr>
          <w:rFonts w:ascii="Calibri" w:hAnsi="Calibri"/>
          <w:b/>
        </w:rPr>
        <w:t>Maintain and build internal organisational capabilities</w:t>
      </w:r>
      <w:r>
        <w:t>—through effective decision-making, internal communication</w:t>
      </w:r>
      <w:r>
        <w:rPr>
          <w:spacing w:val="-8"/>
        </w:rPr>
        <w:t xml:space="preserve"> </w:t>
      </w:r>
      <w:r>
        <w:t>and</w:t>
      </w:r>
      <w:r>
        <w:rPr>
          <w:spacing w:val="-8"/>
        </w:rPr>
        <w:t xml:space="preserve"> </w:t>
      </w:r>
      <w:r>
        <w:t>information</w:t>
      </w:r>
      <w:r>
        <w:rPr>
          <w:spacing w:val="-8"/>
        </w:rPr>
        <w:t xml:space="preserve"> </w:t>
      </w:r>
      <w:r>
        <w:t>sharing,</w:t>
      </w:r>
      <w:r>
        <w:rPr>
          <w:spacing w:val="-8"/>
        </w:rPr>
        <w:t xml:space="preserve"> </w:t>
      </w:r>
      <w:r>
        <w:t>and</w:t>
      </w:r>
      <w:r>
        <w:rPr>
          <w:spacing w:val="-8"/>
        </w:rPr>
        <w:t xml:space="preserve"> </w:t>
      </w:r>
      <w:r>
        <w:t>staff</w:t>
      </w:r>
      <w:r>
        <w:rPr>
          <w:spacing w:val="-8"/>
        </w:rPr>
        <w:t xml:space="preserve"> </w:t>
      </w:r>
      <w:r>
        <w:t>engagement</w:t>
      </w:r>
      <w:r>
        <w:rPr>
          <w:spacing w:val="-8"/>
        </w:rPr>
        <w:t xml:space="preserve"> </w:t>
      </w:r>
      <w:r>
        <w:t>and</w:t>
      </w:r>
      <w:r>
        <w:rPr>
          <w:spacing w:val="-8"/>
        </w:rPr>
        <w:t xml:space="preserve"> </w:t>
      </w:r>
      <w:r>
        <w:t>resource</w:t>
      </w:r>
      <w:r>
        <w:rPr>
          <w:spacing w:val="-9"/>
        </w:rPr>
        <w:t xml:space="preserve"> </w:t>
      </w:r>
      <w:r>
        <w:t>management,</w:t>
      </w:r>
      <w:r>
        <w:rPr>
          <w:spacing w:val="-8"/>
        </w:rPr>
        <w:t xml:space="preserve"> </w:t>
      </w:r>
      <w:r>
        <w:t>the</w:t>
      </w:r>
      <w:r>
        <w:rPr>
          <w:spacing w:val="-9"/>
        </w:rPr>
        <w:t xml:space="preserve"> </w:t>
      </w:r>
      <w:r>
        <w:t>Office</w:t>
      </w:r>
      <w:r>
        <w:rPr>
          <w:spacing w:val="-9"/>
        </w:rPr>
        <w:t xml:space="preserve"> </w:t>
      </w:r>
      <w:r>
        <w:t>will achieve high levels of performance (delivering high-quality, timely and cost-efficient support and advice) and compliance (operating in conformity with legislation, policies and parliamentary</w:t>
      </w:r>
      <w:r>
        <w:rPr>
          <w:spacing w:val="-19"/>
        </w:rPr>
        <w:t xml:space="preserve"> </w:t>
      </w:r>
      <w:r>
        <w:rPr>
          <w:spacing w:val="-4"/>
        </w:rPr>
        <w:t>law).</w:t>
      </w:r>
    </w:p>
    <w:p w:rsidR="006C17CB" w:rsidRDefault="006C17CB">
      <w:pPr>
        <w:pStyle w:val="BodyText"/>
        <w:spacing w:before="11"/>
        <w:rPr>
          <w:sz w:val="26"/>
        </w:rPr>
      </w:pPr>
    </w:p>
    <w:p w:rsidR="006C17CB" w:rsidRDefault="0030091C">
      <w:pPr>
        <w:pStyle w:val="Heading5"/>
        <w:spacing w:before="1"/>
        <w:rPr>
          <w:rFonts w:ascii="Montserrat"/>
        </w:rPr>
      </w:pPr>
      <w:r>
        <w:rPr>
          <w:rFonts w:ascii="Montserrat"/>
          <w:color w:val="556EAA"/>
        </w:rPr>
        <w:t>Values</w:t>
      </w:r>
    </w:p>
    <w:p w:rsidR="006C17CB" w:rsidRDefault="0030091C">
      <w:pPr>
        <w:spacing w:before="202"/>
        <w:ind w:left="153"/>
        <w:rPr>
          <w:rFonts w:ascii="Montserrat-SemiBoldItalic"/>
          <w:b/>
          <w:i/>
          <w:sz w:val="20"/>
        </w:rPr>
      </w:pPr>
      <w:r>
        <w:rPr>
          <w:rFonts w:ascii="Montserrat-SemiBoldItalic"/>
          <w:b/>
          <w:i/>
          <w:sz w:val="20"/>
        </w:rPr>
        <w:t>Professionalism</w:t>
      </w:r>
    </w:p>
    <w:p w:rsidR="006C17CB" w:rsidRDefault="0030091C">
      <w:pPr>
        <w:pStyle w:val="ListParagraph"/>
        <w:numPr>
          <w:ilvl w:val="0"/>
          <w:numId w:val="22"/>
        </w:numPr>
        <w:tabs>
          <w:tab w:val="left" w:pos="381"/>
        </w:tabs>
        <w:spacing w:before="167" w:line="189" w:lineRule="auto"/>
        <w:ind w:right="1392"/>
      </w:pPr>
      <w:r>
        <w:t>The</w:t>
      </w:r>
      <w:r>
        <w:rPr>
          <w:spacing w:val="-8"/>
        </w:rPr>
        <w:t xml:space="preserve"> </w:t>
      </w:r>
      <w:r>
        <w:t>Office</w:t>
      </w:r>
      <w:r>
        <w:rPr>
          <w:spacing w:val="-8"/>
        </w:rPr>
        <w:t xml:space="preserve"> </w:t>
      </w:r>
      <w:r>
        <w:t>values</w:t>
      </w:r>
      <w:r>
        <w:rPr>
          <w:spacing w:val="-7"/>
        </w:rPr>
        <w:t xml:space="preserve"> </w:t>
      </w:r>
      <w:r>
        <w:t>its</w:t>
      </w:r>
      <w:r>
        <w:rPr>
          <w:spacing w:val="-7"/>
        </w:rPr>
        <w:t xml:space="preserve"> </w:t>
      </w:r>
      <w:r>
        <w:t>professional</w:t>
      </w:r>
      <w:r>
        <w:rPr>
          <w:spacing w:val="-7"/>
        </w:rPr>
        <w:t xml:space="preserve"> </w:t>
      </w:r>
      <w:r>
        <w:t>relationships</w:t>
      </w:r>
      <w:r>
        <w:rPr>
          <w:spacing w:val="-7"/>
        </w:rPr>
        <w:t xml:space="preserve"> </w:t>
      </w:r>
      <w:r>
        <w:t>with</w:t>
      </w:r>
      <w:r>
        <w:rPr>
          <w:spacing w:val="-7"/>
        </w:rPr>
        <w:t xml:space="preserve"> </w:t>
      </w:r>
      <w:r>
        <w:t>members,</w:t>
      </w:r>
      <w:r>
        <w:rPr>
          <w:spacing w:val="-7"/>
        </w:rPr>
        <w:t xml:space="preserve"> </w:t>
      </w:r>
      <w:r>
        <w:t>their</w:t>
      </w:r>
      <w:r>
        <w:rPr>
          <w:spacing w:val="-7"/>
        </w:rPr>
        <w:t xml:space="preserve"> </w:t>
      </w:r>
      <w:r>
        <w:t>staff,</w:t>
      </w:r>
      <w:r>
        <w:rPr>
          <w:spacing w:val="-7"/>
        </w:rPr>
        <w:t xml:space="preserve"> </w:t>
      </w:r>
      <w:r>
        <w:t>the</w:t>
      </w:r>
      <w:r>
        <w:rPr>
          <w:spacing w:val="-8"/>
        </w:rPr>
        <w:t xml:space="preserve"> </w:t>
      </w:r>
      <w:r>
        <w:t>ACT</w:t>
      </w:r>
      <w:r>
        <w:rPr>
          <w:spacing w:val="-8"/>
        </w:rPr>
        <w:t xml:space="preserve"> </w:t>
      </w:r>
      <w:r>
        <w:t>community,</w:t>
      </w:r>
      <w:r>
        <w:rPr>
          <w:spacing w:val="-7"/>
        </w:rPr>
        <w:t xml:space="preserve"> </w:t>
      </w:r>
      <w:r>
        <w:t>the</w:t>
      </w:r>
      <w:r>
        <w:rPr>
          <w:spacing w:val="-8"/>
        </w:rPr>
        <w:t xml:space="preserve"> </w:t>
      </w:r>
      <w:r>
        <w:t>public sector and the wider community of</w:t>
      </w:r>
      <w:r>
        <w:rPr>
          <w:spacing w:val="-4"/>
        </w:rPr>
        <w:t xml:space="preserve"> </w:t>
      </w:r>
      <w:r>
        <w:t>parliaments.</w:t>
      </w:r>
    </w:p>
    <w:p w:rsidR="006C17CB" w:rsidRDefault="0030091C">
      <w:pPr>
        <w:pStyle w:val="ListParagraph"/>
        <w:numPr>
          <w:ilvl w:val="0"/>
          <w:numId w:val="22"/>
        </w:numPr>
        <w:tabs>
          <w:tab w:val="left" w:pos="381"/>
        </w:tabs>
        <w:spacing w:before="44" w:line="189" w:lineRule="auto"/>
        <w:ind w:right="1140"/>
      </w:pPr>
      <w:r>
        <w:t>The</w:t>
      </w:r>
      <w:r>
        <w:rPr>
          <w:spacing w:val="-6"/>
        </w:rPr>
        <w:t xml:space="preserve"> </w:t>
      </w:r>
      <w:r>
        <w:t>Office</w:t>
      </w:r>
      <w:r>
        <w:rPr>
          <w:spacing w:val="-6"/>
        </w:rPr>
        <w:t xml:space="preserve"> </w:t>
      </w:r>
      <w:r>
        <w:t>shows</w:t>
      </w:r>
      <w:r>
        <w:rPr>
          <w:spacing w:val="-5"/>
        </w:rPr>
        <w:t xml:space="preserve"> </w:t>
      </w:r>
      <w:r>
        <w:rPr>
          <w:spacing w:val="-3"/>
        </w:rPr>
        <w:t>respect—having</w:t>
      </w:r>
      <w:r>
        <w:rPr>
          <w:spacing w:val="-5"/>
        </w:rPr>
        <w:t xml:space="preserve"> </w:t>
      </w:r>
      <w:r>
        <w:t>due</w:t>
      </w:r>
      <w:r>
        <w:rPr>
          <w:spacing w:val="-6"/>
        </w:rPr>
        <w:t xml:space="preserve"> </w:t>
      </w:r>
      <w:r>
        <w:t>regard</w:t>
      </w:r>
      <w:r>
        <w:rPr>
          <w:spacing w:val="-5"/>
        </w:rPr>
        <w:t xml:space="preserve"> </w:t>
      </w:r>
      <w:r>
        <w:t>for</w:t>
      </w:r>
      <w:r>
        <w:rPr>
          <w:spacing w:val="-6"/>
        </w:rPr>
        <w:t xml:space="preserve"> </w:t>
      </w:r>
      <w:r>
        <w:t>people,</w:t>
      </w:r>
      <w:r>
        <w:rPr>
          <w:spacing w:val="-5"/>
        </w:rPr>
        <w:t xml:space="preserve"> </w:t>
      </w:r>
      <w:r>
        <w:t>their</w:t>
      </w:r>
      <w:r>
        <w:rPr>
          <w:spacing w:val="-5"/>
        </w:rPr>
        <w:t xml:space="preserve"> </w:t>
      </w:r>
      <w:r>
        <w:t>viewpoints</w:t>
      </w:r>
      <w:r>
        <w:rPr>
          <w:spacing w:val="-5"/>
        </w:rPr>
        <w:t xml:space="preserve"> </w:t>
      </w:r>
      <w:r>
        <w:t>and</w:t>
      </w:r>
      <w:r>
        <w:rPr>
          <w:spacing w:val="-5"/>
        </w:rPr>
        <w:t xml:space="preserve"> </w:t>
      </w:r>
      <w:r>
        <w:t>their</w:t>
      </w:r>
      <w:r>
        <w:rPr>
          <w:spacing w:val="-5"/>
        </w:rPr>
        <w:t xml:space="preserve"> </w:t>
      </w:r>
      <w:r>
        <w:t>aspirations—in</w:t>
      </w:r>
      <w:r>
        <w:rPr>
          <w:spacing w:val="-5"/>
        </w:rPr>
        <w:t xml:space="preserve"> </w:t>
      </w:r>
      <w:r>
        <w:t>all</w:t>
      </w:r>
      <w:r>
        <w:rPr>
          <w:spacing w:val="-5"/>
        </w:rPr>
        <w:t xml:space="preserve"> </w:t>
      </w:r>
      <w:r>
        <w:t>of</w:t>
      </w:r>
      <w:r>
        <w:rPr>
          <w:spacing w:val="-5"/>
        </w:rPr>
        <w:t xml:space="preserve"> </w:t>
      </w:r>
      <w:r>
        <w:t>its professional</w:t>
      </w:r>
      <w:r>
        <w:rPr>
          <w:spacing w:val="-1"/>
        </w:rPr>
        <w:t xml:space="preserve"> </w:t>
      </w:r>
      <w:r>
        <w:t>relationships.</w:t>
      </w:r>
    </w:p>
    <w:p w:rsidR="006C17CB" w:rsidRDefault="0030091C">
      <w:pPr>
        <w:pStyle w:val="ListParagraph"/>
        <w:numPr>
          <w:ilvl w:val="0"/>
          <w:numId w:val="22"/>
        </w:numPr>
        <w:tabs>
          <w:tab w:val="left" w:pos="381"/>
        </w:tabs>
        <w:spacing w:line="307" w:lineRule="exact"/>
      </w:pPr>
      <w:r>
        <w:t>The Office is conscientious, knowledgeable and prudent in the way that it goes about doing its</w:t>
      </w:r>
      <w:r>
        <w:rPr>
          <w:spacing w:val="-27"/>
        </w:rPr>
        <w:t xml:space="preserve"> </w:t>
      </w:r>
      <w:r>
        <w:t>work.</w:t>
      </w:r>
    </w:p>
    <w:p w:rsidR="006C17CB" w:rsidRDefault="006C17CB">
      <w:pPr>
        <w:pStyle w:val="BodyText"/>
        <w:spacing w:before="9"/>
        <w:rPr>
          <w:sz w:val="28"/>
        </w:rPr>
      </w:pPr>
    </w:p>
    <w:p w:rsidR="006C17CB" w:rsidRDefault="0030091C">
      <w:pPr>
        <w:ind w:left="153"/>
        <w:rPr>
          <w:rFonts w:ascii="Montserrat-SemiBoldItalic"/>
          <w:b/>
          <w:i/>
          <w:sz w:val="20"/>
        </w:rPr>
      </w:pPr>
      <w:r>
        <w:rPr>
          <w:rFonts w:ascii="Montserrat-SemiBoldItalic"/>
          <w:b/>
          <w:i/>
          <w:sz w:val="20"/>
        </w:rPr>
        <w:t>Independence</w:t>
      </w:r>
    </w:p>
    <w:p w:rsidR="006C17CB" w:rsidRDefault="0030091C">
      <w:pPr>
        <w:pStyle w:val="ListParagraph"/>
        <w:numPr>
          <w:ilvl w:val="0"/>
          <w:numId w:val="22"/>
        </w:numPr>
        <w:tabs>
          <w:tab w:val="left" w:pos="381"/>
        </w:tabs>
        <w:spacing w:before="112" w:line="306" w:lineRule="exact"/>
      </w:pPr>
      <w:r>
        <w:t>The Office vales its independence from the</w:t>
      </w:r>
      <w:r>
        <w:rPr>
          <w:spacing w:val="-7"/>
        </w:rPr>
        <w:t xml:space="preserve"> </w:t>
      </w:r>
      <w:r>
        <w:t>executive.</w:t>
      </w:r>
    </w:p>
    <w:p w:rsidR="006C17CB" w:rsidRDefault="0030091C">
      <w:pPr>
        <w:pStyle w:val="ListParagraph"/>
        <w:numPr>
          <w:ilvl w:val="0"/>
          <w:numId w:val="22"/>
        </w:numPr>
        <w:tabs>
          <w:tab w:val="left" w:pos="381"/>
        </w:tabs>
        <w:spacing w:before="43" w:line="189" w:lineRule="auto"/>
        <w:ind w:right="1406"/>
      </w:pPr>
      <w:r>
        <w:t xml:space="preserve">The Office values the checks and balances embodied by the </w:t>
      </w:r>
      <w:r>
        <w:rPr>
          <w:spacing w:val="-3"/>
        </w:rPr>
        <w:t xml:space="preserve">ACT’s </w:t>
      </w:r>
      <w:r>
        <w:t xml:space="preserve">form of government, established in the </w:t>
      </w:r>
      <w:hyperlink r:id="rId29">
        <w:r>
          <w:rPr>
            <w:rFonts w:ascii="Calibri" w:hAnsi="Calibri"/>
            <w:i/>
            <w:spacing w:val="-5"/>
          </w:rPr>
          <w:t xml:space="preserve">Australian Capital </w:t>
        </w:r>
        <w:r>
          <w:rPr>
            <w:rFonts w:ascii="Calibri" w:hAnsi="Calibri"/>
            <w:i/>
            <w:spacing w:val="-6"/>
          </w:rPr>
          <w:t xml:space="preserve">Territory (Self-Government) </w:t>
        </w:r>
        <w:r>
          <w:rPr>
            <w:rFonts w:ascii="Calibri" w:hAnsi="Calibri"/>
            <w:i/>
            <w:spacing w:val="-3"/>
          </w:rPr>
          <w:t xml:space="preserve">Act </w:t>
        </w:r>
        <w:r>
          <w:rPr>
            <w:rFonts w:ascii="Calibri" w:hAnsi="Calibri"/>
            <w:i/>
            <w:spacing w:val="-4"/>
          </w:rPr>
          <w:t>1988</w:t>
        </w:r>
      </w:hyperlink>
      <w:r>
        <w:rPr>
          <w:spacing w:val="-4"/>
        </w:rPr>
        <w:t xml:space="preserve">, </w:t>
      </w:r>
      <w:r>
        <w:t xml:space="preserve">in which there are three separate and distinct branches of government </w:t>
      </w:r>
      <w:r>
        <w:rPr>
          <w:spacing w:val="-3"/>
        </w:rPr>
        <w:t xml:space="preserve">(the </w:t>
      </w:r>
      <w:r>
        <w:t>Legislature, the Executive and the</w:t>
      </w:r>
      <w:r>
        <w:rPr>
          <w:spacing w:val="-12"/>
        </w:rPr>
        <w:t xml:space="preserve"> </w:t>
      </w:r>
      <w:r>
        <w:t>Judiciary).</w:t>
      </w:r>
    </w:p>
    <w:p w:rsidR="006C17CB" w:rsidRDefault="0030091C">
      <w:pPr>
        <w:pStyle w:val="ListParagraph"/>
        <w:numPr>
          <w:ilvl w:val="0"/>
          <w:numId w:val="22"/>
        </w:numPr>
        <w:tabs>
          <w:tab w:val="left" w:pos="381"/>
        </w:tabs>
        <w:spacing w:before="44" w:line="189" w:lineRule="auto"/>
        <w:ind w:right="1194"/>
      </w:pPr>
      <w:r>
        <w:t>The Office values the principles and guidelines embodied in the Latimer House Principles as a clear statement</w:t>
      </w:r>
      <w:r>
        <w:rPr>
          <w:spacing w:val="-5"/>
        </w:rPr>
        <w:t xml:space="preserve"> </w:t>
      </w:r>
      <w:r>
        <w:t>of</w:t>
      </w:r>
      <w:r>
        <w:rPr>
          <w:spacing w:val="-5"/>
        </w:rPr>
        <w:t xml:space="preserve"> </w:t>
      </w:r>
      <w:r>
        <w:t>the</w:t>
      </w:r>
      <w:r>
        <w:rPr>
          <w:spacing w:val="-6"/>
        </w:rPr>
        <w:t xml:space="preserve"> </w:t>
      </w:r>
      <w:r>
        <w:t>best</w:t>
      </w:r>
      <w:r>
        <w:rPr>
          <w:spacing w:val="-5"/>
        </w:rPr>
        <w:t xml:space="preserve"> </w:t>
      </w:r>
      <w:r>
        <w:t>practice</w:t>
      </w:r>
      <w:r>
        <w:rPr>
          <w:spacing w:val="-5"/>
        </w:rPr>
        <w:t xml:space="preserve"> </w:t>
      </w:r>
      <w:r>
        <w:t>operation</w:t>
      </w:r>
      <w:r>
        <w:rPr>
          <w:spacing w:val="-5"/>
        </w:rPr>
        <w:t xml:space="preserve"> </w:t>
      </w:r>
      <w:r>
        <w:rPr>
          <w:spacing w:val="-4"/>
        </w:rPr>
        <w:t>of,</w:t>
      </w:r>
      <w:r>
        <w:rPr>
          <w:spacing w:val="-5"/>
        </w:rPr>
        <w:t xml:space="preserve"> </w:t>
      </w:r>
      <w:r>
        <w:t>and</w:t>
      </w:r>
      <w:r>
        <w:rPr>
          <w:spacing w:val="-5"/>
        </w:rPr>
        <w:t xml:space="preserve"> </w:t>
      </w:r>
      <w:r>
        <w:t>relationship</w:t>
      </w:r>
      <w:r>
        <w:rPr>
          <w:spacing w:val="-5"/>
        </w:rPr>
        <w:t xml:space="preserve"> </w:t>
      </w:r>
      <w:r>
        <w:t>between,</w:t>
      </w:r>
      <w:r>
        <w:rPr>
          <w:spacing w:val="-5"/>
        </w:rPr>
        <w:t xml:space="preserve"> </w:t>
      </w:r>
      <w:r>
        <w:t>the</w:t>
      </w:r>
      <w:r>
        <w:rPr>
          <w:spacing w:val="-6"/>
        </w:rPr>
        <w:t xml:space="preserve"> </w:t>
      </w:r>
      <w:r>
        <w:t>three</w:t>
      </w:r>
      <w:r>
        <w:rPr>
          <w:spacing w:val="-6"/>
        </w:rPr>
        <w:t xml:space="preserve"> </w:t>
      </w:r>
      <w:r>
        <w:t>branches</w:t>
      </w:r>
      <w:r>
        <w:rPr>
          <w:spacing w:val="-5"/>
        </w:rPr>
        <w:t xml:space="preserve"> </w:t>
      </w:r>
      <w:r>
        <w:t>of</w:t>
      </w:r>
      <w:r>
        <w:rPr>
          <w:spacing w:val="-5"/>
        </w:rPr>
        <w:t xml:space="preserve"> </w:t>
      </w:r>
      <w:r>
        <w:t>government.</w:t>
      </w:r>
    </w:p>
    <w:p w:rsidR="006C17CB" w:rsidRDefault="006C17CB">
      <w:pPr>
        <w:pStyle w:val="BodyText"/>
        <w:spacing w:before="6"/>
        <w:rPr>
          <w:sz w:val="29"/>
        </w:rPr>
      </w:pPr>
    </w:p>
    <w:p w:rsidR="006C17CB" w:rsidRDefault="0030091C">
      <w:pPr>
        <w:ind w:left="153"/>
        <w:rPr>
          <w:rFonts w:ascii="Montserrat-SemiBoldItalic"/>
          <w:b/>
          <w:i/>
          <w:sz w:val="20"/>
        </w:rPr>
      </w:pPr>
      <w:r>
        <w:rPr>
          <w:rFonts w:ascii="Montserrat-SemiBoldItalic"/>
          <w:b/>
          <w:i/>
          <w:sz w:val="20"/>
        </w:rPr>
        <w:t>Honesty and Integrity</w:t>
      </w:r>
    </w:p>
    <w:p w:rsidR="006C17CB" w:rsidRDefault="0030091C">
      <w:pPr>
        <w:pStyle w:val="ListParagraph"/>
        <w:numPr>
          <w:ilvl w:val="0"/>
          <w:numId w:val="22"/>
        </w:numPr>
        <w:tabs>
          <w:tab w:val="left" w:pos="381"/>
        </w:tabs>
        <w:spacing w:before="112" w:line="240" w:lineRule="auto"/>
      </w:pPr>
      <w:r>
        <w:t>The Office is honest and stands up for its values in all of its</w:t>
      </w:r>
      <w:r>
        <w:rPr>
          <w:spacing w:val="-8"/>
        </w:rPr>
        <w:t xml:space="preserve"> </w:t>
      </w:r>
      <w:r>
        <w:t>dealings.</w:t>
      </w:r>
    </w:p>
    <w:p w:rsidR="006C17CB" w:rsidRDefault="006C17CB">
      <w:pPr>
        <w:pStyle w:val="BodyText"/>
        <w:spacing w:before="9"/>
        <w:rPr>
          <w:sz w:val="28"/>
        </w:rPr>
      </w:pPr>
    </w:p>
    <w:p w:rsidR="006C17CB" w:rsidRDefault="0030091C">
      <w:pPr>
        <w:ind w:left="153"/>
        <w:rPr>
          <w:rFonts w:ascii="Montserrat-SemiBoldItalic"/>
          <w:b/>
          <w:i/>
          <w:sz w:val="20"/>
        </w:rPr>
      </w:pPr>
      <w:r>
        <w:rPr>
          <w:rFonts w:ascii="Montserrat-SemiBoldItalic"/>
          <w:b/>
          <w:i/>
          <w:sz w:val="20"/>
        </w:rPr>
        <w:t>Impartiality</w:t>
      </w:r>
    </w:p>
    <w:p w:rsidR="006C17CB" w:rsidRDefault="0030091C">
      <w:pPr>
        <w:pStyle w:val="ListParagraph"/>
        <w:numPr>
          <w:ilvl w:val="0"/>
          <w:numId w:val="22"/>
        </w:numPr>
        <w:tabs>
          <w:tab w:val="left" w:pos="381"/>
        </w:tabs>
        <w:spacing w:before="112" w:line="240" w:lineRule="auto"/>
      </w:pPr>
      <w:r>
        <w:t xml:space="preserve">The Office provides advice and support to members and the Assembly without </w:t>
      </w:r>
      <w:r>
        <w:rPr>
          <w:spacing w:val="-5"/>
        </w:rPr>
        <w:t xml:space="preserve">fear, </w:t>
      </w:r>
      <w:r>
        <w:t>favour or</w:t>
      </w:r>
      <w:r>
        <w:rPr>
          <w:spacing w:val="-14"/>
        </w:rPr>
        <w:t xml:space="preserve"> </w:t>
      </w:r>
      <w:r>
        <w:t>bias.</w:t>
      </w:r>
    </w:p>
    <w:p w:rsidR="006C17CB" w:rsidRDefault="006C17CB">
      <w:pPr>
        <w:pStyle w:val="BodyText"/>
        <w:spacing w:before="8"/>
        <w:rPr>
          <w:sz w:val="28"/>
        </w:rPr>
      </w:pPr>
    </w:p>
    <w:p w:rsidR="006C17CB" w:rsidRDefault="0030091C">
      <w:pPr>
        <w:spacing w:before="1"/>
        <w:ind w:left="153"/>
        <w:rPr>
          <w:rFonts w:ascii="Montserrat-SemiBoldItalic"/>
          <w:b/>
          <w:i/>
          <w:sz w:val="20"/>
        </w:rPr>
      </w:pPr>
      <w:r>
        <w:rPr>
          <w:rFonts w:ascii="Montserrat-SemiBoldItalic"/>
          <w:b/>
          <w:i/>
          <w:sz w:val="20"/>
        </w:rPr>
        <w:t>Transparency</w:t>
      </w:r>
    </w:p>
    <w:p w:rsidR="006C17CB" w:rsidRDefault="0030091C">
      <w:pPr>
        <w:pStyle w:val="ListParagraph"/>
        <w:numPr>
          <w:ilvl w:val="0"/>
          <w:numId w:val="22"/>
        </w:numPr>
        <w:tabs>
          <w:tab w:val="left" w:pos="381"/>
        </w:tabs>
        <w:spacing w:before="112" w:line="240" w:lineRule="auto"/>
      </w:pPr>
      <w:r>
        <w:t>The Office is open about how it performs its roles and the decisions it</w:t>
      </w:r>
      <w:r>
        <w:rPr>
          <w:spacing w:val="-10"/>
        </w:rPr>
        <w:t xml:space="preserve"> </w:t>
      </w:r>
      <w:r>
        <w:t>makes.</w:t>
      </w:r>
    </w:p>
    <w:p w:rsidR="006C17CB" w:rsidRDefault="006C17CB">
      <w:pPr>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7"/>
        <w:rPr>
          <w:sz w:val="15"/>
        </w:rPr>
      </w:pPr>
    </w:p>
    <w:p w:rsidR="006C17CB" w:rsidRDefault="0030091C">
      <w:pPr>
        <w:pStyle w:val="Heading5"/>
        <w:spacing w:before="153"/>
        <w:rPr>
          <w:rFonts w:ascii="Montserrat" w:hAnsi="Montserrat"/>
        </w:rPr>
      </w:pPr>
      <w:bookmarkStart w:id="35" w:name="The_Office’s_relationships"/>
      <w:bookmarkStart w:id="36" w:name="Structure_of_the_Office"/>
      <w:bookmarkStart w:id="37" w:name="_bookmark8"/>
      <w:bookmarkEnd w:id="35"/>
      <w:bookmarkEnd w:id="36"/>
      <w:bookmarkEnd w:id="37"/>
      <w:r>
        <w:rPr>
          <w:rFonts w:ascii="Montserrat" w:hAnsi="Montserrat"/>
          <w:color w:val="556EAA"/>
        </w:rPr>
        <w:t>The Office’s relationships</w:t>
      </w:r>
    </w:p>
    <w:p w:rsidR="006C17CB" w:rsidRDefault="0030091C">
      <w:pPr>
        <w:pStyle w:val="BodyText"/>
        <w:spacing w:before="90" w:line="189" w:lineRule="auto"/>
        <w:ind w:left="153" w:right="1412"/>
      </w:pPr>
      <w:r>
        <w:t>In addition to supporting the Assembly as an institution, the Office works with a range of different people and organisations, including:</w:t>
      </w:r>
    </w:p>
    <w:p w:rsidR="006C17CB" w:rsidRDefault="0030091C">
      <w:pPr>
        <w:pStyle w:val="ListParagraph"/>
        <w:numPr>
          <w:ilvl w:val="0"/>
          <w:numId w:val="22"/>
        </w:numPr>
        <w:tabs>
          <w:tab w:val="left" w:pos="381"/>
        </w:tabs>
        <w:spacing w:before="58" w:line="306" w:lineRule="exact"/>
      </w:pPr>
      <w:r>
        <w:t>non-executive members and their</w:t>
      </w:r>
      <w:r>
        <w:rPr>
          <w:spacing w:val="-2"/>
        </w:rPr>
        <w:t xml:space="preserve"> </w:t>
      </w:r>
      <w:r>
        <w:t>staff;</w:t>
      </w:r>
    </w:p>
    <w:p w:rsidR="006C17CB" w:rsidRDefault="0030091C">
      <w:pPr>
        <w:pStyle w:val="ListParagraph"/>
        <w:numPr>
          <w:ilvl w:val="0"/>
          <w:numId w:val="22"/>
        </w:numPr>
        <w:tabs>
          <w:tab w:val="left" w:pos="381"/>
        </w:tabs>
      </w:pPr>
      <w:r>
        <w:t>ministers and their</w:t>
      </w:r>
      <w:r>
        <w:rPr>
          <w:spacing w:val="-1"/>
        </w:rPr>
        <w:t xml:space="preserve"> </w:t>
      </w:r>
      <w:r>
        <w:t>staff;</w:t>
      </w:r>
    </w:p>
    <w:p w:rsidR="006C17CB" w:rsidRDefault="0030091C">
      <w:pPr>
        <w:pStyle w:val="ListParagraph"/>
        <w:numPr>
          <w:ilvl w:val="0"/>
          <w:numId w:val="22"/>
        </w:numPr>
        <w:tabs>
          <w:tab w:val="left" w:pos="381"/>
        </w:tabs>
      </w:pPr>
      <w:r>
        <w:t>members of the ACT</w:t>
      </w:r>
      <w:r>
        <w:rPr>
          <w:spacing w:val="-3"/>
        </w:rPr>
        <w:t xml:space="preserve"> </w:t>
      </w:r>
      <w:r>
        <w:t>community;</w:t>
      </w:r>
    </w:p>
    <w:p w:rsidR="006C17CB" w:rsidRDefault="0030091C">
      <w:pPr>
        <w:pStyle w:val="ListParagraph"/>
        <w:numPr>
          <w:ilvl w:val="0"/>
          <w:numId w:val="22"/>
        </w:numPr>
        <w:tabs>
          <w:tab w:val="left" w:pos="381"/>
        </w:tabs>
      </w:pPr>
      <w:r>
        <w:t>the ACT public</w:t>
      </w:r>
      <w:r>
        <w:rPr>
          <w:spacing w:val="-4"/>
        </w:rPr>
        <w:t xml:space="preserve"> </w:t>
      </w:r>
      <w:r>
        <w:t>sector;</w:t>
      </w:r>
    </w:p>
    <w:p w:rsidR="006C17CB" w:rsidRDefault="0030091C">
      <w:pPr>
        <w:pStyle w:val="ListParagraph"/>
        <w:numPr>
          <w:ilvl w:val="0"/>
          <w:numId w:val="22"/>
        </w:numPr>
        <w:tabs>
          <w:tab w:val="left" w:pos="381"/>
        </w:tabs>
      </w:pPr>
      <w:r>
        <w:t xml:space="preserve">Officers of the Legislative Assembly </w:t>
      </w:r>
      <w:r>
        <w:rPr>
          <w:spacing w:val="-3"/>
        </w:rPr>
        <w:t xml:space="preserve">(the </w:t>
      </w:r>
      <w:r>
        <w:t>Auditor-General and the members of the Electoral</w:t>
      </w:r>
      <w:r>
        <w:rPr>
          <w:spacing w:val="-18"/>
        </w:rPr>
        <w:t xml:space="preserve"> </w:t>
      </w:r>
      <w:r>
        <w:rPr>
          <w:spacing w:val="-3"/>
        </w:rPr>
        <w:t>Commission);</w:t>
      </w:r>
    </w:p>
    <w:p w:rsidR="006C17CB" w:rsidRDefault="0030091C">
      <w:pPr>
        <w:pStyle w:val="ListParagraph"/>
        <w:numPr>
          <w:ilvl w:val="0"/>
          <w:numId w:val="22"/>
        </w:numPr>
        <w:tabs>
          <w:tab w:val="left" w:pos="381"/>
        </w:tabs>
      </w:pPr>
      <w:r>
        <w:t>educational</w:t>
      </w:r>
      <w:r>
        <w:rPr>
          <w:spacing w:val="-1"/>
        </w:rPr>
        <w:t xml:space="preserve"> </w:t>
      </w:r>
      <w:r>
        <w:t>institutions;</w:t>
      </w:r>
    </w:p>
    <w:p w:rsidR="006C17CB" w:rsidRDefault="0030091C">
      <w:pPr>
        <w:pStyle w:val="ListParagraph"/>
        <w:numPr>
          <w:ilvl w:val="0"/>
          <w:numId w:val="22"/>
        </w:numPr>
        <w:tabs>
          <w:tab w:val="left" w:pos="381"/>
        </w:tabs>
      </w:pPr>
      <w:r>
        <w:t>participants in committee</w:t>
      </w:r>
      <w:r>
        <w:rPr>
          <w:spacing w:val="-2"/>
        </w:rPr>
        <w:t xml:space="preserve"> </w:t>
      </w:r>
      <w:r>
        <w:t>inquiries;</w:t>
      </w:r>
    </w:p>
    <w:p w:rsidR="006C17CB" w:rsidRDefault="0030091C">
      <w:pPr>
        <w:pStyle w:val="ListParagraph"/>
        <w:numPr>
          <w:ilvl w:val="0"/>
          <w:numId w:val="22"/>
        </w:numPr>
        <w:tabs>
          <w:tab w:val="left" w:pos="381"/>
        </w:tabs>
      </w:pPr>
      <w:r>
        <w:t>inter-parliamentary organisations, other parliaments and their members;</w:t>
      </w:r>
      <w:r>
        <w:rPr>
          <w:spacing w:val="-7"/>
        </w:rPr>
        <w:t xml:space="preserve"> </w:t>
      </w:r>
      <w:r>
        <w:t>and</w:t>
      </w:r>
    </w:p>
    <w:p w:rsidR="006C17CB" w:rsidRDefault="0030091C">
      <w:pPr>
        <w:pStyle w:val="ListParagraph"/>
        <w:numPr>
          <w:ilvl w:val="0"/>
          <w:numId w:val="22"/>
        </w:numPr>
        <w:tabs>
          <w:tab w:val="left" w:pos="381"/>
        </w:tabs>
        <w:spacing w:line="306" w:lineRule="exact"/>
      </w:pPr>
      <w:r>
        <w:t>the</w:t>
      </w:r>
      <w:r>
        <w:rPr>
          <w:spacing w:val="-2"/>
        </w:rPr>
        <w:t xml:space="preserve"> </w:t>
      </w:r>
      <w:r>
        <w:t>media.</w:t>
      </w:r>
    </w:p>
    <w:p w:rsidR="006C17CB" w:rsidRDefault="006C17CB">
      <w:pPr>
        <w:pStyle w:val="BodyText"/>
        <w:rPr>
          <w:sz w:val="26"/>
        </w:rPr>
      </w:pPr>
    </w:p>
    <w:p w:rsidR="006C17CB" w:rsidRDefault="0030091C">
      <w:pPr>
        <w:pStyle w:val="Heading5"/>
        <w:rPr>
          <w:rFonts w:ascii="Montserrat"/>
        </w:rPr>
      </w:pPr>
      <w:r>
        <w:rPr>
          <w:rFonts w:ascii="Montserrat"/>
          <w:color w:val="556EAA"/>
        </w:rPr>
        <w:t>Structure of the Office</w:t>
      </w:r>
    </w:p>
    <w:p w:rsidR="006C17CB" w:rsidRDefault="0030091C">
      <w:pPr>
        <w:pStyle w:val="BodyText"/>
        <w:spacing w:before="35"/>
        <w:ind w:left="153"/>
      </w:pPr>
      <w:r>
        <w:t>The Office is organised into three branches.</w:t>
      </w:r>
    </w:p>
    <w:p w:rsidR="006C17CB" w:rsidRDefault="006C17CB">
      <w:pPr>
        <w:pStyle w:val="BodyText"/>
        <w:spacing w:before="10"/>
      </w:pPr>
    </w:p>
    <w:p w:rsidR="006C17CB" w:rsidRDefault="0030091C">
      <w:pPr>
        <w:ind w:left="153"/>
        <w:rPr>
          <w:rFonts w:ascii="Montserrat-SemiBoldItalic"/>
          <w:b/>
          <w:i/>
          <w:sz w:val="20"/>
        </w:rPr>
      </w:pPr>
      <w:r>
        <w:rPr>
          <w:rFonts w:ascii="Montserrat-SemiBoldItalic"/>
          <w:b/>
          <w:i/>
          <w:sz w:val="20"/>
        </w:rPr>
        <w:t>The Office of the Clerk</w:t>
      </w:r>
    </w:p>
    <w:p w:rsidR="006C17CB" w:rsidRDefault="0030091C">
      <w:pPr>
        <w:pStyle w:val="BodyText"/>
        <w:spacing w:before="167" w:line="189" w:lineRule="auto"/>
        <w:ind w:left="153" w:right="1541"/>
      </w:pPr>
      <w:r>
        <w:t>The Office of the Clerk is responsible for governance and procedural matters, parliamentary education and public affairs.</w:t>
      </w:r>
    </w:p>
    <w:p w:rsidR="006C17CB" w:rsidRDefault="006C17CB">
      <w:pPr>
        <w:pStyle w:val="BodyText"/>
        <w:spacing w:before="7"/>
        <w:rPr>
          <w:sz w:val="23"/>
        </w:rPr>
      </w:pPr>
    </w:p>
    <w:p w:rsidR="006C17CB" w:rsidRDefault="0030091C">
      <w:pPr>
        <w:ind w:left="153"/>
        <w:rPr>
          <w:rFonts w:ascii="Montserrat-SemiBoldItalic"/>
          <w:b/>
          <w:i/>
          <w:sz w:val="20"/>
        </w:rPr>
      </w:pPr>
      <w:r>
        <w:rPr>
          <w:rFonts w:ascii="Montserrat-SemiBoldItalic"/>
          <w:b/>
          <w:i/>
          <w:sz w:val="20"/>
        </w:rPr>
        <w:t>Parliamentary Support Branch</w:t>
      </w:r>
    </w:p>
    <w:p w:rsidR="006C17CB" w:rsidRDefault="0030091C">
      <w:pPr>
        <w:pStyle w:val="BodyText"/>
        <w:spacing w:before="166" w:line="189" w:lineRule="auto"/>
        <w:ind w:left="153" w:right="1412"/>
      </w:pPr>
      <w:r>
        <w:t>The Parliamentary Support Branch is responsible for advising and supporting key parliamentary activities, including:</w:t>
      </w:r>
    </w:p>
    <w:p w:rsidR="006C17CB" w:rsidRDefault="0030091C">
      <w:pPr>
        <w:pStyle w:val="ListParagraph"/>
        <w:numPr>
          <w:ilvl w:val="0"/>
          <w:numId w:val="22"/>
        </w:numPr>
        <w:tabs>
          <w:tab w:val="left" w:pos="381"/>
        </w:tabs>
        <w:spacing w:before="113" w:line="189" w:lineRule="auto"/>
        <w:ind w:right="1421"/>
      </w:pPr>
      <w:r>
        <w:rPr>
          <w:rFonts w:ascii="Calibri" w:hAnsi="Calibri"/>
          <w:b/>
        </w:rPr>
        <w:t>Chamber</w:t>
      </w:r>
      <w:r>
        <w:rPr>
          <w:rFonts w:ascii="Calibri" w:hAnsi="Calibri"/>
          <w:b/>
          <w:spacing w:val="-6"/>
        </w:rPr>
        <w:t xml:space="preserve"> </w:t>
      </w:r>
      <w:r>
        <w:rPr>
          <w:rFonts w:ascii="Calibri" w:hAnsi="Calibri"/>
          <w:b/>
        </w:rPr>
        <w:t>support</w:t>
      </w:r>
      <w:r>
        <w:t>—providing</w:t>
      </w:r>
      <w:r>
        <w:rPr>
          <w:spacing w:val="-5"/>
        </w:rPr>
        <w:t xml:space="preserve"> </w:t>
      </w:r>
      <w:r>
        <w:t>administrative</w:t>
      </w:r>
      <w:r>
        <w:rPr>
          <w:spacing w:val="-6"/>
        </w:rPr>
        <w:t xml:space="preserve"> </w:t>
      </w:r>
      <w:r>
        <w:t>and</w:t>
      </w:r>
      <w:r>
        <w:rPr>
          <w:spacing w:val="-5"/>
        </w:rPr>
        <w:t xml:space="preserve"> </w:t>
      </w:r>
      <w:r>
        <w:t>procedural</w:t>
      </w:r>
      <w:r>
        <w:rPr>
          <w:spacing w:val="-5"/>
        </w:rPr>
        <w:t xml:space="preserve"> </w:t>
      </w:r>
      <w:r>
        <w:t>advice</w:t>
      </w:r>
      <w:r>
        <w:rPr>
          <w:spacing w:val="-6"/>
        </w:rPr>
        <w:t xml:space="preserve"> </w:t>
      </w:r>
      <w:r>
        <w:t>and</w:t>
      </w:r>
      <w:r>
        <w:rPr>
          <w:spacing w:val="-5"/>
        </w:rPr>
        <w:t xml:space="preserve"> </w:t>
      </w:r>
      <w:r>
        <w:t>support</w:t>
      </w:r>
      <w:r>
        <w:rPr>
          <w:spacing w:val="-5"/>
        </w:rPr>
        <w:t xml:space="preserve"> </w:t>
      </w:r>
      <w:r>
        <w:t>to</w:t>
      </w:r>
      <w:r>
        <w:rPr>
          <w:spacing w:val="-6"/>
        </w:rPr>
        <w:t xml:space="preserve"> </w:t>
      </w:r>
      <w:r>
        <w:t>the</w:t>
      </w:r>
      <w:r>
        <w:rPr>
          <w:spacing w:val="-6"/>
        </w:rPr>
        <w:t xml:space="preserve"> </w:t>
      </w:r>
      <w:r>
        <w:t>operation</w:t>
      </w:r>
      <w:r>
        <w:rPr>
          <w:spacing w:val="-5"/>
        </w:rPr>
        <w:t xml:space="preserve"> </w:t>
      </w:r>
      <w:r>
        <w:t>of</w:t>
      </w:r>
      <w:r>
        <w:rPr>
          <w:spacing w:val="-5"/>
        </w:rPr>
        <w:t xml:space="preserve"> </w:t>
      </w:r>
      <w:r>
        <w:t>the chamber;</w:t>
      </w:r>
    </w:p>
    <w:p w:rsidR="006C17CB" w:rsidRDefault="0030091C">
      <w:pPr>
        <w:pStyle w:val="ListParagraph"/>
        <w:numPr>
          <w:ilvl w:val="0"/>
          <w:numId w:val="22"/>
        </w:numPr>
        <w:tabs>
          <w:tab w:val="left" w:pos="381"/>
        </w:tabs>
        <w:spacing w:before="44" w:line="189" w:lineRule="auto"/>
        <w:ind w:right="1833"/>
      </w:pPr>
      <w:r>
        <w:rPr>
          <w:rFonts w:ascii="Calibri" w:hAnsi="Calibri"/>
          <w:b/>
        </w:rPr>
        <w:t>Committee</w:t>
      </w:r>
      <w:r>
        <w:rPr>
          <w:rFonts w:ascii="Calibri" w:hAnsi="Calibri"/>
          <w:b/>
          <w:spacing w:val="-7"/>
        </w:rPr>
        <w:t xml:space="preserve"> </w:t>
      </w:r>
      <w:r>
        <w:rPr>
          <w:rFonts w:ascii="Calibri" w:hAnsi="Calibri"/>
          <w:b/>
        </w:rPr>
        <w:t>support</w:t>
      </w:r>
      <w:r>
        <w:t>—providing</w:t>
      </w:r>
      <w:r>
        <w:rPr>
          <w:spacing w:val="-6"/>
        </w:rPr>
        <w:t xml:space="preserve"> </w:t>
      </w:r>
      <w:r>
        <w:t>administrative</w:t>
      </w:r>
      <w:r>
        <w:rPr>
          <w:spacing w:val="-7"/>
        </w:rPr>
        <w:t xml:space="preserve"> </w:t>
      </w:r>
      <w:r>
        <w:t>and</w:t>
      </w:r>
      <w:r>
        <w:rPr>
          <w:spacing w:val="-6"/>
        </w:rPr>
        <w:t xml:space="preserve"> </w:t>
      </w:r>
      <w:r>
        <w:t>procedural</w:t>
      </w:r>
      <w:r>
        <w:rPr>
          <w:spacing w:val="-6"/>
        </w:rPr>
        <w:t xml:space="preserve"> </w:t>
      </w:r>
      <w:r>
        <w:t>advice</w:t>
      </w:r>
      <w:r>
        <w:rPr>
          <w:spacing w:val="-7"/>
        </w:rPr>
        <w:t xml:space="preserve"> </w:t>
      </w:r>
      <w:r>
        <w:t>and</w:t>
      </w:r>
      <w:r>
        <w:rPr>
          <w:spacing w:val="-6"/>
        </w:rPr>
        <w:t xml:space="preserve"> </w:t>
      </w:r>
      <w:r>
        <w:t>support</w:t>
      </w:r>
      <w:r>
        <w:rPr>
          <w:spacing w:val="-6"/>
        </w:rPr>
        <w:t xml:space="preserve"> </w:t>
      </w:r>
      <w:r>
        <w:t>to</w:t>
      </w:r>
      <w:r>
        <w:rPr>
          <w:spacing w:val="-7"/>
        </w:rPr>
        <w:t xml:space="preserve"> </w:t>
      </w:r>
      <w:r>
        <w:t>the</w:t>
      </w:r>
      <w:r>
        <w:rPr>
          <w:spacing w:val="-7"/>
        </w:rPr>
        <w:t xml:space="preserve"> </w:t>
      </w:r>
      <w:r>
        <w:t>Assembly standing and select</w:t>
      </w:r>
      <w:r>
        <w:rPr>
          <w:spacing w:val="-1"/>
        </w:rPr>
        <w:t xml:space="preserve"> </w:t>
      </w:r>
      <w:r>
        <w:t>committees;</w:t>
      </w:r>
    </w:p>
    <w:p w:rsidR="006C17CB" w:rsidRDefault="0030091C">
      <w:pPr>
        <w:pStyle w:val="ListParagraph"/>
        <w:numPr>
          <w:ilvl w:val="0"/>
          <w:numId w:val="22"/>
        </w:numPr>
        <w:tabs>
          <w:tab w:val="left" w:pos="381"/>
        </w:tabs>
        <w:spacing w:line="296" w:lineRule="exact"/>
      </w:pPr>
      <w:r>
        <w:rPr>
          <w:rFonts w:ascii="Calibri" w:hAnsi="Calibri"/>
          <w:b/>
        </w:rPr>
        <w:t>Hansard</w:t>
      </w:r>
      <w:r>
        <w:t>—providing transcripts of Assembly and committee proceedings;</w:t>
      </w:r>
      <w:r>
        <w:rPr>
          <w:spacing w:val="-7"/>
        </w:rPr>
        <w:t xml:space="preserve"> </w:t>
      </w:r>
      <w:r>
        <w:t>and</w:t>
      </w:r>
    </w:p>
    <w:p w:rsidR="006C17CB" w:rsidRDefault="0030091C">
      <w:pPr>
        <w:pStyle w:val="ListParagraph"/>
        <w:numPr>
          <w:ilvl w:val="0"/>
          <w:numId w:val="22"/>
        </w:numPr>
        <w:tabs>
          <w:tab w:val="left" w:pos="381"/>
        </w:tabs>
        <w:spacing w:before="43" w:line="189" w:lineRule="auto"/>
        <w:ind w:right="1814"/>
      </w:pPr>
      <w:r>
        <w:rPr>
          <w:rFonts w:ascii="Calibri" w:hAnsi="Calibri"/>
          <w:b/>
        </w:rPr>
        <w:t>Assembly</w:t>
      </w:r>
      <w:r>
        <w:rPr>
          <w:rFonts w:ascii="Calibri" w:hAnsi="Calibri"/>
          <w:b/>
          <w:spacing w:val="-5"/>
        </w:rPr>
        <w:t xml:space="preserve"> </w:t>
      </w:r>
      <w:r>
        <w:rPr>
          <w:rFonts w:ascii="Calibri" w:hAnsi="Calibri"/>
          <w:b/>
        </w:rPr>
        <w:t>library</w:t>
      </w:r>
      <w:r>
        <w:t>—providing</w:t>
      </w:r>
      <w:r>
        <w:rPr>
          <w:spacing w:val="-5"/>
        </w:rPr>
        <w:t xml:space="preserve"> </w:t>
      </w:r>
      <w:r>
        <w:t>library</w:t>
      </w:r>
      <w:r>
        <w:rPr>
          <w:spacing w:val="-5"/>
        </w:rPr>
        <w:t xml:space="preserve"> </w:t>
      </w:r>
      <w:r>
        <w:t>information</w:t>
      </w:r>
      <w:r>
        <w:rPr>
          <w:spacing w:val="-5"/>
        </w:rPr>
        <w:t xml:space="preserve"> </w:t>
      </w:r>
      <w:r>
        <w:t>and</w:t>
      </w:r>
      <w:r>
        <w:rPr>
          <w:spacing w:val="-5"/>
        </w:rPr>
        <w:t xml:space="preserve"> </w:t>
      </w:r>
      <w:r>
        <w:t>reference</w:t>
      </w:r>
      <w:r>
        <w:rPr>
          <w:spacing w:val="-6"/>
        </w:rPr>
        <w:t xml:space="preserve"> </w:t>
      </w:r>
      <w:r>
        <w:t>services</w:t>
      </w:r>
      <w:r>
        <w:rPr>
          <w:spacing w:val="-5"/>
        </w:rPr>
        <w:t xml:space="preserve"> </w:t>
      </w:r>
      <w:r>
        <w:t>for</w:t>
      </w:r>
      <w:r>
        <w:rPr>
          <w:spacing w:val="-6"/>
        </w:rPr>
        <w:t xml:space="preserve"> </w:t>
      </w:r>
      <w:r>
        <w:t>MLAs,</w:t>
      </w:r>
      <w:r>
        <w:rPr>
          <w:spacing w:val="-5"/>
        </w:rPr>
        <w:t xml:space="preserve"> </w:t>
      </w:r>
      <w:r>
        <w:t>their</w:t>
      </w:r>
      <w:r>
        <w:rPr>
          <w:spacing w:val="-5"/>
        </w:rPr>
        <w:t xml:space="preserve"> </w:t>
      </w:r>
      <w:r>
        <w:t>staff,</w:t>
      </w:r>
      <w:r>
        <w:rPr>
          <w:spacing w:val="-5"/>
        </w:rPr>
        <w:t xml:space="preserve"> </w:t>
      </w:r>
      <w:r>
        <w:t>Office staff and other ACT public sector</w:t>
      </w:r>
      <w:r>
        <w:rPr>
          <w:spacing w:val="-5"/>
        </w:rPr>
        <w:t xml:space="preserve"> </w:t>
      </w:r>
      <w:r>
        <w:t>employees.</w:t>
      </w:r>
    </w:p>
    <w:p w:rsidR="006C17CB" w:rsidRDefault="006C17CB">
      <w:pPr>
        <w:pStyle w:val="BodyText"/>
        <w:spacing w:before="7"/>
        <w:rPr>
          <w:sz w:val="29"/>
        </w:rPr>
      </w:pPr>
    </w:p>
    <w:p w:rsidR="006C17CB" w:rsidRDefault="0030091C">
      <w:pPr>
        <w:ind w:left="153"/>
        <w:rPr>
          <w:rFonts w:ascii="Montserrat-SemiBoldItalic"/>
          <w:b/>
          <w:i/>
          <w:sz w:val="20"/>
        </w:rPr>
      </w:pPr>
      <w:r>
        <w:rPr>
          <w:rFonts w:ascii="Montserrat-SemiBoldItalic"/>
          <w:b/>
          <w:i/>
          <w:sz w:val="20"/>
        </w:rPr>
        <w:t>Business Support Branch</w:t>
      </w:r>
    </w:p>
    <w:p w:rsidR="006C17CB" w:rsidRDefault="0030091C">
      <w:pPr>
        <w:pStyle w:val="BodyText"/>
        <w:spacing w:before="166" w:line="189" w:lineRule="auto"/>
        <w:ind w:left="153" w:right="1078"/>
      </w:pPr>
      <w:r>
        <w:t>The Business Support Branch is responsible for servicing and advising non-executive members, their staff, the Clerk and Office staff in relation to a range of key functions, including:</w:t>
      </w:r>
    </w:p>
    <w:p w:rsidR="006C17CB" w:rsidRDefault="0030091C">
      <w:pPr>
        <w:pStyle w:val="ListParagraph"/>
        <w:numPr>
          <w:ilvl w:val="0"/>
          <w:numId w:val="22"/>
        </w:numPr>
        <w:tabs>
          <w:tab w:val="left" w:pos="381"/>
        </w:tabs>
        <w:spacing w:before="58" w:line="306" w:lineRule="exact"/>
      </w:pPr>
      <w:r>
        <w:rPr>
          <w:rFonts w:ascii="Calibri" w:hAnsi="Calibri"/>
          <w:b/>
        </w:rPr>
        <w:t>Finance</w:t>
      </w:r>
      <w:r>
        <w:t>—financial and budgetary management</w:t>
      </w:r>
      <w:r>
        <w:rPr>
          <w:spacing w:val="-3"/>
        </w:rPr>
        <w:t xml:space="preserve"> </w:t>
      </w:r>
      <w:r>
        <w:t>services;</w:t>
      </w:r>
    </w:p>
    <w:p w:rsidR="006C17CB" w:rsidRDefault="0030091C">
      <w:pPr>
        <w:pStyle w:val="ListParagraph"/>
        <w:numPr>
          <w:ilvl w:val="0"/>
          <w:numId w:val="22"/>
        </w:numPr>
        <w:tabs>
          <w:tab w:val="left" w:pos="381"/>
        </w:tabs>
      </w:pPr>
      <w:r>
        <w:rPr>
          <w:rFonts w:ascii="Calibri" w:hAnsi="Calibri"/>
          <w:b/>
        </w:rPr>
        <w:t>Human resources and entitlements</w:t>
      </w:r>
      <w:r>
        <w:t>—HR, payroll and entitlements advisory</w:t>
      </w:r>
      <w:r>
        <w:rPr>
          <w:spacing w:val="-5"/>
        </w:rPr>
        <w:t xml:space="preserve"> </w:t>
      </w:r>
      <w:r>
        <w:t>services;</w:t>
      </w:r>
    </w:p>
    <w:p w:rsidR="006C17CB" w:rsidRDefault="0030091C">
      <w:pPr>
        <w:pStyle w:val="ListParagraph"/>
        <w:numPr>
          <w:ilvl w:val="0"/>
          <w:numId w:val="22"/>
        </w:numPr>
        <w:tabs>
          <w:tab w:val="left" w:pos="381"/>
        </w:tabs>
      </w:pPr>
      <w:r>
        <w:rPr>
          <w:rFonts w:ascii="Calibri" w:hAnsi="Calibri"/>
          <w:b/>
        </w:rPr>
        <w:t>Broadcasting, information and technology</w:t>
      </w:r>
      <w:r>
        <w:t>—ICT, records management and broadcasting services;</w:t>
      </w:r>
      <w:r>
        <w:rPr>
          <w:spacing w:val="-13"/>
        </w:rPr>
        <w:t xml:space="preserve"> </w:t>
      </w:r>
      <w:r>
        <w:t>and</w:t>
      </w:r>
    </w:p>
    <w:p w:rsidR="006C17CB" w:rsidRDefault="0030091C">
      <w:pPr>
        <w:pStyle w:val="ListParagraph"/>
        <w:numPr>
          <w:ilvl w:val="0"/>
          <w:numId w:val="22"/>
        </w:numPr>
        <w:tabs>
          <w:tab w:val="left" w:pos="381"/>
        </w:tabs>
        <w:spacing w:line="306" w:lineRule="exact"/>
      </w:pPr>
      <w:r>
        <w:rPr>
          <w:rFonts w:ascii="Calibri" w:hAnsi="Calibri"/>
          <w:b/>
        </w:rPr>
        <w:t>Security and building services</w:t>
      </w:r>
      <w:r>
        <w:t>—security, facilities and building management</w:t>
      </w:r>
      <w:r>
        <w:rPr>
          <w:spacing w:val="-7"/>
        </w:rPr>
        <w:t xml:space="preserve"> </w:t>
      </w:r>
      <w:r>
        <w:t>services.</w:t>
      </w:r>
    </w:p>
    <w:p w:rsidR="006C17CB" w:rsidRDefault="0030091C">
      <w:pPr>
        <w:pStyle w:val="BodyText"/>
        <w:spacing w:before="185" w:line="189" w:lineRule="auto"/>
        <w:ind w:left="153" w:right="1175"/>
      </w:pPr>
      <w:r>
        <w:t xml:space="preserve">The Office’s executive management committee </w:t>
      </w:r>
      <w:r>
        <w:rPr>
          <w:spacing w:val="-3"/>
        </w:rPr>
        <w:t xml:space="preserve">(EMC) </w:t>
      </w:r>
      <w:r>
        <w:t xml:space="preserve">is responsible for the overall governance of the Office: financial management, strategic direction and policy. It is composed of: the Clerk; the Deputy Clerk and </w:t>
      </w:r>
      <w:r>
        <w:rPr>
          <w:spacing w:val="-3"/>
        </w:rPr>
        <w:t xml:space="preserve">Serjeant-at-Arms; </w:t>
      </w:r>
      <w:r>
        <w:t xml:space="preserve">the Executive Manager; the </w:t>
      </w:r>
      <w:r>
        <w:rPr>
          <w:spacing w:val="-3"/>
        </w:rPr>
        <w:t xml:space="preserve">Director, </w:t>
      </w:r>
      <w:r>
        <w:t xml:space="preserve">Office of the Clerk; and the Chief Finance </w:t>
      </w:r>
      <w:r>
        <w:rPr>
          <w:spacing w:val="-3"/>
        </w:rPr>
        <w:t>Officer.</w:t>
      </w:r>
    </w:p>
    <w:p w:rsidR="006C17CB" w:rsidRDefault="006C17CB">
      <w:pPr>
        <w:spacing w:line="189" w:lineRule="auto"/>
        <w:sectPr w:rsidR="006C17CB">
          <w:pgSz w:w="11910" w:h="16840"/>
          <w:pgMar w:top="1580" w:right="0" w:bottom="720" w:left="980" w:header="0" w:footer="44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2"/>
        <w:rPr>
          <w:sz w:val="19"/>
        </w:rPr>
      </w:pPr>
    </w:p>
    <w:p w:rsidR="006C17CB" w:rsidRDefault="0030091C">
      <w:pPr>
        <w:spacing w:before="8"/>
        <w:ind w:left="157"/>
        <w:rPr>
          <w:rFonts w:ascii="Calibri"/>
          <w:i/>
        </w:rPr>
      </w:pPr>
      <w:r>
        <w:rPr>
          <w:rFonts w:ascii="Calibri"/>
          <w:b/>
          <w:sz w:val="18"/>
        </w:rPr>
        <w:t xml:space="preserve">FIGURE 1. </w:t>
      </w:r>
      <w:r>
        <w:rPr>
          <w:rFonts w:ascii="Calibri"/>
          <w:i/>
        </w:rPr>
        <w:t>Organisational structure of the Office of the Legislative Assembly as at 30 June 2018</w:t>
      </w:r>
    </w:p>
    <w:p w:rsidR="006C17CB" w:rsidRDefault="0030091C">
      <w:pPr>
        <w:pStyle w:val="BodyText"/>
        <w:spacing w:before="10"/>
        <w:rPr>
          <w:rFonts w:ascii="Calibri"/>
          <w:i/>
          <w:sz w:val="7"/>
        </w:rPr>
      </w:pPr>
      <w:r>
        <w:rPr>
          <w:noProof/>
          <w:lang w:val="en-AU" w:eastAsia="en-AU" w:bidi="ar-SA"/>
        </w:rPr>
        <w:drawing>
          <wp:anchor distT="0" distB="0" distL="0" distR="0" simplePos="0" relativeHeight="1336" behindDoc="0" locked="0" layoutInCell="1" allowOverlap="1">
            <wp:simplePos x="0" y="0"/>
            <wp:positionH relativeFrom="page">
              <wp:posOffset>766869</wp:posOffset>
            </wp:positionH>
            <wp:positionV relativeFrom="paragraph">
              <wp:posOffset>95264</wp:posOffset>
            </wp:positionV>
            <wp:extent cx="5574598" cy="7934325"/>
            <wp:effectExtent l="0" t="0" r="0" b="0"/>
            <wp:wrapTopAndBottom/>
            <wp:docPr id="3" name="image4.png" descr="This image shows the organisational structure of the Office of the Legislative Assembly as at 30 June 2018.  It shows the three main business areas (the Office of the Clerk, Parliamentary Support Branch, and Business Support Branch), and their staffing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0" cstate="print"/>
                    <a:stretch>
                      <a:fillRect/>
                    </a:stretch>
                  </pic:blipFill>
                  <pic:spPr>
                    <a:xfrm>
                      <a:off x="0" y="0"/>
                      <a:ext cx="5574598" cy="7934325"/>
                    </a:xfrm>
                    <a:prstGeom prst="rect">
                      <a:avLst/>
                    </a:prstGeom>
                  </pic:spPr>
                </pic:pic>
              </a:graphicData>
            </a:graphic>
          </wp:anchor>
        </w:drawing>
      </w:r>
    </w:p>
    <w:p w:rsidR="006C17CB" w:rsidRDefault="006C17CB">
      <w:pPr>
        <w:rPr>
          <w:rFonts w:ascii="Calibri"/>
          <w:sz w:val="7"/>
        </w:rPr>
        <w:sectPr w:rsidR="006C17CB">
          <w:pgSz w:w="11910" w:h="16840"/>
          <w:pgMar w:top="1580" w:right="0" w:bottom="740" w:left="980" w:header="0" w:footer="551" w:gutter="0"/>
          <w:cols w:space="720"/>
        </w:sectPr>
      </w:pPr>
    </w:p>
    <w:p w:rsidR="006C17CB" w:rsidRDefault="0030091C">
      <w:pPr>
        <w:pStyle w:val="Heading3"/>
      </w:pPr>
      <w:bookmarkStart w:id="38" w:name="Assembly_proceedings"/>
      <w:bookmarkStart w:id="39" w:name="Chamber_proceedings"/>
      <w:bookmarkStart w:id="40" w:name="Assembly_committees"/>
      <w:bookmarkStart w:id="41" w:name="_bookmark9"/>
      <w:bookmarkEnd w:id="38"/>
      <w:bookmarkEnd w:id="39"/>
      <w:bookmarkEnd w:id="40"/>
      <w:bookmarkEnd w:id="41"/>
      <w:r>
        <w:rPr>
          <w:color w:val="004289"/>
        </w:rPr>
        <w:t>ASSEMBLY PROCEEDINGS</w:t>
      </w:r>
    </w:p>
    <w:p w:rsidR="006C17CB" w:rsidRDefault="006C17CB">
      <w:pPr>
        <w:pStyle w:val="BodyText"/>
        <w:spacing w:before="11"/>
        <w:rPr>
          <w:rFonts w:ascii="Montserrat-SemiBold"/>
          <w:b/>
          <w:sz w:val="71"/>
        </w:rPr>
      </w:pPr>
    </w:p>
    <w:p w:rsidR="006C17CB" w:rsidRDefault="0030091C">
      <w:pPr>
        <w:pStyle w:val="Heading5"/>
        <w:spacing w:before="1"/>
        <w:rPr>
          <w:rFonts w:ascii="Montserrat"/>
        </w:rPr>
      </w:pPr>
      <w:r>
        <w:rPr>
          <w:rFonts w:ascii="Montserrat"/>
          <w:color w:val="556EAA"/>
        </w:rPr>
        <w:t>Chamber proceedings</w:t>
      </w:r>
    </w:p>
    <w:p w:rsidR="006C17CB" w:rsidRDefault="0030091C">
      <w:pPr>
        <w:pStyle w:val="BodyText"/>
        <w:spacing w:before="89" w:line="189" w:lineRule="auto"/>
        <w:ind w:left="153" w:right="1425"/>
      </w:pPr>
      <w:r>
        <w:t xml:space="preserve">In </w:t>
      </w:r>
      <w:r>
        <w:rPr>
          <w:spacing w:val="-5"/>
        </w:rPr>
        <w:t xml:space="preserve">2017-2018 </w:t>
      </w:r>
      <w:r>
        <w:t xml:space="preserve">the Office provided procedural services to members and their staff, facilitating the efficient functioning of the business of the Assembly on </w:t>
      </w:r>
      <w:r>
        <w:rPr>
          <w:spacing w:val="-4"/>
        </w:rPr>
        <w:t xml:space="preserve">42 </w:t>
      </w:r>
      <w:r>
        <w:t xml:space="preserve">sitting days. The following chart compares the chamber activity in </w:t>
      </w:r>
      <w:r>
        <w:rPr>
          <w:spacing w:val="-4"/>
        </w:rPr>
        <w:t xml:space="preserve">2016-2017 </w:t>
      </w:r>
      <w:r>
        <w:t xml:space="preserve">with </w:t>
      </w:r>
      <w:r>
        <w:rPr>
          <w:spacing w:val="-5"/>
        </w:rPr>
        <w:t xml:space="preserve">2017-2018. </w:t>
      </w:r>
      <w:r>
        <w:t xml:space="preserve">It is worth noting that </w:t>
      </w:r>
      <w:r>
        <w:rPr>
          <w:spacing w:val="-4"/>
        </w:rPr>
        <w:t xml:space="preserve">2016-2017 </w:t>
      </w:r>
      <w:r>
        <w:t xml:space="preserve">was an election </w:t>
      </w:r>
      <w:r>
        <w:rPr>
          <w:spacing w:val="-5"/>
        </w:rPr>
        <w:t xml:space="preserve">year, </w:t>
      </w:r>
      <w:r>
        <w:t>with reduced sittings.</w:t>
      </w:r>
    </w:p>
    <w:p w:rsidR="006C17CB" w:rsidRDefault="006C17CB">
      <w:pPr>
        <w:pStyle w:val="BodyText"/>
        <w:spacing w:before="8"/>
        <w:rPr>
          <w:sz w:val="27"/>
        </w:rPr>
      </w:pPr>
    </w:p>
    <w:p w:rsidR="006C17CB" w:rsidRDefault="0030091C">
      <w:pPr>
        <w:ind w:left="157"/>
        <w:rPr>
          <w:rFonts w:ascii="Calibri"/>
          <w:i/>
        </w:rPr>
      </w:pPr>
      <w:r>
        <w:rPr>
          <w:rFonts w:ascii="Calibri"/>
          <w:b/>
          <w:sz w:val="18"/>
        </w:rPr>
        <w:t xml:space="preserve">FIGURE 2. </w:t>
      </w:r>
      <w:r>
        <w:rPr>
          <w:rFonts w:ascii="Calibri"/>
          <w:i/>
        </w:rPr>
        <w:t>Chamber activity</w:t>
      </w:r>
    </w:p>
    <w:p w:rsidR="006C17CB" w:rsidRDefault="0030091C">
      <w:pPr>
        <w:pStyle w:val="BodyText"/>
        <w:spacing w:before="8"/>
        <w:rPr>
          <w:rFonts w:ascii="Calibri"/>
          <w:i/>
          <w:sz w:val="19"/>
        </w:rPr>
      </w:pPr>
      <w:r>
        <w:rPr>
          <w:noProof/>
          <w:lang w:val="en-AU" w:eastAsia="en-AU" w:bidi="ar-SA"/>
        </w:rPr>
        <w:drawing>
          <wp:anchor distT="0" distB="0" distL="0" distR="0" simplePos="0" relativeHeight="1360" behindDoc="0" locked="0" layoutInCell="1" allowOverlap="1">
            <wp:simplePos x="0" y="0"/>
            <wp:positionH relativeFrom="page">
              <wp:posOffset>798301</wp:posOffset>
            </wp:positionH>
            <wp:positionV relativeFrom="paragraph">
              <wp:posOffset>204370</wp:posOffset>
            </wp:positionV>
            <wp:extent cx="5418201" cy="2747010"/>
            <wp:effectExtent l="0" t="0" r="0" b="0"/>
            <wp:wrapTopAndBottom/>
            <wp:docPr id="5" name="image5.jpeg" descr="This chart shows that the following activities have increased this financial year when compared to last year: bills introduced, bills passed and notified on the legislation register, items of subordinate legislation tabled, petitions presented, and questions plaed on the notice paper. Questions placed on the notice paper increased significantly from 377 to 1207. Bills amended decreasd from 16 to 13. More chamber statistics are provided in Appendice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1" cstate="print"/>
                    <a:stretch>
                      <a:fillRect/>
                    </a:stretch>
                  </pic:blipFill>
                  <pic:spPr>
                    <a:xfrm>
                      <a:off x="0" y="0"/>
                      <a:ext cx="5418201" cy="2747010"/>
                    </a:xfrm>
                    <a:prstGeom prst="rect">
                      <a:avLst/>
                    </a:prstGeom>
                  </pic:spPr>
                </pic:pic>
              </a:graphicData>
            </a:graphic>
          </wp:anchor>
        </w:drawing>
      </w:r>
    </w:p>
    <w:p w:rsidR="006C17CB" w:rsidRDefault="006C17CB">
      <w:pPr>
        <w:pStyle w:val="BodyText"/>
        <w:spacing w:before="9"/>
        <w:rPr>
          <w:rFonts w:ascii="Calibri"/>
          <w:i/>
          <w:sz w:val="24"/>
        </w:rPr>
      </w:pPr>
    </w:p>
    <w:p w:rsidR="006C17CB" w:rsidRDefault="0030091C">
      <w:pPr>
        <w:pStyle w:val="BodyText"/>
        <w:spacing w:before="1" w:line="189" w:lineRule="auto"/>
        <w:ind w:left="153" w:right="1412"/>
      </w:pPr>
      <w:r>
        <w:t>A full range of statistics on the business of the Assembly for this and previous years is included in the appendices section of this report.</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Assembly committees</w:t>
      </w:r>
    </w:p>
    <w:p w:rsidR="006C17CB" w:rsidRDefault="0030091C">
      <w:pPr>
        <w:pStyle w:val="BodyText"/>
        <w:spacing w:before="90" w:line="189" w:lineRule="auto"/>
        <w:ind w:left="153" w:right="1177"/>
      </w:pPr>
      <w:r>
        <w:t>Committees, supported by the Office, contribute to the work of the ACT Legislative Assembly by inquiring into and reporting on a broad range of issues. By conducting inquiries, the committee system aims to ensure that executive government is accountable to the Legislative Assembly and that members of the community have opportunities to participate in the governance of the territory.</w:t>
      </w:r>
    </w:p>
    <w:p w:rsidR="006C17CB" w:rsidRDefault="0030091C">
      <w:pPr>
        <w:pStyle w:val="BodyText"/>
        <w:spacing w:before="111" w:line="189" w:lineRule="auto"/>
        <w:ind w:left="153" w:right="1412"/>
      </w:pPr>
      <w:r>
        <w:t>Committee inquiries can arise from direct referral by the Legislative Assembly, as a result of statutory requirements, or as determined by individual committees through self-referral.</w:t>
      </w:r>
    </w:p>
    <w:p w:rsidR="006C17CB" w:rsidRDefault="0030091C">
      <w:pPr>
        <w:pStyle w:val="BodyText"/>
        <w:spacing w:before="58"/>
        <w:ind w:left="153"/>
      </w:pPr>
      <w:r>
        <w:t>The Office has supported eight standing committees, established on 13 December 2016:</w:t>
      </w:r>
    </w:p>
    <w:p w:rsidR="006C17CB" w:rsidRDefault="0030091C">
      <w:pPr>
        <w:pStyle w:val="ListParagraph"/>
        <w:numPr>
          <w:ilvl w:val="0"/>
          <w:numId w:val="22"/>
        </w:numPr>
        <w:tabs>
          <w:tab w:val="left" w:pos="381"/>
        </w:tabs>
        <w:spacing w:before="46" w:line="306" w:lineRule="exact"/>
      </w:pPr>
      <w:r>
        <w:t>Standing Committee on Administration and</w:t>
      </w:r>
      <w:r>
        <w:rPr>
          <w:spacing w:val="-4"/>
        </w:rPr>
        <w:t xml:space="preserve"> </w:t>
      </w:r>
      <w:r>
        <w:t>Procedure;</w:t>
      </w:r>
    </w:p>
    <w:p w:rsidR="006C17CB" w:rsidRDefault="0030091C">
      <w:pPr>
        <w:pStyle w:val="ListParagraph"/>
        <w:numPr>
          <w:ilvl w:val="0"/>
          <w:numId w:val="22"/>
        </w:numPr>
        <w:tabs>
          <w:tab w:val="left" w:pos="381"/>
        </w:tabs>
      </w:pPr>
      <w:r>
        <w:t>Standing Committee on Economic Development and</w:t>
      </w:r>
      <w:r>
        <w:rPr>
          <w:spacing w:val="-5"/>
        </w:rPr>
        <w:t xml:space="preserve"> </w:t>
      </w:r>
      <w:r>
        <w:rPr>
          <w:spacing w:val="-4"/>
        </w:rPr>
        <w:t>Tourism;</w:t>
      </w:r>
    </w:p>
    <w:p w:rsidR="006C17CB" w:rsidRDefault="0030091C">
      <w:pPr>
        <w:pStyle w:val="ListParagraph"/>
        <w:numPr>
          <w:ilvl w:val="0"/>
          <w:numId w:val="22"/>
        </w:numPr>
        <w:tabs>
          <w:tab w:val="left" w:pos="381"/>
        </w:tabs>
      </w:pPr>
      <w:r>
        <w:t xml:space="preserve">Standing Committee on Education, Employment and </w:t>
      </w:r>
      <w:r>
        <w:rPr>
          <w:spacing w:val="-3"/>
        </w:rPr>
        <w:t>Youth</w:t>
      </w:r>
      <w:r>
        <w:rPr>
          <w:spacing w:val="-6"/>
        </w:rPr>
        <w:t xml:space="preserve"> </w:t>
      </w:r>
      <w:r>
        <w:t>Affairs;</w:t>
      </w:r>
    </w:p>
    <w:p w:rsidR="006C17CB" w:rsidRDefault="0030091C">
      <w:pPr>
        <w:pStyle w:val="ListParagraph"/>
        <w:numPr>
          <w:ilvl w:val="0"/>
          <w:numId w:val="22"/>
        </w:numPr>
        <w:tabs>
          <w:tab w:val="left" w:pos="381"/>
        </w:tabs>
      </w:pPr>
      <w:r>
        <w:t>Standing Committee on Environment and Transport and City</w:t>
      </w:r>
      <w:r>
        <w:rPr>
          <w:spacing w:val="-6"/>
        </w:rPr>
        <w:t xml:space="preserve"> </w:t>
      </w:r>
      <w:r>
        <w:t>Services;</w:t>
      </w:r>
    </w:p>
    <w:p w:rsidR="006C17CB" w:rsidRDefault="0030091C">
      <w:pPr>
        <w:pStyle w:val="ListParagraph"/>
        <w:numPr>
          <w:ilvl w:val="0"/>
          <w:numId w:val="22"/>
        </w:numPr>
        <w:tabs>
          <w:tab w:val="left" w:pos="381"/>
        </w:tabs>
      </w:pPr>
      <w:r>
        <w:t>Standing Committee on Health, Ageing and Community</w:t>
      </w:r>
      <w:r>
        <w:rPr>
          <w:spacing w:val="-4"/>
        </w:rPr>
        <w:t xml:space="preserve"> </w:t>
      </w:r>
      <w:r>
        <w:t>Services;</w:t>
      </w:r>
    </w:p>
    <w:p w:rsidR="006C17CB" w:rsidRDefault="0030091C">
      <w:pPr>
        <w:pStyle w:val="ListParagraph"/>
        <w:numPr>
          <w:ilvl w:val="0"/>
          <w:numId w:val="22"/>
        </w:numPr>
        <w:tabs>
          <w:tab w:val="left" w:pos="381"/>
        </w:tabs>
      </w:pPr>
      <w:r>
        <w:t xml:space="preserve">Standing Committee on Justice and Community Safety </w:t>
      </w:r>
      <w:r>
        <w:rPr>
          <w:spacing w:val="-3"/>
        </w:rPr>
        <w:t xml:space="preserve">(also </w:t>
      </w:r>
      <w:r>
        <w:t>performs a legislative scrutiny</w:t>
      </w:r>
      <w:r>
        <w:rPr>
          <w:spacing w:val="-11"/>
        </w:rPr>
        <w:t xml:space="preserve"> </w:t>
      </w:r>
      <w:r>
        <w:rPr>
          <w:spacing w:val="-3"/>
        </w:rPr>
        <w:t>role);</w:t>
      </w:r>
    </w:p>
    <w:p w:rsidR="006C17CB" w:rsidRDefault="0030091C">
      <w:pPr>
        <w:pStyle w:val="ListParagraph"/>
        <w:numPr>
          <w:ilvl w:val="0"/>
          <w:numId w:val="22"/>
        </w:numPr>
        <w:tabs>
          <w:tab w:val="left" w:pos="381"/>
        </w:tabs>
      </w:pPr>
      <w:r>
        <w:t xml:space="preserve">Standing Committee on Planning and Urban </w:t>
      </w:r>
      <w:r>
        <w:rPr>
          <w:spacing w:val="-3"/>
        </w:rPr>
        <w:t>Renewal;</w:t>
      </w:r>
      <w:r>
        <w:rPr>
          <w:spacing w:val="-4"/>
        </w:rPr>
        <w:t xml:space="preserve"> </w:t>
      </w:r>
      <w:r>
        <w:t>and</w:t>
      </w:r>
    </w:p>
    <w:p w:rsidR="006C17CB" w:rsidRDefault="0030091C">
      <w:pPr>
        <w:pStyle w:val="ListParagraph"/>
        <w:numPr>
          <w:ilvl w:val="0"/>
          <w:numId w:val="22"/>
        </w:numPr>
        <w:tabs>
          <w:tab w:val="left" w:pos="381"/>
        </w:tabs>
        <w:spacing w:line="306" w:lineRule="exact"/>
      </w:pPr>
      <w:r>
        <w:t>Standing Committee on Public</w:t>
      </w:r>
      <w:r>
        <w:rPr>
          <w:spacing w:val="-3"/>
        </w:rPr>
        <w:t xml:space="preserve"> </w:t>
      </w:r>
      <w:r>
        <w:t>Accounts.</w:t>
      </w:r>
    </w:p>
    <w:p w:rsidR="006C17CB" w:rsidRDefault="006C17CB">
      <w:pPr>
        <w:spacing w:line="306" w:lineRule="exact"/>
        <w:sectPr w:rsidR="006C17CB">
          <w:pgSz w:w="11910" w:h="16840"/>
          <w:pgMar w:top="1040" w:right="0" w:bottom="700" w:left="980" w:header="0" w:footer="44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2"/>
        <w:rPr>
          <w:sz w:val="19"/>
        </w:rPr>
      </w:pPr>
    </w:p>
    <w:p w:rsidR="006C17CB" w:rsidRDefault="0030091C">
      <w:pPr>
        <w:pStyle w:val="BodyText"/>
        <w:spacing w:before="8"/>
        <w:ind w:left="153"/>
      </w:pPr>
      <w:r>
        <w:t>The Office also supported these select committees during the reporting period:</w:t>
      </w:r>
    </w:p>
    <w:p w:rsidR="006C17CB" w:rsidRDefault="0030091C">
      <w:pPr>
        <w:pStyle w:val="ListParagraph"/>
        <w:numPr>
          <w:ilvl w:val="0"/>
          <w:numId w:val="22"/>
        </w:numPr>
        <w:tabs>
          <w:tab w:val="left" w:pos="381"/>
        </w:tabs>
        <w:spacing w:before="100" w:line="189" w:lineRule="auto"/>
        <w:ind w:right="1711"/>
      </w:pPr>
      <w:r>
        <w:t xml:space="preserve">Select Committee on the </w:t>
      </w:r>
      <w:r>
        <w:rPr>
          <w:spacing w:val="-4"/>
        </w:rPr>
        <w:t xml:space="preserve">2016 </w:t>
      </w:r>
      <w:r>
        <w:t xml:space="preserve">ACT Election and Electoral Act, established 15 December </w:t>
      </w:r>
      <w:r>
        <w:rPr>
          <w:spacing w:val="-3"/>
        </w:rPr>
        <w:t xml:space="preserve">2016, </w:t>
      </w:r>
      <w:r>
        <w:t>which presented its report to the Assembly on 30 November</w:t>
      </w:r>
      <w:r>
        <w:rPr>
          <w:spacing w:val="-7"/>
        </w:rPr>
        <w:t xml:space="preserve"> </w:t>
      </w:r>
      <w:r>
        <w:rPr>
          <w:spacing w:val="-6"/>
        </w:rPr>
        <w:t>2017;</w:t>
      </w:r>
    </w:p>
    <w:p w:rsidR="006C17CB" w:rsidRDefault="0030091C">
      <w:pPr>
        <w:pStyle w:val="ListParagraph"/>
        <w:numPr>
          <w:ilvl w:val="0"/>
          <w:numId w:val="22"/>
        </w:numPr>
        <w:tabs>
          <w:tab w:val="left" w:pos="381"/>
        </w:tabs>
        <w:spacing w:before="44" w:line="189" w:lineRule="auto"/>
        <w:ind w:right="1426"/>
      </w:pPr>
      <w:r>
        <w:t xml:space="preserve">Select Committee on Estimates </w:t>
      </w:r>
      <w:r>
        <w:rPr>
          <w:spacing w:val="-5"/>
        </w:rPr>
        <w:t xml:space="preserve">2017–2018, </w:t>
      </w:r>
      <w:r>
        <w:t xml:space="preserve">established </w:t>
      </w:r>
      <w:r>
        <w:rPr>
          <w:spacing w:val="-3"/>
        </w:rPr>
        <w:t xml:space="preserve">16 </w:t>
      </w:r>
      <w:r>
        <w:t xml:space="preserve">February </w:t>
      </w:r>
      <w:r>
        <w:rPr>
          <w:spacing w:val="-8"/>
        </w:rPr>
        <w:t xml:space="preserve">2017, </w:t>
      </w:r>
      <w:r>
        <w:t>which presented its report to the Assembly on 1 August</w:t>
      </w:r>
      <w:r>
        <w:rPr>
          <w:spacing w:val="-3"/>
        </w:rPr>
        <w:t xml:space="preserve"> </w:t>
      </w:r>
      <w:r>
        <w:rPr>
          <w:spacing w:val="-6"/>
        </w:rPr>
        <w:t>2017;</w:t>
      </w:r>
    </w:p>
    <w:p w:rsidR="006C17CB" w:rsidRDefault="0030091C">
      <w:pPr>
        <w:pStyle w:val="ListParagraph"/>
        <w:numPr>
          <w:ilvl w:val="0"/>
          <w:numId w:val="22"/>
        </w:numPr>
        <w:tabs>
          <w:tab w:val="left" w:pos="381"/>
        </w:tabs>
        <w:spacing w:before="45" w:line="189" w:lineRule="auto"/>
        <w:ind w:right="1885"/>
      </w:pPr>
      <w:r>
        <w:t>Select</w:t>
      </w:r>
      <w:r>
        <w:rPr>
          <w:spacing w:val="-6"/>
        </w:rPr>
        <w:t xml:space="preserve"> </w:t>
      </w:r>
      <w:r>
        <w:t>Committee</w:t>
      </w:r>
      <w:r>
        <w:rPr>
          <w:spacing w:val="-7"/>
        </w:rPr>
        <w:t xml:space="preserve"> </w:t>
      </w:r>
      <w:r>
        <w:t>on</w:t>
      </w:r>
      <w:r>
        <w:rPr>
          <w:spacing w:val="-6"/>
        </w:rPr>
        <w:t xml:space="preserve"> </w:t>
      </w:r>
      <w:r>
        <w:t>an</w:t>
      </w:r>
      <w:r>
        <w:rPr>
          <w:spacing w:val="-6"/>
        </w:rPr>
        <w:t xml:space="preserve"> </w:t>
      </w:r>
      <w:r>
        <w:t>Independent</w:t>
      </w:r>
      <w:r>
        <w:rPr>
          <w:spacing w:val="-6"/>
        </w:rPr>
        <w:t xml:space="preserve"> </w:t>
      </w:r>
      <w:r>
        <w:t>Integrity</w:t>
      </w:r>
      <w:r>
        <w:rPr>
          <w:spacing w:val="-6"/>
        </w:rPr>
        <w:t xml:space="preserve"> </w:t>
      </w:r>
      <w:r>
        <w:t>Commission,</w:t>
      </w:r>
      <w:r>
        <w:rPr>
          <w:spacing w:val="-6"/>
        </w:rPr>
        <w:t xml:space="preserve"> </w:t>
      </w:r>
      <w:r>
        <w:t>established</w:t>
      </w:r>
      <w:r>
        <w:rPr>
          <w:spacing w:val="-7"/>
        </w:rPr>
        <w:t xml:space="preserve"> </w:t>
      </w:r>
      <w:r>
        <w:t>15</w:t>
      </w:r>
      <w:r>
        <w:rPr>
          <w:spacing w:val="-6"/>
        </w:rPr>
        <w:t xml:space="preserve"> </w:t>
      </w:r>
      <w:r>
        <w:t>December</w:t>
      </w:r>
      <w:r>
        <w:rPr>
          <w:spacing w:val="-6"/>
        </w:rPr>
        <w:t xml:space="preserve"> </w:t>
      </w:r>
      <w:r>
        <w:rPr>
          <w:spacing w:val="-3"/>
        </w:rPr>
        <w:t>2016,</w:t>
      </w:r>
      <w:r>
        <w:rPr>
          <w:spacing w:val="-6"/>
        </w:rPr>
        <w:t xml:space="preserve"> </w:t>
      </w:r>
      <w:r>
        <w:t xml:space="preserve">which presented its report to the Assembly on </w:t>
      </w:r>
      <w:r>
        <w:rPr>
          <w:spacing w:val="-5"/>
        </w:rPr>
        <w:t xml:space="preserve">31 </w:t>
      </w:r>
      <w:r>
        <w:t xml:space="preserve">October </w:t>
      </w:r>
      <w:r>
        <w:rPr>
          <w:spacing w:val="-6"/>
        </w:rPr>
        <w:t>2017;</w:t>
      </w:r>
    </w:p>
    <w:p w:rsidR="006C17CB" w:rsidRDefault="0030091C">
      <w:pPr>
        <w:pStyle w:val="ListParagraph"/>
        <w:numPr>
          <w:ilvl w:val="0"/>
          <w:numId w:val="22"/>
        </w:numPr>
        <w:tabs>
          <w:tab w:val="left" w:pos="381"/>
        </w:tabs>
        <w:spacing w:before="44" w:line="189" w:lineRule="auto"/>
        <w:ind w:right="1981"/>
      </w:pPr>
      <w:r>
        <w:t>Select</w:t>
      </w:r>
      <w:r>
        <w:rPr>
          <w:spacing w:val="-5"/>
        </w:rPr>
        <w:t xml:space="preserve"> </w:t>
      </w:r>
      <w:r>
        <w:t>Committee</w:t>
      </w:r>
      <w:r>
        <w:rPr>
          <w:spacing w:val="-6"/>
        </w:rPr>
        <w:t xml:space="preserve"> </w:t>
      </w:r>
      <w:r>
        <w:t>on</w:t>
      </w:r>
      <w:r>
        <w:rPr>
          <w:spacing w:val="-5"/>
        </w:rPr>
        <w:t xml:space="preserve"> </w:t>
      </w:r>
      <w:r>
        <w:t>Privileges</w:t>
      </w:r>
      <w:r>
        <w:rPr>
          <w:spacing w:val="-5"/>
        </w:rPr>
        <w:t xml:space="preserve"> </w:t>
      </w:r>
      <w:r>
        <w:t>2018,</w:t>
      </w:r>
      <w:r>
        <w:rPr>
          <w:spacing w:val="-5"/>
        </w:rPr>
        <w:t xml:space="preserve"> </w:t>
      </w:r>
      <w:r>
        <w:t>established</w:t>
      </w:r>
      <w:r>
        <w:rPr>
          <w:spacing w:val="-6"/>
        </w:rPr>
        <w:t xml:space="preserve"> </w:t>
      </w:r>
      <w:r>
        <w:t>12</w:t>
      </w:r>
      <w:r>
        <w:rPr>
          <w:spacing w:val="-5"/>
        </w:rPr>
        <w:t xml:space="preserve"> </w:t>
      </w:r>
      <w:r>
        <w:t>April</w:t>
      </w:r>
      <w:r>
        <w:rPr>
          <w:spacing w:val="-5"/>
        </w:rPr>
        <w:t xml:space="preserve"> </w:t>
      </w:r>
      <w:r>
        <w:t>2018,</w:t>
      </w:r>
      <w:r>
        <w:rPr>
          <w:spacing w:val="-5"/>
        </w:rPr>
        <w:t xml:space="preserve"> </w:t>
      </w:r>
      <w:r>
        <w:t>which</w:t>
      </w:r>
      <w:r>
        <w:rPr>
          <w:spacing w:val="-5"/>
        </w:rPr>
        <w:t xml:space="preserve"> </w:t>
      </w:r>
      <w:r>
        <w:t>presented</w:t>
      </w:r>
      <w:r>
        <w:rPr>
          <w:spacing w:val="-6"/>
        </w:rPr>
        <w:t xml:space="preserve"> </w:t>
      </w:r>
      <w:r>
        <w:t>its</w:t>
      </w:r>
      <w:r>
        <w:rPr>
          <w:spacing w:val="-5"/>
        </w:rPr>
        <w:t xml:space="preserve"> </w:t>
      </w:r>
      <w:r>
        <w:t>report</w:t>
      </w:r>
      <w:r>
        <w:rPr>
          <w:spacing w:val="-5"/>
        </w:rPr>
        <w:t xml:space="preserve"> </w:t>
      </w:r>
      <w:r>
        <w:t>to</w:t>
      </w:r>
      <w:r>
        <w:rPr>
          <w:spacing w:val="-6"/>
        </w:rPr>
        <w:t xml:space="preserve"> </w:t>
      </w:r>
      <w:r>
        <w:t xml:space="preserve">the Assembly on 20 June </w:t>
      </w:r>
      <w:r>
        <w:rPr>
          <w:spacing w:val="-3"/>
        </w:rPr>
        <w:t xml:space="preserve">2018; </w:t>
      </w:r>
      <w:r>
        <w:t>and</w:t>
      </w:r>
    </w:p>
    <w:p w:rsidR="006C17CB" w:rsidRDefault="0030091C">
      <w:pPr>
        <w:pStyle w:val="ListParagraph"/>
        <w:numPr>
          <w:ilvl w:val="0"/>
          <w:numId w:val="22"/>
        </w:numPr>
        <w:tabs>
          <w:tab w:val="left" w:pos="381"/>
        </w:tabs>
        <w:spacing w:before="44" w:line="189" w:lineRule="auto"/>
        <w:ind w:right="1456"/>
      </w:pPr>
      <w:r>
        <w:t>three</w:t>
      </w:r>
      <w:r>
        <w:rPr>
          <w:spacing w:val="-6"/>
        </w:rPr>
        <w:t xml:space="preserve"> </w:t>
      </w:r>
      <w:r>
        <w:t>select</w:t>
      </w:r>
      <w:r>
        <w:rPr>
          <w:spacing w:val="-6"/>
        </w:rPr>
        <w:t xml:space="preserve"> </w:t>
      </w:r>
      <w:r>
        <w:t>committees</w:t>
      </w:r>
      <w:r>
        <w:rPr>
          <w:spacing w:val="-6"/>
        </w:rPr>
        <w:t xml:space="preserve"> </w:t>
      </w:r>
      <w:r>
        <w:t>that,</w:t>
      </w:r>
      <w:r>
        <w:rPr>
          <w:spacing w:val="-6"/>
        </w:rPr>
        <w:t xml:space="preserve"> </w:t>
      </w:r>
      <w:r>
        <w:t>although</w:t>
      </w:r>
      <w:r>
        <w:rPr>
          <w:spacing w:val="-6"/>
        </w:rPr>
        <w:t xml:space="preserve"> </w:t>
      </w:r>
      <w:r>
        <w:t>established</w:t>
      </w:r>
      <w:r>
        <w:rPr>
          <w:spacing w:val="-6"/>
        </w:rPr>
        <w:t xml:space="preserve"> </w:t>
      </w:r>
      <w:r>
        <w:t>in</w:t>
      </w:r>
      <w:r>
        <w:rPr>
          <w:spacing w:val="-6"/>
        </w:rPr>
        <w:t xml:space="preserve"> </w:t>
      </w:r>
      <w:r>
        <w:t>the</w:t>
      </w:r>
      <w:r>
        <w:rPr>
          <w:spacing w:val="-6"/>
        </w:rPr>
        <w:t xml:space="preserve"> </w:t>
      </w:r>
      <w:r>
        <w:t>reporting</w:t>
      </w:r>
      <w:r>
        <w:rPr>
          <w:spacing w:val="-6"/>
        </w:rPr>
        <w:t xml:space="preserve"> </w:t>
      </w:r>
      <w:r>
        <w:t>period,</w:t>
      </w:r>
      <w:r>
        <w:rPr>
          <w:spacing w:val="-6"/>
        </w:rPr>
        <w:t xml:space="preserve"> </w:t>
      </w:r>
      <w:r>
        <w:t>are</w:t>
      </w:r>
      <w:r>
        <w:rPr>
          <w:spacing w:val="-6"/>
        </w:rPr>
        <w:t xml:space="preserve"> </w:t>
      </w:r>
      <w:r>
        <w:t>not</w:t>
      </w:r>
      <w:r>
        <w:rPr>
          <w:spacing w:val="-6"/>
        </w:rPr>
        <w:t xml:space="preserve"> </w:t>
      </w:r>
      <w:r>
        <w:t>due</w:t>
      </w:r>
      <w:r>
        <w:rPr>
          <w:spacing w:val="-6"/>
        </w:rPr>
        <w:t xml:space="preserve"> </w:t>
      </w:r>
      <w:r>
        <w:t>to</w:t>
      </w:r>
      <w:r>
        <w:rPr>
          <w:spacing w:val="-6"/>
        </w:rPr>
        <w:t xml:space="preserve"> </w:t>
      </w:r>
      <w:r>
        <w:t>present</w:t>
      </w:r>
      <w:r>
        <w:rPr>
          <w:spacing w:val="-6"/>
        </w:rPr>
        <w:t xml:space="preserve"> </w:t>
      </w:r>
      <w:r>
        <w:t>their findings to the Assembly during this</w:t>
      </w:r>
      <w:r>
        <w:rPr>
          <w:spacing w:val="-4"/>
        </w:rPr>
        <w:t xml:space="preserve"> </w:t>
      </w:r>
      <w:r>
        <w:t>period:</w:t>
      </w:r>
    </w:p>
    <w:p w:rsidR="006C17CB" w:rsidRDefault="0030091C">
      <w:pPr>
        <w:pStyle w:val="ListParagraph"/>
        <w:numPr>
          <w:ilvl w:val="1"/>
          <w:numId w:val="22"/>
        </w:numPr>
        <w:tabs>
          <w:tab w:val="left" w:pos="608"/>
        </w:tabs>
        <w:spacing w:line="296" w:lineRule="exact"/>
      </w:pPr>
      <w:r>
        <w:t xml:space="preserve">Select Committee on Estimates </w:t>
      </w:r>
      <w:r>
        <w:rPr>
          <w:spacing w:val="-4"/>
        </w:rPr>
        <w:t xml:space="preserve">2018–2019, </w:t>
      </w:r>
      <w:r>
        <w:t xml:space="preserve">established 22 March </w:t>
      </w:r>
      <w:r>
        <w:rPr>
          <w:spacing w:val="-4"/>
        </w:rPr>
        <w:t>2018;</w:t>
      </w:r>
    </w:p>
    <w:p w:rsidR="006C17CB" w:rsidRDefault="0030091C">
      <w:pPr>
        <w:pStyle w:val="ListParagraph"/>
        <w:numPr>
          <w:ilvl w:val="1"/>
          <w:numId w:val="22"/>
        </w:numPr>
        <w:tabs>
          <w:tab w:val="left" w:pos="608"/>
        </w:tabs>
      </w:pPr>
      <w:r>
        <w:t xml:space="preserve">Select Committee on End of Life Choices in the </w:t>
      </w:r>
      <w:r>
        <w:rPr>
          <w:spacing w:val="-4"/>
        </w:rPr>
        <w:t xml:space="preserve">ACT, </w:t>
      </w:r>
      <w:r>
        <w:t xml:space="preserve">established 30 November </w:t>
      </w:r>
      <w:r>
        <w:rPr>
          <w:spacing w:val="-6"/>
        </w:rPr>
        <w:t>2017;</w:t>
      </w:r>
      <w:r>
        <w:rPr>
          <w:spacing w:val="-10"/>
        </w:rPr>
        <w:t xml:space="preserve"> </w:t>
      </w:r>
      <w:r>
        <w:t>and</w:t>
      </w:r>
    </w:p>
    <w:p w:rsidR="006C17CB" w:rsidRDefault="0030091C">
      <w:pPr>
        <w:pStyle w:val="ListParagraph"/>
        <w:numPr>
          <w:ilvl w:val="1"/>
          <w:numId w:val="22"/>
        </w:numPr>
        <w:tabs>
          <w:tab w:val="left" w:pos="608"/>
        </w:tabs>
        <w:spacing w:line="306" w:lineRule="exact"/>
      </w:pPr>
      <w:r>
        <w:t xml:space="preserve">Select Committee on an Independent Integrity Commission </w:t>
      </w:r>
      <w:r>
        <w:rPr>
          <w:spacing w:val="-3"/>
        </w:rPr>
        <w:t xml:space="preserve">2018, </w:t>
      </w:r>
      <w:r>
        <w:t>established 6 June</w:t>
      </w:r>
      <w:r>
        <w:rPr>
          <w:spacing w:val="-12"/>
        </w:rPr>
        <w:t xml:space="preserve"> </w:t>
      </w:r>
      <w:r>
        <w:t>2018.</w:t>
      </w:r>
    </w:p>
    <w:p w:rsidR="006C17CB" w:rsidRDefault="00FE24A7">
      <w:pPr>
        <w:pStyle w:val="BodyText"/>
        <w:spacing w:before="132"/>
        <w:ind w:left="153"/>
      </w:pPr>
      <w:hyperlink r:id="rId32">
        <w:r w:rsidR="0030091C">
          <w:rPr>
            <w:rFonts w:ascii="Calibri"/>
            <w:color w:val="004289"/>
            <w:u w:val="single" w:color="004289"/>
          </w:rPr>
          <w:t>Detailed information about Assembly committees</w:t>
        </w:r>
      </w:hyperlink>
      <w:r w:rsidR="0030091C">
        <w:t>.</w:t>
      </w:r>
    </w:p>
    <w:p w:rsidR="006C17CB" w:rsidRDefault="006C17CB">
      <w:pPr>
        <w:pStyle w:val="BodyText"/>
        <w:spacing w:before="10"/>
      </w:pPr>
    </w:p>
    <w:p w:rsidR="006C17CB" w:rsidRDefault="0030091C">
      <w:pPr>
        <w:ind w:left="153"/>
        <w:rPr>
          <w:rFonts w:ascii="Montserrat-SemiBoldItalic"/>
          <w:b/>
          <w:i/>
          <w:sz w:val="20"/>
        </w:rPr>
      </w:pPr>
      <w:r>
        <w:rPr>
          <w:rFonts w:ascii="Montserrat-SemiBoldItalic"/>
          <w:b/>
          <w:i/>
          <w:sz w:val="20"/>
        </w:rPr>
        <w:t>Committee membership</w:t>
      </w:r>
    </w:p>
    <w:p w:rsidR="006C17CB" w:rsidRDefault="0030091C">
      <w:pPr>
        <w:pStyle w:val="BodyText"/>
        <w:spacing w:before="166" w:line="189" w:lineRule="auto"/>
        <w:ind w:left="153" w:right="1412"/>
      </w:pPr>
      <w:r>
        <w:t>The composition of all committees is a reflection of the party configuration of the Assembly, as required by standing order 221.</w:t>
      </w:r>
    </w:p>
    <w:p w:rsidR="006C17CB" w:rsidRDefault="0030091C">
      <w:pPr>
        <w:pStyle w:val="BodyText"/>
        <w:spacing w:before="112" w:line="189" w:lineRule="auto"/>
        <w:ind w:left="153" w:right="1734"/>
        <w:jc w:val="both"/>
      </w:pPr>
      <w:r>
        <w:t>Prior</w:t>
      </w:r>
      <w:r>
        <w:rPr>
          <w:spacing w:val="-7"/>
        </w:rPr>
        <w:t xml:space="preserve"> </w:t>
      </w:r>
      <w:r>
        <w:t>to</w:t>
      </w:r>
      <w:r>
        <w:rPr>
          <w:spacing w:val="-7"/>
        </w:rPr>
        <w:t xml:space="preserve"> </w:t>
      </w:r>
      <w:r>
        <w:t>the</w:t>
      </w:r>
      <w:r>
        <w:rPr>
          <w:spacing w:val="-7"/>
        </w:rPr>
        <w:t xml:space="preserve"> </w:t>
      </w:r>
      <w:r>
        <w:t>Eighth</w:t>
      </w:r>
      <w:r>
        <w:rPr>
          <w:spacing w:val="-6"/>
        </w:rPr>
        <w:t xml:space="preserve"> </w:t>
      </w:r>
      <w:r>
        <w:t>Assembly,</w:t>
      </w:r>
      <w:r>
        <w:rPr>
          <w:spacing w:val="-6"/>
        </w:rPr>
        <w:t xml:space="preserve"> </w:t>
      </w:r>
      <w:r>
        <w:t>most</w:t>
      </w:r>
      <w:r>
        <w:rPr>
          <w:spacing w:val="-6"/>
        </w:rPr>
        <w:t xml:space="preserve"> </w:t>
      </w:r>
      <w:r>
        <w:t>committees</w:t>
      </w:r>
      <w:r>
        <w:rPr>
          <w:spacing w:val="-6"/>
        </w:rPr>
        <w:t xml:space="preserve"> </w:t>
      </w:r>
      <w:r>
        <w:t>of</w:t>
      </w:r>
      <w:r>
        <w:rPr>
          <w:spacing w:val="-6"/>
        </w:rPr>
        <w:t xml:space="preserve"> </w:t>
      </w:r>
      <w:r>
        <w:t>previous</w:t>
      </w:r>
      <w:r>
        <w:rPr>
          <w:spacing w:val="-6"/>
        </w:rPr>
        <w:t xml:space="preserve"> </w:t>
      </w:r>
      <w:r>
        <w:t>Assemblies</w:t>
      </w:r>
      <w:r>
        <w:rPr>
          <w:spacing w:val="-6"/>
        </w:rPr>
        <w:t xml:space="preserve"> </w:t>
      </w:r>
      <w:r>
        <w:t>had</w:t>
      </w:r>
      <w:r>
        <w:rPr>
          <w:spacing w:val="-6"/>
        </w:rPr>
        <w:t xml:space="preserve"> </w:t>
      </w:r>
      <w:r>
        <w:t>three</w:t>
      </w:r>
      <w:r>
        <w:rPr>
          <w:spacing w:val="-7"/>
        </w:rPr>
        <w:t xml:space="preserve"> </w:t>
      </w:r>
      <w:r>
        <w:t>members.</w:t>
      </w:r>
      <w:r>
        <w:rPr>
          <w:spacing w:val="-6"/>
        </w:rPr>
        <w:t xml:space="preserve"> </w:t>
      </w:r>
      <w:r>
        <w:t>The</w:t>
      </w:r>
      <w:r>
        <w:rPr>
          <w:spacing w:val="-7"/>
        </w:rPr>
        <w:t xml:space="preserve"> </w:t>
      </w:r>
      <w:r>
        <w:t>Eighth Assembly</w:t>
      </w:r>
      <w:r>
        <w:rPr>
          <w:spacing w:val="-5"/>
        </w:rPr>
        <w:t xml:space="preserve"> </w:t>
      </w:r>
      <w:r>
        <w:t>passed</w:t>
      </w:r>
      <w:r>
        <w:rPr>
          <w:spacing w:val="-6"/>
        </w:rPr>
        <w:t xml:space="preserve"> </w:t>
      </w:r>
      <w:r>
        <w:t>a</w:t>
      </w:r>
      <w:r>
        <w:rPr>
          <w:spacing w:val="-5"/>
        </w:rPr>
        <w:t xml:space="preserve"> </w:t>
      </w:r>
      <w:r>
        <w:t>resolution</w:t>
      </w:r>
      <w:r>
        <w:rPr>
          <w:spacing w:val="-5"/>
        </w:rPr>
        <w:t xml:space="preserve"> </w:t>
      </w:r>
      <w:r>
        <w:t>on</w:t>
      </w:r>
      <w:r>
        <w:rPr>
          <w:spacing w:val="-6"/>
        </w:rPr>
        <w:t xml:space="preserve"> </w:t>
      </w:r>
      <w:r>
        <w:rPr>
          <w:spacing w:val="-4"/>
        </w:rPr>
        <w:t>27</w:t>
      </w:r>
      <w:r>
        <w:rPr>
          <w:spacing w:val="-5"/>
        </w:rPr>
        <w:t xml:space="preserve"> </w:t>
      </w:r>
      <w:r>
        <w:t>November</w:t>
      </w:r>
      <w:r>
        <w:rPr>
          <w:spacing w:val="-5"/>
        </w:rPr>
        <w:t xml:space="preserve"> </w:t>
      </w:r>
      <w:r>
        <w:t>2012</w:t>
      </w:r>
      <w:r>
        <w:rPr>
          <w:spacing w:val="-5"/>
        </w:rPr>
        <w:t xml:space="preserve"> </w:t>
      </w:r>
      <w:r>
        <w:t>to</w:t>
      </w:r>
      <w:r>
        <w:rPr>
          <w:spacing w:val="-6"/>
        </w:rPr>
        <w:t xml:space="preserve"> </w:t>
      </w:r>
      <w:r>
        <w:t>establish</w:t>
      </w:r>
      <w:r>
        <w:rPr>
          <w:spacing w:val="-5"/>
        </w:rPr>
        <w:t xml:space="preserve"> </w:t>
      </w:r>
      <w:r>
        <w:t>standing</w:t>
      </w:r>
      <w:r>
        <w:rPr>
          <w:spacing w:val="-5"/>
        </w:rPr>
        <w:t xml:space="preserve"> </w:t>
      </w:r>
      <w:r>
        <w:t>committees</w:t>
      </w:r>
      <w:r>
        <w:rPr>
          <w:spacing w:val="-5"/>
        </w:rPr>
        <w:t xml:space="preserve"> </w:t>
      </w:r>
      <w:r>
        <w:t>made</w:t>
      </w:r>
      <w:r>
        <w:rPr>
          <w:spacing w:val="-6"/>
        </w:rPr>
        <w:t xml:space="preserve"> </w:t>
      </w:r>
      <w:r>
        <w:t>up</w:t>
      </w:r>
      <w:r>
        <w:rPr>
          <w:spacing w:val="-5"/>
        </w:rPr>
        <w:t xml:space="preserve"> </w:t>
      </w:r>
      <w:r>
        <w:t>of</w:t>
      </w:r>
      <w:r>
        <w:rPr>
          <w:spacing w:val="-5"/>
        </w:rPr>
        <w:t xml:space="preserve"> </w:t>
      </w:r>
      <w:r>
        <w:t>four members: two members from each of the two major parties represented in the</w:t>
      </w:r>
      <w:r>
        <w:rPr>
          <w:spacing w:val="-30"/>
        </w:rPr>
        <w:t xml:space="preserve"> </w:t>
      </w:r>
      <w:r>
        <w:t>Assembly.</w:t>
      </w:r>
    </w:p>
    <w:p w:rsidR="006C17CB" w:rsidRDefault="0030091C">
      <w:pPr>
        <w:pStyle w:val="BodyText"/>
        <w:spacing w:before="112" w:line="189" w:lineRule="auto"/>
        <w:ind w:left="153" w:right="1177"/>
      </w:pPr>
      <w:r>
        <w:t>The Ninth Assembly passed a resolution on 13 December 2016 that six of the new standing committees would have four members: two members from each of the two major parties represented in the Assembly.</w:t>
      </w:r>
    </w:p>
    <w:p w:rsidR="006C17CB" w:rsidRDefault="0030091C">
      <w:pPr>
        <w:pStyle w:val="BodyText"/>
        <w:spacing w:line="189" w:lineRule="auto"/>
        <w:ind w:left="153" w:right="1114"/>
      </w:pPr>
      <w:r>
        <w:t>A further two standing committees would have a fifth member, an ACT Greens MLA. Most select committees have also had five members, with the inclusion of an ACT Greens MLA.</w:t>
      </w:r>
    </w:p>
    <w:p w:rsidR="006C17CB" w:rsidRDefault="006C17CB">
      <w:pPr>
        <w:pStyle w:val="BodyText"/>
        <w:spacing w:before="7"/>
        <w:rPr>
          <w:sz w:val="23"/>
        </w:rPr>
      </w:pPr>
    </w:p>
    <w:p w:rsidR="006C17CB" w:rsidRDefault="0030091C">
      <w:pPr>
        <w:ind w:left="153"/>
        <w:rPr>
          <w:rFonts w:ascii="Montserrat-SemiBoldItalic"/>
          <w:b/>
          <w:i/>
          <w:sz w:val="20"/>
        </w:rPr>
      </w:pPr>
      <w:r>
        <w:rPr>
          <w:rFonts w:ascii="Montserrat-SemiBoldItalic"/>
          <w:b/>
          <w:i/>
          <w:sz w:val="20"/>
        </w:rPr>
        <w:t>Statutory responsibilities of committees</w:t>
      </w:r>
    </w:p>
    <w:p w:rsidR="006C17CB" w:rsidRDefault="0030091C">
      <w:pPr>
        <w:pStyle w:val="BodyText"/>
        <w:spacing w:before="112"/>
        <w:ind w:left="153"/>
      </w:pPr>
      <w:r>
        <w:t>In addition to inquiry activity, three committees have significant statutory responsibilities.</w:t>
      </w:r>
    </w:p>
    <w:p w:rsidR="006C17CB" w:rsidRDefault="0030091C">
      <w:pPr>
        <w:pStyle w:val="BodyText"/>
        <w:spacing w:before="100" w:line="189" w:lineRule="auto"/>
        <w:ind w:left="153" w:right="1231"/>
      </w:pPr>
      <w:r>
        <w:t xml:space="preserve">The Standing Committee on Justice and Community Safety (in its legislative scrutiny role) is required to examine all bills and subordinate legislation to ensure that legislation does not unduly trespass on individual rights and liberties and complies with the Territory’s </w:t>
      </w:r>
      <w:r>
        <w:rPr>
          <w:rFonts w:ascii="Calibri" w:hAnsi="Calibri"/>
          <w:i/>
        </w:rPr>
        <w:t xml:space="preserve">Human </w:t>
      </w:r>
      <w:hyperlink r:id="rId33">
        <w:r>
          <w:rPr>
            <w:rFonts w:ascii="Calibri" w:hAnsi="Calibri"/>
            <w:i/>
          </w:rPr>
          <w:t xml:space="preserve">Rights </w:t>
        </w:r>
      </w:hyperlink>
      <w:r>
        <w:rPr>
          <w:rFonts w:ascii="Calibri" w:hAnsi="Calibri"/>
          <w:i/>
        </w:rPr>
        <w:t>Act 2004</w:t>
      </w:r>
      <w:r>
        <w:t>.</w:t>
      </w:r>
    </w:p>
    <w:p w:rsidR="006C17CB" w:rsidRDefault="0030091C">
      <w:pPr>
        <w:pStyle w:val="BodyText"/>
        <w:spacing w:before="112" w:line="189" w:lineRule="auto"/>
        <w:ind w:left="154" w:right="1418"/>
      </w:pPr>
      <w:r>
        <w:t xml:space="preserve">The Standing Committee on Planning and Urban Renewal is required to examine all draft variations to the Territory Plan referred by the Minister for Planning and Land Management. The </w:t>
      </w:r>
      <w:hyperlink r:id="rId34">
        <w:r>
          <w:rPr>
            <w:rFonts w:ascii="Calibri" w:hAnsi="Calibri"/>
            <w:i/>
          </w:rPr>
          <w:t>Planning</w:t>
        </w:r>
        <w:r>
          <w:rPr>
            <w:rFonts w:ascii="Calibri" w:hAnsi="Calibri"/>
            <w:i/>
            <w:spacing w:val="-6"/>
          </w:rPr>
          <w:t xml:space="preserve"> </w:t>
        </w:r>
        <w:r>
          <w:rPr>
            <w:rFonts w:ascii="Calibri" w:hAnsi="Calibri"/>
            <w:i/>
            <w:spacing w:val="-4"/>
          </w:rPr>
          <w:t xml:space="preserve">and </w:t>
        </w:r>
        <w:r>
          <w:rPr>
            <w:rFonts w:ascii="Calibri" w:hAnsi="Calibri"/>
            <w:i/>
            <w:spacing w:val="-5"/>
          </w:rPr>
          <w:t>Development</w:t>
        </w:r>
      </w:hyperlink>
      <w:r>
        <w:rPr>
          <w:rFonts w:ascii="Calibri" w:hAnsi="Calibri"/>
          <w:i/>
          <w:spacing w:val="-5"/>
        </w:rPr>
        <w:t xml:space="preserve"> </w:t>
      </w:r>
      <w:hyperlink r:id="rId35">
        <w:r>
          <w:rPr>
            <w:rFonts w:ascii="Calibri" w:hAnsi="Calibri"/>
            <w:i/>
            <w:spacing w:val="-5"/>
          </w:rPr>
          <w:t xml:space="preserve">Amendment </w:t>
        </w:r>
        <w:r>
          <w:rPr>
            <w:rFonts w:ascii="Calibri" w:hAnsi="Calibri"/>
            <w:i/>
            <w:spacing w:val="-3"/>
          </w:rPr>
          <w:t xml:space="preserve">Act </w:t>
        </w:r>
        <w:r>
          <w:rPr>
            <w:rFonts w:ascii="Calibri" w:hAnsi="Calibri"/>
            <w:i/>
            <w:spacing w:val="-8"/>
          </w:rPr>
          <w:t xml:space="preserve">2017 </w:t>
        </w:r>
      </w:hyperlink>
      <w:r>
        <w:t xml:space="preserve">removed the </w:t>
      </w:r>
      <w:r>
        <w:rPr>
          <w:spacing w:val="-3"/>
        </w:rPr>
        <w:t xml:space="preserve">minister’s </w:t>
      </w:r>
      <w:r>
        <w:t>power to decide whether to refer a draft variation. All draft variations must now be referred to the committee.</w:t>
      </w:r>
    </w:p>
    <w:p w:rsidR="006C17CB" w:rsidRDefault="0030091C">
      <w:pPr>
        <w:pStyle w:val="BodyText"/>
        <w:spacing w:before="111" w:line="189" w:lineRule="auto"/>
        <w:ind w:left="154" w:right="1491"/>
        <w:jc w:val="both"/>
      </w:pPr>
      <w:r>
        <w:t>The</w:t>
      </w:r>
      <w:r>
        <w:rPr>
          <w:spacing w:val="-6"/>
        </w:rPr>
        <w:t xml:space="preserve"> </w:t>
      </w:r>
      <w:r>
        <w:t>Standing</w:t>
      </w:r>
      <w:r>
        <w:rPr>
          <w:spacing w:val="-5"/>
        </w:rPr>
        <w:t xml:space="preserve"> </w:t>
      </w:r>
      <w:r>
        <w:t>Committee</w:t>
      </w:r>
      <w:r>
        <w:rPr>
          <w:spacing w:val="-6"/>
        </w:rPr>
        <w:t xml:space="preserve"> </w:t>
      </w:r>
      <w:r>
        <w:t>on</w:t>
      </w:r>
      <w:r>
        <w:rPr>
          <w:spacing w:val="-5"/>
        </w:rPr>
        <w:t xml:space="preserve"> </w:t>
      </w:r>
      <w:r>
        <w:t>Public</w:t>
      </w:r>
      <w:r>
        <w:rPr>
          <w:spacing w:val="-6"/>
        </w:rPr>
        <w:t xml:space="preserve"> </w:t>
      </w:r>
      <w:r>
        <w:t>Accounts,</w:t>
      </w:r>
      <w:r>
        <w:rPr>
          <w:spacing w:val="-5"/>
        </w:rPr>
        <w:t xml:space="preserve"> </w:t>
      </w:r>
      <w:r>
        <w:t>under</w:t>
      </w:r>
      <w:r>
        <w:rPr>
          <w:spacing w:val="-5"/>
        </w:rPr>
        <w:t xml:space="preserve"> </w:t>
      </w:r>
      <w:r>
        <w:t>its</w:t>
      </w:r>
      <w:r>
        <w:rPr>
          <w:spacing w:val="-5"/>
        </w:rPr>
        <w:t xml:space="preserve"> </w:t>
      </w:r>
      <w:r>
        <w:t>resolution</w:t>
      </w:r>
      <w:r>
        <w:rPr>
          <w:spacing w:val="-5"/>
        </w:rPr>
        <w:t xml:space="preserve"> </w:t>
      </w:r>
      <w:r>
        <w:t>of</w:t>
      </w:r>
      <w:r>
        <w:rPr>
          <w:spacing w:val="-5"/>
        </w:rPr>
        <w:t xml:space="preserve"> </w:t>
      </w:r>
      <w:r>
        <w:t>appointment,</w:t>
      </w:r>
      <w:r>
        <w:rPr>
          <w:spacing w:val="-5"/>
        </w:rPr>
        <w:t xml:space="preserve"> </w:t>
      </w:r>
      <w:r>
        <w:t>examines</w:t>
      </w:r>
      <w:r>
        <w:rPr>
          <w:spacing w:val="-5"/>
        </w:rPr>
        <w:t xml:space="preserve"> </w:t>
      </w:r>
      <w:r>
        <w:t>all</w:t>
      </w:r>
      <w:r>
        <w:rPr>
          <w:spacing w:val="-5"/>
        </w:rPr>
        <w:t xml:space="preserve"> </w:t>
      </w:r>
      <w:r>
        <w:t>reports</w:t>
      </w:r>
      <w:r>
        <w:rPr>
          <w:spacing w:val="-5"/>
        </w:rPr>
        <w:t xml:space="preserve"> </w:t>
      </w:r>
      <w:r>
        <w:t>of the</w:t>
      </w:r>
      <w:r>
        <w:rPr>
          <w:spacing w:val="-6"/>
        </w:rPr>
        <w:t xml:space="preserve"> </w:t>
      </w:r>
      <w:r>
        <w:t>Auditor-General</w:t>
      </w:r>
      <w:r>
        <w:rPr>
          <w:spacing w:val="-5"/>
        </w:rPr>
        <w:t xml:space="preserve"> </w:t>
      </w:r>
      <w:r>
        <w:t>which</w:t>
      </w:r>
      <w:r>
        <w:rPr>
          <w:spacing w:val="-5"/>
        </w:rPr>
        <w:t xml:space="preserve"> </w:t>
      </w:r>
      <w:r>
        <w:t>have</w:t>
      </w:r>
      <w:r>
        <w:rPr>
          <w:spacing w:val="-6"/>
        </w:rPr>
        <w:t xml:space="preserve"> </w:t>
      </w:r>
      <w:r>
        <w:t>been</w:t>
      </w:r>
      <w:r>
        <w:rPr>
          <w:spacing w:val="-5"/>
        </w:rPr>
        <w:t xml:space="preserve"> </w:t>
      </w:r>
      <w:r>
        <w:t>presented</w:t>
      </w:r>
      <w:r>
        <w:rPr>
          <w:spacing w:val="-6"/>
        </w:rPr>
        <w:t xml:space="preserve"> </w:t>
      </w:r>
      <w:r>
        <w:t>to</w:t>
      </w:r>
      <w:r>
        <w:rPr>
          <w:spacing w:val="-6"/>
        </w:rPr>
        <w:t xml:space="preserve"> </w:t>
      </w:r>
      <w:r>
        <w:t>the</w:t>
      </w:r>
      <w:r>
        <w:rPr>
          <w:spacing w:val="-6"/>
        </w:rPr>
        <w:t xml:space="preserve"> </w:t>
      </w:r>
      <w:r>
        <w:t>Assembly.</w:t>
      </w:r>
      <w:r>
        <w:rPr>
          <w:spacing w:val="-5"/>
        </w:rPr>
        <w:t xml:space="preserve"> </w:t>
      </w:r>
      <w:r>
        <w:t>It</w:t>
      </w:r>
      <w:r>
        <w:rPr>
          <w:spacing w:val="-5"/>
        </w:rPr>
        <w:t xml:space="preserve"> </w:t>
      </w:r>
      <w:r>
        <w:t>monitors</w:t>
      </w:r>
      <w:r>
        <w:rPr>
          <w:spacing w:val="-5"/>
        </w:rPr>
        <w:t xml:space="preserve"> </w:t>
      </w:r>
      <w:r>
        <w:t>reportable</w:t>
      </w:r>
      <w:r>
        <w:rPr>
          <w:spacing w:val="-6"/>
        </w:rPr>
        <w:t xml:space="preserve"> </w:t>
      </w:r>
      <w:r>
        <w:t>contracts</w:t>
      </w:r>
      <w:r>
        <w:rPr>
          <w:spacing w:val="-5"/>
        </w:rPr>
        <w:t xml:space="preserve"> </w:t>
      </w:r>
      <w:r>
        <w:t>of</w:t>
      </w:r>
      <w:r>
        <w:rPr>
          <w:spacing w:val="-5"/>
        </w:rPr>
        <w:t xml:space="preserve"> </w:t>
      </w:r>
      <w:r>
        <w:t>ACT government</w:t>
      </w:r>
      <w:r>
        <w:rPr>
          <w:spacing w:val="-3"/>
        </w:rPr>
        <w:t xml:space="preserve"> </w:t>
      </w:r>
      <w:r>
        <w:t>agencies</w:t>
      </w:r>
      <w:r>
        <w:rPr>
          <w:spacing w:val="-3"/>
        </w:rPr>
        <w:t xml:space="preserve"> </w:t>
      </w:r>
      <w:r>
        <w:t>and</w:t>
      </w:r>
      <w:r>
        <w:rPr>
          <w:spacing w:val="-3"/>
        </w:rPr>
        <w:t xml:space="preserve"> </w:t>
      </w:r>
      <w:r>
        <w:t>has</w:t>
      </w:r>
      <w:r>
        <w:rPr>
          <w:spacing w:val="-3"/>
        </w:rPr>
        <w:t xml:space="preserve"> </w:t>
      </w:r>
      <w:r>
        <w:t>a</w:t>
      </w:r>
      <w:r>
        <w:rPr>
          <w:spacing w:val="-3"/>
        </w:rPr>
        <w:t xml:space="preserve"> </w:t>
      </w:r>
      <w:r>
        <w:t>range</w:t>
      </w:r>
      <w:r>
        <w:rPr>
          <w:spacing w:val="-4"/>
        </w:rPr>
        <w:t xml:space="preserve"> </w:t>
      </w:r>
      <w:r>
        <w:t>of</w:t>
      </w:r>
      <w:r>
        <w:rPr>
          <w:spacing w:val="-3"/>
        </w:rPr>
        <w:t xml:space="preserve"> </w:t>
      </w:r>
      <w:r>
        <w:t>roles</w:t>
      </w:r>
      <w:r>
        <w:rPr>
          <w:spacing w:val="-3"/>
        </w:rPr>
        <w:t xml:space="preserve"> </w:t>
      </w:r>
      <w:r>
        <w:t>and</w:t>
      </w:r>
      <w:r>
        <w:rPr>
          <w:spacing w:val="-3"/>
        </w:rPr>
        <w:t xml:space="preserve"> </w:t>
      </w:r>
      <w:r>
        <w:t>responsibilities</w:t>
      </w:r>
      <w:r>
        <w:rPr>
          <w:spacing w:val="-3"/>
        </w:rPr>
        <w:t xml:space="preserve"> </w:t>
      </w:r>
      <w:r>
        <w:t>under</w:t>
      </w:r>
      <w:r>
        <w:rPr>
          <w:spacing w:val="-3"/>
        </w:rPr>
        <w:t xml:space="preserve"> </w:t>
      </w:r>
      <w:r>
        <w:t>the</w:t>
      </w:r>
      <w:r>
        <w:rPr>
          <w:spacing w:val="-4"/>
        </w:rPr>
        <w:t xml:space="preserve"> </w:t>
      </w:r>
      <w:hyperlink r:id="rId36">
        <w:r>
          <w:rPr>
            <w:rFonts w:ascii="Calibri"/>
            <w:i/>
            <w:spacing w:val="-5"/>
          </w:rPr>
          <w:t>AuditorGeneral</w:t>
        </w:r>
        <w:r>
          <w:rPr>
            <w:rFonts w:ascii="Calibri"/>
            <w:i/>
            <w:spacing w:val="-12"/>
          </w:rPr>
          <w:t xml:space="preserve"> </w:t>
        </w:r>
        <w:r>
          <w:rPr>
            <w:rFonts w:ascii="Calibri"/>
            <w:i/>
            <w:spacing w:val="-3"/>
          </w:rPr>
          <w:t>Act</w:t>
        </w:r>
        <w:r>
          <w:rPr>
            <w:rFonts w:ascii="Calibri"/>
            <w:i/>
            <w:spacing w:val="-11"/>
          </w:rPr>
          <w:t xml:space="preserve"> </w:t>
        </w:r>
        <w:r>
          <w:rPr>
            <w:rFonts w:ascii="Calibri"/>
            <w:i/>
            <w:spacing w:val="-5"/>
          </w:rPr>
          <w:t>1996</w:t>
        </w:r>
      </w:hyperlink>
      <w:r>
        <w:rPr>
          <w:spacing w:val="-5"/>
        </w:rPr>
        <w:t>.</w:t>
      </w:r>
    </w:p>
    <w:p w:rsidR="006C17CB" w:rsidRDefault="006C17CB">
      <w:pPr>
        <w:spacing w:line="189" w:lineRule="auto"/>
        <w:jc w:val="both"/>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0"/>
        <w:rPr>
          <w:sz w:val="16"/>
        </w:rPr>
      </w:pPr>
    </w:p>
    <w:p w:rsidR="006C17CB" w:rsidRDefault="0030091C">
      <w:pPr>
        <w:spacing w:before="136"/>
        <w:ind w:left="153"/>
        <w:rPr>
          <w:rFonts w:ascii="Montserrat-SemiBoldItalic"/>
          <w:b/>
          <w:i/>
          <w:sz w:val="20"/>
        </w:rPr>
      </w:pPr>
      <w:r>
        <w:rPr>
          <w:rFonts w:ascii="Montserrat-SemiBoldItalic"/>
          <w:b/>
          <w:i/>
          <w:sz w:val="20"/>
        </w:rPr>
        <w:t>Committee activity</w:t>
      </w:r>
    </w:p>
    <w:p w:rsidR="006C17CB" w:rsidRDefault="0030091C">
      <w:pPr>
        <w:pStyle w:val="BodyText"/>
        <w:spacing w:before="166" w:line="189" w:lineRule="auto"/>
        <w:ind w:left="153" w:right="1232"/>
      </w:pPr>
      <w:r>
        <w:t>In the period 1 July 2017 to 30 June 2018, the Office supported meetings of standing and select committees on 323 occasions. Committees held 84 public hearings and tabled 36 reports in the Legislative Assembly.</w:t>
      </w:r>
    </w:p>
    <w:p w:rsidR="006C17CB" w:rsidRDefault="0030091C">
      <w:pPr>
        <w:pStyle w:val="BodyText"/>
        <w:spacing w:before="58"/>
        <w:ind w:left="153"/>
      </w:pPr>
      <w:r>
        <w:t>This figure gives a snapshot of overall committee activity.</w:t>
      </w:r>
    </w:p>
    <w:p w:rsidR="006C17CB" w:rsidRDefault="006C17CB">
      <w:pPr>
        <w:pStyle w:val="BodyText"/>
        <w:spacing w:before="12"/>
        <w:rPr>
          <w:sz w:val="26"/>
        </w:rPr>
      </w:pPr>
    </w:p>
    <w:p w:rsidR="006C17CB" w:rsidRDefault="0030091C">
      <w:pPr>
        <w:ind w:left="157"/>
        <w:rPr>
          <w:rFonts w:ascii="Calibri"/>
          <w:i/>
        </w:rPr>
      </w:pPr>
      <w:r>
        <w:rPr>
          <w:noProof/>
          <w:lang w:val="en-AU" w:eastAsia="en-AU" w:bidi="ar-SA"/>
        </w:rPr>
        <w:drawing>
          <wp:anchor distT="0" distB="0" distL="0" distR="0" simplePos="0" relativeHeight="1384" behindDoc="0" locked="0" layoutInCell="1" allowOverlap="1">
            <wp:simplePos x="0" y="0"/>
            <wp:positionH relativeFrom="page">
              <wp:posOffset>770749</wp:posOffset>
            </wp:positionH>
            <wp:positionV relativeFrom="paragraph">
              <wp:posOffset>249818</wp:posOffset>
            </wp:positionV>
            <wp:extent cx="5519044" cy="3139821"/>
            <wp:effectExtent l="0" t="0" r="0" b="0"/>
            <wp:wrapTopAndBottom/>
            <wp:docPr id="7" name="image6.jpeg" descr="Figure 3. Committee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7" cstate="print"/>
                    <a:stretch>
                      <a:fillRect/>
                    </a:stretch>
                  </pic:blipFill>
                  <pic:spPr>
                    <a:xfrm>
                      <a:off x="0" y="0"/>
                      <a:ext cx="5519044" cy="3139821"/>
                    </a:xfrm>
                    <a:prstGeom prst="rect">
                      <a:avLst/>
                    </a:prstGeom>
                  </pic:spPr>
                </pic:pic>
              </a:graphicData>
            </a:graphic>
          </wp:anchor>
        </w:drawing>
      </w:r>
      <w:r>
        <w:rPr>
          <w:rFonts w:ascii="Calibri"/>
          <w:b/>
          <w:sz w:val="18"/>
        </w:rPr>
        <w:t xml:space="preserve">FIGURE 3. </w:t>
      </w:r>
      <w:r>
        <w:rPr>
          <w:rFonts w:ascii="Calibri"/>
          <w:i/>
        </w:rPr>
        <w:t>Committee activity</w:t>
      </w:r>
    </w:p>
    <w:p w:rsidR="006C17CB" w:rsidRDefault="0030091C">
      <w:pPr>
        <w:pStyle w:val="BodyText"/>
        <w:spacing w:before="178" w:line="189" w:lineRule="auto"/>
        <w:ind w:left="153" w:right="1641"/>
      </w:pPr>
      <w:r>
        <w:t>Comprehensive statistics relating to all Assembly committee activity for this reporting period are listed at Appendix 7.</w:t>
      </w:r>
    </w:p>
    <w:p w:rsidR="006C17CB" w:rsidRDefault="006C17CB">
      <w:pPr>
        <w:pStyle w:val="BodyText"/>
        <w:spacing w:before="8"/>
        <w:rPr>
          <w:sz w:val="23"/>
        </w:rPr>
      </w:pPr>
    </w:p>
    <w:p w:rsidR="006C17CB" w:rsidRDefault="0030091C">
      <w:pPr>
        <w:ind w:left="153"/>
        <w:rPr>
          <w:rFonts w:ascii="Montserrat-SemiBoldItalic"/>
          <w:b/>
          <w:i/>
          <w:sz w:val="20"/>
        </w:rPr>
      </w:pPr>
      <w:r>
        <w:rPr>
          <w:rFonts w:ascii="Montserrat-SemiBoldItalic"/>
          <w:b/>
          <w:i/>
          <w:sz w:val="20"/>
        </w:rPr>
        <w:t>Government responses to committee reports</w:t>
      </w:r>
    </w:p>
    <w:p w:rsidR="006C17CB" w:rsidRDefault="0030091C">
      <w:pPr>
        <w:pStyle w:val="BodyText"/>
        <w:spacing w:before="166" w:line="189" w:lineRule="auto"/>
        <w:ind w:left="153" w:right="1412"/>
      </w:pPr>
      <w:r>
        <w:t>The Office monitors the receipt of government responses to committee reports. During the reporting period, 24 responses were received.</w:t>
      </w:r>
    </w:p>
    <w:p w:rsidR="006C17CB" w:rsidRDefault="0030091C">
      <w:pPr>
        <w:pStyle w:val="BodyText"/>
        <w:spacing w:before="112" w:line="189" w:lineRule="auto"/>
        <w:ind w:left="153" w:right="1541"/>
      </w:pPr>
      <w:r>
        <w:t>Of the reports received, 92 per cent (22 reports) received government responses within four months. Two responses were received after four months.</w:t>
      </w:r>
    </w:p>
    <w:p w:rsidR="006C17CB" w:rsidRDefault="0030091C">
      <w:pPr>
        <w:pStyle w:val="BodyText"/>
        <w:spacing w:before="113" w:line="189" w:lineRule="auto"/>
        <w:ind w:left="153" w:right="1948"/>
      </w:pPr>
      <w:r>
        <w:t>Standing order 254A empowers committee chairs to seek an explanation from the relevant minister if a government response is not tabled within four months of a report being tabled.</w:t>
      </w:r>
    </w:p>
    <w:p w:rsidR="006C17CB" w:rsidRDefault="006C17CB">
      <w:pPr>
        <w:pStyle w:val="BodyText"/>
        <w:spacing w:before="7"/>
        <w:rPr>
          <w:sz w:val="23"/>
        </w:rPr>
      </w:pPr>
    </w:p>
    <w:p w:rsidR="006C17CB" w:rsidRDefault="0030091C">
      <w:pPr>
        <w:spacing w:before="1"/>
        <w:ind w:left="153"/>
        <w:rPr>
          <w:rFonts w:ascii="Montserrat-SemiBoldItalic"/>
          <w:b/>
          <w:i/>
          <w:sz w:val="20"/>
        </w:rPr>
      </w:pPr>
      <w:r>
        <w:rPr>
          <w:rFonts w:ascii="Montserrat-SemiBoldItalic"/>
          <w:b/>
          <w:i/>
          <w:sz w:val="20"/>
        </w:rPr>
        <w:t>Consideration of statutory appointments</w:t>
      </w:r>
    </w:p>
    <w:p w:rsidR="006C17CB" w:rsidRDefault="0030091C">
      <w:pPr>
        <w:pStyle w:val="BodyText"/>
        <w:spacing w:before="166" w:line="189" w:lineRule="auto"/>
        <w:ind w:left="153" w:right="1232"/>
      </w:pPr>
      <w:r>
        <w:t>Section</w:t>
      </w:r>
      <w:r>
        <w:rPr>
          <w:spacing w:val="-14"/>
        </w:rPr>
        <w:t xml:space="preserve"> </w:t>
      </w:r>
      <w:r>
        <w:t>228</w:t>
      </w:r>
      <w:r>
        <w:rPr>
          <w:spacing w:val="-14"/>
        </w:rPr>
        <w:t xml:space="preserve"> </w:t>
      </w:r>
      <w:r>
        <w:t>of</w:t>
      </w:r>
      <w:r>
        <w:rPr>
          <w:spacing w:val="-14"/>
        </w:rPr>
        <w:t xml:space="preserve"> </w:t>
      </w:r>
      <w:r>
        <w:t>the</w:t>
      </w:r>
      <w:r>
        <w:rPr>
          <w:spacing w:val="-15"/>
        </w:rPr>
        <w:t xml:space="preserve"> </w:t>
      </w:r>
      <w:hyperlink r:id="rId38">
        <w:r>
          <w:rPr>
            <w:rFonts w:ascii="Calibri"/>
            <w:i/>
            <w:spacing w:val="-5"/>
          </w:rPr>
          <w:t>Legislation</w:t>
        </w:r>
        <w:r>
          <w:rPr>
            <w:rFonts w:ascii="Calibri"/>
            <w:i/>
            <w:spacing w:val="-13"/>
          </w:rPr>
          <w:t xml:space="preserve"> </w:t>
        </w:r>
        <w:r>
          <w:rPr>
            <w:rFonts w:ascii="Calibri"/>
            <w:i/>
            <w:spacing w:val="-3"/>
          </w:rPr>
          <w:t>Act</w:t>
        </w:r>
        <w:r>
          <w:rPr>
            <w:rFonts w:ascii="Calibri"/>
            <w:i/>
            <w:spacing w:val="-13"/>
          </w:rPr>
          <w:t xml:space="preserve"> </w:t>
        </w:r>
        <w:r>
          <w:rPr>
            <w:rFonts w:ascii="Calibri"/>
            <w:i/>
            <w:spacing w:val="-4"/>
          </w:rPr>
          <w:t>2001</w:t>
        </w:r>
        <w:r>
          <w:rPr>
            <w:rFonts w:ascii="Calibri"/>
            <w:i/>
            <w:spacing w:val="-18"/>
          </w:rPr>
          <w:t xml:space="preserve"> </w:t>
        </w:r>
      </w:hyperlink>
      <w:r>
        <w:t>requires</w:t>
      </w:r>
      <w:r>
        <w:rPr>
          <w:spacing w:val="-14"/>
        </w:rPr>
        <w:t xml:space="preserve"> </w:t>
      </w:r>
      <w:r>
        <w:t>all</w:t>
      </w:r>
      <w:r>
        <w:rPr>
          <w:spacing w:val="-14"/>
        </w:rPr>
        <w:t xml:space="preserve"> </w:t>
      </w:r>
      <w:r>
        <w:t>ministers</w:t>
      </w:r>
      <w:r>
        <w:rPr>
          <w:spacing w:val="-14"/>
        </w:rPr>
        <w:t xml:space="preserve"> </w:t>
      </w:r>
      <w:r>
        <w:t>to</w:t>
      </w:r>
      <w:r>
        <w:rPr>
          <w:spacing w:val="-14"/>
        </w:rPr>
        <w:t xml:space="preserve"> </w:t>
      </w:r>
      <w:r>
        <w:t>consult</w:t>
      </w:r>
      <w:r>
        <w:rPr>
          <w:spacing w:val="-14"/>
        </w:rPr>
        <w:t xml:space="preserve"> </w:t>
      </w:r>
      <w:r>
        <w:t>with</w:t>
      </w:r>
      <w:r>
        <w:rPr>
          <w:spacing w:val="-14"/>
        </w:rPr>
        <w:t xml:space="preserve"> </w:t>
      </w:r>
      <w:r>
        <w:t>Legislative</w:t>
      </w:r>
      <w:r>
        <w:rPr>
          <w:spacing w:val="-14"/>
        </w:rPr>
        <w:t xml:space="preserve"> </w:t>
      </w:r>
      <w:r>
        <w:t>Assembly</w:t>
      </w:r>
      <w:r>
        <w:rPr>
          <w:spacing w:val="-14"/>
        </w:rPr>
        <w:t xml:space="preserve"> </w:t>
      </w:r>
      <w:r>
        <w:t>committees on proposed appointments to statutory positions for certain boards and advisory bodies. Appointments cannot</w:t>
      </w:r>
      <w:r>
        <w:rPr>
          <w:spacing w:val="-13"/>
        </w:rPr>
        <w:t xml:space="preserve"> </w:t>
      </w:r>
      <w:r>
        <w:t>be</w:t>
      </w:r>
      <w:r>
        <w:rPr>
          <w:spacing w:val="-14"/>
        </w:rPr>
        <w:t xml:space="preserve"> </w:t>
      </w:r>
      <w:r>
        <w:t>made</w:t>
      </w:r>
      <w:r>
        <w:rPr>
          <w:spacing w:val="-14"/>
        </w:rPr>
        <w:t xml:space="preserve"> </w:t>
      </w:r>
      <w:r>
        <w:t>until</w:t>
      </w:r>
      <w:r>
        <w:rPr>
          <w:spacing w:val="-13"/>
        </w:rPr>
        <w:t xml:space="preserve"> </w:t>
      </w:r>
      <w:r>
        <w:t>the</w:t>
      </w:r>
      <w:r>
        <w:rPr>
          <w:spacing w:val="-14"/>
        </w:rPr>
        <w:t xml:space="preserve"> </w:t>
      </w:r>
      <w:r>
        <w:t>committee</w:t>
      </w:r>
      <w:r>
        <w:rPr>
          <w:spacing w:val="-14"/>
        </w:rPr>
        <w:t xml:space="preserve"> </w:t>
      </w:r>
      <w:r>
        <w:t>has</w:t>
      </w:r>
      <w:r>
        <w:rPr>
          <w:spacing w:val="-13"/>
        </w:rPr>
        <w:t xml:space="preserve"> </w:t>
      </w:r>
      <w:r>
        <w:t>responded</w:t>
      </w:r>
      <w:r>
        <w:rPr>
          <w:spacing w:val="-14"/>
        </w:rPr>
        <w:t xml:space="preserve"> </w:t>
      </w:r>
      <w:r>
        <w:t>or</w:t>
      </w:r>
      <w:r>
        <w:rPr>
          <w:spacing w:val="-14"/>
        </w:rPr>
        <w:t xml:space="preserve"> </w:t>
      </w:r>
      <w:r>
        <w:t>until</w:t>
      </w:r>
      <w:r>
        <w:rPr>
          <w:spacing w:val="-13"/>
        </w:rPr>
        <w:t xml:space="preserve"> </w:t>
      </w:r>
      <w:r>
        <w:t>30</w:t>
      </w:r>
      <w:r>
        <w:rPr>
          <w:spacing w:val="-13"/>
        </w:rPr>
        <w:t xml:space="preserve"> </w:t>
      </w:r>
      <w:r>
        <w:t>days</w:t>
      </w:r>
      <w:r>
        <w:rPr>
          <w:spacing w:val="-13"/>
        </w:rPr>
        <w:t xml:space="preserve"> </w:t>
      </w:r>
      <w:r>
        <w:t>have</w:t>
      </w:r>
      <w:r>
        <w:rPr>
          <w:spacing w:val="-14"/>
        </w:rPr>
        <w:t xml:space="preserve"> </w:t>
      </w:r>
      <w:r>
        <w:t>elapsed.</w:t>
      </w:r>
    </w:p>
    <w:p w:rsidR="006C17CB" w:rsidRDefault="0030091C">
      <w:pPr>
        <w:pStyle w:val="BodyText"/>
        <w:spacing w:before="112" w:line="189" w:lineRule="auto"/>
        <w:ind w:left="153" w:right="1181"/>
      </w:pPr>
      <w:r>
        <w:t>In the reporting period, committees considered 136 statutory appointments to a wide range of government bodies. Under continuing resolution 5A, committees are to table a schedule listing the appointments a committee has considered during the applicable period. For each proposed appointment, the schedule must include the date the request for consideration was received from the responsible minister and the date the committee’s response and comment, if any, was provided.</w:t>
      </w:r>
    </w:p>
    <w:p w:rsidR="006C17CB" w:rsidRDefault="006C17CB">
      <w:pPr>
        <w:spacing w:line="189" w:lineRule="auto"/>
        <w:sectPr w:rsidR="006C17CB">
          <w:pgSz w:w="11910" w:h="16840"/>
          <w:pgMar w:top="1580" w:right="0" w:bottom="720" w:left="980" w:header="0" w:footer="44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0"/>
        <w:rPr>
          <w:sz w:val="16"/>
        </w:rPr>
      </w:pPr>
    </w:p>
    <w:p w:rsidR="006C17CB" w:rsidRDefault="0030091C">
      <w:pPr>
        <w:spacing w:before="136"/>
        <w:ind w:left="153"/>
        <w:rPr>
          <w:rFonts w:ascii="Montserrat-SemiBoldItalic"/>
          <w:b/>
          <w:i/>
          <w:sz w:val="20"/>
        </w:rPr>
      </w:pPr>
      <w:r>
        <w:rPr>
          <w:rFonts w:ascii="Montserrat-SemiBoldItalic"/>
          <w:b/>
          <w:i/>
          <w:sz w:val="20"/>
        </w:rPr>
        <w:t>Committee highlights</w:t>
      </w:r>
    </w:p>
    <w:p w:rsidR="006C17CB" w:rsidRDefault="0030091C">
      <w:pPr>
        <w:spacing w:before="269"/>
        <w:ind w:left="153"/>
        <w:rPr>
          <w:rFonts w:ascii="Montserrat"/>
          <w:sz w:val="19"/>
        </w:rPr>
      </w:pPr>
      <w:r>
        <w:rPr>
          <w:rFonts w:ascii="Montserrat"/>
          <w:sz w:val="19"/>
        </w:rPr>
        <w:t>INCREASED PUBLIC ENGAGEMENT</w:t>
      </w:r>
    </w:p>
    <w:p w:rsidR="006C17CB" w:rsidRDefault="0030091C">
      <w:pPr>
        <w:pStyle w:val="BodyText"/>
        <w:spacing w:before="112" w:line="189" w:lineRule="auto"/>
        <w:ind w:left="153" w:right="1233"/>
      </w:pPr>
      <w:r>
        <w:t>Committees held some high-profile inquiries during the reporting period that attracted significant engagement from the ACT public. The Select Committee on End of Life Choices received 487 submissions, an Assembly record. The inquiry by the Standing Committee on Health, Ageing and Community Services into the implementation, performance and governance of the National Disability Insurance Scheme in the ACT received 70 submissions. The Standing Committee on Justice and Community Safety continued its inquiry into domestic and family violence—policy approaches and responses.</w:t>
      </w:r>
    </w:p>
    <w:p w:rsidR="006C17CB" w:rsidRDefault="0030091C">
      <w:pPr>
        <w:pStyle w:val="BodyText"/>
        <w:spacing w:before="110" w:line="189" w:lineRule="auto"/>
        <w:ind w:left="153" w:right="1487"/>
      </w:pPr>
      <w:r>
        <w:t>These three inquiries have all led to public hearings that have attracted public and media attention. The subject matter at these hearings has involved emotional and, at times, confronting material. The Office is creating a vulnerable witness protocol for use in similar inquiries in the future.</w:t>
      </w:r>
    </w:p>
    <w:p w:rsidR="006C17CB" w:rsidRDefault="0030091C">
      <w:pPr>
        <w:pStyle w:val="BodyText"/>
        <w:spacing w:before="112" w:line="189" w:lineRule="auto"/>
        <w:ind w:left="153" w:right="1078"/>
      </w:pPr>
      <w:r>
        <w:t>The Standing Committee on the Environment and Transport and City Services used a number of approaches to encourage engagement with its inquiry into a proposal for a mammal emblem for the ACT. Information packs were sent to schools to encourage student engagement. Site visits by the committee to Mulligan’s Flat Woodland Sanctuary and Tidbinbilla Nature Reserve were filmed and the footage edited for publication on the Assembly’s website. An online poll was run, attracting 3,514 votes. The Office supported these efforts and is assessing what lessons can be learned from these innovations.</w:t>
      </w:r>
    </w:p>
    <w:p w:rsidR="006C17CB" w:rsidRDefault="006C17CB">
      <w:pPr>
        <w:pStyle w:val="BodyText"/>
        <w:spacing w:before="12"/>
        <w:rPr>
          <w:sz w:val="14"/>
        </w:rPr>
      </w:pPr>
    </w:p>
    <w:p w:rsidR="006C17CB" w:rsidRDefault="0030091C">
      <w:pPr>
        <w:ind w:left="153"/>
        <w:rPr>
          <w:rFonts w:ascii="Montserrat"/>
          <w:sz w:val="19"/>
        </w:rPr>
      </w:pPr>
      <w:r>
        <w:rPr>
          <w:rFonts w:ascii="Montserrat"/>
          <w:spacing w:val="5"/>
          <w:sz w:val="19"/>
        </w:rPr>
        <w:t xml:space="preserve">SELECT COMMITTEE </w:t>
      </w:r>
      <w:r>
        <w:rPr>
          <w:rFonts w:ascii="Montserrat"/>
          <w:spacing w:val="3"/>
          <w:sz w:val="19"/>
        </w:rPr>
        <w:t xml:space="preserve">ON </w:t>
      </w:r>
      <w:r>
        <w:rPr>
          <w:rFonts w:ascii="Montserrat"/>
          <w:spacing w:val="6"/>
          <w:sz w:val="19"/>
        </w:rPr>
        <w:t>PRIVILEGES</w:t>
      </w:r>
      <w:r>
        <w:rPr>
          <w:rFonts w:ascii="Montserrat"/>
          <w:spacing w:val="60"/>
          <w:sz w:val="19"/>
        </w:rPr>
        <w:t xml:space="preserve"> </w:t>
      </w:r>
      <w:r>
        <w:rPr>
          <w:rFonts w:ascii="Montserrat"/>
          <w:spacing w:val="7"/>
          <w:sz w:val="19"/>
        </w:rPr>
        <w:t>2018</w:t>
      </w:r>
    </w:p>
    <w:p w:rsidR="006C17CB" w:rsidRDefault="0030091C">
      <w:pPr>
        <w:pStyle w:val="BodyText"/>
        <w:spacing w:before="112" w:line="189" w:lineRule="auto"/>
        <w:ind w:left="153" w:right="1412"/>
      </w:pPr>
      <w:r>
        <w:t>A Select Committee on Privileges was formed on 12 April 2018 to establish whether certain members had committed a contempt by directing people to a website not run by the committee secretariat, in order to make submissions to a committee inquiry. The committee reported on 20 June 2018 and found that no member had committed a contempt. The committee recommended that guidelines be developed for the use of third-party websites in the preparation of submissions to Assembly inquiries.</w:t>
      </w:r>
    </w:p>
    <w:p w:rsidR="006C17CB" w:rsidRDefault="006C17CB">
      <w:pPr>
        <w:pStyle w:val="BodyText"/>
        <w:spacing w:before="12"/>
        <w:rPr>
          <w:sz w:val="14"/>
        </w:rPr>
      </w:pPr>
    </w:p>
    <w:p w:rsidR="006C17CB" w:rsidRDefault="0030091C">
      <w:pPr>
        <w:ind w:left="153"/>
        <w:rPr>
          <w:rFonts w:ascii="Montserrat"/>
          <w:sz w:val="19"/>
        </w:rPr>
      </w:pPr>
      <w:r>
        <w:rPr>
          <w:rFonts w:ascii="Montserrat"/>
          <w:sz w:val="19"/>
        </w:rPr>
        <w:t>STANDING COMMITTEE ON ADMINISTRATION AND PROCEDURE</w:t>
      </w:r>
    </w:p>
    <w:p w:rsidR="006C17CB" w:rsidRDefault="0030091C">
      <w:pPr>
        <w:pStyle w:val="BodyText"/>
        <w:spacing w:before="112" w:line="189" w:lineRule="auto"/>
        <w:ind w:left="153" w:right="1641"/>
      </w:pPr>
      <w:r>
        <w:t>The Standing Committee on Administration and Procedure met on 20 occasions. The committee’s main task was to set the program for private members’, executive members’ and Assembly business.</w:t>
      </w:r>
    </w:p>
    <w:p w:rsidR="006C17CB" w:rsidRDefault="0030091C">
      <w:pPr>
        <w:pStyle w:val="BodyText"/>
        <w:spacing w:before="112" w:line="189" w:lineRule="auto"/>
        <w:ind w:left="153" w:right="1412"/>
      </w:pPr>
      <w:r>
        <w:t>The committee conducted four new inquiries, presented two reports and made two 246A statements during the reporting period.</w:t>
      </w:r>
    </w:p>
    <w:p w:rsidR="006C17CB" w:rsidRDefault="0030091C">
      <w:pPr>
        <w:pStyle w:val="BodyText"/>
        <w:spacing w:before="113" w:line="189" w:lineRule="auto"/>
        <w:ind w:left="153" w:right="1156"/>
      </w:pPr>
      <w:r>
        <w:t>Three of the new inquiries were referred by the Assembly and related to: the operation of estimates inquiries; a review of continuing resolution 9, which relates to the election of ACT Senators; and the standing orders relating to contempt. The committee also commenced an inquiry into the operation of standing orders and continuing resolutions of the Assembly, pursuant to standing order 16. This inquiry is ongoing.</w:t>
      </w:r>
    </w:p>
    <w:p w:rsidR="006C17CB" w:rsidRDefault="0030091C">
      <w:pPr>
        <w:pStyle w:val="BodyText"/>
        <w:spacing w:before="57"/>
        <w:ind w:left="153"/>
      </w:pPr>
      <w:r>
        <w:t>Reports presented related to continuing resolution 9, and models for estimates inquiries.</w:t>
      </w:r>
    </w:p>
    <w:p w:rsidR="006C17CB" w:rsidRDefault="006C17CB">
      <w:pPr>
        <w:pStyle w:val="BodyText"/>
        <w:spacing w:before="2"/>
        <w:rPr>
          <w:sz w:val="14"/>
        </w:rPr>
      </w:pPr>
    </w:p>
    <w:p w:rsidR="006C17CB" w:rsidRDefault="0030091C">
      <w:pPr>
        <w:ind w:left="153"/>
        <w:rPr>
          <w:rFonts w:ascii="Montserrat"/>
          <w:sz w:val="19"/>
        </w:rPr>
      </w:pPr>
      <w:r>
        <w:rPr>
          <w:rFonts w:ascii="Montserrat"/>
          <w:sz w:val="19"/>
        </w:rPr>
        <w:t>SELECT COMMITTEE ON JUSTICE AND COMMUNITY SAFETY (LEGISLATIVE SCRUTINY ROLE)</w:t>
      </w:r>
    </w:p>
    <w:p w:rsidR="006C17CB" w:rsidRDefault="0030091C">
      <w:pPr>
        <w:pStyle w:val="BodyText"/>
        <w:spacing w:before="112" w:line="189" w:lineRule="auto"/>
        <w:ind w:left="153" w:right="1412"/>
      </w:pPr>
      <w:r>
        <w:t>The Select Committee on Justice and Community Safety, in performing its legislative scrutiny role, met on 14 occasions (a total of 10 hrs 48 min). The committee issued 12 reports and considered:</w:t>
      </w:r>
    </w:p>
    <w:p w:rsidR="006C17CB" w:rsidRDefault="0030091C">
      <w:pPr>
        <w:pStyle w:val="ListParagraph"/>
        <w:numPr>
          <w:ilvl w:val="0"/>
          <w:numId w:val="22"/>
        </w:numPr>
        <w:tabs>
          <w:tab w:val="left" w:pos="381"/>
        </w:tabs>
        <w:spacing w:before="58" w:line="306" w:lineRule="exact"/>
      </w:pPr>
      <w:r>
        <w:rPr>
          <w:spacing w:val="-5"/>
        </w:rPr>
        <w:t>61</w:t>
      </w:r>
      <w:r>
        <w:t xml:space="preserve"> </w:t>
      </w:r>
      <w:r>
        <w:rPr>
          <w:spacing w:val="-3"/>
        </w:rPr>
        <w:t>bills;</w:t>
      </w:r>
    </w:p>
    <w:p w:rsidR="006C17CB" w:rsidRDefault="0030091C">
      <w:pPr>
        <w:pStyle w:val="ListParagraph"/>
        <w:numPr>
          <w:ilvl w:val="0"/>
          <w:numId w:val="22"/>
        </w:numPr>
        <w:tabs>
          <w:tab w:val="left" w:pos="381"/>
        </w:tabs>
      </w:pPr>
      <w:r>
        <w:t>398 items of subordinate</w:t>
      </w:r>
      <w:r>
        <w:rPr>
          <w:spacing w:val="-3"/>
        </w:rPr>
        <w:t xml:space="preserve"> </w:t>
      </w:r>
      <w:r>
        <w:t>legislation;</w:t>
      </w:r>
    </w:p>
    <w:p w:rsidR="006C17CB" w:rsidRDefault="0030091C">
      <w:pPr>
        <w:pStyle w:val="ListParagraph"/>
        <w:numPr>
          <w:ilvl w:val="0"/>
          <w:numId w:val="22"/>
        </w:numPr>
        <w:tabs>
          <w:tab w:val="left" w:pos="381"/>
        </w:tabs>
      </w:pPr>
      <w:r>
        <w:rPr>
          <w:spacing w:val="-6"/>
        </w:rPr>
        <w:t xml:space="preserve">41 </w:t>
      </w:r>
      <w:r>
        <w:t>government</w:t>
      </w:r>
      <w:r>
        <w:rPr>
          <w:spacing w:val="5"/>
        </w:rPr>
        <w:t xml:space="preserve"> </w:t>
      </w:r>
      <w:r>
        <w:t>responses;</w:t>
      </w:r>
    </w:p>
    <w:p w:rsidR="006C17CB" w:rsidRDefault="0030091C">
      <w:pPr>
        <w:pStyle w:val="ListParagraph"/>
        <w:numPr>
          <w:ilvl w:val="0"/>
          <w:numId w:val="22"/>
        </w:numPr>
        <w:tabs>
          <w:tab w:val="left" w:pos="381"/>
        </w:tabs>
      </w:pPr>
      <w:r>
        <w:t>eight regulatory impact</w:t>
      </w:r>
      <w:r>
        <w:rPr>
          <w:spacing w:val="-1"/>
        </w:rPr>
        <w:t xml:space="preserve"> </w:t>
      </w:r>
      <w:r>
        <w:t>statements;</w:t>
      </w:r>
    </w:p>
    <w:p w:rsidR="006C17CB" w:rsidRDefault="0030091C">
      <w:pPr>
        <w:pStyle w:val="ListParagraph"/>
        <w:numPr>
          <w:ilvl w:val="0"/>
          <w:numId w:val="22"/>
        </w:numPr>
        <w:tabs>
          <w:tab w:val="left" w:pos="381"/>
        </w:tabs>
      </w:pPr>
      <w:r>
        <w:t>government amendments to two Executive</w:t>
      </w:r>
      <w:r>
        <w:rPr>
          <w:spacing w:val="-5"/>
        </w:rPr>
        <w:t xml:space="preserve"> </w:t>
      </w:r>
      <w:r>
        <w:rPr>
          <w:spacing w:val="-3"/>
        </w:rPr>
        <w:t>bills;</w:t>
      </w:r>
    </w:p>
    <w:p w:rsidR="006C17CB" w:rsidRDefault="0030091C">
      <w:pPr>
        <w:pStyle w:val="ListParagraph"/>
        <w:numPr>
          <w:ilvl w:val="0"/>
          <w:numId w:val="22"/>
        </w:numPr>
        <w:tabs>
          <w:tab w:val="left" w:pos="381"/>
        </w:tabs>
      </w:pPr>
      <w:r>
        <w:t>eight national regulations;</w:t>
      </w:r>
      <w:r>
        <w:rPr>
          <w:spacing w:val="-1"/>
        </w:rPr>
        <w:t xml:space="preserve"> </w:t>
      </w:r>
      <w:r>
        <w:t>and</w:t>
      </w:r>
    </w:p>
    <w:p w:rsidR="006C17CB" w:rsidRDefault="0030091C">
      <w:pPr>
        <w:pStyle w:val="ListParagraph"/>
        <w:numPr>
          <w:ilvl w:val="0"/>
          <w:numId w:val="22"/>
        </w:numPr>
        <w:tabs>
          <w:tab w:val="left" w:pos="381"/>
        </w:tabs>
        <w:spacing w:line="306" w:lineRule="exact"/>
      </w:pPr>
      <w:r>
        <w:t>one national</w:t>
      </w:r>
      <w:r>
        <w:rPr>
          <w:spacing w:val="-2"/>
        </w:rPr>
        <w:t xml:space="preserve"> </w:t>
      </w:r>
      <w:r>
        <w:rPr>
          <w:spacing w:val="-4"/>
        </w:rPr>
        <w:t>law.</w:t>
      </w:r>
    </w:p>
    <w:p w:rsidR="006C17CB" w:rsidRDefault="006C17CB">
      <w:pPr>
        <w:spacing w:line="306" w:lineRule="exact"/>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3"/>
        <w:rPr>
          <w:sz w:val="17"/>
        </w:rPr>
      </w:pPr>
    </w:p>
    <w:p w:rsidR="006C17CB" w:rsidRDefault="0030091C">
      <w:pPr>
        <w:spacing w:before="128"/>
        <w:ind w:left="153"/>
        <w:rPr>
          <w:rFonts w:ascii="Montserrat"/>
          <w:sz w:val="19"/>
        </w:rPr>
      </w:pPr>
      <w:bookmarkStart w:id="42" w:name="Procedural_digest"/>
      <w:bookmarkStart w:id="43" w:name="_bookmark10"/>
      <w:bookmarkEnd w:id="42"/>
      <w:bookmarkEnd w:id="43"/>
      <w:r>
        <w:rPr>
          <w:rFonts w:ascii="Montserrat"/>
          <w:sz w:val="19"/>
        </w:rPr>
        <w:t>SELECT COMMITTEE ON ESTIMATES 2017-2018</w:t>
      </w:r>
    </w:p>
    <w:p w:rsidR="006C17CB" w:rsidRDefault="0030091C">
      <w:pPr>
        <w:pStyle w:val="BodyText"/>
        <w:spacing w:before="58"/>
        <w:ind w:left="153"/>
      </w:pPr>
      <w:r>
        <w:t>The Select Committee on Estimates 2017-2018 was established by the Assembly on 16 February 2017.</w:t>
      </w:r>
    </w:p>
    <w:p w:rsidR="006C17CB" w:rsidRDefault="0030091C">
      <w:pPr>
        <w:pStyle w:val="BodyText"/>
        <w:spacing w:before="101" w:line="189" w:lineRule="auto"/>
        <w:ind w:left="153" w:right="1320"/>
      </w:pPr>
      <w:r>
        <w:t>The Select Committee on Estimates was created to examine both the Appropriation Bill 2017-2018 and the Appropriation (Office of the Legislative Assembly) Bill 2017-2018.</w:t>
      </w:r>
    </w:p>
    <w:p w:rsidR="006C17CB" w:rsidRDefault="0030091C">
      <w:pPr>
        <w:pStyle w:val="BodyText"/>
        <w:spacing w:before="112" w:line="189" w:lineRule="auto"/>
        <w:ind w:left="153" w:right="1412"/>
      </w:pPr>
      <w:r>
        <w:t xml:space="preserve">The committee engaged expert technical assistance to conduct an economic and financial analysis of the budget. Following a process for expressions of interest, Pegasus Economics was selected to assist the committee. Pegasus Economics provided the committee with its </w:t>
      </w:r>
      <w:r>
        <w:rPr>
          <w:rFonts w:ascii="Calibri"/>
          <w:i/>
        </w:rPr>
        <w:t>Review of the ACT Budget 2017-18</w:t>
      </w:r>
      <w:r>
        <w:t>.</w:t>
      </w:r>
    </w:p>
    <w:p w:rsidR="006C17CB" w:rsidRDefault="0030091C">
      <w:pPr>
        <w:pStyle w:val="BodyText"/>
        <w:spacing w:before="58"/>
        <w:ind w:left="153"/>
      </w:pPr>
      <w:r>
        <w:t>The committee held public hearings over 12 days, hearing evidence from:</w:t>
      </w:r>
    </w:p>
    <w:p w:rsidR="006C17CB" w:rsidRDefault="0030091C">
      <w:pPr>
        <w:pStyle w:val="ListParagraph"/>
        <w:numPr>
          <w:ilvl w:val="0"/>
          <w:numId w:val="22"/>
        </w:numPr>
        <w:tabs>
          <w:tab w:val="left" w:pos="381"/>
        </w:tabs>
        <w:spacing w:before="46" w:line="306" w:lineRule="exact"/>
      </w:pPr>
      <w:r>
        <w:t>community groups and</w:t>
      </w:r>
      <w:r>
        <w:rPr>
          <w:spacing w:val="-1"/>
        </w:rPr>
        <w:t xml:space="preserve"> </w:t>
      </w:r>
      <w:r>
        <w:t>organisations;</w:t>
      </w:r>
    </w:p>
    <w:p w:rsidR="006C17CB" w:rsidRDefault="0030091C">
      <w:pPr>
        <w:pStyle w:val="ListParagraph"/>
        <w:numPr>
          <w:ilvl w:val="0"/>
          <w:numId w:val="22"/>
        </w:numPr>
        <w:tabs>
          <w:tab w:val="left" w:pos="381"/>
        </w:tabs>
      </w:pPr>
      <w:r>
        <w:t>ministers of the ACT</w:t>
      </w:r>
      <w:r>
        <w:rPr>
          <w:spacing w:val="-3"/>
        </w:rPr>
        <w:t xml:space="preserve"> </w:t>
      </w:r>
      <w:r>
        <w:t>government;</w:t>
      </w:r>
    </w:p>
    <w:p w:rsidR="006C17CB" w:rsidRDefault="0030091C">
      <w:pPr>
        <w:pStyle w:val="ListParagraph"/>
        <w:numPr>
          <w:ilvl w:val="0"/>
          <w:numId w:val="22"/>
        </w:numPr>
        <w:tabs>
          <w:tab w:val="left" w:pos="381"/>
        </w:tabs>
      </w:pPr>
      <w:r>
        <w:t>officers of Territory-owned</w:t>
      </w:r>
      <w:r>
        <w:rPr>
          <w:spacing w:val="-2"/>
        </w:rPr>
        <w:t xml:space="preserve"> </w:t>
      </w:r>
      <w:r>
        <w:t>corporations;</w:t>
      </w:r>
    </w:p>
    <w:p w:rsidR="006C17CB" w:rsidRDefault="0030091C">
      <w:pPr>
        <w:pStyle w:val="ListParagraph"/>
        <w:numPr>
          <w:ilvl w:val="0"/>
          <w:numId w:val="22"/>
        </w:numPr>
        <w:tabs>
          <w:tab w:val="left" w:pos="381"/>
        </w:tabs>
      </w:pPr>
      <w:r>
        <w:t>the Speaker of the Assembly and parliamentary officers, including the Clerk of the Assembly;</w:t>
      </w:r>
      <w:r>
        <w:rPr>
          <w:spacing w:val="-22"/>
        </w:rPr>
        <w:t xml:space="preserve"> </w:t>
      </w:r>
      <w:r>
        <w:t>and</w:t>
      </w:r>
    </w:p>
    <w:p w:rsidR="006C17CB" w:rsidRDefault="0030091C">
      <w:pPr>
        <w:pStyle w:val="ListParagraph"/>
        <w:numPr>
          <w:ilvl w:val="0"/>
          <w:numId w:val="22"/>
        </w:numPr>
        <w:tabs>
          <w:tab w:val="left" w:pos="381"/>
        </w:tabs>
        <w:spacing w:line="306" w:lineRule="exact"/>
      </w:pPr>
      <w:r>
        <w:t>ACT statutory officers, including Officers of the Legislative</w:t>
      </w:r>
      <w:r>
        <w:rPr>
          <w:spacing w:val="-7"/>
        </w:rPr>
        <w:t xml:space="preserve"> </w:t>
      </w:r>
      <w:r>
        <w:t>Assembly.</w:t>
      </w:r>
    </w:p>
    <w:p w:rsidR="006C17CB" w:rsidRDefault="0030091C">
      <w:pPr>
        <w:pStyle w:val="BodyText"/>
        <w:spacing w:before="185" w:line="189" w:lineRule="auto"/>
        <w:ind w:left="153" w:right="1412"/>
      </w:pPr>
      <w:r>
        <w:t>As part of its deliberations, the committee sought community views on the budget and heard from 10 community groups on the first day of public hearings.</w:t>
      </w:r>
    </w:p>
    <w:p w:rsidR="006C17CB" w:rsidRDefault="0030091C">
      <w:pPr>
        <w:pStyle w:val="BodyText"/>
        <w:spacing w:before="113" w:line="189" w:lineRule="auto"/>
        <w:ind w:left="153" w:right="1412"/>
      </w:pPr>
      <w:r>
        <w:t>Questions on notice and questions taken on notice are an important part of the Assembly’s estimates process, and the 667 questions and answers were published on the Assembly website.</w:t>
      </w:r>
    </w:p>
    <w:p w:rsidR="006C17CB" w:rsidRDefault="0030091C">
      <w:pPr>
        <w:pStyle w:val="BodyText"/>
        <w:spacing w:before="58"/>
        <w:ind w:left="153"/>
      </w:pPr>
      <w:r>
        <w:t xml:space="preserve">The committee tabled its </w:t>
      </w:r>
      <w:hyperlink r:id="rId39">
        <w:r>
          <w:rPr>
            <w:rFonts w:ascii="Calibri"/>
            <w:color w:val="004289"/>
            <w:u w:val="single" w:color="004289"/>
          </w:rPr>
          <w:t>final report</w:t>
        </w:r>
        <w:r>
          <w:rPr>
            <w:rFonts w:ascii="Calibri"/>
            <w:color w:val="004289"/>
          </w:rPr>
          <w:t xml:space="preserve"> </w:t>
        </w:r>
      </w:hyperlink>
      <w:r>
        <w:t>in the Assembly on 1 August 2017.</w:t>
      </w:r>
    </w:p>
    <w:p w:rsidR="006C17CB" w:rsidRDefault="006C17CB">
      <w:pPr>
        <w:pStyle w:val="BodyText"/>
        <w:spacing w:before="1"/>
        <w:rPr>
          <w:sz w:val="20"/>
        </w:rPr>
      </w:pPr>
    </w:p>
    <w:p w:rsidR="006C17CB" w:rsidRDefault="0030091C">
      <w:pPr>
        <w:pStyle w:val="Heading5"/>
        <w:spacing w:before="1"/>
        <w:rPr>
          <w:rFonts w:ascii="Montserrat"/>
        </w:rPr>
      </w:pPr>
      <w:r>
        <w:rPr>
          <w:rFonts w:ascii="Montserrat"/>
          <w:color w:val="556EAA"/>
        </w:rPr>
        <w:t>Procedural digest</w:t>
      </w:r>
    </w:p>
    <w:p w:rsidR="006C17CB" w:rsidRDefault="0030091C">
      <w:pPr>
        <w:spacing w:before="316"/>
        <w:ind w:left="153"/>
        <w:rPr>
          <w:rFonts w:ascii="Montserrat-SemiBoldItalic"/>
          <w:b/>
          <w:i/>
          <w:sz w:val="20"/>
        </w:rPr>
      </w:pPr>
      <w:r>
        <w:rPr>
          <w:rFonts w:ascii="Montserrat-SemiBoldItalic"/>
          <w:b/>
          <w:i/>
          <w:sz w:val="20"/>
        </w:rPr>
        <w:t>Proposed motion to establish a privileges committee defeated</w:t>
      </w:r>
    </w:p>
    <w:p w:rsidR="006C17CB" w:rsidRDefault="0030091C">
      <w:pPr>
        <w:pStyle w:val="BodyText"/>
        <w:spacing w:before="166" w:line="189" w:lineRule="auto"/>
        <w:ind w:left="153" w:right="1138"/>
      </w:pPr>
      <w:r>
        <w:t>On 2 August 2017, the Speaker advised the Assembly of a letter she had received from a government member of the Standing Committee on Public Accounts, alleging an unauthorised disclosure of the private deliberations of that committee. The Speaker outlined action she had taken in response to the letter and advised that she would give precedence to a motion to establish a select committee on privileges to examine the matter. The government member subsequently moved the motion, which, after debate, was defeated when the crossbench voted with the opposition.</w:t>
      </w:r>
    </w:p>
    <w:p w:rsidR="006C17CB" w:rsidRDefault="006C17CB">
      <w:pPr>
        <w:pStyle w:val="BodyText"/>
        <w:spacing w:before="6"/>
        <w:rPr>
          <w:sz w:val="23"/>
        </w:rPr>
      </w:pPr>
    </w:p>
    <w:p w:rsidR="006C17CB" w:rsidRDefault="0030091C">
      <w:pPr>
        <w:ind w:left="153"/>
        <w:rPr>
          <w:rFonts w:ascii="Montserrat-SemiBoldItalic" w:hAnsi="Montserrat-SemiBoldItalic"/>
          <w:b/>
          <w:i/>
          <w:sz w:val="20"/>
        </w:rPr>
      </w:pPr>
      <w:r>
        <w:rPr>
          <w:rFonts w:ascii="Montserrat-SemiBoldItalic" w:hAnsi="Montserrat-SemiBoldItalic"/>
          <w:b/>
          <w:i/>
          <w:sz w:val="20"/>
        </w:rPr>
        <w:t>Code of conduct for members—amendment and reaffirmation</w:t>
      </w:r>
    </w:p>
    <w:p w:rsidR="006C17CB" w:rsidRDefault="0030091C">
      <w:pPr>
        <w:pStyle w:val="BodyText"/>
        <w:spacing w:before="166" w:line="189" w:lineRule="auto"/>
        <w:ind w:left="153" w:right="1215"/>
      </w:pPr>
      <w:r>
        <w:t>On 3 August the Assembly adopted, with a few amendments, recommendations on the code of conduct for members, which had been reported on by the Standing Committee on Administration and Procedure during the previous period. Among the agreed changes was a requirement for MLAs filling casual vacancies to affirm their commitment to the code before making their inaugural speech.</w:t>
      </w:r>
    </w:p>
    <w:p w:rsidR="006C17CB" w:rsidRDefault="0030091C">
      <w:pPr>
        <w:pStyle w:val="BodyText"/>
        <w:spacing w:before="111" w:line="189" w:lineRule="auto"/>
        <w:ind w:left="153" w:right="1177"/>
      </w:pPr>
      <w:r>
        <w:t>Following adoption of the revised code of conduct, all existing members then reaffirmed their commitment to the code’s principles, obligations and aspirations.</w:t>
      </w:r>
    </w:p>
    <w:p w:rsidR="006C17CB" w:rsidRDefault="006C17CB">
      <w:pPr>
        <w:pStyle w:val="BodyText"/>
        <w:spacing w:before="8"/>
        <w:rPr>
          <w:sz w:val="23"/>
        </w:rPr>
      </w:pPr>
    </w:p>
    <w:p w:rsidR="006C17CB" w:rsidRDefault="0030091C">
      <w:pPr>
        <w:ind w:left="153"/>
        <w:rPr>
          <w:rFonts w:ascii="Montserrat-SemiBoldItalic" w:hAnsi="Montserrat-SemiBoldItalic"/>
          <w:b/>
          <w:i/>
          <w:sz w:val="20"/>
        </w:rPr>
      </w:pPr>
      <w:r>
        <w:rPr>
          <w:rFonts w:ascii="Montserrat-SemiBoldItalic" w:hAnsi="Montserrat-SemiBoldItalic"/>
          <w:b/>
          <w:i/>
          <w:sz w:val="20"/>
        </w:rPr>
        <w:t>Commissioner for Standards referral process—revised procedures</w:t>
      </w:r>
    </w:p>
    <w:p w:rsidR="006C17CB" w:rsidRDefault="0030091C">
      <w:pPr>
        <w:pStyle w:val="BodyText"/>
        <w:spacing w:before="166" w:line="189" w:lineRule="auto"/>
        <w:ind w:left="153" w:right="1114"/>
      </w:pPr>
      <w:r>
        <w:t>On 3 August, the Assembly adopted revised procedures for referring alleged breaches of the members’ code of conduct, for investigation by the Commissioner for Standards. The revised procedures mean the Speaker (or Deputy Speaker) no longer makes the initial decision on whether a matter should be referred to the Commissioner. Allegations are now to be submitted to the Clerk, for referral directly to the Commissioner.</w:t>
      </w:r>
    </w:p>
    <w:p w:rsidR="006C17CB" w:rsidRDefault="006C17CB">
      <w:pPr>
        <w:spacing w:line="189" w:lineRule="auto"/>
        <w:sectPr w:rsidR="006C17CB">
          <w:pgSz w:w="11910" w:h="16840"/>
          <w:pgMar w:top="1580" w:right="0" w:bottom="720" w:left="980" w:header="0" w:footer="44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0"/>
        <w:rPr>
          <w:sz w:val="16"/>
        </w:rPr>
      </w:pPr>
    </w:p>
    <w:p w:rsidR="006C17CB" w:rsidRDefault="0030091C">
      <w:pPr>
        <w:spacing w:before="136"/>
        <w:ind w:left="153"/>
        <w:rPr>
          <w:rFonts w:ascii="Montserrat-SemiBoldItalic"/>
          <w:b/>
          <w:i/>
          <w:sz w:val="20"/>
        </w:rPr>
      </w:pPr>
      <w:r>
        <w:rPr>
          <w:rFonts w:ascii="Montserrat-SemiBoldItalic"/>
          <w:b/>
          <w:i/>
          <w:sz w:val="20"/>
        </w:rPr>
        <w:t>Legislative Assembly Legislation Amendment Bill 2017</w:t>
      </w:r>
    </w:p>
    <w:p w:rsidR="006C17CB" w:rsidRDefault="0030091C" w:rsidP="0030091C">
      <w:pPr>
        <w:pStyle w:val="BodyText"/>
        <w:spacing w:before="166" w:line="189" w:lineRule="auto"/>
        <w:ind w:left="153" w:right="1151"/>
      </w:pPr>
      <w:r>
        <w:t xml:space="preserve">In September, the Speaker introduced a bill to amend a number of Territory laws relating to the Assembly, the Clerk and other officers, and Officers of the Assembly (ie Auditor-General, Electoral Commissioner and Ombudsman). Issues included the appointment processes for the Clerk and Officers of the Assembly, the tenure of the Auditor-General, administrative support for the Speaker in relation to Officers of the Assembly, removal of a requirement under the </w:t>
      </w:r>
      <w:hyperlink r:id="rId40">
        <w:r>
          <w:rPr>
            <w:rFonts w:ascii="Calibri"/>
            <w:color w:val="004289"/>
            <w:u w:val="single" w:color="004289"/>
          </w:rPr>
          <w:t>Financial Management Act</w:t>
        </w:r>
        <w:r>
          <w:rPr>
            <w:rFonts w:ascii="Calibri"/>
            <w:color w:val="004289"/>
          </w:rPr>
          <w:t xml:space="preserve"> </w:t>
        </w:r>
      </w:hyperlink>
      <w:r>
        <w:t xml:space="preserve">for the Clerk to manage the Office in a way “not inconsistent with the policies of the government”, and updates to the </w:t>
      </w:r>
      <w:hyperlink r:id="rId41">
        <w:r>
          <w:rPr>
            <w:rFonts w:ascii="Calibri" w:hAnsi="Calibri"/>
            <w:color w:val="004289"/>
            <w:u w:val="single" w:color="004289"/>
          </w:rPr>
          <w:t>Precincts Act</w:t>
        </w:r>
        <w:r>
          <w:rPr>
            <w:rFonts w:ascii="Calibri" w:hAnsi="Calibri"/>
            <w:color w:val="004289"/>
          </w:rPr>
          <w:t xml:space="preserve"> </w:t>
        </w:r>
      </w:hyperlink>
      <w:r>
        <w:t>to reflect contemporary arrangements. The bill was passed in November.</w:t>
      </w:r>
    </w:p>
    <w:p w:rsidR="006C17CB" w:rsidRDefault="006C17CB">
      <w:pPr>
        <w:pStyle w:val="BodyText"/>
        <w:spacing w:before="5"/>
        <w:rPr>
          <w:sz w:val="23"/>
        </w:rPr>
      </w:pPr>
    </w:p>
    <w:p w:rsidR="006C17CB" w:rsidRDefault="0030091C">
      <w:pPr>
        <w:ind w:left="153"/>
        <w:rPr>
          <w:rFonts w:ascii="Montserrat-SemiBoldItalic"/>
          <w:b/>
          <w:i/>
          <w:sz w:val="20"/>
        </w:rPr>
      </w:pPr>
      <w:r>
        <w:rPr>
          <w:rFonts w:ascii="Montserrat-SemiBoldItalic"/>
          <w:b/>
          <w:i/>
          <w:sz w:val="20"/>
        </w:rPr>
        <w:t>Members speaking in languages other than English</w:t>
      </w:r>
    </w:p>
    <w:p w:rsidR="006C17CB" w:rsidRDefault="0030091C">
      <w:pPr>
        <w:pStyle w:val="BodyText"/>
        <w:spacing w:before="166" w:line="189" w:lineRule="auto"/>
        <w:ind w:left="153" w:right="1215"/>
      </w:pPr>
      <w:r>
        <w:t>During debate on a motion on mother languages on 13 September, two members spoke briefly in Korean and Tongan. The Speaker later reminded the Assembly of the practice that speeches should be delivered in English to ensure that all members could follow the debate. While acknowledging that there were occasions when the use of a language other than English was appropriate, she asked that in future the chair be provided with a copy of the translation in advance.</w:t>
      </w:r>
    </w:p>
    <w:p w:rsidR="006C17CB" w:rsidRDefault="006C17CB">
      <w:pPr>
        <w:pStyle w:val="BodyText"/>
        <w:spacing w:before="6"/>
        <w:rPr>
          <w:sz w:val="23"/>
        </w:rPr>
      </w:pPr>
    </w:p>
    <w:p w:rsidR="006C17CB" w:rsidRDefault="0030091C">
      <w:pPr>
        <w:spacing w:before="1"/>
        <w:ind w:left="153"/>
        <w:rPr>
          <w:rFonts w:ascii="Montserrat-SemiBoldItalic" w:hAnsi="Montserrat-SemiBoldItalic"/>
          <w:b/>
          <w:i/>
          <w:sz w:val="20"/>
        </w:rPr>
      </w:pPr>
      <w:r>
        <w:rPr>
          <w:rFonts w:ascii="Montserrat-SemiBoldItalic" w:hAnsi="Montserrat-SemiBoldItalic"/>
          <w:b/>
          <w:i/>
          <w:sz w:val="20"/>
        </w:rPr>
        <w:t>Order for the production of documents held by the executive—amendments to standing order</w:t>
      </w:r>
    </w:p>
    <w:p w:rsidR="006C17CB" w:rsidRDefault="0030091C">
      <w:pPr>
        <w:pStyle w:val="BodyText"/>
        <w:spacing w:before="166" w:line="189" w:lineRule="auto"/>
        <w:ind w:left="153" w:right="1577"/>
        <w:jc w:val="both"/>
      </w:pPr>
      <w:r>
        <w:t>Standing</w:t>
      </w:r>
      <w:r>
        <w:rPr>
          <w:spacing w:val="-5"/>
        </w:rPr>
        <w:t xml:space="preserve"> </w:t>
      </w:r>
      <w:r>
        <w:t>order</w:t>
      </w:r>
      <w:r>
        <w:rPr>
          <w:spacing w:val="-5"/>
        </w:rPr>
        <w:t xml:space="preserve"> </w:t>
      </w:r>
      <w:r>
        <w:t>213A</w:t>
      </w:r>
      <w:r>
        <w:rPr>
          <w:spacing w:val="-5"/>
        </w:rPr>
        <w:t xml:space="preserve"> </w:t>
      </w:r>
      <w:r>
        <w:t>sets</w:t>
      </w:r>
      <w:r>
        <w:rPr>
          <w:spacing w:val="-5"/>
        </w:rPr>
        <w:t xml:space="preserve"> </w:t>
      </w:r>
      <w:r>
        <w:t>out</w:t>
      </w:r>
      <w:r>
        <w:rPr>
          <w:spacing w:val="-5"/>
        </w:rPr>
        <w:t xml:space="preserve"> </w:t>
      </w:r>
      <w:r>
        <w:t>the</w:t>
      </w:r>
      <w:r>
        <w:rPr>
          <w:spacing w:val="-5"/>
        </w:rPr>
        <w:t xml:space="preserve"> </w:t>
      </w:r>
      <w:r>
        <w:t>procedure</w:t>
      </w:r>
      <w:r>
        <w:rPr>
          <w:spacing w:val="-5"/>
        </w:rPr>
        <w:t xml:space="preserve"> </w:t>
      </w:r>
      <w:r>
        <w:t>for</w:t>
      </w:r>
      <w:r>
        <w:rPr>
          <w:spacing w:val="-5"/>
        </w:rPr>
        <w:t xml:space="preserve"> </w:t>
      </w:r>
      <w:r>
        <w:t>the</w:t>
      </w:r>
      <w:r>
        <w:rPr>
          <w:spacing w:val="-5"/>
        </w:rPr>
        <w:t xml:space="preserve"> </w:t>
      </w:r>
      <w:r>
        <w:t>Assembly</w:t>
      </w:r>
      <w:r>
        <w:rPr>
          <w:spacing w:val="-5"/>
        </w:rPr>
        <w:t xml:space="preserve"> </w:t>
      </w:r>
      <w:r>
        <w:t>to</w:t>
      </w:r>
      <w:r>
        <w:rPr>
          <w:spacing w:val="-5"/>
        </w:rPr>
        <w:t xml:space="preserve"> </w:t>
      </w:r>
      <w:r>
        <w:t>request</w:t>
      </w:r>
      <w:r>
        <w:rPr>
          <w:spacing w:val="-5"/>
        </w:rPr>
        <w:t xml:space="preserve"> </w:t>
      </w:r>
      <w:r>
        <w:t>executive</w:t>
      </w:r>
      <w:r>
        <w:rPr>
          <w:spacing w:val="-5"/>
        </w:rPr>
        <w:t xml:space="preserve"> </w:t>
      </w:r>
      <w:r>
        <w:t>documents.</w:t>
      </w:r>
      <w:r>
        <w:rPr>
          <w:spacing w:val="-5"/>
        </w:rPr>
        <w:t xml:space="preserve"> </w:t>
      </w:r>
      <w:r>
        <w:t>If</w:t>
      </w:r>
      <w:r>
        <w:rPr>
          <w:spacing w:val="-5"/>
        </w:rPr>
        <w:t xml:space="preserve"> </w:t>
      </w:r>
      <w:r>
        <w:t>a</w:t>
      </w:r>
      <w:r>
        <w:rPr>
          <w:spacing w:val="-5"/>
        </w:rPr>
        <w:t xml:space="preserve"> </w:t>
      </w:r>
      <w:r>
        <w:t>claim of</w:t>
      </w:r>
      <w:r>
        <w:rPr>
          <w:spacing w:val="-6"/>
        </w:rPr>
        <w:t xml:space="preserve"> </w:t>
      </w:r>
      <w:r>
        <w:t>executive</w:t>
      </w:r>
      <w:r>
        <w:rPr>
          <w:spacing w:val="-7"/>
        </w:rPr>
        <w:t xml:space="preserve"> </w:t>
      </w:r>
      <w:r>
        <w:t>privilege</w:t>
      </w:r>
      <w:r>
        <w:rPr>
          <w:spacing w:val="-7"/>
        </w:rPr>
        <w:t xml:space="preserve"> </w:t>
      </w:r>
      <w:r>
        <w:t>is</w:t>
      </w:r>
      <w:r>
        <w:rPr>
          <w:spacing w:val="-6"/>
        </w:rPr>
        <w:t xml:space="preserve"> </w:t>
      </w:r>
      <w:r>
        <w:t>made</w:t>
      </w:r>
      <w:r>
        <w:rPr>
          <w:spacing w:val="-7"/>
        </w:rPr>
        <w:t xml:space="preserve"> </w:t>
      </w:r>
      <w:r>
        <w:t>and</w:t>
      </w:r>
      <w:r>
        <w:rPr>
          <w:spacing w:val="-6"/>
        </w:rPr>
        <w:t xml:space="preserve"> </w:t>
      </w:r>
      <w:r>
        <w:t>the</w:t>
      </w:r>
      <w:r>
        <w:rPr>
          <w:spacing w:val="-7"/>
        </w:rPr>
        <w:t xml:space="preserve"> </w:t>
      </w:r>
      <w:r>
        <w:t>claim</w:t>
      </w:r>
      <w:r>
        <w:rPr>
          <w:spacing w:val="-7"/>
        </w:rPr>
        <w:t xml:space="preserve"> </w:t>
      </w:r>
      <w:r>
        <w:t>disputed,</w:t>
      </w:r>
      <w:r>
        <w:rPr>
          <w:spacing w:val="-6"/>
        </w:rPr>
        <w:t xml:space="preserve"> </w:t>
      </w:r>
      <w:r>
        <w:t>there</w:t>
      </w:r>
      <w:r>
        <w:rPr>
          <w:spacing w:val="-7"/>
        </w:rPr>
        <w:t xml:space="preserve"> </w:t>
      </w:r>
      <w:r>
        <w:t>are</w:t>
      </w:r>
      <w:r>
        <w:rPr>
          <w:spacing w:val="-7"/>
        </w:rPr>
        <w:t xml:space="preserve"> </w:t>
      </w:r>
      <w:r>
        <w:t>procedures</w:t>
      </w:r>
      <w:r>
        <w:rPr>
          <w:spacing w:val="-6"/>
        </w:rPr>
        <w:t xml:space="preserve"> </w:t>
      </w:r>
      <w:r>
        <w:t>for</w:t>
      </w:r>
      <w:r>
        <w:rPr>
          <w:spacing w:val="-7"/>
        </w:rPr>
        <w:t xml:space="preserve"> </w:t>
      </w:r>
      <w:r>
        <w:t>the</w:t>
      </w:r>
      <w:r>
        <w:rPr>
          <w:spacing w:val="-7"/>
        </w:rPr>
        <w:t xml:space="preserve"> </w:t>
      </w:r>
      <w:r>
        <w:t>claim</w:t>
      </w:r>
      <w:r>
        <w:rPr>
          <w:spacing w:val="-7"/>
        </w:rPr>
        <w:t xml:space="preserve"> </w:t>
      </w:r>
      <w:r>
        <w:t>to</w:t>
      </w:r>
      <w:r>
        <w:rPr>
          <w:spacing w:val="-7"/>
        </w:rPr>
        <w:t xml:space="preserve"> </w:t>
      </w:r>
      <w:r>
        <w:t>be</w:t>
      </w:r>
      <w:r>
        <w:rPr>
          <w:spacing w:val="-7"/>
        </w:rPr>
        <w:t xml:space="preserve"> </w:t>
      </w:r>
      <w:r>
        <w:t>evaluated by an independent</w:t>
      </w:r>
      <w:r>
        <w:rPr>
          <w:spacing w:val="-1"/>
        </w:rPr>
        <w:t xml:space="preserve"> </w:t>
      </w:r>
      <w:r>
        <w:rPr>
          <w:spacing w:val="-3"/>
        </w:rPr>
        <w:t>arbiter.</w:t>
      </w:r>
    </w:p>
    <w:p w:rsidR="006C17CB" w:rsidRDefault="0030091C">
      <w:pPr>
        <w:pStyle w:val="BodyText"/>
        <w:spacing w:before="111" w:line="189" w:lineRule="auto"/>
        <w:ind w:left="153" w:right="1177"/>
      </w:pPr>
      <w:r>
        <w:t xml:space="preserve">In September the Speaker successfully moved a motion to </w:t>
      </w:r>
      <w:r>
        <w:rPr>
          <w:spacing w:val="-3"/>
        </w:rPr>
        <w:t xml:space="preserve">make </w:t>
      </w:r>
      <w:r>
        <w:t xml:space="preserve">a number of amendments to the standing </w:t>
      </w:r>
      <w:r>
        <w:rPr>
          <w:spacing w:val="-4"/>
        </w:rPr>
        <w:t xml:space="preserve">order. </w:t>
      </w:r>
      <w:r>
        <w:t>Among</w:t>
      </w:r>
      <w:r>
        <w:rPr>
          <w:spacing w:val="-5"/>
        </w:rPr>
        <w:t xml:space="preserve"> </w:t>
      </w:r>
      <w:r>
        <w:t>them</w:t>
      </w:r>
      <w:r>
        <w:rPr>
          <w:spacing w:val="-5"/>
        </w:rPr>
        <w:t xml:space="preserve"> </w:t>
      </w:r>
      <w:r>
        <w:rPr>
          <w:spacing w:val="-3"/>
        </w:rPr>
        <w:t>were:</w:t>
      </w:r>
      <w:r>
        <w:rPr>
          <w:spacing w:val="-4"/>
        </w:rPr>
        <w:t xml:space="preserve"> </w:t>
      </w:r>
      <w:r>
        <w:t>a</w:t>
      </w:r>
      <w:r>
        <w:rPr>
          <w:spacing w:val="-4"/>
        </w:rPr>
        <w:t xml:space="preserve"> </w:t>
      </w:r>
      <w:r>
        <w:t>requirement</w:t>
      </w:r>
      <w:r>
        <w:rPr>
          <w:spacing w:val="-4"/>
        </w:rPr>
        <w:t xml:space="preserve"> </w:t>
      </w:r>
      <w:r>
        <w:t>for</w:t>
      </w:r>
      <w:r>
        <w:rPr>
          <w:spacing w:val="-5"/>
        </w:rPr>
        <w:t xml:space="preserve"> </w:t>
      </w:r>
      <w:r>
        <w:t>notice</w:t>
      </w:r>
      <w:r>
        <w:rPr>
          <w:spacing w:val="-4"/>
        </w:rPr>
        <w:t xml:space="preserve"> </w:t>
      </w:r>
      <w:r>
        <w:t>to</w:t>
      </w:r>
      <w:r>
        <w:rPr>
          <w:spacing w:val="-5"/>
        </w:rPr>
        <w:t xml:space="preserve"> </w:t>
      </w:r>
      <w:r>
        <w:t>be</w:t>
      </w:r>
      <w:r>
        <w:rPr>
          <w:spacing w:val="-5"/>
        </w:rPr>
        <w:t xml:space="preserve"> </w:t>
      </w:r>
      <w:r>
        <w:t>given</w:t>
      </w:r>
      <w:r>
        <w:rPr>
          <w:spacing w:val="-4"/>
        </w:rPr>
        <w:t xml:space="preserve"> </w:t>
      </w:r>
      <w:r>
        <w:t>to</w:t>
      </w:r>
      <w:r>
        <w:rPr>
          <w:spacing w:val="-5"/>
        </w:rPr>
        <w:t xml:space="preserve"> </w:t>
      </w:r>
      <w:r>
        <w:t>use</w:t>
      </w:r>
      <w:r>
        <w:rPr>
          <w:spacing w:val="-5"/>
        </w:rPr>
        <w:t xml:space="preserve"> </w:t>
      </w:r>
      <w:r>
        <w:t>the</w:t>
      </w:r>
      <w:r>
        <w:rPr>
          <w:spacing w:val="-5"/>
        </w:rPr>
        <w:t xml:space="preserve"> </w:t>
      </w:r>
      <w:r>
        <w:t>standing</w:t>
      </w:r>
      <w:r>
        <w:rPr>
          <w:spacing w:val="-4"/>
        </w:rPr>
        <w:t xml:space="preserve"> </w:t>
      </w:r>
      <w:r>
        <w:t>order;</w:t>
      </w:r>
      <w:r>
        <w:rPr>
          <w:spacing w:val="-4"/>
        </w:rPr>
        <w:t xml:space="preserve"> </w:t>
      </w:r>
      <w:r>
        <w:t>clarification</w:t>
      </w:r>
      <w:r>
        <w:rPr>
          <w:spacing w:val="-4"/>
        </w:rPr>
        <w:t xml:space="preserve"> </w:t>
      </w:r>
      <w:r>
        <w:t>of</w:t>
      </w:r>
      <w:r>
        <w:rPr>
          <w:spacing w:val="-4"/>
        </w:rPr>
        <w:t xml:space="preserve"> </w:t>
      </w:r>
      <w:r>
        <w:t xml:space="preserve">time </w:t>
      </w:r>
      <w:r>
        <w:rPr>
          <w:spacing w:val="-2"/>
        </w:rPr>
        <w:t xml:space="preserve">lines; </w:t>
      </w:r>
      <w:r>
        <w:t xml:space="preserve">the ability for members to </w:t>
      </w:r>
      <w:r>
        <w:rPr>
          <w:spacing w:val="-3"/>
        </w:rPr>
        <w:t xml:space="preserve">make </w:t>
      </w:r>
      <w:r>
        <w:t>submissions on the matter and for those submissions to be provided to the arbiter; and authority to publish any documents</w:t>
      </w:r>
      <w:r>
        <w:rPr>
          <w:spacing w:val="-9"/>
        </w:rPr>
        <w:t xml:space="preserve"> </w:t>
      </w:r>
      <w:r>
        <w:t>produced.</w:t>
      </w:r>
    </w:p>
    <w:p w:rsidR="006C17CB" w:rsidRDefault="006C17CB">
      <w:pPr>
        <w:pStyle w:val="BodyText"/>
        <w:spacing w:before="7"/>
        <w:rPr>
          <w:sz w:val="23"/>
        </w:rPr>
      </w:pPr>
    </w:p>
    <w:p w:rsidR="006C17CB" w:rsidRDefault="0030091C">
      <w:pPr>
        <w:ind w:left="153"/>
        <w:rPr>
          <w:rFonts w:ascii="Montserrat-SemiBoldItalic"/>
          <w:b/>
          <w:i/>
          <w:sz w:val="20"/>
        </w:rPr>
      </w:pPr>
      <w:r>
        <w:rPr>
          <w:rFonts w:ascii="Montserrat-SemiBoldItalic"/>
          <w:b/>
          <w:i/>
          <w:sz w:val="20"/>
        </w:rPr>
        <w:t>Death of sitting member</w:t>
      </w:r>
    </w:p>
    <w:p w:rsidR="006C17CB" w:rsidRDefault="0030091C">
      <w:pPr>
        <w:pStyle w:val="BodyText"/>
        <w:spacing w:before="166" w:line="189" w:lineRule="auto"/>
        <w:ind w:left="153" w:right="1412"/>
      </w:pPr>
      <w:r>
        <w:t>On 24 October, Steve Doszpot OAM, MLA made a valedictory statement to the Assembly advising of his intention to resign as a member on 5 December as a result of illness.</w:t>
      </w:r>
    </w:p>
    <w:p w:rsidR="006C17CB" w:rsidRDefault="0030091C">
      <w:pPr>
        <w:pStyle w:val="BodyText"/>
        <w:spacing w:before="113" w:line="189" w:lineRule="auto"/>
        <w:ind w:left="153" w:right="1271"/>
      </w:pPr>
      <w:r>
        <w:t>On 25 November 2017, Mr Doszpot passed away. A condolence motion was moved on 28 November and a state funeral was held on 1 December. In January 2018, Mr Doszpot was posthumously awarded an OAM in the Australia Day honours.</w:t>
      </w:r>
    </w:p>
    <w:p w:rsidR="006C17CB" w:rsidRDefault="006C17CB">
      <w:pPr>
        <w:pStyle w:val="BodyText"/>
        <w:spacing w:before="7"/>
        <w:rPr>
          <w:sz w:val="23"/>
        </w:rPr>
      </w:pPr>
    </w:p>
    <w:p w:rsidR="006C17CB" w:rsidRDefault="0030091C">
      <w:pPr>
        <w:ind w:left="153"/>
        <w:rPr>
          <w:rFonts w:ascii="Montserrat-SemiBoldItalic"/>
          <w:b/>
          <w:i/>
          <w:sz w:val="20"/>
        </w:rPr>
      </w:pPr>
      <w:r>
        <w:rPr>
          <w:rFonts w:ascii="Montserrat-SemiBoldItalic"/>
          <w:b/>
          <w:i/>
          <w:sz w:val="20"/>
        </w:rPr>
        <w:t>Assembly comprises 56 per cent women MLAs</w:t>
      </w:r>
    </w:p>
    <w:p w:rsidR="006C17CB" w:rsidRDefault="0030091C">
      <w:pPr>
        <w:pStyle w:val="BodyText"/>
        <w:spacing w:before="166" w:line="189" w:lineRule="auto"/>
        <w:ind w:left="153" w:right="1412"/>
      </w:pPr>
      <w:r>
        <w:t>A countback was held on 11 December to fill the casual vacancy created by the death of Steve Doszpot OAM. Candice Burch was declared elected on 13 December and was sworn in to the Legislative Assembly on 13 February 2018.</w:t>
      </w:r>
    </w:p>
    <w:p w:rsidR="006C17CB" w:rsidRDefault="0030091C">
      <w:pPr>
        <w:pStyle w:val="BodyText"/>
        <w:spacing w:before="112" w:line="189" w:lineRule="auto"/>
        <w:ind w:left="153" w:right="1463"/>
      </w:pPr>
      <w:r>
        <w:t>This took the female membership of the Assembly to 14 of 25 members, or 56 per cent—the highest rate of female membership of any parliament in Australia.</w:t>
      </w:r>
    </w:p>
    <w:p w:rsidR="006C17CB" w:rsidRDefault="006C17CB">
      <w:pPr>
        <w:pStyle w:val="BodyText"/>
        <w:spacing w:before="7"/>
        <w:rPr>
          <w:sz w:val="23"/>
        </w:rPr>
      </w:pPr>
    </w:p>
    <w:p w:rsidR="006C17CB" w:rsidRDefault="0030091C">
      <w:pPr>
        <w:spacing w:before="1"/>
        <w:ind w:left="153"/>
        <w:rPr>
          <w:rFonts w:ascii="Montserrat-SemiBoldItalic"/>
          <w:b/>
          <w:i/>
          <w:sz w:val="20"/>
        </w:rPr>
      </w:pPr>
      <w:r>
        <w:rPr>
          <w:rFonts w:ascii="Montserrat-SemiBoldItalic"/>
          <w:b/>
          <w:i/>
          <w:sz w:val="20"/>
        </w:rPr>
        <w:t>Motion of no confidence in the Chief Minister</w:t>
      </w:r>
    </w:p>
    <w:p w:rsidR="006C17CB" w:rsidRDefault="0030091C">
      <w:pPr>
        <w:pStyle w:val="BodyText"/>
        <w:spacing w:before="166" w:line="189" w:lineRule="auto"/>
        <w:ind w:left="153" w:right="1869"/>
      </w:pPr>
      <w:r>
        <w:t>On 25 October, the Leader of the Opposition lodged a motion of no confidence in the Chief Minister. Pursuant to standing order 103, receipt of the notice was then reported to the Assembly.</w:t>
      </w:r>
    </w:p>
    <w:p w:rsidR="006C17CB" w:rsidRDefault="0030091C" w:rsidP="0030091C">
      <w:pPr>
        <w:pStyle w:val="BodyText"/>
        <w:spacing w:before="112" w:line="189" w:lineRule="auto"/>
        <w:ind w:left="153" w:right="1387"/>
      </w:pPr>
      <w:r>
        <w:t xml:space="preserve">Motions expressing want of confidence in the Chief Minister are relatively rare (11 instances since self- government in 1989). Given the serious nature of this motion, it is the practice of the Assembly to adjourn until the motion can be debated: the </w:t>
      </w:r>
      <w:hyperlink r:id="rId42">
        <w:r>
          <w:rPr>
            <w:rFonts w:ascii="Calibri"/>
            <w:color w:val="004289"/>
            <w:u w:val="single" w:color="004289"/>
          </w:rPr>
          <w:t>Self Government Act</w:t>
        </w:r>
        <w:r>
          <w:rPr>
            <w:rFonts w:ascii="Calibri"/>
            <w:color w:val="004289"/>
          </w:rPr>
          <w:t xml:space="preserve"> </w:t>
        </w:r>
      </w:hyperlink>
      <w:r>
        <w:t>requires seven days from when the motion is moved.</w:t>
      </w:r>
    </w:p>
    <w:p w:rsidR="006C17CB" w:rsidRDefault="006C17CB">
      <w:pPr>
        <w:spacing w:line="261" w:lineRule="exact"/>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2"/>
        <w:rPr>
          <w:sz w:val="19"/>
        </w:rPr>
      </w:pPr>
    </w:p>
    <w:p w:rsidR="006C17CB" w:rsidRDefault="0030091C">
      <w:pPr>
        <w:pStyle w:val="BodyText"/>
        <w:spacing w:before="8" w:line="284" w:lineRule="exact"/>
        <w:ind w:left="153"/>
      </w:pPr>
      <w:r>
        <w:t>Breaking with convention for the second time in the Assembly’s history (the other occasion was in 1990),</w:t>
      </w:r>
    </w:p>
    <w:p w:rsidR="006C17CB" w:rsidRDefault="0030091C">
      <w:pPr>
        <w:pStyle w:val="BodyText"/>
        <w:spacing w:before="20" w:line="189" w:lineRule="auto"/>
        <w:ind w:left="153" w:right="1096"/>
      </w:pPr>
      <w:r>
        <w:t>the government declined to move the motions necessary to amend the sitting pattern, and sittings continued as usual.</w:t>
      </w:r>
    </w:p>
    <w:p w:rsidR="006C17CB" w:rsidRDefault="0030091C">
      <w:pPr>
        <w:pStyle w:val="BodyText"/>
        <w:spacing w:before="58"/>
        <w:ind w:left="153"/>
      </w:pPr>
      <w:r>
        <w:t>The no confidence motion was debated and defeated on 2 November.</w:t>
      </w:r>
    </w:p>
    <w:p w:rsidR="006C17CB" w:rsidRDefault="006C17CB">
      <w:pPr>
        <w:pStyle w:val="BodyText"/>
        <w:spacing w:before="11"/>
      </w:pPr>
    </w:p>
    <w:p w:rsidR="006C17CB" w:rsidRDefault="0030091C">
      <w:pPr>
        <w:ind w:left="153"/>
        <w:rPr>
          <w:rFonts w:ascii="Montserrat-SemiBoldItalic" w:hAnsi="Montserrat-SemiBoldItalic"/>
          <w:b/>
          <w:i/>
          <w:sz w:val="20"/>
        </w:rPr>
      </w:pPr>
      <w:r>
        <w:rPr>
          <w:rFonts w:ascii="Montserrat-SemiBoldItalic" w:hAnsi="Montserrat-SemiBoldItalic"/>
          <w:b/>
          <w:i/>
          <w:sz w:val="20"/>
        </w:rPr>
        <w:t>Independent Integrity Commission—report of select committee</w:t>
      </w:r>
    </w:p>
    <w:p w:rsidR="006C17CB" w:rsidRDefault="0030091C">
      <w:pPr>
        <w:pStyle w:val="BodyText"/>
        <w:spacing w:before="166" w:line="189" w:lineRule="auto"/>
        <w:ind w:left="153" w:right="1412"/>
      </w:pPr>
      <w:r>
        <w:t>On 31 October, the Select Committee on an Independent Integrity Commission presented its report. The committee, chaired by a minister, recommended that an ACT anti-corruption and integrity commission be established by the end of 2018. The model proposed is based on state models and would be overseen by an Assembly committee.</w:t>
      </w:r>
    </w:p>
    <w:p w:rsidR="006C17CB" w:rsidRDefault="006C17CB">
      <w:pPr>
        <w:pStyle w:val="BodyText"/>
        <w:spacing w:before="6"/>
        <w:rPr>
          <w:sz w:val="23"/>
        </w:rPr>
      </w:pPr>
    </w:p>
    <w:p w:rsidR="006C17CB" w:rsidRDefault="0030091C">
      <w:pPr>
        <w:spacing w:before="1"/>
        <w:ind w:left="153"/>
        <w:rPr>
          <w:rFonts w:ascii="Montserrat-SemiBoldItalic" w:hAnsi="Montserrat-SemiBoldItalic"/>
          <w:b/>
          <w:i/>
          <w:sz w:val="20"/>
        </w:rPr>
      </w:pPr>
      <w:r>
        <w:rPr>
          <w:rFonts w:ascii="Montserrat-SemiBoldItalic" w:hAnsi="Montserrat-SemiBoldItalic"/>
          <w:b/>
          <w:i/>
          <w:sz w:val="20"/>
        </w:rPr>
        <w:t>Senator for the ACT—procedures for appointment to fill casual vacancy</w:t>
      </w:r>
    </w:p>
    <w:p w:rsidR="006C17CB" w:rsidRDefault="0030091C">
      <w:pPr>
        <w:pStyle w:val="BodyText"/>
        <w:spacing w:before="166" w:line="189" w:lineRule="auto"/>
        <w:ind w:left="153" w:right="1177"/>
      </w:pPr>
      <w:r>
        <w:t>Continuing resolution 9 sets out procedures to be followed by the Assembly in the event of a casual vacancy occurring in an ACT Senate seat.</w:t>
      </w:r>
    </w:p>
    <w:p w:rsidR="006C17CB" w:rsidRDefault="0030091C">
      <w:pPr>
        <w:pStyle w:val="BodyText"/>
        <w:spacing w:before="112" w:line="189" w:lineRule="auto"/>
        <w:ind w:left="153" w:right="1532"/>
      </w:pPr>
      <w:r>
        <w:t>Given the section 44 eligibility developments in the Commonwealth Parliament, and doubts surrounding the citizenship status of the ACT’s Senator Gallagher, on 30 November the Assembly referred continuing resolution 9 to the Standing Committee on Administration and Procedure for review and report by March 2018.</w:t>
      </w:r>
    </w:p>
    <w:p w:rsidR="006C17CB" w:rsidRDefault="0030091C">
      <w:pPr>
        <w:pStyle w:val="BodyText"/>
        <w:spacing w:before="111" w:line="189" w:lineRule="auto"/>
        <w:ind w:left="153" w:right="1412"/>
      </w:pPr>
      <w:r>
        <w:t>Prior to this, a member had written to the Speaker alleging that Senator Gallagher’s 2015 statutory declaration attesting to her eligibility during the Assembly’s appointment process was inaccurate, and therefore a possible breach of privilege. The Speaker advised the Assembly on 28 November that she had considered the matter but would not give precedence to a motion to establish a privileges committee to examine the matter. The member sought leave to move such a motion, but leave was refused.</w:t>
      </w:r>
    </w:p>
    <w:p w:rsidR="006C17CB" w:rsidRDefault="006C17CB">
      <w:pPr>
        <w:pStyle w:val="BodyText"/>
        <w:spacing w:before="6"/>
        <w:rPr>
          <w:sz w:val="23"/>
        </w:rPr>
      </w:pPr>
    </w:p>
    <w:p w:rsidR="006C17CB" w:rsidRDefault="0030091C">
      <w:pPr>
        <w:spacing w:before="1"/>
        <w:ind w:left="153"/>
        <w:rPr>
          <w:rFonts w:ascii="Montserrat-SemiBoldItalic"/>
          <w:b/>
          <w:i/>
          <w:sz w:val="20"/>
        </w:rPr>
      </w:pPr>
      <w:r>
        <w:rPr>
          <w:rFonts w:ascii="Montserrat-SemiBoldItalic"/>
          <w:b/>
          <w:i/>
          <w:sz w:val="20"/>
        </w:rPr>
        <w:t>Report on procedures for election of a Territory senator</w:t>
      </w:r>
    </w:p>
    <w:p w:rsidR="006C17CB" w:rsidRDefault="0030091C" w:rsidP="0030091C">
      <w:pPr>
        <w:pStyle w:val="BodyText"/>
        <w:spacing w:before="166" w:line="189" w:lineRule="auto"/>
        <w:ind w:left="153" w:right="1485"/>
      </w:pPr>
      <w:r>
        <w:t>On 15 February 2018, the Standing Committee on Administration and Procedure reported on its review of continuing resolution 9—Senator for the Australian Capital Territory—Procedures for Election. This followed the High Court decision that led to the disqualification and resignations of a number of senators and members of the Australian Parliament due to their ineligibility to serve under clause 44 of the Australian Constitution.</w:t>
      </w:r>
    </w:p>
    <w:p w:rsidR="006C17CB" w:rsidRDefault="0030091C" w:rsidP="00B86297">
      <w:pPr>
        <w:pStyle w:val="BodyText"/>
        <w:spacing w:before="110" w:line="189" w:lineRule="auto"/>
        <w:ind w:left="153" w:right="1816"/>
      </w:pPr>
      <w:r>
        <w:t>The committee noted that the Assembly has robust procedures to select a senator, when compared to practices in other state and territory legislatures. It also found that the requirement for a statutory</w:t>
      </w:r>
      <w:r w:rsidR="00B86297">
        <w:t xml:space="preserve"> </w:t>
      </w:r>
      <w:r>
        <w:t>declaration to be presented to the Legislative Assembly when choosing a senator mirrors the requirement for a candidate to declare that they are qualified at a general federal election. The committee noted that individuals and parties involved could undertake more rigorous checks before a declaration is made—at either the casual vacancy or general election stage.</w:t>
      </w:r>
    </w:p>
    <w:p w:rsidR="006C17CB" w:rsidRDefault="0030091C">
      <w:pPr>
        <w:pStyle w:val="BodyText"/>
        <w:spacing w:before="57"/>
        <w:ind w:left="153"/>
      </w:pPr>
      <w:r>
        <w:t>The committee recommended that the Assembly:</w:t>
      </w:r>
    </w:p>
    <w:p w:rsidR="006C17CB" w:rsidRDefault="0030091C">
      <w:pPr>
        <w:pStyle w:val="ListParagraph"/>
        <w:numPr>
          <w:ilvl w:val="0"/>
          <w:numId w:val="22"/>
        </w:numPr>
        <w:tabs>
          <w:tab w:val="left" w:pos="381"/>
        </w:tabs>
        <w:spacing w:before="100" w:line="189" w:lineRule="auto"/>
        <w:ind w:right="1569"/>
      </w:pPr>
      <w:r>
        <w:t>note</w:t>
      </w:r>
      <w:r>
        <w:rPr>
          <w:spacing w:val="-4"/>
        </w:rPr>
        <w:t xml:space="preserve"> </w:t>
      </w:r>
      <w:r>
        <w:t>the</w:t>
      </w:r>
      <w:r>
        <w:rPr>
          <w:spacing w:val="-4"/>
        </w:rPr>
        <w:t xml:space="preserve"> </w:t>
      </w:r>
      <w:r>
        <w:t>difficulties</w:t>
      </w:r>
      <w:r>
        <w:rPr>
          <w:spacing w:val="-3"/>
        </w:rPr>
        <w:t xml:space="preserve"> </w:t>
      </w:r>
      <w:r>
        <w:t>posed</w:t>
      </w:r>
      <w:r>
        <w:rPr>
          <w:spacing w:val="-4"/>
        </w:rPr>
        <w:t xml:space="preserve"> </w:t>
      </w:r>
      <w:r>
        <w:t>by</w:t>
      </w:r>
      <w:r>
        <w:rPr>
          <w:spacing w:val="-3"/>
        </w:rPr>
        <w:t xml:space="preserve"> </w:t>
      </w:r>
      <w:r>
        <w:t>the</w:t>
      </w:r>
      <w:r>
        <w:rPr>
          <w:spacing w:val="-4"/>
        </w:rPr>
        <w:t xml:space="preserve"> </w:t>
      </w:r>
      <w:r>
        <w:t>requirements</w:t>
      </w:r>
      <w:r>
        <w:rPr>
          <w:spacing w:val="-3"/>
        </w:rPr>
        <w:t xml:space="preserve"> </w:t>
      </w:r>
      <w:r>
        <w:t>of</w:t>
      </w:r>
      <w:r>
        <w:rPr>
          <w:spacing w:val="-3"/>
        </w:rPr>
        <w:t xml:space="preserve"> </w:t>
      </w:r>
      <w:r>
        <w:t>the</w:t>
      </w:r>
      <w:r>
        <w:rPr>
          <w:spacing w:val="-3"/>
        </w:rPr>
        <w:t xml:space="preserve"> </w:t>
      </w:r>
      <w:hyperlink r:id="rId43">
        <w:r>
          <w:rPr>
            <w:rFonts w:ascii="Calibri"/>
            <w:i/>
            <w:spacing w:val="-5"/>
          </w:rPr>
          <w:t>Parliamentary</w:t>
        </w:r>
        <w:r>
          <w:rPr>
            <w:rFonts w:ascii="Calibri"/>
            <w:i/>
            <w:spacing w:val="-12"/>
          </w:rPr>
          <w:t xml:space="preserve"> </w:t>
        </w:r>
        <w:r>
          <w:rPr>
            <w:rFonts w:ascii="Calibri"/>
            <w:i/>
            <w:spacing w:val="-6"/>
          </w:rPr>
          <w:t>Privileges</w:t>
        </w:r>
        <w:r>
          <w:rPr>
            <w:rFonts w:ascii="Calibri"/>
            <w:i/>
            <w:spacing w:val="-12"/>
          </w:rPr>
          <w:t xml:space="preserve"> </w:t>
        </w:r>
        <w:r>
          <w:rPr>
            <w:rFonts w:ascii="Calibri"/>
            <w:i/>
            <w:spacing w:val="-3"/>
          </w:rPr>
          <w:t>Act</w:t>
        </w:r>
        <w:r>
          <w:rPr>
            <w:rFonts w:ascii="Calibri"/>
            <w:i/>
            <w:spacing w:val="-11"/>
          </w:rPr>
          <w:t xml:space="preserve"> </w:t>
        </w:r>
        <w:r>
          <w:rPr>
            <w:rFonts w:ascii="Calibri"/>
            <w:i/>
            <w:spacing w:val="-5"/>
          </w:rPr>
          <w:t>1987</w:t>
        </w:r>
        <w:r>
          <w:rPr>
            <w:rFonts w:ascii="Calibri"/>
            <w:i/>
            <w:spacing w:val="-11"/>
          </w:rPr>
          <w:t xml:space="preserve"> </w:t>
        </w:r>
        <w:r>
          <w:rPr>
            <w:rFonts w:ascii="Calibri"/>
            <w:i/>
            <w:spacing w:val="-7"/>
          </w:rPr>
          <w:t xml:space="preserve">(Cwlth) </w:t>
        </w:r>
      </w:hyperlink>
      <w:r>
        <w:t>and</w:t>
      </w:r>
      <w:r>
        <w:rPr>
          <w:spacing w:val="-3"/>
        </w:rPr>
        <w:t xml:space="preserve"> </w:t>
      </w:r>
      <w:r>
        <w:t>the need for conformity between the Legislative Assembly and the</w:t>
      </w:r>
      <w:r>
        <w:rPr>
          <w:spacing w:val="-9"/>
        </w:rPr>
        <w:t xml:space="preserve"> </w:t>
      </w:r>
      <w:r>
        <w:rPr>
          <w:spacing w:val="-3"/>
        </w:rPr>
        <w:t>Senate;</w:t>
      </w:r>
    </w:p>
    <w:p w:rsidR="006C17CB" w:rsidRDefault="0030091C">
      <w:pPr>
        <w:pStyle w:val="ListParagraph"/>
        <w:numPr>
          <w:ilvl w:val="0"/>
          <w:numId w:val="22"/>
        </w:numPr>
        <w:tabs>
          <w:tab w:val="left" w:pos="381"/>
        </w:tabs>
        <w:spacing w:line="296" w:lineRule="exact"/>
      </w:pPr>
      <w:r>
        <w:t>note that the matter of the eligibility of an ACT senator is before the High Court of Australia;</w:t>
      </w:r>
      <w:r>
        <w:rPr>
          <w:spacing w:val="-32"/>
        </w:rPr>
        <w:t xml:space="preserve"> </w:t>
      </w:r>
      <w:r>
        <w:t>and</w:t>
      </w:r>
    </w:p>
    <w:p w:rsidR="006C17CB" w:rsidRDefault="0030091C">
      <w:pPr>
        <w:pStyle w:val="ListParagraph"/>
        <w:numPr>
          <w:ilvl w:val="0"/>
          <w:numId w:val="22"/>
        </w:numPr>
        <w:tabs>
          <w:tab w:val="left" w:pos="381"/>
        </w:tabs>
        <w:spacing w:before="43" w:line="189" w:lineRule="auto"/>
        <w:ind w:right="2042"/>
      </w:pPr>
      <w:r>
        <w:t>consider the findings of the High Court in the upcoming review of standing orders, including the Assembly’s</w:t>
      </w:r>
      <w:r>
        <w:rPr>
          <w:spacing w:val="-9"/>
        </w:rPr>
        <w:t xml:space="preserve"> </w:t>
      </w:r>
      <w:r>
        <w:t>continuing</w:t>
      </w:r>
      <w:r>
        <w:rPr>
          <w:spacing w:val="-9"/>
        </w:rPr>
        <w:t xml:space="preserve"> </w:t>
      </w:r>
      <w:r>
        <w:t>resolutions,</w:t>
      </w:r>
      <w:r>
        <w:rPr>
          <w:spacing w:val="-9"/>
        </w:rPr>
        <w:t xml:space="preserve"> </w:t>
      </w:r>
      <w:r>
        <w:t>by</w:t>
      </w:r>
      <w:r>
        <w:rPr>
          <w:spacing w:val="-9"/>
        </w:rPr>
        <w:t xml:space="preserve"> </w:t>
      </w:r>
      <w:r>
        <w:t>the</w:t>
      </w:r>
      <w:r>
        <w:rPr>
          <w:spacing w:val="-10"/>
        </w:rPr>
        <w:t xml:space="preserve"> </w:t>
      </w:r>
      <w:r>
        <w:t>Standing</w:t>
      </w:r>
      <w:r>
        <w:rPr>
          <w:spacing w:val="-9"/>
        </w:rPr>
        <w:t xml:space="preserve"> </w:t>
      </w:r>
      <w:r>
        <w:t>Committee</w:t>
      </w:r>
      <w:r>
        <w:rPr>
          <w:spacing w:val="-10"/>
        </w:rPr>
        <w:t xml:space="preserve"> </w:t>
      </w:r>
      <w:r>
        <w:t>on</w:t>
      </w:r>
      <w:r>
        <w:rPr>
          <w:spacing w:val="-9"/>
        </w:rPr>
        <w:t xml:space="preserve"> </w:t>
      </w:r>
      <w:r>
        <w:t>Administration</w:t>
      </w:r>
      <w:r>
        <w:rPr>
          <w:spacing w:val="-9"/>
        </w:rPr>
        <w:t xml:space="preserve"> </w:t>
      </w:r>
      <w:r>
        <w:t>and</w:t>
      </w:r>
      <w:r>
        <w:rPr>
          <w:spacing w:val="-9"/>
        </w:rPr>
        <w:t xml:space="preserve"> </w:t>
      </w:r>
      <w:r>
        <w:t>Procedure.</w:t>
      </w:r>
    </w:p>
    <w:p w:rsidR="006C17CB" w:rsidRDefault="006C17CB">
      <w:pPr>
        <w:spacing w:line="189" w:lineRule="auto"/>
        <w:sectPr w:rsidR="006C17CB">
          <w:pgSz w:w="11910" w:h="16840"/>
          <w:pgMar w:top="1580" w:right="0" w:bottom="720" w:left="980" w:header="0" w:footer="44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0"/>
        <w:rPr>
          <w:sz w:val="16"/>
        </w:rPr>
      </w:pPr>
    </w:p>
    <w:p w:rsidR="006C17CB" w:rsidRDefault="0030091C">
      <w:pPr>
        <w:spacing w:before="136"/>
        <w:ind w:left="153"/>
        <w:rPr>
          <w:rFonts w:ascii="Montserrat-SemiBoldItalic" w:hAnsi="Montserrat-SemiBoldItalic"/>
          <w:b/>
          <w:i/>
          <w:sz w:val="20"/>
        </w:rPr>
      </w:pPr>
      <w:r>
        <w:rPr>
          <w:rFonts w:ascii="Montserrat-SemiBoldItalic" w:hAnsi="Montserrat-SemiBoldItalic"/>
          <w:b/>
          <w:i/>
          <w:sz w:val="20"/>
        </w:rPr>
        <w:t>Private interests of members—amendment of declaration requirements</w:t>
      </w:r>
    </w:p>
    <w:p w:rsidR="006C17CB" w:rsidRDefault="0030091C">
      <w:pPr>
        <w:pStyle w:val="BodyText"/>
        <w:spacing w:before="166" w:line="189" w:lineRule="auto"/>
        <w:ind w:left="153" w:right="1084"/>
      </w:pPr>
      <w:r>
        <w:t>Continuing resolution 6 requires members to declare their private interests, and those of their immediate family, and to update those interests as necessary. The declarations are published on the Assembly’s website.</w:t>
      </w:r>
    </w:p>
    <w:p w:rsidR="006C17CB" w:rsidRDefault="0030091C">
      <w:pPr>
        <w:pStyle w:val="BodyText"/>
        <w:spacing w:before="112" w:line="189" w:lineRule="auto"/>
        <w:ind w:left="153" w:right="1173"/>
      </w:pPr>
      <w:r>
        <w:t>On 30 November, the Assembly passed a number of amendments to continuing resolution 6. These included requirements to notify alterations to interests within 60 days and for the Clerk to retain declarations for seven years after a member has ceased membership of the Assembly. Other changes included: combining hospitality and gifts in the one declaration; increasing the threshold for declaring gifts to $200, and a cumulative threshold of $500 for multiple gifts from the same benefactor; and removal of the need to declare frequent flyer points, flight upgrades, superannuation and self-managed superannuation fund entitlements.</w:t>
      </w:r>
    </w:p>
    <w:p w:rsidR="006C17CB" w:rsidRDefault="006C17CB">
      <w:pPr>
        <w:pStyle w:val="BodyText"/>
        <w:spacing w:before="5"/>
        <w:rPr>
          <w:sz w:val="23"/>
        </w:rPr>
      </w:pPr>
    </w:p>
    <w:p w:rsidR="006C17CB" w:rsidRDefault="0030091C">
      <w:pPr>
        <w:spacing w:before="1"/>
        <w:ind w:left="153"/>
        <w:rPr>
          <w:rFonts w:ascii="Montserrat-SemiBoldItalic"/>
          <w:b/>
          <w:i/>
          <w:sz w:val="20"/>
        </w:rPr>
      </w:pPr>
      <w:r>
        <w:rPr>
          <w:rFonts w:ascii="Montserrat-SemiBoldItalic"/>
          <w:b/>
          <w:i/>
          <w:sz w:val="20"/>
        </w:rPr>
        <w:t>Affirmation of code of conduct by new member elected in a countback</w:t>
      </w:r>
    </w:p>
    <w:p w:rsidR="006C17CB" w:rsidRDefault="0030091C">
      <w:pPr>
        <w:pStyle w:val="BodyText"/>
        <w:spacing w:before="166" w:line="189" w:lineRule="auto"/>
        <w:ind w:left="153" w:right="1114"/>
      </w:pPr>
      <w:r>
        <w:t>The Assembly’s code of conduct requires that before a member makes their inaugural speech they must affirm that they will abide by the code of conduct. On 13 February 2018, after being sworn in before a judge of the Supreme Court, Candice Burch affirmed her commitment to the principles, obligations and aspirations of the members’ code of conduct.</w:t>
      </w:r>
    </w:p>
    <w:p w:rsidR="006C17CB" w:rsidRDefault="0030091C">
      <w:pPr>
        <w:pStyle w:val="BodyText"/>
        <w:spacing w:before="111" w:line="189" w:lineRule="auto"/>
        <w:ind w:left="153" w:right="1412"/>
      </w:pPr>
      <w:r>
        <w:t>Candice Burch is the first member elected in a countback to make the affirmation under the new arrangements.</w:t>
      </w:r>
    </w:p>
    <w:p w:rsidR="006C17CB" w:rsidRDefault="006C17CB">
      <w:pPr>
        <w:pStyle w:val="BodyText"/>
        <w:spacing w:before="8"/>
        <w:rPr>
          <w:sz w:val="23"/>
        </w:rPr>
      </w:pPr>
    </w:p>
    <w:p w:rsidR="006C17CB" w:rsidRDefault="0030091C">
      <w:pPr>
        <w:ind w:left="153"/>
        <w:rPr>
          <w:rFonts w:ascii="Montserrat-SemiBoldItalic"/>
          <w:b/>
          <w:i/>
          <w:sz w:val="20"/>
        </w:rPr>
      </w:pPr>
      <w:r>
        <w:rPr>
          <w:rFonts w:ascii="Montserrat-SemiBoldItalic"/>
          <w:b/>
          <w:i/>
          <w:sz w:val="20"/>
        </w:rPr>
        <w:t>Models for examining estimates</w:t>
      </w:r>
    </w:p>
    <w:p w:rsidR="006C17CB" w:rsidRDefault="0030091C">
      <w:pPr>
        <w:pStyle w:val="BodyText"/>
        <w:spacing w:before="166" w:line="189" w:lineRule="auto"/>
        <w:ind w:left="153" w:right="1050"/>
      </w:pPr>
      <w:r>
        <w:t xml:space="preserve">On 15 February, the Assembly referred the question of the best model to examine the annual budget to the Standing Committee on Administration and Procedure. This followed the previous </w:t>
      </w:r>
      <w:r>
        <w:rPr>
          <w:spacing w:val="-3"/>
        </w:rPr>
        <w:t xml:space="preserve">year’s </w:t>
      </w:r>
      <w:r>
        <w:t xml:space="preserve">estimates committee report being tabled with 158 recommendations in a </w:t>
      </w:r>
      <w:r>
        <w:rPr>
          <w:spacing w:val="-3"/>
        </w:rPr>
        <w:t xml:space="preserve">287-page </w:t>
      </w:r>
      <w:r>
        <w:t>report.</w:t>
      </w:r>
    </w:p>
    <w:p w:rsidR="006C17CB" w:rsidRDefault="0030091C">
      <w:pPr>
        <w:pStyle w:val="BodyText"/>
        <w:spacing w:before="112" w:line="189" w:lineRule="auto"/>
        <w:ind w:left="153" w:right="1258"/>
      </w:pPr>
      <w:r>
        <w:t>On 22 February, the Standing Committee on Administration and Procedure reported on the matter, noting that it had also been examined in the Seventh Assembly. The committee resolved to leave the matter in the hands of the Assembly. To assist, the report included a paper showing estimates practices in legislatures across Australia and New Zealand and an options paper prepared in 2010.</w:t>
      </w:r>
    </w:p>
    <w:p w:rsidR="006C17CB" w:rsidRDefault="0030091C">
      <w:pPr>
        <w:pStyle w:val="BodyText"/>
        <w:spacing w:before="111" w:line="189" w:lineRule="auto"/>
        <w:ind w:left="153" w:right="1177"/>
      </w:pPr>
      <w:r>
        <w:t>The Assembly subsequently established a five member Select Committee on Estimates (two government MLAs, two opposition MLAs and one crossbench MLA, with the chair to be an opposition MLA) to report by the last day in July 2018.</w:t>
      </w:r>
    </w:p>
    <w:p w:rsidR="006C17CB" w:rsidRDefault="006C17CB">
      <w:pPr>
        <w:pStyle w:val="BodyText"/>
        <w:spacing w:before="7"/>
        <w:rPr>
          <w:sz w:val="23"/>
        </w:rPr>
      </w:pPr>
    </w:p>
    <w:p w:rsidR="006C17CB" w:rsidRDefault="0030091C">
      <w:pPr>
        <w:ind w:left="153"/>
        <w:rPr>
          <w:rFonts w:ascii="Montserrat-SemiBoldItalic"/>
          <w:b/>
          <w:i/>
          <w:sz w:val="20"/>
        </w:rPr>
      </w:pPr>
      <w:r>
        <w:rPr>
          <w:rFonts w:ascii="Montserrat-SemiBoldItalic"/>
          <w:b/>
          <w:i/>
          <w:sz w:val="20"/>
        </w:rPr>
        <w:t>Proposed censure of Chief Minister</w:t>
      </w:r>
    </w:p>
    <w:p w:rsidR="006C17CB" w:rsidRDefault="0030091C">
      <w:pPr>
        <w:pStyle w:val="BodyText"/>
        <w:spacing w:before="166" w:line="189" w:lineRule="auto"/>
        <w:ind w:left="153" w:right="1114"/>
      </w:pPr>
      <w:r>
        <w:t>On 20 March, the Leader of the Opposition moved a motion that the Assembly censure the Chief Minister for expressing hatred of journalists and contempt for seniors. The Greens moved an amendment to the motion and lengthy debate took place, with contributions from members on all sides. Ultimately, the opposition motion was defeated and the amended motion passed, which noted with concern the comments made by the Chief Minister regarding a communications strategy and the role of the media.</w:t>
      </w:r>
    </w:p>
    <w:p w:rsidR="006C17CB" w:rsidRDefault="006C17CB">
      <w:pPr>
        <w:pStyle w:val="BodyText"/>
        <w:spacing w:before="10"/>
        <w:rPr>
          <w:sz w:val="23"/>
        </w:rPr>
      </w:pPr>
    </w:p>
    <w:p w:rsidR="006C17CB" w:rsidRDefault="0030091C">
      <w:pPr>
        <w:spacing w:line="235" w:lineRule="auto"/>
        <w:ind w:left="153" w:right="1412"/>
        <w:rPr>
          <w:rFonts w:ascii="Montserrat-SemiBoldItalic"/>
          <w:b/>
          <w:i/>
          <w:sz w:val="20"/>
        </w:rPr>
      </w:pPr>
      <w:r>
        <w:rPr>
          <w:rFonts w:ascii="Montserrat-SemiBoldItalic"/>
          <w:b/>
          <w:i/>
          <w:sz w:val="20"/>
        </w:rPr>
        <w:t>Protocols for the operation of pairs to encourage and support members who are nursing mothers or who have carer responsibilities</w:t>
      </w:r>
    </w:p>
    <w:p w:rsidR="006C17CB" w:rsidRDefault="0030091C">
      <w:pPr>
        <w:pStyle w:val="BodyText"/>
        <w:spacing w:before="169" w:line="189" w:lineRule="auto"/>
        <w:ind w:left="153" w:right="1124"/>
      </w:pPr>
      <w:r>
        <w:t>On 20 March, the Speaker presented protocols for the Ninth Assembly for the operation of pairs to encourage and support members who are nursing mothers or who have carer responsibilities. The document had been signed by the government, opposition and crossbench whips.</w:t>
      </w:r>
    </w:p>
    <w:p w:rsidR="006C17CB" w:rsidRDefault="006C17CB">
      <w:pPr>
        <w:spacing w:line="189" w:lineRule="auto"/>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0"/>
        <w:rPr>
          <w:sz w:val="16"/>
        </w:rPr>
      </w:pPr>
    </w:p>
    <w:p w:rsidR="006C17CB" w:rsidRDefault="0030091C">
      <w:pPr>
        <w:spacing w:before="136"/>
        <w:ind w:left="153"/>
        <w:rPr>
          <w:rFonts w:ascii="Montserrat-SemiBoldItalic"/>
          <w:b/>
          <w:i/>
          <w:sz w:val="20"/>
        </w:rPr>
      </w:pPr>
      <w:r>
        <w:rPr>
          <w:rFonts w:ascii="Montserrat-SemiBoldItalic"/>
          <w:b/>
          <w:i/>
          <w:sz w:val="20"/>
        </w:rPr>
        <w:t>Leave of absence for member for six months for maternity leave</w:t>
      </w:r>
    </w:p>
    <w:p w:rsidR="006C17CB" w:rsidRDefault="0030091C">
      <w:pPr>
        <w:pStyle w:val="BodyText"/>
        <w:spacing w:before="112"/>
        <w:ind w:left="153"/>
      </w:pPr>
      <w:r>
        <w:t>On 21 March, the Assembly granted a member six months absence for maternity leave.</w:t>
      </w:r>
    </w:p>
    <w:p w:rsidR="006C17CB" w:rsidRDefault="006C17CB">
      <w:pPr>
        <w:pStyle w:val="BodyText"/>
        <w:spacing w:before="14"/>
      </w:pPr>
    </w:p>
    <w:p w:rsidR="006C17CB" w:rsidRDefault="0030091C">
      <w:pPr>
        <w:spacing w:line="235" w:lineRule="auto"/>
        <w:ind w:left="153" w:right="1612"/>
        <w:rPr>
          <w:rFonts w:ascii="Montserrat-SemiBoldItalic"/>
          <w:b/>
          <w:i/>
          <w:sz w:val="20"/>
        </w:rPr>
      </w:pPr>
      <w:r>
        <w:rPr>
          <w:rFonts w:ascii="Montserrat-SemiBoldItalic"/>
          <w:b/>
          <w:i/>
          <w:sz w:val="20"/>
        </w:rPr>
        <w:t>Proposed privileges committee to examine alleged threats by the Chief Minister towards a chair of a standing</w:t>
      </w:r>
      <w:r>
        <w:rPr>
          <w:rFonts w:ascii="Montserrat-SemiBoldItalic"/>
          <w:b/>
          <w:i/>
          <w:spacing w:val="20"/>
          <w:sz w:val="20"/>
        </w:rPr>
        <w:t xml:space="preserve"> </w:t>
      </w:r>
      <w:r>
        <w:rPr>
          <w:rFonts w:ascii="Montserrat-SemiBoldItalic"/>
          <w:b/>
          <w:i/>
          <w:sz w:val="20"/>
        </w:rPr>
        <w:t>committee</w:t>
      </w:r>
    </w:p>
    <w:p w:rsidR="006C17CB" w:rsidRDefault="0030091C">
      <w:pPr>
        <w:pStyle w:val="BodyText"/>
        <w:spacing w:before="168" w:line="189" w:lineRule="auto"/>
        <w:ind w:left="153" w:right="1078"/>
      </w:pPr>
      <w:r>
        <w:t xml:space="preserve">A motion was moved by the opposition to establish a privileges committee to examine whether there was improper influence of a </w:t>
      </w:r>
      <w:r>
        <w:rPr>
          <w:spacing w:val="-4"/>
        </w:rPr>
        <w:t xml:space="preserve">member, </w:t>
      </w:r>
      <w:r>
        <w:t xml:space="preserve">in relation to threats made by the Chief Minister during a public hearing of the Standing Committee on Economic Development and </w:t>
      </w:r>
      <w:r>
        <w:rPr>
          <w:spacing w:val="-3"/>
        </w:rPr>
        <w:t xml:space="preserve">Tourism </w:t>
      </w:r>
      <w:r>
        <w:t xml:space="preserve">on 6 November </w:t>
      </w:r>
      <w:r>
        <w:rPr>
          <w:spacing w:val="-5"/>
        </w:rPr>
        <w:t xml:space="preserve">2017 </w:t>
      </w:r>
      <w:r>
        <w:t>and any other relevant matters. The motion was amended twice and debate was suspended on two occasions.</w:t>
      </w:r>
    </w:p>
    <w:p w:rsidR="006C17CB" w:rsidRDefault="0030091C">
      <w:pPr>
        <w:pStyle w:val="BodyText"/>
        <w:spacing w:before="111" w:line="189" w:lineRule="auto"/>
        <w:ind w:left="153" w:right="1078"/>
      </w:pPr>
      <w:r>
        <w:t>The Assembly subsequently resolved that the Chief Minister was in breach of the standing orders. The matter was referred to the Standing Committee on Administration and Procedure to consider any further action on the matter.</w:t>
      </w:r>
    </w:p>
    <w:p w:rsidR="006C17CB" w:rsidRDefault="0030091C">
      <w:pPr>
        <w:pStyle w:val="BodyText"/>
        <w:spacing w:before="112" w:line="189" w:lineRule="auto"/>
        <w:ind w:left="153" w:right="1164"/>
      </w:pPr>
      <w:r>
        <w:t>On 12 April, the chair of the committee (the Speaker) made a statement to the Assembly pursuant to standing order 246A that, having considered the matter, the committee had resolved that no further action be taken. The committee would consider relevant matters in the context of the upcoming review of standing orders.</w:t>
      </w:r>
    </w:p>
    <w:p w:rsidR="006C17CB" w:rsidRDefault="006C17CB">
      <w:pPr>
        <w:pStyle w:val="BodyText"/>
        <w:spacing w:before="11"/>
        <w:rPr>
          <w:sz w:val="23"/>
        </w:rPr>
      </w:pPr>
    </w:p>
    <w:p w:rsidR="006C17CB" w:rsidRDefault="0030091C">
      <w:pPr>
        <w:spacing w:line="235" w:lineRule="auto"/>
        <w:ind w:left="153" w:right="1948"/>
        <w:rPr>
          <w:rFonts w:ascii="Montserrat-SemiBoldItalic"/>
          <w:b/>
          <w:i/>
          <w:sz w:val="20"/>
        </w:rPr>
      </w:pPr>
      <w:r>
        <w:rPr>
          <w:rFonts w:ascii="Montserrat-SemiBoldItalic"/>
          <w:b/>
          <w:i/>
          <w:sz w:val="20"/>
        </w:rPr>
        <w:t>Privileges committee established to examine use of third-party websites and actions of two MLAs in an inquiry by Standing Committee on Public Accounts</w:t>
      </w:r>
    </w:p>
    <w:p w:rsidR="006C17CB" w:rsidRDefault="0030091C">
      <w:pPr>
        <w:pStyle w:val="BodyText"/>
        <w:spacing w:before="168" w:line="189" w:lineRule="auto"/>
        <w:ind w:left="153" w:right="1124"/>
      </w:pPr>
      <w:r>
        <w:t>On 10 April, the Speaker, having received a letter from an MLA alleging a breach of privilege, granted precedence for a motion to be moved to established a Select Committee on Privileges 2018 to examine certain aspects of the conduct of two MLAs, as well as the use of a Liberal Party website to transmit submissions to a Standing Committee on Public Accounts inquiry. On 12 April 2018, the Assembly established a three-member privileges committee, which comprised a government MLA, an opposition MLA and a crossbench MLA, with the crossbench MLA (a minister) being elected as chair.</w:t>
      </w:r>
    </w:p>
    <w:p w:rsidR="006C17CB" w:rsidRDefault="0030091C">
      <w:pPr>
        <w:pStyle w:val="BodyText"/>
        <w:spacing w:before="110" w:line="189" w:lineRule="auto"/>
        <w:ind w:left="153" w:right="1392"/>
      </w:pPr>
      <w:r>
        <w:t>On 20 June, the committee reported out of session, finding that there had been no contempt but recommending that the Standing Committee on Administration and Procedure, in consultation with committee chairs, develop guidelines for the use of third-party websites in the preparation of submissions to Assembly inquiries.</w:t>
      </w:r>
    </w:p>
    <w:p w:rsidR="006C17CB" w:rsidRDefault="006C17CB">
      <w:pPr>
        <w:pStyle w:val="BodyText"/>
        <w:spacing w:before="7"/>
        <w:rPr>
          <w:sz w:val="23"/>
        </w:rPr>
      </w:pPr>
    </w:p>
    <w:p w:rsidR="006C17CB" w:rsidRDefault="0030091C">
      <w:pPr>
        <w:ind w:left="153"/>
        <w:rPr>
          <w:rFonts w:ascii="Montserrat-SemiBoldItalic" w:hAnsi="Montserrat-SemiBoldItalic"/>
          <w:b/>
          <w:i/>
          <w:sz w:val="20"/>
        </w:rPr>
      </w:pPr>
      <w:r>
        <w:rPr>
          <w:rFonts w:ascii="Montserrat-SemiBoldItalic" w:hAnsi="Montserrat-SemiBoldItalic"/>
          <w:b/>
          <w:i/>
          <w:sz w:val="20"/>
        </w:rPr>
        <w:t>Acknowledgement of traditional owners every sitting day—change to standing order 30</w:t>
      </w:r>
    </w:p>
    <w:p w:rsidR="006C17CB" w:rsidRDefault="0030091C">
      <w:pPr>
        <w:pStyle w:val="BodyText"/>
        <w:spacing w:before="166" w:line="189" w:lineRule="auto"/>
        <w:ind w:left="153" w:right="1641"/>
      </w:pPr>
      <w:r>
        <w:t>On 10 May, the Minister for Aboriginal and Torres Strait Islander Affairs moved a motion to alter standing order 30 so that the acknowledgement of country, which had previously been made at the beginning of each sitting period, would occur at the start of every sitting day.</w:t>
      </w:r>
    </w:p>
    <w:p w:rsidR="006C17CB" w:rsidRDefault="0030091C">
      <w:pPr>
        <w:pStyle w:val="BodyText"/>
        <w:spacing w:before="58"/>
        <w:ind w:left="153"/>
      </w:pPr>
      <w:r>
        <w:t>The change to the standing order was made with the support of all parties.</w:t>
      </w:r>
    </w:p>
    <w:p w:rsidR="006C17CB" w:rsidRDefault="006C17CB">
      <w:pPr>
        <w:pStyle w:val="BodyText"/>
        <w:spacing w:before="14"/>
      </w:pPr>
    </w:p>
    <w:p w:rsidR="006C17CB" w:rsidRDefault="0030091C">
      <w:pPr>
        <w:spacing w:line="235" w:lineRule="auto"/>
        <w:ind w:left="153" w:right="1412"/>
        <w:rPr>
          <w:rFonts w:ascii="Montserrat-SemiBoldItalic" w:hAnsi="Montserrat-SemiBoldItalic"/>
          <w:b/>
          <w:i/>
          <w:sz w:val="20"/>
        </w:rPr>
      </w:pPr>
      <w:r>
        <w:rPr>
          <w:rFonts w:ascii="Montserrat-SemiBoldItalic" w:hAnsi="Montserrat-SemiBoldItalic"/>
          <w:b/>
          <w:i/>
          <w:sz w:val="20"/>
        </w:rPr>
        <w:t xml:space="preserve">Leader of the Opposition presents </w:t>
      </w:r>
      <w:r>
        <w:rPr>
          <w:rFonts w:ascii="Montserrat-SemiBold" w:hAnsi="Montserrat-SemiBold"/>
          <w:b/>
          <w:sz w:val="20"/>
        </w:rPr>
        <w:t>Anti-Corruption and Integrity Bill 2018</w:t>
      </w:r>
      <w:r>
        <w:rPr>
          <w:rFonts w:ascii="Montserrat-SemiBoldItalic" w:hAnsi="Montserrat-SemiBoldItalic"/>
          <w:b/>
          <w:i/>
          <w:sz w:val="20"/>
        </w:rPr>
        <w:t>—the bill and government’s draft legislation referred to a select committee</w:t>
      </w:r>
    </w:p>
    <w:p w:rsidR="006C17CB" w:rsidRDefault="0030091C">
      <w:pPr>
        <w:pStyle w:val="BodyText"/>
        <w:spacing w:before="168" w:line="189" w:lineRule="auto"/>
        <w:ind w:left="153" w:right="1480"/>
      </w:pPr>
      <w:r>
        <w:t>On 6 June, the Leader of the Opposition presented a bill to establish an anti-corruption and integrity commission. Subsequently, the Chief Minister moved a motion to establish a five-member select committee on an Independent Integrity Commission 2018 to examine a draft government bill and the Leader of the Opposition’s bill. The committee is chaired by the Greens minister and is required to report by 31 October 2018.</w:t>
      </w:r>
    </w:p>
    <w:p w:rsidR="006C17CB" w:rsidRDefault="006C17CB">
      <w:pPr>
        <w:spacing w:line="189" w:lineRule="auto"/>
        <w:sectPr w:rsidR="006C17CB">
          <w:pgSz w:w="11910" w:h="16840"/>
          <w:pgMar w:top="1580" w:right="0" w:bottom="720" w:left="980" w:header="0" w:footer="44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7"/>
        <w:rPr>
          <w:sz w:val="15"/>
        </w:rPr>
      </w:pPr>
    </w:p>
    <w:p w:rsidR="006C17CB" w:rsidRDefault="0030091C">
      <w:pPr>
        <w:pStyle w:val="Heading5"/>
        <w:spacing w:before="153"/>
        <w:rPr>
          <w:rFonts w:ascii="Montserrat"/>
        </w:rPr>
      </w:pPr>
      <w:bookmarkStart w:id="44" w:name="Interparliamentary_activities"/>
      <w:bookmarkStart w:id="45" w:name="_bookmark11"/>
      <w:bookmarkEnd w:id="44"/>
      <w:bookmarkEnd w:id="45"/>
      <w:r>
        <w:rPr>
          <w:rFonts w:ascii="Montserrat"/>
          <w:color w:val="556EAA"/>
        </w:rPr>
        <w:t>Interparliamentary activities</w:t>
      </w:r>
    </w:p>
    <w:p w:rsidR="006C17CB" w:rsidRDefault="0030091C">
      <w:pPr>
        <w:spacing w:before="203"/>
        <w:ind w:left="153"/>
        <w:rPr>
          <w:rFonts w:ascii="Montserrat-SemiBoldItalic"/>
          <w:b/>
          <w:i/>
          <w:sz w:val="20"/>
        </w:rPr>
      </w:pPr>
      <w:r>
        <w:rPr>
          <w:rFonts w:ascii="Montserrat-SemiBoldItalic"/>
          <w:b/>
          <w:i/>
          <w:sz w:val="20"/>
        </w:rPr>
        <w:t>Commonwealth Parliamentary Association</w:t>
      </w:r>
    </w:p>
    <w:p w:rsidR="006C17CB" w:rsidRDefault="0030091C">
      <w:pPr>
        <w:pStyle w:val="BodyText"/>
        <w:spacing w:before="166" w:line="189" w:lineRule="auto"/>
        <w:ind w:left="153" w:right="1412"/>
      </w:pPr>
      <w:r>
        <w:t>The Office provides administrative support for the ACT branch of the Commonwealth Parliamentary Association (CPA).</w:t>
      </w:r>
    </w:p>
    <w:p w:rsidR="006C17CB" w:rsidRDefault="0030091C">
      <w:pPr>
        <w:pStyle w:val="BodyText"/>
        <w:spacing w:before="58"/>
        <w:ind w:left="153"/>
      </w:pPr>
      <w:r>
        <w:t>During the reporting period, this included making arrangements for:</w:t>
      </w:r>
    </w:p>
    <w:p w:rsidR="006C17CB" w:rsidRDefault="0030091C">
      <w:pPr>
        <w:pStyle w:val="ListParagraph"/>
        <w:numPr>
          <w:ilvl w:val="0"/>
          <w:numId w:val="22"/>
        </w:numPr>
        <w:tabs>
          <w:tab w:val="left" w:pos="381"/>
        </w:tabs>
        <w:spacing w:before="101" w:line="189" w:lineRule="auto"/>
        <w:ind w:right="1536"/>
      </w:pPr>
      <w:r>
        <w:t>the</w:t>
      </w:r>
      <w:r>
        <w:rPr>
          <w:spacing w:val="-7"/>
        </w:rPr>
        <w:t xml:space="preserve"> </w:t>
      </w:r>
      <w:r>
        <w:t>attendance</w:t>
      </w:r>
      <w:r>
        <w:rPr>
          <w:spacing w:val="-7"/>
        </w:rPr>
        <w:t xml:space="preserve"> </w:t>
      </w:r>
      <w:r>
        <w:t>of</w:t>
      </w:r>
      <w:r>
        <w:rPr>
          <w:spacing w:val="-7"/>
        </w:rPr>
        <w:t xml:space="preserve"> </w:t>
      </w:r>
      <w:r>
        <w:t>two</w:t>
      </w:r>
      <w:r>
        <w:rPr>
          <w:spacing w:val="-7"/>
        </w:rPr>
        <w:t xml:space="preserve"> </w:t>
      </w:r>
      <w:r>
        <w:t>members</w:t>
      </w:r>
      <w:r>
        <w:rPr>
          <w:spacing w:val="-7"/>
        </w:rPr>
        <w:t xml:space="preserve"> </w:t>
      </w:r>
      <w:r>
        <w:t>at</w:t>
      </w:r>
      <w:r>
        <w:rPr>
          <w:spacing w:val="-7"/>
        </w:rPr>
        <w:t xml:space="preserve"> </w:t>
      </w:r>
      <w:r>
        <w:t>the</w:t>
      </w:r>
      <w:r>
        <w:rPr>
          <w:spacing w:val="-7"/>
        </w:rPr>
        <w:t xml:space="preserve"> </w:t>
      </w:r>
      <w:r>
        <w:t>Commonwealth</w:t>
      </w:r>
      <w:r>
        <w:rPr>
          <w:spacing w:val="-7"/>
        </w:rPr>
        <w:t xml:space="preserve"> </w:t>
      </w:r>
      <w:r>
        <w:rPr>
          <w:spacing w:val="-3"/>
        </w:rPr>
        <w:t>Women</w:t>
      </w:r>
      <w:r>
        <w:rPr>
          <w:spacing w:val="-7"/>
        </w:rPr>
        <w:t xml:space="preserve"> </w:t>
      </w:r>
      <w:r>
        <w:t>Parliamentarians</w:t>
      </w:r>
      <w:r>
        <w:rPr>
          <w:spacing w:val="-7"/>
        </w:rPr>
        <w:t xml:space="preserve"> </w:t>
      </w:r>
      <w:r>
        <w:rPr>
          <w:spacing w:val="-4"/>
        </w:rPr>
        <w:t>(CWP)</w:t>
      </w:r>
      <w:r>
        <w:rPr>
          <w:spacing w:val="-7"/>
        </w:rPr>
        <w:t xml:space="preserve"> </w:t>
      </w:r>
      <w:r>
        <w:t>Conference</w:t>
      </w:r>
      <w:r>
        <w:rPr>
          <w:spacing w:val="-7"/>
        </w:rPr>
        <w:t xml:space="preserve"> </w:t>
      </w:r>
      <w:r>
        <w:t>in Melbourne in August</w:t>
      </w:r>
      <w:r>
        <w:rPr>
          <w:spacing w:val="-2"/>
        </w:rPr>
        <w:t xml:space="preserve"> </w:t>
      </w:r>
      <w:r>
        <w:rPr>
          <w:spacing w:val="-6"/>
        </w:rPr>
        <w:t>2017;</w:t>
      </w:r>
    </w:p>
    <w:p w:rsidR="006C17CB" w:rsidRDefault="0030091C">
      <w:pPr>
        <w:pStyle w:val="ListParagraph"/>
        <w:numPr>
          <w:ilvl w:val="0"/>
          <w:numId w:val="22"/>
        </w:numPr>
        <w:tabs>
          <w:tab w:val="left" w:pos="381"/>
        </w:tabs>
        <w:spacing w:line="296" w:lineRule="exact"/>
      </w:pPr>
      <w:r>
        <w:t xml:space="preserve">the ‘Celebrating </w:t>
      </w:r>
      <w:r>
        <w:rPr>
          <w:spacing w:val="-3"/>
        </w:rPr>
        <w:t xml:space="preserve">Women’ </w:t>
      </w:r>
      <w:r>
        <w:t>event, hosted by the Speaker and the CWP in October</w:t>
      </w:r>
      <w:r>
        <w:rPr>
          <w:spacing w:val="-9"/>
        </w:rPr>
        <w:t xml:space="preserve"> </w:t>
      </w:r>
      <w:r>
        <w:rPr>
          <w:spacing w:val="-6"/>
        </w:rPr>
        <w:t>2017;</w:t>
      </w:r>
    </w:p>
    <w:p w:rsidR="006C17CB" w:rsidRDefault="0030091C">
      <w:pPr>
        <w:pStyle w:val="ListParagraph"/>
        <w:numPr>
          <w:ilvl w:val="0"/>
          <w:numId w:val="22"/>
        </w:numPr>
        <w:tabs>
          <w:tab w:val="left" w:pos="381"/>
        </w:tabs>
        <w:spacing w:before="43" w:line="189" w:lineRule="auto"/>
        <w:ind w:right="1402"/>
      </w:pPr>
      <w:r>
        <w:t>the</w:t>
      </w:r>
      <w:r>
        <w:rPr>
          <w:spacing w:val="-7"/>
        </w:rPr>
        <w:t xml:space="preserve"> </w:t>
      </w:r>
      <w:r>
        <w:t>attendance</w:t>
      </w:r>
      <w:r>
        <w:rPr>
          <w:spacing w:val="-7"/>
        </w:rPr>
        <w:t xml:space="preserve"> </w:t>
      </w:r>
      <w:r>
        <w:t>of</w:t>
      </w:r>
      <w:r>
        <w:rPr>
          <w:spacing w:val="-6"/>
        </w:rPr>
        <w:t xml:space="preserve"> </w:t>
      </w:r>
      <w:r>
        <w:t>two</w:t>
      </w:r>
      <w:r>
        <w:rPr>
          <w:spacing w:val="-7"/>
        </w:rPr>
        <w:t xml:space="preserve"> </w:t>
      </w:r>
      <w:r>
        <w:t>branch</w:t>
      </w:r>
      <w:r>
        <w:rPr>
          <w:spacing w:val="-7"/>
        </w:rPr>
        <w:t xml:space="preserve"> </w:t>
      </w:r>
      <w:r>
        <w:t>delegates</w:t>
      </w:r>
      <w:r>
        <w:rPr>
          <w:spacing w:val="-6"/>
        </w:rPr>
        <w:t xml:space="preserve"> </w:t>
      </w:r>
      <w:r>
        <w:t>and</w:t>
      </w:r>
      <w:r>
        <w:rPr>
          <w:spacing w:val="-6"/>
        </w:rPr>
        <w:t xml:space="preserve"> </w:t>
      </w:r>
      <w:r>
        <w:t>the</w:t>
      </w:r>
      <w:r>
        <w:rPr>
          <w:spacing w:val="-7"/>
        </w:rPr>
        <w:t xml:space="preserve"> </w:t>
      </w:r>
      <w:r>
        <w:t>Australian</w:t>
      </w:r>
      <w:r>
        <w:rPr>
          <w:spacing w:val="-7"/>
        </w:rPr>
        <w:t xml:space="preserve"> </w:t>
      </w:r>
      <w:r>
        <w:t>Regional</w:t>
      </w:r>
      <w:r>
        <w:rPr>
          <w:spacing w:val="-6"/>
        </w:rPr>
        <w:t xml:space="preserve"> </w:t>
      </w:r>
      <w:r>
        <w:t>Secretary</w:t>
      </w:r>
      <w:r>
        <w:rPr>
          <w:spacing w:val="-6"/>
        </w:rPr>
        <w:t xml:space="preserve"> </w:t>
      </w:r>
      <w:r>
        <w:t>at</w:t>
      </w:r>
      <w:r>
        <w:rPr>
          <w:spacing w:val="-6"/>
        </w:rPr>
        <w:t xml:space="preserve"> </w:t>
      </w:r>
      <w:r>
        <w:t>the</w:t>
      </w:r>
      <w:r>
        <w:rPr>
          <w:spacing w:val="-7"/>
        </w:rPr>
        <w:t xml:space="preserve"> </w:t>
      </w:r>
      <w:r>
        <w:rPr>
          <w:spacing w:val="-4"/>
        </w:rPr>
        <w:t>CPA</w:t>
      </w:r>
      <w:r>
        <w:rPr>
          <w:spacing w:val="-7"/>
        </w:rPr>
        <w:t xml:space="preserve"> </w:t>
      </w:r>
      <w:r>
        <w:t>Australian</w:t>
      </w:r>
      <w:r>
        <w:rPr>
          <w:spacing w:val="-6"/>
        </w:rPr>
        <w:t xml:space="preserve"> </w:t>
      </w:r>
      <w:r>
        <w:t xml:space="preserve">and Pacific Regional Conference in </w:t>
      </w:r>
      <w:r>
        <w:rPr>
          <w:spacing w:val="-4"/>
        </w:rPr>
        <w:t xml:space="preserve">Sydney, NSW, </w:t>
      </w:r>
      <w:r>
        <w:t>in October</w:t>
      </w:r>
      <w:r>
        <w:rPr>
          <w:spacing w:val="1"/>
        </w:rPr>
        <w:t xml:space="preserve"> </w:t>
      </w:r>
      <w:r>
        <w:rPr>
          <w:spacing w:val="-6"/>
        </w:rPr>
        <w:t>2017;</w:t>
      </w:r>
    </w:p>
    <w:p w:rsidR="006C17CB" w:rsidRDefault="0030091C">
      <w:pPr>
        <w:pStyle w:val="ListParagraph"/>
        <w:numPr>
          <w:ilvl w:val="0"/>
          <w:numId w:val="22"/>
        </w:numPr>
        <w:tabs>
          <w:tab w:val="left" w:pos="381"/>
        </w:tabs>
        <w:spacing w:before="44" w:line="189" w:lineRule="auto"/>
        <w:ind w:right="1465"/>
        <w:jc w:val="both"/>
      </w:pPr>
      <w:r>
        <w:t>the attendance of two branch delegates and the Australian Regional Secretary at the regional hot topic seminar</w:t>
      </w:r>
      <w:r>
        <w:rPr>
          <w:spacing w:val="-7"/>
        </w:rPr>
        <w:t xml:space="preserve"> </w:t>
      </w:r>
      <w:r>
        <w:t>entitled</w:t>
      </w:r>
      <w:r>
        <w:rPr>
          <w:spacing w:val="-8"/>
        </w:rPr>
        <w:t xml:space="preserve"> </w:t>
      </w:r>
      <w:r>
        <w:t>‘Deliberating</w:t>
      </w:r>
      <w:r>
        <w:rPr>
          <w:spacing w:val="-7"/>
        </w:rPr>
        <w:t xml:space="preserve"> </w:t>
      </w:r>
      <w:r>
        <w:t>climate</w:t>
      </w:r>
      <w:r>
        <w:rPr>
          <w:spacing w:val="-8"/>
        </w:rPr>
        <w:t xml:space="preserve"> </w:t>
      </w:r>
      <w:r>
        <w:rPr>
          <w:spacing w:val="-3"/>
        </w:rPr>
        <w:t>change—the</w:t>
      </w:r>
      <w:r>
        <w:rPr>
          <w:spacing w:val="-8"/>
        </w:rPr>
        <w:t xml:space="preserve"> </w:t>
      </w:r>
      <w:r>
        <w:t>role</w:t>
      </w:r>
      <w:r>
        <w:rPr>
          <w:spacing w:val="-8"/>
        </w:rPr>
        <w:t xml:space="preserve"> </w:t>
      </w:r>
      <w:r>
        <w:t>of</w:t>
      </w:r>
      <w:r>
        <w:rPr>
          <w:spacing w:val="-7"/>
        </w:rPr>
        <w:t xml:space="preserve"> </w:t>
      </w:r>
      <w:r>
        <w:t>parliaments</w:t>
      </w:r>
      <w:r>
        <w:rPr>
          <w:spacing w:val="-7"/>
        </w:rPr>
        <w:t xml:space="preserve"> </w:t>
      </w:r>
      <w:r>
        <w:t>and</w:t>
      </w:r>
      <w:r>
        <w:rPr>
          <w:spacing w:val="-7"/>
        </w:rPr>
        <w:t xml:space="preserve"> </w:t>
      </w:r>
      <w:r>
        <w:t>parliamentarians’</w:t>
      </w:r>
      <w:r>
        <w:rPr>
          <w:spacing w:val="-7"/>
        </w:rPr>
        <w:t xml:space="preserve"> </w:t>
      </w:r>
      <w:r>
        <w:t>in</w:t>
      </w:r>
      <w:r>
        <w:rPr>
          <w:spacing w:val="-7"/>
        </w:rPr>
        <w:t xml:space="preserve"> </w:t>
      </w:r>
      <w:r>
        <w:rPr>
          <w:spacing w:val="-4"/>
        </w:rPr>
        <w:t xml:space="preserve">Sydney, NSW, </w:t>
      </w:r>
      <w:r>
        <w:t>in October</w:t>
      </w:r>
      <w:r>
        <w:rPr>
          <w:spacing w:val="3"/>
        </w:rPr>
        <w:t xml:space="preserve"> </w:t>
      </w:r>
      <w:r>
        <w:rPr>
          <w:spacing w:val="-6"/>
        </w:rPr>
        <w:t>2017;</w:t>
      </w:r>
    </w:p>
    <w:p w:rsidR="006C17CB" w:rsidRDefault="0030091C">
      <w:pPr>
        <w:pStyle w:val="ListParagraph"/>
        <w:numPr>
          <w:ilvl w:val="0"/>
          <w:numId w:val="22"/>
        </w:numPr>
        <w:tabs>
          <w:tab w:val="left" w:pos="381"/>
        </w:tabs>
        <w:spacing w:before="44" w:line="189" w:lineRule="auto"/>
        <w:ind w:right="1586"/>
      </w:pPr>
      <w:r>
        <w:t>the</w:t>
      </w:r>
      <w:r>
        <w:rPr>
          <w:spacing w:val="-4"/>
        </w:rPr>
        <w:t xml:space="preserve"> </w:t>
      </w:r>
      <w:r>
        <w:t>attendance</w:t>
      </w:r>
      <w:r>
        <w:rPr>
          <w:spacing w:val="-4"/>
        </w:rPr>
        <w:t xml:space="preserve"> </w:t>
      </w:r>
      <w:r>
        <w:t>of</w:t>
      </w:r>
      <w:r>
        <w:rPr>
          <w:spacing w:val="-4"/>
        </w:rPr>
        <w:t xml:space="preserve"> </w:t>
      </w:r>
      <w:r>
        <w:t>the</w:t>
      </w:r>
      <w:r>
        <w:rPr>
          <w:spacing w:val="-4"/>
        </w:rPr>
        <w:t xml:space="preserve"> Speaker, </w:t>
      </w:r>
      <w:r>
        <w:t>Joy</w:t>
      </w:r>
      <w:r>
        <w:rPr>
          <w:spacing w:val="-4"/>
        </w:rPr>
        <w:t xml:space="preserve"> </w:t>
      </w:r>
      <w:r>
        <w:t>Burch</w:t>
      </w:r>
      <w:r>
        <w:rPr>
          <w:spacing w:val="-4"/>
        </w:rPr>
        <w:t xml:space="preserve"> </w:t>
      </w:r>
      <w:r>
        <w:t>MLA,</w:t>
      </w:r>
      <w:r>
        <w:rPr>
          <w:spacing w:val="-4"/>
        </w:rPr>
        <w:t xml:space="preserve"> </w:t>
      </w:r>
      <w:r>
        <w:t>at</w:t>
      </w:r>
      <w:r>
        <w:rPr>
          <w:spacing w:val="-4"/>
        </w:rPr>
        <w:t xml:space="preserve"> </w:t>
      </w:r>
      <w:r>
        <w:t>the</w:t>
      </w:r>
      <w:r>
        <w:rPr>
          <w:spacing w:val="-4"/>
        </w:rPr>
        <w:t xml:space="preserve"> CPA </w:t>
      </w:r>
      <w:r>
        <w:t>small</w:t>
      </w:r>
      <w:r>
        <w:rPr>
          <w:spacing w:val="-4"/>
        </w:rPr>
        <w:t xml:space="preserve"> </w:t>
      </w:r>
      <w:r>
        <w:t>branches</w:t>
      </w:r>
      <w:r>
        <w:rPr>
          <w:spacing w:val="-4"/>
        </w:rPr>
        <w:t xml:space="preserve"> </w:t>
      </w:r>
      <w:r>
        <w:t>strategy</w:t>
      </w:r>
      <w:r>
        <w:rPr>
          <w:spacing w:val="-4"/>
        </w:rPr>
        <w:t xml:space="preserve"> </w:t>
      </w:r>
      <w:r>
        <w:t>meeting</w:t>
      </w:r>
      <w:r>
        <w:rPr>
          <w:spacing w:val="-4"/>
        </w:rPr>
        <w:t xml:space="preserve"> </w:t>
      </w:r>
      <w:r>
        <w:t>in</w:t>
      </w:r>
      <w:r>
        <w:rPr>
          <w:spacing w:val="-4"/>
        </w:rPr>
        <w:t xml:space="preserve"> </w:t>
      </w:r>
      <w:r>
        <w:t>Malta</w:t>
      </w:r>
      <w:r>
        <w:rPr>
          <w:spacing w:val="-4"/>
        </w:rPr>
        <w:t xml:space="preserve"> </w:t>
      </w:r>
      <w:r>
        <w:t xml:space="preserve">in October </w:t>
      </w:r>
      <w:r>
        <w:rPr>
          <w:spacing w:val="-6"/>
        </w:rPr>
        <w:t>2017;</w:t>
      </w:r>
    </w:p>
    <w:p w:rsidR="006C17CB" w:rsidRDefault="0030091C">
      <w:pPr>
        <w:pStyle w:val="ListParagraph"/>
        <w:numPr>
          <w:ilvl w:val="0"/>
          <w:numId w:val="22"/>
        </w:numPr>
        <w:tabs>
          <w:tab w:val="left" w:pos="381"/>
        </w:tabs>
        <w:spacing w:before="45" w:line="189" w:lineRule="auto"/>
        <w:ind w:right="1237"/>
      </w:pPr>
      <w:r>
        <w:t>the</w:t>
      </w:r>
      <w:r>
        <w:rPr>
          <w:spacing w:val="-6"/>
        </w:rPr>
        <w:t xml:space="preserve"> </w:t>
      </w:r>
      <w:r>
        <w:t>attendance</w:t>
      </w:r>
      <w:r>
        <w:rPr>
          <w:spacing w:val="-6"/>
        </w:rPr>
        <w:t xml:space="preserve"> </w:t>
      </w:r>
      <w:r>
        <w:t>of</w:t>
      </w:r>
      <w:r>
        <w:rPr>
          <w:spacing w:val="-5"/>
        </w:rPr>
        <w:t xml:space="preserve"> </w:t>
      </w:r>
      <w:r>
        <w:t>a</w:t>
      </w:r>
      <w:r>
        <w:rPr>
          <w:spacing w:val="-5"/>
        </w:rPr>
        <w:t xml:space="preserve"> </w:t>
      </w:r>
      <w:r>
        <w:t>branch</w:t>
      </w:r>
      <w:r>
        <w:rPr>
          <w:spacing w:val="-5"/>
        </w:rPr>
        <w:t xml:space="preserve"> </w:t>
      </w:r>
      <w:r>
        <w:t>delegate,</w:t>
      </w:r>
      <w:r>
        <w:rPr>
          <w:spacing w:val="-5"/>
        </w:rPr>
        <w:t xml:space="preserve"> </w:t>
      </w:r>
      <w:r>
        <w:t>as</w:t>
      </w:r>
      <w:r>
        <w:rPr>
          <w:spacing w:val="-5"/>
        </w:rPr>
        <w:t xml:space="preserve"> </w:t>
      </w:r>
      <w:r>
        <w:t>well</w:t>
      </w:r>
      <w:r>
        <w:rPr>
          <w:spacing w:val="-5"/>
        </w:rPr>
        <w:t xml:space="preserve"> </w:t>
      </w:r>
      <w:r>
        <w:t>as</w:t>
      </w:r>
      <w:r>
        <w:rPr>
          <w:spacing w:val="-5"/>
        </w:rPr>
        <w:t xml:space="preserve"> </w:t>
      </w:r>
      <w:r>
        <w:t>the</w:t>
      </w:r>
      <w:r>
        <w:rPr>
          <w:spacing w:val="-6"/>
        </w:rPr>
        <w:t xml:space="preserve"> </w:t>
      </w:r>
      <w:r>
        <w:rPr>
          <w:spacing w:val="-4"/>
        </w:rPr>
        <w:t>CPA</w:t>
      </w:r>
      <w:r>
        <w:rPr>
          <w:spacing w:val="-6"/>
        </w:rPr>
        <w:t xml:space="preserve"> </w:t>
      </w:r>
      <w:r>
        <w:rPr>
          <w:spacing w:val="-3"/>
        </w:rPr>
        <w:t>Treasurer*</w:t>
      </w:r>
      <w:r>
        <w:rPr>
          <w:spacing w:val="-6"/>
        </w:rPr>
        <w:t xml:space="preserve"> </w:t>
      </w:r>
      <w:r>
        <w:t>and</w:t>
      </w:r>
      <w:r>
        <w:rPr>
          <w:spacing w:val="-5"/>
        </w:rPr>
        <w:t xml:space="preserve"> </w:t>
      </w:r>
      <w:r>
        <w:t>the</w:t>
      </w:r>
      <w:r>
        <w:rPr>
          <w:spacing w:val="-6"/>
        </w:rPr>
        <w:t xml:space="preserve"> </w:t>
      </w:r>
      <w:r>
        <w:t>Australian</w:t>
      </w:r>
      <w:r>
        <w:rPr>
          <w:spacing w:val="-5"/>
        </w:rPr>
        <w:t xml:space="preserve"> </w:t>
      </w:r>
      <w:r>
        <w:t>Regional</w:t>
      </w:r>
      <w:r>
        <w:rPr>
          <w:spacing w:val="-5"/>
        </w:rPr>
        <w:t xml:space="preserve"> </w:t>
      </w:r>
      <w:r>
        <w:t>Secretary* at the 63rd Commonwealth Parliamentary Conference in Bangladesh in November</w:t>
      </w:r>
      <w:r>
        <w:rPr>
          <w:spacing w:val="-20"/>
        </w:rPr>
        <w:t xml:space="preserve"> </w:t>
      </w:r>
      <w:r>
        <w:rPr>
          <w:spacing w:val="-6"/>
        </w:rPr>
        <w:t>2017;</w:t>
      </w:r>
    </w:p>
    <w:p w:rsidR="006C17CB" w:rsidRDefault="0030091C">
      <w:pPr>
        <w:pStyle w:val="ListParagraph"/>
        <w:numPr>
          <w:ilvl w:val="0"/>
          <w:numId w:val="22"/>
        </w:numPr>
        <w:tabs>
          <w:tab w:val="left" w:pos="381"/>
        </w:tabs>
        <w:spacing w:before="44" w:line="189" w:lineRule="auto"/>
        <w:ind w:right="1560"/>
      </w:pPr>
      <w:r>
        <w:t>the</w:t>
      </w:r>
      <w:r>
        <w:rPr>
          <w:spacing w:val="-7"/>
        </w:rPr>
        <w:t xml:space="preserve"> </w:t>
      </w:r>
      <w:r>
        <w:t>attendance</w:t>
      </w:r>
      <w:r>
        <w:rPr>
          <w:spacing w:val="-7"/>
        </w:rPr>
        <w:t xml:space="preserve"> </w:t>
      </w:r>
      <w:r>
        <w:t>of</w:t>
      </w:r>
      <w:r>
        <w:rPr>
          <w:spacing w:val="-6"/>
        </w:rPr>
        <w:t xml:space="preserve"> </w:t>
      </w:r>
      <w:r>
        <w:t>an</w:t>
      </w:r>
      <w:r>
        <w:rPr>
          <w:spacing w:val="-6"/>
        </w:rPr>
        <w:t xml:space="preserve"> </w:t>
      </w:r>
      <w:r>
        <w:t>ACT</w:t>
      </w:r>
      <w:r>
        <w:rPr>
          <w:spacing w:val="-7"/>
        </w:rPr>
        <w:t xml:space="preserve"> </w:t>
      </w:r>
      <w:r>
        <w:t>representative</w:t>
      </w:r>
      <w:r>
        <w:rPr>
          <w:spacing w:val="-7"/>
        </w:rPr>
        <w:t xml:space="preserve"> </w:t>
      </w:r>
      <w:r>
        <w:t>at</w:t>
      </w:r>
      <w:r>
        <w:rPr>
          <w:spacing w:val="-6"/>
        </w:rPr>
        <w:t xml:space="preserve"> </w:t>
      </w:r>
      <w:r>
        <w:t>the</w:t>
      </w:r>
      <w:r>
        <w:rPr>
          <w:spacing w:val="-7"/>
        </w:rPr>
        <w:t xml:space="preserve"> </w:t>
      </w:r>
      <w:r>
        <w:t>ninth</w:t>
      </w:r>
      <w:r>
        <w:rPr>
          <w:spacing w:val="-6"/>
        </w:rPr>
        <w:t xml:space="preserve"> </w:t>
      </w:r>
      <w:r>
        <w:t>Commonwealth</w:t>
      </w:r>
      <w:r>
        <w:rPr>
          <w:spacing w:val="-6"/>
        </w:rPr>
        <w:t xml:space="preserve"> </w:t>
      </w:r>
      <w:r>
        <w:rPr>
          <w:spacing w:val="-3"/>
        </w:rPr>
        <w:t>Youth</w:t>
      </w:r>
      <w:r>
        <w:rPr>
          <w:spacing w:val="-6"/>
        </w:rPr>
        <w:t xml:space="preserve"> </w:t>
      </w:r>
      <w:r>
        <w:t>Parliament,</w:t>
      </w:r>
      <w:r>
        <w:rPr>
          <w:spacing w:val="-6"/>
        </w:rPr>
        <w:t xml:space="preserve"> </w:t>
      </w:r>
      <w:r>
        <w:t>held</w:t>
      </w:r>
      <w:r>
        <w:rPr>
          <w:spacing w:val="-6"/>
        </w:rPr>
        <w:t xml:space="preserve"> </w:t>
      </w:r>
      <w:r>
        <w:t>in</w:t>
      </w:r>
      <w:r>
        <w:rPr>
          <w:spacing w:val="-6"/>
        </w:rPr>
        <w:t xml:space="preserve"> </w:t>
      </w:r>
      <w:r>
        <w:rPr>
          <w:spacing w:val="-3"/>
        </w:rPr>
        <w:t xml:space="preserve">Jersey, </w:t>
      </w:r>
      <w:r>
        <w:t>Channel Islands, in February</w:t>
      </w:r>
      <w:r>
        <w:rPr>
          <w:spacing w:val="-1"/>
        </w:rPr>
        <w:t xml:space="preserve"> </w:t>
      </w:r>
      <w:r>
        <w:rPr>
          <w:spacing w:val="-3"/>
        </w:rPr>
        <w:t>2018;</w:t>
      </w:r>
    </w:p>
    <w:p w:rsidR="006C17CB" w:rsidRDefault="0030091C">
      <w:pPr>
        <w:pStyle w:val="ListParagraph"/>
        <w:numPr>
          <w:ilvl w:val="0"/>
          <w:numId w:val="22"/>
        </w:numPr>
        <w:tabs>
          <w:tab w:val="left" w:pos="381"/>
        </w:tabs>
        <w:spacing w:before="44" w:line="189" w:lineRule="auto"/>
        <w:ind w:right="2006"/>
      </w:pPr>
      <w:r>
        <w:t>the</w:t>
      </w:r>
      <w:r>
        <w:rPr>
          <w:spacing w:val="-8"/>
        </w:rPr>
        <w:t xml:space="preserve"> </w:t>
      </w:r>
      <w:r>
        <w:t>attendance</w:t>
      </w:r>
      <w:r>
        <w:rPr>
          <w:spacing w:val="-8"/>
        </w:rPr>
        <w:t xml:space="preserve"> </w:t>
      </w:r>
      <w:r>
        <w:t>of</w:t>
      </w:r>
      <w:r>
        <w:rPr>
          <w:spacing w:val="-7"/>
        </w:rPr>
        <w:t xml:space="preserve"> </w:t>
      </w:r>
      <w:r>
        <w:t>the</w:t>
      </w:r>
      <w:r>
        <w:rPr>
          <w:spacing w:val="-8"/>
        </w:rPr>
        <w:t xml:space="preserve"> </w:t>
      </w:r>
      <w:r>
        <w:rPr>
          <w:spacing w:val="-4"/>
        </w:rPr>
        <w:t>Speaker,</w:t>
      </w:r>
      <w:r>
        <w:rPr>
          <w:spacing w:val="-7"/>
        </w:rPr>
        <w:t xml:space="preserve"> </w:t>
      </w:r>
      <w:r>
        <w:t>High</w:t>
      </w:r>
      <w:r>
        <w:rPr>
          <w:spacing w:val="-7"/>
        </w:rPr>
        <w:t xml:space="preserve"> </w:t>
      </w:r>
      <w:r>
        <w:t>Commissioners</w:t>
      </w:r>
      <w:r>
        <w:rPr>
          <w:spacing w:val="-7"/>
        </w:rPr>
        <w:t xml:space="preserve"> </w:t>
      </w:r>
      <w:r>
        <w:t>and</w:t>
      </w:r>
      <w:r>
        <w:rPr>
          <w:spacing w:val="-7"/>
        </w:rPr>
        <w:t xml:space="preserve"> </w:t>
      </w:r>
      <w:r>
        <w:t>representatives</w:t>
      </w:r>
      <w:r>
        <w:rPr>
          <w:spacing w:val="-7"/>
        </w:rPr>
        <w:t xml:space="preserve"> </w:t>
      </w:r>
      <w:r>
        <w:t>from</w:t>
      </w:r>
      <w:r>
        <w:rPr>
          <w:spacing w:val="-8"/>
        </w:rPr>
        <w:t xml:space="preserve"> </w:t>
      </w:r>
      <w:r>
        <w:t>12</w:t>
      </w:r>
      <w:r>
        <w:rPr>
          <w:spacing w:val="-7"/>
        </w:rPr>
        <w:t xml:space="preserve"> </w:t>
      </w:r>
      <w:r>
        <w:t>Commonwealth countries, and principals, teachers and students from five ACT schools, at Commonwealth Day celebrations, hosted by the ACT Legislative Assembly in March</w:t>
      </w:r>
      <w:r>
        <w:rPr>
          <w:spacing w:val="-10"/>
        </w:rPr>
        <w:t xml:space="preserve"> </w:t>
      </w:r>
      <w:r>
        <w:rPr>
          <w:spacing w:val="-3"/>
        </w:rPr>
        <w:t>2018;</w:t>
      </w:r>
    </w:p>
    <w:p w:rsidR="006C17CB" w:rsidRDefault="0030091C">
      <w:pPr>
        <w:pStyle w:val="ListParagraph"/>
        <w:numPr>
          <w:ilvl w:val="0"/>
          <w:numId w:val="22"/>
        </w:numPr>
        <w:tabs>
          <w:tab w:val="left" w:pos="381"/>
        </w:tabs>
        <w:spacing w:before="44" w:line="189" w:lineRule="auto"/>
        <w:ind w:right="1704"/>
      </w:pPr>
      <w:r>
        <w:t>the</w:t>
      </w:r>
      <w:r>
        <w:rPr>
          <w:spacing w:val="-7"/>
        </w:rPr>
        <w:t xml:space="preserve"> </w:t>
      </w:r>
      <w:r>
        <w:t>attendance</w:t>
      </w:r>
      <w:r>
        <w:rPr>
          <w:spacing w:val="-7"/>
        </w:rPr>
        <w:t xml:space="preserve"> </w:t>
      </w:r>
      <w:r>
        <w:t>of</w:t>
      </w:r>
      <w:r>
        <w:rPr>
          <w:spacing w:val="-6"/>
        </w:rPr>
        <w:t xml:space="preserve"> </w:t>
      </w:r>
      <w:r>
        <w:t>the</w:t>
      </w:r>
      <w:r>
        <w:rPr>
          <w:spacing w:val="-7"/>
        </w:rPr>
        <w:t xml:space="preserve"> </w:t>
      </w:r>
      <w:r>
        <w:t>Speaker</w:t>
      </w:r>
      <w:r>
        <w:rPr>
          <w:spacing w:val="-6"/>
        </w:rPr>
        <w:t xml:space="preserve"> </w:t>
      </w:r>
      <w:r>
        <w:t>and</w:t>
      </w:r>
      <w:r>
        <w:rPr>
          <w:spacing w:val="-6"/>
        </w:rPr>
        <w:t xml:space="preserve"> </w:t>
      </w:r>
      <w:r>
        <w:t>the</w:t>
      </w:r>
      <w:r>
        <w:rPr>
          <w:spacing w:val="-7"/>
        </w:rPr>
        <w:t xml:space="preserve"> </w:t>
      </w:r>
      <w:r>
        <w:t>Clerk</w:t>
      </w:r>
      <w:r>
        <w:rPr>
          <w:spacing w:val="-6"/>
        </w:rPr>
        <w:t xml:space="preserve"> </w:t>
      </w:r>
      <w:r>
        <w:t>at</w:t>
      </w:r>
      <w:r>
        <w:rPr>
          <w:spacing w:val="-6"/>
        </w:rPr>
        <w:t xml:space="preserve"> </w:t>
      </w:r>
      <w:r>
        <w:t>the</w:t>
      </w:r>
      <w:r>
        <w:rPr>
          <w:spacing w:val="-7"/>
        </w:rPr>
        <w:t xml:space="preserve"> </w:t>
      </w:r>
      <w:r>
        <w:rPr>
          <w:spacing w:val="-4"/>
        </w:rPr>
        <w:t>CPA</w:t>
      </w:r>
      <w:r>
        <w:rPr>
          <w:spacing w:val="-7"/>
        </w:rPr>
        <w:t xml:space="preserve"> </w:t>
      </w:r>
      <w:r>
        <w:t>Post-Election</w:t>
      </w:r>
      <w:r>
        <w:rPr>
          <w:spacing w:val="-6"/>
        </w:rPr>
        <w:t xml:space="preserve"> </w:t>
      </w:r>
      <w:r>
        <w:t>Seminar</w:t>
      </w:r>
      <w:r>
        <w:rPr>
          <w:spacing w:val="-6"/>
        </w:rPr>
        <w:t xml:space="preserve"> </w:t>
      </w:r>
      <w:r>
        <w:t>in</w:t>
      </w:r>
      <w:r>
        <w:rPr>
          <w:spacing w:val="-6"/>
        </w:rPr>
        <w:t xml:space="preserve"> </w:t>
      </w:r>
      <w:r>
        <w:t>Mombasa,</w:t>
      </w:r>
      <w:r>
        <w:rPr>
          <w:spacing w:val="-6"/>
        </w:rPr>
        <w:t xml:space="preserve"> </w:t>
      </w:r>
      <w:r>
        <w:rPr>
          <w:spacing w:val="-2"/>
        </w:rPr>
        <w:t>Kenya,</w:t>
      </w:r>
      <w:r>
        <w:rPr>
          <w:spacing w:val="-6"/>
        </w:rPr>
        <w:t xml:space="preserve"> </w:t>
      </w:r>
      <w:r>
        <w:t xml:space="preserve">in March 2018, and the </w:t>
      </w:r>
      <w:r>
        <w:rPr>
          <w:spacing w:val="-8"/>
        </w:rPr>
        <w:t xml:space="preserve">CPA’s </w:t>
      </w:r>
      <w:r>
        <w:t xml:space="preserve">benchmarking workshop in London in June </w:t>
      </w:r>
      <w:r>
        <w:rPr>
          <w:spacing w:val="-3"/>
        </w:rPr>
        <w:t>2018;</w:t>
      </w:r>
      <w:r>
        <w:rPr>
          <w:spacing w:val="-10"/>
        </w:rPr>
        <w:t xml:space="preserve"> </w:t>
      </w:r>
      <w:r>
        <w:t>and</w:t>
      </w:r>
    </w:p>
    <w:p w:rsidR="006C17CB" w:rsidRDefault="0030091C">
      <w:pPr>
        <w:pStyle w:val="ListParagraph"/>
        <w:numPr>
          <w:ilvl w:val="0"/>
          <w:numId w:val="22"/>
        </w:numPr>
        <w:tabs>
          <w:tab w:val="left" w:pos="381"/>
        </w:tabs>
        <w:spacing w:line="307" w:lineRule="exact"/>
      </w:pPr>
      <w:r>
        <w:t>activities of the CWP within the</w:t>
      </w:r>
      <w:r>
        <w:rPr>
          <w:spacing w:val="-3"/>
        </w:rPr>
        <w:t xml:space="preserve"> </w:t>
      </w:r>
      <w:r>
        <w:t>branch.</w:t>
      </w:r>
    </w:p>
    <w:p w:rsidR="006C17CB" w:rsidRDefault="006C17CB">
      <w:pPr>
        <w:pStyle w:val="BodyText"/>
        <w:spacing w:before="1"/>
        <w:rPr>
          <w:sz w:val="24"/>
        </w:rPr>
      </w:pPr>
    </w:p>
    <w:p w:rsidR="006C17CB" w:rsidRDefault="0030091C">
      <w:pPr>
        <w:spacing w:line="184" w:lineRule="auto"/>
        <w:ind w:left="323" w:right="1530" w:hanging="171"/>
        <w:rPr>
          <w:rFonts w:ascii="Calibri"/>
          <w:sz w:val="18"/>
        </w:rPr>
      </w:pPr>
      <w:r>
        <w:rPr>
          <w:rFonts w:ascii="Calibri"/>
          <w:sz w:val="18"/>
        </w:rPr>
        <w:t>* The branch provided financial and administrative support to Vicki Dunne MLA in her role as Treasurer of the Commonwealth Parliamentary Association. The Clerk performed the roles of Branch Secretary and CPA Australian Regional Secretary during the period.</w:t>
      </w:r>
    </w:p>
    <w:p w:rsidR="006C17CB" w:rsidRDefault="006C17CB">
      <w:pPr>
        <w:pStyle w:val="BodyText"/>
        <w:rPr>
          <w:rFonts w:ascii="Calibri"/>
          <w:sz w:val="18"/>
        </w:rPr>
      </w:pPr>
    </w:p>
    <w:p w:rsidR="006C17CB" w:rsidRDefault="006C17CB">
      <w:pPr>
        <w:pStyle w:val="BodyText"/>
        <w:spacing w:before="1"/>
        <w:rPr>
          <w:rFonts w:ascii="Calibri"/>
          <w:sz w:val="18"/>
        </w:rPr>
      </w:pPr>
    </w:p>
    <w:p w:rsidR="006C17CB" w:rsidRDefault="0030091C">
      <w:pPr>
        <w:ind w:left="153"/>
        <w:rPr>
          <w:rFonts w:ascii="Montserrat-SemiBoldItalic"/>
          <w:b/>
          <w:i/>
          <w:sz w:val="20"/>
        </w:rPr>
      </w:pPr>
      <w:r>
        <w:rPr>
          <w:rFonts w:ascii="Montserrat-SemiBoldItalic"/>
          <w:b/>
          <w:i/>
          <w:sz w:val="20"/>
        </w:rPr>
        <w:t>Kiribati twinning arrangement</w:t>
      </w:r>
    </w:p>
    <w:p w:rsidR="006C17CB" w:rsidRDefault="0030091C">
      <w:pPr>
        <w:pStyle w:val="BodyText"/>
        <w:spacing w:before="166" w:line="189" w:lineRule="auto"/>
        <w:ind w:left="153" w:right="1177"/>
      </w:pPr>
      <w:r>
        <w:t>The ACT Legislative Assembly is twinned with the Kiribati Parliament under an arrangement developed at a conference of Presiding Officers and Clerks in 2007. In the reporting period:</w:t>
      </w:r>
    </w:p>
    <w:p w:rsidR="006C17CB" w:rsidRDefault="0030091C">
      <w:pPr>
        <w:pStyle w:val="ListParagraph"/>
        <w:numPr>
          <w:ilvl w:val="0"/>
          <w:numId w:val="22"/>
        </w:numPr>
        <w:tabs>
          <w:tab w:val="left" w:pos="381"/>
        </w:tabs>
        <w:spacing w:before="112" w:line="189" w:lineRule="auto"/>
        <w:ind w:right="1260"/>
      </w:pPr>
      <w:r>
        <w:t>The</w:t>
      </w:r>
      <w:r>
        <w:rPr>
          <w:spacing w:val="-6"/>
        </w:rPr>
        <w:t xml:space="preserve"> </w:t>
      </w:r>
      <w:r>
        <w:t>Speaker</w:t>
      </w:r>
      <w:r>
        <w:rPr>
          <w:spacing w:val="-5"/>
        </w:rPr>
        <w:t xml:space="preserve"> </w:t>
      </w:r>
      <w:r>
        <w:t>and</w:t>
      </w:r>
      <w:r>
        <w:rPr>
          <w:spacing w:val="-5"/>
        </w:rPr>
        <w:t xml:space="preserve"> </w:t>
      </w:r>
      <w:r>
        <w:t>the</w:t>
      </w:r>
      <w:r>
        <w:rPr>
          <w:spacing w:val="-6"/>
        </w:rPr>
        <w:t xml:space="preserve"> </w:t>
      </w:r>
      <w:r>
        <w:t>Clerk</w:t>
      </w:r>
      <w:r>
        <w:rPr>
          <w:spacing w:val="-5"/>
        </w:rPr>
        <w:t xml:space="preserve"> </w:t>
      </w:r>
      <w:r>
        <w:t>of</w:t>
      </w:r>
      <w:r>
        <w:rPr>
          <w:spacing w:val="-5"/>
        </w:rPr>
        <w:t xml:space="preserve"> </w:t>
      </w:r>
      <w:r>
        <w:t>the</w:t>
      </w:r>
      <w:r>
        <w:rPr>
          <w:spacing w:val="-6"/>
        </w:rPr>
        <w:t xml:space="preserve"> </w:t>
      </w:r>
      <w:r>
        <w:t>Kiribati</w:t>
      </w:r>
      <w:r>
        <w:rPr>
          <w:spacing w:val="-5"/>
        </w:rPr>
        <w:t xml:space="preserve"> </w:t>
      </w:r>
      <w:r>
        <w:t>Parliament</w:t>
      </w:r>
      <w:r>
        <w:rPr>
          <w:spacing w:val="-5"/>
        </w:rPr>
        <w:t xml:space="preserve"> </w:t>
      </w:r>
      <w:r>
        <w:t>visited</w:t>
      </w:r>
      <w:r>
        <w:rPr>
          <w:spacing w:val="-6"/>
        </w:rPr>
        <w:t xml:space="preserve"> </w:t>
      </w:r>
      <w:r>
        <w:t>the</w:t>
      </w:r>
      <w:r>
        <w:rPr>
          <w:spacing w:val="-6"/>
        </w:rPr>
        <w:t xml:space="preserve"> </w:t>
      </w:r>
      <w:r>
        <w:t>ACT</w:t>
      </w:r>
      <w:r>
        <w:rPr>
          <w:spacing w:val="-6"/>
        </w:rPr>
        <w:t xml:space="preserve"> </w:t>
      </w:r>
      <w:r>
        <w:t>Legislative</w:t>
      </w:r>
      <w:r>
        <w:rPr>
          <w:spacing w:val="-6"/>
        </w:rPr>
        <w:t xml:space="preserve"> </w:t>
      </w:r>
      <w:r>
        <w:t>Assembly</w:t>
      </w:r>
      <w:r>
        <w:rPr>
          <w:spacing w:val="-5"/>
        </w:rPr>
        <w:t xml:space="preserve"> </w:t>
      </w:r>
      <w:r>
        <w:t>from</w:t>
      </w:r>
      <w:r>
        <w:rPr>
          <w:spacing w:val="-6"/>
        </w:rPr>
        <w:t xml:space="preserve"> </w:t>
      </w:r>
      <w:r>
        <w:t>30</w:t>
      </w:r>
      <w:r>
        <w:rPr>
          <w:spacing w:val="-5"/>
        </w:rPr>
        <w:t xml:space="preserve"> </w:t>
      </w:r>
      <w:r>
        <w:t xml:space="preserve">October to 2 November </w:t>
      </w:r>
      <w:r>
        <w:rPr>
          <w:spacing w:val="-8"/>
        </w:rPr>
        <w:t xml:space="preserve">2017. </w:t>
      </w:r>
      <w:r>
        <w:t>During the visit the Speaker and Clerk were briefed on all aspects of the Assembly’s operations,</w:t>
      </w:r>
      <w:r>
        <w:rPr>
          <w:spacing w:val="-3"/>
        </w:rPr>
        <w:t xml:space="preserve"> </w:t>
      </w:r>
      <w:r>
        <w:t>and</w:t>
      </w:r>
      <w:r>
        <w:rPr>
          <w:spacing w:val="-4"/>
        </w:rPr>
        <w:t xml:space="preserve"> </w:t>
      </w:r>
      <w:r>
        <w:t>meetings</w:t>
      </w:r>
      <w:r>
        <w:rPr>
          <w:spacing w:val="-3"/>
        </w:rPr>
        <w:t xml:space="preserve"> </w:t>
      </w:r>
      <w:r>
        <w:t>were</w:t>
      </w:r>
      <w:r>
        <w:rPr>
          <w:spacing w:val="-4"/>
        </w:rPr>
        <w:t xml:space="preserve"> </w:t>
      </w:r>
      <w:r>
        <w:t>conducted</w:t>
      </w:r>
      <w:r>
        <w:rPr>
          <w:spacing w:val="-4"/>
        </w:rPr>
        <w:t xml:space="preserve"> </w:t>
      </w:r>
      <w:r>
        <w:t>with</w:t>
      </w:r>
      <w:r>
        <w:rPr>
          <w:spacing w:val="-3"/>
        </w:rPr>
        <w:t xml:space="preserve"> </w:t>
      </w:r>
      <w:r>
        <w:t>the</w:t>
      </w:r>
      <w:r>
        <w:rPr>
          <w:spacing w:val="-4"/>
        </w:rPr>
        <w:t xml:space="preserve"> </w:t>
      </w:r>
      <w:r>
        <w:t>Speaker</w:t>
      </w:r>
      <w:r>
        <w:rPr>
          <w:spacing w:val="-3"/>
        </w:rPr>
        <w:t xml:space="preserve"> </w:t>
      </w:r>
      <w:r>
        <w:t>and</w:t>
      </w:r>
      <w:r>
        <w:rPr>
          <w:spacing w:val="-3"/>
        </w:rPr>
        <w:t xml:space="preserve"> </w:t>
      </w:r>
      <w:r>
        <w:t>the</w:t>
      </w:r>
      <w:r>
        <w:rPr>
          <w:spacing w:val="-4"/>
        </w:rPr>
        <w:t xml:space="preserve"> </w:t>
      </w:r>
      <w:r>
        <w:t>acting</w:t>
      </w:r>
      <w:r>
        <w:rPr>
          <w:spacing w:val="-3"/>
        </w:rPr>
        <w:t xml:space="preserve"> </w:t>
      </w:r>
      <w:r>
        <w:t>Clerk</w:t>
      </w:r>
      <w:r>
        <w:rPr>
          <w:spacing w:val="-3"/>
        </w:rPr>
        <w:t xml:space="preserve"> </w:t>
      </w:r>
      <w:r>
        <w:t>of</w:t>
      </w:r>
      <w:r>
        <w:rPr>
          <w:spacing w:val="-3"/>
        </w:rPr>
        <w:t xml:space="preserve"> </w:t>
      </w:r>
      <w:r>
        <w:t>the</w:t>
      </w:r>
      <w:r>
        <w:rPr>
          <w:spacing w:val="-4"/>
        </w:rPr>
        <w:t xml:space="preserve"> </w:t>
      </w:r>
      <w:r>
        <w:t>Assembly.</w:t>
      </w:r>
    </w:p>
    <w:p w:rsidR="006C17CB" w:rsidRDefault="0030091C">
      <w:pPr>
        <w:pStyle w:val="ListParagraph"/>
        <w:numPr>
          <w:ilvl w:val="1"/>
          <w:numId w:val="22"/>
        </w:numPr>
        <w:tabs>
          <w:tab w:val="left" w:pos="608"/>
        </w:tabs>
        <w:spacing w:before="44" w:line="189" w:lineRule="auto"/>
        <w:ind w:right="1401"/>
      </w:pPr>
      <w:r>
        <w:t>During</w:t>
      </w:r>
      <w:r>
        <w:rPr>
          <w:spacing w:val="-6"/>
        </w:rPr>
        <w:t xml:space="preserve"> </w:t>
      </w:r>
      <w:r>
        <w:t>the</w:t>
      </w:r>
      <w:r>
        <w:rPr>
          <w:spacing w:val="-6"/>
        </w:rPr>
        <w:t xml:space="preserve"> </w:t>
      </w:r>
      <w:r>
        <w:t>visit</w:t>
      </w:r>
      <w:r>
        <w:rPr>
          <w:spacing w:val="-6"/>
        </w:rPr>
        <w:t xml:space="preserve"> </w:t>
      </w:r>
      <w:r>
        <w:t>the</w:t>
      </w:r>
      <w:r>
        <w:rPr>
          <w:spacing w:val="-6"/>
        </w:rPr>
        <w:t xml:space="preserve"> </w:t>
      </w:r>
      <w:r>
        <w:t>Kiribati</w:t>
      </w:r>
      <w:r>
        <w:rPr>
          <w:spacing w:val="-6"/>
        </w:rPr>
        <w:t xml:space="preserve"> </w:t>
      </w:r>
      <w:r>
        <w:t>Speaker</w:t>
      </w:r>
      <w:r>
        <w:rPr>
          <w:spacing w:val="-6"/>
        </w:rPr>
        <w:t xml:space="preserve"> </w:t>
      </w:r>
      <w:r>
        <w:t>was</w:t>
      </w:r>
      <w:r>
        <w:rPr>
          <w:spacing w:val="-6"/>
        </w:rPr>
        <w:t xml:space="preserve"> </w:t>
      </w:r>
      <w:r>
        <w:t>presented</w:t>
      </w:r>
      <w:r>
        <w:rPr>
          <w:spacing w:val="-6"/>
        </w:rPr>
        <w:t xml:space="preserve"> </w:t>
      </w:r>
      <w:r>
        <w:t>with</w:t>
      </w:r>
      <w:r>
        <w:rPr>
          <w:spacing w:val="-6"/>
        </w:rPr>
        <w:t xml:space="preserve"> </w:t>
      </w:r>
      <w:r>
        <w:t>a</w:t>
      </w:r>
      <w:r>
        <w:rPr>
          <w:spacing w:val="-6"/>
        </w:rPr>
        <w:t xml:space="preserve"> </w:t>
      </w:r>
      <w:r>
        <w:t>cheque</w:t>
      </w:r>
      <w:r>
        <w:rPr>
          <w:spacing w:val="-6"/>
        </w:rPr>
        <w:t xml:space="preserve"> </w:t>
      </w:r>
      <w:r>
        <w:t>for</w:t>
      </w:r>
      <w:r>
        <w:rPr>
          <w:spacing w:val="-6"/>
        </w:rPr>
        <w:t xml:space="preserve"> </w:t>
      </w:r>
      <w:r>
        <w:t>$450</w:t>
      </w:r>
      <w:r>
        <w:rPr>
          <w:spacing w:val="-6"/>
        </w:rPr>
        <w:t xml:space="preserve"> </w:t>
      </w:r>
      <w:r>
        <w:t>for</w:t>
      </w:r>
      <w:r>
        <w:rPr>
          <w:spacing w:val="-6"/>
        </w:rPr>
        <w:t xml:space="preserve"> </w:t>
      </w:r>
      <w:r>
        <w:t>a</w:t>
      </w:r>
      <w:r>
        <w:rPr>
          <w:spacing w:val="-6"/>
        </w:rPr>
        <w:t xml:space="preserve"> </w:t>
      </w:r>
      <w:r>
        <w:t>Kiribati</w:t>
      </w:r>
      <w:r>
        <w:rPr>
          <w:spacing w:val="-6"/>
        </w:rPr>
        <w:t xml:space="preserve"> </w:t>
      </w:r>
      <w:r>
        <w:t>charity,</w:t>
      </w:r>
      <w:r>
        <w:rPr>
          <w:spacing w:val="-6"/>
        </w:rPr>
        <w:t xml:space="preserve"> </w:t>
      </w:r>
      <w:r>
        <w:t>which was raised by the Office of the Legislative Assembly Social Club. This continues a practice where the Office’s social club regularly supports charities in</w:t>
      </w:r>
      <w:r>
        <w:rPr>
          <w:spacing w:val="-5"/>
        </w:rPr>
        <w:t xml:space="preserve"> </w:t>
      </w:r>
      <w:r>
        <w:t>Kiribati.</w:t>
      </w:r>
    </w:p>
    <w:p w:rsidR="006C17CB" w:rsidRDefault="0030091C">
      <w:pPr>
        <w:pStyle w:val="ListParagraph"/>
        <w:numPr>
          <w:ilvl w:val="0"/>
          <w:numId w:val="22"/>
        </w:numPr>
        <w:tabs>
          <w:tab w:val="left" w:pos="381"/>
        </w:tabs>
        <w:spacing w:before="44" w:line="189" w:lineRule="auto"/>
        <w:ind w:right="1486"/>
      </w:pPr>
      <w:r>
        <w:t>On</w:t>
      </w:r>
      <w:r>
        <w:rPr>
          <w:spacing w:val="-5"/>
        </w:rPr>
        <w:t xml:space="preserve"> </w:t>
      </w:r>
      <w:r>
        <w:rPr>
          <w:spacing w:val="-4"/>
        </w:rPr>
        <w:t>24</w:t>
      </w:r>
      <w:r>
        <w:rPr>
          <w:spacing w:val="-5"/>
        </w:rPr>
        <w:t xml:space="preserve"> </w:t>
      </w:r>
      <w:r>
        <w:t>November</w:t>
      </w:r>
      <w:r>
        <w:rPr>
          <w:spacing w:val="-5"/>
        </w:rPr>
        <w:t xml:space="preserve"> </w:t>
      </w:r>
      <w:r>
        <w:rPr>
          <w:spacing w:val="-8"/>
        </w:rPr>
        <w:t>2017,</w:t>
      </w:r>
      <w:r>
        <w:rPr>
          <w:spacing w:val="-5"/>
        </w:rPr>
        <w:t xml:space="preserve"> </w:t>
      </w:r>
      <w:r>
        <w:t>the</w:t>
      </w:r>
      <w:r>
        <w:rPr>
          <w:spacing w:val="-5"/>
        </w:rPr>
        <w:t xml:space="preserve"> </w:t>
      </w:r>
      <w:r>
        <w:t>chair</w:t>
      </w:r>
      <w:r>
        <w:rPr>
          <w:spacing w:val="-5"/>
        </w:rPr>
        <w:t xml:space="preserve"> </w:t>
      </w:r>
      <w:r>
        <w:t>of</w:t>
      </w:r>
      <w:r>
        <w:rPr>
          <w:spacing w:val="-5"/>
        </w:rPr>
        <w:t xml:space="preserve"> </w:t>
      </w:r>
      <w:r>
        <w:t>the</w:t>
      </w:r>
      <w:r>
        <w:rPr>
          <w:spacing w:val="-5"/>
        </w:rPr>
        <w:t xml:space="preserve"> </w:t>
      </w:r>
      <w:r>
        <w:t>Kiribati</w:t>
      </w:r>
      <w:r>
        <w:rPr>
          <w:spacing w:val="-5"/>
        </w:rPr>
        <w:t xml:space="preserve"> </w:t>
      </w:r>
      <w:r>
        <w:t>Public</w:t>
      </w:r>
      <w:r>
        <w:rPr>
          <w:spacing w:val="-5"/>
        </w:rPr>
        <w:t xml:space="preserve"> </w:t>
      </w:r>
      <w:r>
        <w:t>Accounts</w:t>
      </w:r>
      <w:r>
        <w:rPr>
          <w:spacing w:val="-5"/>
        </w:rPr>
        <w:t xml:space="preserve"> </w:t>
      </w:r>
      <w:r>
        <w:t>Committee</w:t>
      </w:r>
      <w:r>
        <w:rPr>
          <w:spacing w:val="-5"/>
        </w:rPr>
        <w:t xml:space="preserve"> </w:t>
      </w:r>
      <w:r>
        <w:t>visited</w:t>
      </w:r>
      <w:r>
        <w:rPr>
          <w:spacing w:val="-5"/>
        </w:rPr>
        <w:t xml:space="preserve"> </w:t>
      </w:r>
      <w:r>
        <w:t>the</w:t>
      </w:r>
      <w:r>
        <w:rPr>
          <w:spacing w:val="-5"/>
        </w:rPr>
        <w:t xml:space="preserve"> </w:t>
      </w:r>
      <w:r>
        <w:t>Assembly</w:t>
      </w:r>
      <w:r>
        <w:rPr>
          <w:spacing w:val="-5"/>
        </w:rPr>
        <w:t xml:space="preserve"> </w:t>
      </w:r>
      <w:r>
        <w:t>as</w:t>
      </w:r>
      <w:r>
        <w:rPr>
          <w:spacing w:val="-5"/>
        </w:rPr>
        <w:t xml:space="preserve"> </w:t>
      </w:r>
      <w:r>
        <w:t>part of a delegation of Deputy Speakers of Pacific Parliaments. The visit was part of the Commonwealth Parliaments Inter-Parliamentary Study</w:t>
      </w:r>
      <w:r>
        <w:rPr>
          <w:spacing w:val="-2"/>
        </w:rPr>
        <w:t xml:space="preserve"> </w:t>
      </w:r>
      <w:r>
        <w:t>Program.</w:t>
      </w:r>
    </w:p>
    <w:p w:rsidR="006C17CB" w:rsidRDefault="0030091C">
      <w:pPr>
        <w:pStyle w:val="ListParagraph"/>
        <w:numPr>
          <w:ilvl w:val="0"/>
          <w:numId w:val="22"/>
        </w:numPr>
        <w:tabs>
          <w:tab w:val="left" w:pos="381"/>
        </w:tabs>
        <w:spacing w:before="44" w:line="189" w:lineRule="auto"/>
        <w:ind w:right="1264"/>
      </w:pPr>
      <w:r>
        <w:t>Ongoing</w:t>
      </w:r>
      <w:r>
        <w:rPr>
          <w:spacing w:val="-5"/>
        </w:rPr>
        <w:t xml:space="preserve"> </w:t>
      </w:r>
      <w:r>
        <w:t>procedural</w:t>
      </w:r>
      <w:r>
        <w:rPr>
          <w:spacing w:val="-5"/>
        </w:rPr>
        <w:t xml:space="preserve"> </w:t>
      </w:r>
      <w:r>
        <w:t>advice</w:t>
      </w:r>
      <w:r>
        <w:rPr>
          <w:spacing w:val="-6"/>
        </w:rPr>
        <w:t xml:space="preserve"> </w:t>
      </w:r>
      <w:r>
        <w:t>was</w:t>
      </w:r>
      <w:r>
        <w:rPr>
          <w:spacing w:val="-5"/>
        </w:rPr>
        <w:t xml:space="preserve"> </w:t>
      </w:r>
      <w:r>
        <w:t>sought</w:t>
      </w:r>
      <w:r>
        <w:rPr>
          <w:spacing w:val="-5"/>
        </w:rPr>
        <w:t xml:space="preserve"> </w:t>
      </w:r>
      <w:r>
        <w:t>and</w:t>
      </w:r>
      <w:r>
        <w:rPr>
          <w:spacing w:val="-5"/>
        </w:rPr>
        <w:t xml:space="preserve"> </w:t>
      </w:r>
      <w:r>
        <w:t>provided</w:t>
      </w:r>
      <w:r>
        <w:rPr>
          <w:spacing w:val="-6"/>
        </w:rPr>
        <w:t xml:space="preserve"> </w:t>
      </w:r>
      <w:r>
        <w:t>during</w:t>
      </w:r>
      <w:r>
        <w:rPr>
          <w:spacing w:val="-5"/>
        </w:rPr>
        <w:t xml:space="preserve"> </w:t>
      </w:r>
      <w:r>
        <w:t>the</w:t>
      </w:r>
      <w:r>
        <w:rPr>
          <w:spacing w:val="-6"/>
        </w:rPr>
        <w:t xml:space="preserve"> </w:t>
      </w:r>
      <w:r>
        <w:t>year</w:t>
      </w:r>
      <w:r>
        <w:rPr>
          <w:spacing w:val="-5"/>
        </w:rPr>
        <w:t xml:space="preserve"> </w:t>
      </w:r>
      <w:r>
        <w:t>by</w:t>
      </w:r>
      <w:r>
        <w:rPr>
          <w:spacing w:val="-5"/>
        </w:rPr>
        <w:t xml:space="preserve"> </w:t>
      </w:r>
      <w:r>
        <w:t>the</w:t>
      </w:r>
      <w:r>
        <w:rPr>
          <w:spacing w:val="-6"/>
        </w:rPr>
        <w:t xml:space="preserve"> </w:t>
      </w:r>
      <w:r>
        <w:t>former</w:t>
      </w:r>
      <w:r>
        <w:rPr>
          <w:spacing w:val="-5"/>
        </w:rPr>
        <w:t xml:space="preserve"> </w:t>
      </w:r>
      <w:r>
        <w:t>Clerk</w:t>
      </w:r>
      <w:r>
        <w:rPr>
          <w:spacing w:val="-5"/>
        </w:rPr>
        <w:t xml:space="preserve"> </w:t>
      </w:r>
      <w:r>
        <w:t>of</w:t>
      </w:r>
      <w:r>
        <w:rPr>
          <w:spacing w:val="-5"/>
        </w:rPr>
        <w:t xml:space="preserve"> </w:t>
      </w:r>
      <w:r>
        <w:t>the</w:t>
      </w:r>
      <w:r>
        <w:rPr>
          <w:spacing w:val="-6"/>
        </w:rPr>
        <w:t xml:space="preserve"> </w:t>
      </w:r>
      <w:r>
        <w:t>Assembly, Mark McRae OAM, and other officers of the</w:t>
      </w:r>
      <w:r>
        <w:rPr>
          <w:spacing w:val="-6"/>
        </w:rPr>
        <w:t xml:space="preserve"> </w:t>
      </w:r>
      <w:r>
        <w:t>Assembly.</w:t>
      </w:r>
    </w:p>
    <w:p w:rsidR="006C17CB" w:rsidRDefault="006C17CB">
      <w:pPr>
        <w:spacing w:line="189" w:lineRule="auto"/>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0"/>
        <w:rPr>
          <w:sz w:val="16"/>
        </w:rPr>
      </w:pPr>
    </w:p>
    <w:p w:rsidR="006C17CB" w:rsidRDefault="0030091C">
      <w:pPr>
        <w:spacing w:before="136"/>
        <w:ind w:left="153"/>
        <w:rPr>
          <w:rFonts w:ascii="Montserrat-SemiBoldItalic"/>
          <w:b/>
          <w:i/>
          <w:sz w:val="20"/>
        </w:rPr>
      </w:pPr>
      <w:bookmarkStart w:id="46" w:name="The_ACT_register_of_lobbyists"/>
      <w:bookmarkStart w:id="47" w:name="_bookmark12"/>
      <w:bookmarkEnd w:id="46"/>
      <w:bookmarkEnd w:id="47"/>
      <w:r>
        <w:rPr>
          <w:rFonts w:ascii="Montserrat-SemiBoldItalic"/>
          <w:b/>
          <w:i/>
          <w:sz w:val="20"/>
        </w:rPr>
        <w:t>Australasian Study of Parliament Group (ASPG)</w:t>
      </w:r>
    </w:p>
    <w:p w:rsidR="006C17CB" w:rsidRDefault="0030091C">
      <w:pPr>
        <w:pStyle w:val="BodyText"/>
        <w:spacing w:before="166" w:line="189" w:lineRule="auto"/>
        <w:ind w:left="153" w:right="1794"/>
        <w:jc w:val="both"/>
      </w:pPr>
      <w:r>
        <w:t>The</w:t>
      </w:r>
      <w:r>
        <w:rPr>
          <w:spacing w:val="-4"/>
        </w:rPr>
        <w:t xml:space="preserve"> </w:t>
      </w:r>
      <w:r>
        <w:t>Office</w:t>
      </w:r>
      <w:r>
        <w:rPr>
          <w:spacing w:val="-4"/>
        </w:rPr>
        <w:t xml:space="preserve"> </w:t>
      </w:r>
      <w:r>
        <w:t>has</w:t>
      </w:r>
      <w:r>
        <w:rPr>
          <w:spacing w:val="-3"/>
        </w:rPr>
        <w:t xml:space="preserve"> </w:t>
      </w:r>
      <w:r>
        <w:t>continued</w:t>
      </w:r>
      <w:r>
        <w:rPr>
          <w:spacing w:val="-4"/>
        </w:rPr>
        <w:t xml:space="preserve"> </w:t>
      </w:r>
      <w:r>
        <w:t>to</w:t>
      </w:r>
      <w:r>
        <w:rPr>
          <w:spacing w:val="-4"/>
        </w:rPr>
        <w:t xml:space="preserve"> </w:t>
      </w:r>
      <w:r>
        <w:t>work</w:t>
      </w:r>
      <w:r>
        <w:rPr>
          <w:spacing w:val="-3"/>
        </w:rPr>
        <w:t xml:space="preserve"> </w:t>
      </w:r>
      <w:r>
        <w:t>with</w:t>
      </w:r>
      <w:r>
        <w:rPr>
          <w:spacing w:val="-3"/>
        </w:rPr>
        <w:t xml:space="preserve"> </w:t>
      </w:r>
      <w:r>
        <w:t>the</w:t>
      </w:r>
      <w:r>
        <w:rPr>
          <w:spacing w:val="-4"/>
        </w:rPr>
        <w:t xml:space="preserve"> </w:t>
      </w:r>
      <w:r>
        <w:t>Department</w:t>
      </w:r>
      <w:r>
        <w:rPr>
          <w:spacing w:val="-3"/>
        </w:rPr>
        <w:t xml:space="preserve"> </w:t>
      </w:r>
      <w:r>
        <w:t>of</w:t>
      </w:r>
      <w:r>
        <w:rPr>
          <w:spacing w:val="-3"/>
        </w:rPr>
        <w:t xml:space="preserve"> </w:t>
      </w:r>
      <w:r>
        <w:t>the</w:t>
      </w:r>
      <w:r>
        <w:rPr>
          <w:spacing w:val="-4"/>
        </w:rPr>
        <w:t xml:space="preserve"> </w:t>
      </w:r>
      <w:r>
        <w:rPr>
          <w:spacing w:val="-3"/>
        </w:rPr>
        <w:t xml:space="preserve">Senate, </w:t>
      </w:r>
      <w:r>
        <w:t>the</w:t>
      </w:r>
      <w:r>
        <w:rPr>
          <w:spacing w:val="-4"/>
        </w:rPr>
        <w:t xml:space="preserve"> </w:t>
      </w:r>
      <w:r>
        <w:t>Department</w:t>
      </w:r>
      <w:r>
        <w:rPr>
          <w:spacing w:val="-3"/>
        </w:rPr>
        <w:t xml:space="preserve"> </w:t>
      </w:r>
      <w:r>
        <w:t>of</w:t>
      </w:r>
      <w:r>
        <w:rPr>
          <w:spacing w:val="-3"/>
        </w:rPr>
        <w:t xml:space="preserve"> </w:t>
      </w:r>
      <w:r>
        <w:t>the</w:t>
      </w:r>
      <w:r>
        <w:rPr>
          <w:spacing w:val="-4"/>
        </w:rPr>
        <w:t xml:space="preserve"> </w:t>
      </w:r>
      <w:r>
        <w:t>House</w:t>
      </w:r>
      <w:r>
        <w:rPr>
          <w:spacing w:val="-4"/>
        </w:rPr>
        <w:t xml:space="preserve"> </w:t>
      </w:r>
      <w:r>
        <w:t xml:space="preserve">of Representatives and, from March </w:t>
      </w:r>
      <w:r>
        <w:rPr>
          <w:spacing w:val="-3"/>
        </w:rPr>
        <w:t xml:space="preserve">2018, </w:t>
      </w:r>
      <w:r>
        <w:t>the Department of Parliamentary Services to support the ACT chapter of the</w:t>
      </w:r>
      <w:r>
        <w:rPr>
          <w:spacing w:val="-2"/>
        </w:rPr>
        <w:t xml:space="preserve"> </w:t>
      </w:r>
      <w:r>
        <w:t>ASPG.</w:t>
      </w:r>
    </w:p>
    <w:p w:rsidR="006C17CB" w:rsidRDefault="0030091C">
      <w:pPr>
        <w:pStyle w:val="BodyText"/>
        <w:spacing w:before="112" w:line="189" w:lineRule="auto"/>
        <w:ind w:left="153" w:right="1181"/>
      </w:pPr>
      <w:r>
        <w:t>On 15 March 2018, the Assembly hosted an event to discuss the representation of women in parliaments and why the ACT, with a strong history of representation of women, is different from other jurisdictions. The event was facilitated by Virginia Haussegger AM and featured three MLAs: Tara Cheyne, Giulia Jones, and Caroline Le Couteur.</w:t>
      </w:r>
    </w:p>
    <w:p w:rsidR="006C17CB" w:rsidRDefault="0030091C">
      <w:pPr>
        <w:pStyle w:val="BodyText"/>
        <w:spacing w:before="111" w:line="189" w:lineRule="auto"/>
        <w:ind w:left="153" w:right="1177"/>
      </w:pPr>
      <w:r>
        <w:t xml:space="preserve">Three staff attended the </w:t>
      </w:r>
      <w:r>
        <w:rPr>
          <w:spacing w:val="-3"/>
        </w:rPr>
        <w:t xml:space="preserve">2018 </w:t>
      </w:r>
      <w:r>
        <w:t xml:space="preserve">ASPG annual conference </w:t>
      </w:r>
      <w:r>
        <w:rPr>
          <w:spacing w:val="-6"/>
        </w:rPr>
        <w:t xml:space="preserve">(27-29 </w:t>
      </w:r>
      <w:r>
        <w:t xml:space="preserve">September </w:t>
      </w:r>
      <w:r>
        <w:rPr>
          <w:spacing w:val="-4"/>
        </w:rPr>
        <w:t xml:space="preserve">2017) </w:t>
      </w:r>
      <w:r>
        <w:t xml:space="preserve">in Brisbane, which explored the theme of ‘Trust in Parliament in a post-truth </w:t>
      </w:r>
      <w:r>
        <w:rPr>
          <w:spacing w:val="-4"/>
        </w:rPr>
        <w:t>world’.</w:t>
      </w:r>
    </w:p>
    <w:p w:rsidR="006C17CB" w:rsidRDefault="0030091C">
      <w:pPr>
        <w:pStyle w:val="BodyText"/>
        <w:spacing w:before="112" w:line="189" w:lineRule="auto"/>
        <w:ind w:left="153" w:right="1464"/>
      </w:pPr>
      <w:r>
        <w:t>The Office’s Chief Finance Officer continued to serve as Treasurer of the ASPG. The Director, Office of the Clerk, remains a member of the group executive.</w:t>
      </w:r>
    </w:p>
    <w:p w:rsidR="006C17CB" w:rsidRDefault="0030091C">
      <w:pPr>
        <w:pStyle w:val="BodyText"/>
        <w:spacing w:before="59"/>
        <w:ind w:left="153"/>
      </w:pPr>
      <w:r>
        <w:t>The Office will contribute to the organisation of the 2019 ASPG conference, to be hosted in Canberra.</w:t>
      </w:r>
    </w:p>
    <w:p w:rsidR="006C17CB" w:rsidRDefault="006C17CB">
      <w:pPr>
        <w:pStyle w:val="BodyText"/>
        <w:spacing w:before="10"/>
      </w:pPr>
    </w:p>
    <w:p w:rsidR="006C17CB" w:rsidRDefault="0030091C">
      <w:pPr>
        <w:ind w:left="153"/>
        <w:rPr>
          <w:rFonts w:ascii="Montserrat-SemiBoldItalic"/>
          <w:b/>
          <w:i/>
          <w:sz w:val="20"/>
        </w:rPr>
      </w:pPr>
      <w:r>
        <w:rPr>
          <w:rFonts w:ascii="Montserrat-SemiBoldItalic"/>
          <w:b/>
          <w:i/>
          <w:sz w:val="20"/>
        </w:rPr>
        <w:t>Participation in Australia and New Zealand Association of Clerks-at-the-Table (ANZACATT)</w:t>
      </w:r>
    </w:p>
    <w:p w:rsidR="006C17CB" w:rsidRDefault="0030091C">
      <w:pPr>
        <w:pStyle w:val="BodyText"/>
        <w:spacing w:before="166" w:line="189" w:lineRule="auto"/>
        <w:ind w:left="153" w:right="1156"/>
      </w:pPr>
      <w:r>
        <w:t xml:space="preserve">The Australia and New Zealand Association of </w:t>
      </w:r>
      <w:r>
        <w:rPr>
          <w:spacing w:val="-7"/>
        </w:rPr>
        <w:t xml:space="preserve">Clerks-at-the-Table </w:t>
      </w:r>
      <w:r>
        <w:t>(ANZACATT) comprises members from each house</w:t>
      </w:r>
      <w:r>
        <w:rPr>
          <w:spacing w:val="-8"/>
        </w:rPr>
        <w:t xml:space="preserve"> </w:t>
      </w:r>
      <w:r>
        <w:t>of</w:t>
      </w:r>
      <w:r>
        <w:rPr>
          <w:spacing w:val="-7"/>
        </w:rPr>
        <w:t xml:space="preserve"> </w:t>
      </w:r>
      <w:r>
        <w:t>parliament</w:t>
      </w:r>
      <w:r>
        <w:rPr>
          <w:spacing w:val="-7"/>
        </w:rPr>
        <w:t xml:space="preserve"> </w:t>
      </w:r>
      <w:r>
        <w:t>in</w:t>
      </w:r>
      <w:r>
        <w:rPr>
          <w:spacing w:val="-7"/>
        </w:rPr>
        <w:t xml:space="preserve"> </w:t>
      </w:r>
      <w:r>
        <w:t>Australia</w:t>
      </w:r>
      <w:r>
        <w:rPr>
          <w:spacing w:val="-7"/>
        </w:rPr>
        <w:t xml:space="preserve"> </w:t>
      </w:r>
      <w:r>
        <w:t>and</w:t>
      </w:r>
      <w:r>
        <w:rPr>
          <w:spacing w:val="-7"/>
        </w:rPr>
        <w:t xml:space="preserve"> </w:t>
      </w:r>
      <w:r>
        <w:t>New</w:t>
      </w:r>
      <w:r>
        <w:rPr>
          <w:spacing w:val="-7"/>
        </w:rPr>
        <w:t xml:space="preserve"> </w:t>
      </w:r>
      <w:r>
        <w:t>Zealand.</w:t>
      </w:r>
      <w:r>
        <w:rPr>
          <w:spacing w:val="-7"/>
        </w:rPr>
        <w:t xml:space="preserve"> </w:t>
      </w:r>
      <w:r>
        <w:t>ANZACATT</w:t>
      </w:r>
      <w:r>
        <w:rPr>
          <w:spacing w:val="-8"/>
        </w:rPr>
        <w:t xml:space="preserve"> </w:t>
      </w:r>
      <w:r>
        <w:t>compiles</w:t>
      </w:r>
      <w:r>
        <w:rPr>
          <w:spacing w:val="-7"/>
        </w:rPr>
        <w:t xml:space="preserve"> </w:t>
      </w:r>
      <w:r>
        <w:t>two</w:t>
      </w:r>
      <w:r>
        <w:rPr>
          <w:spacing w:val="-8"/>
        </w:rPr>
        <w:t xml:space="preserve"> </w:t>
      </w:r>
      <w:r>
        <w:t>regular</w:t>
      </w:r>
      <w:r>
        <w:rPr>
          <w:spacing w:val="-7"/>
        </w:rPr>
        <w:t xml:space="preserve"> </w:t>
      </w:r>
      <w:r>
        <w:t>publications:</w:t>
      </w:r>
      <w:r>
        <w:rPr>
          <w:spacing w:val="-7"/>
        </w:rPr>
        <w:t xml:space="preserve"> </w:t>
      </w:r>
      <w:r>
        <w:t>a</w:t>
      </w:r>
      <w:r>
        <w:rPr>
          <w:spacing w:val="-7"/>
        </w:rPr>
        <w:t xml:space="preserve"> </w:t>
      </w:r>
      <w:r>
        <w:t xml:space="preserve">half-yearly bulletin called </w:t>
      </w:r>
      <w:r>
        <w:rPr>
          <w:rFonts w:ascii="Calibri"/>
          <w:i/>
          <w:spacing w:val="-5"/>
        </w:rPr>
        <w:t>Parliament Matters</w:t>
      </w:r>
      <w:r>
        <w:rPr>
          <w:spacing w:val="-5"/>
        </w:rPr>
        <w:t xml:space="preserve">, </w:t>
      </w:r>
      <w:r>
        <w:t xml:space="preserve">and the </w:t>
      </w:r>
      <w:r>
        <w:rPr>
          <w:rFonts w:ascii="Calibri"/>
          <w:i/>
          <w:spacing w:val="-7"/>
        </w:rPr>
        <w:t xml:space="preserve">Table </w:t>
      </w:r>
      <w:r>
        <w:rPr>
          <w:rFonts w:ascii="Calibri"/>
          <w:i/>
          <w:spacing w:val="-8"/>
        </w:rPr>
        <w:t xml:space="preserve">Talk </w:t>
      </w:r>
      <w:r>
        <w:rPr>
          <w:spacing w:val="-3"/>
        </w:rPr>
        <w:t xml:space="preserve">newsletter. </w:t>
      </w:r>
      <w:r>
        <w:t>Each parliamentary jurisdiction contributes to these</w:t>
      </w:r>
      <w:r>
        <w:rPr>
          <w:spacing w:val="-3"/>
        </w:rPr>
        <w:t xml:space="preserve"> </w:t>
      </w:r>
      <w:r>
        <w:t>publications.</w:t>
      </w:r>
    </w:p>
    <w:p w:rsidR="006C17CB" w:rsidRDefault="0030091C" w:rsidP="003F767B">
      <w:pPr>
        <w:pStyle w:val="BodyText"/>
        <w:spacing w:before="111" w:line="189" w:lineRule="auto"/>
        <w:ind w:left="153" w:right="1177"/>
      </w:pPr>
      <w:r>
        <w:t>ANZACATT</w:t>
      </w:r>
      <w:r>
        <w:rPr>
          <w:spacing w:val="-7"/>
        </w:rPr>
        <w:t xml:space="preserve"> </w:t>
      </w:r>
      <w:r>
        <w:t>also</w:t>
      </w:r>
      <w:r>
        <w:rPr>
          <w:spacing w:val="-18"/>
        </w:rPr>
        <w:t xml:space="preserve"> </w:t>
      </w:r>
      <w:r>
        <w:t>organises</w:t>
      </w:r>
      <w:r>
        <w:rPr>
          <w:spacing w:val="-18"/>
        </w:rPr>
        <w:t xml:space="preserve"> </w:t>
      </w:r>
      <w:r>
        <w:t>an</w:t>
      </w:r>
      <w:r>
        <w:rPr>
          <w:spacing w:val="-18"/>
        </w:rPr>
        <w:t xml:space="preserve"> </w:t>
      </w:r>
      <w:r>
        <w:t>annual</w:t>
      </w:r>
      <w:r>
        <w:rPr>
          <w:spacing w:val="-18"/>
        </w:rPr>
        <w:t xml:space="preserve"> </w:t>
      </w:r>
      <w:r>
        <w:t>professional</w:t>
      </w:r>
      <w:r>
        <w:rPr>
          <w:spacing w:val="-18"/>
        </w:rPr>
        <w:t xml:space="preserve"> </w:t>
      </w:r>
      <w:r>
        <w:t>development</w:t>
      </w:r>
      <w:r>
        <w:rPr>
          <w:spacing w:val="-18"/>
        </w:rPr>
        <w:t xml:space="preserve"> </w:t>
      </w:r>
      <w:r>
        <w:rPr>
          <w:spacing w:val="-4"/>
        </w:rPr>
        <w:t>seminar.</w:t>
      </w:r>
      <w:r>
        <w:rPr>
          <w:spacing w:val="-6"/>
        </w:rPr>
        <w:t xml:space="preserve"> </w:t>
      </w:r>
      <w:r>
        <w:rPr>
          <w:spacing w:val="-11"/>
        </w:rPr>
        <w:t>Two</w:t>
      </w:r>
      <w:r>
        <w:rPr>
          <w:spacing w:val="-18"/>
        </w:rPr>
        <w:t xml:space="preserve"> </w:t>
      </w:r>
      <w:r>
        <w:t>staff</w:t>
      </w:r>
      <w:r>
        <w:rPr>
          <w:spacing w:val="-6"/>
        </w:rPr>
        <w:t xml:space="preserve"> </w:t>
      </w:r>
      <w:r>
        <w:t>from</w:t>
      </w:r>
      <w:r>
        <w:rPr>
          <w:spacing w:val="-7"/>
        </w:rPr>
        <w:t xml:space="preserve"> </w:t>
      </w:r>
      <w:r>
        <w:t>the</w:t>
      </w:r>
      <w:r>
        <w:rPr>
          <w:spacing w:val="-7"/>
        </w:rPr>
        <w:t xml:space="preserve"> </w:t>
      </w:r>
      <w:r>
        <w:t>Office</w:t>
      </w:r>
      <w:r>
        <w:rPr>
          <w:spacing w:val="-7"/>
        </w:rPr>
        <w:t xml:space="preserve"> </w:t>
      </w:r>
      <w:r>
        <w:t>attended</w:t>
      </w:r>
      <w:r>
        <w:rPr>
          <w:spacing w:val="-7"/>
        </w:rPr>
        <w:t xml:space="preserve"> </w:t>
      </w:r>
      <w:r>
        <w:t xml:space="preserve">the January </w:t>
      </w:r>
      <w:r>
        <w:rPr>
          <w:spacing w:val="-6"/>
        </w:rPr>
        <w:t xml:space="preserve">2018 </w:t>
      </w:r>
      <w:r>
        <w:t xml:space="preserve">seminar in Perth, hosted by the Western Australian Parliament. The theme of the seminar was ‘Futureproofing the Parliament: staying relevant, defending parliamentary rights, and managing challenges and opportunities in the digital </w:t>
      </w:r>
      <w:r>
        <w:rPr>
          <w:spacing w:val="-5"/>
        </w:rPr>
        <w:t xml:space="preserve">age’. </w:t>
      </w:r>
      <w:r>
        <w:t>The program explored the challenges faced by legislatures with the introduction</w:t>
      </w:r>
      <w:r>
        <w:rPr>
          <w:spacing w:val="-5"/>
        </w:rPr>
        <w:t xml:space="preserve"> </w:t>
      </w:r>
      <w:r>
        <w:t>of</w:t>
      </w:r>
      <w:r>
        <w:rPr>
          <w:spacing w:val="-5"/>
        </w:rPr>
        <w:t xml:space="preserve"> </w:t>
      </w:r>
      <w:r>
        <w:t>new</w:t>
      </w:r>
      <w:r>
        <w:rPr>
          <w:spacing w:val="-5"/>
        </w:rPr>
        <w:t xml:space="preserve"> </w:t>
      </w:r>
      <w:r>
        <w:t>technologies</w:t>
      </w:r>
      <w:r>
        <w:rPr>
          <w:spacing w:val="-5"/>
        </w:rPr>
        <w:t xml:space="preserve"> </w:t>
      </w:r>
      <w:r>
        <w:t>and</w:t>
      </w:r>
      <w:r>
        <w:rPr>
          <w:spacing w:val="-15"/>
        </w:rPr>
        <w:t xml:space="preserve"> </w:t>
      </w:r>
      <w:r>
        <w:t>media</w:t>
      </w:r>
      <w:r>
        <w:rPr>
          <w:spacing w:val="-15"/>
        </w:rPr>
        <w:t xml:space="preserve"> </w:t>
      </w:r>
      <w:r>
        <w:t>platforms</w:t>
      </w:r>
      <w:r>
        <w:rPr>
          <w:spacing w:val="-15"/>
        </w:rPr>
        <w:t xml:space="preserve"> </w:t>
      </w:r>
      <w:r>
        <w:t>and</w:t>
      </w:r>
      <w:r>
        <w:rPr>
          <w:spacing w:val="-15"/>
        </w:rPr>
        <w:t xml:space="preserve"> </w:t>
      </w:r>
      <w:r>
        <w:t>how</w:t>
      </w:r>
      <w:r>
        <w:rPr>
          <w:spacing w:val="-15"/>
        </w:rPr>
        <w:t xml:space="preserve"> </w:t>
      </w:r>
      <w:r>
        <w:t>these</w:t>
      </w:r>
      <w:r>
        <w:rPr>
          <w:spacing w:val="-16"/>
        </w:rPr>
        <w:t xml:space="preserve"> </w:t>
      </w:r>
      <w:r>
        <w:t>may</w:t>
      </w:r>
      <w:r>
        <w:rPr>
          <w:spacing w:val="-15"/>
        </w:rPr>
        <w:t xml:space="preserve"> </w:t>
      </w:r>
      <w:r>
        <w:t>impact</w:t>
      </w:r>
      <w:r>
        <w:rPr>
          <w:spacing w:val="-15"/>
        </w:rPr>
        <w:t xml:space="preserve"> </w:t>
      </w:r>
      <w:r>
        <w:t>the</w:t>
      </w:r>
      <w:r>
        <w:rPr>
          <w:spacing w:val="-16"/>
        </w:rPr>
        <w:t xml:space="preserve"> </w:t>
      </w:r>
      <w:r>
        <w:t>work</w:t>
      </w:r>
      <w:r>
        <w:rPr>
          <w:spacing w:val="-15"/>
        </w:rPr>
        <w:t xml:space="preserve"> </w:t>
      </w:r>
      <w:r>
        <w:t>of</w:t>
      </w:r>
      <w:r>
        <w:rPr>
          <w:spacing w:val="-15"/>
        </w:rPr>
        <w:t xml:space="preserve"> </w:t>
      </w:r>
      <w:r>
        <w:t>parliaments.</w:t>
      </w:r>
      <w:r w:rsidR="003F767B">
        <w:t xml:space="preserve"> </w:t>
      </w:r>
      <w:r>
        <w:t>The</w:t>
      </w:r>
      <w:r>
        <w:rPr>
          <w:spacing w:val="-17"/>
        </w:rPr>
        <w:t xml:space="preserve"> </w:t>
      </w:r>
      <w:r>
        <w:t>seminar</w:t>
      </w:r>
      <w:r>
        <w:rPr>
          <w:spacing w:val="-16"/>
        </w:rPr>
        <w:t xml:space="preserve"> </w:t>
      </w:r>
      <w:r>
        <w:t>was</w:t>
      </w:r>
      <w:r>
        <w:rPr>
          <w:spacing w:val="-16"/>
        </w:rPr>
        <w:t xml:space="preserve"> </w:t>
      </w:r>
      <w:r>
        <w:t>attended</w:t>
      </w:r>
      <w:r>
        <w:rPr>
          <w:spacing w:val="-17"/>
        </w:rPr>
        <w:t xml:space="preserve"> </w:t>
      </w:r>
      <w:r>
        <w:t>by</w:t>
      </w:r>
      <w:r>
        <w:rPr>
          <w:spacing w:val="-16"/>
        </w:rPr>
        <w:t xml:space="preserve"> </w:t>
      </w:r>
      <w:r>
        <w:t>staff</w:t>
      </w:r>
      <w:r>
        <w:rPr>
          <w:spacing w:val="-6"/>
        </w:rPr>
        <w:t xml:space="preserve"> </w:t>
      </w:r>
      <w:r>
        <w:t>from</w:t>
      </w:r>
      <w:r>
        <w:rPr>
          <w:spacing w:val="-7"/>
        </w:rPr>
        <w:t xml:space="preserve"> </w:t>
      </w:r>
      <w:r>
        <w:t>all</w:t>
      </w:r>
      <w:r>
        <w:rPr>
          <w:spacing w:val="-6"/>
        </w:rPr>
        <w:t xml:space="preserve"> </w:t>
      </w:r>
      <w:r>
        <w:t>Australian</w:t>
      </w:r>
      <w:r>
        <w:rPr>
          <w:spacing w:val="-6"/>
        </w:rPr>
        <w:t xml:space="preserve"> </w:t>
      </w:r>
      <w:r>
        <w:t>parliaments,</w:t>
      </w:r>
      <w:r>
        <w:rPr>
          <w:spacing w:val="-6"/>
        </w:rPr>
        <w:t xml:space="preserve"> </w:t>
      </w:r>
      <w:r>
        <w:t>as</w:t>
      </w:r>
      <w:r>
        <w:rPr>
          <w:spacing w:val="-6"/>
        </w:rPr>
        <w:t xml:space="preserve"> </w:t>
      </w:r>
      <w:r>
        <w:t>well</w:t>
      </w:r>
      <w:r>
        <w:rPr>
          <w:spacing w:val="-6"/>
        </w:rPr>
        <w:t xml:space="preserve"> </w:t>
      </w:r>
      <w:r>
        <w:t>as</w:t>
      </w:r>
      <w:r>
        <w:rPr>
          <w:spacing w:val="-6"/>
        </w:rPr>
        <w:t xml:space="preserve"> </w:t>
      </w:r>
      <w:r>
        <w:t>parliamentary</w:t>
      </w:r>
      <w:r>
        <w:rPr>
          <w:spacing w:val="-6"/>
        </w:rPr>
        <w:t xml:space="preserve"> </w:t>
      </w:r>
      <w:r>
        <w:t>staff</w:t>
      </w:r>
      <w:r>
        <w:rPr>
          <w:spacing w:val="-6"/>
        </w:rPr>
        <w:t xml:space="preserve"> </w:t>
      </w:r>
      <w:r>
        <w:t>from</w:t>
      </w:r>
      <w:r>
        <w:rPr>
          <w:spacing w:val="-7"/>
        </w:rPr>
        <w:t xml:space="preserve"> </w:t>
      </w:r>
      <w:r>
        <w:t>New Zealand, Canada, the United Kingdom and the United</w:t>
      </w:r>
      <w:r>
        <w:rPr>
          <w:spacing w:val="-11"/>
        </w:rPr>
        <w:t xml:space="preserve"> </w:t>
      </w:r>
      <w:r>
        <w:t>States.</w:t>
      </w:r>
    </w:p>
    <w:p w:rsidR="006C17CB" w:rsidRDefault="006C17CB">
      <w:pPr>
        <w:pStyle w:val="BodyText"/>
        <w:spacing w:before="9"/>
        <w:rPr>
          <w:sz w:val="19"/>
        </w:rPr>
      </w:pPr>
    </w:p>
    <w:p w:rsidR="006C17CB" w:rsidRDefault="0030091C">
      <w:pPr>
        <w:pStyle w:val="Heading5"/>
        <w:spacing w:before="1"/>
      </w:pPr>
      <w:r>
        <w:t>Paper presented at inter-parliamentary event</w:t>
      </w:r>
    </w:p>
    <w:p w:rsidR="006C17CB" w:rsidRDefault="0030091C">
      <w:pPr>
        <w:pStyle w:val="BodyText"/>
        <w:spacing w:before="36"/>
        <w:ind w:left="153"/>
      </w:pPr>
      <w:r>
        <w:t>At the 48th Presiding Officers and Clerks Conference, Sydney, 2-7 July 2017:</w:t>
      </w:r>
    </w:p>
    <w:p w:rsidR="006C17CB" w:rsidRDefault="0030091C">
      <w:pPr>
        <w:pStyle w:val="ListParagraph"/>
        <w:numPr>
          <w:ilvl w:val="0"/>
          <w:numId w:val="22"/>
        </w:numPr>
        <w:tabs>
          <w:tab w:val="left" w:pos="381"/>
        </w:tabs>
        <w:spacing w:before="101" w:line="189" w:lineRule="auto"/>
        <w:ind w:right="1572"/>
      </w:pPr>
      <w:r>
        <w:t>‘Decoding</w:t>
      </w:r>
      <w:r>
        <w:rPr>
          <w:spacing w:val="-4"/>
        </w:rPr>
        <w:t xml:space="preserve"> </w:t>
      </w:r>
      <w:r>
        <w:t>the</w:t>
      </w:r>
      <w:r>
        <w:rPr>
          <w:spacing w:val="-5"/>
        </w:rPr>
        <w:t xml:space="preserve"> </w:t>
      </w:r>
      <w:r>
        <w:t>code:</w:t>
      </w:r>
      <w:r>
        <w:rPr>
          <w:spacing w:val="-4"/>
        </w:rPr>
        <w:t xml:space="preserve"> </w:t>
      </w:r>
      <w:r>
        <w:t>applying</w:t>
      </w:r>
      <w:r>
        <w:rPr>
          <w:spacing w:val="-4"/>
        </w:rPr>
        <w:t xml:space="preserve"> </w:t>
      </w:r>
      <w:r>
        <w:t>the</w:t>
      </w:r>
      <w:r>
        <w:rPr>
          <w:spacing w:val="-5"/>
        </w:rPr>
        <w:t xml:space="preserve"> </w:t>
      </w:r>
      <w:r>
        <w:rPr>
          <w:spacing w:val="-4"/>
        </w:rPr>
        <w:t>CPA</w:t>
      </w:r>
      <w:r>
        <w:rPr>
          <w:spacing w:val="-5"/>
        </w:rPr>
        <w:t xml:space="preserve"> </w:t>
      </w:r>
      <w:r>
        <w:t>code</w:t>
      </w:r>
      <w:r>
        <w:rPr>
          <w:spacing w:val="-5"/>
        </w:rPr>
        <w:t xml:space="preserve"> </w:t>
      </w:r>
      <w:r>
        <w:t>of</w:t>
      </w:r>
      <w:r>
        <w:rPr>
          <w:spacing w:val="-4"/>
        </w:rPr>
        <w:t xml:space="preserve"> </w:t>
      </w:r>
      <w:r>
        <w:t>conduct</w:t>
      </w:r>
      <w:r>
        <w:rPr>
          <w:spacing w:val="-4"/>
        </w:rPr>
        <w:t xml:space="preserve"> </w:t>
      </w:r>
      <w:r>
        <w:t>benchmarks</w:t>
      </w:r>
      <w:r>
        <w:rPr>
          <w:spacing w:val="-4"/>
        </w:rPr>
        <w:t xml:space="preserve"> </w:t>
      </w:r>
      <w:r>
        <w:t>to</w:t>
      </w:r>
      <w:r>
        <w:rPr>
          <w:spacing w:val="-5"/>
        </w:rPr>
        <w:t xml:space="preserve"> </w:t>
      </w:r>
      <w:r>
        <w:t>the</w:t>
      </w:r>
      <w:r>
        <w:rPr>
          <w:spacing w:val="-5"/>
        </w:rPr>
        <w:t xml:space="preserve"> </w:t>
      </w:r>
      <w:r>
        <w:t>Legislative</w:t>
      </w:r>
      <w:r>
        <w:rPr>
          <w:spacing w:val="-5"/>
        </w:rPr>
        <w:t xml:space="preserve"> </w:t>
      </w:r>
      <w:r>
        <w:t>Assembly</w:t>
      </w:r>
      <w:r>
        <w:rPr>
          <w:spacing w:val="-4"/>
        </w:rPr>
        <w:t xml:space="preserve"> </w:t>
      </w:r>
      <w:r>
        <w:t>for</w:t>
      </w:r>
      <w:r>
        <w:rPr>
          <w:spacing w:val="-5"/>
        </w:rPr>
        <w:t xml:space="preserve"> </w:t>
      </w:r>
      <w:r>
        <w:t xml:space="preserve">the </w:t>
      </w:r>
      <w:r>
        <w:rPr>
          <w:spacing w:val="-7"/>
        </w:rPr>
        <w:t xml:space="preserve">ACT’—Tom </w:t>
      </w:r>
      <w:r>
        <w:t>Duncan, Clerk of the Legislative</w:t>
      </w:r>
      <w:r>
        <w:rPr>
          <w:spacing w:val="1"/>
        </w:rPr>
        <w:t xml:space="preserve"> </w:t>
      </w:r>
      <w:r>
        <w:t>Assembly</w:t>
      </w:r>
    </w:p>
    <w:p w:rsidR="006C17CB" w:rsidRDefault="006C17CB">
      <w:pPr>
        <w:pStyle w:val="BodyText"/>
        <w:spacing w:before="12"/>
        <w:rPr>
          <w:sz w:val="26"/>
        </w:rPr>
      </w:pPr>
    </w:p>
    <w:p w:rsidR="006C17CB" w:rsidRDefault="0030091C">
      <w:pPr>
        <w:pStyle w:val="Heading5"/>
        <w:rPr>
          <w:rFonts w:ascii="Montserrat"/>
        </w:rPr>
      </w:pPr>
      <w:r>
        <w:rPr>
          <w:rFonts w:ascii="Montserrat"/>
          <w:color w:val="556EAA"/>
        </w:rPr>
        <w:t>The ACT register of lobbyists</w:t>
      </w:r>
    </w:p>
    <w:p w:rsidR="006C17CB" w:rsidRDefault="0030091C">
      <w:pPr>
        <w:pStyle w:val="BodyText"/>
        <w:spacing w:before="35"/>
        <w:ind w:left="153"/>
      </w:pPr>
      <w:r>
        <w:t>The ACT register of lobbyists has been in place since 1 January 2015.</w:t>
      </w:r>
    </w:p>
    <w:p w:rsidR="006C17CB" w:rsidRDefault="0030091C">
      <w:pPr>
        <w:pStyle w:val="BodyText"/>
        <w:spacing w:before="101" w:line="189" w:lineRule="auto"/>
        <w:ind w:left="153" w:right="1412"/>
      </w:pPr>
      <w:r>
        <w:t>As at 30 June 2018, the register had 40 registrations: 34 companies and six natural persons, with no partnerships registered. Following requests from registrants, eight registrations were removed from the register during the reporting period, with no lobbyists being required to be removed from the register for failing to provide the required change notification or confirmation documents.</w:t>
      </w:r>
    </w:p>
    <w:p w:rsidR="006C17CB" w:rsidRDefault="006C17CB">
      <w:pPr>
        <w:spacing w:line="189" w:lineRule="auto"/>
        <w:sectPr w:rsidR="006C17CB">
          <w:pgSz w:w="11910" w:h="16840"/>
          <w:pgMar w:top="1580" w:right="0" w:bottom="720" w:left="980" w:header="0" w:footer="44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7"/>
        <w:rPr>
          <w:sz w:val="15"/>
        </w:rPr>
      </w:pPr>
    </w:p>
    <w:p w:rsidR="006C17CB" w:rsidRDefault="0030091C">
      <w:pPr>
        <w:pStyle w:val="Heading5"/>
        <w:spacing w:before="153"/>
        <w:rPr>
          <w:rFonts w:ascii="Montserrat" w:hAnsi="Montserrat"/>
        </w:rPr>
      </w:pPr>
      <w:bookmarkStart w:id="48" w:name="Analysis_of_the_Office’s_performance"/>
      <w:bookmarkStart w:id="49" w:name="_bookmark13"/>
      <w:bookmarkEnd w:id="48"/>
      <w:bookmarkEnd w:id="49"/>
      <w:r>
        <w:rPr>
          <w:rFonts w:ascii="Montserrat" w:hAnsi="Montserrat"/>
          <w:color w:val="556EAA"/>
        </w:rPr>
        <w:t>Analysis of the Office’s performance</w:t>
      </w:r>
    </w:p>
    <w:p w:rsidR="006C17CB" w:rsidRDefault="0030091C">
      <w:pPr>
        <w:pStyle w:val="BodyText"/>
        <w:spacing w:before="35"/>
        <w:ind w:left="153"/>
      </w:pPr>
      <w:r>
        <w:t>This section of the report outlines relevant performance information under the following headings:</w:t>
      </w:r>
    </w:p>
    <w:p w:rsidR="006C17CB" w:rsidRDefault="0030091C">
      <w:pPr>
        <w:pStyle w:val="ListParagraph"/>
        <w:numPr>
          <w:ilvl w:val="0"/>
          <w:numId w:val="22"/>
        </w:numPr>
        <w:tabs>
          <w:tab w:val="left" w:pos="381"/>
        </w:tabs>
        <w:spacing w:before="47" w:line="306" w:lineRule="exact"/>
      </w:pPr>
      <w:r>
        <w:t>members’ assessment of Office</w:t>
      </w:r>
      <w:r>
        <w:rPr>
          <w:spacing w:val="-2"/>
        </w:rPr>
        <w:t xml:space="preserve"> </w:t>
      </w:r>
      <w:r>
        <w:t>performance;</w:t>
      </w:r>
    </w:p>
    <w:p w:rsidR="006C17CB" w:rsidRDefault="0030091C">
      <w:pPr>
        <w:pStyle w:val="ListParagraph"/>
        <w:numPr>
          <w:ilvl w:val="0"/>
          <w:numId w:val="22"/>
        </w:numPr>
        <w:tabs>
          <w:tab w:val="left" w:pos="381"/>
        </w:tabs>
      </w:pPr>
      <w:r>
        <w:t>parliamentary advice and</w:t>
      </w:r>
      <w:r>
        <w:rPr>
          <w:spacing w:val="-2"/>
        </w:rPr>
        <w:t xml:space="preserve"> </w:t>
      </w:r>
      <w:r>
        <w:t>support;</w:t>
      </w:r>
    </w:p>
    <w:p w:rsidR="006C17CB" w:rsidRDefault="0030091C">
      <w:pPr>
        <w:pStyle w:val="ListParagraph"/>
        <w:numPr>
          <w:ilvl w:val="0"/>
          <w:numId w:val="22"/>
        </w:numPr>
        <w:tabs>
          <w:tab w:val="left" w:pos="381"/>
        </w:tabs>
      </w:pPr>
      <w:r>
        <w:t>business administration and support;</w:t>
      </w:r>
      <w:r>
        <w:rPr>
          <w:spacing w:val="-1"/>
        </w:rPr>
        <w:t xml:space="preserve"> </w:t>
      </w:r>
      <w:r>
        <w:t>and</w:t>
      </w:r>
    </w:p>
    <w:p w:rsidR="006C17CB" w:rsidRDefault="0030091C">
      <w:pPr>
        <w:pStyle w:val="ListParagraph"/>
        <w:numPr>
          <w:ilvl w:val="0"/>
          <w:numId w:val="22"/>
        </w:numPr>
        <w:tabs>
          <w:tab w:val="left" w:pos="381"/>
        </w:tabs>
        <w:spacing w:line="306" w:lineRule="exact"/>
      </w:pPr>
      <w:r>
        <w:t>community and parliamentary</w:t>
      </w:r>
      <w:r>
        <w:rPr>
          <w:spacing w:val="-2"/>
        </w:rPr>
        <w:t xml:space="preserve"> </w:t>
      </w:r>
      <w:r>
        <w:t>engagement.</w:t>
      </w:r>
    </w:p>
    <w:p w:rsidR="006C17CB" w:rsidRDefault="006C17CB">
      <w:pPr>
        <w:pStyle w:val="BodyText"/>
        <w:spacing w:before="8"/>
        <w:rPr>
          <w:sz w:val="28"/>
        </w:rPr>
      </w:pPr>
    </w:p>
    <w:p w:rsidR="006C17CB" w:rsidRDefault="0030091C">
      <w:pPr>
        <w:spacing w:before="1"/>
        <w:ind w:left="153"/>
        <w:rPr>
          <w:rFonts w:ascii="Montserrat-SemiBoldItalic" w:hAnsi="Montserrat-SemiBoldItalic"/>
          <w:b/>
          <w:i/>
          <w:sz w:val="20"/>
        </w:rPr>
      </w:pPr>
      <w:r>
        <w:rPr>
          <w:rFonts w:ascii="Montserrat-SemiBoldItalic" w:hAnsi="Montserrat-SemiBoldItalic"/>
          <w:b/>
          <w:i/>
          <w:sz w:val="20"/>
        </w:rPr>
        <w:t>Members’ assessment of Office performance</w:t>
      </w:r>
    </w:p>
    <w:p w:rsidR="006C17CB" w:rsidRDefault="0030091C">
      <w:pPr>
        <w:pStyle w:val="BodyText"/>
        <w:spacing w:before="111"/>
        <w:ind w:left="153"/>
      </w:pPr>
      <w:r>
        <w:t>Member assessments are conducted once every two years. The next survey of members will be in 2019.</w:t>
      </w:r>
    </w:p>
    <w:p w:rsidR="006C17CB" w:rsidRDefault="006C17CB">
      <w:pPr>
        <w:pStyle w:val="BodyText"/>
        <w:spacing w:before="11"/>
      </w:pPr>
    </w:p>
    <w:p w:rsidR="006C17CB" w:rsidRDefault="0030091C">
      <w:pPr>
        <w:ind w:left="153"/>
        <w:rPr>
          <w:rFonts w:ascii="Montserrat-SemiBoldItalic"/>
          <w:b/>
          <w:i/>
          <w:sz w:val="20"/>
        </w:rPr>
      </w:pPr>
      <w:r>
        <w:rPr>
          <w:rFonts w:ascii="Montserrat-SemiBoldItalic"/>
          <w:b/>
          <w:i/>
          <w:sz w:val="20"/>
        </w:rPr>
        <w:t>Parliamentary advice and support</w:t>
      </w:r>
    </w:p>
    <w:p w:rsidR="006C17CB" w:rsidRDefault="0030091C">
      <w:pPr>
        <w:spacing w:before="269"/>
        <w:ind w:left="153"/>
        <w:rPr>
          <w:rFonts w:ascii="Montserrat"/>
          <w:sz w:val="19"/>
        </w:rPr>
      </w:pPr>
      <w:r>
        <w:rPr>
          <w:rFonts w:ascii="Montserrat"/>
          <w:sz w:val="19"/>
        </w:rPr>
        <w:t>QUESTIONS</w:t>
      </w:r>
    </w:p>
    <w:p w:rsidR="006C17CB" w:rsidRDefault="0030091C">
      <w:pPr>
        <w:pStyle w:val="BodyText"/>
        <w:spacing w:before="112" w:line="189" w:lineRule="auto"/>
        <w:ind w:left="153" w:right="1612"/>
      </w:pPr>
      <w:r>
        <w:t>A 25-member Assembly has seen a significant increase in questions on notice being lodged, from 326 in 2015-2016 (the last 17-member Assembly) to 1,207 in 2017-2018.</w:t>
      </w:r>
    </w:p>
    <w:p w:rsidR="006C17CB" w:rsidRDefault="006C17CB">
      <w:pPr>
        <w:pStyle w:val="BodyText"/>
        <w:spacing w:before="14"/>
        <w:rPr>
          <w:sz w:val="14"/>
        </w:rPr>
      </w:pPr>
    </w:p>
    <w:p w:rsidR="006C17CB" w:rsidRDefault="0030091C">
      <w:pPr>
        <w:ind w:left="153"/>
        <w:rPr>
          <w:rFonts w:ascii="Montserrat"/>
          <w:sz w:val="19"/>
        </w:rPr>
      </w:pPr>
      <w:r>
        <w:rPr>
          <w:rFonts w:ascii="Montserrat"/>
          <w:sz w:val="19"/>
        </w:rPr>
        <w:t>PETITIONS</w:t>
      </w:r>
    </w:p>
    <w:p w:rsidR="006C17CB" w:rsidRDefault="0030091C">
      <w:pPr>
        <w:pStyle w:val="BodyText"/>
        <w:spacing w:before="58" w:line="284" w:lineRule="exact"/>
        <w:ind w:left="153"/>
      </w:pPr>
      <w:r>
        <w:t>The number of petitions again increased this year, with 28 petitions being presented to the Assembly.</w:t>
      </w:r>
    </w:p>
    <w:p w:rsidR="006C17CB" w:rsidRDefault="0030091C">
      <w:pPr>
        <w:pStyle w:val="BodyText"/>
        <w:spacing w:before="20" w:line="189" w:lineRule="auto"/>
        <w:ind w:left="153" w:right="1177"/>
      </w:pPr>
      <w:r>
        <w:t>Of these, 10 were e-petitions, 10 petitions were referred to Assembly committees for consideration in accordance with standing order 99A, and two petitions were referred for inquiry and report in accordance with standing order 99. Three e-petitions were still open for signatures at the end of the reporting period.</w:t>
      </w:r>
    </w:p>
    <w:p w:rsidR="006C17CB" w:rsidRDefault="0030091C">
      <w:pPr>
        <w:pStyle w:val="BodyText"/>
        <w:spacing w:before="58"/>
        <w:ind w:left="153"/>
      </w:pPr>
      <w:r>
        <w:t>Website issues identified last year have now been remedied.</w:t>
      </w:r>
    </w:p>
    <w:p w:rsidR="006C17CB" w:rsidRDefault="006C17CB">
      <w:pPr>
        <w:pStyle w:val="BodyText"/>
        <w:spacing w:before="2"/>
        <w:rPr>
          <w:sz w:val="14"/>
        </w:rPr>
      </w:pPr>
    </w:p>
    <w:p w:rsidR="006C17CB" w:rsidRDefault="0030091C">
      <w:pPr>
        <w:ind w:left="153"/>
        <w:rPr>
          <w:rFonts w:ascii="Montserrat"/>
          <w:sz w:val="19"/>
        </w:rPr>
      </w:pPr>
      <w:r>
        <w:rPr>
          <w:rFonts w:ascii="Montserrat"/>
          <w:sz w:val="19"/>
        </w:rPr>
        <w:t>REVISED STANDING ORDERS FOR THE NINTH ASSEMBLY</w:t>
      </w:r>
    </w:p>
    <w:p w:rsidR="006C17CB" w:rsidRDefault="0030091C">
      <w:pPr>
        <w:pStyle w:val="BodyText"/>
        <w:spacing w:before="112" w:line="189" w:lineRule="auto"/>
        <w:ind w:left="153" w:right="1840"/>
      </w:pPr>
      <w:r>
        <w:t>In February 2018, the Speaker, as chair of the Standing Committee on Administration and Procedure, advised the Assembly that the committee would conduct a review of the standing orders.</w:t>
      </w:r>
    </w:p>
    <w:p w:rsidR="006C17CB" w:rsidRDefault="0030091C">
      <w:pPr>
        <w:pStyle w:val="BodyText"/>
        <w:spacing w:before="112" w:line="189" w:lineRule="auto"/>
        <w:ind w:left="153" w:right="1183"/>
      </w:pPr>
      <w:r>
        <w:t>Standing order 16 requires the committee to inquire into and report on the operation of the standing orders and continuing resolutions of the Assembly during each term, to ensure that the Assembly’s practices and procedures remain relevant.</w:t>
      </w:r>
    </w:p>
    <w:p w:rsidR="006C17CB" w:rsidRDefault="0030091C">
      <w:pPr>
        <w:pStyle w:val="BodyText"/>
        <w:spacing w:before="58"/>
        <w:ind w:left="153"/>
      </w:pPr>
      <w:r>
        <w:t>The Office made a comprehensive submission to the inquiry.</w:t>
      </w:r>
    </w:p>
    <w:p w:rsidR="006C17CB" w:rsidRDefault="0030091C">
      <w:pPr>
        <w:pStyle w:val="BodyText"/>
        <w:spacing w:before="100" w:line="189" w:lineRule="auto"/>
        <w:ind w:left="153" w:right="1725"/>
      </w:pPr>
      <w:r>
        <w:t>This is the fourth substantial review of the standing orders, with previous reviews occurring during the Fifth Assembly, the Sixth Assembly, and earlier in the Ninth Assembly (with a focus on the expanded 25-member Assembly).</w:t>
      </w:r>
    </w:p>
    <w:p w:rsidR="006C17CB" w:rsidRDefault="006C17CB">
      <w:pPr>
        <w:pStyle w:val="BodyText"/>
        <w:spacing w:before="13"/>
        <w:rPr>
          <w:sz w:val="14"/>
        </w:rPr>
      </w:pPr>
    </w:p>
    <w:p w:rsidR="006C17CB" w:rsidRDefault="0030091C">
      <w:pPr>
        <w:ind w:left="153"/>
        <w:rPr>
          <w:rFonts w:ascii="Montserrat"/>
          <w:sz w:val="19"/>
        </w:rPr>
      </w:pPr>
      <w:r>
        <w:rPr>
          <w:rFonts w:ascii="Montserrat"/>
          <w:sz w:val="19"/>
        </w:rPr>
        <w:t>HANSARD</w:t>
      </w:r>
    </w:p>
    <w:p w:rsidR="006C17CB" w:rsidRDefault="0030091C">
      <w:pPr>
        <w:pStyle w:val="BodyText"/>
        <w:spacing w:before="112" w:line="189" w:lineRule="auto"/>
        <w:ind w:left="153" w:right="1371"/>
        <w:jc w:val="both"/>
      </w:pPr>
      <w:r>
        <w:t xml:space="preserve">In </w:t>
      </w:r>
      <w:r>
        <w:rPr>
          <w:spacing w:val="-5"/>
        </w:rPr>
        <w:t xml:space="preserve">2017-2018 </w:t>
      </w:r>
      <w:r>
        <w:t xml:space="preserve">Hansard transcribed, edited and published </w:t>
      </w:r>
      <w:r>
        <w:rPr>
          <w:spacing w:val="-6"/>
        </w:rPr>
        <w:t xml:space="preserve">242 </w:t>
      </w:r>
      <w:r>
        <w:t xml:space="preserve">hours of Assembly proceedings and </w:t>
      </w:r>
      <w:r>
        <w:rPr>
          <w:spacing w:val="-5"/>
        </w:rPr>
        <w:t xml:space="preserve">249 </w:t>
      </w:r>
      <w:r>
        <w:t>hours of</w:t>
      </w:r>
      <w:r>
        <w:rPr>
          <w:spacing w:val="-4"/>
        </w:rPr>
        <w:t xml:space="preserve"> </w:t>
      </w:r>
      <w:r>
        <w:t>committee</w:t>
      </w:r>
      <w:r>
        <w:rPr>
          <w:spacing w:val="-5"/>
        </w:rPr>
        <w:t xml:space="preserve"> </w:t>
      </w:r>
      <w:r>
        <w:t>hearings.</w:t>
      </w:r>
      <w:r>
        <w:rPr>
          <w:spacing w:val="-4"/>
        </w:rPr>
        <w:t xml:space="preserve"> </w:t>
      </w:r>
      <w:r>
        <w:t>This</w:t>
      </w:r>
      <w:r>
        <w:rPr>
          <w:spacing w:val="-4"/>
        </w:rPr>
        <w:t xml:space="preserve"> </w:t>
      </w:r>
      <w:r>
        <w:t>is</w:t>
      </w:r>
      <w:r>
        <w:rPr>
          <w:spacing w:val="-4"/>
        </w:rPr>
        <w:t xml:space="preserve"> </w:t>
      </w:r>
      <w:r>
        <w:t>an</w:t>
      </w:r>
      <w:r>
        <w:rPr>
          <w:spacing w:val="-4"/>
        </w:rPr>
        <w:t xml:space="preserve"> </w:t>
      </w:r>
      <w:r>
        <w:t>increase</w:t>
      </w:r>
      <w:r>
        <w:rPr>
          <w:spacing w:val="-5"/>
        </w:rPr>
        <w:t xml:space="preserve"> </w:t>
      </w:r>
      <w:r>
        <w:t>of</w:t>
      </w:r>
      <w:r>
        <w:rPr>
          <w:spacing w:val="-4"/>
        </w:rPr>
        <w:t xml:space="preserve"> </w:t>
      </w:r>
      <w:r>
        <w:t>68</w:t>
      </w:r>
      <w:r>
        <w:rPr>
          <w:spacing w:val="-4"/>
        </w:rPr>
        <w:t xml:space="preserve"> </w:t>
      </w:r>
      <w:r>
        <w:t>and</w:t>
      </w:r>
      <w:r>
        <w:rPr>
          <w:spacing w:val="-4"/>
        </w:rPr>
        <w:t xml:space="preserve"> </w:t>
      </w:r>
      <w:r>
        <w:rPr>
          <w:spacing w:val="-3"/>
        </w:rPr>
        <w:t>92</w:t>
      </w:r>
      <w:r>
        <w:rPr>
          <w:spacing w:val="-4"/>
        </w:rPr>
        <w:t xml:space="preserve"> </w:t>
      </w:r>
      <w:r>
        <w:t>per</w:t>
      </w:r>
      <w:r>
        <w:rPr>
          <w:spacing w:val="-4"/>
        </w:rPr>
        <w:t xml:space="preserve"> </w:t>
      </w:r>
      <w:r>
        <w:t>cent</w:t>
      </w:r>
      <w:r>
        <w:rPr>
          <w:spacing w:val="-4"/>
        </w:rPr>
        <w:t xml:space="preserve"> </w:t>
      </w:r>
      <w:r>
        <w:t>respectively</w:t>
      </w:r>
      <w:r>
        <w:rPr>
          <w:spacing w:val="-4"/>
        </w:rPr>
        <w:t xml:space="preserve"> </w:t>
      </w:r>
      <w:r>
        <w:t>from</w:t>
      </w:r>
      <w:r>
        <w:rPr>
          <w:spacing w:val="-5"/>
        </w:rPr>
        <w:t xml:space="preserve"> </w:t>
      </w:r>
      <w:r>
        <w:t>the</w:t>
      </w:r>
      <w:r>
        <w:rPr>
          <w:spacing w:val="-5"/>
        </w:rPr>
        <w:t xml:space="preserve"> </w:t>
      </w:r>
      <w:r>
        <w:rPr>
          <w:spacing w:val="-4"/>
        </w:rPr>
        <w:t xml:space="preserve">2016-2017 </w:t>
      </w:r>
      <w:r>
        <w:t xml:space="preserve">reporting period. It is worth noting that </w:t>
      </w:r>
      <w:r>
        <w:rPr>
          <w:spacing w:val="-4"/>
        </w:rPr>
        <w:t xml:space="preserve">2016-2017 </w:t>
      </w:r>
      <w:r>
        <w:t xml:space="preserve">was an election </w:t>
      </w:r>
      <w:r>
        <w:rPr>
          <w:spacing w:val="-5"/>
        </w:rPr>
        <w:t xml:space="preserve">year, </w:t>
      </w:r>
      <w:r>
        <w:t>when committee activity is typically</w:t>
      </w:r>
      <w:r>
        <w:rPr>
          <w:spacing w:val="-19"/>
        </w:rPr>
        <w:t xml:space="preserve"> </w:t>
      </w:r>
      <w:r>
        <w:rPr>
          <w:spacing w:val="-4"/>
        </w:rPr>
        <w:t>lower.</w:t>
      </w:r>
    </w:p>
    <w:p w:rsidR="006C17CB" w:rsidRDefault="0030091C">
      <w:pPr>
        <w:pStyle w:val="BodyText"/>
        <w:spacing w:before="112" w:line="189" w:lineRule="auto"/>
        <w:ind w:left="153" w:right="1767"/>
      </w:pPr>
      <w:r>
        <w:t>During the past year, Hansard processed and published 1,148 questions on notice, an increase of 908, or 378 per cent, on the previous reporting period.</w:t>
      </w:r>
    </w:p>
    <w:p w:rsidR="006C17CB" w:rsidRDefault="0030091C">
      <w:pPr>
        <w:pStyle w:val="BodyText"/>
        <w:spacing w:before="112" w:line="189" w:lineRule="auto"/>
        <w:ind w:left="153" w:right="1541"/>
      </w:pPr>
      <w:r>
        <w:t>Hansard continued to meet its key performance targets in the preparation, distribution and publication of transcripts.</w:t>
      </w:r>
    </w:p>
    <w:p w:rsidR="006C17CB" w:rsidRDefault="006C17CB">
      <w:pPr>
        <w:spacing w:line="189" w:lineRule="auto"/>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2"/>
        <w:rPr>
          <w:sz w:val="19"/>
        </w:rPr>
      </w:pPr>
    </w:p>
    <w:p w:rsidR="006C17CB" w:rsidRDefault="0030091C">
      <w:pPr>
        <w:spacing w:before="8"/>
        <w:ind w:left="157"/>
        <w:rPr>
          <w:rFonts w:ascii="Calibri"/>
          <w:i/>
        </w:rPr>
      </w:pPr>
      <w:r>
        <w:rPr>
          <w:rFonts w:ascii="Calibri"/>
          <w:b/>
          <w:sz w:val="18"/>
        </w:rPr>
        <w:t xml:space="preserve">FIGURE 4. </w:t>
      </w:r>
      <w:r>
        <w:rPr>
          <w:rFonts w:ascii="Calibri"/>
          <w:i/>
        </w:rPr>
        <w:t>Net hours of Hansard transcription</w:t>
      </w:r>
    </w:p>
    <w:p w:rsidR="006C17CB" w:rsidRDefault="0030091C">
      <w:pPr>
        <w:pStyle w:val="BodyText"/>
        <w:spacing w:before="10"/>
        <w:rPr>
          <w:rFonts w:ascii="Calibri"/>
          <w:i/>
          <w:sz w:val="13"/>
        </w:rPr>
      </w:pPr>
      <w:r>
        <w:rPr>
          <w:noProof/>
          <w:lang w:val="en-AU" w:eastAsia="en-AU" w:bidi="ar-SA"/>
        </w:rPr>
        <w:drawing>
          <wp:anchor distT="0" distB="0" distL="0" distR="0" simplePos="0" relativeHeight="1408" behindDoc="0" locked="0" layoutInCell="1" allowOverlap="1">
            <wp:simplePos x="0" y="0"/>
            <wp:positionH relativeFrom="page">
              <wp:posOffset>746540</wp:posOffset>
            </wp:positionH>
            <wp:positionV relativeFrom="paragraph">
              <wp:posOffset>150670</wp:posOffset>
            </wp:positionV>
            <wp:extent cx="4074084" cy="2400585"/>
            <wp:effectExtent l="0" t="0" r="0" b="0"/>
            <wp:wrapTopAndBottom/>
            <wp:docPr id="9" name="image7.png" descr="See prece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4" cstate="print"/>
                    <a:stretch>
                      <a:fillRect/>
                    </a:stretch>
                  </pic:blipFill>
                  <pic:spPr>
                    <a:xfrm>
                      <a:off x="0" y="0"/>
                      <a:ext cx="4074084" cy="2400585"/>
                    </a:xfrm>
                    <a:prstGeom prst="rect">
                      <a:avLst/>
                    </a:prstGeom>
                  </pic:spPr>
                </pic:pic>
              </a:graphicData>
            </a:graphic>
          </wp:anchor>
        </w:drawing>
      </w:r>
    </w:p>
    <w:p w:rsidR="006C17CB" w:rsidRDefault="006C17CB">
      <w:pPr>
        <w:pStyle w:val="BodyText"/>
        <w:spacing w:before="13"/>
        <w:rPr>
          <w:rFonts w:ascii="Calibri"/>
          <w:i/>
          <w:sz w:val="26"/>
        </w:rPr>
      </w:pPr>
    </w:p>
    <w:p w:rsidR="006C17CB" w:rsidRDefault="0030091C">
      <w:pPr>
        <w:ind w:left="157"/>
        <w:rPr>
          <w:rFonts w:ascii="Calibri"/>
          <w:i/>
        </w:rPr>
      </w:pPr>
      <w:r>
        <w:rPr>
          <w:rFonts w:ascii="Calibri"/>
          <w:b/>
          <w:sz w:val="18"/>
        </w:rPr>
        <w:t xml:space="preserve">FIGURE 5. </w:t>
      </w:r>
      <w:r>
        <w:rPr>
          <w:rFonts w:ascii="Calibri"/>
          <w:i/>
        </w:rPr>
        <w:t>Questions on notice published</w:t>
      </w:r>
    </w:p>
    <w:p w:rsidR="006C17CB" w:rsidRDefault="0030091C">
      <w:pPr>
        <w:pStyle w:val="BodyText"/>
        <w:spacing w:before="9"/>
        <w:rPr>
          <w:rFonts w:ascii="Calibri"/>
          <w:i/>
          <w:sz w:val="18"/>
        </w:rPr>
      </w:pPr>
      <w:r>
        <w:rPr>
          <w:noProof/>
          <w:lang w:val="en-AU" w:eastAsia="en-AU" w:bidi="ar-SA"/>
        </w:rPr>
        <w:drawing>
          <wp:anchor distT="0" distB="0" distL="0" distR="0" simplePos="0" relativeHeight="1432" behindDoc="0" locked="0" layoutInCell="1" allowOverlap="1">
            <wp:simplePos x="0" y="0"/>
            <wp:positionH relativeFrom="page">
              <wp:posOffset>776992</wp:posOffset>
            </wp:positionH>
            <wp:positionV relativeFrom="paragraph">
              <wp:posOffset>195602</wp:posOffset>
            </wp:positionV>
            <wp:extent cx="3952899" cy="2571845"/>
            <wp:effectExtent l="0" t="0" r="0" b="0"/>
            <wp:wrapTopAndBottom/>
            <wp:docPr id="11" name="image8.png" descr="Se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5" cstate="print"/>
                    <a:stretch>
                      <a:fillRect/>
                    </a:stretch>
                  </pic:blipFill>
                  <pic:spPr>
                    <a:xfrm>
                      <a:off x="0" y="0"/>
                      <a:ext cx="3952899" cy="2571845"/>
                    </a:xfrm>
                    <a:prstGeom prst="rect">
                      <a:avLst/>
                    </a:prstGeom>
                  </pic:spPr>
                </pic:pic>
              </a:graphicData>
            </a:graphic>
          </wp:anchor>
        </w:drawing>
      </w:r>
    </w:p>
    <w:p w:rsidR="006C17CB" w:rsidRDefault="006C17CB">
      <w:pPr>
        <w:pStyle w:val="BodyText"/>
        <w:spacing w:before="4"/>
        <w:rPr>
          <w:rFonts w:ascii="Calibri"/>
          <w:i/>
          <w:sz w:val="23"/>
        </w:rPr>
      </w:pPr>
    </w:p>
    <w:p w:rsidR="006C17CB" w:rsidRDefault="0030091C">
      <w:pPr>
        <w:spacing w:before="1"/>
        <w:ind w:left="153"/>
        <w:rPr>
          <w:rFonts w:ascii="Montserrat-SemiBoldItalic"/>
          <w:b/>
          <w:i/>
          <w:sz w:val="20"/>
        </w:rPr>
      </w:pPr>
      <w:r>
        <w:rPr>
          <w:rFonts w:ascii="Montserrat-SemiBoldItalic"/>
          <w:b/>
          <w:i/>
          <w:sz w:val="20"/>
        </w:rPr>
        <w:t>Assembly library</w:t>
      </w:r>
    </w:p>
    <w:p w:rsidR="006C17CB" w:rsidRDefault="0030091C">
      <w:pPr>
        <w:pStyle w:val="BodyText"/>
        <w:spacing w:before="166" w:line="189" w:lineRule="auto"/>
        <w:ind w:left="153" w:right="1531"/>
      </w:pPr>
      <w:r>
        <w:t xml:space="preserve">In July </w:t>
      </w:r>
      <w:r>
        <w:rPr>
          <w:spacing w:val="-8"/>
        </w:rPr>
        <w:t xml:space="preserve">2017, </w:t>
      </w:r>
      <w:r>
        <w:t>the Assembly library opened its new digital repository. The repository enables the capture of</w:t>
      </w:r>
      <w:r>
        <w:rPr>
          <w:spacing w:val="-6"/>
        </w:rPr>
        <w:t xml:space="preserve"> </w:t>
      </w:r>
      <w:r>
        <w:t>electronic</w:t>
      </w:r>
      <w:r>
        <w:rPr>
          <w:spacing w:val="-7"/>
        </w:rPr>
        <w:t xml:space="preserve"> </w:t>
      </w:r>
      <w:r>
        <w:t>documents</w:t>
      </w:r>
      <w:r>
        <w:rPr>
          <w:spacing w:val="-6"/>
        </w:rPr>
        <w:t xml:space="preserve"> </w:t>
      </w:r>
      <w:r>
        <w:t>in</w:t>
      </w:r>
      <w:r>
        <w:rPr>
          <w:spacing w:val="-6"/>
        </w:rPr>
        <w:t xml:space="preserve"> </w:t>
      </w:r>
      <w:r>
        <w:t>a</w:t>
      </w:r>
      <w:r>
        <w:rPr>
          <w:spacing w:val="-6"/>
        </w:rPr>
        <w:t xml:space="preserve"> </w:t>
      </w:r>
      <w:r>
        <w:t>searchable</w:t>
      </w:r>
      <w:r>
        <w:rPr>
          <w:spacing w:val="-7"/>
        </w:rPr>
        <w:t xml:space="preserve"> </w:t>
      </w:r>
      <w:r>
        <w:t>database,</w:t>
      </w:r>
      <w:r>
        <w:rPr>
          <w:spacing w:val="-6"/>
        </w:rPr>
        <w:t xml:space="preserve"> </w:t>
      </w:r>
      <w:r>
        <w:t>structured</w:t>
      </w:r>
      <w:r>
        <w:rPr>
          <w:spacing w:val="-7"/>
        </w:rPr>
        <w:t xml:space="preserve"> </w:t>
      </w:r>
      <w:r>
        <w:t>to</w:t>
      </w:r>
      <w:r>
        <w:rPr>
          <w:spacing w:val="-7"/>
        </w:rPr>
        <w:t xml:space="preserve"> </w:t>
      </w:r>
      <w:r>
        <w:t>create</w:t>
      </w:r>
      <w:r>
        <w:rPr>
          <w:spacing w:val="-7"/>
        </w:rPr>
        <w:t xml:space="preserve"> </w:t>
      </w:r>
      <w:r>
        <w:t>collections</w:t>
      </w:r>
      <w:r>
        <w:rPr>
          <w:spacing w:val="-6"/>
        </w:rPr>
        <w:t xml:space="preserve"> </w:t>
      </w:r>
      <w:r>
        <w:t>of</w:t>
      </w:r>
      <w:r>
        <w:rPr>
          <w:spacing w:val="-6"/>
        </w:rPr>
        <w:t xml:space="preserve"> </w:t>
      </w:r>
      <w:r>
        <w:t>ACT</w:t>
      </w:r>
      <w:r>
        <w:rPr>
          <w:spacing w:val="-7"/>
        </w:rPr>
        <w:t xml:space="preserve"> </w:t>
      </w:r>
      <w:r>
        <w:t>media</w:t>
      </w:r>
      <w:r>
        <w:rPr>
          <w:spacing w:val="-6"/>
        </w:rPr>
        <w:t xml:space="preserve"> </w:t>
      </w:r>
      <w:r>
        <w:t>releases, media</w:t>
      </w:r>
      <w:r>
        <w:rPr>
          <w:spacing w:val="-5"/>
        </w:rPr>
        <w:t xml:space="preserve"> </w:t>
      </w:r>
      <w:r>
        <w:t>clips,</w:t>
      </w:r>
      <w:r>
        <w:rPr>
          <w:spacing w:val="-5"/>
        </w:rPr>
        <w:t xml:space="preserve"> </w:t>
      </w:r>
      <w:r>
        <w:t>and</w:t>
      </w:r>
      <w:r>
        <w:rPr>
          <w:spacing w:val="-5"/>
        </w:rPr>
        <w:t xml:space="preserve"> </w:t>
      </w:r>
      <w:r>
        <w:t>other</w:t>
      </w:r>
      <w:r>
        <w:rPr>
          <w:spacing w:val="-5"/>
        </w:rPr>
        <w:t xml:space="preserve"> </w:t>
      </w:r>
      <w:r>
        <w:t>publications.</w:t>
      </w:r>
      <w:r>
        <w:rPr>
          <w:spacing w:val="-5"/>
        </w:rPr>
        <w:t xml:space="preserve"> </w:t>
      </w:r>
      <w:r>
        <w:t>This</w:t>
      </w:r>
      <w:r>
        <w:rPr>
          <w:spacing w:val="-5"/>
        </w:rPr>
        <w:t xml:space="preserve"> </w:t>
      </w:r>
      <w:r>
        <w:t>has</w:t>
      </w:r>
      <w:r>
        <w:rPr>
          <w:spacing w:val="-5"/>
        </w:rPr>
        <w:t xml:space="preserve"> </w:t>
      </w:r>
      <w:r>
        <w:t>improved</w:t>
      </w:r>
      <w:r>
        <w:rPr>
          <w:spacing w:val="-5"/>
        </w:rPr>
        <w:t xml:space="preserve"> </w:t>
      </w:r>
      <w:r>
        <w:t>the</w:t>
      </w:r>
      <w:r>
        <w:rPr>
          <w:spacing w:val="-5"/>
        </w:rPr>
        <w:t xml:space="preserve"> </w:t>
      </w:r>
      <w:r>
        <w:t>research</w:t>
      </w:r>
      <w:r>
        <w:rPr>
          <w:spacing w:val="-5"/>
        </w:rPr>
        <w:t xml:space="preserve"> </w:t>
      </w:r>
      <w:r>
        <w:t>capacity</w:t>
      </w:r>
      <w:r>
        <w:rPr>
          <w:spacing w:val="-5"/>
        </w:rPr>
        <w:t xml:space="preserve"> </w:t>
      </w:r>
      <w:r>
        <w:t>for</w:t>
      </w:r>
      <w:r>
        <w:rPr>
          <w:spacing w:val="-5"/>
        </w:rPr>
        <w:t xml:space="preserve"> </w:t>
      </w:r>
      <w:r>
        <w:t>users</w:t>
      </w:r>
      <w:r>
        <w:rPr>
          <w:spacing w:val="-5"/>
        </w:rPr>
        <w:t xml:space="preserve"> </w:t>
      </w:r>
      <w:r>
        <w:t>and</w:t>
      </w:r>
      <w:r>
        <w:rPr>
          <w:spacing w:val="-5"/>
        </w:rPr>
        <w:t xml:space="preserve"> </w:t>
      </w:r>
      <w:r>
        <w:t>library</w:t>
      </w:r>
      <w:r>
        <w:rPr>
          <w:spacing w:val="-5"/>
        </w:rPr>
        <w:t xml:space="preserve"> </w:t>
      </w:r>
      <w:r>
        <w:t>staff.</w:t>
      </w:r>
    </w:p>
    <w:p w:rsidR="006C17CB" w:rsidRDefault="0030091C">
      <w:pPr>
        <w:pStyle w:val="BodyText"/>
        <w:spacing w:before="111" w:line="189" w:lineRule="auto"/>
        <w:ind w:left="153" w:right="1409"/>
      </w:pPr>
      <w:r>
        <w:t>The library reviewed its current awareness service in early 2017 and commenced a newsletter service in place of RSS feeds in May 2017. This service continues, with a reduction in publications from ten to seven.</w:t>
      </w:r>
    </w:p>
    <w:p w:rsidR="006C17CB" w:rsidRDefault="0030091C">
      <w:pPr>
        <w:pStyle w:val="BodyText"/>
        <w:spacing w:before="113" w:line="189" w:lineRule="auto"/>
        <w:ind w:left="153" w:right="1541"/>
      </w:pPr>
      <w:r>
        <w:t>The library was also subject to internal audit review during the reporting period. Recommendations will be addressed in the following reporting period.</w:t>
      </w:r>
    </w:p>
    <w:p w:rsidR="006C17CB" w:rsidRDefault="006C17CB">
      <w:pPr>
        <w:spacing w:line="189" w:lineRule="auto"/>
        <w:sectPr w:rsidR="006C17CB">
          <w:pgSz w:w="11910" w:h="16840"/>
          <w:pgMar w:top="1580" w:right="0" w:bottom="720" w:left="980" w:header="0" w:footer="44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0"/>
        <w:rPr>
          <w:sz w:val="16"/>
        </w:rPr>
      </w:pPr>
    </w:p>
    <w:p w:rsidR="006C17CB" w:rsidRDefault="0030091C">
      <w:pPr>
        <w:spacing w:before="136"/>
        <w:ind w:left="153"/>
        <w:rPr>
          <w:rFonts w:ascii="Montserrat-SemiBoldItalic"/>
          <w:b/>
          <w:i/>
          <w:sz w:val="20"/>
        </w:rPr>
      </w:pPr>
      <w:r>
        <w:rPr>
          <w:rFonts w:ascii="Montserrat-SemiBoldItalic"/>
          <w:b/>
          <w:i/>
          <w:sz w:val="20"/>
        </w:rPr>
        <w:t>Business administration and support</w:t>
      </w:r>
    </w:p>
    <w:p w:rsidR="006C17CB" w:rsidRDefault="0030091C">
      <w:pPr>
        <w:pStyle w:val="BodyText"/>
        <w:spacing w:before="166" w:line="189" w:lineRule="auto"/>
        <w:ind w:left="153" w:right="1050"/>
      </w:pPr>
      <w:r>
        <w:t>A key priority for the 2017-2018 year was the provision of business support services to an expanded Assembly membership—the first full year of the Assembly’s expanded membership of 25. The Office provided support across a number of functions, including:</w:t>
      </w:r>
    </w:p>
    <w:p w:rsidR="006C17CB" w:rsidRDefault="0030091C">
      <w:pPr>
        <w:pStyle w:val="ListParagraph"/>
        <w:numPr>
          <w:ilvl w:val="0"/>
          <w:numId w:val="22"/>
        </w:numPr>
        <w:tabs>
          <w:tab w:val="left" w:pos="381"/>
        </w:tabs>
        <w:spacing w:before="58" w:line="306" w:lineRule="exact"/>
      </w:pPr>
      <w:r>
        <w:t>information technology and information</w:t>
      </w:r>
      <w:r>
        <w:rPr>
          <w:spacing w:val="-2"/>
        </w:rPr>
        <w:t xml:space="preserve"> </w:t>
      </w:r>
      <w:r>
        <w:t>management;</w:t>
      </w:r>
    </w:p>
    <w:p w:rsidR="006C17CB" w:rsidRDefault="0030091C">
      <w:pPr>
        <w:pStyle w:val="ListParagraph"/>
        <w:numPr>
          <w:ilvl w:val="0"/>
          <w:numId w:val="22"/>
        </w:numPr>
        <w:tabs>
          <w:tab w:val="left" w:pos="381"/>
        </w:tabs>
      </w:pPr>
      <w:r>
        <w:t>security;</w:t>
      </w:r>
    </w:p>
    <w:p w:rsidR="006C17CB" w:rsidRDefault="0030091C">
      <w:pPr>
        <w:pStyle w:val="ListParagraph"/>
        <w:numPr>
          <w:ilvl w:val="0"/>
          <w:numId w:val="22"/>
        </w:numPr>
        <w:tabs>
          <w:tab w:val="left" w:pos="381"/>
        </w:tabs>
      </w:pPr>
      <w:r>
        <w:t>building</w:t>
      </w:r>
      <w:r>
        <w:rPr>
          <w:spacing w:val="-2"/>
        </w:rPr>
        <w:t xml:space="preserve"> </w:t>
      </w:r>
      <w:r>
        <w:t>services;</w:t>
      </w:r>
    </w:p>
    <w:p w:rsidR="006C17CB" w:rsidRDefault="0030091C">
      <w:pPr>
        <w:pStyle w:val="ListParagraph"/>
        <w:numPr>
          <w:ilvl w:val="0"/>
          <w:numId w:val="22"/>
        </w:numPr>
        <w:tabs>
          <w:tab w:val="left" w:pos="381"/>
        </w:tabs>
      </w:pPr>
      <w:r>
        <w:t>human resource and entitlements administration;</w:t>
      </w:r>
      <w:r>
        <w:rPr>
          <w:spacing w:val="-4"/>
        </w:rPr>
        <w:t xml:space="preserve"> </w:t>
      </w:r>
      <w:r>
        <w:t>and</w:t>
      </w:r>
    </w:p>
    <w:p w:rsidR="006C17CB" w:rsidRDefault="0030091C">
      <w:pPr>
        <w:pStyle w:val="ListParagraph"/>
        <w:numPr>
          <w:ilvl w:val="0"/>
          <w:numId w:val="22"/>
        </w:numPr>
        <w:tabs>
          <w:tab w:val="left" w:pos="381"/>
        </w:tabs>
        <w:spacing w:line="306" w:lineRule="exact"/>
      </w:pPr>
      <w:r>
        <w:t>financial</w:t>
      </w:r>
      <w:r>
        <w:rPr>
          <w:spacing w:val="-1"/>
        </w:rPr>
        <w:t xml:space="preserve"> </w:t>
      </w:r>
      <w:r>
        <w:t>management.</w:t>
      </w:r>
    </w:p>
    <w:p w:rsidR="006C17CB" w:rsidRDefault="006C17CB">
      <w:pPr>
        <w:pStyle w:val="BodyText"/>
        <w:rPr>
          <w:sz w:val="20"/>
        </w:rPr>
      </w:pPr>
    </w:p>
    <w:p w:rsidR="006C17CB" w:rsidRDefault="0030091C">
      <w:pPr>
        <w:ind w:left="153"/>
        <w:rPr>
          <w:rFonts w:ascii="Montserrat"/>
          <w:sz w:val="19"/>
        </w:rPr>
      </w:pPr>
      <w:r>
        <w:rPr>
          <w:rFonts w:ascii="Montserrat"/>
          <w:sz w:val="19"/>
        </w:rPr>
        <w:t>WEB ACCESSIBILITY</w:t>
      </w:r>
    </w:p>
    <w:p w:rsidR="006C17CB" w:rsidRDefault="0030091C" w:rsidP="005E14C6">
      <w:pPr>
        <w:pStyle w:val="BodyText"/>
        <w:spacing w:before="112" w:line="189" w:lineRule="auto"/>
        <w:ind w:left="153" w:right="1141"/>
      </w:pPr>
      <w:r>
        <w:t>The Office is continuing to improve usability and accessibility of the Legislative Assembly’s website. Following an external audit, priority was given to developing a new site search and improving accessibility of the</w:t>
      </w:r>
      <w:r w:rsidR="005E14C6">
        <w:t xml:space="preserve"> </w:t>
      </w:r>
      <w:r>
        <w:t>site’s high-use and significant webpages, Word and PDF documents, based on Web Content Accessibility Guidelines. A project to develop new templates is planned for the next reporting period, to ensure the accessibility of future documents published by the Office.</w:t>
      </w:r>
    </w:p>
    <w:p w:rsidR="006C17CB" w:rsidRDefault="006C17CB">
      <w:pPr>
        <w:pStyle w:val="BodyText"/>
        <w:spacing w:before="12"/>
        <w:rPr>
          <w:sz w:val="14"/>
        </w:rPr>
      </w:pPr>
    </w:p>
    <w:p w:rsidR="006C17CB" w:rsidRDefault="0030091C">
      <w:pPr>
        <w:ind w:left="153"/>
        <w:rPr>
          <w:rFonts w:ascii="Montserrat" w:hAnsi="Montserrat"/>
          <w:sz w:val="19"/>
        </w:rPr>
      </w:pPr>
      <w:r>
        <w:rPr>
          <w:rFonts w:ascii="Montserrat" w:hAnsi="Montserrat"/>
          <w:sz w:val="19"/>
        </w:rPr>
        <w:t>IMPLEMENTATION AND OPERATION OF THE TERRITORY’S PROTECTIVE SECURITY POLICY</w:t>
      </w:r>
    </w:p>
    <w:p w:rsidR="006C17CB" w:rsidRDefault="0030091C">
      <w:pPr>
        <w:pStyle w:val="BodyText"/>
        <w:spacing w:before="112" w:line="189" w:lineRule="auto"/>
        <w:ind w:left="153" w:right="1412"/>
      </w:pPr>
      <w:r>
        <w:t>On 21 July 2017, the Office’s executive management committee (EMC) agreed to establish a dedicated protective security committee to oversee the implementation and operation of the territory’s protective security policy framework within the Office and the Assembly. Until that time, the EMC had served as the Office’s protective security committee.</w:t>
      </w:r>
    </w:p>
    <w:p w:rsidR="006C17CB" w:rsidRDefault="0030091C">
      <w:pPr>
        <w:pStyle w:val="BodyText"/>
        <w:spacing w:before="111" w:line="189" w:lineRule="auto"/>
        <w:ind w:left="153" w:right="1391"/>
        <w:jc w:val="both"/>
      </w:pPr>
      <w:r>
        <w:t>The</w:t>
      </w:r>
      <w:r>
        <w:rPr>
          <w:spacing w:val="-4"/>
        </w:rPr>
        <w:t xml:space="preserve"> </w:t>
      </w:r>
      <w:r>
        <w:t>dedicated</w:t>
      </w:r>
      <w:r>
        <w:rPr>
          <w:spacing w:val="-4"/>
        </w:rPr>
        <w:t xml:space="preserve"> </w:t>
      </w:r>
      <w:r>
        <w:t>committee</w:t>
      </w:r>
      <w:r>
        <w:rPr>
          <w:spacing w:val="-4"/>
        </w:rPr>
        <w:t xml:space="preserve"> </w:t>
      </w:r>
      <w:r>
        <w:t>met</w:t>
      </w:r>
      <w:r>
        <w:rPr>
          <w:spacing w:val="-3"/>
        </w:rPr>
        <w:t xml:space="preserve"> </w:t>
      </w:r>
      <w:r>
        <w:t>for</w:t>
      </w:r>
      <w:r>
        <w:rPr>
          <w:spacing w:val="-4"/>
        </w:rPr>
        <w:t xml:space="preserve"> </w:t>
      </w:r>
      <w:r>
        <w:t>the</w:t>
      </w:r>
      <w:r>
        <w:rPr>
          <w:spacing w:val="-4"/>
        </w:rPr>
        <w:t xml:space="preserve"> </w:t>
      </w:r>
      <w:r>
        <w:t>first</w:t>
      </w:r>
      <w:r>
        <w:rPr>
          <w:spacing w:val="-3"/>
        </w:rPr>
        <w:t xml:space="preserve"> </w:t>
      </w:r>
      <w:r>
        <w:t>time</w:t>
      </w:r>
      <w:r>
        <w:rPr>
          <w:spacing w:val="-4"/>
        </w:rPr>
        <w:t xml:space="preserve"> </w:t>
      </w:r>
      <w:r>
        <w:t>in</w:t>
      </w:r>
      <w:r>
        <w:rPr>
          <w:spacing w:val="-3"/>
        </w:rPr>
        <w:t xml:space="preserve"> </w:t>
      </w:r>
      <w:r>
        <w:rPr>
          <w:spacing w:val="-4"/>
        </w:rPr>
        <w:t>July,</w:t>
      </w:r>
      <w:r>
        <w:rPr>
          <w:spacing w:val="-3"/>
        </w:rPr>
        <w:t xml:space="preserve"> </w:t>
      </w:r>
      <w:r>
        <w:t>and</w:t>
      </w:r>
      <w:r>
        <w:rPr>
          <w:spacing w:val="-3"/>
        </w:rPr>
        <w:t xml:space="preserve"> </w:t>
      </w:r>
      <w:r>
        <w:t>on</w:t>
      </w:r>
      <w:r>
        <w:rPr>
          <w:spacing w:val="-4"/>
        </w:rPr>
        <w:t xml:space="preserve"> </w:t>
      </w:r>
      <w:r>
        <w:t>six</w:t>
      </w:r>
      <w:r>
        <w:rPr>
          <w:spacing w:val="-4"/>
        </w:rPr>
        <w:t xml:space="preserve"> </w:t>
      </w:r>
      <w:r>
        <w:t>further</w:t>
      </w:r>
      <w:r>
        <w:rPr>
          <w:spacing w:val="-3"/>
        </w:rPr>
        <w:t xml:space="preserve"> </w:t>
      </w:r>
      <w:r>
        <w:t>occasions</w:t>
      </w:r>
      <w:r>
        <w:rPr>
          <w:spacing w:val="-3"/>
        </w:rPr>
        <w:t xml:space="preserve"> </w:t>
      </w:r>
      <w:r>
        <w:t>during</w:t>
      </w:r>
      <w:r>
        <w:rPr>
          <w:spacing w:val="-3"/>
        </w:rPr>
        <w:t xml:space="preserve"> </w:t>
      </w:r>
      <w:r>
        <w:t>the</w:t>
      </w:r>
      <w:r>
        <w:rPr>
          <w:spacing w:val="-4"/>
        </w:rPr>
        <w:t xml:space="preserve"> </w:t>
      </w:r>
      <w:r>
        <w:rPr>
          <w:spacing w:val="-5"/>
        </w:rPr>
        <w:t>year.</w:t>
      </w:r>
      <w:r>
        <w:rPr>
          <w:spacing w:val="-3"/>
        </w:rPr>
        <w:t xml:space="preserve"> </w:t>
      </w:r>
      <w:r>
        <w:t>One</w:t>
      </w:r>
      <w:r>
        <w:rPr>
          <w:spacing w:val="-4"/>
        </w:rPr>
        <w:t xml:space="preserve"> </w:t>
      </w:r>
      <w:r>
        <w:t>of the</w:t>
      </w:r>
      <w:r>
        <w:rPr>
          <w:spacing w:val="-6"/>
        </w:rPr>
        <w:t xml:space="preserve"> </w:t>
      </w:r>
      <w:r>
        <w:t>key</w:t>
      </w:r>
      <w:r>
        <w:rPr>
          <w:spacing w:val="-5"/>
        </w:rPr>
        <w:t xml:space="preserve"> </w:t>
      </w:r>
      <w:r>
        <w:t>bodies</w:t>
      </w:r>
      <w:r>
        <w:rPr>
          <w:spacing w:val="-5"/>
        </w:rPr>
        <w:t xml:space="preserve"> </w:t>
      </w:r>
      <w:r>
        <w:t>of</w:t>
      </w:r>
      <w:r>
        <w:rPr>
          <w:spacing w:val="-5"/>
        </w:rPr>
        <w:t xml:space="preserve"> </w:t>
      </w:r>
      <w:r>
        <w:t>work</w:t>
      </w:r>
      <w:r>
        <w:rPr>
          <w:spacing w:val="-5"/>
        </w:rPr>
        <w:t xml:space="preserve"> </w:t>
      </w:r>
      <w:r>
        <w:t>that</w:t>
      </w:r>
      <w:r>
        <w:rPr>
          <w:spacing w:val="-5"/>
        </w:rPr>
        <w:t xml:space="preserve"> </w:t>
      </w:r>
      <w:r>
        <w:t>the</w:t>
      </w:r>
      <w:r>
        <w:rPr>
          <w:spacing w:val="-6"/>
        </w:rPr>
        <w:t xml:space="preserve"> </w:t>
      </w:r>
      <w:r>
        <w:t>committee</w:t>
      </w:r>
      <w:r>
        <w:rPr>
          <w:spacing w:val="-6"/>
        </w:rPr>
        <w:t xml:space="preserve"> </w:t>
      </w:r>
      <w:r>
        <w:t>oversaw</w:t>
      </w:r>
      <w:r>
        <w:rPr>
          <w:spacing w:val="-5"/>
        </w:rPr>
        <w:t xml:space="preserve"> </w:t>
      </w:r>
      <w:r>
        <w:t>was</w:t>
      </w:r>
      <w:r>
        <w:rPr>
          <w:spacing w:val="-5"/>
        </w:rPr>
        <w:t xml:space="preserve"> </w:t>
      </w:r>
      <w:r>
        <w:t>the</w:t>
      </w:r>
      <w:r>
        <w:rPr>
          <w:spacing w:val="-6"/>
        </w:rPr>
        <w:t xml:space="preserve"> </w:t>
      </w:r>
      <w:r>
        <w:t>development</w:t>
      </w:r>
      <w:r>
        <w:rPr>
          <w:spacing w:val="-5"/>
        </w:rPr>
        <w:t xml:space="preserve"> </w:t>
      </w:r>
      <w:r>
        <w:t>of</w:t>
      </w:r>
      <w:r>
        <w:rPr>
          <w:spacing w:val="-5"/>
        </w:rPr>
        <w:t xml:space="preserve"> </w:t>
      </w:r>
      <w:r>
        <w:t>a</w:t>
      </w:r>
      <w:r>
        <w:rPr>
          <w:spacing w:val="-5"/>
        </w:rPr>
        <w:t xml:space="preserve"> </w:t>
      </w:r>
      <w:r>
        <w:t>protective</w:t>
      </w:r>
      <w:r>
        <w:rPr>
          <w:spacing w:val="-6"/>
        </w:rPr>
        <w:t xml:space="preserve"> </w:t>
      </w:r>
      <w:r>
        <w:t>security</w:t>
      </w:r>
      <w:r>
        <w:rPr>
          <w:spacing w:val="-5"/>
        </w:rPr>
        <w:t xml:space="preserve"> </w:t>
      </w:r>
      <w:r>
        <w:t>plan</w:t>
      </w:r>
      <w:r>
        <w:rPr>
          <w:spacing w:val="-5"/>
        </w:rPr>
        <w:t xml:space="preserve"> </w:t>
      </w:r>
      <w:r>
        <w:t>and an</w:t>
      </w:r>
      <w:r>
        <w:rPr>
          <w:spacing w:val="-4"/>
        </w:rPr>
        <w:t xml:space="preserve"> </w:t>
      </w:r>
      <w:r>
        <w:t>associated</w:t>
      </w:r>
      <w:r>
        <w:rPr>
          <w:spacing w:val="-4"/>
        </w:rPr>
        <w:t xml:space="preserve"> </w:t>
      </w:r>
      <w:r>
        <w:t>implementation</w:t>
      </w:r>
      <w:r>
        <w:rPr>
          <w:spacing w:val="-4"/>
        </w:rPr>
        <w:t xml:space="preserve"> </w:t>
      </w:r>
      <w:r>
        <w:t>schedule,</w:t>
      </w:r>
      <w:r>
        <w:rPr>
          <w:spacing w:val="-3"/>
        </w:rPr>
        <w:t xml:space="preserve"> </w:t>
      </w:r>
      <w:r>
        <w:t>both</w:t>
      </w:r>
      <w:r>
        <w:rPr>
          <w:spacing w:val="-3"/>
        </w:rPr>
        <w:t xml:space="preserve"> </w:t>
      </w:r>
      <w:r>
        <w:t>of</w:t>
      </w:r>
      <w:r>
        <w:rPr>
          <w:spacing w:val="-3"/>
        </w:rPr>
        <w:t xml:space="preserve"> </w:t>
      </w:r>
      <w:r>
        <w:t>which</w:t>
      </w:r>
      <w:r>
        <w:rPr>
          <w:spacing w:val="-3"/>
        </w:rPr>
        <w:t xml:space="preserve"> </w:t>
      </w:r>
      <w:r>
        <w:t>were</w:t>
      </w:r>
      <w:r>
        <w:rPr>
          <w:spacing w:val="-4"/>
        </w:rPr>
        <w:t xml:space="preserve"> </w:t>
      </w:r>
      <w:r>
        <w:t>endorsed</w:t>
      </w:r>
      <w:r>
        <w:rPr>
          <w:spacing w:val="-4"/>
        </w:rPr>
        <w:t xml:space="preserve"> </w:t>
      </w:r>
      <w:r>
        <w:t>by</w:t>
      </w:r>
      <w:r>
        <w:rPr>
          <w:spacing w:val="-3"/>
        </w:rPr>
        <w:t xml:space="preserve"> </w:t>
      </w:r>
      <w:r>
        <w:t>the</w:t>
      </w:r>
      <w:r>
        <w:rPr>
          <w:spacing w:val="-4"/>
        </w:rPr>
        <w:t xml:space="preserve"> </w:t>
      </w:r>
      <w:r>
        <w:t>EMC</w:t>
      </w:r>
      <w:r>
        <w:rPr>
          <w:spacing w:val="-4"/>
        </w:rPr>
        <w:t xml:space="preserve"> </w:t>
      </w:r>
      <w:r>
        <w:t>in</w:t>
      </w:r>
      <w:r>
        <w:rPr>
          <w:spacing w:val="-3"/>
        </w:rPr>
        <w:t xml:space="preserve"> </w:t>
      </w:r>
      <w:r>
        <w:t>March</w:t>
      </w:r>
      <w:r>
        <w:rPr>
          <w:spacing w:val="-3"/>
        </w:rPr>
        <w:t xml:space="preserve"> </w:t>
      </w:r>
      <w:r>
        <w:t>2018.</w:t>
      </w:r>
    </w:p>
    <w:p w:rsidR="006C17CB" w:rsidRDefault="0030091C">
      <w:pPr>
        <w:pStyle w:val="BodyText"/>
        <w:spacing w:before="112" w:line="189" w:lineRule="auto"/>
        <w:ind w:left="153" w:right="1412"/>
      </w:pPr>
      <w:r>
        <w:t>In addition to identifying relevant governance structures and resources that support protective security delivery, the protective security plan sets out six key strategies. The implementation schedule identifies a series of actions that address those strategies. Actions undertaken up to 30 June 2018 include:</w:t>
      </w:r>
    </w:p>
    <w:p w:rsidR="006C17CB" w:rsidRDefault="0030091C">
      <w:pPr>
        <w:pStyle w:val="ListParagraph"/>
        <w:numPr>
          <w:ilvl w:val="0"/>
          <w:numId w:val="22"/>
        </w:numPr>
        <w:tabs>
          <w:tab w:val="left" w:pos="381"/>
        </w:tabs>
        <w:spacing w:before="58" w:line="306" w:lineRule="exact"/>
      </w:pPr>
      <w:r>
        <w:t xml:space="preserve">revisions to the </w:t>
      </w:r>
      <w:hyperlink r:id="rId46">
        <w:r>
          <w:rPr>
            <w:rFonts w:ascii="Calibri"/>
            <w:i/>
            <w:spacing w:val="-5"/>
          </w:rPr>
          <w:t xml:space="preserve">Legislative Assembly Precincts </w:t>
        </w:r>
        <w:r>
          <w:rPr>
            <w:rFonts w:ascii="Calibri"/>
            <w:i/>
            <w:spacing w:val="-3"/>
          </w:rPr>
          <w:t xml:space="preserve">Act </w:t>
        </w:r>
        <w:r>
          <w:rPr>
            <w:rFonts w:ascii="Calibri"/>
            <w:i/>
            <w:spacing w:val="-4"/>
          </w:rPr>
          <w:t xml:space="preserve">2001 </w:t>
        </w:r>
      </w:hyperlink>
      <w:r>
        <w:t>and to delegations made under that Act;</w:t>
      </w:r>
      <w:r>
        <w:rPr>
          <w:spacing w:val="-29"/>
        </w:rPr>
        <w:t xml:space="preserve"> </w:t>
      </w:r>
      <w:r>
        <w:t>and</w:t>
      </w:r>
    </w:p>
    <w:p w:rsidR="006C17CB" w:rsidRDefault="0030091C">
      <w:pPr>
        <w:pStyle w:val="ListParagraph"/>
        <w:numPr>
          <w:ilvl w:val="0"/>
          <w:numId w:val="22"/>
        </w:numPr>
        <w:tabs>
          <w:tab w:val="left" w:pos="381"/>
        </w:tabs>
        <w:spacing w:line="306" w:lineRule="exact"/>
      </w:pPr>
      <w:r>
        <w:t>raising protective security awareness within the Assembly building through improved induction</w:t>
      </w:r>
      <w:r>
        <w:rPr>
          <w:spacing w:val="-25"/>
        </w:rPr>
        <w:t xml:space="preserve"> </w:t>
      </w:r>
      <w:r>
        <w:t>material.</w:t>
      </w:r>
    </w:p>
    <w:p w:rsidR="006C17CB" w:rsidRDefault="0030091C">
      <w:pPr>
        <w:pStyle w:val="BodyText"/>
        <w:spacing w:before="185" w:line="189" w:lineRule="auto"/>
        <w:ind w:left="153" w:right="1205"/>
      </w:pPr>
      <w:r>
        <w:t>The implementation of the plan will continue in the coming year, including a review of the design and layout of the entrances to the Assembly building to improve access control arrangements and management of visitors.</w:t>
      </w:r>
    </w:p>
    <w:p w:rsidR="006C17CB" w:rsidRDefault="006C17CB">
      <w:pPr>
        <w:pStyle w:val="BodyText"/>
        <w:spacing w:before="14"/>
        <w:rPr>
          <w:sz w:val="14"/>
        </w:rPr>
      </w:pPr>
    </w:p>
    <w:p w:rsidR="006C17CB" w:rsidRDefault="0030091C">
      <w:pPr>
        <w:ind w:left="153"/>
        <w:rPr>
          <w:rFonts w:ascii="Montserrat"/>
          <w:sz w:val="19"/>
        </w:rPr>
      </w:pPr>
      <w:r>
        <w:rPr>
          <w:rFonts w:ascii="Montserrat"/>
          <w:sz w:val="19"/>
        </w:rPr>
        <w:t>INSTALLATION OF DOUBLE GLAZING</w:t>
      </w:r>
    </w:p>
    <w:p w:rsidR="006C17CB" w:rsidRDefault="0030091C" w:rsidP="005E14C6">
      <w:pPr>
        <w:pStyle w:val="BodyText"/>
        <w:spacing w:before="112" w:line="189" w:lineRule="auto"/>
        <w:ind w:left="153" w:right="1054"/>
      </w:pPr>
      <w:r>
        <w:t>An initial phase of double glazing was installed or retrofitted to windows in the Assembly building to address a number of longstanding building design issues. The double glazing aimed to reduce heat loss in winter and heat gain in summer and provide acoustic insulation. The priority areas were the southern side of the building</w:t>
      </w:r>
      <w:r w:rsidR="005E14C6">
        <w:t xml:space="preserve"> </w:t>
      </w:r>
      <w:r>
        <w:t>and the office suites of members and ministers. In the year ahead, the Office plans to complete the remainder of the externally facing windows.</w:t>
      </w:r>
    </w:p>
    <w:p w:rsidR="006C17CB" w:rsidRDefault="006C17CB">
      <w:pPr>
        <w:pStyle w:val="BodyText"/>
        <w:spacing w:before="12"/>
        <w:rPr>
          <w:sz w:val="14"/>
        </w:rPr>
      </w:pPr>
    </w:p>
    <w:p w:rsidR="006C17CB" w:rsidRDefault="0030091C">
      <w:pPr>
        <w:ind w:left="153"/>
        <w:rPr>
          <w:rFonts w:ascii="Montserrat"/>
          <w:sz w:val="19"/>
        </w:rPr>
      </w:pPr>
      <w:r>
        <w:rPr>
          <w:rFonts w:ascii="Montserrat"/>
          <w:sz w:val="19"/>
        </w:rPr>
        <w:t>INSTALLATION OF LED LIGHTING</w:t>
      </w:r>
    </w:p>
    <w:p w:rsidR="006C17CB" w:rsidRDefault="0030091C">
      <w:pPr>
        <w:pStyle w:val="BodyText"/>
        <w:spacing w:before="112" w:line="189" w:lineRule="auto"/>
        <w:ind w:left="153" w:right="1177"/>
      </w:pPr>
      <w:r>
        <w:t>During the year, approximately 700 fluorescent light tubes in the suites of members, ministers and Office staff in the Assembly building were replaced with equivalent LED lighting tubes. These LED tubes will reduce the amount of energy used to provide lighting and, due to their much longer life, will also minimise the maintenance costs of replacing lighting tubes.</w:t>
      </w:r>
    </w:p>
    <w:p w:rsidR="006C17CB" w:rsidRDefault="006C17CB">
      <w:pPr>
        <w:spacing w:line="189" w:lineRule="auto"/>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3"/>
        <w:rPr>
          <w:sz w:val="17"/>
        </w:rPr>
      </w:pPr>
    </w:p>
    <w:p w:rsidR="006C17CB" w:rsidRDefault="0030091C">
      <w:pPr>
        <w:spacing w:before="128"/>
        <w:ind w:left="153"/>
        <w:rPr>
          <w:rFonts w:ascii="Montserrat"/>
          <w:sz w:val="19"/>
        </w:rPr>
      </w:pPr>
      <w:r>
        <w:rPr>
          <w:rFonts w:ascii="Montserrat"/>
          <w:sz w:val="19"/>
        </w:rPr>
        <w:t>PROVISION OF TABLETS TO NON-EXECUTIVE MEMBERS</w:t>
      </w:r>
    </w:p>
    <w:p w:rsidR="006C17CB" w:rsidRDefault="0030091C">
      <w:pPr>
        <w:pStyle w:val="BodyText"/>
        <w:spacing w:before="112" w:line="189" w:lineRule="auto"/>
        <w:ind w:left="153" w:right="1453"/>
        <w:jc w:val="both"/>
      </w:pPr>
      <w:r>
        <w:t xml:space="preserve">In late </w:t>
      </w:r>
      <w:r>
        <w:rPr>
          <w:spacing w:val="-8"/>
        </w:rPr>
        <w:t xml:space="preserve">2017, </w:t>
      </w:r>
      <w:r>
        <w:t>the Assembly adopted new arrangements for the distribution of certain documents tabled in the</w:t>
      </w:r>
      <w:r>
        <w:rPr>
          <w:spacing w:val="-9"/>
        </w:rPr>
        <w:t xml:space="preserve"> </w:t>
      </w:r>
      <w:r>
        <w:t>chamber</w:t>
      </w:r>
      <w:r>
        <w:rPr>
          <w:spacing w:val="-8"/>
        </w:rPr>
        <w:t xml:space="preserve"> </w:t>
      </w:r>
      <w:r>
        <w:t>and</w:t>
      </w:r>
      <w:r>
        <w:rPr>
          <w:spacing w:val="-8"/>
        </w:rPr>
        <w:t xml:space="preserve"> </w:t>
      </w:r>
      <w:r>
        <w:t>provided</w:t>
      </w:r>
      <w:r>
        <w:rPr>
          <w:spacing w:val="-9"/>
        </w:rPr>
        <w:t xml:space="preserve"> </w:t>
      </w:r>
      <w:r>
        <w:t>to</w:t>
      </w:r>
      <w:r>
        <w:rPr>
          <w:spacing w:val="-9"/>
        </w:rPr>
        <w:t xml:space="preserve"> </w:t>
      </w:r>
      <w:r>
        <w:t>committees.</w:t>
      </w:r>
      <w:r>
        <w:rPr>
          <w:spacing w:val="-8"/>
        </w:rPr>
        <w:t xml:space="preserve"> </w:t>
      </w:r>
      <w:r>
        <w:t>Under</w:t>
      </w:r>
      <w:r>
        <w:rPr>
          <w:spacing w:val="-8"/>
        </w:rPr>
        <w:t xml:space="preserve"> </w:t>
      </w:r>
      <w:r>
        <w:t>these</w:t>
      </w:r>
      <w:r>
        <w:rPr>
          <w:spacing w:val="-9"/>
        </w:rPr>
        <w:t xml:space="preserve"> </w:t>
      </w:r>
      <w:r>
        <w:t>revised</w:t>
      </w:r>
      <w:r>
        <w:rPr>
          <w:spacing w:val="-9"/>
        </w:rPr>
        <w:t xml:space="preserve"> </w:t>
      </w:r>
      <w:r>
        <w:t>arrangements,</w:t>
      </w:r>
      <w:r>
        <w:rPr>
          <w:spacing w:val="-8"/>
        </w:rPr>
        <w:t xml:space="preserve"> </w:t>
      </w:r>
      <w:r>
        <w:t>submissions</w:t>
      </w:r>
      <w:r>
        <w:rPr>
          <w:spacing w:val="-8"/>
        </w:rPr>
        <w:t xml:space="preserve"> </w:t>
      </w:r>
      <w:r>
        <w:t>to</w:t>
      </w:r>
      <w:r>
        <w:rPr>
          <w:spacing w:val="-9"/>
        </w:rPr>
        <w:t xml:space="preserve"> </w:t>
      </w:r>
      <w:r>
        <w:t>committees (most</w:t>
      </w:r>
      <w:r>
        <w:rPr>
          <w:spacing w:val="-6"/>
        </w:rPr>
        <w:t xml:space="preserve"> </w:t>
      </w:r>
      <w:r>
        <w:t>of</w:t>
      </w:r>
      <w:r>
        <w:rPr>
          <w:spacing w:val="-6"/>
        </w:rPr>
        <w:t xml:space="preserve"> </w:t>
      </w:r>
      <w:r>
        <w:t>which</w:t>
      </w:r>
      <w:r>
        <w:rPr>
          <w:spacing w:val="-7"/>
        </w:rPr>
        <w:t xml:space="preserve"> </w:t>
      </w:r>
      <w:r>
        <w:t>were</w:t>
      </w:r>
      <w:r>
        <w:rPr>
          <w:spacing w:val="-7"/>
        </w:rPr>
        <w:t xml:space="preserve"> </w:t>
      </w:r>
      <w:r>
        <w:t>already</w:t>
      </w:r>
      <w:r>
        <w:rPr>
          <w:spacing w:val="-6"/>
        </w:rPr>
        <w:t xml:space="preserve"> </w:t>
      </w:r>
      <w:r>
        <w:t>being</w:t>
      </w:r>
      <w:r>
        <w:rPr>
          <w:spacing w:val="-6"/>
        </w:rPr>
        <w:t xml:space="preserve"> </w:t>
      </w:r>
      <w:r>
        <w:t>received</w:t>
      </w:r>
      <w:r>
        <w:rPr>
          <w:spacing w:val="-7"/>
        </w:rPr>
        <w:t xml:space="preserve"> </w:t>
      </w:r>
      <w:r>
        <w:t>in</w:t>
      </w:r>
      <w:r>
        <w:rPr>
          <w:spacing w:val="-6"/>
        </w:rPr>
        <w:t xml:space="preserve"> </w:t>
      </w:r>
      <w:r>
        <w:t>digital</w:t>
      </w:r>
      <w:r>
        <w:rPr>
          <w:spacing w:val="-6"/>
        </w:rPr>
        <w:t xml:space="preserve"> </w:t>
      </w:r>
      <w:r>
        <w:rPr>
          <w:spacing w:val="-3"/>
        </w:rPr>
        <w:t>form)</w:t>
      </w:r>
      <w:r>
        <w:rPr>
          <w:spacing w:val="-6"/>
        </w:rPr>
        <w:t xml:space="preserve"> </w:t>
      </w:r>
      <w:r>
        <w:t>are</w:t>
      </w:r>
      <w:r>
        <w:rPr>
          <w:spacing w:val="-7"/>
        </w:rPr>
        <w:t xml:space="preserve"> </w:t>
      </w:r>
      <w:r>
        <w:t>captured</w:t>
      </w:r>
      <w:r>
        <w:rPr>
          <w:spacing w:val="-7"/>
        </w:rPr>
        <w:t xml:space="preserve"> </w:t>
      </w:r>
      <w:r>
        <w:t>and</w:t>
      </w:r>
      <w:r>
        <w:rPr>
          <w:spacing w:val="-6"/>
        </w:rPr>
        <w:t xml:space="preserve"> </w:t>
      </w:r>
      <w:r>
        <w:t>distributed</w:t>
      </w:r>
      <w:r>
        <w:rPr>
          <w:spacing w:val="-7"/>
        </w:rPr>
        <w:t xml:space="preserve"> </w:t>
      </w:r>
      <w:r>
        <w:t>digitally.</w:t>
      </w:r>
      <w:r>
        <w:rPr>
          <w:spacing w:val="-6"/>
        </w:rPr>
        <w:t xml:space="preserve"> </w:t>
      </w:r>
      <w:r>
        <w:t>The</w:t>
      </w:r>
      <w:r>
        <w:rPr>
          <w:spacing w:val="-7"/>
        </w:rPr>
        <w:t xml:space="preserve"> </w:t>
      </w:r>
      <w:r>
        <w:t>new arrangements have reduced the amount of printed material being copied and</w:t>
      </w:r>
      <w:r>
        <w:rPr>
          <w:spacing w:val="-29"/>
        </w:rPr>
        <w:t xml:space="preserve"> </w:t>
      </w:r>
      <w:r>
        <w:t>distributed.</w:t>
      </w:r>
    </w:p>
    <w:p w:rsidR="006C17CB" w:rsidRDefault="0030091C">
      <w:pPr>
        <w:pStyle w:val="BodyText"/>
        <w:spacing w:before="112" w:line="189" w:lineRule="auto"/>
        <w:ind w:left="153" w:right="1582"/>
      </w:pPr>
      <w:r>
        <w:rPr>
          <w:spacing w:val="-7"/>
        </w:rPr>
        <w:t xml:space="preserve">To </w:t>
      </w:r>
      <w:r>
        <w:t>facilitate these new arrangements and other changes made to the distribution of documents tabled in</w:t>
      </w:r>
      <w:r>
        <w:rPr>
          <w:spacing w:val="-6"/>
        </w:rPr>
        <w:t xml:space="preserve"> </w:t>
      </w:r>
      <w:r>
        <w:t>the</w:t>
      </w:r>
      <w:r>
        <w:rPr>
          <w:spacing w:val="-6"/>
        </w:rPr>
        <w:t xml:space="preserve"> </w:t>
      </w:r>
      <w:r>
        <w:rPr>
          <w:spacing w:val="-4"/>
        </w:rPr>
        <w:t>chamber,</w:t>
      </w:r>
      <w:r>
        <w:rPr>
          <w:spacing w:val="-5"/>
        </w:rPr>
        <w:t xml:space="preserve"> </w:t>
      </w:r>
      <w:r>
        <w:t>and</w:t>
      </w:r>
      <w:r>
        <w:rPr>
          <w:spacing w:val="-5"/>
        </w:rPr>
        <w:t xml:space="preserve"> </w:t>
      </w:r>
      <w:r>
        <w:t>to</w:t>
      </w:r>
      <w:r>
        <w:rPr>
          <w:spacing w:val="-6"/>
        </w:rPr>
        <w:t xml:space="preserve"> </w:t>
      </w:r>
      <w:r>
        <w:t>enable</w:t>
      </w:r>
      <w:r>
        <w:rPr>
          <w:spacing w:val="-6"/>
        </w:rPr>
        <w:t xml:space="preserve"> </w:t>
      </w:r>
      <w:r>
        <w:t>members</w:t>
      </w:r>
      <w:r>
        <w:rPr>
          <w:spacing w:val="-5"/>
        </w:rPr>
        <w:t xml:space="preserve"> </w:t>
      </w:r>
      <w:r>
        <w:t>to</w:t>
      </w:r>
      <w:r>
        <w:rPr>
          <w:spacing w:val="-6"/>
        </w:rPr>
        <w:t xml:space="preserve"> </w:t>
      </w:r>
      <w:r>
        <w:t>view</w:t>
      </w:r>
      <w:r>
        <w:rPr>
          <w:spacing w:val="-5"/>
        </w:rPr>
        <w:t xml:space="preserve"> </w:t>
      </w:r>
      <w:r>
        <w:t>documentation</w:t>
      </w:r>
      <w:r>
        <w:rPr>
          <w:spacing w:val="-5"/>
        </w:rPr>
        <w:t xml:space="preserve"> </w:t>
      </w:r>
      <w:r>
        <w:t>in</w:t>
      </w:r>
      <w:r>
        <w:rPr>
          <w:spacing w:val="-5"/>
        </w:rPr>
        <w:t xml:space="preserve"> </w:t>
      </w:r>
      <w:r>
        <w:t>both</w:t>
      </w:r>
      <w:r>
        <w:rPr>
          <w:spacing w:val="-5"/>
        </w:rPr>
        <w:t xml:space="preserve"> </w:t>
      </w:r>
      <w:r>
        <w:t>the</w:t>
      </w:r>
      <w:r>
        <w:rPr>
          <w:spacing w:val="-6"/>
        </w:rPr>
        <w:t xml:space="preserve"> </w:t>
      </w:r>
      <w:r>
        <w:t>chamber</w:t>
      </w:r>
      <w:r>
        <w:rPr>
          <w:spacing w:val="-5"/>
        </w:rPr>
        <w:t xml:space="preserve"> </w:t>
      </w:r>
      <w:r>
        <w:t>and</w:t>
      </w:r>
      <w:r>
        <w:rPr>
          <w:spacing w:val="-5"/>
        </w:rPr>
        <w:t xml:space="preserve"> </w:t>
      </w:r>
      <w:r>
        <w:t>the</w:t>
      </w:r>
      <w:r>
        <w:rPr>
          <w:spacing w:val="-6"/>
        </w:rPr>
        <w:t xml:space="preserve"> </w:t>
      </w:r>
      <w:r>
        <w:t>committee rooms, the Office supplied each non-executive member with a tablet with wi-fi</w:t>
      </w:r>
      <w:r>
        <w:rPr>
          <w:spacing w:val="-24"/>
        </w:rPr>
        <w:t xml:space="preserve"> </w:t>
      </w:r>
      <w:r>
        <w:t>connection.</w:t>
      </w:r>
    </w:p>
    <w:p w:rsidR="006C17CB" w:rsidRDefault="006C17CB">
      <w:pPr>
        <w:pStyle w:val="BodyText"/>
        <w:spacing w:before="13"/>
        <w:rPr>
          <w:sz w:val="14"/>
        </w:rPr>
      </w:pPr>
    </w:p>
    <w:p w:rsidR="006C17CB" w:rsidRDefault="0030091C">
      <w:pPr>
        <w:ind w:left="153"/>
        <w:rPr>
          <w:rFonts w:ascii="Montserrat"/>
          <w:sz w:val="19"/>
        </w:rPr>
      </w:pPr>
      <w:r>
        <w:rPr>
          <w:rFonts w:ascii="Montserrat"/>
          <w:sz w:val="19"/>
        </w:rPr>
        <w:t>UPGRADE OF INTERNAL RETICULATION BROADCASTING SERVICES</w:t>
      </w:r>
    </w:p>
    <w:p w:rsidR="006C17CB" w:rsidRDefault="0030091C" w:rsidP="00EA5299">
      <w:pPr>
        <w:pStyle w:val="BodyText"/>
        <w:spacing w:before="112" w:line="189" w:lineRule="auto"/>
        <w:ind w:left="153" w:right="1177"/>
      </w:pPr>
      <w:r>
        <w:t>In late 2017, following increasing performance issues with the internal reticulation of proceedings in the Assembly chamber and committee hearings, the Office identified that the coaxial cable used to support the reticulation service needed to be replaced. This cable was originally installed in 1994, when the Assembly building was extensively refurbished to house the Assembly. The upgrade, completed in three weeks, cost</w:t>
      </w:r>
      <w:r w:rsidR="00EA5299">
        <w:t xml:space="preserve"> </w:t>
      </w:r>
      <w:r>
        <w:t>$0.057m and resolved the issues with the reticulation system.</w:t>
      </w:r>
    </w:p>
    <w:p w:rsidR="006C17CB" w:rsidRDefault="006C17CB">
      <w:pPr>
        <w:pStyle w:val="BodyText"/>
        <w:spacing w:before="11"/>
        <w:rPr>
          <w:sz w:val="14"/>
        </w:rPr>
      </w:pPr>
    </w:p>
    <w:p w:rsidR="006C17CB" w:rsidRDefault="0030091C">
      <w:pPr>
        <w:spacing w:line="228" w:lineRule="auto"/>
        <w:ind w:left="153" w:right="1541"/>
        <w:rPr>
          <w:rFonts w:ascii="Montserrat"/>
          <w:sz w:val="19"/>
        </w:rPr>
      </w:pPr>
      <w:r>
        <w:rPr>
          <w:rFonts w:ascii="Montserrat"/>
          <w:sz w:val="19"/>
        </w:rPr>
        <w:t>DEVELOPMENT OF AN INFORMATION COMMUNICATIONS TECHNOLOGY MANAGEMENT PLAN (ICT)</w:t>
      </w:r>
    </w:p>
    <w:p w:rsidR="006C17CB" w:rsidRDefault="0030091C">
      <w:pPr>
        <w:pStyle w:val="BodyText"/>
        <w:spacing w:before="114" w:line="189" w:lineRule="auto"/>
        <w:ind w:left="153" w:right="1172"/>
      </w:pPr>
      <w:r>
        <w:t>Consistent with a recommendation of the Office’s internal audit committee, an information communications technology management plan was developed during the year. The plan identifies the various business systems the Office uses and seeks to provide a basis for decision-making on the procurement, management, use and disposal of ICT assets in accordance with the business and strategic needs of the Assembly and the Office. It is intended that the plan will be reviewed annually.</w:t>
      </w:r>
    </w:p>
    <w:p w:rsidR="006C17CB" w:rsidRDefault="006C17CB">
      <w:pPr>
        <w:pStyle w:val="BodyText"/>
        <w:spacing w:before="12"/>
        <w:rPr>
          <w:sz w:val="14"/>
        </w:rPr>
      </w:pPr>
    </w:p>
    <w:p w:rsidR="006C17CB" w:rsidRDefault="0030091C">
      <w:pPr>
        <w:spacing w:before="1"/>
        <w:ind w:left="153"/>
        <w:rPr>
          <w:rFonts w:ascii="Montserrat"/>
          <w:sz w:val="19"/>
        </w:rPr>
      </w:pPr>
      <w:r>
        <w:rPr>
          <w:rFonts w:ascii="Montserrat"/>
          <w:spacing w:val="5"/>
          <w:sz w:val="19"/>
        </w:rPr>
        <w:t xml:space="preserve">INFORMATION </w:t>
      </w:r>
      <w:r>
        <w:rPr>
          <w:rFonts w:ascii="Montserrat"/>
          <w:spacing w:val="6"/>
          <w:sz w:val="19"/>
        </w:rPr>
        <w:t xml:space="preserve">HANDLING </w:t>
      </w:r>
      <w:r>
        <w:rPr>
          <w:rFonts w:ascii="Montserrat"/>
          <w:spacing w:val="5"/>
          <w:sz w:val="19"/>
        </w:rPr>
        <w:t xml:space="preserve">AND </w:t>
      </w:r>
      <w:r>
        <w:rPr>
          <w:rFonts w:ascii="Montserrat"/>
          <w:spacing w:val="6"/>
          <w:sz w:val="19"/>
        </w:rPr>
        <w:t>SECURITY</w:t>
      </w:r>
      <w:r>
        <w:rPr>
          <w:rFonts w:ascii="Montserrat"/>
          <w:spacing w:val="58"/>
          <w:sz w:val="19"/>
        </w:rPr>
        <w:t xml:space="preserve"> </w:t>
      </w:r>
      <w:r>
        <w:rPr>
          <w:rFonts w:ascii="Montserrat"/>
          <w:spacing w:val="7"/>
          <w:sz w:val="19"/>
        </w:rPr>
        <w:t>POLICY</w:t>
      </w:r>
    </w:p>
    <w:p w:rsidR="006C17CB" w:rsidRDefault="0030091C">
      <w:pPr>
        <w:pStyle w:val="BodyText"/>
        <w:spacing w:before="111" w:line="189" w:lineRule="auto"/>
        <w:ind w:left="153" w:right="1066"/>
      </w:pPr>
      <w:r>
        <w:t>The Office creates, holds and receives a wide range of information on behalf of the Assembly and the community, some of which may be confidential or sensitive in nature. All information must be protected from unauthorised or accidental use, modification, loss or release by implementing security measures that match the information’s value, classification and sensitivity. During the year, the Office developed an information handling and security policy which outlines the responsibility of all Office staff to maintain the security of the information within their control.</w:t>
      </w:r>
    </w:p>
    <w:p w:rsidR="006C17CB" w:rsidRDefault="006C17CB">
      <w:pPr>
        <w:pStyle w:val="BodyText"/>
        <w:spacing w:before="12"/>
        <w:rPr>
          <w:sz w:val="14"/>
        </w:rPr>
      </w:pPr>
    </w:p>
    <w:p w:rsidR="006C17CB" w:rsidRDefault="0030091C">
      <w:pPr>
        <w:ind w:left="153"/>
        <w:rPr>
          <w:rFonts w:ascii="Montserrat"/>
          <w:sz w:val="19"/>
        </w:rPr>
      </w:pPr>
      <w:r>
        <w:rPr>
          <w:rFonts w:ascii="Montserrat"/>
          <w:sz w:val="19"/>
        </w:rPr>
        <w:t>ADMINISTRATION OF OFFICIAL TRAVEL</w:t>
      </w:r>
    </w:p>
    <w:p w:rsidR="006C17CB" w:rsidRDefault="0030091C">
      <w:pPr>
        <w:pStyle w:val="BodyText"/>
        <w:spacing w:before="112" w:line="189" w:lineRule="auto"/>
        <w:ind w:left="153" w:right="1068"/>
      </w:pPr>
      <w:r>
        <w:t>Across 2018-2019 the Office provided travel management support for 56 official travel events. The associated costs are reported on the Assembly website and are updated every six months.</w:t>
      </w:r>
    </w:p>
    <w:p w:rsidR="006C17CB" w:rsidRDefault="006C17CB">
      <w:pPr>
        <w:pStyle w:val="BodyText"/>
        <w:spacing w:before="8"/>
        <w:rPr>
          <w:sz w:val="23"/>
        </w:rPr>
      </w:pPr>
    </w:p>
    <w:p w:rsidR="006C17CB" w:rsidRDefault="0030091C">
      <w:pPr>
        <w:ind w:left="153"/>
        <w:rPr>
          <w:rFonts w:ascii="Montserrat-SemiBoldItalic"/>
          <w:b/>
          <w:i/>
          <w:sz w:val="20"/>
        </w:rPr>
      </w:pPr>
      <w:r>
        <w:rPr>
          <w:rFonts w:ascii="Montserrat-SemiBoldItalic"/>
          <w:b/>
          <w:i/>
          <w:sz w:val="20"/>
        </w:rPr>
        <w:t>Community and parliamentary engagement</w:t>
      </w:r>
    </w:p>
    <w:p w:rsidR="006C17CB" w:rsidRDefault="0030091C">
      <w:pPr>
        <w:spacing w:before="269"/>
        <w:ind w:left="153"/>
        <w:rPr>
          <w:rFonts w:ascii="Montserrat"/>
          <w:sz w:val="19"/>
        </w:rPr>
      </w:pPr>
      <w:r>
        <w:rPr>
          <w:rFonts w:ascii="Montserrat"/>
          <w:sz w:val="19"/>
        </w:rPr>
        <w:t>SOCIAL MEDIA AND WEBSITE</w:t>
      </w:r>
    </w:p>
    <w:p w:rsidR="006C17CB" w:rsidRDefault="0030091C">
      <w:pPr>
        <w:pStyle w:val="BodyText"/>
        <w:spacing w:before="112" w:line="189" w:lineRule="auto"/>
        <w:ind w:left="153" w:right="1114"/>
      </w:pPr>
      <w:r>
        <w:t>The key aims of the Office’s communication activities are to promote the roles and functions of the Assembly and to encourage public participation.</w:t>
      </w:r>
    </w:p>
    <w:p w:rsidR="006C17CB" w:rsidRDefault="0030091C">
      <w:pPr>
        <w:pStyle w:val="BodyText"/>
        <w:spacing w:before="112" w:line="189" w:lineRule="auto"/>
        <w:ind w:left="153" w:right="1189"/>
      </w:pPr>
      <w:r>
        <w:t xml:space="preserve">The Office has continued to use </w:t>
      </w:r>
      <w:r>
        <w:rPr>
          <w:spacing w:val="-3"/>
        </w:rPr>
        <w:t xml:space="preserve">Twitter (@ACT_Assembly) </w:t>
      </w:r>
      <w:r>
        <w:t xml:space="preserve">to increase public awareness of the business of the Assembly by publishing tweets on Assembly proceedings and general news. At the end of the reporting period, the Office had approximately 2,900 twitter subscribers, </w:t>
      </w:r>
      <w:r>
        <w:rPr>
          <w:spacing w:val="1"/>
        </w:rPr>
        <w:t>400</w:t>
      </w:r>
      <w:r>
        <w:t xml:space="preserve"> more than at the same time in </w:t>
      </w:r>
      <w:r>
        <w:rPr>
          <w:spacing w:val="-8"/>
        </w:rPr>
        <w:t xml:space="preserve">2017, </w:t>
      </w:r>
      <w:r>
        <w:t>and had published approximately 280 tweets.</w:t>
      </w:r>
    </w:p>
    <w:p w:rsidR="006C17CB" w:rsidRDefault="0030091C">
      <w:pPr>
        <w:pStyle w:val="BodyText"/>
        <w:spacing w:before="112" w:line="189" w:lineRule="auto"/>
        <w:ind w:left="153" w:right="1315"/>
      </w:pPr>
      <w:r>
        <w:t>The Office’s Facebook page (@ACTAssembly) is still developing its presence. Used in tandem with Twitter, the Facebook page broadens the Office’s capacity to provide content on proceedings and provides another option for accessing Assembly information.</w:t>
      </w:r>
    </w:p>
    <w:p w:rsidR="006C17CB" w:rsidRDefault="006C17CB">
      <w:pPr>
        <w:spacing w:line="189" w:lineRule="auto"/>
        <w:sectPr w:rsidR="006C17CB">
          <w:pgSz w:w="11910" w:h="16840"/>
          <w:pgMar w:top="1580" w:right="0" w:bottom="720" w:left="980" w:header="0" w:footer="44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2"/>
        <w:rPr>
          <w:sz w:val="19"/>
        </w:rPr>
      </w:pPr>
    </w:p>
    <w:p w:rsidR="006C17CB" w:rsidRDefault="0030091C">
      <w:pPr>
        <w:pStyle w:val="BodyText"/>
        <w:spacing w:before="62" w:line="189" w:lineRule="auto"/>
        <w:ind w:left="153" w:right="1429"/>
      </w:pPr>
      <w:r>
        <w:rPr>
          <w:spacing w:val="-4"/>
        </w:rPr>
        <w:t>Trend</w:t>
      </w:r>
      <w:r>
        <w:rPr>
          <w:spacing w:val="-8"/>
        </w:rPr>
        <w:t xml:space="preserve"> </w:t>
      </w:r>
      <w:r>
        <w:t>client</w:t>
      </w:r>
      <w:r>
        <w:rPr>
          <w:spacing w:val="-8"/>
        </w:rPr>
        <w:t xml:space="preserve"> </w:t>
      </w:r>
      <w:r>
        <w:t>usage</w:t>
      </w:r>
      <w:r>
        <w:rPr>
          <w:spacing w:val="-9"/>
        </w:rPr>
        <w:t xml:space="preserve"> </w:t>
      </w:r>
      <w:r>
        <w:t>of</w:t>
      </w:r>
      <w:r>
        <w:rPr>
          <w:spacing w:val="-8"/>
        </w:rPr>
        <w:t xml:space="preserve"> </w:t>
      </w:r>
      <w:r>
        <w:t>the</w:t>
      </w:r>
      <w:r>
        <w:rPr>
          <w:spacing w:val="-9"/>
        </w:rPr>
        <w:t xml:space="preserve"> </w:t>
      </w:r>
      <w:r>
        <w:t>website</w:t>
      </w:r>
      <w:r>
        <w:rPr>
          <w:spacing w:val="-9"/>
        </w:rPr>
        <w:t xml:space="preserve"> </w:t>
      </w:r>
      <w:r>
        <w:t>(parliament.act.gov.au)</w:t>
      </w:r>
      <w:r>
        <w:rPr>
          <w:spacing w:val="-8"/>
        </w:rPr>
        <w:t xml:space="preserve"> </w:t>
      </w:r>
      <w:r>
        <w:t>shows</w:t>
      </w:r>
      <w:r>
        <w:rPr>
          <w:spacing w:val="-8"/>
        </w:rPr>
        <w:t xml:space="preserve"> </w:t>
      </w:r>
      <w:r>
        <w:t>that</w:t>
      </w:r>
      <w:r>
        <w:rPr>
          <w:spacing w:val="-8"/>
        </w:rPr>
        <w:t xml:space="preserve"> </w:t>
      </w:r>
      <w:r>
        <w:t>visitor</w:t>
      </w:r>
      <w:r>
        <w:rPr>
          <w:spacing w:val="-9"/>
        </w:rPr>
        <w:t xml:space="preserve"> </w:t>
      </w:r>
      <w:r>
        <w:t>numbers</w:t>
      </w:r>
      <w:r>
        <w:rPr>
          <w:spacing w:val="-8"/>
        </w:rPr>
        <w:t xml:space="preserve"> </w:t>
      </w:r>
      <w:r>
        <w:t>from</w:t>
      </w:r>
      <w:r>
        <w:rPr>
          <w:spacing w:val="-9"/>
        </w:rPr>
        <w:t xml:space="preserve"> </w:t>
      </w:r>
      <w:r>
        <w:t>the</w:t>
      </w:r>
      <w:r>
        <w:rPr>
          <w:spacing w:val="-9"/>
        </w:rPr>
        <w:t xml:space="preserve"> </w:t>
      </w:r>
      <w:r>
        <w:t>period</w:t>
      </w:r>
      <w:r>
        <w:rPr>
          <w:spacing w:val="-8"/>
        </w:rPr>
        <w:t xml:space="preserve"> </w:t>
      </w:r>
      <w:r>
        <w:t xml:space="preserve">were 150,685, compared to </w:t>
      </w:r>
      <w:r>
        <w:rPr>
          <w:spacing w:val="-6"/>
        </w:rPr>
        <w:t xml:space="preserve">127,772 </w:t>
      </w:r>
      <w:r>
        <w:t xml:space="preserve">in </w:t>
      </w:r>
      <w:r>
        <w:rPr>
          <w:spacing w:val="-6"/>
        </w:rPr>
        <w:t xml:space="preserve">2016-2017. </w:t>
      </w:r>
      <w:r>
        <w:t>More website usage details are provided in Appendix 8 of this</w:t>
      </w:r>
      <w:r>
        <w:rPr>
          <w:spacing w:val="-1"/>
        </w:rPr>
        <w:t xml:space="preserve"> </w:t>
      </w:r>
      <w:r>
        <w:t>report.</w:t>
      </w:r>
    </w:p>
    <w:p w:rsidR="006C17CB" w:rsidRDefault="006C17CB">
      <w:pPr>
        <w:pStyle w:val="BodyText"/>
        <w:spacing w:before="13"/>
        <w:rPr>
          <w:sz w:val="14"/>
        </w:rPr>
      </w:pPr>
    </w:p>
    <w:p w:rsidR="006C17CB" w:rsidRDefault="0030091C">
      <w:pPr>
        <w:ind w:left="153"/>
        <w:rPr>
          <w:rFonts w:ascii="Montserrat"/>
          <w:sz w:val="19"/>
        </w:rPr>
      </w:pPr>
      <w:r>
        <w:rPr>
          <w:rFonts w:ascii="Montserrat"/>
          <w:sz w:val="19"/>
        </w:rPr>
        <w:t>PARLIAMENTARY EDUCATION</w:t>
      </w:r>
    </w:p>
    <w:p w:rsidR="006C17CB" w:rsidRDefault="0030091C">
      <w:pPr>
        <w:pStyle w:val="BodyText"/>
        <w:spacing w:before="112" w:line="189" w:lineRule="auto"/>
        <w:ind w:left="153" w:right="1177"/>
      </w:pPr>
      <w:r>
        <w:t>Throughout the reporting period, 2,741 people visited the Assembly as part of the Office’s community engagement and education programs. Programs are evaluated by a satisfaction survey, and 98 per cent of participants who were surveyed returned positive feedback.</w:t>
      </w:r>
    </w:p>
    <w:p w:rsidR="006C17CB" w:rsidRDefault="0030091C">
      <w:pPr>
        <w:pStyle w:val="BodyText"/>
        <w:spacing w:before="112" w:line="189" w:lineRule="auto"/>
        <w:ind w:left="153" w:right="1177"/>
      </w:pPr>
      <w:r>
        <w:t>The success of the Assembly’s education and engagement program relies heavily on the involvement of MLAs. Participants in the Assembly’s education and engagement program continue to report that meeting with MLAs is highly valued. During the year there were 160 occasions of member involvement in education related activities.</w:t>
      </w:r>
    </w:p>
    <w:p w:rsidR="006C17CB" w:rsidRDefault="0030091C">
      <w:pPr>
        <w:pStyle w:val="BodyText"/>
        <w:spacing w:before="57"/>
        <w:ind w:left="153"/>
      </w:pPr>
      <w:r>
        <w:t>Detailed statistics on education programs are included at Appendix 17.</w:t>
      </w:r>
    </w:p>
    <w:p w:rsidR="006C17CB" w:rsidRDefault="006C17CB">
      <w:pPr>
        <w:pStyle w:val="BodyText"/>
        <w:spacing w:before="2"/>
        <w:rPr>
          <w:sz w:val="15"/>
        </w:rPr>
      </w:pPr>
    </w:p>
    <w:p w:rsidR="006C17CB" w:rsidRDefault="0030091C">
      <w:pPr>
        <w:pStyle w:val="Heading7"/>
      </w:pPr>
      <w:r>
        <w:rPr>
          <w:color w:val="6D6D6C"/>
        </w:rPr>
        <w:t>ACT Schools Constitutional Convention (28 July 2017)</w:t>
      </w:r>
    </w:p>
    <w:p w:rsidR="006C17CB" w:rsidRDefault="0030091C">
      <w:pPr>
        <w:pStyle w:val="BodyText"/>
        <w:spacing w:before="100" w:line="189" w:lineRule="auto"/>
        <w:ind w:left="153" w:right="1240"/>
      </w:pPr>
      <w:r>
        <w:t>The Schools Constitutional Convention has taken place in the ACT every year since 2000. It is a collaborative venture undertaken by the Legislative Assembly, the Australian and ACT Electoral Commissions, the Museum of Australian Democracy, the National Archives of Australia, the Education Directorate and the ANU College of Law.</w:t>
      </w:r>
    </w:p>
    <w:p w:rsidR="006C17CB" w:rsidRDefault="0030091C">
      <w:pPr>
        <w:pStyle w:val="BodyText"/>
        <w:spacing w:before="112" w:line="189" w:lineRule="auto"/>
        <w:ind w:left="153" w:right="1412"/>
      </w:pPr>
      <w:r>
        <w:t>The convention provides year 11 students with a comprehensive understanding of the Australian Constitution and the mechanisms by which changes can be made to it under section 128.</w:t>
      </w:r>
    </w:p>
    <w:p w:rsidR="006C17CB" w:rsidRDefault="0030091C" w:rsidP="006B65AE">
      <w:pPr>
        <w:pStyle w:val="BodyText"/>
        <w:spacing w:before="112" w:line="189" w:lineRule="auto"/>
        <w:ind w:left="153" w:right="1944"/>
      </w:pPr>
      <w:r>
        <w:t>The topic for the 2017 convention was ‘Should the Commonwealth Parliament have specific powers to legislate for the environment?’ Eighty-two students and teachers from nine ACT government and</w:t>
      </w:r>
      <w:r w:rsidR="006B65AE">
        <w:t xml:space="preserve"> </w:t>
      </w:r>
      <w:r>
        <w:t>non-government schools participated in the event. Five ACT students were selected to participate in the National Schools Constitutional Convention, held at the Museum of Australian Democracy in 2018.</w:t>
      </w:r>
    </w:p>
    <w:p w:rsidR="006C17CB" w:rsidRDefault="0030091C">
      <w:pPr>
        <w:pStyle w:val="BodyText"/>
        <w:spacing w:before="57" w:line="284" w:lineRule="exact"/>
        <w:ind w:left="153"/>
      </w:pPr>
      <w:r>
        <w:t>The two-day event, held at the National Archives, the Museum of Australian Democracy and the</w:t>
      </w:r>
      <w:r w:rsidR="006B65AE">
        <w:t xml:space="preserve"> </w:t>
      </w:r>
    </w:p>
    <w:p w:rsidR="006C17CB" w:rsidRDefault="0030091C">
      <w:pPr>
        <w:pStyle w:val="BodyText"/>
        <w:spacing w:before="21" w:line="189" w:lineRule="auto"/>
        <w:ind w:left="153" w:right="1177"/>
      </w:pPr>
      <w:r>
        <w:t>ACT Legislative Assembly, featured role plays, discussion groups, viewing of the original constitutional documents and presentations on the powers of the Constitution and the means by which changes to the Constitution can be brought about. Student leaders from ACT schools (year 12 students) who attended the National Schools Constitutional Convention in 2017 also provided assistance.</w:t>
      </w:r>
    </w:p>
    <w:p w:rsidR="006C17CB" w:rsidRDefault="0030091C">
      <w:pPr>
        <w:pStyle w:val="BodyText"/>
        <w:spacing w:before="111" w:line="189" w:lineRule="auto"/>
        <w:ind w:left="153" w:right="1412"/>
      </w:pPr>
      <w:r>
        <w:t>The ANU College of Law provided significant input to the program, with a number of eminent academics contributing detailed information on the role of the Constitution and the referendum process.</w:t>
      </w:r>
    </w:p>
    <w:p w:rsidR="006C17CB" w:rsidRDefault="006C17CB">
      <w:pPr>
        <w:pStyle w:val="BodyText"/>
        <w:spacing w:before="14"/>
        <w:rPr>
          <w:sz w:val="15"/>
        </w:rPr>
      </w:pPr>
    </w:p>
    <w:p w:rsidR="006C17CB" w:rsidRDefault="0030091C">
      <w:pPr>
        <w:pStyle w:val="Heading7"/>
      </w:pPr>
      <w:r>
        <w:rPr>
          <w:color w:val="6D6D6C"/>
        </w:rPr>
        <w:t>Work experience students/internships</w:t>
      </w:r>
    </w:p>
    <w:p w:rsidR="006C17CB" w:rsidRDefault="0030091C">
      <w:pPr>
        <w:pStyle w:val="BodyText"/>
        <w:spacing w:before="101" w:line="189" w:lineRule="auto"/>
        <w:ind w:left="153" w:right="1641"/>
      </w:pPr>
      <w:r>
        <w:t>Work experience and internship placements in members’ offices were undertaken by 23 students from high schools, colleges, Canberra Institute of Technology and the Australian National University during the reporting period.</w:t>
      </w:r>
    </w:p>
    <w:p w:rsidR="006C17CB" w:rsidRDefault="006C17CB">
      <w:pPr>
        <w:pStyle w:val="BodyText"/>
        <w:spacing w:before="13"/>
        <w:rPr>
          <w:sz w:val="15"/>
        </w:rPr>
      </w:pPr>
    </w:p>
    <w:p w:rsidR="006C17CB" w:rsidRDefault="0030091C">
      <w:pPr>
        <w:pStyle w:val="Heading7"/>
      </w:pPr>
      <w:r>
        <w:rPr>
          <w:color w:val="6D6D6C"/>
        </w:rPr>
        <w:t>Interschool parliamentary debates program</w:t>
      </w:r>
    </w:p>
    <w:p w:rsidR="006C17CB" w:rsidRDefault="0030091C">
      <w:pPr>
        <w:pStyle w:val="BodyText"/>
        <w:spacing w:before="100" w:line="189" w:lineRule="auto"/>
        <w:ind w:left="153" w:right="1232"/>
      </w:pPr>
      <w:r>
        <w:t>The interschool parliamentary debates program provides students from years 7 to 12 with the opportunity to practice parliamentary debating skills in the Assembly chamber.</w:t>
      </w:r>
    </w:p>
    <w:p w:rsidR="006C17CB" w:rsidRDefault="0030091C">
      <w:pPr>
        <w:pStyle w:val="BodyText"/>
        <w:spacing w:before="113" w:line="189" w:lineRule="auto"/>
        <w:ind w:left="153" w:right="1412"/>
      </w:pPr>
      <w:r>
        <w:t>Five interschool parliamentary debates programs were held throughout the year. This year, 341 students and accompanying teachers from government and non-government schools participated in the programs. Some schools attended on more than one occasion.</w:t>
      </w:r>
    </w:p>
    <w:p w:rsidR="006C17CB" w:rsidRDefault="0030091C">
      <w:pPr>
        <w:pStyle w:val="BodyText"/>
        <w:spacing w:before="112" w:line="189" w:lineRule="auto"/>
        <w:ind w:left="153" w:right="1072"/>
      </w:pPr>
      <w:r>
        <w:t>The Speaker, Deputy Speaker, Assistant Speakers and MLAs presided over the debates and provided feedback to students on debating technique.</w:t>
      </w:r>
    </w:p>
    <w:p w:rsidR="006C17CB" w:rsidRDefault="006C17CB">
      <w:pPr>
        <w:spacing w:line="189" w:lineRule="auto"/>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
        <w:rPr>
          <w:sz w:val="16"/>
        </w:rPr>
      </w:pPr>
    </w:p>
    <w:p w:rsidR="006C17CB" w:rsidRDefault="0030091C">
      <w:pPr>
        <w:pStyle w:val="Heading7"/>
        <w:spacing w:before="100"/>
      </w:pPr>
      <w:r>
        <w:rPr>
          <w:color w:val="6D6D6C"/>
        </w:rPr>
        <w:t>School/college visits and outreach activities</w:t>
      </w:r>
    </w:p>
    <w:p w:rsidR="006C17CB" w:rsidRDefault="0030091C">
      <w:pPr>
        <w:pStyle w:val="BodyText"/>
        <w:spacing w:before="101" w:line="189" w:lineRule="auto"/>
        <w:ind w:left="153" w:right="1138"/>
      </w:pPr>
      <w:r>
        <w:t xml:space="preserve">School visits are an integral component of the education program offered by the Assembly. They include visits to the Assembly, where students are given the chance to participate in role plays in the parliamentary </w:t>
      </w:r>
      <w:r>
        <w:rPr>
          <w:spacing w:val="-4"/>
        </w:rPr>
        <w:t xml:space="preserve">chamber, </w:t>
      </w:r>
      <w:r>
        <w:t>mock</w:t>
      </w:r>
      <w:r>
        <w:rPr>
          <w:spacing w:val="-4"/>
        </w:rPr>
        <w:t xml:space="preserve"> </w:t>
      </w:r>
      <w:r>
        <w:t>elections,</w:t>
      </w:r>
      <w:r>
        <w:rPr>
          <w:spacing w:val="-4"/>
        </w:rPr>
        <w:t xml:space="preserve"> </w:t>
      </w:r>
      <w:r>
        <w:t>tours</w:t>
      </w:r>
      <w:r>
        <w:rPr>
          <w:spacing w:val="-4"/>
        </w:rPr>
        <w:t xml:space="preserve"> </w:t>
      </w:r>
      <w:r>
        <w:t>of</w:t>
      </w:r>
      <w:r>
        <w:rPr>
          <w:spacing w:val="-4"/>
        </w:rPr>
        <w:t xml:space="preserve"> </w:t>
      </w:r>
      <w:r>
        <w:t>the</w:t>
      </w:r>
      <w:r>
        <w:rPr>
          <w:spacing w:val="-5"/>
        </w:rPr>
        <w:t xml:space="preserve"> </w:t>
      </w:r>
      <w:r>
        <w:t>building,</w:t>
      </w:r>
      <w:r>
        <w:rPr>
          <w:spacing w:val="-4"/>
        </w:rPr>
        <w:t xml:space="preserve"> </w:t>
      </w:r>
      <w:r>
        <w:t>and</w:t>
      </w:r>
      <w:r>
        <w:rPr>
          <w:spacing w:val="-4"/>
        </w:rPr>
        <w:t xml:space="preserve"> </w:t>
      </w:r>
      <w:r>
        <w:t>presentations</w:t>
      </w:r>
      <w:r>
        <w:rPr>
          <w:spacing w:val="-4"/>
        </w:rPr>
        <w:t xml:space="preserve"> </w:t>
      </w:r>
      <w:r>
        <w:t>on</w:t>
      </w:r>
      <w:r>
        <w:rPr>
          <w:spacing w:val="-5"/>
        </w:rPr>
        <w:t xml:space="preserve"> </w:t>
      </w:r>
      <w:r>
        <w:t>the</w:t>
      </w:r>
      <w:r>
        <w:rPr>
          <w:spacing w:val="-5"/>
        </w:rPr>
        <w:t xml:space="preserve"> </w:t>
      </w:r>
      <w:r>
        <w:t>roles</w:t>
      </w:r>
      <w:r>
        <w:rPr>
          <w:spacing w:val="-4"/>
        </w:rPr>
        <w:t xml:space="preserve"> </w:t>
      </w:r>
      <w:r>
        <w:t>and</w:t>
      </w:r>
      <w:r>
        <w:rPr>
          <w:spacing w:val="-4"/>
        </w:rPr>
        <w:t xml:space="preserve"> </w:t>
      </w:r>
      <w:r>
        <w:t>functions</w:t>
      </w:r>
      <w:r>
        <w:rPr>
          <w:spacing w:val="-4"/>
        </w:rPr>
        <w:t xml:space="preserve"> </w:t>
      </w:r>
      <w:r>
        <w:t>of</w:t>
      </w:r>
      <w:r>
        <w:rPr>
          <w:spacing w:val="-4"/>
        </w:rPr>
        <w:t xml:space="preserve"> </w:t>
      </w:r>
      <w:r>
        <w:t>the</w:t>
      </w:r>
      <w:r>
        <w:rPr>
          <w:spacing w:val="-5"/>
        </w:rPr>
        <w:t xml:space="preserve"> </w:t>
      </w:r>
      <w:r>
        <w:t>Assembly. Students also have the opportunity to meet</w:t>
      </w:r>
      <w:r>
        <w:rPr>
          <w:spacing w:val="-5"/>
        </w:rPr>
        <w:t xml:space="preserve"> </w:t>
      </w:r>
      <w:r>
        <w:t>MLAs.</w:t>
      </w:r>
    </w:p>
    <w:p w:rsidR="006C17CB" w:rsidRDefault="0030091C">
      <w:pPr>
        <w:pStyle w:val="BodyText"/>
        <w:spacing w:before="111" w:line="189" w:lineRule="auto"/>
        <w:ind w:left="153" w:right="1114"/>
      </w:pPr>
      <w:r>
        <w:t>During the reporting period, 1,009 students participated in these activities. Teachers completed assessments of the program and, as in previous years, feedback indicated that the materials provided were relevant and that the programs supported the related curricula.</w:t>
      </w:r>
    </w:p>
    <w:p w:rsidR="006C17CB" w:rsidRDefault="006C17CB">
      <w:pPr>
        <w:pStyle w:val="BodyText"/>
        <w:spacing w:before="13"/>
        <w:rPr>
          <w:sz w:val="15"/>
        </w:rPr>
      </w:pPr>
    </w:p>
    <w:p w:rsidR="006C17CB" w:rsidRDefault="0030091C">
      <w:pPr>
        <w:pStyle w:val="Heading7"/>
        <w:spacing w:before="1"/>
      </w:pPr>
      <w:r>
        <w:rPr>
          <w:color w:val="6D6D6C"/>
        </w:rPr>
        <w:t>Community groups</w:t>
      </w:r>
    </w:p>
    <w:p w:rsidR="006C17CB" w:rsidRDefault="0030091C">
      <w:pPr>
        <w:pStyle w:val="BodyText"/>
        <w:spacing w:before="46"/>
        <w:ind w:left="153"/>
      </w:pPr>
      <w:r>
        <w:t>During the reporting period, 697 people from a range of community groups engaged with the Assembly.</w:t>
      </w:r>
    </w:p>
    <w:p w:rsidR="006C17CB" w:rsidRDefault="0030091C" w:rsidP="00174B6A">
      <w:pPr>
        <w:pStyle w:val="BodyText"/>
        <w:spacing w:before="100" w:line="189" w:lineRule="auto"/>
        <w:ind w:left="153" w:right="1338"/>
      </w:pPr>
      <w:r>
        <w:t>Education and engagement programs at the Assembly had 240 participants. Groups included Probus clubs, adult education classes from the CIT and universities, Girl Guides, Scouts, National Seniors and University of the Third Age. Commonwealth Day was also celebrated, with the Speaker hosting a function at which the Queen’s Commonwealth Day message was read by a year 12 student. Education staff also support the</w:t>
      </w:r>
      <w:r w:rsidR="00174B6A">
        <w:t xml:space="preserve"> </w:t>
      </w:r>
      <w:r>
        <w:t>Advocate program, a youth engagement initiative aimed at empowering young people (18-30 years) through quarterly meetings with their members.</w:t>
      </w:r>
    </w:p>
    <w:p w:rsidR="006C17CB" w:rsidRDefault="0030091C">
      <w:pPr>
        <w:pStyle w:val="BodyText"/>
        <w:spacing w:before="111" w:line="189" w:lineRule="auto"/>
        <w:ind w:left="153" w:right="1169"/>
      </w:pPr>
      <w:r>
        <w:t>The Speaker, with the endorsement of the Standing Committee on Administration and Procedure, continued to host community engagement events. The 146 people attending these events came from community groups including:</w:t>
      </w:r>
    </w:p>
    <w:p w:rsidR="006C17CB" w:rsidRDefault="0030091C">
      <w:pPr>
        <w:pStyle w:val="ListParagraph"/>
        <w:numPr>
          <w:ilvl w:val="0"/>
          <w:numId w:val="22"/>
        </w:numPr>
        <w:tabs>
          <w:tab w:val="left" w:pos="381"/>
        </w:tabs>
        <w:spacing w:before="57" w:line="306" w:lineRule="exact"/>
      </w:pPr>
      <w:r>
        <w:rPr>
          <w:spacing w:val="-5"/>
        </w:rPr>
        <w:t>Men’s</w:t>
      </w:r>
      <w:r>
        <w:rPr>
          <w:spacing w:val="-1"/>
        </w:rPr>
        <w:t xml:space="preserve"> </w:t>
      </w:r>
      <w:r>
        <w:t>Sheds;</w:t>
      </w:r>
    </w:p>
    <w:p w:rsidR="006C17CB" w:rsidRDefault="0030091C">
      <w:pPr>
        <w:pStyle w:val="ListParagraph"/>
        <w:numPr>
          <w:ilvl w:val="0"/>
          <w:numId w:val="22"/>
        </w:numPr>
        <w:tabs>
          <w:tab w:val="left" w:pos="381"/>
        </w:tabs>
      </w:pPr>
      <w:r>
        <w:t>subcontinent business community;</w:t>
      </w:r>
      <w:r>
        <w:rPr>
          <w:spacing w:val="-1"/>
        </w:rPr>
        <w:t xml:space="preserve"> </w:t>
      </w:r>
      <w:r>
        <w:t>and</w:t>
      </w:r>
    </w:p>
    <w:p w:rsidR="006C17CB" w:rsidRDefault="0030091C">
      <w:pPr>
        <w:pStyle w:val="ListParagraph"/>
        <w:numPr>
          <w:ilvl w:val="0"/>
          <w:numId w:val="22"/>
        </w:numPr>
        <w:tabs>
          <w:tab w:val="left" w:pos="381"/>
        </w:tabs>
        <w:spacing w:line="306" w:lineRule="exact"/>
      </w:pPr>
      <w:r>
        <w:t xml:space="preserve">guests at an International </w:t>
      </w:r>
      <w:r>
        <w:rPr>
          <w:spacing w:val="-5"/>
        </w:rPr>
        <w:t xml:space="preserve">Women’s </w:t>
      </w:r>
      <w:r>
        <w:t>Day</w:t>
      </w:r>
      <w:r>
        <w:rPr>
          <w:spacing w:val="2"/>
        </w:rPr>
        <w:t xml:space="preserve"> </w:t>
      </w:r>
      <w:r>
        <w:t>event.</w:t>
      </w:r>
    </w:p>
    <w:p w:rsidR="006C17CB" w:rsidRDefault="0030091C">
      <w:pPr>
        <w:pStyle w:val="BodyText"/>
        <w:spacing w:before="186" w:line="189" w:lineRule="auto"/>
        <w:ind w:left="153" w:right="1412"/>
      </w:pPr>
      <w:r>
        <w:t>Staff also attended the Council of the Ageing Seniors Expo to promote the Assembly and provided information to 311 seniors living in the ACT.</w:t>
      </w:r>
    </w:p>
    <w:p w:rsidR="006C17CB" w:rsidRDefault="006C17CB">
      <w:pPr>
        <w:pStyle w:val="BodyText"/>
        <w:spacing w:before="13"/>
        <w:rPr>
          <w:sz w:val="15"/>
        </w:rPr>
      </w:pPr>
    </w:p>
    <w:p w:rsidR="006C17CB" w:rsidRDefault="0030091C">
      <w:pPr>
        <w:pStyle w:val="Heading7"/>
        <w:spacing w:before="1"/>
      </w:pPr>
      <w:r>
        <w:rPr>
          <w:color w:val="6D6D6C"/>
        </w:rPr>
        <w:t>Speaker’s citizenship evenings (welcome ceremonies for new citizens)</w:t>
      </w:r>
    </w:p>
    <w:p w:rsidR="006C17CB" w:rsidRDefault="0030091C">
      <w:pPr>
        <w:pStyle w:val="BodyText"/>
        <w:spacing w:before="100" w:line="189" w:lineRule="auto"/>
        <w:ind w:left="153" w:right="1412"/>
      </w:pPr>
      <w:r>
        <w:t>The Speaker hosted two citizenship evenings during the year for ACT residents who had recently become Australian citizens.</w:t>
      </w:r>
    </w:p>
    <w:p w:rsidR="006C17CB" w:rsidRDefault="0030091C">
      <w:pPr>
        <w:pStyle w:val="BodyText"/>
        <w:spacing w:before="112" w:line="189" w:lineRule="auto"/>
        <w:ind w:left="153" w:right="1394"/>
      </w:pPr>
      <w:r>
        <w:t>The evenings provide new citizens with an introduction to the workings of the ACT Legislative Assembly. Guests have the opportunity to meet MLAs, undertake a tour of the building and participate in a question and answer session with the Speaker and MLAs in the chamber. This year, 122 new citizens participated in these events.</w:t>
      </w:r>
    </w:p>
    <w:p w:rsidR="006C17CB" w:rsidRDefault="006C17CB">
      <w:pPr>
        <w:pStyle w:val="BodyText"/>
        <w:spacing w:before="13"/>
        <w:rPr>
          <w:sz w:val="15"/>
        </w:rPr>
      </w:pPr>
    </w:p>
    <w:p w:rsidR="006C17CB" w:rsidRDefault="0030091C">
      <w:pPr>
        <w:pStyle w:val="Heading7"/>
      </w:pPr>
      <w:r>
        <w:rPr>
          <w:color w:val="6D6D6C"/>
        </w:rPr>
        <w:t>Delegations</w:t>
      </w:r>
    </w:p>
    <w:p w:rsidR="006C17CB" w:rsidRDefault="0030091C">
      <w:pPr>
        <w:pStyle w:val="BodyText"/>
        <w:spacing w:before="101" w:line="189" w:lineRule="auto"/>
        <w:ind w:left="153" w:right="1189"/>
      </w:pPr>
      <w:r>
        <w:t>Throughout the year, tours of the chamber and visits to question time were held for Australian and overseas parliamentary delegations, with 87 people taking part. See Appendix 15 for details of visiting delegations.</w:t>
      </w:r>
    </w:p>
    <w:p w:rsidR="006C17CB" w:rsidRDefault="006C17CB">
      <w:pPr>
        <w:pStyle w:val="BodyText"/>
        <w:spacing w:before="14"/>
        <w:rPr>
          <w:sz w:val="15"/>
        </w:rPr>
      </w:pPr>
    </w:p>
    <w:p w:rsidR="006C17CB" w:rsidRDefault="0030091C">
      <w:pPr>
        <w:pStyle w:val="Heading7"/>
      </w:pPr>
      <w:r>
        <w:rPr>
          <w:color w:val="6D6D6C"/>
        </w:rPr>
        <w:t>Building tours</w:t>
      </w:r>
    </w:p>
    <w:p w:rsidR="006C17CB" w:rsidRDefault="0030091C" w:rsidP="00174B6A">
      <w:pPr>
        <w:pStyle w:val="BodyText"/>
        <w:spacing w:before="100" w:line="189" w:lineRule="auto"/>
        <w:ind w:left="153" w:right="1412"/>
      </w:pPr>
      <w:r>
        <w:t>The Office conducts weekly public tours of the Assembly building, as well as tours for new staff and for visitors on request by members. Tours start in the chamber and committee rooms before proceeding to the rest of the building. Participants learn about self-government in the ACT, the unique features of our</w:t>
      </w:r>
      <w:r w:rsidR="00174B6A">
        <w:t xml:space="preserve"> </w:t>
      </w:r>
      <w:r>
        <w:t>parliament, what happens on a sitting day, our committees, how to get involved in our democratic processes, and Assembly artworks. This year 96 people participated in these tours.</w:t>
      </w:r>
    </w:p>
    <w:p w:rsidR="006C17CB" w:rsidRDefault="006C17CB">
      <w:pPr>
        <w:spacing w:line="189" w:lineRule="auto"/>
        <w:sectPr w:rsidR="006C17CB">
          <w:pgSz w:w="11910" w:h="16840"/>
          <w:pgMar w:top="1580" w:right="0" w:bottom="720" w:left="980" w:header="0" w:footer="44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
        <w:rPr>
          <w:sz w:val="16"/>
        </w:rPr>
      </w:pPr>
    </w:p>
    <w:p w:rsidR="006C17CB" w:rsidRDefault="0030091C">
      <w:pPr>
        <w:pStyle w:val="Heading7"/>
        <w:spacing w:before="100"/>
      </w:pPr>
      <w:r>
        <w:rPr>
          <w:color w:val="6D6D6C"/>
        </w:rPr>
        <w:t>Public service seminars</w:t>
      </w:r>
    </w:p>
    <w:p w:rsidR="006C17CB" w:rsidRDefault="0030091C">
      <w:pPr>
        <w:pStyle w:val="BodyText"/>
        <w:spacing w:before="101" w:line="189" w:lineRule="auto"/>
        <w:ind w:left="153" w:right="1138"/>
      </w:pPr>
      <w:r>
        <w:t>Five major seminars for ACT public sector members were held during the reporting period. The topics covered in the seminars included the role of the Assembly, the budget process, the importance of Assembly committees,</w:t>
      </w:r>
      <w:r>
        <w:rPr>
          <w:spacing w:val="-7"/>
        </w:rPr>
        <w:t xml:space="preserve"> </w:t>
      </w:r>
      <w:r>
        <w:t>and</w:t>
      </w:r>
      <w:r>
        <w:rPr>
          <w:spacing w:val="-7"/>
        </w:rPr>
        <w:t xml:space="preserve"> </w:t>
      </w:r>
      <w:r>
        <w:t>the</w:t>
      </w:r>
      <w:r>
        <w:rPr>
          <w:spacing w:val="-7"/>
        </w:rPr>
        <w:t xml:space="preserve"> </w:t>
      </w:r>
      <w:r>
        <w:t>legislative</w:t>
      </w:r>
      <w:r>
        <w:rPr>
          <w:spacing w:val="-7"/>
        </w:rPr>
        <w:t xml:space="preserve"> </w:t>
      </w:r>
      <w:r>
        <w:t>process.</w:t>
      </w:r>
      <w:r>
        <w:rPr>
          <w:spacing w:val="-7"/>
        </w:rPr>
        <w:t xml:space="preserve"> </w:t>
      </w:r>
      <w:r>
        <w:t>Three</w:t>
      </w:r>
      <w:r>
        <w:rPr>
          <w:spacing w:val="-7"/>
        </w:rPr>
        <w:t xml:space="preserve"> </w:t>
      </w:r>
      <w:r>
        <w:t>of</w:t>
      </w:r>
      <w:r>
        <w:rPr>
          <w:spacing w:val="-7"/>
        </w:rPr>
        <w:t xml:space="preserve"> </w:t>
      </w:r>
      <w:r>
        <w:t>the</w:t>
      </w:r>
      <w:r>
        <w:rPr>
          <w:spacing w:val="-7"/>
        </w:rPr>
        <w:t xml:space="preserve"> </w:t>
      </w:r>
      <w:r>
        <w:t>seminars</w:t>
      </w:r>
      <w:r>
        <w:rPr>
          <w:spacing w:val="-7"/>
        </w:rPr>
        <w:t xml:space="preserve"> </w:t>
      </w:r>
      <w:r>
        <w:t>were</w:t>
      </w:r>
      <w:r>
        <w:rPr>
          <w:spacing w:val="-7"/>
        </w:rPr>
        <w:t xml:space="preserve"> </w:t>
      </w:r>
      <w:r>
        <w:t>conducted</w:t>
      </w:r>
      <w:r>
        <w:rPr>
          <w:spacing w:val="-7"/>
        </w:rPr>
        <w:t xml:space="preserve"> </w:t>
      </w:r>
      <w:r>
        <w:t>for</w:t>
      </w:r>
      <w:r>
        <w:rPr>
          <w:spacing w:val="-7"/>
        </w:rPr>
        <w:t xml:space="preserve"> </w:t>
      </w:r>
      <w:r>
        <w:t>newly</w:t>
      </w:r>
      <w:r>
        <w:rPr>
          <w:spacing w:val="-7"/>
        </w:rPr>
        <w:t xml:space="preserve"> </w:t>
      </w:r>
      <w:r>
        <w:t>recruited</w:t>
      </w:r>
      <w:r>
        <w:rPr>
          <w:spacing w:val="-7"/>
        </w:rPr>
        <w:t xml:space="preserve"> </w:t>
      </w:r>
      <w:r>
        <w:t xml:space="preserve">graduates to the ACT public </w:t>
      </w:r>
      <w:r>
        <w:rPr>
          <w:spacing w:val="-3"/>
        </w:rPr>
        <w:t xml:space="preserve">sector. </w:t>
      </w:r>
      <w:r>
        <w:t xml:space="preserve">These seminars had </w:t>
      </w:r>
      <w:r>
        <w:rPr>
          <w:spacing w:val="-3"/>
        </w:rPr>
        <w:t>246</w:t>
      </w:r>
      <w:r>
        <w:rPr>
          <w:spacing w:val="-4"/>
        </w:rPr>
        <w:t xml:space="preserve"> </w:t>
      </w:r>
      <w:r>
        <w:t>participants.</w:t>
      </w:r>
    </w:p>
    <w:p w:rsidR="006C17CB" w:rsidRDefault="006C17CB">
      <w:pPr>
        <w:pStyle w:val="BodyText"/>
        <w:spacing w:before="13"/>
        <w:rPr>
          <w:sz w:val="15"/>
        </w:rPr>
      </w:pPr>
    </w:p>
    <w:p w:rsidR="006C17CB" w:rsidRDefault="0030091C">
      <w:pPr>
        <w:pStyle w:val="Heading7"/>
      </w:pPr>
      <w:r>
        <w:rPr>
          <w:color w:val="6D6D6C"/>
        </w:rPr>
        <w:t>Legislative Assembly art advisory committee</w:t>
      </w:r>
    </w:p>
    <w:p w:rsidR="006C17CB" w:rsidRDefault="0030091C">
      <w:pPr>
        <w:pStyle w:val="BodyText"/>
        <w:spacing w:before="100" w:line="189" w:lineRule="auto"/>
        <w:ind w:left="153" w:right="1412"/>
      </w:pPr>
      <w:r>
        <w:t>During the reporting period, the Office provided administrative support to the Legislative Assembly art advisory committee.</w:t>
      </w:r>
    </w:p>
    <w:p w:rsidR="006C17CB" w:rsidRDefault="0030091C">
      <w:pPr>
        <w:pStyle w:val="BodyText"/>
        <w:spacing w:before="113" w:line="189" w:lineRule="auto"/>
        <w:ind w:left="153" w:right="1412"/>
      </w:pPr>
      <w:r>
        <w:t>The committee was chaired by the Speaker and was composed of three MLAs (one each from the government, opposition and crossbench), three ACT arts community representatives, a curatorial advisor and representatives of the Office.</w:t>
      </w:r>
    </w:p>
    <w:p w:rsidR="006C17CB" w:rsidRDefault="0030091C">
      <w:pPr>
        <w:pStyle w:val="BodyText"/>
        <w:spacing w:before="57"/>
        <w:ind w:left="153"/>
      </w:pPr>
      <w:r>
        <w:t>The committee met on three occasions during 2017-2018.</w:t>
      </w:r>
    </w:p>
    <w:p w:rsidR="006C17CB" w:rsidRDefault="0030091C">
      <w:pPr>
        <w:pStyle w:val="BodyText"/>
        <w:spacing w:before="46"/>
        <w:ind w:left="153"/>
      </w:pPr>
      <w:r>
        <w:t>The following artworks were purchased during the reporting period:</w:t>
      </w:r>
    </w:p>
    <w:p w:rsidR="006C17CB" w:rsidRDefault="0030091C">
      <w:pPr>
        <w:pStyle w:val="ListParagraph"/>
        <w:numPr>
          <w:ilvl w:val="0"/>
          <w:numId w:val="22"/>
        </w:numPr>
        <w:tabs>
          <w:tab w:val="left" w:pos="381"/>
        </w:tabs>
        <w:spacing w:before="47" w:line="306" w:lineRule="exact"/>
      </w:pPr>
      <w:r>
        <w:t xml:space="preserve">Sally Blake – </w:t>
      </w:r>
      <w:r>
        <w:rPr>
          <w:rFonts w:ascii="Calibri" w:hAnsi="Calibri"/>
          <w:i/>
          <w:spacing w:val="-4"/>
        </w:rPr>
        <w:t xml:space="preserve">Held </w:t>
      </w:r>
      <w:r>
        <w:rPr>
          <w:rFonts w:ascii="Calibri" w:hAnsi="Calibri"/>
          <w:i/>
          <w:spacing w:val="-6"/>
        </w:rPr>
        <w:t xml:space="preserve">Mysteries </w:t>
      </w:r>
      <w:r>
        <w:rPr>
          <w:spacing w:val="-5"/>
        </w:rPr>
        <w:t xml:space="preserve">2016-17 </w:t>
      </w:r>
      <w:r>
        <w:t>– copper wire, eucalyptus dyed wool, silk and</w:t>
      </w:r>
      <w:r>
        <w:rPr>
          <w:spacing w:val="-7"/>
        </w:rPr>
        <w:t xml:space="preserve"> </w:t>
      </w:r>
      <w:r>
        <w:rPr>
          <w:spacing w:val="-3"/>
        </w:rPr>
        <w:t>hemp;</w:t>
      </w:r>
    </w:p>
    <w:p w:rsidR="006C17CB" w:rsidRDefault="0030091C">
      <w:pPr>
        <w:pStyle w:val="ListParagraph"/>
        <w:numPr>
          <w:ilvl w:val="0"/>
          <w:numId w:val="22"/>
        </w:numPr>
        <w:tabs>
          <w:tab w:val="left" w:pos="381"/>
        </w:tabs>
        <w:spacing w:before="43" w:line="189" w:lineRule="auto"/>
        <w:ind w:right="1973"/>
      </w:pPr>
      <w:r>
        <w:t>Byrd</w:t>
      </w:r>
      <w:r>
        <w:rPr>
          <w:spacing w:val="-4"/>
        </w:rPr>
        <w:t xml:space="preserve"> </w:t>
      </w:r>
      <w:r>
        <w:rPr>
          <w:spacing w:val="-3"/>
        </w:rPr>
        <w:t xml:space="preserve">(aka </w:t>
      </w:r>
      <w:r>
        <w:t>Dan</w:t>
      </w:r>
      <w:r>
        <w:rPr>
          <w:spacing w:val="-3"/>
        </w:rPr>
        <w:t xml:space="preserve"> </w:t>
      </w:r>
      <w:r>
        <w:t>Maginnity)</w:t>
      </w:r>
      <w:r>
        <w:rPr>
          <w:spacing w:val="-3"/>
        </w:rPr>
        <w:t xml:space="preserve"> </w:t>
      </w:r>
      <w:r>
        <w:t>–</w:t>
      </w:r>
      <w:r>
        <w:rPr>
          <w:spacing w:val="-4"/>
        </w:rPr>
        <w:t xml:space="preserve"> </w:t>
      </w:r>
      <w:r>
        <w:rPr>
          <w:rFonts w:ascii="Calibri" w:hAnsi="Calibri"/>
          <w:i/>
          <w:spacing w:val="-5"/>
        </w:rPr>
        <w:t>Into</w:t>
      </w:r>
      <w:r>
        <w:rPr>
          <w:rFonts w:ascii="Calibri" w:hAnsi="Calibri"/>
          <w:i/>
          <w:spacing w:val="-12"/>
        </w:rPr>
        <w:t xml:space="preserve"> </w:t>
      </w:r>
      <w:r>
        <w:rPr>
          <w:rFonts w:ascii="Calibri" w:hAnsi="Calibri"/>
          <w:i/>
          <w:spacing w:val="-5"/>
        </w:rPr>
        <w:t>coherence</w:t>
      </w:r>
      <w:r>
        <w:rPr>
          <w:rFonts w:ascii="Calibri" w:hAnsi="Calibri"/>
          <w:i/>
          <w:spacing w:val="-11"/>
        </w:rPr>
        <w:t xml:space="preserve"> </w:t>
      </w:r>
      <w:r>
        <w:rPr>
          <w:rFonts w:ascii="Calibri" w:hAnsi="Calibri"/>
          <w:i/>
          <w:spacing w:val="-5"/>
        </w:rPr>
        <w:t>(still,</w:t>
      </w:r>
      <w:r>
        <w:rPr>
          <w:rFonts w:ascii="Calibri" w:hAnsi="Calibri"/>
          <w:i/>
          <w:spacing w:val="-11"/>
        </w:rPr>
        <w:t xml:space="preserve"> </w:t>
      </w:r>
      <w:r>
        <w:rPr>
          <w:rFonts w:ascii="Calibri" w:hAnsi="Calibri"/>
          <w:i/>
          <w:spacing w:val="-6"/>
        </w:rPr>
        <w:t>life)</w:t>
      </w:r>
      <w:r>
        <w:rPr>
          <w:rFonts w:ascii="Calibri" w:hAnsi="Calibri"/>
          <w:i/>
          <w:spacing w:val="-8"/>
        </w:rPr>
        <w:t xml:space="preserve"> </w:t>
      </w:r>
      <w:r>
        <w:rPr>
          <w:spacing w:val="-5"/>
        </w:rPr>
        <w:t>2017</w:t>
      </w:r>
      <w:r>
        <w:rPr>
          <w:spacing w:val="-3"/>
        </w:rPr>
        <w:t xml:space="preserve"> </w:t>
      </w:r>
      <w:r>
        <w:t>–</w:t>
      </w:r>
      <w:r>
        <w:rPr>
          <w:spacing w:val="-4"/>
        </w:rPr>
        <w:t xml:space="preserve"> </w:t>
      </w:r>
      <w:r>
        <w:t>house</w:t>
      </w:r>
      <w:r>
        <w:rPr>
          <w:spacing w:val="-4"/>
        </w:rPr>
        <w:t xml:space="preserve"> </w:t>
      </w:r>
      <w:r>
        <w:t>paint</w:t>
      </w:r>
      <w:r>
        <w:rPr>
          <w:spacing w:val="-3"/>
        </w:rPr>
        <w:t xml:space="preserve"> </w:t>
      </w:r>
      <w:r>
        <w:t>and</w:t>
      </w:r>
      <w:r>
        <w:rPr>
          <w:spacing w:val="-3"/>
        </w:rPr>
        <w:t xml:space="preserve"> </w:t>
      </w:r>
      <w:r>
        <w:t>enamel</w:t>
      </w:r>
      <w:r>
        <w:rPr>
          <w:spacing w:val="-3"/>
        </w:rPr>
        <w:t xml:space="preserve"> </w:t>
      </w:r>
      <w:r>
        <w:t>spray</w:t>
      </w:r>
      <w:r>
        <w:rPr>
          <w:spacing w:val="-3"/>
        </w:rPr>
        <w:t xml:space="preserve"> </w:t>
      </w:r>
      <w:r>
        <w:t>paint</w:t>
      </w:r>
      <w:r>
        <w:rPr>
          <w:spacing w:val="-3"/>
        </w:rPr>
        <w:t xml:space="preserve"> </w:t>
      </w:r>
      <w:r>
        <w:t>on reclaimed</w:t>
      </w:r>
      <w:r>
        <w:rPr>
          <w:spacing w:val="-1"/>
        </w:rPr>
        <w:t xml:space="preserve"> </w:t>
      </w:r>
      <w:r>
        <w:t>form-ply;</w:t>
      </w:r>
    </w:p>
    <w:p w:rsidR="006C17CB" w:rsidRDefault="0030091C">
      <w:pPr>
        <w:pStyle w:val="ListParagraph"/>
        <w:numPr>
          <w:ilvl w:val="0"/>
          <w:numId w:val="22"/>
        </w:numPr>
        <w:tabs>
          <w:tab w:val="left" w:pos="381"/>
        </w:tabs>
        <w:spacing w:line="296" w:lineRule="exact"/>
      </w:pPr>
      <w:r>
        <w:t xml:space="preserve">Holly Grace – </w:t>
      </w:r>
      <w:r>
        <w:rPr>
          <w:rFonts w:ascii="Calibri" w:hAnsi="Calibri"/>
          <w:i/>
          <w:spacing w:val="-5"/>
        </w:rPr>
        <w:t xml:space="preserve">Gavels </w:t>
      </w:r>
      <w:r>
        <w:rPr>
          <w:rFonts w:ascii="Calibri" w:hAnsi="Calibri"/>
          <w:i/>
          <w:spacing w:val="-7"/>
        </w:rPr>
        <w:t xml:space="preserve">Hut—Billy </w:t>
      </w:r>
      <w:r>
        <w:rPr>
          <w:rFonts w:ascii="Calibri" w:hAnsi="Calibri"/>
          <w:i/>
        </w:rPr>
        <w:t xml:space="preserve">I </w:t>
      </w:r>
      <w:r>
        <w:t xml:space="preserve">– blown glass with glass paint and </w:t>
      </w:r>
      <w:r>
        <w:rPr>
          <w:spacing w:val="-4"/>
        </w:rPr>
        <w:t xml:space="preserve">powder, </w:t>
      </w:r>
      <w:r>
        <w:t>red gold gilding and steel</w:t>
      </w:r>
      <w:r>
        <w:rPr>
          <w:spacing w:val="-33"/>
        </w:rPr>
        <w:t xml:space="preserve"> </w:t>
      </w:r>
      <w:r>
        <w:t>wire;</w:t>
      </w:r>
    </w:p>
    <w:p w:rsidR="006C17CB" w:rsidRDefault="0030091C">
      <w:pPr>
        <w:pStyle w:val="ListParagraph"/>
        <w:numPr>
          <w:ilvl w:val="0"/>
          <w:numId w:val="22"/>
        </w:numPr>
        <w:tabs>
          <w:tab w:val="left" w:pos="381"/>
        </w:tabs>
      </w:pPr>
      <w:r>
        <w:t xml:space="preserve">Nigel Hinder – </w:t>
      </w:r>
      <w:r>
        <w:rPr>
          <w:rFonts w:ascii="Calibri" w:hAnsi="Calibri"/>
          <w:i/>
          <w:spacing w:val="-3"/>
        </w:rPr>
        <w:t xml:space="preserve">The </w:t>
      </w:r>
      <w:r>
        <w:rPr>
          <w:rFonts w:ascii="Calibri" w:hAnsi="Calibri"/>
          <w:i/>
          <w:spacing w:val="-4"/>
        </w:rPr>
        <w:t xml:space="preserve">Last </w:t>
      </w:r>
      <w:r>
        <w:rPr>
          <w:rFonts w:ascii="Calibri" w:hAnsi="Calibri"/>
          <w:i/>
          <w:spacing w:val="-3"/>
        </w:rPr>
        <w:t xml:space="preserve">One </w:t>
      </w:r>
      <w:r>
        <w:t>2015 – screen print on plywood, black and white</w:t>
      </w:r>
      <w:r>
        <w:rPr>
          <w:spacing w:val="-23"/>
        </w:rPr>
        <w:t xml:space="preserve"> </w:t>
      </w:r>
      <w:r>
        <w:t>ink;</w:t>
      </w:r>
    </w:p>
    <w:p w:rsidR="006C17CB" w:rsidRDefault="0030091C">
      <w:pPr>
        <w:pStyle w:val="ListParagraph"/>
        <w:numPr>
          <w:ilvl w:val="0"/>
          <w:numId w:val="22"/>
        </w:numPr>
        <w:tabs>
          <w:tab w:val="left" w:pos="381"/>
        </w:tabs>
      </w:pPr>
      <w:r>
        <w:t xml:space="preserve">Gregory Hodge – </w:t>
      </w:r>
      <w:r>
        <w:rPr>
          <w:rFonts w:ascii="Calibri" w:hAnsi="Calibri"/>
          <w:i/>
          <w:spacing w:val="-5"/>
        </w:rPr>
        <w:t xml:space="preserve">Spectator </w:t>
      </w:r>
      <w:r>
        <w:rPr>
          <w:rFonts w:ascii="Calibri" w:hAnsi="Calibri"/>
          <w:i/>
          <w:spacing w:val="-4"/>
        </w:rPr>
        <w:t xml:space="preserve">and the </w:t>
      </w:r>
      <w:r>
        <w:rPr>
          <w:rFonts w:ascii="Calibri" w:hAnsi="Calibri"/>
          <w:i/>
          <w:spacing w:val="-5"/>
        </w:rPr>
        <w:t xml:space="preserve">Pit </w:t>
      </w:r>
      <w:r>
        <w:rPr>
          <w:spacing w:val="-5"/>
        </w:rPr>
        <w:t xml:space="preserve">2017 </w:t>
      </w:r>
      <w:r>
        <w:t>– acrylic on</w:t>
      </w:r>
      <w:r>
        <w:rPr>
          <w:spacing w:val="-12"/>
        </w:rPr>
        <w:t xml:space="preserve"> </w:t>
      </w:r>
      <w:r>
        <w:t>canvas;</w:t>
      </w:r>
    </w:p>
    <w:p w:rsidR="006C17CB" w:rsidRDefault="0030091C">
      <w:pPr>
        <w:pStyle w:val="ListParagraph"/>
        <w:numPr>
          <w:ilvl w:val="0"/>
          <w:numId w:val="22"/>
        </w:numPr>
        <w:tabs>
          <w:tab w:val="left" w:pos="381"/>
        </w:tabs>
      </w:pPr>
      <w:r>
        <w:t xml:space="preserve">Chelsea Lemon – </w:t>
      </w:r>
      <w:r>
        <w:rPr>
          <w:rFonts w:ascii="Calibri" w:hAnsi="Calibri"/>
          <w:i/>
          <w:spacing w:val="-5"/>
        </w:rPr>
        <w:t xml:space="preserve">Callistemon </w:t>
      </w:r>
      <w:r>
        <w:rPr>
          <w:rFonts w:ascii="Calibri" w:hAnsi="Calibri"/>
          <w:i/>
          <w:spacing w:val="-4"/>
        </w:rPr>
        <w:t xml:space="preserve">Seed Pod </w:t>
      </w:r>
      <w:r>
        <w:rPr>
          <w:spacing w:val="-4"/>
        </w:rPr>
        <w:t xml:space="preserve">2016 </w:t>
      </w:r>
      <w:r>
        <w:t>– blackbutt, spotted gum and red ironbark veneers,</w:t>
      </w:r>
      <w:r>
        <w:rPr>
          <w:spacing w:val="-28"/>
        </w:rPr>
        <w:t xml:space="preserve"> </w:t>
      </w:r>
      <w:r>
        <w:t>mdf</w:t>
      </w:r>
    </w:p>
    <w:p w:rsidR="006C17CB" w:rsidRDefault="0030091C">
      <w:pPr>
        <w:pStyle w:val="ListParagraph"/>
        <w:numPr>
          <w:ilvl w:val="0"/>
          <w:numId w:val="22"/>
        </w:numPr>
        <w:tabs>
          <w:tab w:val="left" w:pos="381"/>
        </w:tabs>
      </w:pPr>
      <w:r>
        <w:t xml:space="preserve">Chelsea Lemon – </w:t>
      </w:r>
      <w:r>
        <w:rPr>
          <w:rFonts w:ascii="Calibri" w:hAnsi="Calibri"/>
          <w:i/>
          <w:spacing w:val="-5"/>
        </w:rPr>
        <w:t xml:space="preserve">Casuarina </w:t>
      </w:r>
      <w:r>
        <w:rPr>
          <w:rFonts w:ascii="Calibri" w:hAnsi="Calibri"/>
          <w:i/>
          <w:spacing w:val="-4"/>
        </w:rPr>
        <w:t xml:space="preserve">Seed Pod </w:t>
      </w:r>
      <w:r>
        <w:rPr>
          <w:spacing w:val="-4"/>
        </w:rPr>
        <w:t xml:space="preserve">2016 </w:t>
      </w:r>
      <w:r>
        <w:t>– casuarina, blackbutt and red ironbark veneers,</w:t>
      </w:r>
      <w:r>
        <w:rPr>
          <w:spacing w:val="-24"/>
        </w:rPr>
        <w:t xml:space="preserve"> </w:t>
      </w:r>
      <w:r>
        <w:t>mdf;</w:t>
      </w:r>
    </w:p>
    <w:p w:rsidR="006C17CB" w:rsidRDefault="0030091C">
      <w:pPr>
        <w:pStyle w:val="ListParagraph"/>
        <w:numPr>
          <w:ilvl w:val="0"/>
          <w:numId w:val="22"/>
        </w:numPr>
        <w:tabs>
          <w:tab w:val="left" w:pos="381"/>
        </w:tabs>
      </w:pPr>
      <w:r>
        <w:t xml:space="preserve">Arone Meeks – </w:t>
      </w:r>
      <w:r>
        <w:rPr>
          <w:rFonts w:ascii="Calibri" w:hAnsi="Calibri"/>
          <w:i/>
          <w:spacing w:val="-4"/>
        </w:rPr>
        <w:t xml:space="preserve">Bomalli </w:t>
      </w:r>
      <w:r>
        <w:rPr>
          <w:rFonts w:ascii="Calibri" w:hAnsi="Calibri"/>
          <w:i/>
        </w:rPr>
        <w:t xml:space="preserve">a </w:t>
      </w:r>
      <w:r>
        <w:rPr>
          <w:rFonts w:ascii="Calibri" w:hAnsi="Calibri"/>
          <w:i/>
          <w:spacing w:val="-4"/>
        </w:rPr>
        <w:t xml:space="preserve">go, </w:t>
      </w:r>
      <w:r>
        <w:rPr>
          <w:rFonts w:ascii="Calibri" w:hAnsi="Calibri"/>
          <w:i/>
          <w:spacing w:val="-3"/>
        </w:rPr>
        <w:t xml:space="preserve">go 30th </w:t>
      </w:r>
      <w:r>
        <w:rPr>
          <w:spacing w:val="-5"/>
        </w:rPr>
        <w:t xml:space="preserve">2017 </w:t>
      </w:r>
      <w:r>
        <w:t>– lithograph ed.</w:t>
      </w:r>
      <w:r>
        <w:rPr>
          <w:spacing w:val="-23"/>
        </w:rPr>
        <w:t xml:space="preserve"> </w:t>
      </w:r>
      <w:r>
        <w:rPr>
          <w:spacing w:val="-3"/>
        </w:rPr>
        <w:t>6/8;</w:t>
      </w:r>
    </w:p>
    <w:p w:rsidR="006C17CB" w:rsidRDefault="0030091C">
      <w:pPr>
        <w:pStyle w:val="ListParagraph"/>
        <w:numPr>
          <w:ilvl w:val="0"/>
          <w:numId w:val="22"/>
        </w:numPr>
        <w:tabs>
          <w:tab w:val="left" w:pos="381"/>
        </w:tabs>
      </w:pPr>
      <w:r>
        <w:t xml:space="preserve">John Pratt – </w:t>
      </w:r>
      <w:r>
        <w:rPr>
          <w:rFonts w:ascii="Calibri" w:hAnsi="Calibri"/>
          <w:i/>
          <w:spacing w:val="-6"/>
        </w:rPr>
        <w:t xml:space="preserve">Kerb </w:t>
      </w:r>
      <w:r>
        <w:rPr>
          <w:rFonts w:ascii="Calibri" w:hAnsi="Calibri"/>
          <w:i/>
        </w:rPr>
        <w:t xml:space="preserve">1 </w:t>
      </w:r>
      <w:r>
        <w:rPr>
          <w:spacing w:val="-5"/>
        </w:rPr>
        <w:t xml:space="preserve">2017 </w:t>
      </w:r>
      <w:r>
        <w:t>– woodcut, edition of</w:t>
      </w:r>
      <w:r>
        <w:rPr>
          <w:spacing w:val="-7"/>
        </w:rPr>
        <w:t xml:space="preserve"> </w:t>
      </w:r>
      <w:r>
        <w:rPr>
          <w:spacing w:val="-3"/>
        </w:rPr>
        <w:t>10;</w:t>
      </w:r>
    </w:p>
    <w:p w:rsidR="006C17CB" w:rsidRDefault="0030091C">
      <w:pPr>
        <w:pStyle w:val="ListParagraph"/>
        <w:numPr>
          <w:ilvl w:val="0"/>
          <w:numId w:val="22"/>
        </w:numPr>
        <w:tabs>
          <w:tab w:val="left" w:pos="381"/>
        </w:tabs>
      </w:pPr>
      <w:r>
        <w:t xml:space="preserve">Hannah Quinlivan – </w:t>
      </w:r>
      <w:r>
        <w:rPr>
          <w:rFonts w:ascii="Calibri" w:hAnsi="Calibri"/>
          <w:i/>
          <w:spacing w:val="-4"/>
        </w:rPr>
        <w:t xml:space="preserve">Let </w:t>
      </w:r>
      <w:r>
        <w:rPr>
          <w:rFonts w:ascii="Calibri" w:hAnsi="Calibri"/>
          <w:i/>
          <w:spacing w:val="-3"/>
        </w:rPr>
        <w:t xml:space="preserve">it go </w:t>
      </w:r>
      <w:r>
        <w:rPr>
          <w:spacing w:val="-4"/>
        </w:rPr>
        <w:t xml:space="preserve">2016 </w:t>
      </w:r>
      <w:r>
        <w:t xml:space="preserve">– acrylic on Belgian </w:t>
      </w:r>
      <w:r>
        <w:rPr>
          <w:spacing w:val="-3"/>
        </w:rPr>
        <w:t>linen;</w:t>
      </w:r>
      <w:r>
        <w:rPr>
          <w:spacing w:val="-14"/>
        </w:rPr>
        <w:t xml:space="preserve"> </w:t>
      </w:r>
      <w:r>
        <w:t>and</w:t>
      </w:r>
    </w:p>
    <w:p w:rsidR="006C17CB" w:rsidRDefault="0030091C">
      <w:pPr>
        <w:pStyle w:val="ListParagraph"/>
        <w:numPr>
          <w:ilvl w:val="0"/>
          <w:numId w:val="22"/>
        </w:numPr>
        <w:tabs>
          <w:tab w:val="left" w:pos="381"/>
        </w:tabs>
        <w:spacing w:line="306" w:lineRule="exact"/>
      </w:pPr>
      <w:r>
        <w:t xml:space="preserve">Robin White – </w:t>
      </w:r>
      <w:r>
        <w:rPr>
          <w:rFonts w:ascii="Calibri" w:hAnsi="Calibri"/>
          <w:i/>
          <w:spacing w:val="-5"/>
        </w:rPr>
        <w:t xml:space="preserve">Sainimele </w:t>
      </w:r>
      <w:r>
        <w:rPr>
          <w:rFonts w:ascii="Calibri" w:hAnsi="Calibri"/>
          <w:i/>
          <w:spacing w:val="-4"/>
        </w:rPr>
        <w:t xml:space="preserve">goes </w:t>
      </w:r>
      <w:r>
        <w:rPr>
          <w:rFonts w:ascii="Calibri" w:hAnsi="Calibri"/>
          <w:i/>
          <w:spacing w:val="-5"/>
        </w:rPr>
        <w:t xml:space="preserve">fishing </w:t>
      </w:r>
      <w:r>
        <w:t xml:space="preserve">1995 – woodcut </w:t>
      </w:r>
      <w:r>
        <w:rPr>
          <w:spacing w:val="-4"/>
        </w:rPr>
        <w:t>(4</w:t>
      </w:r>
      <w:r>
        <w:rPr>
          <w:spacing w:val="-11"/>
        </w:rPr>
        <w:t xml:space="preserve"> </w:t>
      </w:r>
      <w:r>
        <w:t>pictures).</w:t>
      </w:r>
    </w:p>
    <w:p w:rsidR="006C17CB" w:rsidRDefault="0030091C">
      <w:pPr>
        <w:pStyle w:val="BodyText"/>
        <w:spacing w:before="131"/>
        <w:ind w:left="153"/>
      </w:pPr>
      <w:r>
        <w:t>The following gift was accepted by the committee during the reporting period:</w:t>
      </w:r>
    </w:p>
    <w:p w:rsidR="006C17CB" w:rsidRDefault="0030091C">
      <w:pPr>
        <w:pStyle w:val="ListParagraph"/>
        <w:numPr>
          <w:ilvl w:val="0"/>
          <w:numId w:val="22"/>
        </w:numPr>
        <w:tabs>
          <w:tab w:val="left" w:pos="381"/>
        </w:tabs>
        <w:spacing w:before="101" w:line="189" w:lineRule="auto"/>
        <w:ind w:right="1256"/>
      </w:pPr>
      <w:r>
        <w:t xml:space="preserve">Studio Hacienda (Blanche Tilden and Phoebe Porter) – </w:t>
      </w:r>
      <w:r>
        <w:rPr>
          <w:rFonts w:ascii="Calibri" w:hAnsi="Calibri"/>
          <w:i/>
          <w:spacing w:val="-5"/>
        </w:rPr>
        <w:t xml:space="preserve">General Assembly—Canberra </w:t>
      </w:r>
      <w:r>
        <w:t>2007 – suite of three brooches:</w:t>
      </w:r>
      <w:r>
        <w:rPr>
          <w:spacing w:val="-8"/>
        </w:rPr>
        <w:t xml:space="preserve"> </w:t>
      </w:r>
      <w:r>
        <w:rPr>
          <w:spacing w:val="-4"/>
        </w:rPr>
        <w:t>102,</w:t>
      </w:r>
      <w:r>
        <w:rPr>
          <w:spacing w:val="-8"/>
        </w:rPr>
        <w:t xml:space="preserve"> </w:t>
      </w:r>
      <w:r>
        <w:t>003,</w:t>
      </w:r>
      <w:r>
        <w:rPr>
          <w:spacing w:val="-8"/>
        </w:rPr>
        <w:t xml:space="preserve"> </w:t>
      </w:r>
      <w:r>
        <w:t>082,</w:t>
      </w:r>
      <w:r>
        <w:rPr>
          <w:spacing w:val="-8"/>
        </w:rPr>
        <w:t xml:space="preserve"> </w:t>
      </w:r>
      <w:r>
        <w:t>anodized</w:t>
      </w:r>
      <w:r>
        <w:rPr>
          <w:spacing w:val="-9"/>
        </w:rPr>
        <w:t xml:space="preserve"> </w:t>
      </w:r>
      <w:r>
        <w:t>aluminium,</w:t>
      </w:r>
      <w:r>
        <w:rPr>
          <w:spacing w:val="-8"/>
        </w:rPr>
        <w:t xml:space="preserve"> </w:t>
      </w:r>
      <w:r>
        <w:t>titanium,</w:t>
      </w:r>
      <w:r>
        <w:rPr>
          <w:spacing w:val="-8"/>
        </w:rPr>
        <w:t xml:space="preserve"> </w:t>
      </w:r>
      <w:r>
        <w:t>stainless</w:t>
      </w:r>
      <w:r>
        <w:rPr>
          <w:spacing w:val="-8"/>
        </w:rPr>
        <w:t xml:space="preserve"> </w:t>
      </w:r>
      <w:r>
        <w:t>steel,</w:t>
      </w:r>
      <w:r>
        <w:rPr>
          <w:spacing w:val="-8"/>
        </w:rPr>
        <w:t xml:space="preserve"> </w:t>
      </w:r>
      <w:r>
        <w:t>pressed</w:t>
      </w:r>
      <w:r>
        <w:rPr>
          <w:spacing w:val="-9"/>
        </w:rPr>
        <w:t xml:space="preserve"> </w:t>
      </w:r>
      <w:r>
        <w:t>borosilicate</w:t>
      </w:r>
      <w:r>
        <w:rPr>
          <w:spacing w:val="-9"/>
        </w:rPr>
        <w:t xml:space="preserve"> </w:t>
      </w:r>
      <w:r>
        <w:t>glass.</w:t>
      </w:r>
      <w:r>
        <w:rPr>
          <w:spacing w:val="-8"/>
        </w:rPr>
        <w:t xml:space="preserve"> </w:t>
      </w:r>
      <w:r>
        <w:t xml:space="preserve">Graphic design – </w:t>
      </w:r>
      <w:r>
        <w:rPr>
          <w:spacing w:val="-7"/>
        </w:rPr>
        <w:t>Ty</w:t>
      </w:r>
      <w:r>
        <w:rPr>
          <w:spacing w:val="-2"/>
        </w:rPr>
        <w:t xml:space="preserve"> </w:t>
      </w:r>
      <w:r>
        <w:t>Buckewitsch.</w:t>
      </w:r>
    </w:p>
    <w:p w:rsidR="006C17CB" w:rsidRDefault="0030091C">
      <w:pPr>
        <w:pStyle w:val="BodyText"/>
        <w:spacing w:before="197" w:line="189" w:lineRule="auto"/>
        <w:ind w:left="153" w:right="1496"/>
        <w:jc w:val="both"/>
      </w:pPr>
      <w:r>
        <w:t>New</w:t>
      </w:r>
      <w:r>
        <w:rPr>
          <w:spacing w:val="-15"/>
        </w:rPr>
        <w:t xml:space="preserve"> </w:t>
      </w:r>
      <w:r>
        <w:t>acquisitions</w:t>
      </w:r>
      <w:r>
        <w:rPr>
          <w:spacing w:val="-15"/>
        </w:rPr>
        <w:t xml:space="preserve"> </w:t>
      </w:r>
      <w:r>
        <w:t>are</w:t>
      </w:r>
      <w:r>
        <w:rPr>
          <w:spacing w:val="-16"/>
        </w:rPr>
        <w:t xml:space="preserve"> </w:t>
      </w:r>
      <w:r>
        <w:rPr>
          <w:spacing w:val="-10"/>
        </w:rPr>
        <w:t>typically</w:t>
      </w:r>
      <w:r>
        <w:rPr>
          <w:spacing w:val="-25"/>
        </w:rPr>
        <w:t xml:space="preserve"> </w:t>
      </w:r>
      <w:r>
        <w:t>displayed</w:t>
      </w:r>
      <w:r>
        <w:rPr>
          <w:spacing w:val="-16"/>
        </w:rPr>
        <w:t xml:space="preserve"> </w:t>
      </w:r>
      <w:r>
        <w:t>in</w:t>
      </w:r>
      <w:r>
        <w:rPr>
          <w:spacing w:val="-15"/>
        </w:rPr>
        <w:t xml:space="preserve"> </w:t>
      </w:r>
      <w:r>
        <w:t>the</w:t>
      </w:r>
      <w:r>
        <w:rPr>
          <w:spacing w:val="-16"/>
        </w:rPr>
        <w:t xml:space="preserve"> </w:t>
      </w:r>
      <w:r>
        <w:t>Assembly</w:t>
      </w:r>
      <w:r>
        <w:rPr>
          <w:spacing w:val="-15"/>
        </w:rPr>
        <w:t xml:space="preserve"> </w:t>
      </w:r>
      <w:r>
        <w:t>building</w:t>
      </w:r>
      <w:r>
        <w:rPr>
          <w:spacing w:val="-15"/>
        </w:rPr>
        <w:t xml:space="preserve"> </w:t>
      </w:r>
      <w:r>
        <w:t>on</w:t>
      </w:r>
      <w:r>
        <w:rPr>
          <w:spacing w:val="-16"/>
        </w:rPr>
        <w:t xml:space="preserve"> </w:t>
      </w:r>
      <w:r>
        <w:t>the</w:t>
      </w:r>
      <w:r>
        <w:rPr>
          <w:spacing w:val="-16"/>
        </w:rPr>
        <w:t xml:space="preserve"> </w:t>
      </w:r>
      <w:r>
        <w:t>ground</w:t>
      </w:r>
      <w:r>
        <w:rPr>
          <w:spacing w:val="-15"/>
        </w:rPr>
        <w:t xml:space="preserve"> </w:t>
      </w:r>
      <w:r>
        <w:t>floor</w:t>
      </w:r>
      <w:r>
        <w:rPr>
          <w:spacing w:val="-16"/>
        </w:rPr>
        <w:t xml:space="preserve"> </w:t>
      </w:r>
      <w:r>
        <w:t>corridor</w:t>
      </w:r>
      <w:r>
        <w:rPr>
          <w:spacing w:val="-6"/>
        </w:rPr>
        <w:t xml:space="preserve"> </w:t>
      </w:r>
      <w:r>
        <w:t>along</w:t>
      </w:r>
      <w:r>
        <w:rPr>
          <w:spacing w:val="-15"/>
        </w:rPr>
        <w:t xml:space="preserve"> </w:t>
      </w:r>
      <w:r>
        <w:t>London Circuit</w:t>
      </w:r>
      <w:r>
        <w:rPr>
          <w:spacing w:val="-15"/>
        </w:rPr>
        <w:t xml:space="preserve"> </w:t>
      </w:r>
      <w:r>
        <w:t>to</w:t>
      </w:r>
      <w:r>
        <w:rPr>
          <w:spacing w:val="-15"/>
        </w:rPr>
        <w:t xml:space="preserve"> </w:t>
      </w:r>
      <w:r>
        <w:t>provide</w:t>
      </w:r>
      <w:r>
        <w:rPr>
          <w:spacing w:val="-15"/>
        </w:rPr>
        <w:t xml:space="preserve"> </w:t>
      </w:r>
      <w:r>
        <w:t>an</w:t>
      </w:r>
      <w:r>
        <w:rPr>
          <w:spacing w:val="-15"/>
        </w:rPr>
        <w:t xml:space="preserve"> </w:t>
      </w:r>
      <w:r>
        <w:t>opportunity</w:t>
      </w:r>
      <w:r>
        <w:rPr>
          <w:spacing w:val="-15"/>
        </w:rPr>
        <w:t xml:space="preserve"> </w:t>
      </w:r>
      <w:r>
        <w:t>for</w:t>
      </w:r>
      <w:r>
        <w:rPr>
          <w:spacing w:val="-15"/>
        </w:rPr>
        <w:t xml:space="preserve"> </w:t>
      </w:r>
      <w:r>
        <w:t>the</w:t>
      </w:r>
      <w:r>
        <w:rPr>
          <w:spacing w:val="-15"/>
        </w:rPr>
        <w:t xml:space="preserve"> </w:t>
      </w:r>
      <w:r>
        <w:t>public</w:t>
      </w:r>
      <w:r>
        <w:rPr>
          <w:spacing w:val="-15"/>
        </w:rPr>
        <w:t xml:space="preserve"> </w:t>
      </w:r>
      <w:r>
        <w:t>to</w:t>
      </w:r>
      <w:r>
        <w:rPr>
          <w:spacing w:val="-15"/>
        </w:rPr>
        <w:t xml:space="preserve"> </w:t>
      </w:r>
      <w:r>
        <w:t>view</w:t>
      </w:r>
      <w:r>
        <w:rPr>
          <w:spacing w:val="-15"/>
        </w:rPr>
        <w:t xml:space="preserve"> </w:t>
      </w:r>
      <w:r>
        <w:t>them</w:t>
      </w:r>
      <w:r>
        <w:rPr>
          <w:spacing w:val="-15"/>
        </w:rPr>
        <w:t xml:space="preserve"> </w:t>
      </w:r>
      <w:r>
        <w:t>before</w:t>
      </w:r>
      <w:r>
        <w:rPr>
          <w:spacing w:val="-15"/>
        </w:rPr>
        <w:t xml:space="preserve"> </w:t>
      </w:r>
      <w:r>
        <w:t>they</w:t>
      </w:r>
      <w:r>
        <w:rPr>
          <w:spacing w:val="-15"/>
        </w:rPr>
        <w:t xml:space="preserve"> </w:t>
      </w:r>
      <w:r>
        <w:t>are</w:t>
      </w:r>
      <w:r>
        <w:rPr>
          <w:spacing w:val="-15"/>
        </w:rPr>
        <w:t xml:space="preserve"> </w:t>
      </w:r>
      <w:r>
        <w:t>relocated</w:t>
      </w:r>
      <w:r>
        <w:rPr>
          <w:spacing w:val="-15"/>
        </w:rPr>
        <w:t xml:space="preserve"> </w:t>
      </w:r>
      <w:r>
        <w:t>to</w:t>
      </w:r>
      <w:r>
        <w:rPr>
          <w:spacing w:val="-6"/>
        </w:rPr>
        <w:t xml:space="preserve"> </w:t>
      </w:r>
      <w:r>
        <w:t>members’</w:t>
      </w:r>
      <w:r>
        <w:rPr>
          <w:spacing w:val="-16"/>
        </w:rPr>
        <w:t xml:space="preserve"> </w:t>
      </w:r>
      <w:r>
        <w:t>offices and</w:t>
      </w:r>
      <w:r>
        <w:rPr>
          <w:spacing w:val="-13"/>
        </w:rPr>
        <w:t xml:space="preserve"> </w:t>
      </w:r>
      <w:r>
        <w:t>other</w:t>
      </w:r>
      <w:r>
        <w:rPr>
          <w:spacing w:val="-13"/>
        </w:rPr>
        <w:t xml:space="preserve"> </w:t>
      </w:r>
      <w:r>
        <w:t>areas</w:t>
      </w:r>
      <w:r>
        <w:rPr>
          <w:spacing w:val="-13"/>
        </w:rPr>
        <w:t xml:space="preserve"> </w:t>
      </w:r>
      <w:r>
        <w:t>of</w:t>
      </w:r>
      <w:r>
        <w:rPr>
          <w:spacing w:val="-14"/>
        </w:rPr>
        <w:t xml:space="preserve"> </w:t>
      </w:r>
      <w:r>
        <w:t>the</w:t>
      </w:r>
      <w:r>
        <w:rPr>
          <w:spacing w:val="-13"/>
        </w:rPr>
        <w:t xml:space="preserve"> </w:t>
      </w:r>
      <w:r>
        <w:t>building.</w:t>
      </w:r>
    </w:p>
    <w:p w:rsidR="006C17CB" w:rsidRDefault="006C17CB">
      <w:pPr>
        <w:pStyle w:val="BodyText"/>
        <w:spacing w:before="13"/>
        <w:rPr>
          <w:sz w:val="15"/>
        </w:rPr>
      </w:pPr>
    </w:p>
    <w:p w:rsidR="006C17CB" w:rsidRDefault="0030091C">
      <w:pPr>
        <w:pStyle w:val="Heading7"/>
      </w:pPr>
      <w:r>
        <w:rPr>
          <w:color w:val="6D6D6C"/>
        </w:rPr>
        <w:t>Legislative Assembly prizes for art</w:t>
      </w:r>
    </w:p>
    <w:p w:rsidR="006C17CB" w:rsidRDefault="0030091C">
      <w:pPr>
        <w:pStyle w:val="BodyText"/>
        <w:spacing w:before="101" w:line="189" w:lineRule="auto"/>
        <w:ind w:left="153" w:right="1290"/>
      </w:pPr>
      <w:r>
        <w:t>The Assembly, in conjunction with the ANU School of Art, continued its support for emerging artists and two prizes of $500 each were awarded to two final year graduating students at the ANU School of Art. This enables the winning students to purchase art supplies and materials. They are also offered the opportunity to</w:t>
      </w:r>
      <w:r>
        <w:rPr>
          <w:spacing w:val="-6"/>
        </w:rPr>
        <w:t xml:space="preserve"> </w:t>
      </w:r>
      <w:r>
        <w:t>display</w:t>
      </w:r>
      <w:r>
        <w:rPr>
          <w:spacing w:val="-5"/>
        </w:rPr>
        <w:t xml:space="preserve"> </w:t>
      </w:r>
      <w:r>
        <w:t>their</w:t>
      </w:r>
      <w:r>
        <w:rPr>
          <w:spacing w:val="-5"/>
        </w:rPr>
        <w:t xml:space="preserve"> </w:t>
      </w:r>
      <w:r>
        <w:t>winning</w:t>
      </w:r>
      <w:r>
        <w:rPr>
          <w:spacing w:val="-5"/>
        </w:rPr>
        <w:t xml:space="preserve"> </w:t>
      </w:r>
      <w:r>
        <w:t>work</w:t>
      </w:r>
      <w:r>
        <w:rPr>
          <w:spacing w:val="-5"/>
        </w:rPr>
        <w:t xml:space="preserve"> </w:t>
      </w:r>
      <w:r>
        <w:t>in</w:t>
      </w:r>
      <w:r>
        <w:rPr>
          <w:spacing w:val="-5"/>
        </w:rPr>
        <w:t xml:space="preserve"> </w:t>
      </w:r>
      <w:r>
        <w:t>the</w:t>
      </w:r>
      <w:r>
        <w:rPr>
          <w:spacing w:val="-6"/>
        </w:rPr>
        <w:t xml:space="preserve"> </w:t>
      </w:r>
      <w:r>
        <w:t>Assembly</w:t>
      </w:r>
      <w:r>
        <w:rPr>
          <w:spacing w:val="-5"/>
        </w:rPr>
        <w:t xml:space="preserve"> </w:t>
      </w:r>
      <w:r>
        <w:t>building</w:t>
      </w:r>
      <w:r>
        <w:rPr>
          <w:spacing w:val="-5"/>
        </w:rPr>
        <w:t xml:space="preserve"> </w:t>
      </w:r>
      <w:r>
        <w:t>for</w:t>
      </w:r>
      <w:r>
        <w:rPr>
          <w:spacing w:val="-6"/>
        </w:rPr>
        <w:t xml:space="preserve"> </w:t>
      </w:r>
      <w:r>
        <w:t>12</w:t>
      </w:r>
      <w:r>
        <w:rPr>
          <w:spacing w:val="-5"/>
        </w:rPr>
        <w:t xml:space="preserve"> </w:t>
      </w:r>
      <w:r>
        <w:t>months.</w:t>
      </w:r>
      <w:r>
        <w:rPr>
          <w:spacing w:val="-5"/>
        </w:rPr>
        <w:t xml:space="preserve"> </w:t>
      </w:r>
      <w:r>
        <w:t>The</w:t>
      </w:r>
      <w:r>
        <w:rPr>
          <w:spacing w:val="-6"/>
        </w:rPr>
        <w:t xml:space="preserve"> </w:t>
      </w:r>
      <w:r>
        <w:t>recipients</w:t>
      </w:r>
      <w:r>
        <w:rPr>
          <w:spacing w:val="-5"/>
        </w:rPr>
        <w:t xml:space="preserve"> </w:t>
      </w:r>
      <w:r>
        <w:t>of</w:t>
      </w:r>
      <w:r>
        <w:rPr>
          <w:spacing w:val="-5"/>
        </w:rPr>
        <w:t xml:space="preserve"> </w:t>
      </w:r>
      <w:r>
        <w:t>the</w:t>
      </w:r>
      <w:r>
        <w:rPr>
          <w:spacing w:val="-6"/>
        </w:rPr>
        <w:t xml:space="preserve"> </w:t>
      </w:r>
      <w:r>
        <w:rPr>
          <w:spacing w:val="-5"/>
        </w:rPr>
        <w:t xml:space="preserve">2017 </w:t>
      </w:r>
      <w:r>
        <w:t>prizes</w:t>
      </w:r>
      <w:r>
        <w:rPr>
          <w:spacing w:val="-5"/>
        </w:rPr>
        <w:t xml:space="preserve"> </w:t>
      </w:r>
      <w:r>
        <w:t xml:space="preserve">were Mahala Hill </w:t>
      </w:r>
      <w:r>
        <w:rPr>
          <w:spacing w:val="-5"/>
        </w:rPr>
        <w:t>(</w:t>
      </w:r>
      <w:r>
        <w:rPr>
          <w:rFonts w:ascii="Calibri" w:hAnsi="Calibri"/>
          <w:i/>
          <w:spacing w:val="-5"/>
        </w:rPr>
        <w:t xml:space="preserve">Chemical </w:t>
      </w:r>
      <w:r>
        <w:rPr>
          <w:rFonts w:ascii="Calibri" w:hAnsi="Calibri"/>
          <w:i/>
          <w:spacing w:val="-6"/>
        </w:rPr>
        <w:t xml:space="preserve">Waste </w:t>
      </w:r>
      <w:r>
        <w:rPr>
          <w:spacing w:val="-5"/>
        </w:rPr>
        <w:t xml:space="preserve">2017 </w:t>
      </w:r>
      <w:r>
        <w:t xml:space="preserve">– ceramic shards, bone china, burn outs, porcelain, </w:t>
      </w:r>
      <w:r>
        <w:rPr>
          <w:spacing w:val="-4"/>
        </w:rPr>
        <w:t xml:space="preserve">glaze) </w:t>
      </w:r>
      <w:r>
        <w:t xml:space="preserve">and Alex Lundy </w:t>
      </w:r>
      <w:r>
        <w:rPr>
          <w:spacing w:val="-5"/>
        </w:rPr>
        <w:t>(</w:t>
      </w:r>
      <w:r>
        <w:rPr>
          <w:rFonts w:ascii="Calibri" w:hAnsi="Calibri"/>
          <w:i/>
          <w:spacing w:val="-5"/>
        </w:rPr>
        <w:t xml:space="preserve">Relative </w:t>
      </w:r>
      <w:r>
        <w:rPr>
          <w:rFonts w:ascii="Calibri" w:hAnsi="Calibri"/>
          <w:i/>
          <w:spacing w:val="-4"/>
        </w:rPr>
        <w:t xml:space="preserve">duration space </w:t>
      </w:r>
      <w:r>
        <w:rPr>
          <w:rFonts w:ascii="Calibri" w:hAnsi="Calibri"/>
          <w:i/>
          <w:spacing w:val="-5"/>
        </w:rPr>
        <w:t xml:space="preserve">blanket </w:t>
      </w:r>
      <w:r>
        <w:rPr>
          <w:spacing w:val="-5"/>
        </w:rPr>
        <w:t xml:space="preserve">2017 </w:t>
      </w:r>
      <w:r>
        <w:t xml:space="preserve">– acrylic screen print on </w:t>
      </w:r>
      <w:r>
        <w:rPr>
          <w:spacing w:val="-4"/>
        </w:rPr>
        <w:t xml:space="preserve">paper, </w:t>
      </w:r>
      <w:r>
        <w:rPr>
          <w:spacing w:val="-3"/>
        </w:rPr>
        <w:t xml:space="preserve">glue, </w:t>
      </w:r>
      <w:r>
        <w:t xml:space="preserve">stepper </w:t>
      </w:r>
      <w:r>
        <w:rPr>
          <w:spacing w:val="-4"/>
        </w:rPr>
        <w:t xml:space="preserve">motor, </w:t>
      </w:r>
      <w:r>
        <w:t xml:space="preserve">aluminium tube, </w:t>
      </w:r>
      <w:r>
        <w:rPr>
          <w:spacing w:val="-6"/>
        </w:rPr>
        <w:t xml:space="preserve">MDF, </w:t>
      </w:r>
      <w:r>
        <w:t>hardware and</w:t>
      </w:r>
      <w:r>
        <w:rPr>
          <w:spacing w:val="3"/>
        </w:rPr>
        <w:t xml:space="preserve"> </w:t>
      </w:r>
      <w:r>
        <w:t>electronics).</w:t>
      </w:r>
    </w:p>
    <w:p w:rsidR="006C17CB" w:rsidRDefault="006C17CB">
      <w:pPr>
        <w:spacing w:line="189" w:lineRule="auto"/>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2"/>
        <w:rPr>
          <w:sz w:val="19"/>
        </w:rPr>
      </w:pPr>
    </w:p>
    <w:p w:rsidR="006C17CB" w:rsidRDefault="0030091C">
      <w:pPr>
        <w:spacing w:before="8"/>
        <w:ind w:left="157"/>
        <w:rPr>
          <w:rFonts w:ascii="Calibri"/>
          <w:i/>
        </w:rPr>
      </w:pPr>
      <w:r>
        <w:rPr>
          <w:rFonts w:ascii="Calibri"/>
          <w:b/>
          <w:sz w:val="18"/>
        </w:rPr>
        <w:t xml:space="preserve">IMAGE 1. </w:t>
      </w:r>
      <w:r>
        <w:rPr>
          <w:rFonts w:ascii="Calibri"/>
          <w:i/>
        </w:rPr>
        <w:t>Chamber staff</w:t>
      </w:r>
    </w:p>
    <w:p w:rsidR="006C17CB" w:rsidRDefault="0030091C">
      <w:pPr>
        <w:pStyle w:val="BodyText"/>
        <w:spacing w:before="8"/>
        <w:rPr>
          <w:rFonts w:ascii="Calibri"/>
          <w:i/>
          <w:sz w:val="17"/>
        </w:rPr>
      </w:pPr>
      <w:r>
        <w:rPr>
          <w:noProof/>
          <w:lang w:val="en-AU" w:eastAsia="en-AU" w:bidi="ar-SA"/>
        </w:rPr>
        <w:drawing>
          <wp:anchor distT="0" distB="0" distL="0" distR="0" simplePos="0" relativeHeight="1456" behindDoc="0" locked="0" layoutInCell="1" allowOverlap="1">
            <wp:simplePos x="0" y="0"/>
            <wp:positionH relativeFrom="page">
              <wp:posOffset>720001</wp:posOffset>
            </wp:positionH>
            <wp:positionV relativeFrom="paragraph">
              <wp:posOffset>185572</wp:posOffset>
            </wp:positionV>
            <wp:extent cx="6120774" cy="5040630"/>
            <wp:effectExtent l="0" t="0" r="0" b="0"/>
            <wp:wrapTopAndBottom/>
            <wp:docPr id="13" name="image9.jpeg" descr="See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47" cstate="print"/>
                    <a:stretch>
                      <a:fillRect/>
                    </a:stretch>
                  </pic:blipFill>
                  <pic:spPr>
                    <a:xfrm>
                      <a:off x="0" y="0"/>
                      <a:ext cx="6120774" cy="5040630"/>
                    </a:xfrm>
                    <a:prstGeom prst="rect">
                      <a:avLst/>
                    </a:prstGeom>
                  </pic:spPr>
                </pic:pic>
              </a:graphicData>
            </a:graphic>
          </wp:anchor>
        </w:drawing>
      </w:r>
    </w:p>
    <w:p w:rsidR="006C17CB" w:rsidRDefault="0030091C">
      <w:pPr>
        <w:spacing w:before="135" w:line="199" w:lineRule="auto"/>
        <w:ind w:left="153" w:right="1541"/>
        <w:rPr>
          <w:sz w:val="20"/>
        </w:rPr>
      </w:pPr>
      <w:r>
        <w:rPr>
          <w:sz w:val="20"/>
        </w:rPr>
        <w:t>Chamber staff L-R: new Deputy Clerk and Serjeant-at-Arms Julia Agostino, with Anne Shannon, Hannah Pearce, Janice Rafferty, and Celeste Italiano.</w:t>
      </w:r>
    </w:p>
    <w:p w:rsidR="006C17CB" w:rsidRDefault="006C17CB">
      <w:pPr>
        <w:spacing w:line="199" w:lineRule="auto"/>
        <w:rPr>
          <w:sz w:val="20"/>
        </w:rPr>
        <w:sectPr w:rsidR="006C17CB">
          <w:pgSz w:w="11910" w:h="16840"/>
          <w:pgMar w:top="1580" w:right="0" w:bottom="720" w:left="980" w:header="0" w:footer="443" w:gutter="0"/>
          <w:cols w:space="720"/>
        </w:sectPr>
      </w:pPr>
    </w:p>
    <w:p w:rsidR="006C17CB" w:rsidRDefault="00FE24A7">
      <w:pPr>
        <w:pStyle w:val="BodyText"/>
        <w:rPr>
          <w:sz w:val="20"/>
        </w:rPr>
      </w:pPr>
      <w:r>
        <w:pict>
          <v:group id="_x0000_s1506" alt="" style="position:absolute;margin-left:0;margin-top:127.55pt;width:595.3pt;height:714.35pt;z-index:-477064;mso-position-horizontal-relative:page;mso-position-vertical-relative:page" coordorigin=",2551" coordsize="11906,14287">
            <v:rect id="_x0000_s1507" alt="" style="position:absolute;top:2551;width:11906;height:14287" fillcolor="#7ea0d4" stroked="f"/>
            <v:shape id="_x0000_s1508" alt="" style="position:absolute;top:10437;width:6705;height:6400" coordorigin=",10438" coordsize="6705,6400" o:spt="100" adj="0,,0" path="m687,16838r-118,-20l38,16618,,16578r,260l687,16838t1239,-260l1707,16598r-163,-60l1442,16478r-35,-40l1428,16478r10,20l1437,16538r-11,40l1405,16618r-32,40l1333,16678r-51,40l1223,16758r-69,20l1077,16798r-85,20l898,16838r665,l1636,16778r73,-40l1782,16678r72,-40l1902,16598r24,-20m2234,16064r-1,-63l2225,15939r-15,-59l2209,15879r-21,-54l2160,15775r-35,-44l2083,15695r-48,-28l1981,15650r-81,-5l1819,15660r-78,28l1668,15726r-64,42l1551,15810r-39,37l1490,15874r-6,5l1478,15869r-5,-22l1464,15817r-11,-34l1451,15780r-18,-42l1406,15695r-36,-41l1322,15615r-61,-32l1185,15560r-93,-12l981,15549r-107,11l770,15574r-101,17l572,15610r-94,20l388,15652r-85,23l11,15757r-11,3l,15792r277,-7l463,15783r92,l646,15784r85,2l811,15790r73,5l946,15801r51,9l1035,15820r95,44l1209,15917r63,59l1320,16038r33,61l1371,16156r9,37l1396,16236r24,48l1453,16332r44,46l1553,16419r70,32l1708,16473r101,7l1927,16470r63,-16l2046,16428r49,-35l2136,16350r34,-49l2197,16246r19,-59l2229,16126r5,-62m6704,14638r-89,-20l6533,14598r-78,l6166,14518r-74,-20l6014,14478r-83,-20l5841,14438r-97,-40l5747,14358r4,-40l5756,14238r3,-80l5760,14058r-1,-60l5756,13918r-3,-80l5747,13758r-7,-60l5732,13618r-10,-80l5711,13478r-13,-80l5684,13318r-16,-60l5651,13178r-18,-60l5613,13038r-21,-60l5570,12898r-24,-60l5521,12778r-5,-15l5516,14058r-1,80l5513,14198r-3,60l5506,14318r-38,-13l5468,14850r-899,-152l3981,14698r-478,140l2890,15198r359,-380l3472,14638r25,-20l3746,14558r366,-20l4211,14518r100,20l4411,14538r489,100l4989,14678r85,20l5154,14718r74,40l5295,14778r59,20l5406,14818r42,20l5468,14850r,-545l5445,14298r-63,-20l5316,14258r-69,-20l5174,14218r-76,-40l5018,14158r-84,-40l4216,13978r-518,40l3383,14158r-106,60l3509,13758r176,-540l3798,12758r40,-200l3914,12138r15,-80l3982,11778r35,-220l4054,11278r61,40l4175,11378r59,40l4292,11458r57,60l4405,11558r54,60l4513,11658r53,60l4617,11778r50,40l4716,11878r48,60l4810,11998r45,60l4899,12118r42,60l4983,12238r39,60l5061,12378r37,60l5134,12498r34,80l5200,12638r32,60l5261,12778r29,60l5316,12918r25,80l5365,13058r22,80l5407,13218r18,60l5442,13358r16,80l5471,13518r12,80l5493,13678r8,60l5508,13818r4,80l5515,13978r1,80l5516,12763r-22,-65l5467,12638r-29,-60l5408,12498r-32,-60l5344,12378r-34,-60l5275,12258r-36,-60l5202,12138r-39,-60l5124,12018r-41,-60l5041,11898r-42,-60l4955,11798r-45,-60l4864,11678r-47,-60l4769,11578r-49,-60l4670,11478r-51,-60l4567,11378r-53,-40l4461,11278r-55,-40l4351,11198r-56,-40l4237,11118r-116,-80l4001,10958r-123,-80l3852,10870r,288l3603,11298r-181,98l3422,12138r-122,720l3160,13318r-249,440l2463,14358r29,-440l2533,13298r123,-600l2922,12378r500,-240l3422,11396r-76,42l3143,11558r-81,60l2410,12178r-380,780l1853,13638r-44,280l1800,13798r-11,-120l1774,13578r-18,-120l1736,13358r-23,-120l1688,13138r-28,-100l1631,12958r-31,-100l1568,12778r-34,-80l1499,12618r-35,-80l1427,12458r-5,-11l1422,14178r,60l1420,14318r-3,80l1414,14478r-4,80l1405,14658r-5,80l1395,14818r-6,100l1384,14998r-3,-20l1333,14598r-88,-700l1115,13258,919,12818,580,12358r328,240l1096,12778r119,260l1336,13418r18,80l1370,13558r13,80l1394,13698r9,80l1410,13838r6,80l1419,13998r2,80l1422,14138r,40l1422,12447r-32,-69l1378,12358r-100,-160l1241,12138r-36,-40l1169,12038r-35,-40l1101,11958r-33,-40l1037,11878r-29,-40l981,11818r-25,-20l933,11778r-21,-20l895,11738r-42,-40l740,11618,456,11398r-50,-40l255,11238r131,-80l521,11078r69,-20l730,10978r72,-20l874,10918r73,-20l1021,10858r539,-140l1640,10718r80,-20l1801,10698r81,-20l2373,10678r80,20l2533,10698r79,20l2691,10718r605,160l3369,10918r71,20l3511,10978r70,20l3718,11078r134,80l3852,10870r-37,-12l3687,10778r-64,-20l3557,10718r-133,-40l3357,10658r-68,-40l2940,10518r-71,l2724,10478r-73,l2578,10458r-74,l2430,10438r-602,l1754,10458r-74,l1606,10478r-73,l1389,10518r-71,l969,10618r-68,40l701,10718r-66,40l570,10778r-127,80l380,10878r-123,80l137,11038r-117,80l,11118r,320l30,11418r59,-60l87,11418r-3,60l81,11538r-3,60l75,11678r-6,200l65,11978r-3,120l160,12858r239,820l642,14338r111,260l649,14538r-98,-60l458,14438r-88,-20l288,14418r-78,-20l138,14418r-67,l9,14438r-9,20l,15158r21,l175,15078r76,-20l324,15018r70,-20l461,14978r118,l660,14998r93,40l853,15058r98,40l1042,15118r78,40l1178,15178r32,20l1192,15198r-34,-20l1109,15178r-62,-20l893,15158r-89,-20l710,15138r-97,20l514,15158r-99,20l319,15218r-71,20l177,15278r-142,40l,15318r,300l22,15618r239,-60l337,15538r73,-20l1010,15418r337,60l1495,15578r33,60l1716,15418r155,-180l1906,15198r141,-160l2073,14998r39,-60l2121,14918r1,-20l2124,14818r7,-100l2144,14638r21,-80l2197,14518r49,20l2280,14598r19,80l2305,14698r84,-40l2464,14638r61,20l2566,14678r15,20l2565,14698r-112,20l2376,14778r-45,60l2316,14878r-21,120l1883,15458r765,220l3020,16118r121,460l3150,16778r-37,-120l3074,16538r-43,-100l2986,16338r-47,-80l2890,16178r-51,-80l2788,16018r-52,-60l2684,15918r-52,-60l2581,15818r-50,-40l2482,15738r-47,-20l2390,15698r-43,-20l2307,15658r-37,-20l2237,15638r-29,-20l2139,15618r-3,20l2139,15638r9,20l2165,15658r51,40l2258,15718r33,40l2316,15798r18,40l2347,15898r9,40l2360,15978r2,60l2362,16058r,140l2364,16258r4,60l2375,16378r12,60l2405,16498r23,60l2460,16618r40,60l2549,16738r60,80l2652,16838r892,l3564,16778r7,-20l3605,16658r27,-80l3655,16498r18,-60l3685,16378r6,-80l3690,16238r-9,-60l3663,16118r-28,-60l3597,15978r-50,-60l3486,15838r-190,-120l3264,15698r-224,-40l2867,15698r-69,20l2886,15538r221,-100l3632,15378r1002,-60l4727,15298r179,l4991,15278r83,l5231,15238r75,l5279,15318r-28,60l5222,15458r-30,80l5161,15598r-32,80l5096,15758r-34,60l5026,15898r-36,60l4952,16038r-39,60l4872,16178r-42,60l4786,16318r-45,60l4694,16438r-48,60l4595,16558r-52,60l4489,16678r-56,60l4375,16798r-61,40l4350,16838r62,-60l4473,16738r60,-60l4592,16638r58,-60l4707,16518r56,-60l4818,16418r53,-60l4924,16298r51,-60l5024,16178r49,-60l5120,16058r45,-60l5209,15938r42,-60l5292,15798r39,-60l5369,15678r36,-80l5439,15538r32,-60l5502,15398r29,-60l5558,15258r6,-20l5576,15198r7,-20l6143,15018r305,-160l6486,14838r172,-140l6704,14638e" fillcolor="#7098d0" stroked="f">
              <v:stroke joinstyle="round"/>
              <v:formulas/>
              <v:path arrowok="t" o:connecttype="segments"/>
            </v:shape>
            <w10:wrap anchorx="page" anchory="page"/>
          </v:group>
        </w:pict>
      </w: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3"/>
        <w:rPr>
          <w:sz w:val="13"/>
        </w:rPr>
      </w:pPr>
    </w:p>
    <w:p w:rsidR="006C17CB" w:rsidRDefault="0030091C">
      <w:pPr>
        <w:spacing w:before="219" w:line="196" w:lineRule="auto"/>
        <w:ind w:left="5601" w:right="1131" w:firstLine="2225"/>
        <w:jc w:val="right"/>
        <w:rPr>
          <w:rFonts w:ascii="Montserrat-SemiBold"/>
          <w:b/>
          <w:sz w:val="38"/>
        </w:rPr>
      </w:pPr>
      <w:bookmarkStart w:id="50" w:name="SECTION_B_CONSULTATION_AND_SCRUTINY_REPO"/>
      <w:bookmarkStart w:id="51" w:name="_bookmark14"/>
      <w:bookmarkEnd w:id="50"/>
      <w:bookmarkEnd w:id="51"/>
      <w:r>
        <w:rPr>
          <w:rFonts w:ascii="Montserrat-Light"/>
          <w:color w:val="FFFFFF"/>
          <w:w w:val="95"/>
          <w:sz w:val="38"/>
        </w:rPr>
        <w:t>SECTION B</w:t>
      </w:r>
      <w:r>
        <w:rPr>
          <w:rFonts w:ascii="Montserrat-Light"/>
          <w:color w:val="FFFFFF"/>
          <w:w w:val="92"/>
          <w:sz w:val="38"/>
        </w:rPr>
        <w:t xml:space="preserve"> </w:t>
      </w:r>
      <w:r>
        <w:rPr>
          <w:rFonts w:ascii="Montserrat-SemiBold"/>
          <w:b/>
          <w:color w:val="FFFFFF"/>
          <w:w w:val="90"/>
          <w:sz w:val="38"/>
        </w:rPr>
        <w:t>CONSULTATION AND</w:t>
      </w:r>
      <w:r>
        <w:rPr>
          <w:rFonts w:ascii="Montserrat-SemiBold"/>
          <w:b/>
          <w:color w:val="FFFFFF"/>
          <w:w w:val="92"/>
          <w:sz w:val="38"/>
        </w:rPr>
        <w:t xml:space="preserve"> </w:t>
      </w:r>
      <w:r>
        <w:rPr>
          <w:rFonts w:ascii="Montserrat-SemiBold"/>
          <w:b/>
          <w:color w:val="FFFFFF"/>
          <w:w w:val="90"/>
          <w:sz w:val="38"/>
        </w:rPr>
        <w:t>SCRUTINY  REPORTING</w:t>
      </w: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30091C">
      <w:pPr>
        <w:tabs>
          <w:tab w:val="left" w:pos="5074"/>
        </w:tabs>
        <w:spacing w:before="420"/>
        <w:ind w:right="1132"/>
        <w:jc w:val="right"/>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rPr>
          <w:rFonts w:ascii="Montserrat-Light" w:hAnsi="Montserrat-Light"/>
          <w:spacing w:val="-2"/>
          <w:w w:val="90"/>
          <w:sz w:val="16"/>
        </w:rPr>
        <w:t>35</w:t>
      </w:r>
    </w:p>
    <w:p w:rsidR="006C17CB" w:rsidRDefault="006C17CB">
      <w:pPr>
        <w:jc w:val="right"/>
        <w:rPr>
          <w:rFonts w:ascii="Montserrat-Light" w:hAnsi="Montserrat-Light"/>
          <w:sz w:val="16"/>
        </w:rPr>
        <w:sectPr w:rsidR="006C17CB">
          <w:footerReference w:type="default" r:id="rId48"/>
          <w:pgSz w:w="11910" w:h="16840"/>
          <w:pgMar w:top="1580" w:right="0" w:bottom="280" w:left="980" w:header="0" w:footer="0" w:gutter="0"/>
          <w:cols w:space="720"/>
        </w:sectPr>
      </w:pPr>
    </w:p>
    <w:p w:rsidR="006C17CB" w:rsidRDefault="0030091C">
      <w:pPr>
        <w:pStyle w:val="Heading3"/>
      </w:pPr>
      <w:bookmarkStart w:id="52" w:name="Internal_and_external_scrutiny"/>
      <w:bookmarkStart w:id="53" w:name="Legislative_Assembly_committee_recommend"/>
      <w:bookmarkStart w:id="54" w:name="_bookmark15"/>
      <w:bookmarkEnd w:id="52"/>
      <w:bookmarkEnd w:id="53"/>
      <w:bookmarkEnd w:id="54"/>
      <w:r>
        <w:rPr>
          <w:color w:val="004289"/>
        </w:rPr>
        <w:t>INTERNAL AND EXTERNAL SCRUTINY</w:t>
      </w:r>
    </w:p>
    <w:p w:rsidR="006C17CB" w:rsidRDefault="006C17CB">
      <w:pPr>
        <w:pStyle w:val="BodyText"/>
        <w:rPr>
          <w:rFonts w:ascii="Montserrat-SemiBold"/>
          <w:b/>
          <w:sz w:val="48"/>
        </w:rPr>
      </w:pPr>
    </w:p>
    <w:p w:rsidR="006C17CB" w:rsidRDefault="0030091C">
      <w:pPr>
        <w:pStyle w:val="BodyText"/>
        <w:spacing w:before="329" w:line="189" w:lineRule="auto"/>
        <w:ind w:left="153" w:right="1510"/>
      </w:pPr>
      <w:r>
        <w:t>During the reporting period, the Office was subject to scrutiny by its internal audit committee and by the Auditor-General.</w:t>
      </w:r>
    </w:p>
    <w:p w:rsidR="006C17CB" w:rsidRDefault="0030091C">
      <w:pPr>
        <w:spacing w:before="113" w:line="189" w:lineRule="auto"/>
        <w:ind w:left="153" w:right="1412"/>
      </w:pPr>
      <w:r>
        <w:t xml:space="preserve">There was one report by the Audit Office, </w:t>
      </w:r>
      <w:r>
        <w:rPr>
          <w:rFonts w:ascii="Calibri" w:hAnsi="Calibri"/>
          <w:i/>
          <w:spacing w:val="-8"/>
        </w:rPr>
        <w:t xml:space="preserve">2016-17 </w:t>
      </w:r>
      <w:r>
        <w:rPr>
          <w:rFonts w:ascii="Calibri" w:hAnsi="Calibri"/>
          <w:i/>
          <w:spacing w:val="-5"/>
        </w:rPr>
        <w:t xml:space="preserve">Financial </w:t>
      </w:r>
      <w:r>
        <w:rPr>
          <w:rFonts w:ascii="Calibri" w:hAnsi="Calibri"/>
          <w:i/>
          <w:spacing w:val="-6"/>
        </w:rPr>
        <w:t xml:space="preserve">Audits—Computer </w:t>
      </w:r>
      <w:r>
        <w:rPr>
          <w:rFonts w:ascii="Calibri" w:hAnsi="Calibri"/>
          <w:i/>
          <w:spacing w:val="-5"/>
        </w:rPr>
        <w:t xml:space="preserve">Information </w:t>
      </w:r>
      <w:r>
        <w:rPr>
          <w:rFonts w:ascii="Calibri" w:hAnsi="Calibri"/>
          <w:i/>
          <w:spacing w:val="-6"/>
        </w:rPr>
        <w:t>Systems</w:t>
      </w:r>
      <w:r>
        <w:rPr>
          <w:spacing w:val="-6"/>
        </w:rPr>
        <w:t xml:space="preserve">, </w:t>
      </w:r>
      <w:r>
        <w:t>with three recommendations for the Office:</w:t>
      </w:r>
    </w:p>
    <w:p w:rsidR="006C17CB" w:rsidRDefault="0030091C">
      <w:pPr>
        <w:pStyle w:val="ListParagraph"/>
        <w:numPr>
          <w:ilvl w:val="0"/>
          <w:numId w:val="22"/>
        </w:numPr>
        <w:tabs>
          <w:tab w:val="left" w:pos="381"/>
        </w:tabs>
        <w:spacing w:before="58" w:line="306" w:lineRule="exact"/>
      </w:pPr>
      <w:r>
        <w:t xml:space="preserve">remove all generic </w:t>
      </w:r>
      <w:r>
        <w:rPr>
          <w:spacing w:val="-3"/>
        </w:rPr>
        <w:t xml:space="preserve">(shared) </w:t>
      </w:r>
      <w:r>
        <w:t>user accounts and assign all users with a unique user name and</w:t>
      </w:r>
      <w:r>
        <w:rPr>
          <w:spacing w:val="-26"/>
        </w:rPr>
        <w:t xml:space="preserve"> </w:t>
      </w:r>
      <w:r>
        <w:t>password;</w:t>
      </w:r>
    </w:p>
    <w:p w:rsidR="006C17CB" w:rsidRDefault="0030091C">
      <w:pPr>
        <w:pStyle w:val="ListParagraph"/>
        <w:numPr>
          <w:ilvl w:val="0"/>
          <w:numId w:val="22"/>
        </w:numPr>
        <w:tabs>
          <w:tab w:val="left" w:pos="381"/>
        </w:tabs>
        <w:spacing w:before="43" w:line="189" w:lineRule="auto"/>
        <w:ind w:right="1267"/>
      </w:pPr>
      <w:r>
        <w:t>require</w:t>
      </w:r>
      <w:r>
        <w:rPr>
          <w:spacing w:val="-5"/>
        </w:rPr>
        <w:t xml:space="preserve"> </w:t>
      </w:r>
      <w:r>
        <w:t>passwords</w:t>
      </w:r>
      <w:r>
        <w:rPr>
          <w:spacing w:val="-4"/>
        </w:rPr>
        <w:t xml:space="preserve"> </w:t>
      </w:r>
      <w:r>
        <w:t>for</w:t>
      </w:r>
      <w:r>
        <w:rPr>
          <w:spacing w:val="-5"/>
        </w:rPr>
        <w:t xml:space="preserve"> </w:t>
      </w:r>
      <w:r>
        <w:t>generic</w:t>
      </w:r>
      <w:r>
        <w:rPr>
          <w:spacing w:val="-5"/>
        </w:rPr>
        <w:t xml:space="preserve"> </w:t>
      </w:r>
      <w:r>
        <w:rPr>
          <w:spacing w:val="-3"/>
        </w:rPr>
        <w:t>(shared)</w:t>
      </w:r>
      <w:r>
        <w:rPr>
          <w:spacing w:val="-4"/>
        </w:rPr>
        <w:t xml:space="preserve"> </w:t>
      </w:r>
      <w:r>
        <w:t>user</w:t>
      </w:r>
      <w:r>
        <w:rPr>
          <w:spacing w:val="-4"/>
        </w:rPr>
        <w:t xml:space="preserve"> </w:t>
      </w:r>
      <w:r>
        <w:t>accounts</w:t>
      </w:r>
      <w:r>
        <w:rPr>
          <w:spacing w:val="-4"/>
        </w:rPr>
        <w:t xml:space="preserve"> </w:t>
      </w:r>
      <w:r>
        <w:t>to</w:t>
      </w:r>
      <w:r>
        <w:rPr>
          <w:spacing w:val="-5"/>
        </w:rPr>
        <w:t xml:space="preserve"> </w:t>
      </w:r>
      <w:r>
        <w:t>be</w:t>
      </w:r>
      <w:r>
        <w:rPr>
          <w:spacing w:val="-5"/>
        </w:rPr>
        <w:t xml:space="preserve"> </w:t>
      </w:r>
      <w:r>
        <w:t>changed</w:t>
      </w:r>
      <w:r>
        <w:rPr>
          <w:spacing w:val="-5"/>
        </w:rPr>
        <w:t xml:space="preserve"> </w:t>
      </w:r>
      <w:r>
        <w:t>every</w:t>
      </w:r>
      <w:r>
        <w:rPr>
          <w:spacing w:val="-4"/>
        </w:rPr>
        <w:t xml:space="preserve"> </w:t>
      </w:r>
      <w:r>
        <w:t>90</w:t>
      </w:r>
      <w:r>
        <w:rPr>
          <w:spacing w:val="-4"/>
        </w:rPr>
        <w:t xml:space="preserve"> </w:t>
      </w:r>
      <w:r>
        <w:t>days</w:t>
      </w:r>
      <w:r>
        <w:rPr>
          <w:spacing w:val="-4"/>
        </w:rPr>
        <w:t xml:space="preserve"> </w:t>
      </w:r>
      <w:r>
        <w:t>in</w:t>
      </w:r>
      <w:r>
        <w:rPr>
          <w:spacing w:val="-4"/>
        </w:rPr>
        <w:t xml:space="preserve"> </w:t>
      </w:r>
      <w:r>
        <w:t>accordance</w:t>
      </w:r>
      <w:r>
        <w:rPr>
          <w:spacing w:val="-5"/>
        </w:rPr>
        <w:t xml:space="preserve"> </w:t>
      </w:r>
      <w:r>
        <w:t>with</w:t>
      </w:r>
      <w:r>
        <w:rPr>
          <w:spacing w:val="-4"/>
        </w:rPr>
        <w:t xml:space="preserve"> </w:t>
      </w:r>
      <w:r>
        <w:t xml:space="preserve">the ACT </w:t>
      </w:r>
      <w:r>
        <w:rPr>
          <w:spacing w:val="-3"/>
        </w:rPr>
        <w:t xml:space="preserve">government’s </w:t>
      </w:r>
      <w:r>
        <w:t>password standard; and</w:t>
      </w:r>
    </w:p>
    <w:p w:rsidR="006C17CB" w:rsidRDefault="0030091C">
      <w:pPr>
        <w:pStyle w:val="ListParagraph"/>
        <w:numPr>
          <w:ilvl w:val="0"/>
          <w:numId w:val="22"/>
        </w:numPr>
        <w:tabs>
          <w:tab w:val="left" w:pos="381"/>
        </w:tabs>
        <w:spacing w:before="44" w:line="189" w:lineRule="auto"/>
        <w:ind w:right="1705"/>
        <w:jc w:val="both"/>
      </w:pPr>
      <w:r>
        <w:t>implement</w:t>
      </w:r>
      <w:r>
        <w:rPr>
          <w:spacing w:val="-5"/>
        </w:rPr>
        <w:t xml:space="preserve"> </w:t>
      </w:r>
      <w:r>
        <w:t>alternative</w:t>
      </w:r>
      <w:r>
        <w:rPr>
          <w:spacing w:val="-6"/>
        </w:rPr>
        <w:t xml:space="preserve"> </w:t>
      </w:r>
      <w:r>
        <w:t>secure</w:t>
      </w:r>
      <w:r>
        <w:rPr>
          <w:spacing w:val="-6"/>
        </w:rPr>
        <w:t xml:space="preserve"> </w:t>
      </w:r>
      <w:r>
        <w:t>network</w:t>
      </w:r>
      <w:r>
        <w:rPr>
          <w:spacing w:val="-5"/>
        </w:rPr>
        <w:t xml:space="preserve"> </w:t>
      </w:r>
      <w:r>
        <w:t>logon</w:t>
      </w:r>
      <w:r>
        <w:rPr>
          <w:spacing w:val="-6"/>
        </w:rPr>
        <w:t xml:space="preserve"> </w:t>
      </w:r>
      <w:r>
        <w:t>methods</w:t>
      </w:r>
      <w:r>
        <w:rPr>
          <w:spacing w:val="-5"/>
        </w:rPr>
        <w:t xml:space="preserve"> </w:t>
      </w:r>
      <w:r>
        <w:rPr>
          <w:spacing w:val="-3"/>
        </w:rPr>
        <w:t>(in</w:t>
      </w:r>
      <w:r>
        <w:rPr>
          <w:spacing w:val="-5"/>
        </w:rPr>
        <w:t xml:space="preserve"> </w:t>
      </w:r>
      <w:r>
        <w:t>consultation</w:t>
      </w:r>
      <w:r>
        <w:rPr>
          <w:spacing w:val="-5"/>
        </w:rPr>
        <w:t xml:space="preserve"> </w:t>
      </w:r>
      <w:r>
        <w:t>with</w:t>
      </w:r>
      <w:r>
        <w:rPr>
          <w:spacing w:val="-5"/>
        </w:rPr>
        <w:t xml:space="preserve"> </w:t>
      </w:r>
      <w:r>
        <w:t>Shared</w:t>
      </w:r>
      <w:r>
        <w:rPr>
          <w:spacing w:val="-6"/>
        </w:rPr>
        <w:t xml:space="preserve"> </w:t>
      </w:r>
      <w:r>
        <w:t>Services</w:t>
      </w:r>
      <w:r>
        <w:rPr>
          <w:spacing w:val="-5"/>
        </w:rPr>
        <w:t xml:space="preserve"> </w:t>
      </w:r>
      <w:r>
        <w:t>ICT)</w:t>
      </w:r>
      <w:r>
        <w:rPr>
          <w:spacing w:val="-5"/>
        </w:rPr>
        <w:t xml:space="preserve"> </w:t>
      </w:r>
      <w:r>
        <w:t xml:space="preserve">that facilitate fast access to systems, where such access is required. This may include, for example, swipe card or biometric </w:t>
      </w:r>
      <w:r>
        <w:rPr>
          <w:spacing w:val="-4"/>
        </w:rPr>
        <w:t xml:space="preserve">(e.g. </w:t>
      </w:r>
      <w:r>
        <w:t>fingerprint or facial recognition)</w:t>
      </w:r>
      <w:r>
        <w:rPr>
          <w:spacing w:val="-4"/>
        </w:rPr>
        <w:t xml:space="preserve"> </w:t>
      </w:r>
      <w:r>
        <w:t>readers.</w:t>
      </w:r>
    </w:p>
    <w:p w:rsidR="006C17CB" w:rsidRDefault="0030091C">
      <w:pPr>
        <w:pStyle w:val="BodyText"/>
        <w:spacing w:before="197" w:line="189" w:lineRule="auto"/>
        <w:ind w:left="153" w:right="1412"/>
      </w:pPr>
      <w:r>
        <w:t>In response to these recommendations, the Office deactivated or reallocated several accounts. The Office also put in place a number of controls to prevent unauthorised access, including locking accounts to dedicated machines located in secure areas and restricting network access to specific applications.</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Legislative Assembly committee recommendations</w:t>
      </w:r>
    </w:p>
    <w:p w:rsidR="006C17CB" w:rsidRDefault="0030091C">
      <w:pPr>
        <w:pStyle w:val="BodyText"/>
        <w:spacing w:before="90" w:line="189" w:lineRule="auto"/>
        <w:ind w:left="153" w:right="1978"/>
      </w:pPr>
      <w:r>
        <w:t>During the reporting period, the report of the Select Committee on Estimates 2017-2018 made one recommendation in relation to the Office.</w:t>
      </w:r>
    </w:p>
    <w:p w:rsidR="006C17CB" w:rsidRDefault="0030091C">
      <w:pPr>
        <w:pStyle w:val="BodyText"/>
        <w:spacing w:before="112" w:line="189" w:lineRule="auto"/>
        <w:ind w:left="153" w:right="1528"/>
      </w:pPr>
      <w:r>
        <w:t>Recommendation 14 was that the Standing Committee on Administration and Procedure clarify, by way of a publicly available document distributed to all members of the Legislative Assembly, precisely what is considered appropriate use of the Office support allowance.</w:t>
      </w:r>
    </w:p>
    <w:p w:rsidR="006C17CB" w:rsidRDefault="0030091C">
      <w:pPr>
        <w:pStyle w:val="BodyText"/>
        <w:spacing w:before="112" w:line="189" w:lineRule="auto"/>
        <w:ind w:left="153" w:right="1656"/>
      </w:pPr>
      <w:r>
        <w:t>The Standing Committee on Administration and Procedure examined this matter and agreed to a set of guidelines in relation to the discretionary office allocation, which was circulated to members.</w:t>
      </w:r>
    </w:p>
    <w:p w:rsidR="006C17CB" w:rsidRDefault="006C17CB">
      <w:pPr>
        <w:spacing w:line="189" w:lineRule="auto"/>
        <w:sectPr w:rsidR="006C17CB">
          <w:footerReference w:type="even" r:id="rId49"/>
          <w:pgSz w:w="11910" w:h="16840"/>
          <w:pgMar w:top="1040" w:right="0" w:bottom="720" w:left="980" w:header="0" w:footer="523" w:gutter="0"/>
          <w:pgNumType w:start="36"/>
          <w:cols w:space="720"/>
        </w:sectPr>
      </w:pPr>
    </w:p>
    <w:p w:rsidR="006C17CB" w:rsidRDefault="00FE24A7">
      <w:pPr>
        <w:pStyle w:val="BodyText"/>
        <w:rPr>
          <w:sz w:val="20"/>
        </w:rPr>
      </w:pPr>
      <w:r>
        <w:pict>
          <v:group id="_x0000_s1503" alt="" style="position:absolute;margin-left:0;margin-top:127.55pt;width:595.3pt;height:714.35pt;z-index:-477040;mso-position-horizontal-relative:page;mso-position-vertical-relative:page" coordorigin=",2551" coordsize="11906,14287">
            <v:rect id="_x0000_s1504" alt="" style="position:absolute;top:2551;width:11906;height:14287" fillcolor="#7ea0d4" stroked="f"/>
            <v:shape id="_x0000_s1505" alt="" style="position:absolute;top:10437;width:6705;height:6400" coordorigin=",10438" coordsize="6705,6400" o:spt="100" adj="0,,0" path="m687,16838r-118,-20l38,16618,,16578r,260l687,16838t1239,-260l1707,16598r-163,-60l1442,16478r-35,-40l1428,16478r10,20l1437,16538r-11,40l1405,16618r-32,40l1333,16678r-51,40l1223,16758r-69,20l1077,16798r-85,20l898,16838r665,l1636,16778r73,-40l1782,16678r72,-40l1902,16598r24,-20m2234,16064r-1,-63l2225,15939r-15,-59l2209,15879r-21,-54l2160,15775r-35,-44l2083,15695r-48,-28l1981,15650r-81,-5l1819,15660r-78,28l1668,15726r-64,42l1551,15810r-39,37l1490,15874r-6,5l1478,15869r-5,-22l1464,15817r-11,-34l1451,15780r-18,-42l1406,15695r-36,-41l1322,15615r-61,-32l1185,15560r-93,-12l981,15549r-107,11l770,15574r-101,17l572,15610r-94,20l388,15652r-85,23l11,15757r-11,3l,15792r277,-7l463,15783r92,l646,15784r85,2l811,15790r73,5l946,15801r51,9l1035,15820r95,44l1209,15917r63,59l1320,16038r33,61l1371,16156r9,37l1396,16236r24,48l1453,16332r44,46l1553,16419r70,32l1708,16473r101,7l1927,16470r63,-16l2046,16428r49,-35l2136,16350r34,-49l2197,16246r19,-59l2229,16126r5,-62m6704,14638r-89,-20l6533,14598r-78,l6166,14518r-74,-20l6014,14478r-83,-20l5841,14438r-97,-40l5747,14358r4,-40l5756,14238r3,-80l5760,14058r-1,-60l5756,13918r-3,-80l5747,13758r-7,-60l5732,13618r-10,-80l5711,13478r-13,-80l5684,13318r-16,-60l5651,13178r-18,-60l5613,13038r-21,-60l5570,12898r-24,-60l5521,12778r-5,-15l5516,14058r-1,80l5513,14198r-3,60l5506,14318r-38,-13l5468,14850r-899,-152l3981,14698r-478,140l2890,15198r359,-380l3472,14638r25,-20l3746,14558r366,-20l4211,14518r100,20l4411,14538r489,100l4989,14678r85,20l5154,14718r74,40l5295,14778r59,20l5406,14818r42,20l5468,14850r,-545l5445,14298r-63,-20l5316,14258r-69,-20l5174,14218r-76,-40l5018,14158r-84,-40l4216,13978r-518,40l3383,14158r-106,60l3509,13758r176,-540l3798,12758r40,-200l3914,12138r15,-80l3982,11778r35,-220l4054,11278r61,40l4175,11378r59,40l4292,11458r57,60l4405,11558r54,60l4513,11658r53,60l4617,11778r50,40l4716,11878r48,60l4810,11998r45,60l4899,12118r42,60l4983,12238r39,60l5061,12378r37,60l5134,12498r34,80l5200,12638r32,60l5261,12778r29,60l5316,12918r25,80l5365,13058r22,80l5407,13218r18,60l5442,13358r16,80l5471,13518r12,80l5493,13678r8,60l5508,13818r4,80l5515,13978r1,80l5516,12763r-22,-65l5467,12638r-29,-60l5408,12498r-32,-60l5344,12378r-34,-60l5275,12258r-36,-60l5202,12138r-39,-60l5124,12018r-41,-60l5041,11898r-42,-60l4955,11798r-45,-60l4864,11678r-47,-60l4769,11578r-49,-60l4670,11478r-51,-60l4567,11378r-53,-40l4461,11278r-55,-40l4351,11198r-56,-40l4237,11118r-116,-80l4001,10958r-123,-80l3852,10870r,288l3603,11298r-181,98l3422,12138r-122,720l3160,13318r-249,440l2463,14358r29,-440l2533,13298r123,-600l2922,12378r500,-240l3422,11396r-76,42l3143,11558r-81,60l2410,12178r-380,780l1853,13638r-44,280l1800,13798r-11,-120l1774,13578r-18,-120l1736,13358r-23,-120l1688,13138r-28,-100l1631,12958r-31,-100l1568,12778r-34,-80l1499,12618r-35,-80l1427,12458r-5,-11l1422,14178r,60l1420,14318r-3,80l1414,14478r-4,80l1405,14658r-5,80l1395,14818r-6,100l1384,14998r-3,-20l1333,14598r-88,-700l1115,13258,919,12818,580,12358r328,240l1096,12778r119,260l1336,13418r18,80l1370,13558r13,80l1394,13698r9,80l1410,13838r6,80l1419,13998r2,80l1422,14138r,40l1422,12447r-32,-69l1378,12358r-100,-160l1241,12138r-36,-40l1169,12038r-35,-40l1101,11958r-33,-40l1037,11878r-29,-40l981,11818r-25,-20l933,11778r-21,-20l895,11738r-42,-40l740,11618,456,11398r-50,-40l255,11238r131,-80l521,11078r69,-20l730,10978r72,-20l874,10918r73,-20l1021,10858r539,-140l1640,10718r80,-20l1801,10698r81,-20l2373,10678r80,20l2533,10698r79,20l2691,10718r605,160l3369,10918r71,20l3511,10978r70,20l3718,11078r134,80l3852,10870r-37,-12l3687,10778r-64,-20l3557,10718r-133,-40l3357,10658r-68,-40l2940,10518r-71,l2724,10478r-73,l2578,10458r-74,l2430,10438r-602,l1754,10458r-74,l1606,10478r-73,l1389,10518r-71,l969,10618r-68,40l701,10718r-66,40l570,10778r-127,80l380,10878r-123,80l137,11038r-117,80l,11118r,320l30,11418r59,-60l87,11418r-3,60l81,11538r-3,60l75,11678r-6,200l65,11978r-3,120l160,12858r239,820l642,14338r111,260l649,14538r-98,-60l458,14438r-88,-20l288,14418r-78,-20l138,14418r-67,l9,14438r-9,20l,15158r21,l175,15078r76,-20l324,15018r70,-20l461,14978r118,l660,14998r93,40l853,15058r98,40l1042,15118r78,40l1178,15178r32,20l1192,15198r-34,-20l1109,15178r-62,-20l893,15158r-89,-20l710,15138r-97,20l514,15158r-99,20l319,15218r-71,20l177,15278r-142,40l,15318r,300l22,15618r239,-60l337,15538r73,-20l1010,15418r337,60l1495,15578r33,60l1716,15418r155,-180l1906,15198r141,-160l2073,14998r39,-60l2121,14918r1,-20l2124,14818r7,-100l2144,14638r21,-80l2197,14518r49,20l2280,14598r19,80l2305,14698r84,-40l2464,14638r61,20l2566,14678r15,20l2565,14698r-112,20l2376,14778r-45,60l2316,14878r-21,120l1883,15458r765,220l3020,16118r121,460l3150,16778r-37,-120l3074,16538r-43,-100l2986,16338r-47,-80l2890,16178r-51,-80l2788,16018r-52,-60l2684,15918r-52,-60l2581,15818r-50,-40l2482,15738r-47,-20l2390,15698r-43,-20l2307,15658r-37,-20l2237,15638r-29,-20l2139,15618r-3,20l2139,15638r9,20l2165,15658r51,40l2258,15718r33,40l2316,15798r18,40l2347,15898r9,40l2360,15978r2,60l2362,16058r,140l2364,16258r4,60l2375,16378r12,60l2405,16498r23,60l2460,16618r40,60l2549,16738r60,80l2652,16838r892,l3564,16778r7,-20l3605,16658r27,-80l3655,16498r18,-60l3685,16378r6,-80l3690,16238r-9,-60l3663,16118r-28,-60l3597,15978r-50,-60l3486,15838r-190,-120l3264,15698r-224,-40l2867,15698r-69,20l2886,15538r221,-100l3632,15378r1002,-60l4727,15298r179,l4991,15278r83,l5231,15238r75,l5279,15318r-28,60l5222,15458r-30,80l5161,15598r-32,80l5096,15758r-34,60l5026,15898r-36,60l4952,16038r-39,60l4872,16178r-42,60l4786,16318r-45,60l4694,16438r-48,60l4595,16558r-52,60l4489,16678r-56,60l4375,16798r-61,40l4350,16838r62,-60l4473,16738r60,-60l4592,16638r58,-60l4707,16518r56,-60l4818,16418r53,-60l4924,16298r51,-60l5024,16178r49,-60l5120,16058r45,-60l5209,15938r42,-60l5292,15798r39,-60l5369,15678r36,-80l5439,15538r32,-60l5502,15398r29,-60l5558,15258r6,-20l5576,15198r7,-20l6143,15018r305,-160l6486,14838r172,-140l6704,14638e" fillcolor="#7098d0" stroked="f">
              <v:stroke joinstyle="round"/>
              <v:formulas/>
              <v:path arrowok="t" o:connecttype="segments"/>
            </v:shape>
            <w10:wrap anchorx="page" anchory="page"/>
          </v:group>
        </w:pict>
      </w: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3"/>
        <w:rPr>
          <w:sz w:val="13"/>
        </w:rPr>
      </w:pPr>
    </w:p>
    <w:p w:rsidR="006C17CB" w:rsidRDefault="0030091C">
      <w:pPr>
        <w:spacing w:before="219" w:line="196" w:lineRule="auto"/>
        <w:ind w:left="6484" w:right="1124" w:firstLine="1352"/>
        <w:jc w:val="right"/>
        <w:rPr>
          <w:rFonts w:ascii="Montserrat-SemiBold"/>
          <w:b/>
          <w:sz w:val="38"/>
        </w:rPr>
      </w:pPr>
      <w:bookmarkStart w:id="55" w:name="SECTION_C_LEGISLATIVE_AND_POLICY_BASED_R"/>
      <w:bookmarkStart w:id="56" w:name="_bookmark16"/>
      <w:bookmarkEnd w:id="55"/>
      <w:bookmarkEnd w:id="56"/>
      <w:r>
        <w:rPr>
          <w:rFonts w:ascii="Montserrat-Light"/>
          <w:color w:val="FFFFFF"/>
          <w:w w:val="95"/>
          <w:sz w:val="38"/>
        </w:rPr>
        <w:t>SECTION C</w:t>
      </w:r>
      <w:r>
        <w:rPr>
          <w:rFonts w:ascii="Montserrat-Light"/>
          <w:color w:val="FFFFFF"/>
          <w:w w:val="92"/>
          <w:sz w:val="38"/>
        </w:rPr>
        <w:t xml:space="preserve"> </w:t>
      </w:r>
      <w:r>
        <w:rPr>
          <w:rFonts w:ascii="Montserrat-SemiBold"/>
          <w:b/>
          <w:color w:val="FFFFFF"/>
          <w:spacing w:val="1"/>
          <w:w w:val="90"/>
          <w:sz w:val="38"/>
        </w:rPr>
        <w:t>LEGISLATIVE</w:t>
      </w:r>
      <w:r>
        <w:rPr>
          <w:rFonts w:ascii="Montserrat-SemiBold"/>
          <w:b/>
          <w:color w:val="FFFFFF"/>
          <w:w w:val="90"/>
          <w:sz w:val="38"/>
        </w:rPr>
        <w:t xml:space="preserve"> </w:t>
      </w:r>
      <w:r>
        <w:rPr>
          <w:rFonts w:ascii="Montserrat-SemiBold"/>
          <w:b/>
          <w:color w:val="FFFFFF"/>
          <w:spacing w:val="3"/>
          <w:w w:val="90"/>
          <w:sz w:val="38"/>
        </w:rPr>
        <w:t>AND</w:t>
      </w:r>
      <w:r>
        <w:rPr>
          <w:rFonts w:ascii="Montserrat-SemiBold"/>
          <w:b/>
          <w:color w:val="FFFFFF"/>
          <w:w w:val="92"/>
          <w:sz w:val="38"/>
        </w:rPr>
        <w:t xml:space="preserve"> </w:t>
      </w:r>
      <w:r>
        <w:rPr>
          <w:rFonts w:ascii="Montserrat-SemiBold"/>
          <w:b/>
          <w:color w:val="FFFFFF"/>
          <w:spacing w:val="5"/>
          <w:w w:val="90"/>
          <w:sz w:val="38"/>
        </w:rPr>
        <w:t>POLICY</w:t>
      </w:r>
      <w:r>
        <w:rPr>
          <w:rFonts w:ascii="Montserrat-SemiBold"/>
          <w:b/>
          <w:color w:val="FFFFFF"/>
          <w:spacing w:val="85"/>
          <w:w w:val="90"/>
          <w:sz w:val="38"/>
        </w:rPr>
        <w:t xml:space="preserve"> </w:t>
      </w:r>
      <w:r>
        <w:rPr>
          <w:rFonts w:ascii="Montserrat-SemiBold"/>
          <w:b/>
          <w:color w:val="FFFFFF"/>
          <w:spacing w:val="5"/>
          <w:w w:val="90"/>
          <w:sz w:val="38"/>
        </w:rPr>
        <w:t>BASED</w:t>
      </w:r>
      <w:r>
        <w:rPr>
          <w:rFonts w:ascii="Montserrat-SemiBold"/>
          <w:b/>
          <w:color w:val="FFFFFF"/>
          <w:spacing w:val="7"/>
          <w:w w:val="92"/>
          <w:sz w:val="38"/>
        </w:rPr>
        <w:t xml:space="preserve"> </w:t>
      </w:r>
      <w:r>
        <w:rPr>
          <w:rFonts w:ascii="Montserrat-SemiBold"/>
          <w:b/>
          <w:color w:val="FFFFFF"/>
          <w:spacing w:val="5"/>
          <w:w w:val="90"/>
          <w:sz w:val="38"/>
        </w:rPr>
        <w:t>REPORTING</w:t>
      </w: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rPr>
          <w:rFonts w:ascii="Montserrat-SemiBold"/>
          <w:b/>
          <w:sz w:val="20"/>
        </w:rPr>
      </w:pPr>
    </w:p>
    <w:p w:rsidR="006C17CB" w:rsidRDefault="006C17CB">
      <w:pPr>
        <w:pStyle w:val="BodyText"/>
        <w:spacing w:before="3"/>
        <w:rPr>
          <w:rFonts w:ascii="Montserrat-SemiBold"/>
          <w:b/>
          <w:sz w:val="29"/>
        </w:rPr>
      </w:pPr>
    </w:p>
    <w:p w:rsidR="006C17CB" w:rsidRDefault="0030091C">
      <w:pPr>
        <w:tabs>
          <w:tab w:val="left" w:pos="9624"/>
        </w:tabs>
        <w:spacing w:before="122"/>
        <w:ind w:left="4542"/>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rPr>
          <w:rFonts w:ascii="Montserrat-Light" w:hAnsi="Montserrat-Light"/>
          <w:sz w:val="16"/>
        </w:rPr>
        <w:t>37</w:t>
      </w:r>
    </w:p>
    <w:p w:rsidR="006C17CB" w:rsidRDefault="006C17CB">
      <w:pPr>
        <w:rPr>
          <w:rFonts w:ascii="Montserrat-Light" w:hAnsi="Montserrat-Light"/>
          <w:sz w:val="16"/>
        </w:rPr>
        <w:sectPr w:rsidR="006C17CB">
          <w:footerReference w:type="default" r:id="rId50"/>
          <w:pgSz w:w="11910" w:h="16840"/>
          <w:pgMar w:top="1580" w:right="0" w:bottom="280" w:left="980" w:header="0" w:footer="0" w:gutter="0"/>
          <w:cols w:space="720"/>
        </w:sectPr>
      </w:pPr>
    </w:p>
    <w:p w:rsidR="006C17CB" w:rsidRDefault="0030091C">
      <w:pPr>
        <w:pStyle w:val="Heading3"/>
      </w:pPr>
      <w:bookmarkStart w:id="57" w:name="Risk_management_and_internal_audit"/>
      <w:bookmarkStart w:id="58" w:name="Internal_audit"/>
      <w:bookmarkStart w:id="59" w:name="_bookmark17"/>
      <w:bookmarkEnd w:id="57"/>
      <w:bookmarkEnd w:id="58"/>
      <w:bookmarkEnd w:id="59"/>
      <w:r>
        <w:rPr>
          <w:color w:val="004289"/>
        </w:rPr>
        <w:t>RISK MANAGEMENT AND INTERNAL AUDIT</w:t>
      </w:r>
    </w:p>
    <w:p w:rsidR="006C17CB" w:rsidRDefault="006C17CB">
      <w:pPr>
        <w:pStyle w:val="BodyText"/>
        <w:spacing w:before="11"/>
        <w:rPr>
          <w:rFonts w:ascii="Montserrat-SemiBold"/>
          <w:b/>
          <w:sz w:val="71"/>
        </w:rPr>
      </w:pPr>
    </w:p>
    <w:p w:rsidR="006C17CB" w:rsidRDefault="0030091C">
      <w:pPr>
        <w:pStyle w:val="Heading5"/>
        <w:spacing w:before="1"/>
        <w:rPr>
          <w:rFonts w:ascii="Montserrat"/>
        </w:rPr>
      </w:pPr>
      <w:r>
        <w:rPr>
          <w:rFonts w:ascii="Montserrat"/>
          <w:color w:val="556EAA"/>
        </w:rPr>
        <w:t>Risk management</w:t>
      </w:r>
    </w:p>
    <w:p w:rsidR="006C17CB" w:rsidRDefault="0030091C">
      <w:pPr>
        <w:pStyle w:val="BodyText"/>
        <w:spacing w:before="89" w:line="189" w:lineRule="auto"/>
        <w:ind w:left="153" w:right="1139"/>
      </w:pPr>
      <w:r>
        <w:t>The Office remains committed to ensuring that all non-trivial risks are well managed across the organisation and that staff across the Office have the necessary skills and knowledge to incorporate risk management into the delivery of key functions for which they are responsible.</w:t>
      </w:r>
    </w:p>
    <w:p w:rsidR="006C17CB" w:rsidRDefault="0030091C">
      <w:pPr>
        <w:pStyle w:val="BodyText"/>
        <w:spacing w:before="112" w:line="189" w:lineRule="auto"/>
        <w:ind w:left="153" w:right="1579"/>
      </w:pPr>
      <w:r>
        <w:t>Based on AS/NZS ISO 31000:2009, the Office’s risk management framework is designed to inform sound decision-making across the organisation and assist in promoting awareness and understanding of risk management issues amongst the Office’s directors and staff.</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Internal audit</w:t>
      </w:r>
    </w:p>
    <w:p w:rsidR="006C17CB" w:rsidRDefault="0030091C">
      <w:pPr>
        <w:pStyle w:val="BodyText"/>
        <w:spacing w:before="89" w:line="189" w:lineRule="auto"/>
        <w:ind w:left="153" w:right="1719"/>
      </w:pPr>
      <w:r>
        <w:t>The Office’s internal audit committee reports directly to the Clerk of the Assembly and operates under a charter which establishes the role of the committee as being to review and monitor:</w:t>
      </w:r>
    </w:p>
    <w:p w:rsidR="006C17CB" w:rsidRDefault="0030091C">
      <w:pPr>
        <w:pStyle w:val="ListParagraph"/>
        <w:numPr>
          <w:ilvl w:val="0"/>
          <w:numId w:val="22"/>
        </w:numPr>
        <w:tabs>
          <w:tab w:val="left" w:pos="381"/>
        </w:tabs>
        <w:spacing w:before="58" w:line="306" w:lineRule="exact"/>
      </w:pPr>
      <w:r>
        <w:t>the extent of compliance with applicable laws, regulations and directions, including agency</w:t>
      </w:r>
      <w:r>
        <w:rPr>
          <w:spacing w:val="-21"/>
        </w:rPr>
        <w:t xml:space="preserve"> </w:t>
      </w:r>
      <w:r>
        <w:t>policy;</w:t>
      </w:r>
    </w:p>
    <w:p w:rsidR="006C17CB" w:rsidRDefault="0030091C">
      <w:pPr>
        <w:pStyle w:val="ListParagraph"/>
        <w:numPr>
          <w:ilvl w:val="0"/>
          <w:numId w:val="22"/>
        </w:numPr>
        <w:tabs>
          <w:tab w:val="left" w:pos="381"/>
        </w:tabs>
      </w:pPr>
      <w:r>
        <w:t>the effectiveness of the design, implementation and operation of internal</w:t>
      </w:r>
      <w:r>
        <w:rPr>
          <w:spacing w:val="-13"/>
        </w:rPr>
        <w:t xml:space="preserve"> </w:t>
      </w:r>
      <w:r>
        <w:t>controls;</w:t>
      </w:r>
    </w:p>
    <w:p w:rsidR="006C17CB" w:rsidRDefault="0030091C">
      <w:pPr>
        <w:pStyle w:val="ListParagraph"/>
        <w:numPr>
          <w:ilvl w:val="0"/>
          <w:numId w:val="22"/>
        </w:numPr>
        <w:tabs>
          <w:tab w:val="left" w:pos="381"/>
        </w:tabs>
        <w:spacing w:before="44" w:line="189" w:lineRule="auto"/>
        <w:ind w:right="2108"/>
      </w:pPr>
      <w:r>
        <w:t>the</w:t>
      </w:r>
      <w:r>
        <w:rPr>
          <w:spacing w:val="-8"/>
        </w:rPr>
        <w:t xml:space="preserve"> </w:t>
      </w:r>
      <w:r>
        <w:t>completeness,</w:t>
      </w:r>
      <w:r>
        <w:rPr>
          <w:spacing w:val="-7"/>
        </w:rPr>
        <w:t xml:space="preserve"> </w:t>
      </w:r>
      <w:r>
        <w:t>accuracy</w:t>
      </w:r>
      <w:r>
        <w:rPr>
          <w:spacing w:val="-7"/>
        </w:rPr>
        <w:t xml:space="preserve"> </w:t>
      </w:r>
      <w:r>
        <w:t>and</w:t>
      </w:r>
      <w:r>
        <w:rPr>
          <w:spacing w:val="-7"/>
        </w:rPr>
        <w:t xml:space="preserve"> </w:t>
      </w:r>
      <w:r>
        <w:t>reliability</w:t>
      </w:r>
      <w:r>
        <w:rPr>
          <w:spacing w:val="-7"/>
        </w:rPr>
        <w:t xml:space="preserve"> </w:t>
      </w:r>
      <w:r>
        <w:t>of</w:t>
      </w:r>
      <w:r>
        <w:rPr>
          <w:spacing w:val="-7"/>
        </w:rPr>
        <w:t xml:space="preserve"> </w:t>
      </w:r>
      <w:r>
        <w:t>financial</w:t>
      </w:r>
      <w:r>
        <w:rPr>
          <w:spacing w:val="-7"/>
        </w:rPr>
        <w:t xml:space="preserve"> </w:t>
      </w:r>
      <w:r>
        <w:t>and</w:t>
      </w:r>
      <w:r>
        <w:rPr>
          <w:spacing w:val="-7"/>
        </w:rPr>
        <w:t xml:space="preserve"> </w:t>
      </w:r>
      <w:r>
        <w:t>operating</w:t>
      </w:r>
      <w:r>
        <w:rPr>
          <w:spacing w:val="-7"/>
        </w:rPr>
        <w:t xml:space="preserve"> </w:t>
      </w:r>
      <w:r>
        <w:t>information</w:t>
      </w:r>
      <w:r>
        <w:rPr>
          <w:spacing w:val="-7"/>
        </w:rPr>
        <w:t xml:space="preserve"> </w:t>
      </w:r>
      <w:r>
        <w:t>and</w:t>
      </w:r>
      <w:r>
        <w:rPr>
          <w:spacing w:val="-7"/>
        </w:rPr>
        <w:t xml:space="preserve"> </w:t>
      </w:r>
      <w:r>
        <w:t>underlying records;</w:t>
      </w:r>
      <w:r>
        <w:rPr>
          <w:spacing w:val="-1"/>
        </w:rPr>
        <w:t xml:space="preserve"> </w:t>
      </w:r>
      <w:r>
        <w:t>and</w:t>
      </w:r>
    </w:p>
    <w:p w:rsidR="006C17CB" w:rsidRDefault="0030091C">
      <w:pPr>
        <w:pStyle w:val="ListParagraph"/>
        <w:numPr>
          <w:ilvl w:val="0"/>
          <w:numId w:val="22"/>
        </w:numPr>
        <w:tabs>
          <w:tab w:val="left" w:pos="381"/>
        </w:tabs>
        <w:spacing w:line="307" w:lineRule="exact"/>
      </w:pPr>
      <w:r>
        <w:t>the efficiency and effectiveness of business and program, or service, delivery</w:t>
      </w:r>
      <w:r>
        <w:rPr>
          <w:spacing w:val="-11"/>
        </w:rPr>
        <w:t xml:space="preserve"> </w:t>
      </w:r>
      <w:r>
        <w:t>processes.</w:t>
      </w:r>
    </w:p>
    <w:p w:rsidR="006C17CB" w:rsidRDefault="0030091C">
      <w:pPr>
        <w:pStyle w:val="BodyText"/>
        <w:spacing w:before="185" w:line="189" w:lineRule="auto"/>
        <w:ind w:left="153" w:right="1509"/>
        <w:jc w:val="both"/>
      </w:pPr>
      <w:r>
        <w:t>The</w:t>
      </w:r>
      <w:r>
        <w:rPr>
          <w:spacing w:val="-6"/>
        </w:rPr>
        <w:t xml:space="preserve"> </w:t>
      </w:r>
      <w:r>
        <w:t>committee</w:t>
      </w:r>
      <w:r>
        <w:rPr>
          <w:spacing w:val="-6"/>
        </w:rPr>
        <w:t xml:space="preserve"> </w:t>
      </w:r>
      <w:r>
        <w:t>commissioned</w:t>
      </w:r>
      <w:r>
        <w:rPr>
          <w:spacing w:val="-6"/>
        </w:rPr>
        <w:t xml:space="preserve"> </w:t>
      </w:r>
      <w:r>
        <w:t>two</w:t>
      </w:r>
      <w:r>
        <w:rPr>
          <w:spacing w:val="-6"/>
        </w:rPr>
        <w:t xml:space="preserve"> </w:t>
      </w:r>
      <w:r>
        <w:t>audits</w:t>
      </w:r>
      <w:r>
        <w:rPr>
          <w:spacing w:val="-5"/>
        </w:rPr>
        <w:t xml:space="preserve"> </w:t>
      </w:r>
      <w:r>
        <w:t>during</w:t>
      </w:r>
      <w:r>
        <w:rPr>
          <w:spacing w:val="-5"/>
        </w:rPr>
        <w:t xml:space="preserve"> </w:t>
      </w:r>
      <w:r>
        <w:t>the</w:t>
      </w:r>
      <w:r>
        <w:rPr>
          <w:spacing w:val="-6"/>
        </w:rPr>
        <w:t xml:space="preserve"> </w:t>
      </w:r>
      <w:r>
        <w:t>reporting</w:t>
      </w:r>
      <w:r>
        <w:rPr>
          <w:spacing w:val="-5"/>
        </w:rPr>
        <w:t xml:space="preserve"> </w:t>
      </w:r>
      <w:r>
        <w:t>period:</w:t>
      </w:r>
      <w:r>
        <w:rPr>
          <w:spacing w:val="-5"/>
        </w:rPr>
        <w:t xml:space="preserve"> </w:t>
      </w:r>
      <w:r>
        <w:t>an</w:t>
      </w:r>
      <w:r>
        <w:rPr>
          <w:spacing w:val="-5"/>
        </w:rPr>
        <w:t xml:space="preserve"> </w:t>
      </w:r>
      <w:r>
        <w:t>audit</w:t>
      </w:r>
      <w:r>
        <w:rPr>
          <w:spacing w:val="-5"/>
        </w:rPr>
        <w:t xml:space="preserve"> </w:t>
      </w:r>
      <w:r>
        <w:t>of</w:t>
      </w:r>
      <w:r>
        <w:rPr>
          <w:spacing w:val="-5"/>
        </w:rPr>
        <w:t xml:space="preserve"> </w:t>
      </w:r>
      <w:r>
        <w:t>travel</w:t>
      </w:r>
      <w:r>
        <w:rPr>
          <w:spacing w:val="-5"/>
        </w:rPr>
        <w:t xml:space="preserve"> </w:t>
      </w:r>
      <w:r>
        <w:t>entitlements</w:t>
      </w:r>
      <w:r>
        <w:rPr>
          <w:spacing w:val="-5"/>
        </w:rPr>
        <w:t xml:space="preserve"> </w:t>
      </w:r>
      <w:r>
        <w:t>and an</w:t>
      </w:r>
      <w:r>
        <w:rPr>
          <w:spacing w:val="-7"/>
        </w:rPr>
        <w:t xml:space="preserve"> </w:t>
      </w:r>
      <w:r>
        <w:t>audit</w:t>
      </w:r>
      <w:r>
        <w:rPr>
          <w:spacing w:val="-6"/>
        </w:rPr>
        <w:t xml:space="preserve"> </w:t>
      </w:r>
      <w:r>
        <w:t>of</w:t>
      </w:r>
      <w:r>
        <w:rPr>
          <w:spacing w:val="-6"/>
        </w:rPr>
        <w:t xml:space="preserve"> </w:t>
      </w:r>
      <w:r>
        <w:t>library</w:t>
      </w:r>
      <w:r>
        <w:rPr>
          <w:spacing w:val="-6"/>
        </w:rPr>
        <w:t xml:space="preserve"> </w:t>
      </w:r>
      <w:r>
        <w:t>services.</w:t>
      </w:r>
      <w:r>
        <w:rPr>
          <w:spacing w:val="-6"/>
        </w:rPr>
        <w:t xml:space="preserve"> </w:t>
      </w:r>
      <w:r>
        <w:t>The</w:t>
      </w:r>
      <w:r>
        <w:rPr>
          <w:spacing w:val="-7"/>
        </w:rPr>
        <w:t xml:space="preserve"> </w:t>
      </w:r>
      <w:r>
        <w:t>audit</w:t>
      </w:r>
      <w:r>
        <w:rPr>
          <w:spacing w:val="-6"/>
        </w:rPr>
        <w:t xml:space="preserve"> </w:t>
      </w:r>
      <w:r>
        <w:t>committee</w:t>
      </w:r>
      <w:r>
        <w:rPr>
          <w:spacing w:val="-7"/>
        </w:rPr>
        <w:t xml:space="preserve"> </w:t>
      </w:r>
      <w:r>
        <w:t>also</w:t>
      </w:r>
      <w:r>
        <w:rPr>
          <w:spacing w:val="-7"/>
        </w:rPr>
        <w:t xml:space="preserve"> </w:t>
      </w:r>
      <w:r>
        <w:t>reviewed</w:t>
      </w:r>
      <w:r>
        <w:rPr>
          <w:spacing w:val="-7"/>
        </w:rPr>
        <w:t xml:space="preserve"> </w:t>
      </w:r>
      <w:r>
        <w:t>and</w:t>
      </w:r>
      <w:r>
        <w:rPr>
          <w:spacing w:val="-6"/>
        </w:rPr>
        <w:t xml:space="preserve"> </w:t>
      </w:r>
      <w:r>
        <w:t>updated</w:t>
      </w:r>
      <w:r>
        <w:rPr>
          <w:spacing w:val="-7"/>
        </w:rPr>
        <w:t xml:space="preserve"> </w:t>
      </w:r>
      <w:r>
        <w:t>the</w:t>
      </w:r>
      <w:r>
        <w:rPr>
          <w:spacing w:val="-7"/>
        </w:rPr>
        <w:t xml:space="preserve"> </w:t>
      </w:r>
      <w:r>
        <w:t>internal</w:t>
      </w:r>
      <w:r>
        <w:rPr>
          <w:spacing w:val="-6"/>
        </w:rPr>
        <w:t xml:space="preserve"> </w:t>
      </w:r>
      <w:r>
        <w:t>audit</w:t>
      </w:r>
      <w:r>
        <w:rPr>
          <w:spacing w:val="-6"/>
        </w:rPr>
        <w:t xml:space="preserve"> </w:t>
      </w:r>
      <w:r>
        <w:t>committee charter and the charter for the performance of the internal audit</w:t>
      </w:r>
      <w:r>
        <w:rPr>
          <w:spacing w:val="-14"/>
        </w:rPr>
        <w:t xml:space="preserve"> </w:t>
      </w:r>
      <w:r>
        <w:t>function.</w:t>
      </w:r>
    </w:p>
    <w:p w:rsidR="006C17CB" w:rsidRDefault="006C17CB">
      <w:pPr>
        <w:pStyle w:val="BodyText"/>
      </w:pPr>
    </w:p>
    <w:p w:rsidR="006C17CB" w:rsidRDefault="0030091C">
      <w:pPr>
        <w:spacing w:before="194"/>
        <w:ind w:left="157"/>
        <w:rPr>
          <w:rFonts w:ascii="Calibri"/>
          <w:i/>
        </w:rPr>
      </w:pPr>
      <w:r>
        <w:rPr>
          <w:rFonts w:ascii="Calibri"/>
          <w:b/>
          <w:sz w:val="18"/>
        </w:rPr>
        <w:t xml:space="preserve">TABLE 1. </w:t>
      </w:r>
      <w:r>
        <w:rPr>
          <w:rFonts w:ascii="Calibri"/>
          <w:i/>
        </w:rPr>
        <w:t>Internal audit committee members and meetings</w:t>
      </w:r>
    </w:p>
    <w:p w:rsidR="006C17CB" w:rsidRDefault="006C17CB">
      <w:pPr>
        <w:pStyle w:val="BodyText"/>
        <w:spacing w:before="5"/>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4153"/>
        <w:gridCol w:w="1999"/>
        <w:gridCol w:w="2112"/>
        <w:gridCol w:w="1365"/>
      </w:tblGrid>
      <w:tr w:rsidR="006C17CB">
        <w:trPr>
          <w:trHeight w:val="396"/>
        </w:trPr>
        <w:tc>
          <w:tcPr>
            <w:tcW w:w="4153"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Name</w:t>
            </w:r>
          </w:p>
        </w:tc>
        <w:tc>
          <w:tcPr>
            <w:tcW w:w="1999" w:type="dxa"/>
            <w:tcBorders>
              <w:top w:val="nil"/>
              <w:bottom w:val="nil"/>
            </w:tcBorders>
            <w:shd w:val="clear" w:color="auto" w:fill="89A7D7"/>
          </w:tcPr>
          <w:p w:rsidR="006C17CB" w:rsidRDefault="0030091C">
            <w:pPr>
              <w:pStyle w:val="TableParagraph"/>
              <w:spacing w:before="72"/>
              <w:ind w:left="69"/>
              <w:jc w:val="left"/>
              <w:rPr>
                <w:b/>
                <w:sz w:val="18"/>
              </w:rPr>
            </w:pPr>
            <w:r>
              <w:rPr>
                <w:b/>
                <w:sz w:val="18"/>
              </w:rPr>
              <w:t>Position</w:t>
            </w:r>
          </w:p>
        </w:tc>
        <w:tc>
          <w:tcPr>
            <w:tcW w:w="2112" w:type="dxa"/>
            <w:tcBorders>
              <w:top w:val="nil"/>
              <w:bottom w:val="nil"/>
            </w:tcBorders>
            <w:shd w:val="clear" w:color="auto" w:fill="89A7D7"/>
          </w:tcPr>
          <w:p w:rsidR="006C17CB" w:rsidRDefault="0030091C">
            <w:pPr>
              <w:pStyle w:val="TableParagraph"/>
              <w:spacing w:before="72"/>
              <w:ind w:left="69"/>
              <w:jc w:val="left"/>
              <w:rPr>
                <w:b/>
                <w:sz w:val="18"/>
              </w:rPr>
            </w:pPr>
            <w:r>
              <w:rPr>
                <w:b/>
                <w:sz w:val="18"/>
              </w:rPr>
              <w:t>Service</w:t>
            </w:r>
          </w:p>
        </w:tc>
        <w:tc>
          <w:tcPr>
            <w:tcW w:w="1365" w:type="dxa"/>
            <w:tcBorders>
              <w:top w:val="nil"/>
              <w:bottom w:val="nil"/>
              <w:right w:val="nil"/>
            </w:tcBorders>
            <w:shd w:val="clear" w:color="auto" w:fill="89A7D7"/>
          </w:tcPr>
          <w:p w:rsidR="006C17CB" w:rsidRDefault="0030091C">
            <w:pPr>
              <w:pStyle w:val="TableParagraph"/>
              <w:spacing w:before="72"/>
              <w:ind w:right="79"/>
              <w:rPr>
                <w:b/>
                <w:sz w:val="18"/>
              </w:rPr>
            </w:pPr>
            <w:r>
              <w:rPr>
                <w:b/>
                <w:sz w:val="18"/>
              </w:rPr>
              <w:t>No. of meetings</w:t>
            </w:r>
          </w:p>
        </w:tc>
      </w:tr>
      <w:tr w:rsidR="006C17CB">
        <w:trPr>
          <w:trHeight w:val="386"/>
        </w:trPr>
        <w:tc>
          <w:tcPr>
            <w:tcW w:w="4153"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Will Laurie</w:t>
            </w:r>
          </w:p>
        </w:tc>
        <w:tc>
          <w:tcPr>
            <w:tcW w:w="1999"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independent chair</w:t>
            </w:r>
          </w:p>
        </w:tc>
        <w:tc>
          <w:tcPr>
            <w:tcW w:w="2112"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From 1 January 2016</w:t>
            </w:r>
          </w:p>
        </w:tc>
        <w:tc>
          <w:tcPr>
            <w:tcW w:w="1365" w:type="dxa"/>
            <w:tcBorders>
              <w:top w:val="nil"/>
              <w:left w:val="single" w:sz="4" w:space="0" w:color="DADADA"/>
              <w:bottom w:val="single" w:sz="4" w:space="0" w:color="000000"/>
              <w:right w:val="nil"/>
            </w:tcBorders>
          </w:tcPr>
          <w:p w:rsidR="006C17CB" w:rsidRDefault="0030091C">
            <w:pPr>
              <w:pStyle w:val="TableParagraph"/>
              <w:spacing w:before="50"/>
              <w:ind w:right="79"/>
              <w:rPr>
                <w:sz w:val="18"/>
              </w:rPr>
            </w:pPr>
            <w:r>
              <w:rPr>
                <w:sz w:val="18"/>
              </w:rPr>
              <w:t>3</w:t>
            </w:r>
          </w:p>
        </w:tc>
      </w:tr>
      <w:tr w:rsidR="006C17CB">
        <w:trPr>
          <w:trHeight w:val="386"/>
        </w:trPr>
        <w:tc>
          <w:tcPr>
            <w:tcW w:w="4153"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David Skinner</w:t>
            </w:r>
          </w:p>
        </w:tc>
        <w:tc>
          <w:tcPr>
            <w:tcW w:w="199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member</w:t>
            </w:r>
          </w:p>
        </w:tc>
        <w:tc>
          <w:tcPr>
            <w:tcW w:w="211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3"/>
              <w:jc w:val="left"/>
              <w:rPr>
                <w:sz w:val="18"/>
              </w:rPr>
            </w:pPr>
            <w:r>
              <w:rPr>
                <w:sz w:val="18"/>
              </w:rPr>
              <w:t>From 29 August 2016</w:t>
            </w:r>
          </w:p>
        </w:tc>
        <w:tc>
          <w:tcPr>
            <w:tcW w:w="1365"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9"/>
              <w:rPr>
                <w:sz w:val="18"/>
              </w:rPr>
            </w:pPr>
            <w:r>
              <w:rPr>
                <w:sz w:val="18"/>
              </w:rPr>
              <w:t>3</w:t>
            </w:r>
          </w:p>
        </w:tc>
      </w:tr>
      <w:tr w:rsidR="006C17CB">
        <w:trPr>
          <w:trHeight w:val="386"/>
        </w:trPr>
        <w:tc>
          <w:tcPr>
            <w:tcW w:w="4153"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Hamish Finlay</w:t>
            </w:r>
          </w:p>
        </w:tc>
        <w:tc>
          <w:tcPr>
            <w:tcW w:w="199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member</w:t>
            </w:r>
          </w:p>
        </w:tc>
        <w:tc>
          <w:tcPr>
            <w:tcW w:w="211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3"/>
              <w:jc w:val="left"/>
              <w:rPr>
                <w:sz w:val="18"/>
              </w:rPr>
            </w:pPr>
            <w:r>
              <w:rPr>
                <w:sz w:val="18"/>
              </w:rPr>
              <w:t>From 22 July 2015</w:t>
            </w:r>
          </w:p>
        </w:tc>
        <w:tc>
          <w:tcPr>
            <w:tcW w:w="1365"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9"/>
              <w:rPr>
                <w:sz w:val="18"/>
              </w:rPr>
            </w:pPr>
            <w:r>
              <w:rPr>
                <w:sz w:val="18"/>
              </w:rPr>
              <w:t>3</w:t>
            </w:r>
          </w:p>
        </w:tc>
      </w:tr>
      <w:tr w:rsidR="006C17CB">
        <w:trPr>
          <w:trHeight w:val="386"/>
        </w:trPr>
        <w:tc>
          <w:tcPr>
            <w:tcW w:w="4153"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Emma Rogers</w:t>
            </w:r>
          </w:p>
        </w:tc>
        <w:tc>
          <w:tcPr>
            <w:tcW w:w="199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member</w:t>
            </w:r>
          </w:p>
        </w:tc>
        <w:tc>
          <w:tcPr>
            <w:tcW w:w="211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3"/>
              <w:jc w:val="left"/>
              <w:rPr>
                <w:sz w:val="18"/>
              </w:rPr>
            </w:pPr>
            <w:r>
              <w:rPr>
                <w:sz w:val="18"/>
              </w:rPr>
              <w:t>From 14 November 2015</w:t>
            </w:r>
          </w:p>
        </w:tc>
        <w:tc>
          <w:tcPr>
            <w:tcW w:w="1365"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9"/>
              <w:rPr>
                <w:sz w:val="18"/>
              </w:rPr>
            </w:pPr>
            <w:r>
              <w:rPr>
                <w:sz w:val="18"/>
              </w:rPr>
              <w:t>3</w:t>
            </w:r>
          </w:p>
        </w:tc>
      </w:tr>
    </w:tbl>
    <w:p w:rsidR="006C17CB" w:rsidRDefault="006C17CB">
      <w:pPr>
        <w:rPr>
          <w:sz w:val="18"/>
        </w:rPr>
        <w:sectPr w:rsidR="006C17CB">
          <w:footerReference w:type="even" r:id="rId51"/>
          <w:footerReference w:type="default" r:id="rId52"/>
          <w:pgSz w:w="11910" w:h="16840"/>
          <w:pgMar w:top="1040" w:right="0" w:bottom="720" w:left="980" w:header="0" w:footer="523" w:gutter="0"/>
          <w:pgNumType w:start="38"/>
          <w:cols w:space="720"/>
        </w:sectPr>
      </w:pPr>
    </w:p>
    <w:p w:rsidR="006C17CB" w:rsidRDefault="006C17CB">
      <w:pPr>
        <w:pStyle w:val="BodyText"/>
        <w:rPr>
          <w:rFonts w:ascii="Calibri"/>
          <w:i/>
          <w:sz w:val="20"/>
        </w:rPr>
      </w:pPr>
    </w:p>
    <w:p w:rsidR="006C17CB" w:rsidRDefault="006C17CB">
      <w:pPr>
        <w:pStyle w:val="BodyText"/>
        <w:rPr>
          <w:rFonts w:ascii="Calibri"/>
          <w:i/>
          <w:sz w:val="20"/>
        </w:rPr>
      </w:pPr>
    </w:p>
    <w:p w:rsidR="006C17CB" w:rsidRDefault="006C17CB">
      <w:pPr>
        <w:pStyle w:val="BodyText"/>
        <w:rPr>
          <w:rFonts w:ascii="Calibri"/>
          <w:i/>
          <w:sz w:val="19"/>
        </w:rPr>
      </w:pPr>
    </w:p>
    <w:p w:rsidR="006C17CB" w:rsidRDefault="0030091C">
      <w:pPr>
        <w:pStyle w:val="Heading3"/>
        <w:spacing w:before="103"/>
      </w:pPr>
      <w:bookmarkStart w:id="60" w:name="Fraud_and_corruption_prevention"/>
      <w:bookmarkStart w:id="61" w:name="Public_interest_disclosure"/>
      <w:bookmarkStart w:id="62" w:name="Freedom_of_information_(FOI)"/>
      <w:bookmarkStart w:id="63" w:name="_bookmark18"/>
      <w:bookmarkEnd w:id="60"/>
      <w:bookmarkEnd w:id="61"/>
      <w:bookmarkEnd w:id="62"/>
      <w:bookmarkEnd w:id="63"/>
      <w:r>
        <w:rPr>
          <w:color w:val="004289"/>
        </w:rPr>
        <w:t>FRAUD AND CORRUPTION PREVENTION</w:t>
      </w:r>
    </w:p>
    <w:p w:rsidR="006C17CB" w:rsidRDefault="0030091C">
      <w:pPr>
        <w:pStyle w:val="BodyText"/>
        <w:spacing w:before="234" w:line="189" w:lineRule="auto"/>
        <w:ind w:left="153" w:right="1412"/>
      </w:pPr>
      <w:r>
        <w:t>The</w:t>
      </w:r>
      <w:r>
        <w:rPr>
          <w:spacing w:val="-17"/>
        </w:rPr>
        <w:t xml:space="preserve"> </w:t>
      </w:r>
      <w:r>
        <w:t>Office</w:t>
      </w:r>
      <w:r>
        <w:rPr>
          <w:spacing w:val="-17"/>
        </w:rPr>
        <w:t xml:space="preserve"> </w:t>
      </w:r>
      <w:r>
        <w:t>has</w:t>
      </w:r>
      <w:r>
        <w:rPr>
          <w:spacing w:val="-16"/>
        </w:rPr>
        <w:t xml:space="preserve"> </w:t>
      </w:r>
      <w:r>
        <w:t>a</w:t>
      </w:r>
      <w:r>
        <w:rPr>
          <w:spacing w:val="-16"/>
        </w:rPr>
        <w:t xml:space="preserve"> </w:t>
      </w:r>
      <w:r>
        <w:t>fraud</w:t>
      </w:r>
      <w:r>
        <w:rPr>
          <w:spacing w:val="-16"/>
        </w:rPr>
        <w:t xml:space="preserve"> </w:t>
      </w:r>
      <w:r>
        <w:t>and</w:t>
      </w:r>
      <w:r>
        <w:rPr>
          <w:spacing w:val="-16"/>
        </w:rPr>
        <w:t xml:space="preserve"> </w:t>
      </w:r>
      <w:r>
        <w:t>corruption</w:t>
      </w:r>
      <w:r>
        <w:rPr>
          <w:spacing w:val="-16"/>
        </w:rPr>
        <w:t xml:space="preserve"> </w:t>
      </w:r>
      <w:r>
        <w:t>framework</w:t>
      </w:r>
      <w:r>
        <w:rPr>
          <w:spacing w:val="-16"/>
        </w:rPr>
        <w:t xml:space="preserve"> </w:t>
      </w:r>
      <w:r>
        <w:t>in</w:t>
      </w:r>
      <w:r>
        <w:rPr>
          <w:spacing w:val="-16"/>
        </w:rPr>
        <w:t xml:space="preserve"> </w:t>
      </w:r>
      <w:r>
        <w:t>place</w:t>
      </w:r>
      <w:r>
        <w:rPr>
          <w:spacing w:val="-17"/>
        </w:rPr>
        <w:t xml:space="preserve"> </w:t>
      </w:r>
      <w:r>
        <w:t>outlining</w:t>
      </w:r>
      <w:r>
        <w:rPr>
          <w:spacing w:val="-16"/>
        </w:rPr>
        <w:t xml:space="preserve"> </w:t>
      </w:r>
      <w:r>
        <w:t>the</w:t>
      </w:r>
      <w:r>
        <w:rPr>
          <w:spacing w:val="-17"/>
        </w:rPr>
        <w:t xml:space="preserve"> </w:t>
      </w:r>
      <w:r>
        <w:t>Office’s</w:t>
      </w:r>
      <w:r>
        <w:rPr>
          <w:spacing w:val="-16"/>
        </w:rPr>
        <w:t xml:space="preserve"> </w:t>
      </w:r>
      <w:r>
        <w:t>policies</w:t>
      </w:r>
      <w:r>
        <w:rPr>
          <w:spacing w:val="-16"/>
        </w:rPr>
        <w:t xml:space="preserve"> </w:t>
      </w:r>
      <w:r>
        <w:t>and</w:t>
      </w:r>
      <w:r>
        <w:rPr>
          <w:spacing w:val="-16"/>
        </w:rPr>
        <w:t xml:space="preserve"> </w:t>
      </w:r>
      <w:r>
        <w:t>procedures</w:t>
      </w:r>
      <w:r>
        <w:rPr>
          <w:spacing w:val="-16"/>
        </w:rPr>
        <w:t xml:space="preserve"> </w:t>
      </w:r>
      <w:r>
        <w:t>for preventing,</w:t>
      </w:r>
      <w:r>
        <w:rPr>
          <w:spacing w:val="-22"/>
        </w:rPr>
        <w:t xml:space="preserve"> </w:t>
      </w:r>
      <w:r>
        <w:t>identifying</w:t>
      </w:r>
      <w:r>
        <w:rPr>
          <w:spacing w:val="-22"/>
        </w:rPr>
        <w:t xml:space="preserve"> </w:t>
      </w:r>
      <w:r>
        <w:t>and</w:t>
      </w:r>
      <w:r>
        <w:rPr>
          <w:spacing w:val="-22"/>
        </w:rPr>
        <w:t xml:space="preserve"> </w:t>
      </w:r>
      <w:r>
        <w:t>investigating</w:t>
      </w:r>
      <w:r>
        <w:rPr>
          <w:spacing w:val="-22"/>
        </w:rPr>
        <w:t xml:space="preserve"> </w:t>
      </w:r>
      <w:r>
        <w:t>fraud.</w:t>
      </w:r>
      <w:r>
        <w:rPr>
          <w:spacing w:val="-6"/>
        </w:rPr>
        <w:t xml:space="preserve"> </w:t>
      </w:r>
      <w:r>
        <w:t>The</w:t>
      </w:r>
      <w:r>
        <w:rPr>
          <w:spacing w:val="-7"/>
        </w:rPr>
        <w:t xml:space="preserve"> </w:t>
      </w:r>
      <w:r>
        <w:t>Office</w:t>
      </w:r>
      <w:r>
        <w:rPr>
          <w:spacing w:val="-7"/>
        </w:rPr>
        <w:t xml:space="preserve"> </w:t>
      </w:r>
      <w:r>
        <w:t>also</w:t>
      </w:r>
      <w:r>
        <w:rPr>
          <w:spacing w:val="-7"/>
        </w:rPr>
        <w:t xml:space="preserve"> </w:t>
      </w:r>
      <w:r>
        <w:t>maintains</w:t>
      </w:r>
      <w:r>
        <w:rPr>
          <w:spacing w:val="-6"/>
        </w:rPr>
        <w:t xml:space="preserve"> </w:t>
      </w:r>
      <w:r>
        <w:t>a</w:t>
      </w:r>
      <w:r>
        <w:rPr>
          <w:spacing w:val="-6"/>
        </w:rPr>
        <w:t xml:space="preserve"> </w:t>
      </w:r>
      <w:r>
        <w:t>register</w:t>
      </w:r>
      <w:r>
        <w:rPr>
          <w:spacing w:val="-6"/>
        </w:rPr>
        <w:t xml:space="preserve"> </w:t>
      </w:r>
      <w:r>
        <w:t>of</w:t>
      </w:r>
      <w:r>
        <w:rPr>
          <w:spacing w:val="-6"/>
        </w:rPr>
        <w:t xml:space="preserve"> </w:t>
      </w:r>
      <w:r>
        <w:t>risks</w:t>
      </w:r>
      <w:r>
        <w:rPr>
          <w:spacing w:val="-6"/>
        </w:rPr>
        <w:t xml:space="preserve"> </w:t>
      </w:r>
      <w:r>
        <w:t>associated</w:t>
      </w:r>
      <w:r>
        <w:rPr>
          <w:spacing w:val="-7"/>
        </w:rPr>
        <w:t xml:space="preserve"> </w:t>
      </w:r>
      <w:r>
        <w:t>with fraud and corruption risks which is reviewed</w:t>
      </w:r>
      <w:r>
        <w:rPr>
          <w:spacing w:val="-3"/>
        </w:rPr>
        <w:t xml:space="preserve"> annually.</w:t>
      </w:r>
    </w:p>
    <w:p w:rsidR="006C17CB" w:rsidRDefault="006C17CB">
      <w:pPr>
        <w:pStyle w:val="BodyText"/>
      </w:pPr>
    </w:p>
    <w:p w:rsidR="006C17CB" w:rsidRDefault="006C17CB">
      <w:pPr>
        <w:pStyle w:val="BodyText"/>
      </w:pPr>
    </w:p>
    <w:p w:rsidR="006C17CB" w:rsidRDefault="006C17CB">
      <w:pPr>
        <w:pStyle w:val="BodyText"/>
        <w:spacing w:before="4"/>
        <w:rPr>
          <w:sz w:val="28"/>
        </w:rPr>
      </w:pPr>
    </w:p>
    <w:p w:rsidR="006C17CB" w:rsidRDefault="0030091C">
      <w:pPr>
        <w:pStyle w:val="Heading3"/>
        <w:spacing w:before="0"/>
      </w:pPr>
      <w:r>
        <w:rPr>
          <w:color w:val="004289"/>
        </w:rPr>
        <w:t>PUBLIC INTEREST DISCLOSURE</w:t>
      </w:r>
    </w:p>
    <w:p w:rsidR="006C17CB" w:rsidRDefault="0030091C">
      <w:pPr>
        <w:pStyle w:val="BodyText"/>
        <w:spacing w:before="234" w:line="189" w:lineRule="auto"/>
        <w:ind w:left="153" w:right="1518"/>
      </w:pPr>
      <w:r>
        <w:t>The Office has policies and procedures in place for receiving and investigating public interest disclosures. The details of the procedures are available at both the members and public entrances of the Assembly building, as well as on the Assembly’s website. These procedures were under review at the end of the reporting period.</w:t>
      </w:r>
    </w:p>
    <w:p w:rsidR="006C17CB" w:rsidRDefault="0030091C">
      <w:pPr>
        <w:pStyle w:val="BodyText"/>
        <w:spacing w:before="57"/>
        <w:ind w:left="153"/>
      </w:pPr>
      <w:r>
        <w:t>The Office’s disclosure officers are:</w:t>
      </w:r>
    </w:p>
    <w:p w:rsidR="006C17CB" w:rsidRDefault="006C17CB">
      <w:pPr>
        <w:pStyle w:val="BodyText"/>
        <w:spacing w:before="9" w:after="1"/>
        <w:rPr>
          <w:sz w:val="9"/>
        </w:rPr>
      </w:pPr>
    </w:p>
    <w:tbl>
      <w:tblPr>
        <w:tblW w:w="0" w:type="auto"/>
        <w:tblInd w:w="103" w:type="dxa"/>
        <w:tblLayout w:type="fixed"/>
        <w:tblCellMar>
          <w:left w:w="0" w:type="dxa"/>
          <w:right w:w="0" w:type="dxa"/>
        </w:tblCellMar>
        <w:tblLook w:val="01E0" w:firstRow="1" w:lastRow="1" w:firstColumn="1" w:lastColumn="1" w:noHBand="0" w:noVBand="0"/>
      </w:tblPr>
      <w:tblGrid>
        <w:gridCol w:w="3237"/>
        <w:gridCol w:w="1507"/>
      </w:tblGrid>
      <w:tr w:rsidR="006C17CB">
        <w:trPr>
          <w:trHeight w:val="235"/>
        </w:trPr>
        <w:tc>
          <w:tcPr>
            <w:tcW w:w="3237" w:type="dxa"/>
          </w:tcPr>
          <w:p w:rsidR="006C17CB" w:rsidRDefault="0030091C">
            <w:pPr>
              <w:pStyle w:val="TableParagraph"/>
              <w:spacing w:line="215" w:lineRule="exact"/>
              <w:ind w:left="50"/>
              <w:jc w:val="left"/>
              <w:rPr>
                <w:rFonts w:ascii="Calibri-Light"/>
              </w:rPr>
            </w:pPr>
            <w:r>
              <w:rPr>
                <w:rFonts w:ascii="Calibri-Light"/>
              </w:rPr>
              <w:t>The Clerk</w:t>
            </w:r>
          </w:p>
        </w:tc>
        <w:tc>
          <w:tcPr>
            <w:tcW w:w="1507" w:type="dxa"/>
          </w:tcPr>
          <w:p w:rsidR="006C17CB" w:rsidRDefault="0030091C">
            <w:pPr>
              <w:pStyle w:val="TableParagraph"/>
              <w:spacing w:line="215" w:lineRule="exact"/>
              <w:ind w:right="56"/>
              <w:rPr>
                <w:rFonts w:ascii="Calibri-Light"/>
              </w:rPr>
            </w:pPr>
            <w:r>
              <w:rPr>
                <w:rFonts w:ascii="Calibri-Light"/>
              </w:rPr>
              <w:t>(02) 6205 0191</w:t>
            </w:r>
          </w:p>
        </w:tc>
      </w:tr>
      <w:tr w:rsidR="006C17CB">
        <w:trPr>
          <w:trHeight w:val="250"/>
        </w:trPr>
        <w:tc>
          <w:tcPr>
            <w:tcW w:w="3237" w:type="dxa"/>
          </w:tcPr>
          <w:p w:rsidR="006C17CB" w:rsidRDefault="0030091C">
            <w:pPr>
              <w:pStyle w:val="TableParagraph"/>
              <w:spacing w:line="230" w:lineRule="exact"/>
              <w:ind w:left="50"/>
              <w:jc w:val="left"/>
              <w:rPr>
                <w:rFonts w:ascii="Calibri-Light"/>
              </w:rPr>
            </w:pPr>
            <w:r>
              <w:rPr>
                <w:rFonts w:ascii="Calibri-Light"/>
              </w:rPr>
              <w:t>Deputy Clerk and Serjeant-at-Arms</w:t>
            </w:r>
          </w:p>
        </w:tc>
        <w:tc>
          <w:tcPr>
            <w:tcW w:w="1507" w:type="dxa"/>
          </w:tcPr>
          <w:p w:rsidR="006C17CB" w:rsidRDefault="0030091C">
            <w:pPr>
              <w:pStyle w:val="TableParagraph"/>
              <w:spacing w:line="230" w:lineRule="exact"/>
              <w:ind w:right="65"/>
              <w:rPr>
                <w:rFonts w:ascii="Calibri-Light"/>
              </w:rPr>
            </w:pPr>
            <w:r>
              <w:rPr>
                <w:rFonts w:ascii="Calibri-Light"/>
              </w:rPr>
              <w:t>(02) 6205 0171</w:t>
            </w:r>
          </w:p>
        </w:tc>
      </w:tr>
      <w:tr w:rsidR="006C17CB">
        <w:trPr>
          <w:trHeight w:val="235"/>
        </w:trPr>
        <w:tc>
          <w:tcPr>
            <w:tcW w:w="3237" w:type="dxa"/>
          </w:tcPr>
          <w:p w:rsidR="006C17CB" w:rsidRDefault="0030091C">
            <w:pPr>
              <w:pStyle w:val="TableParagraph"/>
              <w:spacing w:line="215" w:lineRule="exact"/>
              <w:ind w:left="50"/>
              <w:jc w:val="left"/>
              <w:rPr>
                <w:rFonts w:ascii="Calibri-Light"/>
              </w:rPr>
            </w:pPr>
            <w:r>
              <w:rPr>
                <w:rFonts w:ascii="Calibri-Light"/>
              </w:rPr>
              <w:t>Director, Office of the Clerk</w:t>
            </w:r>
          </w:p>
        </w:tc>
        <w:tc>
          <w:tcPr>
            <w:tcW w:w="1507" w:type="dxa"/>
          </w:tcPr>
          <w:p w:rsidR="006C17CB" w:rsidRDefault="0030091C">
            <w:pPr>
              <w:pStyle w:val="TableParagraph"/>
              <w:spacing w:line="215" w:lineRule="exact"/>
              <w:ind w:right="47"/>
              <w:rPr>
                <w:rFonts w:ascii="Calibri-Light"/>
              </w:rPr>
            </w:pPr>
            <w:r>
              <w:rPr>
                <w:rFonts w:ascii="Calibri-Light"/>
              </w:rPr>
              <w:t>(02) 6205 0018</w:t>
            </w:r>
          </w:p>
        </w:tc>
      </w:tr>
    </w:tbl>
    <w:p w:rsidR="006C17CB" w:rsidRDefault="0030091C">
      <w:pPr>
        <w:pStyle w:val="BodyText"/>
        <w:spacing w:before="50"/>
        <w:ind w:left="153"/>
      </w:pPr>
      <w:r>
        <w:t>The Office received no public interest disclosures during the reporting period.</w:t>
      </w:r>
    </w:p>
    <w:p w:rsidR="006C17CB" w:rsidRDefault="006C17CB">
      <w:pPr>
        <w:pStyle w:val="BodyText"/>
      </w:pPr>
    </w:p>
    <w:p w:rsidR="006C17CB" w:rsidRDefault="006C17CB">
      <w:pPr>
        <w:pStyle w:val="BodyText"/>
      </w:pPr>
    </w:p>
    <w:p w:rsidR="006C17CB" w:rsidRDefault="006C17CB">
      <w:pPr>
        <w:pStyle w:val="BodyText"/>
        <w:spacing w:before="7"/>
        <w:rPr>
          <w:sz w:val="27"/>
        </w:rPr>
      </w:pPr>
    </w:p>
    <w:p w:rsidR="006C17CB" w:rsidRDefault="0030091C">
      <w:pPr>
        <w:pStyle w:val="Heading3"/>
        <w:spacing w:before="0"/>
      </w:pPr>
      <w:r>
        <w:rPr>
          <w:color w:val="004289"/>
        </w:rPr>
        <w:t>FREEDOM OF INFORMATION (FOI)</w:t>
      </w:r>
    </w:p>
    <w:p w:rsidR="006C17CB" w:rsidRDefault="0030091C">
      <w:pPr>
        <w:pStyle w:val="BodyText"/>
        <w:spacing w:before="180"/>
        <w:ind w:left="153"/>
      </w:pPr>
      <w:r>
        <w:t>During the reporting period, two different FOI legislative frameworks were in place.</w:t>
      </w:r>
    </w:p>
    <w:p w:rsidR="006C17CB" w:rsidRDefault="0030091C">
      <w:pPr>
        <w:spacing w:before="100" w:line="189" w:lineRule="auto"/>
        <w:ind w:left="153" w:right="1177"/>
      </w:pPr>
      <w:r>
        <w:t xml:space="preserve">From 1 July </w:t>
      </w:r>
      <w:r>
        <w:rPr>
          <w:spacing w:val="-5"/>
        </w:rPr>
        <w:t xml:space="preserve">2017 </w:t>
      </w:r>
      <w:r>
        <w:t xml:space="preserve">to </w:t>
      </w:r>
      <w:r>
        <w:rPr>
          <w:spacing w:val="-5"/>
        </w:rPr>
        <w:t xml:space="preserve">31 </w:t>
      </w:r>
      <w:r>
        <w:t xml:space="preserve">December </w:t>
      </w:r>
      <w:r>
        <w:rPr>
          <w:spacing w:val="-5"/>
        </w:rPr>
        <w:t xml:space="preserve">2017 </w:t>
      </w:r>
      <w:r>
        <w:t xml:space="preserve">the </w:t>
      </w:r>
      <w:hyperlink r:id="rId53">
        <w:r>
          <w:rPr>
            <w:rFonts w:ascii="Calibri"/>
            <w:i/>
            <w:spacing w:val="-6"/>
          </w:rPr>
          <w:t xml:space="preserve">Freedom </w:t>
        </w:r>
        <w:r>
          <w:rPr>
            <w:rFonts w:ascii="Calibri"/>
            <w:i/>
            <w:spacing w:val="-3"/>
          </w:rPr>
          <w:t xml:space="preserve">of </w:t>
        </w:r>
        <w:r>
          <w:rPr>
            <w:rFonts w:ascii="Calibri"/>
            <w:i/>
            <w:spacing w:val="-5"/>
          </w:rPr>
          <w:t xml:space="preserve">Information </w:t>
        </w:r>
        <w:r>
          <w:rPr>
            <w:rFonts w:ascii="Calibri"/>
            <w:i/>
            <w:spacing w:val="-3"/>
          </w:rPr>
          <w:t xml:space="preserve">Act </w:t>
        </w:r>
        <w:r>
          <w:rPr>
            <w:rFonts w:ascii="Calibri"/>
            <w:i/>
            <w:spacing w:val="-4"/>
          </w:rPr>
          <w:t xml:space="preserve">1989 </w:t>
        </w:r>
      </w:hyperlink>
      <w:r>
        <w:t xml:space="preserve">was in effect and from 1 January </w:t>
      </w:r>
      <w:r>
        <w:rPr>
          <w:spacing w:val="-3"/>
        </w:rPr>
        <w:t xml:space="preserve">2018 </w:t>
      </w:r>
      <w:r>
        <w:t xml:space="preserve">to 30 June </w:t>
      </w:r>
      <w:r>
        <w:rPr>
          <w:spacing w:val="-3"/>
        </w:rPr>
        <w:t xml:space="preserve">2018 </w:t>
      </w:r>
      <w:r>
        <w:t xml:space="preserve">the </w:t>
      </w:r>
      <w:hyperlink r:id="rId54">
        <w:r>
          <w:rPr>
            <w:rFonts w:ascii="Calibri"/>
            <w:i/>
            <w:spacing w:val="-6"/>
          </w:rPr>
          <w:t xml:space="preserve">Freedom </w:t>
        </w:r>
        <w:r>
          <w:rPr>
            <w:rFonts w:ascii="Calibri"/>
            <w:i/>
            <w:spacing w:val="-3"/>
          </w:rPr>
          <w:t xml:space="preserve">of </w:t>
        </w:r>
        <w:r>
          <w:rPr>
            <w:rFonts w:ascii="Calibri"/>
            <w:i/>
            <w:spacing w:val="-5"/>
          </w:rPr>
          <w:t xml:space="preserve">Information </w:t>
        </w:r>
        <w:r>
          <w:rPr>
            <w:rFonts w:ascii="Calibri"/>
            <w:i/>
            <w:spacing w:val="-3"/>
          </w:rPr>
          <w:t xml:space="preserve">Act </w:t>
        </w:r>
        <w:r>
          <w:rPr>
            <w:rFonts w:ascii="Calibri"/>
            <w:i/>
            <w:spacing w:val="-7"/>
          </w:rPr>
          <w:t xml:space="preserve">2016 </w:t>
        </w:r>
      </w:hyperlink>
      <w:r>
        <w:t>was in effect.</w:t>
      </w:r>
    </w:p>
    <w:p w:rsidR="006C17CB" w:rsidRDefault="006C17CB">
      <w:pPr>
        <w:pStyle w:val="BodyText"/>
        <w:spacing w:before="8"/>
        <w:rPr>
          <w:sz w:val="23"/>
        </w:rPr>
      </w:pPr>
    </w:p>
    <w:p w:rsidR="006C17CB" w:rsidRDefault="0030091C">
      <w:pPr>
        <w:ind w:left="153"/>
        <w:rPr>
          <w:rFonts w:ascii="Montserrat-SemiBoldItalic"/>
          <w:b/>
          <w:i/>
          <w:sz w:val="20"/>
        </w:rPr>
      </w:pPr>
      <w:r>
        <w:rPr>
          <w:rFonts w:ascii="Montserrat-SemiBoldItalic"/>
          <w:b/>
          <w:i/>
          <w:sz w:val="20"/>
        </w:rPr>
        <w:t>Reporting under the FOI Act 1989</w:t>
      </w:r>
    </w:p>
    <w:p w:rsidR="006C17CB" w:rsidRDefault="0030091C">
      <w:pPr>
        <w:spacing w:before="270"/>
        <w:ind w:left="153"/>
        <w:rPr>
          <w:rFonts w:ascii="Montserrat"/>
          <w:sz w:val="19"/>
        </w:rPr>
      </w:pPr>
      <w:r>
        <w:rPr>
          <w:rFonts w:ascii="Montserrat"/>
          <w:sz w:val="19"/>
        </w:rPr>
        <w:t>ORGANISATION</w:t>
      </w:r>
    </w:p>
    <w:p w:rsidR="006C17CB" w:rsidRDefault="0030091C">
      <w:pPr>
        <w:spacing w:before="111" w:line="189" w:lineRule="auto"/>
        <w:ind w:left="153" w:right="1412"/>
      </w:pPr>
      <w:r>
        <w:t xml:space="preserve">The Office is responsible to the Speaker of the Legislative Assembly through the Clerk, who is appointed pursuant to part 3 of the </w:t>
      </w:r>
      <w:hyperlink r:id="rId55">
        <w:r>
          <w:rPr>
            <w:rFonts w:ascii="Calibri"/>
            <w:i/>
            <w:spacing w:val="-5"/>
          </w:rPr>
          <w:t xml:space="preserve">Legislative Assembly </w:t>
        </w:r>
        <w:r>
          <w:rPr>
            <w:rFonts w:ascii="Calibri"/>
            <w:i/>
            <w:spacing w:val="-4"/>
          </w:rPr>
          <w:t xml:space="preserve">(Office </w:t>
        </w:r>
        <w:r>
          <w:rPr>
            <w:rFonts w:ascii="Calibri"/>
            <w:i/>
            <w:spacing w:val="-3"/>
          </w:rPr>
          <w:t xml:space="preserve">of </w:t>
        </w:r>
        <w:r>
          <w:rPr>
            <w:rFonts w:ascii="Calibri"/>
            <w:i/>
            <w:spacing w:val="-4"/>
          </w:rPr>
          <w:t xml:space="preserve">the </w:t>
        </w:r>
        <w:r>
          <w:rPr>
            <w:rFonts w:ascii="Calibri"/>
            <w:i/>
            <w:spacing w:val="-5"/>
          </w:rPr>
          <w:t xml:space="preserve">Legislative </w:t>
        </w:r>
        <w:r>
          <w:rPr>
            <w:rFonts w:ascii="Calibri"/>
            <w:i/>
            <w:spacing w:val="-6"/>
          </w:rPr>
          <w:t xml:space="preserve">Assembly) </w:t>
        </w:r>
        <w:r>
          <w:rPr>
            <w:rFonts w:ascii="Calibri"/>
            <w:i/>
            <w:spacing w:val="-3"/>
          </w:rPr>
          <w:t xml:space="preserve">Act </w:t>
        </w:r>
        <w:r>
          <w:rPr>
            <w:rFonts w:ascii="Calibri"/>
            <w:i/>
            <w:spacing w:val="-7"/>
          </w:rPr>
          <w:t>2012</w:t>
        </w:r>
      </w:hyperlink>
      <w:r>
        <w:rPr>
          <w:spacing w:val="-7"/>
        </w:rPr>
        <w:t xml:space="preserve">. </w:t>
      </w:r>
      <w:r>
        <w:t xml:space="preserve">Under section </w:t>
      </w:r>
      <w:r>
        <w:rPr>
          <w:spacing w:val="-3"/>
        </w:rPr>
        <w:t xml:space="preserve">10 </w:t>
      </w:r>
      <w:r>
        <w:t>of the Act, the Clerk is responsible for the management of the Office.</w:t>
      </w:r>
    </w:p>
    <w:p w:rsidR="006C17CB" w:rsidRDefault="0030091C">
      <w:pPr>
        <w:pStyle w:val="BodyText"/>
        <w:spacing w:before="112" w:line="189" w:lineRule="auto"/>
        <w:ind w:left="153" w:right="1177"/>
      </w:pPr>
      <w:r>
        <w:t xml:space="preserve">The Clerk has all the powers of a director-general but is not subject to the direction of the Executive. Office staff assisting the Clerk in the exercise of his or her powers and functions are employed pursuant to the </w:t>
      </w:r>
      <w:hyperlink r:id="rId56">
        <w:r>
          <w:rPr>
            <w:rFonts w:ascii="Calibri"/>
            <w:i/>
          </w:rPr>
          <w:t>Public Sector Management Act 1994</w:t>
        </w:r>
      </w:hyperlink>
      <w:r>
        <w:t>.</w:t>
      </w:r>
    </w:p>
    <w:p w:rsidR="006C17CB" w:rsidRDefault="006C17CB">
      <w:pPr>
        <w:pStyle w:val="BodyText"/>
        <w:spacing w:before="13"/>
        <w:rPr>
          <w:sz w:val="14"/>
        </w:rPr>
      </w:pPr>
    </w:p>
    <w:p w:rsidR="006C17CB" w:rsidRDefault="0030091C">
      <w:pPr>
        <w:spacing w:before="1"/>
        <w:ind w:left="153"/>
        <w:rPr>
          <w:rFonts w:ascii="Montserrat"/>
          <w:sz w:val="19"/>
        </w:rPr>
      </w:pPr>
      <w:r>
        <w:rPr>
          <w:rFonts w:ascii="Montserrat"/>
          <w:sz w:val="19"/>
        </w:rPr>
        <w:t>POWERS</w:t>
      </w:r>
    </w:p>
    <w:p w:rsidR="006C17CB" w:rsidRDefault="0030091C">
      <w:pPr>
        <w:spacing w:before="112" w:line="189" w:lineRule="auto"/>
        <w:ind w:left="153" w:right="1412"/>
      </w:pPr>
      <w:r>
        <w:t xml:space="preserve">Certain Office staff can exercise powers delegated by the Speaker pursuant to section </w:t>
      </w:r>
      <w:r>
        <w:rPr>
          <w:spacing w:val="-5"/>
        </w:rPr>
        <w:t xml:space="preserve">9(5) </w:t>
      </w:r>
      <w:r>
        <w:t xml:space="preserve">of the </w:t>
      </w:r>
      <w:hyperlink r:id="rId57">
        <w:r>
          <w:rPr>
            <w:rFonts w:ascii="Calibri"/>
            <w:i/>
          </w:rPr>
          <w:t>Legislative</w:t>
        </w:r>
      </w:hyperlink>
      <w:r>
        <w:rPr>
          <w:rFonts w:ascii="Calibri"/>
          <w:i/>
        </w:rPr>
        <w:t xml:space="preserve"> </w:t>
      </w:r>
      <w:hyperlink r:id="rId58">
        <w:r>
          <w:rPr>
            <w:rFonts w:ascii="Calibri"/>
            <w:i/>
          </w:rPr>
          <w:t xml:space="preserve">Assembly Precincts </w:t>
        </w:r>
        <w:r>
          <w:rPr>
            <w:rFonts w:ascii="Calibri"/>
            <w:i/>
            <w:spacing w:val="-3"/>
          </w:rPr>
          <w:t xml:space="preserve">Act </w:t>
        </w:r>
        <w:r>
          <w:rPr>
            <w:rFonts w:ascii="Calibri"/>
            <w:i/>
            <w:spacing w:val="-5"/>
          </w:rPr>
          <w:t>2001</w:t>
        </w:r>
      </w:hyperlink>
      <w:r>
        <w:rPr>
          <w:spacing w:val="-5"/>
        </w:rPr>
        <w:t>.</w:t>
      </w:r>
    </w:p>
    <w:p w:rsidR="006C17CB" w:rsidRDefault="0030091C">
      <w:pPr>
        <w:pStyle w:val="BodyText"/>
        <w:spacing w:before="112" w:line="189" w:lineRule="auto"/>
        <w:ind w:left="153" w:right="1177"/>
      </w:pPr>
      <w:r>
        <w:t xml:space="preserve">The Clerk also has powers under the </w:t>
      </w:r>
      <w:hyperlink r:id="rId59">
        <w:r>
          <w:rPr>
            <w:rFonts w:ascii="Calibri"/>
            <w:i/>
          </w:rPr>
          <w:t xml:space="preserve">Legislative Assembly (Broadcasting) Act 2001 </w:t>
        </w:r>
      </w:hyperlink>
      <w:r>
        <w:t>in relation to the broadcasting of proceedings, including the approval of electronic access to the proceedings of the Assembly and the withdrawal of access.</w:t>
      </w:r>
    </w:p>
    <w:p w:rsidR="006C17CB" w:rsidRDefault="006C17CB">
      <w:pPr>
        <w:spacing w:line="189" w:lineRule="auto"/>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3"/>
        <w:rPr>
          <w:sz w:val="17"/>
        </w:rPr>
      </w:pPr>
    </w:p>
    <w:p w:rsidR="006C17CB" w:rsidRDefault="0030091C">
      <w:pPr>
        <w:spacing w:before="128"/>
        <w:ind w:left="153"/>
        <w:rPr>
          <w:rFonts w:ascii="Montserrat"/>
          <w:sz w:val="19"/>
        </w:rPr>
      </w:pPr>
      <w:r>
        <w:rPr>
          <w:rFonts w:ascii="Montserrat"/>
          <w:sz w:val="19"/>
        </w:rPr>
        <w:t>ARRANGEMENTS FOR PUBLIC PARTICIPATION</w:t>
      </w:r>
    </w:p>
    <w:p w:rsidR="006C17CB" w:rsidRDefault="0030091C">
      <w:pPr>
        <w:pStyle w:val="BodyText"/>
        <w:spacing w:before="112" w:line="189" w:lineRule="auto"/>
        <w:ind w:left="153" w:right="1638"/>
        <w:jc w:val="both"/>
      </w:pPr>
      <w:r>
        <w:rPr>
          <w:spacing w:val="-5"/>
        </w:rPr>
        <w:t>Avenues</w:t>
      </w:r>
      <w:r>
        <w:rPr>
          <w:spacing w:val="-12"/>
        </w:rPr>
        <w:t xml:space="preserve"> </w:t>
      </w:r>
      <w:r>
        <w:t>for</w:t>
      </w:r>
      <w:r>
        <w:rPr>
          <w:spacing w:val="-7"/>
        </w:rPr>
        <w:t xml:space="preserve"> </w:t>
      </w:r>
      <w:r>
        <w:t>public</w:t>
      </w:r>
      <w:r>
        <w:rPr>
          <w:spacing w:val="-7"/>
        </w:rPr>
        <w:t xml:space="preserve"> </w:t>
      </w:r>
      <w:r>
        <w:t>participation</w:t>
      </w:r>
      <w:r>
        <w:rPr>
          <w:spacing w:val="-6"/>
        </w:rPr>
        <w:t xml:space="preserve"> </w:t>
      </w:r>
      <w:r>
        <w:t>include</w:t>
      </w:r>
      <w:r>
        <w:rPr>
          <w:spacing w:val="-7"/>
        </w:rPr>
        <w:t xml:space="preserve"> </w:t>
      </w:r>
      <w:r>
        <w:t>submissions</w:t>
      </w:r>
      <w:r>
        <w:rPr>
          <w:spacing w:val="-6"/>
        </w:rPr>
        <w:t xml:space="preserve"> </w:t>
      </w:r>
      <w:r>
        <w:t>to</w:t>
      </w:r>
      <w:r>
        <w:rPr>
          <w:spacing w:val="-7"/>
        </w:rPr>
        <w:t xml:space="preserve"> </w:t>
      </w:r>
      <w:r>
        <w:t>committee</w:t>
      </w:r>
      <w:r>
        <w:rPr>
          <w:spacing w:val="-7"/>
        </w:rPr>
        <w:t xml:space="preserve"> </w:t>
      </w:r>
      <w:r>
        <w:t>inquiries,</w:t>
      </w:r>
      <w:r>
        <w:rPr>
          <w:spacing w:val="-6"/>
        </w:rPr>
        <w:t xml:space="preserve"> </w:t>
      </w:r>
      <w:r>
        <w:t>access</w:t>
      </w:r>
      <w:r>
        <w:rPr>
          <w:spacing w:val="-6"/>
        </w:rPr>
        <w:t xml:space="preserve"> </w:t>
      </w:r>
      <w:r>
        <w:t>to</w:t>
      </w:r>
      <w:r>
        <w:rPr>
          <w:spacing w:val="-7"/>
        </w:rPr>
        <w:t xml:space="preserve"> </w:t>
      </w:r>
      <w:r>
        <w:t>public</w:t>
      </w:r>
      <w:r>
        <w:rPr>
          <w:spacing w:val="-7"/>
        </w:rPr>
        <w:t xml:space="preserve"> </w:t>
      </w:r>
      <w:r>
        <w:t>hearings</w:t>
      </w:r>
      <w:r>
        <w:rPr>
          <w:spacing w:val="-6"/>
        </w:rPr>
        <w:t xml:space="preserve"> </w:t>
      </w:r>
      <w:r>
        <w:t>of committee</w:t>
      </w:r>
      <w:r>
        <w:rPr>
          <w:spacing w:val="-17"/>
        </w:rPr>
        <w:t xml:space="preserve"> </w:t>
      </w:r>
      <w:r>
        <w:t>inquiries</w:t>
      </w:r>
      <w:r>
        <w:rPr>
          <w:spacing w:val="-17"/>
        </w:rPr>
        <w:t xml:space="preserve"> </w:t>
      </w:r>
      <w:r>
        <w:t>and</w:t>
      </w:r>
      <w:r>
        <w:rPr>
          <w:spacing w:val="-17"/>
        </w:rPr>
        <w:t xml:space="preserve"> </w:t>
      </w:r>
      <w:r>
        <w:t>Assembly</w:t>
      </w:r>
      <w:r>
        <w:rPr>
          <w:spacing w:val="-17"/>
        </w:rPr>
        <w:t xml:space="preserve"> </w:t>
      </w:r>
      <w:r>
        <w:t>meetings,</w:t>
      </w:r>
      <w:r>
        <w:rPr>
          <w:spacing w:val="-17"/>
        </w:rPr>
        <w:t xml:space="preserve"> </w:t>
      </w:r>
      <w:r>
        <w:rPr>
          <w:spacing w:val="-6"/>
        </w:rPr>
        <w:t>citizen’s</w:t>
      </w:r>
      <w:r>
        <w:rPr>
          <w:spacing w:val="-20"/>
        </w:rPr>
        <w:t xml:space="preserve"> </w:t>
      </w:r>
      <w:r>
        <w:t>right</w:t>
      </w:r>
      <w:r>
        <w:rPr>
          <w:spacing w:val="-17"/>
        </w:rPr>
        <w:t xml:space="preserve"> </w:t>
      </w:r>
      <w:r>
        <w:t>of</w:t>
      </w:r>
      <w:r>
        <w:rPr>
          <w:spacing w:val="-17"/>
        </w:rPr>
        <w:t xml:space="preserve"> </w:t>
      </w:r>
      <w:r>
        <w:rPr>
          <w:spacing w:val="-6"/>
        </w:rPr>
        <w:t>reply,</w:t>
      </w:r>
      <w:r>
        <w:rPr>
          <w:spacing w:val="-20"/>
        </w:rPr>
        <w:t xml:space="preserve"> </w:t>
      </w:r>
      <w:r>
        <w:t>petitions,</w:t>
      </w:r>
      <w:r>
        <w:rPr>
          <w:spacing w:val="-17"/>
        </w:rPr>
        <w:t xml:space="preserve"> </w:t>
      </w:r>
      <w:r>
        <w:t>and</w:t>
      </w:r>
      <w:r>
        <w:rPr>
          <w:spacing w:val="-17"/>
        </w:rPr>
        <w:t xml:space="preserve"> </w:t>
      </w:r>
      <w:r>
        <w:t>access</w:t>
      </w:r>
      <w:r>
        <w:rPr>
          <w:spacing w:val="-17"/>
        </w:rPr>
        <w:t xml:space="preserve"> </w:t>
      </w:r>
      <w:r>
        <w:t>to</w:t>
      </w:r>
      <w:r>
        <w:rPr>
          <w:spacing w:val="-17"/>
        </w:rPr>
        <w:t xml:space="preserve"> </w:t>
      </w:r>
      <w:r>
        <w:t>administrative records</w:t>
      </w:r>
      <w:r>
        <w:rPr>
          <w:spacing w:val="-14"/>
        </w:rPr>
        <w:t xml:space="preserve"> </w:t>
      </w:r>
      <w:r>
        <w:t>and</w:t>
      </w:r>
      <w:r>
        <w:rPr>
          <w:spacing w:val="-14"/>
        </w:rPr>
        <w:t xml:space="preserve"> </w:t>
      </w:r>
      <w:r>
        <w:t>general</w:t>
      </w:r>
      <w:r>
        <w:rPr>
          <w:spacing w:val="-14"/>
        </w:rPr>
        <w:t xml:space="preserve"> </w:t>
      </w:r>
      <w:r>
        <w:t>files</w:t>
      </w:r>
      <w:r>
        <w:rPr>
          <w:spacing w:val="-14"/>
        </w:rPr>
        <w:t xml:space="preserve"> </w:t>
      </w:r>
      <w:r>
        <w:t>through</w:t>
      </w:r>
      <w:r>
        <w:rPr>
          <w:spacing w:val="-14"/>
        </w:rPr>
        <w:t xml:space="preserve"> </w:t>
      </w:r>
      <w:r>
        <w:t>freedom</w:t>
      </w:r>
      <w:r>
        <w:rPr>
          <w:spacing w:val="-15"/>
        </w:rPr>
        <w:t xml:space="preserve"> </w:t>
      </w:r>
      <w:r>
        <w:t>of</w:t>
      </w:r>
      <w:r>
        <w:rPr>
          <w:spacing w:val="-14"/>
        </w:rPr>
        <w:t xml:space="preserve"> </w:t>
      </w:r>
      <w:r>
        <w:t>information</w:t>
      </w:r>
      <w:r>
        <w:rPr>
          <w:spacing w:val="-14"/>
        </w:rPr>
        <w:t xml:space="preserve"> </w:t>
      </w:r>
      <w:r>
        <w:rPr>
          <w:spacing w:val="-7"/>
        </w:rPr>
        <w:t>(FOI)</w:t>
      </w:r>
      <w:r>
        <w:rPr>
          <w:spacing w:val="-18"/>
        </w:rPr>
        <w:t xml:space="preserve"> </w:t>
      </w:r>
      <w:r>
        <w:t>requests.</w:t>
      </w:r>
    </w:p>
    <w:p w:rsidR="006C17CB" w:rsidRDefault="006C17CB">
      <w:pPr>
        <w:pStyle w:val="BodyText"/>
        <w:spacing w:before="13"/>
        <w:rPr>
          <w:sz w:val="14"/>
        </w:rPr>
      </w:pPr>
    </w:p>
    <w:p w:rsidR="006C17CB" w:rsidRDefault="0030091C">
      <w:pPr>
        <w:spacing w:before="1"/>
        <w:ind w:left="153"/>
        <w:rPr>
          <w:rFonts w:ascii="Montserrat"/>
          <w:sz w:val="19"/>
        </w:rPr>
      </w:pPr>
      <w:r>
        <w:rPr>
          <w:rFonts w:ascii="Montserrat"/>
          <w:sz w:val="19"/>
        </w:rPr>
        <w:t>FREEDOM OF INFORMATION (FOI) PROCEDURES AND CONTACT POINTS</w:t>
      </w:r>
    </w:p>
    <w:p w:rsidR="006C17CB" w:rsidRDefault="0030091C">
      <w:pPr>
        <w:pStyle w:val="BodyText"/>
        <w:spacing w:before="57" w:line="276" w:lineRule="auto"/>
        <w:ind w:left="153" w:right="2844"/>
      </w:pPr>
      <w:r>
        <w:t>All FOI requests relating to the Office of the Legislative Assembly should be directed to: The Clerk</w:t>
      </w:r>
    </w:p>
    <w:p w:rsidR="006C17CB" w:rsidRDefault="0030091C">
      <w:pPr>
        <w:pStyle w:val="BodyText"/>
        <w:spacing w:line="168" w:lineRule="exact"/>
        <w:ind w:left="153"/>
      </w:pPr>
      <w:r>
        <w:t>Legislative Assembly for the ACT</w:t>
      </w:r>
    </w:p>
    <w:p w:rsidR="006C17CB" w:rsidRDefault="0030091C">
      <w:pPr>
        <w:pStyle w:val="BodyText"/>
        <w:spacing w:line="250" w:lineRule="exact"/>
        <w:ind w:left="153"/>
      </w:pPr>
      <w:r>
        <w:t>GPO Box 1020</w:t>
      </w:r>
    </w:p>
    <w:p w:rsidR="006C17CB" w:rsidRDefault="0030091C">
      <w:pPr>
        <w:pStyle w:val="BodyText"/>
        <w:spacing w:line="284" w:lineRule="exact"/>
        <w:ind w:left="153"/>
      </w:pPr>
      <w:r>
        <w:t>Canberra ACT 2601</w:t>
      </w:r>
    </w:p>
    <w:p w:rsidR="006C17CB" w:rsidRDefault="0030091C">
      <w:pPr>
        <w:pStyle w:val="BodyText"/>
        <w:tabs>
          <w:tab w:val="left" w:pos="2193"/>
        </w:tabs>
        <w:spacing w:before="47" w:line="276" w:lineRule="auto"/>
        <w:ind w:left="153" w:right="4818"/>
      </w:pPr>
      <w:r>
        <w:t>Location:</w:t>
      </w:r>
      <w:r>
        <w:tab/>
        <w:t>196 London Circuit, Canberra City, ACT</w:t>
      </w:r>
      <w:r>
        <w:rPr>
          <w:spacing w:val="-26"/>
        </w:rPr>
        <w:t xml:space="preserve"> </w:t>
      </w:r>
      <w:r>
        <w:t>2601 Business</w:t>
      </w:r>
      <w:r>
        <w:rPr>
          <w:spacing w:val="-4"/>
        </w:rPr>
        <w:t xml:space="preserve"> </w:t>
      </w:r>
      <w:r>
        <w:t>hours:</w:t>
      </w:r>
      <w:r>
        <w:tab/>
        <w:t>8:30 am to 5:00 pm Monday to Friday General</w:t>
      </w:r>
      <w:r>
        <w:rPr>
          <w:spacing w:val="-6"/>
        </w:rPr>
        <w:t xml:space="preserve"> </w:t>
      </w:r>
      <w:r>
        <w:t>inquiries:</w:t>
      </w:r>
      <w:r>
        <w:tab/>
      </w:r>
      <w:r>
        <w:rPr>
          <w:spacing w:val="-5"/>
        </w:rPr>
        <w:t xml:space="preserve">(02) </w:t>
      </w:r>
      <w:r>
        <w:t>6205</w:t>
      </w:r>
      <w:r>
        <w:rPr>
          <w:spacing w:val="3"/>
        </w:rPr>
        <w:t xml:space="preserve"> </w:t>
      </w:r>
      <w:r>
        <w:t>0439</w:t>
      </w:r>
    </w:p>
    <w:p w:rsidR="006C17CB" w:rsidRDefault="0030091C">
      <w:pPr>
        <w:pStyle w:val="BodyText"/>
        <w:tabs>
          <w:tab w:val="left" w:pos="2193"/>
        </w:tabs>
        <w:spacing w:line="313" w:lineRule="exact"/>
        <w:ind w:left="153"/>
      </w:pPr>
      <w:r>
        <w:t>Committee</w:t>
      </w:r>
      <w:r>
        <w:rPr>
          <w:spacing w:val="-8"/>
        </w:rPr>
        <w:t xml:space="preserve"> </w:t>
      </w:r>
      <w:r>
        <w:t>inquiries:</w:t>
      </w:r>
      <w:r>
        <w:tab/>
      </w:r>
      <w:r>
        <w:rPr>
          <w:spacing w:val="-5"/>
        </w:rPr>
        <w:t xml:space="preserve">(02) </w:t>
      </w:r>
      <w:r>
        <w:t xml:space="preserve">6205 </w:t>
      </w:r>
      <w:r>
        <w:rPr>
          <w:spacing w:val="-3"/>
        </w:rPr>
        <w:t>0127</w:t>
      </w:r>
    </w:p>
    <w:p w:rsidR="006C17CB" w:rsidRDefault="0030091C">
      <w:pPr>
        <w:pStyle w:val="BodyText"/>
        <w:tabs>
          <w:tab w:val="left" w:pos="2193"/>
        </w:tabs>
        <w:spacing w:before="46"/>
        <w:ind w:left="153"/>
      </w:pPr>
      <w:r>
        <w:t>Hansard</w:t>
      </w:r>
      <w:r>
        <w:rPr>
          <w:spacing w:val="-7"/>
        </w:rPr>
        <w:t xml:space="preserve"> </w:t>
      </w:r>
      <w:r>
        <w:t>inquiries:</w:t>
      </w:r>
      <w:r>
        <w:tab/>
      </w:r>
      <w:r>
        <w:rPr>
          <w:spacing w:val="-5"/>
        </w:rPr>
        <w:t xml:space="preserve">(02) </w:t>
      </w:r>
      <w:r>
        <w:t>6205</w:t>
      </w:r>
      <w:r>
        <w:rPr>
          <w:spacing w:val="-6"/>
        </w:rPr>
        <w:t xml:space="preserve"> </w:t>
      </w:r>
      <w:r>
        <w:t>0422</w:t>
      </w:r>
    </w:p>
    <w:p w:rsidR="006C17CB" w:rsidRDefault="0030091C">
      <w:pPr>
        <w:pStyle w:val="BodyText"/>
        <w:tabs>
          <w:tab w:val="left" w:pos="2193"/>
        </w:tabs>
        <w:spacing w:before="46"/>
        <w:ind w:left="153"/>
      </w:pPr>
      <w:r>
        <w:t>Legislation</w:t>
      </w:r>
      <w:r>
        <w:rPr>
          <w:spacing w:val="-7"/>
        </w:rPr>
        <w:t xml:space="preserve"> </w:t>
      </w:r>
      <w:r>
        <w:t>inquiries:</w:t>
      </w:r>
      <w:r>
        <w:tab/>
      </w:r>
      <w:r>
        <w:rPr>
          <w:spacing w:val="-5"/>
        </w:rPr>
        <w:t xml:space="preserve">(02) </w:t>
      </w:r>
      <w:r>
        <w:t>6205</w:t>
      </w:r>
      <w:r>
        <w:rPr>
          <w:spacing w:val="5"/>
        </w:rPr>
        <w:t xml:space="preserve"> </w:t>
      </w:r>
      <w:r>
        <w:rPr>
          <w:spacing w:val="1"/>
        </w:rPr>
        <w:t>0440</w:t>
      </w:r>
    </w:p>
    <w:p w:rsidR="006C17CB" w:rsidRDefault="0030091C">
      <w:pPr>
        <w:pStyle w:val="BodyText"/>
        <w:spacing w:before="101" w:line="189" w:lineRule="auto"/>
        <w:ind w:left="153" w:right="1412"/>
      </w:pPr>
      <w:r>
        <w:t xml:space="preserve">Requests can be delivered to the public entrance of the Assembly building between </w:t>
      </w:r>
      <w:r>
        <w:rPr>
          <w:spacing w:val="-3"/>
        </w:rPr>
        <w:t xml:space="preserve">8:30 </w:t>
      </w:r>
      <w:r>
        <w:t xml:space="preserve">am and 5:00 pm Monday to </w:t>
      </w:r>
      <w:r>
        <w:rPr>
          <w:spacing w:val="-3"/>
        </w:rPr>
        <w:t xml:space="preserve">Friday. Telephone </w:t>
      </w:r>
      <w:r>
        <w:t>inquiries should be directed to the Office’s general number:</w:t>
      </w:r>
      <w:r>
        <w:rPr>
          <w:spacing w:val="-5"/>
        </w:rPr>
        <w:t xml:space="preserve"> (02) </w:t>
      </w:r>
      <w:r>
        <w:t xml:space="preserve">6205 </w:t>
      </w:r>
      <w:r>
        <w:rPr>
          <w:spacing w:val="-3"/>
        </w:rPr>
        <w:t>0439.</w:t>
      </w:r>
    </w:p>
    <w:p w:rsidR="006C17CB" w:rsidRDefault="00FE24A7">
      <w:pPr>
        <w:pStyle w:val="BodyText"/>
        <w:spacing w:before="58"/>
        <w:ind w:left="153"/>
      </w:pPr>
      <w:hyperlink r:id="rId60">
        <w:r w:rsidR="0030091C">
          <w:rPr>
            <w:rFonts w:ascii="Calibri"/>
            <w:color w:val="004289"/>
            <w:u w:val="single" w:color="004289"/>
          </w:rPr>
          <w:t>FOI fact sheets and procedures</w:t>
        </w:r>
        <w:r w:rsidR="0030091C">
          <w:rPr>
            <w:rFonts w:ascii="Calibri"/>
            <w:color w:val="004289"/>
          </w:rPr>
          <w:t xml:space="preserve"> </w:t>
        </w:r>
      </w:hyperlink>
      <w:r w:rsidR="0030091C">
        <w:t>are available on the Assembly website.</w:t>
      </w:r>
    </w:p>
    <w:p w:rsidR="006C17CB" w:rsidRDefault="006C17CB">
      <w:pPr>
        <w:pStyle w:val="BodyText"/>
        <w:spacing w:before="2"/>
        <w:rPr>
          <w:sz w:val="14"/>
        </w:rPr>
      </w:pPr>
    </w:p>
    <w:p w:rsidR="006C17CB" w:rsidRDefault="0030091C">
      <w:pPr>
        <w:ind w:left="153"/>
        <w:rPr>
          <w:rFonts w:ascii="Montserrat"/>
          <w:sz w:val="19"/>
        </w:rPr>
      </w:pPr>
      <w:r>
        <w:rPr>
          <w:rFonts w:ascii="Montserrat"/>
          <w:sz w:val="19"/>
        </w:rPr>
        <w:t>SECTION 8 STATEMENT</w:t>
      </w:r>
    </w:p>
    <w:p w:rsidR="006C17CB" w:rsidRDefault="0030091C">
      <w:pPr>
        <w:pStyle w:val="BodyText"/>
        <w:spacing w:before="112" w:line="189" w:lineRule="auto"/>
        <w:ind w:left="153" w:right="1679"/>
        <w:jc w:val="both"/>
      </w:pPr>
      <w:r>
        <w:t xml:space="preserve">Section 8 of the </w:t>
      </w:r>
      <w:hyperlink r:id="rId61">
        <w:r>
          <w:rPr>
            <w:rFonts w:ascii="Calibri"/>
            <w:i/>
            <w:spacing w:val="-6"/>
          </w:rPr>
          <w:t xml:space="preserve">Freedom </w:t>
        </w:r>
        <w:r>
          <w:rPr>
            <w:rFonts w:ascii="Calibri"/>
            <w:i/>
            <w:spacing w:val="-3"/>
          </w:rPr>
          <w:t xml:space="preserve">of </w:t>
        </w:r>
        <w:r>
          <w:rPr>
            <w:rFonts w:ascii="Calibri"/>
            <w:i/>
            <w:spacing w:val="-5"/>
          </w:rPr>
          <w:t xml:space="preserve">Information </w:t>
        </w:r>
        <w:r>
          <w:rPr>
            <w:rFonts w:ascii="Calibri"/>
            <w:i/>
            <w:spacing w:val="-3"/>
          </w:rPr>
          <w:t xml:space="preserve">Act </w:t>
        </w:r>
        <w:r>
          <w:rPr>
            <w:rFonts w:ascii="Calibri"/>
            <w:i/>
            <w:spacing w:val="-4"/>
          </w:rPr>
          <w:t xml:space="preserve">1989 </w:t>
        </w:r>
      </w:hyperlink>
      <w:r>
        <w:t>applies to documents that are provided by the agency for</w:t>
      </w:r>
      <w:r>
        <w:rPr>
          <w:spacing w:val="-5"/>
        </w:rPr>
        <w:t xml:space="preserve"> </w:t>
      </w:r>
      <w:r>
        <w:t>the</w:t>
      </w:r>
      <w:r>
        <w:rPr>
          <w:spacing w:val="-5"/>
        </w:rPr>
        <w:t xml:space="preserve"> </w:t>
      </w:r>
      <w:r>
        <w:t>use</w:t>
      </w:r>
      <w:r>
        <w:rPr>
          <w:spacing w:val="-5"/>
        </w:rPr>
        <w:t xml:space="preserve"> </w:t>
      </w:r>
      <w:r>
        <w:rPr>
          <w:spacing w:val="-4"/>
        </w:rPr>
        <w:t xml:space="preserve">of, </w:t>
      </w:r>
      <w:r>
        <w:t>or</w:t>
      </w:r>
      <w:r>
        <w:rPr>
          <w:spacing w:val="-5"/>
        </w:rPr>
        <w:t xml:space="preserve"> </w:t>
      </w:r>
      <w:r>
        <w:t>are</w:t>
      </w:r>
      <w:r>
        <w:rPr>
          <w:spacing w:val="-5"/>
        </w:rPr>
        <w:t xml:space="preserve"> </w:t>
      </w:r>
      <w:r>
        <w:t>used</w:t>
      </w:r>
      <w:r>
        <w:rPr>
          <w:spacing w:val="-5"/>
        </w:rPr>
        <w:t xml:space="preserve"> by,</w:t>
      </w:r>
      <w:r>
        <w:rPr>
          <w:spacing w:val="-4"/>
        </w:rPr>
        <w:t xml:space="preserve"> </w:t>
      </w:r>
      <w:r>
        <w:t>the</w:t>
      </w:r>
      <w:r>
        <w:rPr>
          <w:spacing w:val="-5"/>
        </w:rPr>
        <w:t xml:space="preserve"> </w:t>
      </w:r>
      <w:r>
        <w:t>agency</w:t>
      </w:r>
      <w:r>
        <w:rPr>
          <w:spacing w:val="-4"/>
        </w:rPr>
        <w:t xml:space="preserve"> </w:t>
      </w:r>
      <w:r>
        <w:t>or</w:t>
      </w:r>
      <w:r>
        <w:rPr>
          <w:spacing w:val="-5"/>
        </w:rPr>
        <w:t xml:space="preserve"> </w:t>
      </w:r>
      <w:r>
        <w:t>its</w:t>
      </w:r>
      <w:r>
        <w:rPr>
          <w:spacing w:val="-4"/>
        </w:rPr>
        <w:t xml:space="preserve"> </w:t>
      </w:r>
      <w:r>
        <w:t>officers</w:t>
      </w:r>
      <w:r>
        <w:rPr>
          <w:spacing w:val="-4"/>
        </w:rPr>
        <w:t xml:space="preserve"> </w:t>
      </w:r>
      <w:r>
        <w:t>in</w:t>
      </w:r>
      <w:r>
        <w:rPr>
          <w:spacing w:val="-4"/>
        </w:rPr>
        <w:t xml:space="preserve"> </w:t>
      </w:r>
      <w:r>
        <w:t>making</w:t>
      </w:r>
      <w:r>
        <w:rPr>
          <w:spacing w:val="-4"/>
        </w:rPr>
        <w:t xml:space="preserve"> </w:t>
      </w:r>
      <w:r>
        <w:t>decisions</w:t>
      </w:r>
      <w:r>
        <w:rPr>
          <w:spacing w:val="-4"/>
        </w:rPr>
        <w:t xml:space="preserve"> </w:t>
      </w:r>
      <w:r>
        <w:t>or</w:t>
      </w:r>
      <w:r>
        <w:rPr>
          <w:spacing w:val="-5"/>
        </w:rPr>
        <w:t xml:space="preserve"> </w:t>
      </w:r>
      <w:r>
        <w:t>recommendations</w:t>
      </w:r>
      <w:r>
        <w:rPr>
          <w:spacing w:val="-4"/>
        </w:rPr>
        <w:t xml:space="preserve"> </w:t>
      </w:r>
      <w:r>
        <w:t>for</w:t>
      </w:r>
      <w:r>
        <w:rPr>
          <w:spacing w:val="-5"/>
        </w:rPr>
        <w:t xml:space="preserve"> </w:t>
      </w:r>
      <w:r>
        <w:t>the purposes</w:t>
      </w:r>
      <w:r>
        <w:rPr>
          <w:spacing w:val="-3"/>
        </w:rPr>
        <w:t xml:space="preserve"> </w:t>
      </w:r>
      <w:r>
        <w:t>of</w:t>
      </w:r>
      <w:r>
        <w:rPr>
          <w:spacing w:val="-3"/>
        </w:rPr>
        <w:t xml:space="preserve"> </w:t>
      </w:r>
      <w:r>
        <w:t>an</w:t>
      </w:r>
      <w:r>
        <w:rPr>
          <w:spacing w:val="-3"/>
        </w:rPr>
        <w:t xml:space="preserve"> </w:t>
      </w:r>
      <w:r>
        <w:t>enactment</w:t>
      </w:r>
      <w:r>
        <w:rPr>
          <w:spacing w:val="-3"/>
        </w:rPr>
        <w:t xml:space="preserve"> </w:t>
      </w:r>
      <w:r>
        <w:t>or</w:t>
      </w:r>
      <w:r>
        <w:rPr>
          <w:spacing w:val="-4"/>
        </w:rPr>
        <w:t xml:space="preserve"> </w:t>
      </w:r>
      <w:r>
        <w:t>scheme</w:t>
      </w:r>
      <w:r>
        <w:rPr>
          <w:spacing w:val="-4"/>
        </w:rPr>
        <w:t xml:space="preserve"> </w:t>
      </w:r>
      <w:r>
        <w:t>administered</w:t>
      </w:r>
      <w:r>
        <w:rPr>
          <w:spacing w:val="-4"/>
        </w:rPr>
        <w:t xml:space="preserve"> </w:t>
      </w:r>
      <w:r>
        <w:t>by</w:t>
      </w:r>
      <w:r>
        <w:rPr>
          <w:spacing w:val="-3"/>
        </w:rPr>
        <w:t xml:space="preserve"> </w:t>
      </w:r>
      <w:r>
        <w:t>the</w:t>
      </w:r>
      <w:r>
        <w:rPr>
          <w:spacing w:val="-4"/>
        </w:rPr>
        <w:t xml:space="preserve"> </w:t>
      </w:r>
      <w:r>
        <w:rPr>
          <w:spacing w:val="-3"/>
        </w:rPr>
        <w:t xml:space="preserve">agency, </w:t>
      </w:r>
      <w:r>
        <w:t>with</w:t>
      </w:r>
      <w:r>
        <w:rPr>
          <w:spacing w:val="-3"/>
        </w:rPr>
        <w:t xml:space="preserve"> </w:t>
      </w:r>
      <w:r>
        <w:t>respect</w:t>
      </w:r>
      <w:r>
        <w:rPr>
          <w:spacing w:val="-3"/>
        </w:rPr>
        <w:t xml:space="preserve"> </w:t>
      </w:r>
      <w:r>
        <w:t>to</w:t>
      </w:r>
      <w:r>
        <w:rPr>
          <w:spacing w:val="-4"/>
        </w:rPr>
        <w:t xml:space="preserve"> </w:t>
      </w:r>
      <w:r>
        <w:t>rights,</w:t>
      </w:r>
      <w:r>
        <w:rPr>
          <w:spacing w:val="-3"/>
        </w:rPr>
        <w:t xml:space="preserve"> </w:t>
      </w:r>
      <w:r>
        <w:t>privileges</w:t>
      </w:r>
      <w:r>
        <w:rPr>
          <w:spacing w:val="-3"/>
        </w:rPr>
        <w:t xml:space="preserve"> </w:t>
      </w:r>
      <w:r>
        <w:t>or</w:t>
      </w:r>
    </w:p>
    <w:p w:rsidR="006C17CB" w:rsidRDefault="0030091C">
      <w:pPr>
        <w:pStyle w:val="BodyText"/>
        <w:spacing w:line="261" w:lineRule="exact"/>
        <w:ind w:left="153"/>
      </w:pPr>
      <w:r>
        <w:t>benefits, or to obligations, penalties or other detriments, to which persons are or may be entitled or subject.</w:t>
      </w:r>
    </w:p>
    <w:p w:rsidR="006C17CB" w:rsidRDefault="0030091C">
      <w:pPr>
        <w:pStyle w:val="BodyText"/>
        <w:spacing w:before="46"/>
        <w:ind w:left="153"/>
      </w:pPr>
      <w:r>
        <w:t>The Office has three documents that would fall under this definition:</w:t>
      </w:r>
    </w:p>
    <w:p w:rsidR="006C17CB" w:rsidRDefault="00FE24A7">
      <w:pPr>
        <w:pStyle w:val="ListParagraph"/>
        <w:numPr>
          <w:ilvl w:val="0"/>
          <w:numId w:val="22"/>
        </w:numPr>
        <w:tabs>
          <w:tab w:val="left" w:pos="381"/>
        </w:tabs>
        <w:spacing w:before="46" w:line="306" w:lineRule="exact"/>
      </w:pPr>
      <w:hyperlink r:id="rId62">
        <w:r w:rsidR="0030091C">
          <w:rPr>
            <w:rFonts w:ascii="Calibri"/>
            <w:color w:val="004289"/>
            <w:u w:val="single" w:color="004289"/>
          </w:rPr>
          <w:t>Guidelines for Broadcasting the Public Proceedings of the Legislative Assembly and its</w:t>
        </w:r>
        <w:r w:rsidR="0030091C">
          <w:rPr>
            <w:rFonts w:ascii="Calibri"/>
            <w:color w:val="004289"/>
            <w:spacing w:val="-19"/>
            <w:u w:val="single" w:color="004289"/>
          </w:rPr>
          <w:t xml:space="preserve"> </w:t>
        </w:r>
        <w:r w:rsidR="0030091C">
          <w:rPr>
            <w:rFonts w:ascii="Calibri"/>
            <w:color w:val="004289"/>
            <w:u w:val="single" w:color="004289"/>
          </w:rPr>
          <w:t>Committees</w:t>
        </w:r>
      </w:hyperlink>
      <w:r w:rsidR="0030091C">
        <w:t>.</w:t>
      </w:r>
    </w:p>
    <w:p w:rsidR="006C17CB" w:rsidRDefault="00FE24A7">
      <w:pPr>
        <w:pStyle w:val="ListParagraph"/>
        <w:numPr>
          <w:ilvl w:val="0"/>
          <w:numId w:val="22"/>
        </w:numPr>
        <w:tabs>
          <w:tab w:val="left" w:pos="381"/>
        </w:tabs>
      </w:pPr>
      <w:hyperlink r:id="rId63">
        <w:r w:rsidR="0030091C">
          <w:rPr>
            <w:rFonts w:ascii="Calibri"/>
            <w:color w:val="004289"/>
            <w:u w:val="single" w:color="004289"/>
          </w:rPr>
          <w:t>Privacy Policy</w:t>
        </w:r>
        <w:r w:rsidR="0030091C">
          <w:rPr>
            <w:rFonts w:ascii="Calibri"/>
            <w:color w:val="004289"/>
            <w:spacing w:val="-1"/>
            <w:u w:val="single" w:color="004289"/>
          </w:rPr>
          <w:t xml:space="preserve"> </w:t>
        </w:r>
        <w:r w:rsidR="0030091C">
          <w:rPr>
            <w:rFonts w:ascii="Calibri"/>
            <w:color w:val="004289"/>
            <w:u w:val="single" w:color="004289"/>
          </w:rPr>
          <w:t>2015</w:t>
        </w:r>
      </w:hyperlink>
    </w:p>
    <w:p w:rsidR="006C17CB" w:rsidRDefault="00FE24A7">
      <w:pPr>
        <w:pStyle w:val="ListParagraph"/>
        <w:numPr>
          <w:ilvl w:val="0"/>
          <w:numId w:val="22"/>
        </w:numPr>
        <w:tabs>
          <w:tab w:val="left" w:pos="381"/>
        </w:tabs>
        <w:spacing w:line="306" w:lineRule="exact"/>
      </w:pPr>
      <w:hyperlink r:id="rId64">
        <w:r w:rsidR="0030091C">
          <w:rPr>
            <w:rFonts w:ascii="Calibri"/>
            <w:color w:val="004289"/>
            <w:u w:val="single" w:color="004289"/>
          </w:rPr>
          <w:t>Public Interest Disclosure Procedure</w:t>
        </w:r>
        <w:r w:rsidR="0030091C">
          <w:rPr>
            <w:rFonts w:ascii="Calibri"/>
            <w:color w:val="004289"/>
            <w:spacing w:val="-2"/>
            <w:u w:val="single" w:color="004289"/>
          </w:rPr>
          <w:t xml:space="preserve"> </w:t>
        </w:r>
        <w:r w:rsidR="0030091C">
          <w:rPr>
            <w:rFonts w:ascii="Calibri"/>
            <w:color w:val="004289"/>
            <w:spacing w:val="-4"/>
            <w:u w:val="single" w:color="004289"/>
          </w:rPr>
          <w:t>2017</w:t>
        </w:r>
      </w:hyperlink>
    </w:p>
    <w:p w:rsidR="006C17CB" w:rsidRDefault="006C17CB">
      <w:pPr>
        <w:pStyle w:val="BodyText"/>
        <w:spacing w:before="1"/>
        <w:rPr>
          <w:rFonts w:ascii="Calibri"/>
          <w:sz w:val="20"/>
        </w:rPr>
      </w:pPr>
    </w:p>
    <w:p w:rsidR="006C17CB" w:rsidRDefault="0030091C">
      <w:pPr>
        <w:ind w:left="153"/>
        <w:rPr>
          <w:rFonts w:ascii="Montserrat"/>
          <w:sz w:val="19"/>
        </w:rPr>
      </w:pPr>
      <w:r>
        <w:rPr>
          <w:rFonts w:ascii="Montserrat"/>
          <w:sz w:val="19"/>
        </w:rPr>
        <w:t>SECTION 79 STATEMENT</w:t>
      </w:r>
    </w:p>
    <w:p w:rsidR="006C17CB" w:rsidRDefault="0030091C">
      <w:pPr>
        <w:pStyle w:val="BodyText"/>
        <w:spacing w:before="112" w:line="189" w:lineRule="auto"/>
        <w:ind w:left="153" w:right="1704"/>
      </w:pPr>
      <w:r>
        <w:t xml:space="preserve">During the period 1 July </w:t>
      </w:r>
      <w:r>
        <w:rPr>
          <w:spacing w:val="-5"/>
        </w:rPr>
        <w:t xml:space="preserve">2017 </w:t>
      </w:r>
      <w:r>
        <w:t xml:space="preserve">to </w:t>
      </w:r>
      <w:r>
        <w:rPr>
          <w:spacing w:val="-5"/>
        </w:rPr>
        <w:t xml:space="preserve">31 </w:t>
      </w:r>
      <w:r>
        <w:t xml:space="preserve">December </w:t>
      </w:r>
      <w:r>
        <w:rPr>
          <w:spacing w:val="-8"/>
        </w:rPr>
        <w:t xml:space="preserve">2017, </w:t>
      </w:r>
      <w:r>
        <w:t>the Office received no applications for information pursuant to the FOI legislation.</w:t>
      </w:r>
    </w:p>
    <w:p w:rsidR="006C17CB" w:rsidRDefault="0030091C">
      <w:pPr>
        <w:pStyle w:val="BodyText"/>
        <w:spacing w:before="58"/>
        <w:ind w:left="153"/>
      </w:pPr>
      <w:r>
        <w:t>No application was made during the reporting year for an internal review of a decision under section 59.</w:t>
      </w:r>
    </w:p>
    <w:p w:rsidR="006C17CB" w:rsidRDefault="0030091C">
      <w:pPr>
        <w:pStyle w:val="BodyText"/>
        <w:spacing w:before="100" w:line="189" w:lineRule="auto"/>
        <w:ind w:left="153" w:right="1412"/>
      </w:pPr>
      <w:r>
        <w:t>No application was made during the reporting year to the ACT Civil and Administrative Tribunal for a review of decisions.</w:t>
      </w:r>
    </w:p>
    <w:p w:rsidR="006C17CB" w:rsidRDefault="0030091C">
      <w:pPr>
        <w:pStyle w:val="BodyText"/>
        <w:spacing w:before="113" w:line="189" w:lineRule="auto"/>
        <w:ind w:left="153" w:right="1412"/>
      </w:pPr>
      <w:r>
        <w:t>No charges and application fees were levied and no requests were received to amend records under section 48.</w:t>
      </w:r>
    </w:p>
    <w:p w:rsidR="006C17CB" w:rsidRDefault="006C17CB">
      <w:pPr>
        <w:spacing w:line="189" w:lineRule="auto"/>
        <w:sectPr w:rsidR="006C17CB">
          <w:pgSz w:w="11910" w:h="16840"/>
          <w:pgMar w:top="1580" w:right="0" w:bottom="720" w:left="980" w:header="0" w:footer="52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0"/>
        <w:rPr>
          <w:sz w:val="16"/>
        </w:rPr>
      </w:pPr>
    </w:p>
    <w:p w:rsidR="006C17CB" w:rsidRDefault="0030091C">
      <w:pPr>
        <w:spacing w:before="136"/>
        <w:ind w:left="153"/>
        <w:rPr>
          <w:rFonts w:ascii="Montserrat-SemiBoldItalic"/>
          <w:b/>
          <w:i/>
          <w:sz w:val="20"/>
        </w:rPr>
      </w:pPr>
      <w:bookmarkStart w:id="64" w:name="Internal_accountability"/>
      <w:bookmarkStart w:id="65" w:name="_bookmark19"/>
      <w:bookmarkEnd w:id="64"/>
      <w:bookmarkEnd w:id="65"/>
      <w:r>
        <w:rPr>
          <w:rFonts w:ascii="Montserrat-SemiBoldItalic"/>
          <w:b/>
          <w:i/>
          <w:sz w:val="20"/>
        </w:rPr>
        <w:t>Reporting under the FOI Act 2016</w:t>
      </w:r>
    </w:p>
    <w:p w:rsidR="006C17CB" w:rsidRDefault="0030091C">
      <w:pPr>
        <w:pStyle w:val="BodyText"/>
        <w:spacing w:before="112"/>
        <w:ind w:left="153"/>
      </w:pPr>
      <w:r>
        <w:t>During the period 1 January 2018 to 30 June 2018, the Office received one FOI request.</w:t>
      </w:r>
    </w:p>
    <w:p w:rsidR="006C17CB" w:rsidRDefault="0030091C">
      <w:pPr>
        <w:pStyle w:val="BodyText"/>
        <w:spacing w:before="100" w:line="189" w:lineRule="auto"/>
        <w:ind w:left="153" w:right="1355"/>
        <w:jc w:val="both"/>
      </w:pPr>
      <w:r>
        <w:t>The</w:t>
      </w:r>
      <w:r>
        <w:rPr>
          <w:spacing w:val="-6"/>
        </w:rPr>
        <w:t xml:space="preserve"> </w:t>
      </w:r>
      <w:r>
        <w:t>decision</w:t>
      </w:r>
      <w:r>
        <w:rPr>
          <w:spacing w:val="-6"/>
        </w:rPr>
        <w:t xml:space="preserve"> </w:t>
      </w:r>
      <w:r>
        <w:t>to</w:t>
      </w:r>
      <w:r>
        <w:rPr>
          <w:spacing w:val="-6"/>
        </w:rPr>
        <w:t xml:space="preserve"> </w:t>
      </w:r>
      <w:r>
        <w:t>provide</w:t>
      </w:r>
      <w:r>
        <w:rPr>
          <w:spacing w:val="-6"/>
        </w:rPr>
        <w:t xml:space="preserve"> </w:t>
      </w:r>
      <w:r>
        <w:t>the</w:t>
      </w:r>
      <w:r>
        <w:rPr>
          <w:spacing w:val="-6"/>
        </w:rPr>
        <w:t xml:space="preserve"> </w:t>
      </w:r>
      <w:r>
        <w:t>information</w:t>
      </w:r>
      <w:r>
        <w:rPr>
          <w:spacing w:val="-6"/>
        </w:rPr>
        <w:t xml:space="preserve"> </w:t>
      </w:r>
      <w:r>
        <w:t>was</w:t>
      </w:r>
      <w:r>
        <w:rPr>
          <w:spacing w:val="-6"/>
        </w:rPr>
        <w:t xml:space="preserve"> </w:t>
      </w:r>
      <w:r>
        <w:t>made</w:t>
      </w:r>
      <w:r>
        <w:rPr>
          <w:spacing w:val="-6"/>
        </w:rPr>
        <w:t xml:space="preserve"> </w:t>
      </w:r>
      <w:r>
        <w:t>within</w:t>
      </w:r>
      <w:r>
        <w:rPr>
          <w:spacing w:val="-6"/>
        </w:rPr>
        <w:t xml:space="preserve"> </w:t>
      </w:r>
      <w:r>
        <w:t>40</w:t>
      </w:r>
      <w:r>
        <w:rPr>
          <w:spacing w:val="-6"/>
        </w:rPr>
        <w:t xml:space="preserve"> </w:t>
      </w:r>
      <w:r>
        <w:t>days</w:t>
      </w:r>
      <w:r>
        <w:rPr>
          <w:spacing w:val="-6"/>
        </w:rPr>
        <w:t xml:space="preserve"> </w:t>
      </w:r>
      <w:r>
        <w:t>and</w:t>
      </w:r>
      <w:r>
        <w:rPr>
          <w:spacing w:val="-6"/>
        </w:rPr>
        <w:t xml:space="preserve"> </w:t>
      </w:r>
      <w:r>
        <w:t>all</w:t>
      </w:r>
      <w:r>
        <w:rPr>
          <w:spacing w:val="-6"/>
        </w:rPr>
        <w:t xml:space="preserve"> </w:t>
      </w:r>
      <w:r>
        <w:t>information</w:t>
      </w:r>
      <w:r>
        <w:rPr>
          <w:spacing w:val="-6"/>
        </w:rPr>
        <w:t xml:space="preserve"> </w:t>
      </w:r>
      <w:r>
        <w:t>requested</w:t>
      </w:r>
      <w:r>
        <w:rPr>
          <w:spacing w:val="-6"/>
        </w:rPr>
        <w:t xml:space="preserve"> </w:t>
      </w:r>
      <w:r>
        <w:t>was</w:t>
      </w:r>
      <w:r>
        <w:rPr>
          <w:spacing w:val="-6"/>
        </w:rPr>
        <w:t xml:space="preserve"> </w:t>
      </w:r>
      <w:r>
        <w:t>given. No</w:t>
      </w:r>
      <w:r>
        <w:rPr>
          <w:spacing w:val="-6"/>
        </w:rPr>
        <w:t xml:space="preserve"> </w:t>
      </w:r>
      <w:r>
        <w:t>fees</w:t>
      </w:r>
      <w:r>
        <w:rPr>
          <w:spacing w:val="-5"/>
        </w:rPr>
        <w:t xml:space="preserve"> </w:t>
      </w:r>
      <w:r>
        <w:t>or</w:t>
      </w:r>
      <w:r>
        <w:rPr>
          <w:spacing w:val="-6"/>
        </w:rPr>
        <w:t xml:space="preserve"> </w:t>
      </w:r>
      <w:r>
        <w:t>charges</w:t>
      </w:r>
      <w:r>
        <w:rPr>
          <w:spacing w:val="-5"/>
        </w:rPr>
        <w:t xml:space="preserve"> </w:t>
      </w:r>
      <w:r>
        <w:t>were</w:t>
      </w:r>
      <w:r>
        <w:rPr>
          <w:spacing w:val="-6"/>
        </w:rPr>
        <w:t xml:space="preserve"> </w:t>
      </w:r>
      <w:r>
        <w:t>collected</w:t>
      </w:r>
      <w:r>
        <w:rPr>
          <w:spacing w:val="-6"/>
        </w:rPr>
        <w:t xml:space="preserve"> </w:t>
      </w:r>
      <w:r>
        <w:t>during</w:t>
      </w:r>
      <w:r>
        <w:rPr>
          <w:spacing w:val="-5"/>
        </w:rPr>
        <w:t xml:space="preserve"> </w:t>
      </w:r>
      <w:r>
        <w:t>the</w:t>
      </w:r>
      <w:r>
        <w:rPr>
          <w:spacing w:val="-6"/>
        </w:rPr>
        <w:t xml:space="preserve"> </w:t>
      </w:r>
      <w:r>
        <w:t>period.</w:t>
      </w:r>
      <w:r>
        <w:rPr>
          <w:spacing w:val="-5"/>
        </w:rPr>
        <w:t xml:space="preserve"> </w:t>
      </w:r>
      <w:r>
        <w:t>No</w:t>
      </w:r>
      <w:r>
        <w:rPr>
          <w:spacing w:val="-6"/>
        </w:rPr>
        <w:t xml:space="preserve"> </w:t>
      </w:r>
      <w:r>
        <w:t>applications</w:t>
      </w:r>
      <w:r>
        <w:rPr>
          <w:spacing w:val="-5"/>
        </w:rPr>
        <w:t xml:space="preserve"> </w:t>
      </w:r>
      <w:r>
        <w:t>were</w:t>
      </w:r>
      <w:r>
        <w:rPr>
          <w:spacing w:val="-6"/>
        </w:rPr>
        <w:t xml:space="preserve"> </w:t>
      </w:r>
      <w:r>
        <w:t>made</w:t>
      </w:r>
      <w:r>
        <w:rPr>
          <w:spacing w:val="-6"/>
        </w:rPr>
        <w:t xml:space="preserve"> </w:t>
      </w:r>
      <w:r>
        <w:t>to</w:t>
      </w:r>
      <w:r>
        <w:rPr>
          <w:spacing w:val="-6"/>
        </w:rPr>
        <w:t xml:space="preserve"> </w:t>
      </w:r>
      <w:r>
        <w:t>the</w:t>
      </w:r>
      <w:r>
        <w:rPr>
          <w:spacing w:val="-6"/>
        </w:rPr>
        <w:t xml:space="preserve"> </w:t>
      </w:r>
      <w:r>
        <w:t>Ombudsman</w:t>
      </w:r>
      <w:r>
        <w:rPr>
          <w:spacing w:val="-5"/>
        </w:rPr>
        <w:t xml:space="preserve"> </w:t>
      </w:r>
      <w:r>
        <w:t>or</w:t>
      </w:r>
      <w:r>
        <w:rPr>
          <w:spacing w:val="-6"/>
        </w:rPr>
        <w:t xml:space="preserve"> </w:t>
      </w:r>
      <w:r>
        <w:t xml:space="preserve">the </w:t>
      </w:r>
      <w:r>
        <w:rPr>
          <w:spacing w:val="-3"/>
        </w:rPr>
        <w:t xml:space="preserve">ACAT </w:t>
      </w:r>
      <w:r>
        <w:t xml:space="preserve">under sections </w:t>
      </w:r>
      <w:r>
        <w:rPr>
          <w:spacing w:val="-7"/>
        </w:rPr>
        <w:t xml:space="preserve">74 </w:t>
      </w:r>
      <w:r>
        <w:t>and 84 of the FOI Act</w:t>
      </w:r>
      <w:r>
        <w:rPr>
          <w:spacing w:val="5"/>
        </w:rPr>
        <w:t xml:space="preserve"> </w:t>
      </w:r>
      <w:r>
        <w:rPr>
          <w:spacing w:val="-3"/>
        </w:rPr>
        <w:t>2016.</w:t>
      </w:r>
    </w:p>
    <w:p w:rsidR="006C17CB" w:rsidRDefault="0030091C">
      <w:pPr>
        <w:pStyle w:val="BodyText"/>
        <w:spacing w:before="58"/>
        <w:ind w:left="153"/>
      </w:pPr>
      <w:r>
        <w:t>No requests for amendment of personal information under section 59 of the FOI Act were made.</w:t>
      </w:r>
    </w:p>
    <w:p w:rsidR="006C17CB" w:rsidRDefault="006C17CB">
      <w:pPr>
        <w:pStyle w:val="BodyText"/>
        <w:spacing w:before="2"/>
        <w:rPr>
          <w:sz w:val="14"/>
        </w:rPr>
      </w:pPr>
    </w:p>
    <w:p w:rsidR="006C17CB" w:rsidRDefault="0030091C">
      <w:pPr>
        <w:ind w:left="153"/>
        <w:rPr>
          <w:rFonts w:ascii="Montserrat"/>
          <w:sz w:val="19"/>
        </w:rPr>
      </w:pPr>
      <w:r>
        <w:rPr>
          <w:rFonts w:ascii="Montserrat"/>
          <w:sz w:val="19"/>
        </w:rPr>
        <w:t>DOCUMENTS AVAILABLE</w:t>
      </w:r>
    </w:p>
    <w:p w:rsidR="006C17CB" w:rsidRDefault="0030091C">
      <w:pPr>
        <w:pStyle w:val="BodyText"/>
        <w:spacing w:before="58"/>
        <w:ind w:left="153"/>
      </w:pPr>
      <w:r>
        <w:t xml:space="preserve">The Office maintains a </w:t>
      </w:r>
      <w:hyperlink r:id="rId65">
        <w:r>
          <w:rPr>
            <w:rFonts w:ascii="Calibri"/>
            <w:color w:val="004289"/>
            <w:u w:val="single" w:color="004289"/>
          </w:rPr>
          <w:t>list of open access information</w:t>
        </w:r>
        <w:r>
          <w:rPr>
            <w:rFonts w:ascii="Calibri"/>
            <w:color w:val="004289"/>
          </w:rPr>
          <w:t xml:space="preserve"> </w:t>
        </w:r>
      </w:hyperlink>
      <w:r>
        <w:t>on its website.</w:t>
      </w:r>
    </w:p>
    <w:p w:rsidR="006C17CB" w:rsidRDefault="0030091C">
      <w:pPr>
        <w:pStyle w:val="BodyText"/>
        <w:spacing w:before="100" w:line="189" w:lineRule="auto"/>
        <w:ind w:left="153" w:right="1412"/>
      </w:pPr>
      <w:r>
        <w:t xml:space="preserve">Other documents </w:t>
      </w:r>
      <w:r>
        <w:rPr>
          <w:spacing w:val="-4"/>
        </w:rPr>
        <w:t xml:space="preserve">that may </w:t>
      </w:r>
      <w:r>
        <w:t xml:space="preserve">be </w:t>
      </w:r>
      <w:r>
        <w:rPr>
          <w:spacing w:val="-4"/>
        </w:rPr>
        <w:t xml:space="preserve">available </w:t>
      </w:r>
      <w:r>
        <w:t xml:space="preserve">under the </w:t>
      </w:r>
      <w:hyperlink r:id="rId66">
        <w:r>
          <w:rPr>
            <w:rFonts w:ascii="Calibri"/>
            <w:i/>
            <w:spacing w:val="-6"/>
          </w:rPr>
          <w:t xml:space="preserve">Freedom </w:t>
        </w:r>
        <w:r>
          <w:rPr>
            <w:rFonts w:ascii="Calibri"/>
            <w:i/>
            <w:spacing w:val="-3"/>
          </w:rPr>
          <w:t xml:space="preserve">of </w:t>
        </w:r>
        <w:r>
          <w:rPr>
            <w:rFonts w:ascii="Calibri"/>
            <w:i/>
            <w:spacing w:val="-5"/>
          </w:rPr>
          <w:t xml:space="preserve">Information </w:t>
        </w:r>
        <w:r>
          <w:rPr>
            <w:rFonts w:ascii="Calibri"/>
            <w:i/>
            <w:spacing w:val="-3"/>
          </w:rPr>
          <w:t xml:space="preserve">Act </w:t>
        </w:r>
        <w:r>
          <w:rPr>
            <w:rFonts w:ascii="Calibri"/>
            <w:i/>
            <w:spacing w:val="-7"/>
          </w:rPr>
          <w:t xml:space="preserve">2016 </w:t>
        </w:r>
      </w:hyperlink>
      <w:r>
        <w:t>are general files and administrative</w:t>
      </w:r>
      <w:r>
        <w:rPr>
          <w:spacing w:val="-17"/>
        </w:rPr>
        <w:t xml:space="preserve"> </w:t>
      </w:r>
      <w:r>
        <w:t>records;</w:t>
      </w:r>
      <w:r>
        <w:rPr>
          <w:spacing w:val="-7"/>
        </w:rPr>
        <w:t xml:space="preserve"> </w:t>
      </w:r>
      <w:r>
        <w:rPr>
          <w:spacing w:val="-5"/>
        </w:rPr>
        <w:t>however,</w:t>
      </w:r>
      <w:r>
        <w:rPr>
          <w:spacing w:val="-21"/>
        </w:rPr>
        <w:t xml:space="preserve"> </w:t>
      </w:r>
      <w:r>
        <w:t>some</w:t>
      </w:r>
      <w:r>
        <w:rPr>
          <w:spacing w:val="-8"/>
        </w:rPr>
        <w:t xml:space="preserve"> </w:t>
      </w:r>
      <w:r>
        <w:t>documents</w:t>
      </w:r>
      <w:r>
        <w:rPr>
          <w:spacing w:val="-17"/>
        </w:rPr>
        <w:t xml:space="preserve"> </w:t>
      </w:r>
      <w:r>
        <w:t>are</w:t>
      </w:r>
      <w:r>
        <w:rPr>
          <w:spacing w:val="-17"/>
        </w:rPr>
        <w:t xml:space="preserve"> </w:t>
      </w:r>
      <w:r>
        <w:t>exempt</w:t>
      </w:r>
      <w:r>
        <w:rPr>
          <w:spacing w:val="-17"/>
        </w:rPr>
        <w:t xml:space="preserve"> </w:t>
      </w:r>
      <w:r>
        <w:t>if</w:t>
      </w:r>
      <w:r>
        <w:rPr>
          <w:spacing w:val="-17"/>
        </w:rPr>
        <w:t xml:space="preserve"> </w:t>
      </w:r>
      <w:r>
        <w:t>disclosure</w:t>
      </w:r>
      <w:r>
        <w:rPr>
          <w:spacing w:val="-8"/>
        </w:rPr>
        <w:t xml:space="preserve"> </w:t>
      </w:r>
      <w:r>
        <w:rPr>
          <w:spacing w:val="-4"/>
        </w:rPr>
        <w:t>would</w:t>
      </w:r>
      <w:r>
        <w:rPr>
          <w:spacing w:val="-19"/>
        </w:rPr>
        <w:t xml:space="preserve"> </w:t>
      </w:r>
      <w:r>
        <w:t>infringe</w:t>
      </w:r>
      <w:r>
        <w:rPr>
          <w:spacing w:val="-17"/>
        </w:rPr>
        <w:t xml:space="preserve"> </w:t>
      </w:r>
      <w:r>
        <w:t>the</w:t>
      </w:r>
      <w:r>
        <w:rPr>
          <w:spacing w:val="-17"/>
        </w:rPr>
        <w:t xml:space="preserve"> </w:t>
      </w:r>
      <w:r>
        <w:t>privileges</w:t>
      </w:r>
      <w:r>
        <w:rPr>
          <w:spacing w:val="-17"/>
        </w:rPr>
        <w:t xml:space="preserve"> </w:t>
      </w:r>
      <w:r>
        <w:t>of the</w:t>
      </w:r>
      <w:r>
        <w:rPr>
          <w:spacing w:val="-13"/>
        </w:rPr>
        <w:t xml:space="preserve"> </w:t>
      </w:r>
      <w:r>
        <w:t>Legislative</w:t>
      </w:r>
      <w:r>
        <w:rPr>
          <w:spacing w:val="-13"/>
        </w:rPr>
        <w:t xml:space="preserve"> </w:t>
      </w:r>
      <w:r>
        <w:t>Assembly</w:t>
      </w:r>
      <w:r>
        <w:rPr>
          <w:spacing w:val="-12"/>
        </w:rPr>
        <w:t xml:space="preserve"> </w:t>
      </w:r>
      <w:r>
        <w:t>or</w:t>
      </w:r>
      <w:r>
        <w:rPr>
          <w:spacing w:val="-13"/>
        </w:rPr>
        <w:t xml:space="preserve"> </w:t>
      </w:r>
      <w:r>
        <w:t>other</w:t>
      </w:r>
      <w:r>
        <w:rPr>
          <w:spacing w:val="-12"/>
        </w:rPr>
        <w:t xml:space="preserve"> </w:t>
      </w:r>
      <w:r>
        <w:rPr>
          <w:spacing w:val="-4"/>
        </w:rPr>
        <w:t>Australian</w:t>
      </w:r>
      <w:r>
        <w:rPr>
          <w:spacing w:val="-15"/>
        </w:rPr>
        <w:t xml:space="preserve"> </w:t>
      </w:r>
      <w:r>
        <w:t>parliaments.</w:t>
      </w:r>
    </w:p>
    <w:p w:rsidR="006C17CB" w:rsidRDefault="006C17CB">
      <w:pPr>
        <w:pStyle w:val="BodyText"/>
        <w:spacing w:before="13"/>
        <w:rPr>
          <w:sz w:val="20"/>
        </w:rPr>
      </w:pPr>
    </w:p>
    <w:p w:rsidR="006C17CB" w:rsidRDefault="0030091C">
      <w:pPr>
        <w:pStyle w:val="Heading5"/>
        <w:rPr>
          <w:rFonts w:ascii="Montserrat"/>
        </w:rPr>
      </w:pPr>
      <w:r>
        <w:rPr>
          <w:rFonts w:ascii="Montserrat"/>
          <w:color w:val="556EAA"/>
        </w:rPr>
        <w:t>Internal accountability</w:t>
      </w:r>
    </w:p>
    <w:p w:rsidR="006C17CB" w:rsidRDefault="0030091C">
      <w:pPr>
        <w:spacing w:before="89" w:line="189" w:lineRule="auto"/>
        <w:ind w:left="153" w:right="1318"/>
      </w:pPr>
      <w:r>
        <w:t xml:space="preserve">The Office is headed by the Clerk (pursuant to section </w:t>
      </w:r>
      <w:r>
        <w:rPr>
          <w:spacing w:val="-3"/>
        </w:rPr>
        <w:t xml:space="preserve">10 </w:t>
      </w:r>
      <w:r>
        <w:t xml:space="preserve">of the </w:t>
      </w:r>
      <w:hyperlink r:id="rId67">
        <w:r>
          <w:rPr>
            <w:rFonts w:ascii="Calibri"/>
            <w:i/>
            <w:spacing w:val="-5"/>
          </w:rPr>
          <w:t xml:space="preserve">Legislative Assembly </w:t>
        </w:r>
        <w:r>
          <w:rPr>
            <w:rFonts w:ascii="Calibri"/>
            <w:i/>
            <w:spacing w:val="-4"/>
          </w:rPr>
          <w:t xml:space="preserve">(Office </w:t>
        </w:r>
        <w:r>
          <w:rPr>
            <w:rFonts w:ascii="Calibri"/>
            <w:i/>
            <w:spacing w:val="-3"/>
          </w:rPr>
          <w:t xml:space="preserve">of </w:t>
        </w:r>
        <w:r>
          <w:rPr>
            <w:rFonts w:ascii="Calibri"/>
            <w:i/>
            <w:spacing w:val="-4"/>
          </w:rPr>
          <w:t xml:space="preserve">the </w:t>
        </w:r>
        <w:r>
          <w:rPr>
            <w:rFonts w:ascii="Calibri"/>
            <w:i/>
            <w:spacing w:val="-5"/>
          </w:rPr>
          <w:t>Legislative</w:t>
        </w:r>
      </w:hyperlink>
      <w:r>
        <w:rPr>
          <w:rFonts w:ascii="Calibri"/>
          <w:i/>
          <w:spacing w:val="-5"/>
        </w:rPr>
        <w:t xml:space="preserve"> </w:t>
      </w:r>
      <w:hyperlink r:id="rId68">
        <w:r>
          <w:rPr>
            <w:rFonts w:ascii="Calibri"/>
            <w:i/>
            <w:spacing w:val="-6"/>
          </w:rPr>
          <w:t xml:space="preserve">Assembly) </w:t>
        </w:r>
        <w:r>
          <w:rPr>
            <w:rFonts w:ascii="Calibri"/>
            <w:i/>
            <w:spacing w:val="-3"/>
          </w:rPr>
          <w:t xml:space="preserve">Act </w:t>
        </w:r>
        <w:r>
          <w:rPr>
            <w:rFonts w:ascii="Calibri"/>
            <w:i/>
            <w:spacing w:val="-7"/>
          </w:rPr>
          <w:t>2012</w:t>
        </w:r>
      </w:hyperlink>
      <w:r>
        <w:rPr>
          <w:spacing w:val="-7"/>
        </w:rPr>
        <w:t xml:space="preserve">. </w:t>
      </w:r>
      <w:r>
        <w:t>The Clerk is supported by an executive management committee made up of:</w:t>
      </w:r>
    </w:p>
    <w:p w:rsidR="006C17CB" w:rsidRDefault="0030091C">
      <w:pPr>
        <w:pStyle w:val="ListParagraph"/>
        <w:numPr>
          <w:ilvl w:val="0"/>
          <w:numId w:val="22"/>
        </w:numPr>
        <w:tabs>
          <w:tab w:val="left" w:pos="381"/>
        </w:tabs>
        <w:spacing w:before="59" w:line="306" w:lineRule="exact"/>
      </w:pPr>
      <w:r>
        <w:rPr>
          <w:spacing w:val="-5"/>
        </w:rPr>
        <w:t xml:space="preserve">Tom </w:t>
      </w:r>
      <w:r>
        <w:t>Duncan,</w:t>
      </w:r>
      <w:r>
        <w:rPr>
          <w:spacing w:val="2"/>
        </w:rPr>
        <w:t xml:space="preserve"> </w:t>
      </w:r>
      <w:r>
        <w:t>Clerk</w:t>
      </w:r>
    </w:p>
    <w:p w:rsidR="006C17CB" w:rsidRDefault="0030091C">
      <w:pPr>
        <w:pStyle w:val="ListParagraph"/>
        <w:numPr>
          <w:ilvl w:val="0"/>
          <w:numId w:val="22"/>
        </w:numPr>
        <w:tabs>
          <w:tab w:val="left" w:pos="381"/>
        </w:tabs>
      </w:pPr>
      <w:r>
        <w:t>Julia Agostino, Deputy Clerk and</w:t>
      </w:r>
      <w:r>
        <w:rPr>
          <w:spacing w:val="-1"/>
        </w:rPr>
        <w:t xml:space="preserve"> </w:t>
      </w:r>
      <w:r>
        <w:rPr>
          <w:spacing w:val="-3"/>
        </w:rPr>
        <w:t>Serjeant-at-Arms</w:t>
      </w:r>
    </w:p>
    <w:p w:rsidR="006C17CB" w:rsidRDefault="0030091C">
      <w:pPr>
        <w:pStyle w:val="ListParagraph"/>
        <w:numPr>
          <w:ilvl w:val="0"/>
          <w:numId w:val="22"/>
        </w:numPr>
        <w:tabs>
          <w:tab w:val="left" w:pos="381"/>
        </w:tabs>
      </w:pPr>
      <w:r>
        <w:t>Ian Duckworth, Executive</w:t>
      </w:r>
      <w:r>
        <w:rPr>
          <w:spacing w:val="-2"/>
        </w:rPr>
        <w:t xml:space="preserve"> </w:t>
      </w:r>
      <w:r>
        <w:t>Manager</w:t>
      </w:r>
    </w:p>
    <w:p w:rsidR="006C17CB" w:rsidRDefault="0030091C">
      <w:pPr>
        <w:pStyle w:val="ListParagraph"/>
        <w:numPr>
          <w:ilvl w:val="0"/>
          <w:numId w:val="22"/>
        </w:numPr>
        <w:tabs>
          <w:tab w:val="left" w:pos="381"/>
        </w:tabs>
      </w:pPr>
      <w:r>
        <w:t xml:space="preserve">David </w:t>
      </w:r>
      <w:r>
        <w:rPr>
          <w:spacing w:val="-4"/>
        </w:rPr>
        <w:t xml:space="preserve">Skinner, </w:t>
      </w:r>
      <w:r>
        <w:rPr>
          <w:spacing w:val="-3"/>
        </w:rPr>
        <w:t xml:space="preserve">Director, </w:t>
      </w:r>
      <w:r>
        <w:t>Office of the</w:t>
      </w:r>
      <w:r>
        <w:rPr>
          <w:spacing w:val="3"/>
        </w:rPr>
        <w:t xml:space="preserve"> </w:t>
      </w:r>
      <w:r>
        <w:t>Clerk</w:t>
      </w:r>
    </w:p>
    <w:p w:rsidR="006C17CB" w:rsidRDefault="0030091C">
      <w:pPr>
        <w:pStyle w:val="ListParagraph"/>
        <w:numPr>
          <w:ilvl w:val="0"/>
          <w:numId w:val="22"/>
        </w:numPr>
        <w:tabs>
          <w:tab w:val="left" w:pos="381"/>
        </w:tabs>
        <w:spacing w:line="306" w:lineRule="exact"/>
      </w:pPr>
      <w:r>
        <w:t>Mal Prentice, Chief Finance</w:t>
      </w:r>
      <w:r>
        <w:rPr>
          <w:spacing w:val="-3"/>
        </w:rPr>
        <w:t xml:space="preserve"> </w:t>
      </w:r>
      <w:r>
        <w:t>Officer</w:t>
      </w:r>
    </w:p>
    <w:p w:rsidR="006C17CB" w:rsidRDefault="0030091C">
      <w:pPr>
        <w:pStyle w:val="BodyText"/>
        <w:spacing w:before="185" w:line="189" w:lineRule="auto"/>
        <w:ind w:left="153" w:right="1412"/>
      </w:pPr>
      <w:r>
        <w:t>The Office prepares an action plan each year setting out a program of work for the organisation. During the reporting period, the Office also finalised its strategic plan for 2018-2021.</w:t>
      </w:r>
    </w:p>
    <w:p w:rsidR="006C17CB" w:rsidRDefault="0030091C">
      <w:pPr>
        <w:pStyle w:val="BodyText"/>
        <w:spacing w:before="58"/>
        <w:ind w:left="153"/>
      </w:pPr>
      <w:r>
        <w:t>The executive management committee meets monthly to make decisions relating to:</w:t>
      </w:r>
    </w:p>
    <w:p w:rsidR="006C17CB" w:rsidRDefault="0030091C">
      <w:pPr>
        <w:pStyle w:val="ListParagraph"/>
        <w:numPr>
          <w:ilvl w:val="0"/>
          <w:numId w:val="22"/>
        </w:numPr>
        <w:tabs>
          <w:tab w:val="left" w:pos="381"/>
        </w:tabs>
        <w:spacing w:before="46" w:line="306" w:lineRule="exact"/>
      </w:pPr>
      <w:r>
        <w:t>the delivery of the Office’s functions and</w:t>
      </w:r>
      <w:r>
        <w:rPr>
          <w:spacing w:val="-4"/>
        </w:rPr>
        <w:t xml:space="preserve"> </w:t>
      </w:r>
      <w:r>
        <w:t>services;</w:t>
      </w:r>
    </w:p>
    <w:p w:rsidR="006C17CB" w:rsidRDefault="0030091C">
      <w:pPr>
        <w:pStyle w:val="ListParagraph"/>
        <w:numPr>
          <w:ilvl w:val="0"/>
          <w:numId w:val="22"/>
        </w:numPr>
        <w:tabs>
          <w:tab w:val="left" w:pos="381"/>
        </w:tabs>
      </w:pPr>
      <w:r>
        <w:t>budgeting and</w:t>
      </w:r>
      <w:r>
        <w:rPr>
          <w:spacing w:val="-3"/>
        </w:rPr>
        <w:t xml:space="preserve"> </w:t>
      </w:r>
      <w:r>
        <w:t>finances;</w:t>
      </w:r>
    </w:p>
    <w:p w:rsidR="006C17CB" w:rsidRDefault="0030091C">
      <w:pPr>
        <w:pStyle w:val="ListParagraph"/>
        <w:numPr>
          <w:ilvl w:val="0"/>
          <w:numId w:val="22"/>
        </w:numPr>
        <w:tabs>
          <w:tab w:val="left" w:pos="381"/>
        </w:tabs>
      </w:pPr>
      <w:r>
        <w:t>workplace health and</w:t>
      </w:r>
      <w:r>
        <w:rPr>
          <w:spacing w:val="-2"/>
        </w:rPr>
        <w:t xml:space="preserve"> </w:t>
      </w:r>
      <w:r>
        <w:t>safety;</w:t>
      </w:r>
    </w:p>
    <w:p w:rsidR="006C17CB" w:rsidRDefault="0030091C">
      <w:pPr>
        <w:pStyle w:val="ListParagraph"/>
        <w:numPr>
          <w:ilvl w:val="0"/>
          <w:numId w:val="22"/>
        </w:numPr>
        <w:tabs>
          <w:tab w:val="left" w:pos="381"/>
        </w:tabs>
      </w:pPr>
      <w:r>
        <w:t>risk management;</w:t>
      </w:r>
      <w:r>
        <w:rPr>
          <w:spacing w:val="-1"/>
        </w:rPr>
        <w:t xml:space="preserve"> </w:t>
      </w:r>
      <w:r>
        <w:t>and</w:t>
      </w:r>
    </w:p>
    <w:p w:rsidR="006C17CB" w:rsidRDefault="0030091C">
      <w:pPr>
        <w:pStyle w:val="ListParagraph"/>
        <w:numPr>
          <w:ilvl w:val="0"/>
          <w:numId w:val="22"/>
        </w:numPr>
        <w:tabs>
          <w:tab w:val="left" w:pos="381"/>
        </w:tabs>
        <w:spacing w:line="306" w:lineRule="exact"/>
      </w:pPr>
      <w:r>
        <w:t>internal governance and accountability</w:t>
      </w:r>
      <w:r>
        <w:rPr>
          <w:spacing w:val="-2"/>
        </w:rPr>
        <w:t xml:space="preserve"> </w:t>
      </w:r>
      <w:r>
        <w:t>initiatives.</w:t>
      </w:r>
    </w:p>
    <w:p w:rsidR="006C17CB" w:rsidRDefault="0030091C">
      <w:pPr>
        <w:pStyle w:val="BodyText"/>
        <w:spacing w:before="186" w:line="189" w:lineRule="auto"/>
        <w:ind w:left="153" w:right="1638"/>
        <w:jc w:val="both"/>
      </w:pPr>
      <w:r>
        <w:t>All</w:t>
      </w:r>
      <w:r>
        <w:rPr>
          <w:spacing w:val="-6"/>
        </w:rPr>
        <w:t xml:space="preserve"> </w:t>
      </w:r>
      <w:r>
        <w:t>members</w:t>
      </w:r>
      <w:r>
        <w:rPr>
          <w:spacing w:val="-6"/>
        </w:rPr>
        <w:t xml:space="preserve"> </w:t>
      </w:r>
      <w:r>
        <w:t>of</w:t>
      </w:r>
      <w:r>
        <w:rPr>
          <w:spacing w:val="-6"/>
        </w:rPr>
        <w:t xml:space="preserve"> </w:t>
      </w:r>
      <w:r>
        <w:t>the</w:t>
      </w:r>
      <w:r>
        <w:rPr>
          <w:spacing w:val="-7"/>
        </w:rPr>
        <w:t xml:space="preserve"> </w:t>
      </w:r>
      <w:r>
        <w:t>executive</w:t>
      </w:r>
      <w:r>
        <w:rPr>
          <w:spacing w:val="-7"/>
        </w:rPr>
        <w:t xml:space="preserve"> </w:t>
      </w:r>
      <w:r>
        <w:t>management</w:t>
      </w:r>
      <w:r>
        <w:rPr>
          <w:spacing w:val="-6"/>
        </w:rPr>
        <w:t xml:space="preserve"> </w:t>
      </w:r>
      <w:r>
        <w:t>committee</w:t>
      </w:r>
      <w:r>
        <w:rPr>
          <w:spacing w:val="-7"/>
        </w:rPr>
        <w:t xml:space="preserve"> </w:t>
      </w:r>
      <w:r>
        <w:t>are</w:t>
      </w:r>
      <w:r>
        <w:rPr>
          <w:spacing w:val="-7"/>
        </w:rPr>
        <w:t xml:space="preserve"> </w:t>
      </w:r>
      <w:r>
        <w:t>subject</w:t>
      </w:r>
      <w:r>
        <w:rPr>
          <w:spacing w:val="-6"/>
        </w:rPr>
        <w:t xml:space="preserve"> </w:t>
      </w:r>
      <w:r>
        <w:t>to</w:t>
      </w:r>
      <w:r>
        <w:rPr>
          <w:spacing w:val="-7"/>
        </w:rPr>
        <w:t xml:space="preserve"> </w:t>
      </w:r>
      <w:r>
        <w:t>performance</w:t>
      </w:r>
      <w:r>
        <w:rPr>
          <w:spacing w:val="-7"/>
        </w:rPr>
        <w:t xml:space="preserve"> </w:t>
      </w:r>
      <w:r>
        <w:t>agreements</w:t>
      </w:r>
      <w:r>
        <w:rPr>
          <w:spacing w:val="-6"/>
        </w:rPr>
        <w:t xml:space="preserve"> </w:t>
      </w:r>
      <w:r>
        <w:t>with</w:t>
      </w:r>
      <w:r>
        <w:rPr>
          <w:spacing w:val="-6"/>
        </w:rPr>
        <w:t xml:space="preserve"> </w:t>
      </w:r>
      <w:r>
        <w:t>the Clerk. The agreements set out key responsibilities and work objectives. Agreements are reviewed on an annual</w:t>
      </w:r>
      <w:r>
        <w:rPr>
          <w:spacing w:val="-1"/>
        </w:rPr>
        <w:t xml:space="preserve"> </w:t>
      </w:r>
      <w:r>
        <w:t>basis.</w:t>
      </w:r>
    </w:p>
    <w:p w:rsidR="006C17CB" w:rsidRDefault="0030091C">
      <w:pPr>
        <w:pStyle w:val="BodyText"/>
        <w:spacing w:before="58"/>
        <w:ind w:left="153"/>
      </w:pPr>
      <w:r>
        <w:t>The key management committees within the Assembly are:</w:t>
      </w:r>
    </w:p>
    <w:p w:rsidR="006C17CB" w:rsidRDefault="0030091C">
      <w:pPr>
        <w:pStyle w:val="ListParagraph"/>
        <w:numPr>
          <w:ilvl w:val="0"/>
          <w:numId w:val="22"/>
        </w:numPr>
        <w:tabs>
          <w:tab w:val="left" w:pos="381"/>
        </w:tabs>
        <w:spacing w:before="100" w:line="189" w:lineRule="auto"/>
        <w:ind w:right="1764"/>
      </w:pPr>
      <w:r>
        <w:t>a</w:t>
      </w:r>
      <w:r>
        <w:rPr>
          <w:spacing w:val="-9"/>
        </w:rPr>
        <w:t xml:space="preserve"> </w:t>
      </w:r>
      <w:r>
        <w:t>health</w:t>
      </w:r>
      <w:r>
        <w:rPr>
          <w:spacing w:val="-10"/>
        </w:rPr>
        <w:t xml:space="preserve"> </w:t>
      </w:r>
      <w:r>
        <w:t>and</w:t>
      </w:r>
      <w:r>
        <w:rPr>
          <w:spacing w:val="-9"/>
        </w:rPr>
        <w:t xml:space="preserve"> </w:t>
      </w:r>
      <w:r>
        <w:t>safety</w:t>
      </w:r>
      <w:r>
        <w:rPr>
          <w:spacing w:val="-9"/>
        </w:rPr>
        <w:t xml:space="preserve"> </w:t>
      </w:r>
      <w:r>
        <w:t>committee</w:t>
      </w:r>
      <w:r>
        <w:rPr>
          <w:spacing w:val="-10"/>
        </w:rPr>
        <w:t xml:space="preserve"> </w:t>
      </w:r>
      <w:r>
        <w:t>(recognising</w:t>
      </w:r>
      <w:r>
        <w:rPr>
          <w:spacing w:val="-9"/>
        </w:rPr>
        <w:t xml:space="preserve"> </w:t>
      </w:r>
      <w:r>
        <w:t>the</w:t>
      </w:r>
      <w:r>
        <w:rPr>
          <w:spacing w:val="-10"/>
        </w:rPr>
        <w:t xml:space="preserve"> </w:t>
      </w:r>
      <w:r>
        <w:t>separate</w:t>
      </w:r>
      <w:r>
        <w:rPr>
          <w:spacing w:val="-10"/>
        </w:rPr>
        <w:t xml:space="preserve"> </w:t>
      </w:r>
      <w:r>
        <w:t>employer</w:t>
      </w:r>
      <w:r>
        <w:rPr>
          <w:spacing w:val="-9"/>
        </w:rPr>
        <w:t xml:space="preserve"> </w:t>
      </w:r>
      <w:r>
        <w:t>responsibilities,</w:t>
      </w:r>
      <w:r>
        <w:rPr>
          <w:spacing w:val="-9"/>
        </w:rPr>
        <w:t xml:space="preserve"> </w:t>
      </w:r>
      <w:r>
        <w:t>the</w:t>
      </w:r>
      <w:r>
        <w:rPr>
          <w:spacing w:val="-10"/>
        </w:rPr>
        <w:t xml:space="preserve"> </w:t>
      </w:r>
      <w:r>
        <w:t>committee</w:t>
      </w:r>
      <w:r>
        <w:rPr>
          <w:spacing w:val="-10"/>
        </w:rPr>
        <w:t xml:space="preserve"> </w:t>
      </w:r>
      <w:r>
        <w:t>is composed of representatives from the Office, members’ offices and the</w:t>
      </w:r>
      <w:r>
        <w:rPr>
          <w:spacing w:val="-23"/>
        </w:rPr>
        <w:t xml:space="preserve"> </w:t>
      </w:r>
      <w:r>
        <w:t>Executive);</w:t>
      </w:r>
    </w:p>
    <w:p w:rsidR="006C17CB" w:rsidRDefault="0030091C">
      <w:pPr>
        <w:pStyle w:val="ListParagraph"/>
        <w:numPr>
          <w:ilvl w:val="0"/>
          <w:numId w:val="22"/>
        </w:numPr>
        <w:tabs>
          <w:tab w:val="left" w:pos="381"/>
        </w:tabs>
        <w:spacing w:line="296" w:lineRule="exact"/>
      </w:pPr>
      <w:r>
        <w:t>an internal audit committee;</w:t>
      </w:r>
      <w:r>
        <w:rPr>
          <w:spacing w:val="-3"/>
        </w:rPr>
        <w:t xml:space="preserve"> </w:t>
      </w:r>
      <w:r>
        <w:t>and</w:t>
      </w:r>
    </w:p>
    <w:p w:rsidR="006C17CB" w:rsidRDefault="0030091C">
      <w:pPr>
        <w:pStyle w:val="ListParagraph"/>
        <w:numPr>
          <w:ilvl w:val="0"/>
          <w:numId w:val="22"/>
        </w:numPr>
        <w:tabs>
          <w:tab w:val="left" w:pos="381"/>
        </w:tabs>
        <w:spacing w:before="43" w:line="189" w:lineRule="auto"/>
        <w:ind w:right="2397"/>
      </w:pPr>
      <w:r>
        <w:t>a</w:t>
      </w:r>
      <w:r>
        <w:rPr>
          <w:spacing w:val="-11"/>
        </w:rPr>
        <w:t xml:space="preserve"> </w:t>
      </w:r>
      <w:r>
        <w:t>joint</w:t>
      </w:r>
      <w:r>
        <w:rPr>
          <w:spacing w:val="-11"/>
        </w:rPr>
        <w:t xml:space="preserve"> </w:t>
      </w:r>
      <w:r>
        <w:t>union</w:t>
      </w:r>
      <w:r>
        <w:rPr>
          <w:spacing w:val="-11"/>
        </w:rPr>
        <w:t xml:space="preserve"> </w:t>
      </w:r>
      <w:r>
        <w:t>management</w:t>
      </w:r>
      <w:r>
        <w:rPr>
          <w:spacing w:val="-11"/>
        </w:rPr>
        <w:t xml:space="preserve"> </w:t>
      </w:r>
      <w:r>
        <w:t>consultative</w:t>
      </w:r>
      <w:r>
        <w:rPr>
          <w:spacing w:val="-11"/>
        </w:rPr>
        <w:t xml:space="preserve"> </w:t>
      </w:r>
      <w:r>
        <w:t>committee</w:t>
      </w:r>
      <w:r>
        <w:rPr>
          <w:spacing w:val="-11"/>
        </w:rPr>
        <w:t xml:space="preserve"> </w:t>
      </w:r>
      <w:r>
        <w:t>(comprising</w:t>
      </w:r>
      <w:r>
        <w:rPr>
          <w:spacing w:val="-11"/>
        </w:rPr>
        <w:t xml:space="preserve"> </w:t>
      </w:r>
      <w:r>
        <w:t>management,</w:t>
      </w:r>
      <w:r>
        <w:rPr>
          <w:spacing w:val="-11"/>
        </w:rPr>
        <w:t xml:space="preserve"> </w:t>
      </w:r>
      <w:r>
        <w:t>union</w:t>
      </w:r>
      <w:r>
        <w:rPr>
          <w:spacing w:val="-11"/>
        </w:rPr>
        <w:t xml:space="preserve"> </w:t>
      </w:r>
      <w:r>
        <w:t>and</w:t>
      </w:r>
      <w:r>
        <w:rPr>
          <w:spacing w:val="-11"/>
        </w:rPr>
        <w:t xml:space="preserve"> </w:t>
      </w:r>
      <w:r>
        <w:t>staff representatives).</w:t>
      </w:r>
    </w:p>
    <w:p w:rsidR="006C17CB" w:rsidRDefault="006C17CB">
      <w:pPr>
        <w:pStyle w:val="BodyText"/>
        <w:spacing w:before="10"/>
        <w:rPr>
          <w:sz w:val="13"/>
        </w:rPr>
      </w:pPr>
    </w:p>
    <w:p w:rsidR="006C17CB" w:rsidRDefault="0030091C">
      <w:pPr>
        <w:spacing w:line="189" w:lineRule="auto"/>
        <w:ind w:left="153" w:right="1412"/>
      </w:pPr>
      <w:r>
        <w:t xml:space="preserve">Remuneration arrangements for senior executive service officers within the Office are made pursuant to the </w:t>
      </w:r>
      <w:hyperlink r:id="rId69">
        <w:r>
          <w:rPr>
            <w:rFonts w:ascii="Calibri"/>
            <w:i/>
          </w:rPr>
          <w:t>Remuneration Tribunal Act 1995</w:t>
        </w:r>
      </w:hyperlink>
      <w:r>
        <w:t>.</w:t>
      </w:r>
    </w:p>
    <w:p w:rsidR="006C17CB" w:rsidRDefault="006C17CB">
      <w:pPr>
        <w:spacing w:line="189" w:lineRule="auto"/>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7"/>
        <w:rPr>
          <w:sz w:val="15"/>
        </w:rPr>
      </w:pPr>
    </w:p>
    <w:p w:rsidR="006C17CB" w:rsidRDefault="0030091C">
      <w:pPr>
        <w:pStyle w:val="Heading5"/>
        <w:spacing w:before="153"/>
        <w:rPr>
          <w:rFonts w:ascii="Montserrat"/>
        </w:rPr>
      </w:pPr>
      <w:bookmarkStart w:id="66" w:name="Human_resource_performance"/>
      <w:bookmarkStart w:id="67" w:name="_bookmark20"/>
      <w:bookmarkEnd w:id="66"/>
      <w:bookmarkEnd w:id="67"/>
      <w:r>
        <w:rPr>
          <w:rFonts w:ascii="Montserrat"/>
          <w:color w:val="556EAA"/>
        </w:rPr>
        <w:t>Human resource performance</w:t>
      </w:r>
    </w:p>
    <w:p w:rsidR="006C17CB" w:rsidRDefault="0030091C">
      <w:pPr>
        <w:pStyle w:val="BodyText"/>
        <w:spacing w:before="35"/>
        <w:ind w:left="153"/>
      </w:pPr>
      <w:r>
        <w:t>An organisation chart, current at 30 June 2018, is shown in section A.</w:t>
      </w:r>
    </w:p>
    <w:p w:rsidR="006C17CB" w:rsidRDefault="006C17CB">
      <w:pPr>
        <w:pStyle w:val="BodyText"/>
        <w:spacing w:before="11"/>
      </w:pPr>
    </w:p>
    <w:p w:rsidR="006C17CB" w:rsidRDefault="0030091C">
      <w:pPr>
        <w:ind w:left="153"/>
        <w:rPr>
          <w:rFonts w:ascii="Montserrat-SemiBoldItalic"/>
          <w:b/>
          <w:i/>
          <w:sz w:val="20"/>
        </w:rPr>
      </w:pPr>
      <w:r>
        <w:rPr>
          <w:rFonts w:ascii="Montserrat-SemiBoldItalic"/>
          <w:b/>
          <w:i/>
          <w:sz w:val="20"/>
        </w:rPr>
        <w:t>Staffing Profile</w:t>
      </w:r>
    </w:p>
    <w:p w:rsidR="006C17CB" w:rsidRDefault="006C17CB">
      <w:pPr>
        <w:pStyle w:val="BodyText"/>
        <w:spacing w:before="1"/>
        <w:rPr>
          <w:rFonts w:ascii="Montserrat-SemiBoldItalic"/>
          <w:b/>
          <w:i/>
          <w:sz w:val="37"/>
        </w:rPr>
      </w:pPr>
    </w:p>
    <w:p w:rsidR="006C17CB" w:rsidRDefault="0030091C">
      <w:pPr>
        <w:ind w:left="157"/>
        <w:rPr>
          <w:rFonts w:ascii="Calibri"/>
          <w:i/>
        </w:rPr>
      </w:pPr>
      <w:r>
        <w:rPr>
          <w:rFonts w:ascii="Calibri"/>
          <w:b/>
          <w:sz w:val="18"/>
        </w:rPr>
        <w:t xml:space="preserve">TABLE 2. </w:t>
      </w:r>
      <w:r>
        <w:rPr>
          <w:rFonts w:ascii="Calibri"/>
          <w:i/>
        </w:rPr>
        <w:t>Full-time staff equivalent (FTE) and headcount</w:t>
      </w:r>
    </w:p>
    <w:p w:rsidR="006C17CB" w:rsidRDefault="006C17CB">
      <w:pPr>
        <w:pStyle w:val="BodyText"/>
        <w:spacing w:before="4"/>
        <w:rPr>
          <w:rFonts w:ascii="Calibri"/>
          <w:i/>
          <w:sz w:val="9"/>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6"/>
        <w:gridCol w:w="4739"/>
        <w:gridCol w:w="1288"/>
        <w:gridCol w:w="1232"/>
        <w:gridCol w:w="1218"/>
      </w:tblGrid>
      <w:tr w:rsidR="006C17CB">
        <w:trPr>
          <w:trHeight w:val="396"/>
        </w:trPr>
        <w:tc>
          <w:tcPr>
            <w:tcW w:w="1156" w:type="dxa"/>
            <w:tcBorders>
              <w:top w:val="nil"/>
              <w:left w:val="nil"/>
              <w:bottom w:val="nil"/>
              <w:right w:val="nil"/>
            </w:tcBorders>
            <w:shd w:val="clear" w:color="auto" w:fill="89A7D7"/>
          </w:tcPr>
          <w:p w:rsidR="006C17CB" w:rsidRDefault="0030091C">
            <w:pPr>
              <w:pStyle w:val="TableParagraph"/>
              <w:spacing w:before="72"/>
              <w:ind w:left="79"/>
              <w:jc w:val="left"/>
              <w:rPr>
                <w:b/>
                <w:sz w:val="18"/>
              </w:rPr>
            </w:pPr>
            <w:r>
              <w:rPr>
                <w:b/>
                <w:sz w:val="18"/>
              </w:rPr>
              <w:t>Full-time staff</w:t>
            </w:r>
          </w:p>
        </w:tc>
        <w:tc>
          <w:tcPr>
            <w:tcW w:w="4739" w:type="dxa"/>
            <w:tcBorders>
              <w:top w:val="nil"/>
              <w:left w:val="nil"/>
              <w:bottom w:val="nil"/>
              <w:right w:val="nil"/>
            </w:tcBorders>
            <w:shd w:val="clear" w:color="auto" w:fill="89A7D7"/>
          </w:tcPr>
          <w:p w:rsidR="006C17CB" w:rsidRDefault="0030091C">
            <w:pPr>
              <w:pStyle w:val="TableParagraph"/>
              <w:spacing w:before="72"/>
              <w:ind w:left="20"/>
              <w:jc w:val="left"/>
              <w:rPr>
                <w:b/>
                <w:sz w:val="18"/>
              </w:rPr>
            </w:pPr>
            <w:r>
              <w:rPr>
                <w:b/>
                <w:sz w:val="18"/>
              </w:rPr>
              <w:t>equivalent</w:t>
            </w:r>
          </w:p>
        </w:tc>
        <w:tc>
          <w:tcPr>
            <w:tcW w:w="1288" w:type="dxa"/>
            <w:tcBorders>
              <w:top w:val="nil"/>
              <w:left w:val="nil"/>
              <w:bottom w:val="nil"/>
              <w:right w:val="nil"/>
            </w:tcBorders>
            <w:shd w:val="clear" w:color="auto" w:fill="89A7D7"/>
          </w:tcPr>
          <w:p w:rsidR="006C17CB" w:rsidRDefault="0030091C">
            <w:pPr>
              <w:pStyle w:val="TableParagraph"/>
              <w:spacing w:before="72"/>
              <w:ind w:right="75"/>
              <w:rPr>
                <w:b/>
                <w:sz w:val="18"/>
              </w:rPr>
            </w:pPr>
            <w:r>
              <w:rPr>
                <w:b/>
                <w:sz w:val="18"/>
              </w:rPr>
              <w:t>Female</w:t>
            </w:r>
          </w:p>
        </w:tc>
        <w:tc>
          <w:tcPr>
            <w:tcW w:w="1232" w:type="dxa"/>
            <w:tcBorders>
              <w:top w:val="nil"/>
              <w:left w:val="nil"/>
              <w:bottom w:val="nil"/>
              <w:right w:val="nil"/>
            </w:tcBorders>
            <w:shd w:val="clear" w:color="auto" w:fill="89A7D7"/>
          </w:tcPr>
          <w:p w:rsidR="006C17CB" w:rsidRDefault="0030091C">
            <w:pPr>
              <w:pStyle w:val="TableParagraph"/>
              <w:spacing w:before="72"/>
              <w:ind w:right="74"/>
              <w:rPr>
                <w:b/>
                <w:sz w:val="18"/>
              </w:rPr>
            </w:pPr>
            <w:r>
              <w:rPr>
                <w:b/>
                <w:sz w:val="18"/>
              </w:rPr>
              <w:t>Male</w:t>
            </w:r>
          </w:p>
        </w:tc>
        <w:tc>
          <w:tcPr>
            <w:tcW w:w="1218" w:type="dxa"/>
            <w:tcBorders>
              <w:top w:val="nil"/>
              <w:left w:val="nil"/>
              <w:bottom w:val="nil"/>
              <w:right w:val="nil"/>
            </w:tcBorders>
            <w:shd w:val="clear" w:color="auto" w:fill="89A7D7"/>
          </w:tcPr>
          <w:p w:rsidR="006C17CB" w:rsidRDefault="0030091C">
            <w:pPr>
              <w:pStyle w:val="TableParagraph"/>
              <w:spacing w:before="72"/>
              <w:ind w:right="73"/>
              <w:rPr>
                <w:b/>
                <w:sz w:val="18"/>
              </w:rPr>
            </w:pPr>
            <w:r>
              <w:rPr>
                <w:b/>
                <w:sz w:val="18"/>
              </w:rPr>
              <w:t>Total</w:t>
            </w:r>
          </w:p>
        </w:tc>
      </w:tr>
      <w:tr w:rsidR="006C17CB">
        <w:trPr>
          <w:trHeight w:val="386"/>
        </w:trPr>
        <w:tc>
          <w:tcPr>
            <w:tcW w:w="5895" w:type="dxa"/>
            <w:gridSpan w:val="2"/>
            <w:tcBorders>
              <w:top w:val="nil"/>
              <w:left w:val="nil"/>
              <w:right w:val="single" w:sz="4" w:space="0" w:color="DADADA"/>
            </w:tcBorders>
          </w:tcPr>
          <w:p w:rsidR="006C17CB" w:rsidRDefault="0030091C">
            <w:pPr>
              <w:pStyle w:val="TableParagraph"/>
              <w:spacing w:before="50"/>
              <w:ind w:left="79"/>
              <w:jc w:val="left"/>
              <w:rPr>
                <w:sz w:val="18"/>
              </w:rPr>
            </w:pPr>
            <w:r>
              <w:rPr>
                <w:sz w:val="18"/>
              </w:rPr>
              <w:t>FTE by gender</w:t>
            </w:r>
          </w:p>
        </w:tc>
        <w:tc>
          <w:tcPr>
            <w:tcW w:w="1288" w:type="dxa"/>
            <w:tcBorders>
              <w:top w:val="nil"/>
              <w:left w:val="single" w:sz="4" w:space="0" w:color="DADADA"/>
              <w:right w:val="single" w:sz="4" w:space="0" w:color="DADADA"/>
            </w:tcBorders>
          </w:tcPr>
          <w:p w:rsidR="006C17CB" w:rsidRDefault="0030091C">
            <w:pPr>
              <w:pStyle w:val="TableParagraph"/>
              <w:spacing w:before="50"/>
              <w:ind w:right="70"/>
              <w:rPr>
                <w:sz w:val="18"/>
              </w:rPr>
            </w:pPr>
            <w:r>
              <w:rPr>
                <w:sz w:val="18"/>
              </w:rPr>
              <w:t>30.5</w:t>
            </w:r>
          </w:p>
        </w:tc>
        <w:tc>
          <w:tcPr>
            <w:tcW w:w="1232" w:type="dxa"/>
            <w:tcBorders>
              <w:top w:val="nil"/>
              <w:left w:val="single" w:sz="4" w:space="0" w:color="DADADA"/>
              <w:right w:val="single" w:sz="4" w:space="0" w:color="DADADA"/>
            </w:tcBorders>
          </w:tcPr>
          <w:p w:rsidR="006C17CB" w:rsidRDefault="0030091C">
            <w:pPr>
              <w:pStyle w:val="TableParagraph"/>
              <w:spacing w:before="50"/>
              <w:ind w:right="69"/>
              <w:rPr>
                <w:sz w:val="18"/>
              </w:rPr>
            </w:pPr>
            <w:r>
              <w:rPr>
                <w:sz w:val="18"/>
              </w:rPr>
              <w:t>18.2</w:t>
            </w:r>
          </w:p>
        </w:tc>
        <w:tc>
          <w:tcPr>
            <w:tcW w:w="1218" w:type="dxa"/>
            <w:tcBorders>
              <w:top w:val="nil"/>
              <w:left w:val="single" w:sz="4" w:space="0" w:color="DADADA"/>
              <w:right w:val="nil"/>
            </w:tcBorders>
          </w:tcPr>
          <w:p w:rsidR="006C17CB" w:rsidRDefault="0030091C">
            <w:pPr>
              <w:pStyle w:val="TableParagraph"/>
              <w:spacing w:before="50"/>
              <w:ind w:right="73"/>
              <w:rPr>
                <w:b/>
                <w:sz w:val="18"/>
              </w:rPr>
            </w:pPr>
            <w:r>
              <w:rPr>
                <w:b/>
                <w:sz w:val="18"/>
              </w:rPr>
              <w:t>48.7</w:t>
            </w:r>
          </w:p>
        </w:tc>
      </w:tr>
      <w:tr w:rsidR="006C17CB">
        <w:trPr>
          <w:trHeight w:val="386"/>
        </w:trPr>
        <w:tc>
          <w:tcPr>
            <w:tcW w:w="5895" w:type="dxa"/>
            <w:gridSpan w:val="2"/>
            <w:tcBorders>
              <w:left w:val="nil"/>
              <w:right w:val="single" w:sz="4" w:space="0" w:color="DADADA"/>
            </w:tcBorders>
          </w:tcPr>
          <w:p w:rsidR="006C17CB" w:rsidRDefault="0030091C">
            <w:pPr>
              <w:pStyle w:val="TableParagraph"/>
              <w:spacing w:before="50"/>
              <w:ind w:left="79"/>
              <w:jc w:val="left"/>
              <w:rPr>
                <w:sz w:val="18"/>
              </w:rPr>
            </w:pPr>
            <w:r>
              <w:rPr>
                <w:sz w:val="18"/>
              </w:rPr>
              <w:t>Headcount by gender</w:t>
            </w:r>
          </w:p>
        </w:tc>
        <w:tc>
          <w:tcPr>
            <w:tcW w:w="1288" w:type="dxa"/>
            <w:tcBorders>
              <w:left w:val="single" w:sz="4" w:space="0" w:color="DADADA"/>
              <w:right w:val="single" w:sz="4" w:space="0" w:color="DADADA"/>
            </w:tcBorders>
          </w:tcPr>
          <w:p w:rsidR="006C17CB" w:rsidRDefault="0030091C">
            <w:pPr>
              <w:pStyle w:val="TableParagraph"/>
              <w:spacing w:before="50"/>
              <w:ind w:right="70"/>
              <w:rPr>
                <w:sz w:val="18"/>
              </w:rPr>
            </w:pPr>
            <w:r>
              <w:rPr>
                <w:sz w:val="18"/>
              </w:rPr>
              <w:t>39</w:t>
            </w:r>
          </w:p>
        </w:tc>
        <w:tc>
          <w:tcPr>
            <w:tcW w:w="1232" w:type="dxa"/>
            <w:tcBorders>
              <w:left w:val="single" w:sz="4" w:space="0" w:color="DADADA"/>
              <w:right w:val="single" w:sz="4" w:space="0" w:color="DADADA"/>
            </w:tcBorders>
          </w:tcPr>
          <w:p w:rsidR="006C17CB" w:rsidRDefault="0030091C">
            <w:pPr>
              <w:pStyle w:val="TableParagraph"/>
              <w:spacing w:before="50"/>
              <w:ind w:right="69"/>
              <w:rPr>
                <w:sz w:val="18"/>
              </w:rPr>
            </w:pPr>
            <w:r>
              <w:rPr>
                <w:sz w:val="18"/>
              </w:rPr>
              <w:t>24</w:t>
            </w:r>
          </w:p>
        </w:tc>
        <w:tc>
          <w:tcPr>
            <w:tcW w:w="1218" w:type="dxa"/>
            <w:tcBorders>
              <w:left w:val="single" w:sz="4" w:space="0" w:color="DADADA"/>
              <w:right w:val="nil"/>
            </w:tcBorders>
          </w:tcPr>
          <w:p w:rsidR="006C17CB" w:rsidRDefault="0030091C">
            <w:pPr>
              <w:pStyle w:val="TableParagraph"/>
              <w:spacing w:before="50"/>
              <w:ind w:right="73"/>
              <w:rPr>
                <w:b/>
                <w:sz w:val="18"/>
              </w:rPr>
            </w:pPr>
            <w:r>
              <w:rPr>
                <w:b/>
                <w:sz w:val="18"/>
              </w:rPr>
              <w:t>63</w:t>
            </w:r>
          </w:p>
        </w:tc>
      </w:tr>
      <w:tr w:rsidR="006C17CB">
        <w:trPr>
          <w:trHeight w:val="386"/>
        </w:trPr>
        <w:tc>
          <w:tcPr>
            <w:tcW w:w="5895" w:type="dxa"/>
            <w:gridSpan w:val="2"/>
            <w:tcBorders>
              <w:left w:val="nil"/>
              <w:right w:val="single" w:sz="4" w:space="0" w:color="DADADA"/>
            </w:tcBorders>
          </w:tcPr>
          <w:p w:rsidR="006C17CB" w:rsidRDefault="0030091C">
            <w:pPr>
              <w:pStyle w:val="TableParagraph"/>
              <w:spacing w:before="50"/>
              <w:ind w:left="79"/>
              <w:jc w:val="left"/>
              <w:rPr>
                <w:sz w:val="18"/>
              </w:rPr>
            </w:pPr>
            <w:r>
              <w:rPr>
                <w:sz w:val="18"/>
              </w:rPr>
              <w:t>Percentage of workforce (headcount)</w:t>
            </w:r>
          </w:p>
        </w:tc>
        <w:tc>
          <w:tcPr>
            <w:tcW w:w="1288" w:type="dxa"/>
            <w:tcBorders>
              <w:left w:val="single" w:sz="4" w:space="0" w:color="DADADA"/>
              <w:right w:val="single" w:sz="4" w:space="0" w:color="DADADA"/>
            </w:tcBorders>
          </w:tcPr>
          <w:p w:rsidR="006C17CB" w:rsidRDefault="0030091C">
            <w:pPr>
              <w:pStyle w:val="TableParagraph"/>
              <w:spacing w:before="50"/>
              <w:ind w:right="70"/>
              <w:rPr>
                <w:sz w:val="18"/>
              </w:rPr>
            </w:pPr>
            <w:r>
              <w:rPr>
                <w:sz w:val="18"/>
              </w:rPr>
              <w:t>62%</w:t>
            </w:r>
          </w:p>
        </w:tc>
        <w:tc>
          <w:tcPr>
            <w:tcW w:w="1232" w:type="dxa"/>
            <w:tcBorders>
              <w:left w:val="single" w:sz="4" w:space="0" w:color="DADADA"/>
              <w:right w:val="single" w:sz="4" w:space="0" w:color="DADADA"/>
            </w:tcBorders>
          </w:tcPr>
          <w:p w:rsidR="006C17CB" w:rsidRDefault="0030091C">
            <w:pPr>
              <w:pStyle w:val="TableParagraph"/>
              <w:spacing w:before="50"/>
              <w:ind w:right="69"/>
              <w:rPr>
                <w:sz w:val="18"/>
              </w:rPr>
            </w:pPr>
            <w:r>
              <w:rPr>
                <w:sz w:val="18"/>
              </w:rPr>
              <w:t>38%</w:t>
            </w:r>
          </w:p>
        </w:tc>
        <w:tc>
          <w:tcPr>
            <w:tcW w:w="1218" w:type="dxa"/>
            <w:tcBorders>
              <w:left w:val="single" w:sz="4" w:space="0" w:color="DADADA"/>
              <w:right w:val="nil"/>
            </w:tcBorders>
          </w:tcPr>
          <w:p w:rsidR="006C17CB" w:rsidRDefault="0030091C">
            <w:pPr>
              <w:pStyle w:val="TableParagraph"/>
              <w:spacing w:before="50"/>
              <w:ind w:right="73"/>
              <w:rPr>
                <w:b/>
                <w:sz w:val="18"/>
              </w:rPr>
            </w:pPr>
            <w:r>
              <w:rPr>
                <w:b/>
                <w:sz w:val="18"/>
              </w:rPr>
              <w:t>100%</w:t>
            </w:r>
          </w:p>
        </w:tc>
      </w:tr>
    </w:tbl>
    <w:p w:rsidR="006C17CB" w:rsidRDefault="006C17CB">
      <w:pPr>
        <w:pStyle w:val="BodyText"/>
        <w:spacing w:before="7"/>
        <w:rPr>
          <w:rFonts w:ascii="Calibri"/>
          <w:i/>
          <w:sz w:val="17"/>
        </w:rPr>
      </w:pPr>
    </w:p>
    <w:p w:rsidR="006C17CB" w:rsidRDefault="0030091C">
      <w:pPr>
        <w:pStyle w:val="BodyText"/>
        <w:ind w:left="153"/>
      </w:pPr>
      <w:r>
        <w:t>The following tables present staffing profile information based on headcount.</w:t>
      </w:r>
    </w:p>
    <w:p w:rsidR="006C17CB" w:rsidRDefault="006C17CB">
      <w:pPr>
        <w:pStyle w:val="BodyText"/>
      </w:pPr>
    </w:p>
    <w:p w:rsidR="006C17CB" w:rsidRDefault="0030091C">
      <w:pPr>
        <w:spacing w:before="183"/>
        <w:ind w:left="157"/>
        <w:rPr>
          <w:rFonts w:ascii="Calibri"/>
          <w:i/>
        </w:rPr>
      </w:pPr>
      <w:r>
        <w:rPr>
          <w:rFonts w:ascii="Calibri"/>
          <w:b/>
          <w:sz w:val="18"/>
        </w:rPr>
        <w:t xml:space="preserve">TABLE 3. </w:t>
      </w:r>
      <w:r>
        <w:rPr>
          <w:rFonts w:ascii="Calibri"/>
          <w:i/>
        </w:rPr>
        <w:t>Classifications</w:t>
      </w:r>
    </w:p>
    <w:p w:rsidR="006C17CB" w:rsidRDefault="006C17CB">
      <w:pPr>
        <w:pStyle w:val="BodyText"/>
        <w:spacing w:before="4"/>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6364"/>
        <w:gridCol w:w="1056"/>
        <w:gridCol w:w="1101"/>
        <w:gridCol w:w="1098"/>
      </w:tblGrid>
      <w:tr w:rsidR="006C17CB">
        <w:trPr>
          <w:trHeight w:val="396"/>
        </w:trPr>
        <w:tc>
          <w:tcPr>
            <w:tcW w:w="6364"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Classification</w:t>
            </w:r>
          </w:p>
        </w:tc>
        <w:tc>
          <w:tcPr>
            <w:tcW w:w="1056" w:type="dxa"/>
            <w:tcBorders>
              <w:top w:val="nil"/>
              <w:bottom w:val="nil"/>
              <w:right w:val="dashed" w:sz="4" w:space="0" w:color="7098D0"/>
            </w:tcBorders>
            <w:shd w:val="clear" w:color="auto" w:fill="89A7D7"/>
          </w:tcPr>
          <w:p w:rsidR="006C17CB" w:rsidRDefault="0030091C">
            <w:pPr>
              <w:pStyle w:val="TableParagraph"/>
              <w:spacing w:before="72"/>
              <w:ind w:right="73"/>
              <w:rPr>
                <w:b/>
                <w:sz w:val="18"/>
              </w:rPr>
            </w:pPr>
            <w:r>
              <w:rPr>
                <w:b/>
                <w:sz w:val="18"/>
              </w:rPr>
              <w:t>Female</w:t>
            </w:r>
          </w:p>
        </w:tc>
        <w:tc>
          <w:tcPr>
            <w:tcW w:w="1101" w:type="dxa"/>
            <w:tcBorders>
              <w:top w:val="nil"/>
              <w:left w:val="dashed" w:sz="4" w:space="0" w:color="7098D0"/>
              <w:bottom w:val="nil"/>
              <w:right w:val="dashed" w:sz="4" w:space="0" w:color="7098D0"/>
            </w:tcBorders>
            <w:shd w:val="clear" w:color="auto" w:fill="89A7D7"/>
          </w:tcPr>
          <w:p w:rsidR="006C17CB" w:rsidRDefault="0030091C">
            <w:pPr>
              <w:pStyle w:val="TableParagraph"/>
              <w:spacing w:before="72"/>
              <w:ind w:right="72"/>
              <w:rPr>
                <w:b/>
                <w:sz w:val="18"/>
              </w:rPr>
            </w:pPr>
            <w:r>
              <w:rPr>
                <w:b/>
                <w:sz w:val="18"/>
              </w:rPr>
              <w:t>Male</w:t>
            </w:r>
          </w:p>
        </w:tc>
        <w:tc>
          <w:tcPr>
            <w:tcW w:w="1098" w:type="dxa"/>
            <w:tcBorders>
              <w:top w:val="nil"/>
              <w:left w:val="dashed" w:sz="4" w:space="0" w:color="7098D0"/>
              <w:bottom w:val="nil"/>
              <w:right w:val="nil"/>
            </w:tcBorders>
            <w:shd w:val="clear" w:color="auto" w:fill="89A7D7"/>
          </w:tcPr>
          <w:p w:rsidR="006C17CB" w:rsidRDefault="0030091C">
            <w:pPr>
              <w:pStyle w:val="TableParagraph"/>
              <w:spacing w:before="72"/>
              <w:ind w:right="77"/>
              <w:rPr>
                <w:b/>
                <w:sz w:val="18"/>
              </w:rPr>
            </w:pPr>
            <w:r>
              <w:rPr>
                <w:b/>
                <w:sz w:val="18"/>
              </w:rPr>
              <w:t>Total</w:t>
            </w:r>
          </w:p>
        </w:tc>
      </w:tr>
      <w:tr w:rsidR="006C17CB">
        <w:trPr>
          <w:trHeight w:val="386"/>
        </w:trPr>
        <w:tc>
          <w:tcPr>
            <w:tcW w:w="6364"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Clerk</w:t>
            </w:r>
          </w:p>
        </w:tc>
        <w:tc>
          <w:tcPr>
            <w:tcW w:w="1056" w:type="dxa"/>
            <w:tcBorders>
              <w:top w:val="nil"/>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0</w:t>
            </w:r>
          </w:p>
        </w:tc>
        <w:tc>
          <w:tcPr>
            <w:tcW w:w="1101" w:type="dxa"/>
            <w:tcBorders>
              <w:top w:val="nil"/>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1</w:t>
            </w:r>
          </w:p>
        </w:tc>
        <w:tc>
          <w:tcPr>
            <w:tcW w:w="1098" w:type="dxa"/>
            <w:tcBorders>
              <w:top w:val="nil"/>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1</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Executive</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1</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1</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2</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SOGA</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0</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4</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SOGB</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2</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1</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3</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SOGC</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10</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2</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12</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SPOC</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1</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0</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1</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ASO6</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13</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2</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15</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PO2</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1</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0</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1</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ITO2</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0</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1</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1</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TO4</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0</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1</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1</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ASO5</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1</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1</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2</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PO1</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1</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0</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1</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ASO4</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8</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1</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9</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ASO3</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0</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1"/>
              <w:ind w:right="72"/>
              <w:rPr>
                <w:sz w:val="18"/>
              </w:rPr>
            </w:pPr>
            <w:r>
              <w:rPr>
                <w:sz w:val="18"/>
              </w:rPr>
              <w:t>1</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1"/>
              <w:ind w:right="77"/>
              <w:rPr>
                <w:b/>
                <w:sz w:val="18"/>
              </w:rPr>
            </w:pPr>
            <w:r>
              <w:rPr>
                <w:b/>
                <w:sz w:val="18"/>
              </w:rPr>
              <w:t>1</w:t>
            </w:r>
          </w:p>
        </w:tc>
      </w:tr>
      <w:tr w:rsidR="006C17CB">
        <w:trPr>
          <w:trHeight w:val="386"/>
        </w:trPr>
        <w:tc>
          <w:tcPr>
            <w:tcW w:w="636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ASO2</w:t>
            </w:r>
          </w:p>
        </w:tc>
        <w:tc>
          <w:tcPr>
            <w:tcW w:w="1056"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3"/>
              <w:rPr>
                <w:sz w:val="18"/>
              </w:rPr>
            </w:pPr>
            <w:r>
              <w:rPr>
                <w:sz w:val="18"/>
              </w:rPr>
              <w:t>1</w:t>
            </w:r>
          </w:p>
        </w:tc>
        <w:tc>
          <w:tcPr>
            <w:tcW w:w="110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1"/>
              <w:ind w:right="72"/>
              <w:rPr>
                <w:sz w:val="18"/>
              </w:rPr>
            </w:pPr>
            <w:r>
              <w:rPr>
                <w:sz w:val="18"/>
              </w:rPr>
              <w:t>8</w:t>
            </w:r>
          </w:p>
        </w:tc>
        <w:tc>
          <w:tcPr>
            <w:tcW w:w="1098" w:type="dxa"/>
            <w:tcBorders>
              <w:top w:val="single" w:sz="4" w:space="0" w:color="000000"/>
              <w:left w:val="dashed" w:sz="4" w:space="0" w:color="7098D0"/>
              <w:bottom w:val="single" w:sz="4" w:space="0" w:color="000000"/>
              <w:right w:val="nil"/>
            </w:tcBorders>
          </w:tcPr>
          <w:p w:rsidR="006C17CB" w:rsidRDefault="0030091C">
            <w:pPr>
              <w:pStyle w:val="TableParagraph"/>
              <w:spacing w:before="51"/>
              <w:ind w:right="77"/>
              <w:rPr>
                <w:b/>
                <w:sz w:val="18"/>
              </w:rPr>
            </w:pPr>
            <w:r>
              <w:rPr>
                <w:b/>
                <w:sz w:val="18"/>
              </w:rPr>
              <w:t>9</w:t>
            </w:r>
          </w:p>
        </w:tc>
      </w:tr>
      <w:tr w:rsidR="006C17CB">
        <w:trPr>
          <w:trHeight w:val="386"/>
        </w:trPr>
        <w:tc>
          <w:tcPr>
            <w:tcW w:w="6364" w:type="dxa"/>
            <w:tcBorders>
              <w:top w:val="single" w:sz="4" w:space="0" w:color="000000"/>
              <w:left w:val="nil"/>
              <w:bottom w:val="single" w:sz="4" w:space="0" w:color="000000"/>
              <w:right w:val="single" w:sz="4" w:space="0" w:color="DADADA"/>
            </w:tcBorders>
            <w:shd w:val="clear" w:color="auto" w:fill="EDEDED"/>
          </w:tcPr>
          <w:p w:rsidR="006C17CB" w:rsidRDefault="0030091C">
            <w:pPr>
              <w:pStyle w:val="TableParagraph"/>
              <w:spacing w:before="50"/>
              <w:ind w:left="79"/>
              <w:jc w:val="left"/>
              <w:rPr>
                <w:b/>
                <w:sz w:val="18"/>
              </w:rPr>
            </w:pPr>
            <w:r>
              <w:rPr>
                <w:b/>
                <w:sz w:val="18"/>
              </w:rPr>
              <w:t>Total</w:t>
            </w:r>
          </w:p>
        </w:tc>
        <w:tc>
          <w:tcPr>
            <w:tcW w:w="1056" w:type="dxa"/>
            <w:tcBorders>
              <w:top w:val="single" w:sz="4" w:space="0" w:color="000000"/>
              <w:left w:val="single" w:sz="4" w:space="0" w:color="DADADA"/>
              <w:bottom w:val="single" w:sz="4" w:space="0" w:color="000000"/>
              <w:right w:val="dashed" w:sz="4" w:space="0" w:color="7098D0"/>
            </w:tcBorders>
            <w:shd w:val="clear" w:color="auto" w:fill="EDEDED"/>
          </w:tcPr>
          <w:p w:rsidR="006C17CB" w:rsidRDefault="0030091C">
            <w:pPr>
              <w:pStyle w:val="TableParagraph"/>
              <w:spacing w:before="51"/>
              <w:ind w:right="73"/>
              <w:rPr>
                <w:b/>
                <w:sz w:val="18"/>
              </w:rPr>
            </w:pPr>
            <w:r>
              <w:rPr>
                <w:b/>
                <w:sz w:val="18"/>
              </w:rPr>
              <w:t>39</w:t>
            </w:r>
          </w:p>
        </w:tc>
        <w:tc>
          <w:tcPr>
            <w:tcW w:w="1101" w:type="dxa"/>
            <w:tcBorders>
              <w:top w:val="single" w:sz="4" w:space="0" w:color="000000"/>
              <w:left w:val="dashed" w:sz="4" w:space="0" w:color="7098D0"/>
              <w:bottom w:val="single" w:sz="4" w:space="0" w:color="000000"/>
              <w:right w:val="dashed" w:sz="4" w:space="0" w:color="7098D0"/>
            </w:tcBorders>
            <w:shd w:val="clear" w:color="auto" w:fill="EDEDED"/>
          </w:tcPr>
          <w:p w:rsidR="006C17CB" w:rsidRDefault="0030091C">
            <w:pPr>
              <w:pStyle w:val="TableParagraph"/>
              <w:spacing w:before="51"/>
              <w:ind w:right="72"/>
              <w:rPr>
                <w:b/>
                <w:sz w:val="18"/>
              </w:rPr>
            </w:pPr>
            <w:r>
              <w:rPr>
                <w:b/>
                <w:sz w:val="18"/>
              </w:rPr>
              <w:t>24</w:t>
            </w:r>
          </w:p>
        </w:tc>
        <w:tc>
          <w:tcPr>
            <w:tcW w:w="1098" w:type="dxa"/>
            <w:tcBorders>
              <w:top w:val="single" w:sz="4" w:space="0" w:color="000000"/>
              <w:left w:val="dashed" w:sz="4" w:space="0" w:color="7098D0"/>
              <w:bottom w:val="single" w:sz="4" w:space="0" w:color="000000"/>
              <w:right w:val="nil"/>
            </w:tcBorders>
            <w:shd w:val="clear" w:color="auto" w:fill="EDEDED"/>
          </w:tcPr>
          <w:p w:rsidR="006C17CB" w:rsidRDefault="0030091C">
            <w:pPr>
              <w:pStyle w:val="TableParagraph"/>
              <w:spacing w:before="51"/>
              <w:ind w:right="77"/>
              <w:rPr>
                <w:b/>
                <w:sz w:val="18"/>
              </w:rPr>
            </w:pPr>
            <w:r>
              <w:rPr>
                <w:b/>
                <w:sz w:val="18"/>
              </w:rPr>
              <w:t>63</w:t>
            </w:r>
          </w:p>
        </w:tc>
      </w:tr>
    </w:tbl>
    <w:p w:rsidR="006C17CB" w:rsidRDefault="006C17CB">
      <w:pPr>
        <w:rPr>
          <w:sz w:val="18"/>
        </w:rPr>
        <w:sectPr w:rsidR="006C17CB">
          <w:pgSz w:w="11910" w:h="16840"/>
          <w:pgMar w:top="1580" w:right="0" w:bottom="720" w:left="980" w:header="0" w:footer="523" w:gutter="0"/>
          <w:cols w:space="720"/>
        </w:sectPr>
      </w:pPr>
    </w:p>
    <w:p w:rsidR="006C17CB" w:rsidRDefault="006C17CB">
      <w:pPr>
        <w:pStyle w:val="BodyText"/>
        <w:rPr>
          <w:rFonts w:ascii="Calibri"/>
          <w:i/>
          <w:sz w:val="20"/>
        </w:rPr>
      </w:pPr>
    </w:p>
    <w:p w:rsidR="006C17CB" w:rsidRDefault="006C17CB">
      <w:pPr>
        <w:pStyle w:val="BodyText"/>
        <w:rPr>
          <w:rFonts w:ascii="Calibri"/>
          <w:i/>
          <w:sz w:val="20"/>
        </w:rPr>
      </w:pPr>
    </w:p>
    <w:p w:rsidR="006C17CB" w:rsidRDefault="006C17CB">
      <w:pPr>
        <w:pStyle w:val="BodyText"/>
        <w:spacing w:before="2"/>
        <w:rPr>
          <w:rFonts w:ascii="Calibri"/>
          <w:i/>
          <w:sz w:val="19"/>
        </w:rPr>
      </w:pPr>
    </w:p>
    <w:p w:rsidR="006C17CB" w:rsidRDefault="0030091C">
      <w:pPr>
        <w:spacing w:before="8"/>
        <w:ind w:left="157"/>
        <w:rPr>
          <w:rFonts w:ascii="Calibri"/>
          <w:i/>
        </w:rPr>
      </w:pPr>
      <w:r>
        <w:rPr>
          <w:rFonts w:ascii="Calibri"/>
          <w:b/>
          <w:sz w:val="18"/>
        </w:rPr>
        <w:t xml:space="preserve">TABLE 4. </w:t>
      </w:r>
      <w:r>
        <w:rPr>
          <w:rFonts w:ascii="Calibri"/>
          <w:i/>
        </w:rPr>
        <w:t>Employment category by gender</w:t>
      </w:r>
    </w:p>
    <w:p w:rsidR="006C17CB" w:rsidRDefault="006C17CB">
      <w:pPr>
        <w:pStyle w:val="BodyText"/>
        <w:spacing w:before="4"/>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6350"/>
        <w:gridCol w:w="1095"/>
        <w:gridCol w:w="1095"/>
        <w:gridCol w:w="1095"/>
      </w:tblGrid>
      <w:tr w:rsidR="006C17CB">
        <w:trPr>
          <w:trHeight w:val="396"/>
        </w:trPr>
        <w:tc>
          <w:tcPr>
            <w:tcW w:w="6350"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Employment category</w:t>
            </w:r>
          </w:p>
        </w:tc>
        <w:tc>
          <w:tcPr>
            <w:tcW w:w="1095" w:type="dxa"/>
            <w:tcBorders>
              <w:top w:val="nil"/>
              <w:bottom w:val="nil"/>
            </w:tcBorders>
            <w:shd w:val="clear" w:color="auto" w:fill="89A7D7"/>
          </w:tcPr>
          <w:p w:rsidR="006C17CB" w:rsidRDefault="0030091C">
            <w:pPr>
              <w:pStyle w:val="TableParagraph"/>
              <w:spacing w:before="72"/>
              <w:ind w:right="69"/>
              <w:rPr>
                <w:b/>
                <w:sz w:val="18"/>
              </w:rPr>
            </w:pPr>
            <w:r>
              <w:rPr>
                <w:b/>
                <w:sz w:val="18"/>
              </w:rPr>
              <w:t>Female</w:t>
            </w:r>
          </w:p>
        </w:tc>
        <w:tc>
          <w:tcPr>
            <w:tcW w:w="1095" w:type="dxa"/>
            <w:tcBorders>
              <w:top w:val="nil"/>
              <w:bottom w:val="nil"/>
            </w:tcBorders>
            <w:shd w:val="clear" w:color="auto" w:fill="89A7D7"/>
          </w:tcPr>
          <w:p w:rsidR="006C17CB" w:rsidRDefault="0030091C">
            <w:pPr>
              <w:pStyle w:val="TableParagraph"/>
              <w:spacing w:before="72"/>
              <w:ind w:right="69"/>
              <w:rPr>
                <w:b/>
                <w:sz w:val="18"/>
              </w:rPr>
            </w:pPr>
            <w:r>
              <w:rPr>
                <w:b/>
                <w:sz w:val="18"/>
              </w:rPr>
              <w:t>Male</w:t>
            </w:r>
          </w:p>
        </w:tc>
        <w:tc>
          <w:tcPr>
            <w:tcW w:w="1095" w:type="dxa"/>
            <w:tcBorders>
              <w:top w:val="nil"/>
              <w:bottom w:val="nil"/>
              <w:right w:val="nil"/>
            </w:tcBorders>
            <w:shd w:val="clear" w:color="auto" w:fill="89A7D7"/>
          </w:tcPr>
          <w:p w:rsidR="006C17CB" w:rsidRDefault="0030091C">
            <w:pPr>
              <w:pStyle w:val="TableParagraph"/>
              <w:spacing w:before="72"/>
              <w:ind w:right="80"/>
              <w:rPr>
                <w:b/>
                <w:sz w:val="18"/>
              </w:rPr>
            </w:pPr>
            <w:r>
              <w:rPr>
                <w:b/>
                <w:sz w:val="18"/>
              </w:rPr>
              <w:t>Total</w:t>
            </w:r>
          </w:p>
        </w:tc>
      </w:tr>
      <w:tr w:rsidR="006C17CB">
        <w:trPr>
          <w:trHeight w:val="386"/>
        </w:trPr>
        <w:tc>
          <w:tcPr>
            <w:tcW w:w="6350"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Permanent full-time</w:t>
            </w:r>
          </w:p>
        </w:tc>
        <w:tc>
          <w:tcPr>
            <w:tcW w:w="1095"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20</w:t>
            </w:r>
          </w:p>
        </w:tc>
        <w:tc>
          <w:tcPr>
            <w:tcW w:w="1095"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5"/>
              <w:rPr>
                <w:sz w:val="18"/>
              </w:rPr>
            </w:pPr>
            <w:r>
              <w:rPr>
                <w:sz w:val="18"/>
              </w:rPr>
              <w:t>14</w:t>
            </w:r>
          </w:p>
        </w:tc>
        <w:tc>
          <w:tcPr>
            <w:tcW w:w="1095" w:type="dxa"/>
            <w:tcBorders>
              <w:top w:val="nil"/>
              <w:left w:val="single" w:sz="4" w:space="0" w:color="DADADA"/>
              <w:bottom w:val="single" w:sz="4" w:space="0" w:color="000000"/>
              <w:right w:val="nil"/>
            </w:tcBorders>
          </w:tcPr>
          <w:p w:rsidR="006C17CB" w:rsidRDefault="0030091C">
            <w:pPr>
              <w:pStyle w:val="TableParagraph"/>
              <w:spacing w:before="50"/>
              <w:ind w:right="80"/>
              <w:rPr>
                <w:b/>
                <w:sz w:val="18"/>
              </w:rPr>
            </w:pPr>
            <w:r>
              <w:rPr>
                <w:b/>
                <w:sz w:val="18"/>
              </w:rPr>
              <w:t>34</w:t>
            </w:r>
          </w:p>
        </w:tc>
      </w:tr>
      <w:tr w:rsidR="006C17CB">
        <w:trPr>
          <w:trHeight w:val="386"/>
        </w:trPr>
        <w:tc>
          <w:tcPr>
            <w:tcW w:w="635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Permanent part-time</w:t>
            </w:r>
          </w:p>
        </w:tc>
        <w:tc>
          <w:tcPr>
            <w:tcW w:w="10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10</w:t>
            </w:r>
          </w:p>
        </w:tc>
        <w:tc>
          <w:tcPr>
            <w:tcW w:w="10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5"/>
              <w:rPr>
                <w:sz w:val="18"/>
              </w:rPr>
            </w:pPr>
            <w:r>
              <w:rPr>
                <w:sz w:val="18"/>
              </w:rPr>
              <w:t>4</w:t>
            </w:r>
          </w:p>
        </w:tc>
        <w:tc>
          <w:tcPr>
            <w:tcW w:w="1095"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0"/>
              <w:rPr>
                <w:b/>
                <w:sz w:val="18"/>
              </w:rPr>
            </w:pPr>
            <w:r>
              <w:rPr>
                <w:b/>
                <w:sz w:val="18"/>
              </w:rPr>
              <w:t>14</w:t>
            </w:r>
          </w:p>
        </w:tc>
      </w:tr>
      <w:tr w:rsidR="006C17CB">
        <w:trPr>
          <w:trHeight w:val="386"/>
        </w:trPr>
        <w:tc>
          <w:tcPr>
            <w:tcW w:w="635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Temporary full-time</w:t>
            </w:r>
          </w:p>
        </w:tc>
        <w:tc>
          <w:tcPr>
            <w:tcW w:w="10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1</w:t>
            </w:r>
          </w:p>
        </w:tc>
        <w:tc>
          <w:tcPr>
            <w:tcW w:w="10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5"/>
              <w:rPr>
                <w:sz w:val="18"/>
              </w:rPr>
            </w:pPr>
            <w:r>
              <w:rPr>
                <w:sz w:val="18"/>
              </w:rPr>
              <w:t>0</w:t>
            </w:r>
          </w:p>
        </w:tc>
        <w:tc>
          <w:tcPr>
            <w:tcW w:w="1095"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1"/>
              <w:rPr>
                <w:b/>
                <w:sz w:val="18"/>
              </w:rPr>
            </w:pPr>
            <w:r>
              <w:rPr>
                <w:b/>
                <w:sz w:val="18"/>
              </w:rPr>
              <w:t>1</w:t>
            </w:r>
          </w:p>
        </w:tc>
      </w:tr>
      <w:tr w:rsidR="006C17CB">
        <w:trPr>
          <w:trHeight w:val="386"/>
        </w:trPr>
        <w:tc>
          <w:tcPr>
            <w:tcW w:w="635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Temporary part-time</w:t>
            </w:r>
          </w:p>
        </w:tc>
        <w:tc>
          <w:tcPr>
            <w:tcW w:w="10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1</w:t>
            </w:r>
          </w:p>
        </w:tc>
        <w:tc>
          <w:tcPr>
            <w:tcW w:w="10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5"/>
              <w:rPr>
                <w:sz w:val="18"/>
              </w:rPr>
            </w:pPr>
            <w:r>
              <w:rPr>
                <w:sz w:val="18"/>
              </w:rPr>
              <w:t>0</w:t>
            </w:r>
          </w:p>
        </w:tc>
        <w:tc>
          <w:tcPr>
            <w:tcW w:w="1095"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1"/>
              <w:rPr>
                <w:b/>
                <w:sz w:val="18"/>
              </w:rPr>
            </w:pPr>
            <w:r>
              <w:rPr>
                <w:b/>
                <w:sz w:val="18"/>
              </w:rPr>
              <w:t>1</w:t>
            </w:r>
          </w:p>
        </w:tc>
      </w:tr>
      <w:tr w:rsidR="006C17CB">
        <w:trPr>
          <w:trHeight w:val="386"/>
        </w:trPr>
        <w:tc>
          <w:tcPr>
            <w:tcW w:w="635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Casual</w:t>
            </w:r>
          </w:p>
        </w:tc>
        <w:tc>
          <w:tcPr>
            <w:tcW w:w="10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7</w:t>
            </w:r>
          </w:p>
        </w:tc>
        <w:tc>
          <w:tcPr>
            <w:tcW w:w="10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5"/>
              <w:rPr>
                <w:sz w:val="18"/>
              </w:rPr>
            </w:pPr>
            <w:r>
              <w:rPr>
                <w:sz w:val="18"/>
              </w:rPr>
              <w:t>6</w:t>
            </w:r>
          </w:p>
        </w:tc>
        <w:tc>
          <w:tcPr>
            <w:tcW w:w="1095"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1"/>
              <w:rPr>
                <w:b/>
                <w:sz w:val="18"/>
              </w:rPr>
            </w:pPr>
            <w:r>
              <w:rPr>
                <w:b/>
                <w:sz w:val="18"/>
              </w:rPr>
              <w:t>13</w:t>
            </w:r>
          </w:p>
        </w:tc>
      </w:tr>
      <w:tr w:rsidR="006C17CB">
        <w:trPr>
          <w:trHeight w:val="386"/>
        </w:trPr>
        <w:tc>
          <w:tcPr>
            <w:tcW w:w="6350" w:type="dxa"/>
            <w:tcBorders>
              <w:top w:val="single" w:sz="4" w:space="0" w:color="000000"/>
              <w:left w:val="nil"/>
              <w:bottom w:val="single" w:sz="4" w:space="0" w:color="000000"/>
              <w:right w:val="nil"/>
            </w:tcBorders>
            <w:shd w:val="clear" w:color="auto" w:fill="EDEDED"/>
          </w:tcPr>
          <w:p w:rsidR="006C17CB" w:rsidRDefault="0030091C">
            <w:pPr>
              <w:pStyle w:val="TableParagraph"/>
              <w:spacing w:before="50"/>
              <w:ind w:left="79"/>
              <w:jc w:val="left"/>
              <w:rPr>
                <w:b/>
                <w:sz w:val="18"/>
              </w:rPr>
            </w:pPr>
            <w:r>
              <w:rPr>
                <w:b/>
                <w:sz w:val="18"/>
              </w:rPr>
              <w:t>Total</w:t>
            </w:r>
          </w:p>
        </w:tc>
        <w:tc>
          <w:tcPr>
            <w:tcW w:w="1095" w:type="dxa"/>
            <w:tcBorders>
              <w:top w:val="single" w:sz="4" w:space="0" w:color="000000"/>
              <w:left w:val="nil"/>
              <w:bottom w:val="single" w:sz="4" w:space="0" w:color="000000"/>
              <w:right w:val="single" w:sz="4" w:space="0" w:color="DADADA"/>
            </w:tcBorders>
            <w:shd w:val="clear" w:color="auto" w:fill="EDEDED"/>
          </w:tcPr>
          <w:p w:rsidR="006C17CB" w:rsidRDefault="0030091C">
            <w:pPr>
              <w:pStyle w:val="TableParagraph"/>
              <w:spacing w:before="50"/>
              <w:ind w:right="74"/>
              <w:rPr>
                <w:b/>
                <w:sz w:val="18"/>
              </w:rPr>
            </w:pPr>
            <w:r>
              <w:rPr>
                <w:b/>
                <w:sz w:val="18"/>
              </w:rPr>
              <w:t>39</w:t>
            </w:r>
          </w:p>
        </w:tc>
        <w:tc>
          <w:tcPr>
            <w:tcW w:w="1095" w:type="dxa"/>
            <w:tcBorders>
              <w:top w:val="single" w:sz="4" w:space="0" w:color="000000"/>
              <w:left w:val="single" w:sz="4" w:space="0" w:color="DADADA"/>
              <w:bottom w:val="single" w:sz="4" w:space="0" w:color="000000"/>
              <w:right w:val="single" w:sz="4" w:space="0" w:color="DADADA"/>
            </w:tcBorders>
            <w:shd w:val="clear" w:color="auto" w:fill="EDEDED"/>
          </w:tcPr>
          <w:p w:rsidR="006C17CB" w:rsidRDefault="0030091C">
            <w:pPr>
              <w:pStyle w:val="TableParagraph"/>
              <w:spacing w:before="50"/>
              <w:ind w:right="75"/>
              <w:rPr>
                <w:b/>
                <w:sz w:val="18"/>
              </w:rPr>
            </w:pPr>
            <w:r>
              <w:rPr>
                <w:b/>
                <w:sz w:val="18"/>
              </w:rPr>
              <w:t>24</w:t>
            </w:r>
          </w:p>
        </w:tc>
        <w:tc>
          <w:tcPr>
            <w:tcW w:w="1095" w:type="dxa"/>
            <w:tcBorders>
              <w:top w:val="single" w:sz="4" w:space="0" w:color="000000"/>
              <w:left w:val="single" w:sz="4" w:space="0" w:color="DADADA"/>
              <w:bottom w:val="single" w:sz="4" w:space="0" w:color="000000"/>
              <w:right w:val="nil"/>
            </w:tcBorders>
            <w:shd w:val="clear" w:color="auto" w:fill="EDEDED"/>
          </w:tcPr>
          <w:p w:rsidR="006C17CB" w:rsidRDefault="0030091C">
            <w:pPr>
              <w:pStyle w:val="TableParagraph"/>
              <w:spacing w:before="50"/>
              <w:ind w:right="81"/>
              <w:rPr>
                <w:b/>
                <w:sz w:val="18"/>
              </w:rPr>
            </w:pPr>
            <w:r>
              <w:rPr>
                <w:b/>
                <w:sz w:val="18"/>
              </w:rPr>
              <w:t>63</w:t>
            </w:r>
          </w:p>
        </w:tc>
      </w:tr>
    </w:tbl>
    <w:p w:rsidR="006C17CB" w:rsidRDefault="006C17CB">
      <w:pPr>
        <w:pStyle w:val="BodyText"/>
        <w:rPr>
          <w:rFonts w:ascii="Calibri"/>
          <w:i/>
        </w:rPr>
      </w:pPr>
    </w:p>
    <w:p w:rsidR="006C17CB" w:rsidRDefault="0030091C">
      <w:pPr>
        <w:spacing w:before="168"/>
        <w:ind w:left="157"/>
        <w:rPr>
          <w:rFonts w:ascii="Calibri"/>
          <w:i/>
        </w:rPr>
      </w:pPr>
      <w:r>
        <w:rPr>
          <w:rFonts w:ascii="Calibri"/>
          <w:b/>
          <w:sz w:val="18"/>
        </w:rPr>
        <w:t xml:space="preserve">TABLE 5. </w:t>
      </w:r>
      <w:r>
        <w:rPr>
          <w:rFonts w:ascii="Calibri"/>
          <w:i/>
        </w:rPr>
        <w:t>Average length of service by age group and gender</w:t>
      </w:r>
    </w:p>
    <w:p w:rsidR="006C17CB" w:rsidRDefault="006C17CB">
      <w:pPr>
        <w:pStyle w:val="BodyText"/>
        <w:spacing w:before="4" w:after="1"/>
        <w:rPr>
          <w:rFonts w:ascii="Calibri"/>
          <w:i/>
          <w:sz w:val="9"/>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960"/>
        <w:gridCol w:w="960"/>
        <w:gridCol w:w="960"/>
        <w:gridCol w:w="960"/>
        <w:gridCol w:w="960"/>
        <w:gridCol w:w="960"/>
        <w:gridCol w:w="960"/>
        <w:gridCol w:w="960"/>
      </w:tblGrid>
      <w:tr w:rsidR="006C17CB">
        <w:trPr>
          <w:trHeight w:val="1020"/>
        </w:trPr>
        <w:tc>
          <w:tcPr>
            <w:tcW w:w="1956" w:type="dxa"/>
            <w:tcBorders>
              <w:top w:val="nil"/>
              <w:left w:val="nil"/>
              <w:bottom w:val="nil"/>
              <w:right w:val="nil"/>
            </w:tcBorders>
            <w:shd w:val="clear" w:color="auto" w:fill="89A7D7"/>
          </w:tcPr>
          <w:p w:rsidR="006C17CB" w:rsidRDefault="006C17CB">
            <w:pPr>
              <w:pStyle w:val="TableParagraph"/>
              <w:jc w:val="left"/>
              <w:rPr>
                <w:i/>
                <w:sz w:val="18"/>
              </w:rPr>
            </w:pPr>
          </w:p>
          <w:p w:rsidR="006C17CB" w:rsidRDefault="006C17CB">
            <w:pPr>
              <w:pStyle w:val="TableParagraph"/>
              <w:spacing w:before="11"/>
              <w:jc w:val="left"/>
              <w:rPr>
                <w:i/>
                <w:sz w:val="19"/>
              </w:rPr>
            </w:pPr>
          </w:p>
          <w:p w:rsidR="006C17CB" w:rsidRDefault="0030091C">
            <w:pPr>
              <w:pStyle w:val="TableParagraph"/>
              <w:spacing w:line="184" w:lineRule="auto"/>
              <w:ind w:left="79" w:right="50"/>
              <w:jc w:val="left"/>
              <w:rPr>
                <w:b/>
                <w:sz w:val="18"/>
              </w:rPr>
            </w:pPr>
            <w:r>
              <w:rPr>
                <w:b/>
                <w:sz w:val="18"/>
              </w:rPr>
              <w:t>Average length of service (years)</w:t>
            </w:r>
          </w:p>
        </w:tc>
        <w:tc>
          <w:tcPr>
            <w:tcW w:w="960" w:type="dxa"/>
            <w:tcBorders>
              <w:top w:val="nil"/>
              <w:left w:val="nil"/>
              <w:bottom w:val="nil"/>
              <w:right w:val="nil"/>
            </w:tcBorders>
            <w:shd w:val="clear" w:color="auto" w:fill="89A7D7"/>
          </w:tcPr>
          <w:p w:rsidR="006C17CB" w:rsidRDefault="006C17CB">
            <w:pPr>
              <w:pStyle w:val="TableParagraph"/>
              <w:spacing w:before="13"/>
              <w:jc w:val="left"/>
              <w:rPr>
                <w:i/>
                <w:sz w:val="23"/>
              </w:rPr>
            </w:pPr>
          </w:p>
          <w:p w:rsidR="006C17CB" w:rsidRDefault="0030091C">
            <w:pPr>
              <w:pStyle w:val="TableParagraph"/>
              <w:spacing w:line="184" w:lineRule="auto"/>
              <w:ind w:left="195" w:right="77" w:firstLine="300"/>
              <w:jc w:val="both"/>
              <w:rPr>
                <w:b/>
                <w:sz w:val="18"/>
              </w:rPr>
            </w:pPr>
            <w:r>
              <w:rPr>
                <w:b/>
                <w:sz w:val="18"/>
              </w:rPr>
              <w:t>Male pre-baby boomer</w:t>
            </w:r>
          </w:p>
        </w:tc>
        <w:tc>
          <w:tcPr>
            <w:tcW w:w="960" w:type="dxa"/>
            <w:tcBorders>
              <w:top w:val="nil"/>
              <w:left w:val="nil"/>
              <w:bottom w:val="nil"/>
              <w:right w:val="nil"/>
            </w:tcBorders>
            <w:shd w:val="clear" w:color="auto" w:fill="89A7D7"/>
          </w:tcPr>
          <w:p w:rsidR="006C17CB" w:rsidRDefault="0030091C">
            <w:pPr>
              <w:pStyle w:val="TableParagraph"/>
              <w:spacing w:before="144" w:line="184" w:lineRule="auto"/>
              <w:ind w:left="79" w:right="77" w:firstLine="413"/>
              <w:rPr>
                <w:b/>
                <w:sz w:val="18"/>
              </w:rPr>
            </w:pPr>
            <w:r>
              <w:rPr>
                <w:b/>
                <w:sz w:val="18"/>
              </w:rPr>
              <w:t>Male baby boomer 1946-1964</w:t>
            </w:r>
          </w:p>
        </w:tc>
        <w:tc>
          <w:tcPr>
            <w:tcW w:w="960" w:type="dxa"/>
            <w:tcBorders>
              <w:top w:val="nil"/>
              <w:left w:val="nil"/>
              <w:bottom w:val="nil"/>
              <w:right w:val="nil"/>
            </w:tcBorders>
            <w:shd w:val="clear" w:color="auto" w:fill="89A7D7"/>
          </w:tcPr>
          <w:p w:rsidR="006C17CB" w:rsidRDefault="0030091C">
            <w:pPr>
              <w:pStyle w:val="TableParagraph"/>
              <w:spacing w:before="144" w:line="184" w:lineRule="auto"/>
              <w:ind w:left="78" w:right="78" w:firstLine="248"/>
              <w:rPr>
                <w:b/>
                <w:sz w:val="18"/>
              </w:rPr>
            </w:pPr>
            <w:r>
              <w:rPr>
                <w:b/>
                <w:sz w:val="18"/>
              </w:rPr>
              <w:t>Female baby boomer 1946-1964</w:t>
            </w:r>
          </w:p>
        </w:tc>
        <w:tc>
          <w:tcPr>
            <w:tcW w:w="960" w:type="dxa"/>
            <w:tcBorders>
              <w:top w:val="nil"/>
              <w:left w:val="nil"/>
              <w:bottom w:val="nil"/>
              <w:right w:val="nil"/>
            </w:tcBorders>
            <w:shd w:val="clear" w:color="auto" w:fill="89A7D7"/>
          </w:tcPr>
          <w:p w:rsidR="006C17CB" w:rsidRDefault="006C17CB">
            <w:pPr>
              <w:pStyle w:val="TableParagraph"/>
              <w:spacing w:before="13"/>
              <w:jc w:val="left"/>
              <w:rPr>
                <w:i/>
                <w:sz w:val="23"/>
              </w:rPr>
            </w:pPr>
          </w:p>
          <w:p w:rsidR="006C17CB" w:rsidRDefault="0030091C">
            <w:pPr>
              <w:pStyle w:val="TableParagraph"/>
              <w:spacing w:line="184" w:lineRule="auto"/>
              <w:ind w:left="87" w:right="80" w:firstLine="406"/>
              <w:rPr>
                <w:b/>
                <w:sz w:val="18"/>
              </w:rPr>
            </w:pPr>
            <w:r>
              <w:rPr>
                <w:b/>
                <w:sz w:val="18"/>
              </w:rPr>
              <w:t>Male gen X 1965-1979</w:t>
            </w:r>
          </w:p>
        </w:tc>
        <w:tc>
          <w:tcPr>
            <w:tcW w:w="960" w:type="dxa"/>
            <w:tcBorders>
              <w:top w:val="nil"/>
              <w:left w:val="nil"/>
              <w:bottom w:val="nil"/>
              <w:right w:val="nil"/>
            </w:tcBorders>
            <w:shd w:val="clear" w:color="auto" w:fill="89A7D7"/>
          </w:tcPr>
          <w:p w:rsidR="006C17CB" w:rsidRDefault="006C17CB">
            <w:pPr>
              <w:pStyle w:val="TableParagraph"/>
              <w:spacing w:before="13"/>
              <w:jc w:val="left"/>
              <w:rPr>
                <w:i/>
                <w:sz w:val="23"/>
              </w:rPr>
            </w:pPr>
          </w:p>
          <w:p w:rsidR="006C17CB" w:rsidRDefault="0030091C">
            <w:pPr>
              <w:pStyle w:val="TableParagraph"/>
              <w:spacing w:line="184" w:lineRule="auto"/>
              <w:ind w:left="87" w:right="80" w:firstLine="247"/>
              <w:rPr>
                <w:b/>
                <w:sz w:val="18"/>
              </w:rPr>
            </w:pPr>
            <w:r>
              <w:rPr>
                <w:b/>
                <w:sz w:val="18"/>
              </w:rPr>
              <w:t>Female gen X 1965-1979</w:t>
            </w:r>
          </w:p>
        </w:tc>
        <w:tc>
          <w:tcPr>
            <w:tcW w:w="960" w:type="dxa"/>
            <w:tcBorders>
              <w:top w:val="nil"/>
              <w:left w:val="nil"/>
              <w:bottom w:val="nil"/>
              <w:right w:val="nil"/>
            </w:tcBorders>
            <w:shd w:val="clear" w:color="auto" w:fill="89A7D7"/>
          </w:tcPr>
          <w:p w:rsidR="006C17CB" w:rsidRDefault="006C17CB">
            <w:pPr>
              <w:pStyle w:val="TableParagraph"/>
              <w:spacing w:before="13"/>
              <w:jc w:val="left"/>
              <w:rPr>
                <w:i/>
                <w:sz w:val="23"/>
              </w:rPr>
            </w:pPr>
          </w:p>
          <w:p w:rsidR="006C17CB" w:rsidRDefault="0030091C">
            <w:pPr>
              <w:pStyle w:val="TableParagraph"/>
              <w:spacing w:line="184" w:lineRule="auto"/>
              <w:ind w:left="80" w:right="81" w:firstLine="412"/>
              <w:rPr>
                <w:b/>
                <w:sz w:val="18"/>
              </w:rPr>
            </w:pPr>
            <w:r>
              <w:rPr>
                <w:b/>
                <w:sz w:val="18"/>
              </w:rPr>
              <w:t>Male gen Y 1980-1993</w:t>
            </w:r>
          </w:p>
        </w:tc>
        <w:tc>
          <w:tcPr>
            <w:tcW w:w="960" w:type="dxa"/>
            <w:tcBorders>
              <w:top w:val="nil"/>
              <w:left w:val="nil"/>
              <w:bottom w:val="nil"/>
              <w:right w:val="nil"/>
            </w:tcBorders>
            <w:shd w:val="clear" w:color="auto" w:fill="89A7D7"/>
          </w:tcPr>
          <w:p w:rsidR="006C17CB" w:rsidRDefault="006C17CB">
            <w:pPr>
              <w:pStyle w:val="TableParagraph"/>
              <w:spacing w:before="13"/>
              <w:jc w:val="left"/>
              <w:rPr>
                <w:i/>
                <w:sz w:val="23"/>
              </w:rPr>
            </w:pPr>
          </w:p>
          <w:p w:rsidR="006C17CB" w:rsidRDefault="0030091C">
            <w:pPr>
              <w:pStyle w:val="TableParagraph"/>
              <w:spacing w:line="184" w:lineRule="auto"/>
              <w:ind w:left="80" w:right="81" w:firstLine="253"/>
              <w:rPr>
                <w:b/>
                <w:sz w:val="18"/>
              </w:rPr>
            </w:pPr>
            <w:r>
              <w:rPr>
                <w:b/>
                <w:sz w:val="18"/>
              </w:rPr>
              <w:t>Female gen Y 1980-1993</w:t>
            </w:r>
          </w:p>
        </w:tc>
        <w:tc>
          <w:tcPr>
            <w:tcW w:w="960" w:type="dxa"/>
            <w:tcBorders>
              <w:top w:val="nil"/>
              <w:left w:val="nil"/>
              <w:bottom w:val="nil"/>
              <w:right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4"/>
              <w:jc w:val="left"/>
              <w:rPr>
                <w:i/>
                <w:sz w:val="12"/>
              </w:rPr>
            </w:pPr>
          </w:p>
          <w:p w:rsidR="006C17CB" w:rsidRDefault="0030091C">
            <w:pPr>
              <w:pStyle w:val="TableParagraph"/>
              <w:ind w:right="81"/>
              <w:rPr>
                <w:b/>
                <w:sz w:val="18"/>
              </w:rPr>
            </w:pPr>
            <w:r>
              <w:rPr>
                <w:b/>
                <w:sz w:val="18"/>
              </w:rPr>
              <w:t>Total</w:t>
            </w:r>
          </w:p>
        </w:tc>
      </w:tr>
      <w:tr w:rsidR="006C17CB">
        <w:trPr>
          <w:trHeight w:val="386"/>
        </w:trPr>
        <w:tc>
          <w:tcPr>
            <w:tcW w:w="1956" w:type="dxa"/>
            <w:tcBorders>
              <w:top w:val="nil"/>
              <w:left w:val="nil"/>
              <w:right w:val="single" w:sz="4" w:space="0" w:color="DADADA"/>
            </w:tcBorders>
          </w:tcPr>
          <w:p w:rsidR="006C17CB" w:rsidRDefault="0030091C">
            <w:pPr>
              <w:pStyle w:val="TableParagraph"/>
              <w:spacing w:before="50"/>
              <w:ind w:left="79"/>
              <w:jc w:val="left"/>
              <w:rPr>
                <w:sz w:val="18"/>
              </w:rPr>
            </w:pPr>
            <w:r>
              <w:rPr>
                <w:sz w:val="18"/>
              </w:rPr>
              <w:t>0-2</w:t>
            </w:r>
          </w:p>
        </w:tc>
        <w:tc>
          <w:tcPr>
            <w:tcW w:w="960" w:type="dxa"/>
            <w:tcBorders>
              <w:top w:val="nil"/>
              <w:left w:val="single" w:sz="4" w:space="0" w:color="DADADA"/>
              <w:right w:val="single" w:sz="4" w:space="0" w:color="DADADA"/>
            </w:tcBorders>
          </w:tcPr>
          <w:p w:rsidR="006C17CB" w:rsidRDefault="0030091C">
            <w:pPr>
              <w:pStyle w:val="TableParagraph"/>
              <w:spacing w:before="50"/>
              <w:ind w:right="73"/>
              <w:rPr>
                <w:sz w:val="18"/>
              </w:rPr>
            </w:pPr>
            <w:r>
              <w:rPr>
                <w:sz w:val="18"/>
              </w:rPr>
              <w:t>0</w:t>
            </w:r>
          </w:p>
        </w:tc>
        <w:tc>
          <w:tcPr>
            <w:tcW w:w="960" w:type="dxa"/>
            <w:tcBorders>
              <w:top w:val="nil"/>
              <w:left w:val="single" w:sz="4" w:space="0" w:color="DADADA"/>
              <w:right w:val="single" w:sz="4" w:space="0" w:color="DADADA"/>
            </w:tcBorders>
          </w:tcPr>
          <w:p w:rsidR="006C17CB" w:rsidRDefault="0030091C">
            <w:pPr>
              <w:pStyle w:val="TableParagraph"/>
              <w:spacing w:before="50"/>
              <w:ind w:right="74"/>
              <w:rPr>
                <w:sz w:val="18"/>
              </w:rPr>
            </w:pPr>
            <w:r>
              <w:rPr>
                <w:sz w:val="18"/>
              </w:rPr>
              <w:t>3</w:t>
            </w:r>
          </w:p>
        </w:tc>
        <w:tc>
          <w:tcPr>
            <w:tcW w:w="960" w:type="dxa"/>
            <w:tcBorders>
              <w:top w:val="nil"/>
              <w:left w:val="single" w:sz="4" w:space="0" w:color="DADADA"/>
              <w:right w:val="single" w:sz="4" w:space="0" w:color="DADADA"/>
            </w:tcBorders>
          </w:tcPr>
          <w:p w:rsidR="006C17CB" w:rsidRDefault="0030091C">
            <w:pPr>
              <w:pStyle w:val="TableParagraph"/>
              <w:spacing w:before="50"/>
              <w:ind w:right="74"/>
              <w:rPr>
                <w:sz w:val="18"/>
              </w:rPr>
            </w:pPr>
            <w:r>
              <w:rPr>
                <w:sz w:val="18"/>
              </w:rPr>
              <w:t>1</w:t>
            </w:r>
          </w:p>
        </w:tc>
        <w:tc>
          <w:tcPr>
            <w:tcW w:w="960" w:type="dxa"/>
            <w:tcBorders>
              <w:top w:val="nil"/>
              <w:left w:val="single" w:sz="4" w:space="0" w:color="DADADA"/>
              <w:right w:val="single" w:sz="4" w:space="0" w:color="DADADA"/>
            </w:tcBorders>
          </w:tcPr>
          <w:p w:rsidR="006C17CB" w:rsidRDefault="0030091C">
            <w:pPr>
              <w:pStyle w:val="TableParagraph"/>
              <w:spacing w:before="50"/>
              <w:ind w:right="75"/>
              <w:rPr>
                <w:sz w:val="18"/>
              </w:rPr>
            </w:pPr>
            <w:r>
              <w:rPr>
                <w:sz w:val="18"/>
              </w:rPr>
              <w:t>1</w:t>
            </w:r>
          </w:p>
        </w:tc>
        <w:tc>
          <w:tcPr>
            <w:tcW w:w="960" w:type="dxa"/>
            <w:tcBorders>
              <w:top w:val="nil"/>
              <w:left w:val="single" w:sz="4" w:space="0" w:color="DADADA"/>
              <w:right w:val="single" w:sz="4" w:space="0" w:color="DADADA"/>
            </w:tcBorders>
          </w:tcPr>
          <w:p w:rsidR="006C17CB" w:rsidRDefault="0030091C">
            <w:pPr>
              <w:pStyle w:val="TableParagraph"/>
              <w:spacing w:before="50"/>
              <w:ind w:right="75"/>
              <w:rPr>
                <w:sz w:val="18"/>
              </w:rPr>
            </w:pPr>
            <w:r>
              <w:rPr>
                <w:sz w:val="18"/>
              </w:rPr>
              <w:t>7</w:t>
            </w:r>
          </w:p>
        </w:tc>
        <w:tc>
          <w:tcPr>
            <w:tcW w:w="960" w:type="dxa"/>
            <w:tcBorders>
              <w:top w:val="nil"/>
              <w:left w:val="single" w:sz="4" w:space="0" w:color="DADADA"/>
              <w:right w:val="single" w:sz="4" w:space="0" w:color="DADADA"/>
            </w:tcBorders>
          </w:tcPr>
          <w:p w:rsidR="006C17CB" w:rsidRDefault="0030091C">
            <w:pPr>
              <w:pStyle w:val="TableParagraph"/>
              <w:spacing w:before="50"/>
              <w:ind w:right="76"/>
              <w:rPr>
                <w:sz w:val="18"/>
              </w:rPr>
            </w:pPr>
            <w:r>
              <w:rPr>
                <w:sz w:val="18"/>
              </w:rPr>
              <w:t>2</w:t>
            </w:r>
          </w:p>
        </w:tc>
        <w:tc>
          <w:tcPr>
            <w:tcW w:w="960" w:type="dxa"/>
            <w:tcBorders>
              <w:top w:val="nil"/>
              <w:left w:val="single" w:sz="4" w:space="0" w:color="DADADA"/>
              <w:right w:val="single" w:sz="4" w:space="0" w:color="DADADA"/>
            </w:tcBorders>
          </w:tcPr>
          <w:p w:rsidR="006C17CB" w:rsidRDefault="0030091C">
            <w:pPr>
              <w:pStyle w:val="TableParagraph"/>
              <w:spacing w:before="50"/>
              <w:ind w:right="76"/>
              <w:rPr>
                <w:sz w:val="18"/>
              </w:rPr>
            </w:pPr>
            <w:r>
              <w:rPr>
                <w:sz w:val="18"/>
              </w:rPr>
              <w:t>4</w:t>
            </w:r>
          </w:p>
        </w:tc>
        <w:tc>
          <w:tcPr>
            <w:tcW w:w="960" w:type="dxa"/>
            <w:tcBorders>
              <w:top w:val="nil"/>
              <w:left w:val="single" w:sz="4" w:space="0" w:color="DADADA"/>
              <w:right w:val="nil"/>
            </w:tcBorders>
          </w:tcPr>
          <w:p w:rsidR="006C17CB" w:rsidRDefault="0030091C">
            <w:pPr>
              <w:pStyle w:val="TableParagraph"/>
              <w:spacing w:before="50"/>
              <w:ind w:right="81"/>
              <w:rPr>
                <w:b/>
                <w:sz w:val="18"/>
              </w:rPr>
            </w:pPr>
            <w:r>
              <w:rPr>
                <w:b/>
                <w:sz w:val="18"/>
              </w:rPr>
              <w:t>18</w:t>
            </w:r>
          </w:p>
        </w:tc>
      </w:tr>
      <w:tr w:rsidR="006C17CB">
        <w:trPr>
          <w:trHeight w:val="386"/>
        </w:trPr>
        <w:tc>
          <w:tcPr>
            <w:tcW w:w="1956" w:type="dxa"/>
            <w:tcBorders>
              <w:left w:val="nil"/>
              <w:right w:val="single" w:sz="4" w:space="0" w:color="DADADA"/>
            </w:tcBorders>
          </w:tcPr>
          <w:p w:rsidR="006C17CB" w:rsidRDefault="0030091C">
            <w:pPr>
              <w:pStyle w:val="TableParagraph"/>
              <w:spacing w:before="50"/>
              <w:ind w:left="79"/>
              <w:jc w:val="left"/>
              <w:rPr>
                <w:sz w:val="18"/>
              </w:rPr>
            </w:pPr>
            <w:r>
              <w:rPr>
                <w:sz w:val="18"/>
              </w:rPr>
              <w:t>3-4</w:t>
            </w:r>
          </w:p>
        </w:tc>
        <w:tc>
          <w:tcPr>
            <w:tcW w:w="960" w:type="dxa"/>
            <w:tcBorders>
              <w:left w:val="single" w:sz="4" w:space="0" w:color="DADADA"/>
              <w:right w:val="single" w:sz="4" w:space="0" w:color="DADADA"/>
            </w:tcBorders>
          </w:tcPr>
          <w:p w:rsidR="006C17CB" w:rsidRDefault="0030091C">
            <w:pPr>
              <w:pStyle w:val="TableParagraph"/>
              <w:spacing w:before="50"/>
              <w:ind w:right="74"/>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4"/>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4"/>
              <w:rPr>
                <w:sz w:val="18"/>
              </w:rPr>
            </w:pPr>
            <w:r>
              <w:rPr>
                <w:sz w:val="18"/>
              </w:rPr>
              <w:t>1</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1</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2</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2</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1</w:t>
            </w:r>
          </w:p>
        </w:tc>
        <w:tc>
          <w:tcPr>
            <w:tcW w:w="960" w:type="dxa"/>
            <w:tcBorders>
              <w:left w:val="single" w:sz="4" w:space="0" w:color="DADADA"/>
              <w:right w:val="nil"/>
            </w:tcBorders>
          </w:tcPr>
          <w:p w:rsidR="006C17CB" w:rsidRDefault="0030091C">
            <w:pPr>
              <w:pStyle w:val="TableParagraph"/>
              <w:spacing w:before="50"/>
              <w:ind w:right="82"/>
              <w:rPr>
                <w:b/>
                <w:sz w:val="18"/>
              </w:rPr>
            </w:pPr>
            <w:r>
              <w:rPr>
                <w:b/>
                <w:sz w:val="18"/>
              </w:rPr>
              <w:t>7</w:t>
            </w:r>
          </w:p>
        </w:tc>
      </w:tr>
      <w:tr w:rsidR="006C17CB">
        <w:trPr>
          <w:trHeight w:val="386"/>
        </w:trPr>
        <w:tc>
          <w:tcPr>
            <w:tcW w:w="1956" w:type="dxa"/>
            <w:tcBorders>
              <w:left w:val="nil"/>
              <w:right w:val="single" w:sz="4" w:space="0" w:color="DADADA"/>
            </w:tcBorders>
          </w:tcPr>
          <w:p w:rsidR="006C17CB" w:rsidRDefault="0030091C">
            <w:pPr>
              <w:pStyle w:val="TableParagraph"/>
              <w:spacing w:before="50"/>
              <w:ind w:left="79"/>
              <w:jc w:val="left"/>
              <w:rPr>
                <w:sz w:val="18"/>
              </w:rPr>
            </w:pPr>
            <w:r>
              <w:rPr>
                <w:sz w:val="18"/>
              </w:rPr>
              <w:t>5-6</w:t>
            </w:r>
          </w:p>
        </w:tc>
        <w:tc>
          <w:tcPr>
            <w:tcW w:w="960" w:type="dxa"/>
            <w:tcBorders>
              <w:left w:val="single" w:sz="4" w:space="0" w:color="DADADA"/>
              <w:right w:val="single" w:sz="4" w:space="0" w:color="DADADA"/>
            </w:tcBorders>
          </w:tcPr>
          <w:p w:rsidR="006C17CB" w:rsidRDefault="0030091C">
            <w:pPr>
              <w:pStyle w:val="TableParagraph"/>
              <w:spacing w:before="50"/>
              <w:ind w:right="74"/>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4"/>
              <w:rPr>
                <w:sz w:val="18"/>
              </w:rPr>
            </w:pPr>
            <w:r>
              <w:rPr>
                <w:sz w:val="18"/>
              </w:rPr>
              <w:t>3</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1</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4</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0</w:t>
            </w:r>
          </w:p>
        </w:tc>
        <w:tc>
          <w:tcPr>
            <w:tcW w:w="960" w:type="dxa"/>
            <w:tcBorders>
              <w:left w:val="single" w:sz="4" w:space="0" w:color="DADADA"/>
              <w:right w:val="nil"/>
            </w:tcBorders>
          </w:tcPr>
          <w:p w:rsidR="006C17CB" w:rsidRDefault="0030091C">
            <w:pPr>
              <w:pStyle w:val="TableParagraph"/>
              <w:spacing w:before="50"/>
              <w:ind w:right="82"/>
              <w:rPr>
                <w:b/>
                <w:sz w:val="18"/>
              </w:rPr>
            </w:pPr>
            <w:r>
              <w:rPr>
                <w:b/>
                <w:sz w:val="18"/>
              </w:rPr>
              <w:t>8</w:t>
            </w:r>
          </w:p>
        </w:tc>
      </w:tr>
      <w:tr w:rsidR="006C17CB">
        <w:trPr>
          <w:trHeight w:val="386"/>
        </w:trPr>
        <w:tc>
          <w:tcPr>
            <w:tcW w:w="1956" w:type="dxa"/>
            <w:tcBorders>
              <w:left w:val="nil"/>
              <w:right w:val="single" w:sz="4" w:space="0" w:color="DADADA"/>
            </w:tcBorders>
          </w:tcPr>
          <w:p w:rsidR="006C17CB" w:rsidRDefault="0030091C">
            <w:pPr>
              <w:pStyle w:val="TableParagraph"/>
              <w:spacing w:before="50"/>
              <w:ind w:left="78"/>
              <w:jc w:val="left"/>
              <w:rPr>
                <w:sz w:val="18"/>
              </w:rPr>
            </w:pPr>
            <w:r>
              <w:rPr>
                <w:sz w:val="18"/>
              </w:rPr>
              <w:t>7-8</w:t>
            </w:r>
          </w:p>
        </w:tc>
        <w:tc>
          <w:tcPr>
            <w:tcW w:w="960" w:type="dxa"/>
            <w:tcBorders>
              <w:left w:val="single" w:sz="4" w:space="0" w:color="DADADA"/>
              <w:right w:val="single" w:sz="4" w:space="0" w:color="DADADA"/>
            </w:tcBorders>
          </w:tcPr>
          <w:p w:rsidR="006C17CB" w:rsidRDefault="0030091C">
            <w:pPr>
              <w:pStyle w:val="TableParagraph"/>
              <w:spacing w:before="50"/>
              <w:ind w:right="74"/>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4"/>
              <w:rPr>
                <w:sz w:val="18"/>
              </w:rPr>
            </w:pPr>
            <w:r>
              <w:rPr>
                <w:sz w:val="18"/>
              </w:rPr>
              <w:t>2</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1</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7"/>
              <w:rPr>
                <w:sz w:val="18"/>
              </w:rPr>
            </w:pPr>
            <w:r>
              <w:rPr>
                <w:sz w:val="18"/>
              </w:rPr>
              <w:t>0</w:t>
            </w:r>
          </w:p>
        </w:tc>
        <w:tc>
          <w:tcPr>
            <w:tcW w:w="960" w:type="dxa"/>
            <w:tcBorders>
              <w:left w:val="single" w:sz="4" w:space="0" w:color="DADADA"/>
              <w:right w:val="nil"/>
            </w:tcBorders>
          </w:tcPr>
          <w:p w:rsidR="006C17CB" w:rsidRDefault="0030091C">
            <w:pPr>
              <w:pStyle w:val="TableParagraph"/>
              <w:spacing w:before="50"/>
              <w:ind w:right="82"/>
              <w:rPr>
                <w:b/>
                <w:sz w:val="18"/>
              </w:rPr>
            </w:pPr>
            <w:r>
              <w:rPr>
                <w:b/>
                <w:sz w:val="18"/>
              </w:rPr>
              <w:t>3</w:t>
            </w:r>
          </w:p>
        </w:tc>
      </w:tr>
      <w:tr w:rsidR="006C17CB">
        <w:trPr>
          <w:trHeight w:val="386"/>
        </w:trPr>
        <w:tc>
          <w:tcPr>
            <w:tcW w:w="1956" w:type="dxa"/>
            <w:tcBorders>
              <w:left w:val="nil"/>
              <w:right w:val="single" w:sz="4" w:space="0" w:color="DADADA"/>
            </w:tcBorders>
          </w:tcPr>
          <w:p w:rsidR="006C17CB" w:rsidRDefault="0030091C">
            <w:pPr>
              <w:pStyle w:val="TableParagraph"/>
              <w:spacing w:before="50"/>
              <w:ind w:left="78"/>
              <w:jc w:val="left"/>
              <w:rPr>
                <w:sz w:val="18"/>
              </w:rPr>
            </w:pPr>
            <w:r>
              <w:rPr>
                <w:sz w:val="18"/>
              </w:rPr>
              <w:t>9-10</w:t>
            </w:r>
          </w:p>
        </w:tc>
        <w:tc>
          <w:tcPr>
            <w:tcW w:w="960" w:type="dxa"/>
            <w:tcBorders>
              <w:left w:val="single" w:sz="4" w:space="0" w:color="DADADA"/>
              <w:right w:val="single" w:sz="4" w:space="0" w:color="DADADA"/>
            </w:tcBorders>
          </w:tcPr>
          <w:p w:rsidR="006C17CB" w:rsidRDefault="0030091C">
            <w:pPr>
              <w:pStyle w:val="TableParagraph"/>
              <w:spacing w:before="50"/>
              <w:ind w:right="74"/>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1</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1</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1</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3</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7"/>
              <w:rPr>
                <w:sz w:val="18"/>
              </w:rPr>
            </w:pPr>
            <w:r>
              <w:rPr>
                <w:sz w:val="18"/>
              </w:rPr>
              <w:t>1</w:t>
            </w:r>
          </w:p>
        </w:tc>
        <w:tc>
          <w:tcPr>
            <w:tcW w:w="960" w:type="dxa"/>
            <w:tcBorders>
              <w:left w:val="single" w:sz="4" w:space="0" w:color="DADADA"/>
              <w:right w:val="nil"/>
            </w:tcBorders>
          </w:tcPr>
          <w:p w:rsidR="006C17CB" w:rsidRDefault="0030091C">
            <w:pPr>
              <w:pStyle w:val="TableParagraph"/>
              <w:spacing w:before="50"/>
              <w:ind w:right="82"/>
              <w:rPr>
                <w:b/>
                <w:sz w:val="18"/>
              </w:rPr>
            </w:pPr>
            <w:r>
              <w:rPr>
                <w:b/>
                <w:sz w:val="18"/>
              </w:rPr>
              <w:t>7</w:t>
            </w:r>
          </w:p>
        </w:tc>
      </w:tr>
      <w:tr w:rsidR="006C17CB">
        <w:trPr>
          <w:trHeight w:val="386"/>
        </w:trPr>
        <w:tc>
          <w:tcPr>
            <w:tcW w:w="1956" w:type="dxa"/>
            <w:tcBorders>
              <w:left w:val="nil"/>
              <w:right w:val="single" w:sz="4" w:space="0" w:color="DADADA"/>
            </w:tcBorders>
          </w:tcPr>
          <w:p w:rsidR="006C17CB" w:rsidRDefault="0030091C">
            <w:pPr>
              <w:pStyle w:val="TableParagraph"/>
              <w:spacing w:before="50"/>
              <w:ind w:left="78"/>
              <w:jc w:val="left"/>
              <w:rPr>
                <w:sz w:val="18"/>
              </w:rPr>
            </w:pPr>
            <w:r>
              <w:rPr>
                <w:sz w:val="18"/>
              </w:rPr>
              <w:t>11-12</w:t>
            </w:r>
          </w:p>
        </w:tc>
        <w:tc>
          <w:tcPr>
            <w:tcW w:w="960" w:type="dxa"/>
            <w:tcBorders>
              <w:left w:val="single" w:sz="4" w:space="0" w:color="DADADA"/>
              <w:right w:val="single" w:sz="4" w:space="0" w:color="DADADA"/>
            </w:tcBorders>
          </w:tcPr>
          <w:p w:rsidR="006C17CB" w:rsidRDefault="0030091C">
            <w:pPr>
              <w:pStyle w:val="TableParagraph"/>
              <w:spacing w:before="50"/>
              <w:ind w:right="74"/>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4</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1</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7"/>
              <w:rPr>
                <w:sz w:val="18"/>
              </w:rPr>
            </w:pPr>
            <w:r>
              <w:rPr>
                <w:sz w:val="18"/>
              </w:rPr>
              <w:t>0</w:t>
            </w:r>
          </w:p>
        </w:tc>
        <w:tc>
          <w:tcPr>
            <w:tcW w:w="960" w:type="dxa"/>
            <w:tcBorders>
              <w:left w:val="single" w:sz="4" w:space="0" w:color="DADADA"/>
              <w:right w:val="nil"/>
            </w:tcBorders>
          </w:tcPr>
          <w:p w:rsidR="006C17CB" w:rsidRDefault="0030091C">
            <w:pPr>
              <w:pStyle w:val="TableParagraph"/>
              <w:spacing w:before="50"/>
              <w:ind w:right="82"/>
              <w:rPr>
                <w:b/>
                <w:sz w:val="18"/>
              </w:rPr>
            </w:pPr>
            <w:r>
              <w:rPr>
                <w:b/>
                <w:sz w:val="18"/>
              </w:rPr>
              <w:t>5</w:t>
            </w:r>
          </w:p>
        </w:tc>
      </w:tr>
      <w:tr w:rsidR="006C17CB">
        <w:trPr>
          <w:trHeight w:val="386"/>
        </w:trPr>
        <w:tc>
          <w:tcPr>
            <w:tcW w:w="1956" w:type="dxa"/>
            <w:tcBorders>
              <w:left w:val="nil"/>
              <w:right w:val="single" w:sz="4" w:space="0" w:color="DADADA"/>
            </w:tcBorders>
          </w:tcPr>
          <w:p w:rsidR="006C17CB" w:rsidRDefault="0030091C">
            <w:pPr>
              <w:pStyle w:val="TableParagraph"/>
              <w:spacing w:before="50"/>
              <w:ind w:left="78"/>
              <w:jc w:val="left"/>
              <w:rPr>
                <w:sz w:val="18"/>
              </w:rPr>
            </w:pPr>
            <w:r>
              <w:rPr>
                <w:sz w:val="18"/>
              </w:rPr>
              <w:t>13-14</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1</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1</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2</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1</w:t>
            </w:r>
          </w:p>
        </w:tc>
        <w:tc>
          <w:tcPr>
            <w:tcW w:w="960" w:type="dxa"/>
            <w:tcBorders>
              <w:left w:val="single" w:sz="4" w:space="0" w:color="DADADA"/>
              <w:right w:val="single" w:sz="4" w:space="0" w:color="DADADA"/>
            </w:tcBorders>
          </w:tcPr>
          <w:p w:rsidR="006C17CB" w:rsidRDefault="0030091C">
            <w:pPr>
              <w:pStyle w:val="TableParagraph"/>
              <w:spacing w:before="50"/>
              <w:ind w:right="77"/>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7"/>
              <w:rPr>
                <w:sz w:val="18"/>
              </w:rPr>
            </w:pPr>
            <w:r>
              <w:rPr>
                <w:sz w:val="18"/>
              </w:rPr>
              <w:t>0</w:t>
            </w:r>
          </w:p>
        </w:tc>
        <w:tc>
          <w:tcPr>
            <w:tcW w:w="960" w:type="dxa"/>
            <w:tcBorders>
              <w:left w:val="single" w:sz="4" w:space="0" w:color="DADADA"/>
              <w:right w:val="nil"/>
            </w:tcBorders>
          </w:tcPr>
          <w:p w:rsidR="006C17CB" w:rsidRDefault="0030091C">
            <w:pPr>
              <w:pStyle w:val="TableParagraph"/>
              <w:spacing w:before="50"/>
              <w:ind w:right="82"/>
              <w:rPr>
                <w:b/>
                <w:sz w:val="18"/>
              </w:rPr>
            </w:pPr>
            <w:r>
              <w:rPr>
                <w:b/>
                <w:sz w:val="18"/>
              </w:rPr>
              <w:t>5</w:t>
            </w:r>
          </w:p>
        </w:tc>
      </w:tr>
      <w:tr w:rsidR="006C17CB">
        <w:trPr>
          <w:trHeight w:val="386"/>
        </w:trPr>
        <w:tc>
          <w:tcPr>
            <w:tcW w:w="1956" w:type="dxa"/>
            <w:tcBorders>
              <w:left w:val="nil"/>
              <w:right w:val="single" w:sz="4" w:space="0" w:color="DADADA"/>
            </w:tcBorders>
          </w:tcPr>
          <w:p w:rsidR="006C17CB" w:rsidRDefault="0030091C">
            <w:pPr>
              <w:pStyle w:val="TableParagraph"/>
              <w:spacing w:before="50"/>
              <w:ind w:left="78"/>
              <w:jc w:val="left"/>
              <w:rPr>
                <w:sz w:val="18"/>
              </w:rPr>
            </w:pPr>
            <w:r>
              <w:rPr>
                <w:sz w:val="18"/>
              </w:rPr>
              <w:t>14+</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5"/>
              <w:rPr>
                <w:sz w:val="18"/>
              </w:rPr>
            </w:pPr>
            <w:r>
              <w:rPr>
                <w:sz w:val="18"/>
              </w:rPr>
              <w:t>4</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3</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1</w:t>
            </w:r>
          </w:p>
        </w:tc>
        <w:tc>
          <w:tcPr>
            <w:tcW w:w="960" w:type="dxa"/>
            <w:tcBorders>
              <w:left w:val="single" w:sz="4" w:space="0" w:color="DADADA"/>
              <w:right w:val="single" w:sz="4" w:space="0" w:color="DADADA"/>
            </w:tcBorders>
          </w:tcPr>
          <w:p w:rsidR="006C17CB" w:rsidRDefault="0030091C">
            <w:pPr>
              <w:pStyle w:val="TableParagraph"/>
              <w:spacing w:before="50"/>
              <w:ind w:right="76"/>
              <w:rPr>
                <w:sz w:val="18"/>
              </w:rPr>
            </w:pPr>
            <w:r>
              <w:rPr>
                <w:sz w:val="18"/>
              </w:rPr>
              <w:t>1</w:t>
            </w:r>
          </w:p>
        </w:tc>
        <w:tc>
          <w:tcPr>
            <w:tcW w:w="960" w:type="dxa"/>
            <w:tcBorders>
              <w:left w:val="single" w:sz="4" w:space="0" w:color="DADADA"/>
              <w:right w:val="single" w:sz="4" w:space="0" w:color="DADADA"/>
            </w:tcBorders>
          </w:tcPr>
          <w:p w:rsidR="006C17CB" w:rsidRDefault="0030091C">
            <w:pPr>
              <w:pStyle w:val="TableParagraph"/>
              <w:spacing w:before="50"/>
              <w:ind w:right="77"/>
              <w:rPr>
                <w:sz w:val="18"/>
              </w:rPr>
            </w:pPr>
            <w:r>
              <w:rPr>
                <w:sz w:val="18"/>
              </w:rPr>
              <w:t>0</w:t>
            </w:r>
          </w:p>
        </w:tc>
        <w:tc>
          <w:tcPr>
            <w:tcW w:w="960" w:type="dxa"/>
            <w:tcBorders>
              <w:left w:val="single" w:sz="4" w:space="0" w:color="DADADA"/>
              <w:right w:val="single" w:sz="4" w:space="0" w:color="DADADA"/>
            </w:tcBorders>
          </w:tcPr>
          <w:p w:rsidR="006C17CB" w:rsidRDefault="0030091C">
            <w:pPr>
              <w:pStyle w:val="TableParagraph"/>
              <w:spacing w:before="50"/>
              <w:ind w:right="77"/>
              <w:rPr>
                <w:sz w:val="18"/>
              </w:rPr>
            </w:pPr>
            <w:r>
              <w:rPr>
                <w:sz w:val="18"/>
              </w:rPr>
              <w:t>1</w:t>
            </w:r>
          </w:p>
        </w:tc>
        <w:tc>
          <w:tcPr>
            <w:tcW w:w="960" w:type="dxa"/>
            <w:tcBorders>
              <w:left w:val="single" w:sz="4" w:space="0" w:color="DADADA"/>
              <w:right w:val="nil"/>
            </w:tcBorders>
          </w:tcPr>
          <w:p w:rsidR="006C17CB" w:rsidRDefault="0030091C">
            <w:pPr>
              <w:pStyle w:val="TableParagraph"/>
              <w:spacing w:before="50"/>
              <w:ind w:right="83"/>
              <w:rPr>
                <w:b/>
                <w:sz w:val="18"/>
              </w:rPr>
            </w:pPr>
            <w:r>
              <w:rPr>
                <w:b/>
                <w:sz w:val="18"/>
              </w:rPr>
              <w:t>10</w:t>
            </w:r>
          </w:p>
        </w:tc>
      </w:tr>
      <w:tr w:rsidR="006C17CB">
        <w:trPr>
          <w:trHeight w:val="386"/>
        </w:trPr>
        <w:tc>
          <w:tcPr>
            <w:tcW w:w="1956" w:type="dxa"/>
            <w:tcBorders>
              <w:left w:val="nil"/>
              <w:right w:val="nil"/>
            </w:tcBorders>
            <w:shd w:val="clear" w:color="auto" w:fill="EDEDED"/>
          </w:tcPr>
          <w:p w:rsidR="006C17CB" w:rsidRDefault="0030091C">
            <w:pPr>
              <w:pStyle w:val="TableParagraph"/>
              <w:spacing w:before="50"/>
              <w:ind w:left="78"/>
              <w:jc w:val="left"/>
              <w:rPr>
                <w:b/>
                <w:sz w:val="18"/>
              </w:rPr>
            </w:pPr>
            <w:r>
              <w:rPr>
                <w:b/>
                <w:sz w:val="18"/>
              </w:rPr>
              <w:t>Total</w:t>
            </w:r>
          </w:p>
        </w:tc>
        <w:tc>
          <w:tcPr>
            <w:tcW w:w="960" w:type="dxa"/>
            <w:tcBorders>
              <w:left w:val="nil"/>
              <w:right w:val="single" w:sz="4" w:space="0" w:color="DADADA"/>
            </w:tcBorders>
            <w:shd w:val="clear" w:color="auto" w:fill="EDEDED"/>
          </w:tcPr>
          <w:p w:rsidR="006C17CB" w:rsidRDefault="0030091C">
            <w:pPr>
              <w:pStyle w:val="TableParagraph"/>
              <w:spacing w:before="50"/>
              <w:ind w:right="75"/>
              <w:rPr>
                <w:b/>
                <w:sz w:val="18"/>
              </w:rPr>
            </w:pPr>
            <w:r>
              <w:rPr>
                <w:b/>
                <w:sz w:val="18"/>
              </w:rPr>
              <w:t>1</w:t>
            </w:r>
          </w:p>
        </w:tc>
        <w:tc>
          <w:tcPr>
            <w:tcW w:w="960" w:type="dxa"/>
            <w:tcBorders>
              <w:left w:val="single" w:sz="4" w:space="0" w:color="DADADA"/>
              <w:right w:val="single" w:sz="4" w:space="0" w:color="DADADA"/>
            </w:tcBorders>
            <w:shd w:val="clear" w:color="auto" w:fill="EDEDED"/>
          </w:tcPr>
          <w:p w:rsidR="006C17CB" w:rsidRDefault="0030091C">
            <w:pPr>
              <w:pStyle w:val="TableParagraph"/>
              <w:spacing w:before="50"/>
              <w:ind w:right="75"/>
              <w:rPr>
                <w:b/>
                <w:sz w:val="18"/>
              </w:rPr>
            </w:pPr>
            <w:r>
              <w:rPr>
                <w:b/>
                <w:sz w:val="18"/>
              </w:rPr>
              <w:t>14</w:t>
            </w:r>
          </w:p>
        </w:tc>
        <w:tc>
          <w:tcPr>
            <w:tcW w:w="960" w:type="dxa"/>
            <w:tcBorders>
              <w:left w:val="single" w:sz="4" w:space="0" w:color="DADADA"/>
              <w:right w:val="single" w:sz="4" w:space="0" w:color="DADADA"/>
            </w:tcBorders>
            <w:shd w:val="clear" w:color="auto" w:fill="EDEDED"/>
          </w:tcPr>
          <w:p w:rsidR="006C17CB" w:rsidRDefault="0030091C">
            <w:pPr>
              <w:pStyle w:val="TableParagraph"/>
              <w:spacing w:before="50"/>
              <w:ind w:right="76"/>
              <w:rPr>
                <w:b/>
                <w:sz w:val="18"/>
              </w:rPr>
            </w:pPr>
            <w:r>
              <w:rPr>
                <w:b/>
                <w:sz w:val="18"/>
              </w:rPr>
              <w:t>13</w:t>
            </w:r>
          </w:p>
        </w:tc>
        <w:tc>
          <w:tcPr>
            <w:tcW w:w="960" w:type="dxa"/>
            <w:tcBorders>
              <w:left w:val="single" w:sz="4" w:space="0" w:color="DADADA"/>
              <w:right w:val="single" w:sz="4" w:space="0" w:color="DADADA"/>
            </w:tcBorders>
            <w:shd w:val="clear" w:color="auto" w:fill="EDEDED"/>
          </w:tcPr>
          <w:p w:rsidR="006C17CB" w:rsidRDefault="0030091C">
            <w:pPr>
              <w:pStyle w:val="TableParagraph"/>
              <w:spacing w:before="50"/>
              <w:ind w:right="76"/>
              <w:rPr>
                <w:b/>
                <w:sz w:val="18"/>
              </w:rPr>
            </w:pPr>
            <w:r>
              <w:rPr>
                <w:b/>
                <w:sz w:val="18"/>
              </w:rPr>
              <w:t>5</w:t>
            </w:r>
          </w:p>
        </w:tc>
        <w:tc>
          <w:tcPr>
            <w:tcW w:w="960" w:type="dxa"/>
            <w:tcBorders>
              <w:left w:val="single" w:sz="4" w:space="0" w:color="DADADA"/>
              <w:right w:val="single" w:sz="4" w:space="0" w:color="DADADA"/>
            </w:tcBorders>
            <w:shd w:val="clear" w:color="auto" w:fill="EDEDED"/>
          </w:tcPr>
          <w:p w:rsidR="006C17CB" w:rsidRDefault="0030091C">
            <w:pPr>
              <w:pStyle w:val="TableParagraph"/>
              <w:spacing w:before="50"/>
              <w:ind w:right="77"/>
              <w:rPr>
                <w:b/>
                <w:sz w:val="18"/>
              </w:rPr>
            </w:pPr>
            <w:r>
              <w:rPr>
                <w:b/>
                <w:sz w:val="18"/>
              </w:rPr>
              <w:t>19</w:t>
            </w:r>
          </w:p>
        </w:tc>
        <w:tc>
          <w:tcPr>
            <w:tcW w:w="960" w:type="dxa"/>
            <w:tcBorders>
              <w:left w:val="single" w:sz="4" w:space="0" w:color="DADADA"/>
              <w:right w:val="single" w:sz="4" w:space="0" w:color="DADADA"/>
            </w:tcBorders>
            <w:shd w:val="clear" w:color="auto" w:fill="EDEDED"/>
          </w:tcPr>
          <w:p w:rsidR="006C17CB" w:rsidRDefault="0030091C">
            <w:pPr>
              <w:pStyle w:val="TableParagraph"/>
              <w:spacing w:before="50"/>
              <w:ind w:right="77"/>
              <w:rPr>
                <w:b/>
                <w:sz w:val="18"/>
              </w:rPr>
            </w:pPr>
            <w:r>
              <w:rPr>
                <w:b/>
                <w:sz w:val="18"/>
              </w:rPr>
              <w:t>4</w:t>
            </w:r>
          </w:p>
        </w:tc>
        <w:tc>
          <w:tcPr>
            <w:tcW w:w="960" w:type="dxa"/>
            <w:tcBorders>
              <w:left w:val="single" w:sz="4" w:space="0" w:color="DADADA"/>
              <w:right w:val="single" w:sz="4" w:space="0" w:color="DADADA"/>
            </w:tcBorders>
            <w:shd w:val="clear" w:color="auto" w:fill="EDEDED"/>
          </w:tcPr>
          <w:p w:rsidR="006C17CB" w:rsidRDefault="0030091C">
            <w:pPr>
              <w:pStyle w:val="TableParagraph"/>
              <w:spacing w:before="50"/>
              <w:ind w:right="77"/>
              <w:rPr>
                <w:b/>
                <w:sz w:val="18"/>
              </w:rPr>
            </w:pPr>
            <w:r>
              <w:rPr>
                <w:b/>
                <w:sz w:val="18"/>
              </w:rPr>
              <w:t>7</w:t>
            </w:r>
          </w:p>
        </w:tc>
        <w:tc>
          <w:tcPr>
            <w:tcW w:w="960" w:type="dxa"/>
            <w:tcBorders>
              <w:left w:val="single" w:sz="4" w:space="0" w:color="DADADA"/>
              <w:right w:val="nil"/>
            </w:tcBorders>
            <w:shd w:val="clear" w:color="auto" w:fill="EDEDED"/>
          </w:tcPr>
          <w:p w:rsidR="006C17CB" w:rsidRDefault="0030091C">
            <w:pPr>
              <w:pStyle w:val="TableParagraph"/>
              <w:spacing w:before="50"/>
              <w:ind w:right="83"/>
              <w:rPr>
                <w:b/>
                <w:sz w:val="18"/>
              </w:rPr>
            </w:pPr>
            <w:r>
              <w:rPr>
                <w:b/>
                <w:sz w:val="18"/>
              </w:rPr>
              <w:t>63</w:t>
            </w:r>
          </w:p>
        </w:tc>
      </w:tr>
    </w:tbl>
    <w:p w:rsidR="006C17CB" w:rsidRDefault="006C17CB">
      <w:pPr>
        <w:pStyle w:val="BodyText"/>
        <w:rPr>
          <w:rFonts w:ascii="Calibri"/>
          <w:i/>
        </w:rPr>
      </w:pPr>
    </w:p>
    <w:p w:rsidR="006C17CB" w:rsidRDefault="0030091C">
      <w:pPr>
        <w:spacing w:before="169"/>
        <w:ind w:left="155"/>
        <w:rPr>
          <w:rFonts w:ascii="Calibri"/>
          <w:i/>
        </w:rPr>
      </w:pPr>
      <w:r>
        <w:rPr>
          <w:rFonts w:ascii="Calibri"/>
          <w:b/>
          <w:sz w:val="18"/>
        </w:rPr>
        <w:t xml:space="preserve">TABLE 6. </w:t>
      </w:r>
      <w:r>
        <w:rPr>
          <w:rFonts w:ascii="Calibri"/>
          <w:i/>
        </w:rPr>
        <w:t>Total average length of service by gender</w:t>
      </w:r>
    </w:p>
    <w:p w:rsidR="006C17CB" w:rsidRDefault="006C17CB">
      <w:pPr>
        <w:pStyle w:val="BodyText"/>
        <w:spacing w:before="3" w:after="1"/>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7540"/>
        <w:gridCol w:w="2106"/>
      </w:tblGrid>
      <w:tr w:rsidR="006C17CB">
        <w:trPr>
          <w:trHeight w:val="396"/>
        </w:trPr>
        <w:tc>
          <w:tcPr>
            <w:tcW w:w="7540"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Gender</w:t>
            </w:r>
          </w:p>
        </w:tc>
        <w:tc>
          <w:tcPr>
            <w:tcW w:w="2106" w:type="dxa"/>
            <w:tcBorders>
              <w:top w:val="nil"/>
              <w:bottom w:val="nil"/>
              <w:right w:val="nil"/>
            </w:tcBorders>
            <w:shd w:val="clear" w:color="auto" w:fill="89A7D7"/>
          </w:tcPr>
          <w:p w:rsidR="006C17CB" w:rsidRDefault="0030091C">
            <w:pPr>
              <w:pStyle w:val="TableParagraph"/>
              <w:spacing w:before="72"/>
              <w:ind w:right="77"/>
              <w:rPr>
                <w:b/>
                <w:sz w:val="18"/>
              </w:rPr>
            </w:pPr>
            <w:r>
              <w:rPr>
                <w:b/>
                <w:sz w:val="18"/>
              </w:rPr>
              <w:t>Average length of service</w:t>
            </w:r>
          </w:p>
        </w:tc>
      </w:tr>
      <w:tr w:rsidR="006C17CB">
        <w:trPr>
          <w:trHeight w:val="386"/>
        </w:trPr>
        <w:tc>
          <w:tcPr>
            <w:tcW w:w="7540"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Female</w:t>
            </w:r>
          </w:p>
        </w:tc>
        <w:tc>
          <w:tcPr>
            <w:tcW w:w="2106" w:type="dxa"/>
            <w:tcBorders>
              <w:top w:val="nil"/>
              <w:left w:val="single" w:sz="4" w:space="0" w:color="DADADA"/>
              <w:bottom w:val="single" w:sz="4" w:space="0" w:color="000000"/>
              <w:right w:val="nil"/>
            </w:tcBorders>
          </w:tcPr>
          <w:p w:rsidR="006C17CB" w:rsidRDefault="0030091C">
            <w:pPr>
              <w:pStyle w:val="TableParagraph"/>
              <w:spacing w:before="50"/>
              <w:ind w:right="77"/>
              <w:rPr>
                <w:sz w:val="18"/>
              </w:rPr>
            </w:pPr>
            <w:r>
              <w:rPr>
                <w:sz w:val="18"/>
              </w:rPr>
              <w:t>10.6</w:t>
            </w:r>
          </w:p>
        </w:tc>
      </w:tr>
      <w:tr w:rsidR="006C17CB">
        <w:trPr>
          <w:trHeight w:val="386"/>
        </w:trPr>
        <w:tc>
          <w:tcPr>
            <w:tcW w:w="754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Male</w:t>
            </w:r>
          </w:p>
        </w:tc>
        <w:tc>
          <w:tcPr>
            <w:tcW w:w="210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10.5</w:t>
            </w:r>
          </w:p>
        </w:tc>
      </w:tr>
      <w:tr w:rsidR="006C17CB">
        <w:trPr>
          <w:trHeight w:val="386"/>
        </w:trPr>
        <w:tc>
          <w:tcPr>
            <w:tcW w:w="7540" w:type="dxa"/>
            <w:tcBorders>
              <w:top w:val="single" w:sz="4" w:space="0" w:color="000000"/>
              <w:left w:val="nil"/>
              <w:bottom w:val="single" w:sz="4" w:space="0" w:color="000000"/>
              <w:right w:val="single" w:sz="4" w:space="0" w:color="DADADA"/>
            </w:tcBorders>
            <w:shd w:val="clear" w:color="auto" w:fill="EDEDED"/>
          </w:tcPr>
          <w:p w:rsidR="006C17CB" w:rsidRDefault="0030091C">
            <w:pPr>
              <w:pStyle w:val="TableParagraph"/>
              <w:spacing w:before="50"/>
              <w:ind w:left="79"/>
              <w:jc w:val="left"/>
              <w:rPr>
                <w:b/>
                <w:sz w:val="18"/>
              </w:rPr>
            </w:pPr>
            <w:r>
              <w:rPr>
                <w:b/>
                <w:sz w:val="18"/>
              </w:rPr>
              <w:t>Total</w:t>
            </w:r>
          </w:p>
        </w:tc>
        <w:tc>
          <w:tcPr>
            <w:tcW w:w="2106" w:type="dxa"/>
            <w:tcBorders>
              <w:top w:val="single" w:sz="4" w:space="0" w:color="000000"/>
              <w:left w:val="single" w:sz="4" w:space="0" w:color="DADADA"/>
              <w:bottom w:val="single" w:sz="4" w:space="0" w:color="000000"/>
              <w:right w:val="nil"/>
            </w:tcBorders>
            <w:shd w:val="clear" w:color="auto" w:fill="EDEDED"/>
          </w:tcPr>
          <w:p w:rsidR="006C17CB" w:rsidRDefault="0030091C">
            <w:pPr>
              <w:pStyle w:val="TableParagraph"/>
              <w:spacing w:before="50"/>
              <w:ind w:right="77"/>
              <w:rPr>
                <w:b/>
                <w:sz w:val="18"/>
              </w:rPr>
            </w:pPr>
            <w:r>
              <w:rPr>
                <w:b/>
                <w:sz w:val="18"/>
              </w:rPr>
              <w:t>10.6</w:t>
            </w:r>
          </w:p>
        </w:tc>
      </w:tr>
    </w:tbl>
    <w:p w:rsidR="006C17CB" w:rsidRDefault="006C17CB">
      <w:pPr>
        <w:rPr>
          <w:sz w:val="18"/>
        </w:rPr>
        <w:sectPr w:rsidR="006C17CB">
          <w:pgSz w:w="11910" w:h="16840"/>
          <w:pgMar w:top="1580" w:right="0" w:bottom="740" w:left="980" w:header="0" w:footer="551" w:gutter="0"/>
          <w:cols w:space="720"/>
        </w:sectPr>
      </w:pPr>
    </w:p>
    <w:p w:rsidR="006C17CB" w:rsidRDefault="006C17CB">
      <w:pPr>
        <w:pStyle w:val="BodyText"/>
        <w:rPr>
          <w:rFonts w:ascii="Calibri"/>
          <w:i/>
          <w:sz w:val="20"/>
        </w:rPr>
      </w:pPr>
    </w:p>
    <w:p w:rsidR="006C17CB" w:rsidRDefault="006C17CB">
      <w:pPr>
        <w:pStyle w:val="BodyText"/>
        <w:rPr>
          <w:rFonts w:ascii="Calibri"/>
          <w:i/>
          <w:sz w:val="20"/>
        </w:rPr>
      </w:pPr>
    </w:p>
    <w:p w:rsidR="006C17CB" w:rsidRDefault="006C17CB">
      <w:pPr>
        <w:pStyle w:val="BodyText"/>
        <w:spacing w:before="2"/>
        <w:rPr>
          <w:rFonts w:ascii="Calibri"/>
          <w:i/>
          <w:sz w:val="19"/>
        </w:rPr>
      </w:pPr>
    </w:p>
    <w:p w:rsidR="006C17CB" w:rsidRDefault="0030091C">
      <w:pPr>
        <w:spacing w:before="8"/>
        <w:ind w:left="157"/>
        <w:rPr>
          <w:rFonts w:ascii="Calibri"/>
          <w:i/>
        </w:rPr>
      </w:pPr>
      <w:r>
        <w:rPr>
          <w:rFonts w:ascii="Calibri"/>
          <w:b/>
          <w:sz w:val="18"/>
        </w:rPr>
        <w:t xml:space="preserve">TABLE 7. </w:t>
      </w:r>
      <w:r>
        <w:rPr>
          <w:rFonts w:ascii="Calibri"/>
          <w:i/>
        </w:rPr>
        <w:t>Age profile</w:t>
      </w:r>
    </w:p>
    <w:p w:rsidR="006C17CB" w:rsidRDefault="006C17CB">
      <w:pPr>
        <w:pStyle w:val="BodyText"/>
        <w:spacing w:before="4"/>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6236"/>
        <w:gridCol w:w="1162"/>
        <w:gridCol w:w="1106"/>
        <w:gridCol w:w="1129"/>
      </w:tblGrid>
      <w:tr w:rsidR="006C17CB">
        <w:trPr>
          <w:trHeight w:val="396"/>
        </w:trPr>
        <w:tc>
          <w:tcPr>
            <w:tcW w:w="6236"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Age</w:t>
            </w:r>
          </w:p>
        </w:tc>
        <w:tc>
          <w:tcPr>
            <w:tcW w:w="1162" w:type="dxa"/>
            <w:tcBorders>
              <w:top w:val="nil"/>
              <w:bottom w:val="nil"/>
              <w:right w:val="dashed" w:sz="4" w:space="0" w:color="7098D0"/>
            </w:tcBorders>
            <w:shd w:val="clear" w:color="auto" w:fill="89A7D7"/>
          </w:tcPr>
          <w:p w:rsidR="006C17CB" w:rsidRDefault="0030091C">
            <w:pPr>
              <w:pStyle w:val="TableParagraph"/>
              <w:spacing w:before="72"/>
              <w:ind w:right="72"/>
              <w:rPr>
                <w:b/>
                <w:sz w:val="18"/>
              </w:rPr>
            </w:pPr>
            <w:r>
              <w:rPr>
                <w:b/>
                <w:sz w:val="18"/>
              </w:rPr>
              <w:t>Female</w:t>
            </w:r>
          </w:p>
        </w:tc>
        <w:tc>
          <w:tcPr>
            <w:tcW w:w="1106" w:type="dxa"/>
            <w:tcBorders>
              <w:top w:val="nil"/>
              <w:left w:val="dashed" w:sz="4" w:space="0" w:color="7098D0"/>
              <w:bottom w:val="nil"/>
              <w:right w:val="dashed" w:sz="4" w:space="0" w:color="7098D0"/>
            </w:tcBorders>
            <w:shd w:val="clear" w:color="auto" w:fill="89A7D7"/>
          </w:tcPr>
          <w:p w:rsidR="006C17CB" w:rsidRDefault="0030091C">
            <w:pPr>
              <w:pStyle w:val="TableParagraph"/>
              <w:spacing w:before="72"/>
              <w:ind w:right="73"/>
              <w:rPr>
                <w:b/>
                <w:sz w:val="18"/>
              </w:rPr>
            </w:pPr>
            <w:r>
              <w:rPr>
                <w:b/>
                <w:sz w:val="18"/>
              </w:rPr>
              <w:t>Male</w:t>
            </w:r>
          </w:p>
        </w:tc>
        <w:tc>
          <w:tcPr>
            <w:tcW w:w="1129" w:type="dxa"/>
            <w:tcBorders>
              <w:top w:val="nil"/>
              <w:left w:val="dashed" w:sz="4" w:space="0" w:color="7098D0"/>
              <w:bottom w:val="nil"/>
              <w:right w:val="nil"/>
            </w:tcBorders>
            <w:shd w:val="clear" w:color="auto" w:fill="89A7D7"/>
          </w:tcPr>
          <w:p w:rsidR="006C17CB" w:rsidRDefault="0030091C">
            <w:pPr>
              <w:pStyle w:val="TableParagraph"/>
              <w:spacing w:before="72"/>
              <w:ind w:right="78"/>
              <w:rPr>
                <w:b/>
                <w:sz w:val="18"/>
              </w:rPr>
            </w:pPr>
            <w:r>
              <w:rPr>
                <w:b/>
                <w:sz w:val="18"/>
              </w:rPr>
              <w:t>Total</w:t>
            </w:r>
          </w:p>
        </w:tc>
      </w:tr>
      <w:tr w:rsidR="006C17CB">
        <w:trPr>
          <w:trHeight w:val="386"/>
        </w:trPr>
        <w:tc>
          <w:tcPr>
            <w:tcW w:w="6236"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&lt;20</w:t>
            </w:r>
          </w:p>
        </w:tc>
        <w:tc>
          <w:tcPr>
            <w:tcW w:w="1162" w:type="dxa"/>
            <w:tcBorders>
              <w:top w:val="nil"/>
              <w:left w:val="single" w:sz="4" w:space="0" w:color="DADADA"/>
              <w:bottom w:val="single" w:sz="4" w:space="0" w:color="000000"/>
              <w:right w:val="dashed" w:sz="4" w:space="0" w:color="7098D0"/>
            </w:tcBorders>
          </w:tcPr>
          <w:p w:rsidR="006C17CB" w:rsidRDefault="0030091C">
            <w:pPr>
              <w:pStyle w:val="TableParagraph"/>
              <w:spacing w:before="101"/>
              <w:ind w:right="72"/>
              <w:rPr>
                <w:sz w:val="18"/>
              </w:rPr>
            </w:pPr>
            <w:r>
              <w:rPr>
                <w:sz w:val="18"/>
              </w:rPr>
              <w:t>0</w:t>
            </w:r>
          </w:p>
        </w:tc>
        <w:tc>
          <w:tcPr>
            <w:tcW w:w="1106" w:type="dxa"/>
            <w:tcBorders>
              <w:top w:val="nil"/>
              <w:left w:val="dashed" w:sz="4" w:space="0" w:color="7098D0"/>
              <w:bottom w:val="single" w:sz="4" w:space="0" w:color="000000"/>
              <w:right w:val="dashed" w:sz="4" w:space="0" w:color="7098D0"/>
            </w:tcBorders>
          </w:tcPr>
          <w:p w:rsidR="006C17CB" w:rsidRDefault="0030091C">
            <w:pPr>
              <w:pStyle w:val="TableParagraph"/>
              <w:spacing w:before="101"/>
              <w:ind w:right="73"/>
              <w:rPr>
                <w:sz w:val="18"/>
              </w:rPr>
            </w:pPr>
            <w:r>
              <w:rPr>
                <w:sz w:val="18"/>
              </w:rPr>
              <w:t>0</w:t>
            </w:r>
          </w:p>
        </w:tc>
        <w:tc>
          <w:tcPr>
            <w:tcW w:w="1129" w:type="dxa"/>
            <w:tcBorders>
              <w:top w:val="nil"/>
              <w:left w:val="dashed" w:sz="4" w:space="0" w:color="7098D0"/>
              <w:bottom w:val="single" w:sz="4" w:space="0" w:color="000000"/>
              <w:right w:val="nil"/>
            </w:tcBorders>
          </w:tcPr>
          <w:p w:rsidR="006C17CB" w:rsidRDefault="0030091C">
            <w:pPr>
              <w:pStyle w:val="TableParagraph"/>
              <w:spacing w:before="101"/>
              <w:ind w:right="78"/>
              <w:rPr>
                <w:b/>
                <w:sz w:val="18"/>
              </w:rPr>
            </w:pPr>
            <w:r>
              <w:rPr>
                <w:b/>
                <w:sz w:val="18"/>
              </w:rPr>
              <w:t>0</w:t>
            </w:r>
          </w:p>
        </w:tc>
      </w:tr>
      <w:tr w:rsidR="006C17CB">
        <w:trPr>
          <w:trHeight w:val="386"/>
        </w:trPr>
        <w:tc>
          <w:tcPr>
            <w:tcW w:w="623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20-24</w:t>
            </w:r>
          </w:p>
        </w:tc>
        <w:tc>
          <w:tcPr>
            <w:tcW w:w="1162"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101"/>
              <w:ind w:right="72"/>
              <w:rPr>
                <w:sz w:val="18"/>
              </w:rPr>
            </w:pPr>
            <w:r>
              <w:rPr>
                <w:sz w:val="18"/>
              </w:rPr>
              <w:t>0</w:t>
            </w:r>
          </w:p>
        </w:tc>
        <w:tc>
          <w:tcPr>
            <w:tcW w:w="110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101"/>
              <w:ind w:right="73"/>
              <w:rPr>
                <w:sz w:val="18"/>
              </w:rPr>
            </w:pPr>
            <w:r>
              <w:rPr>
                <w:sz w:val="18"/>
              </w:rPr>
              <w:t>0</w:t>
            </w:r>
          </w:p>
        </w:tc>
        <w:tc>
          <w:tcPr>
            <w:tcW w:w="1129" w:type="dxa"/>
            <w:tcBorders>
              <w:top w:val="single" w:sz="4" w:space="0" w:color="000000"/>
              <w:left w:val="dashed" w:sz="4" w:space="0" w:color="7098D0"/>
              <w:bottom w:val="single" w:sz="4" w:space="0" w:color="000000"/>
              <w:right w:val="nil"/>
            </w:tcBorders>
          </w:tcPr>
          <w:p w:rsidR="006C17CB" w:rsidRDefault="0030091C">
            <w:pPr>
              <w:pStyle w:val="TableParagraph"/>
              <w:spacing w:before="101"/>
              <w:ind w:right="78"/>
              <w:rPr>
                <w:b/>
                <w:sz w:val="18"/>
              </w:rPr>
            </w:pPr>
            <w:r>
              <w:rPr>
                <w:b/>
                <w:sz w:val="18"/>
              </w:rPr>
              <w:t>0</w:t>
            </w:r>
          </w:p>
        </w:tc>
      </w:tr>
      <w:tr w:rsidR="006C17CB">
        <w:trPr>
          <w:trHeight w:val="386"/>
        </w:trPr>
        <w:tc>
          <w:tcPr>
            <w:tcW w:w="623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25-29</w:t>
            </w:r>
          </w:p>
        </w:tc>
        <w:tc>
          <w:tcPr>
            <w:tcW w:w="1162"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101"/>
              <w:ind w:right="72"/>
              <w:rPr>
                <w:sz w:val="18"/>
              </w:rPr>
            </w:pPr>
            <w:r>
              <w:rPr>
                <w:sz w:val="18"/>
              </w:rPr>
              <w:t>1</w:t>
            </w:r>
          </w:p>
        </w:tc>
        <w:tc>
          <w:tcPr>
            <w:tcW w:w="110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101"/>
              <w:ind w:right="73"/>
              <w:rPr>
                <w:sz w:val="18"/>
              </w:rPr>
            </w:pPr>
            <w:r>
              <w:rPr>
                <w:sz w:val="18"/>
              </w:rPr>
              <w:t>1</w:t>
            </w:r>
          </w:p>
        </w:tc>
        <w:tc>
          <w:tcPr>
            <w:tcW w:w="1129" w:type="dxa"/>
            <w:tcBorders>
              <w:top w:val="single" w:sz="4" w:space="0" w:color="000000"/>
              <w:left w:val="dashed" w:sz="4" w:space="0" w:color="7098D0"/>
              <w:bottom w:val="single" w:sz="4" w:space="0" w:color="000000"/>
              <w:right w:val="nil"/>
            </w:tcBorders>
          </w:tcPr>
          <w:p w:rsidR="006C17CB" w:rsidRDefault="0030091C">
            <w:pPr>
              <w:pStyle w:val="TableParagraph"/>
              <w:spacing w:before="101"/>
              <w:ind w:right="78"/>
              <w:rPr>
                <w:b/>
                <w:sz w:val="18"/>
              </w:rPr>
            </w:pPr>
            <w:r>
              <w:rPr>
                <w:b/>
                <w:sz w:val="18"/>
              </w:rPr>
              <w:t>2</w:t>
            </w:r>
          </w:p>
        </w:tc>
      </w:tr>
      <w:tr w:rsidR="006C17CB">
        <w:trPr>
          <w:trHeight w:val="386"/>
        </w:trPr>
        <w:tc>
          <w:tcPr>
            <w:tcW w:w="623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30-34</w:t>
            </w:r>
          </w:p>
        </w:tc>
        <w:tc>
          <w:tcPr>
            <w:tcW w:w="1162"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101"/>
              <w:ind w:right="72"/>
              <w:rPr>
                <w:sz w:val="18"/>
              </w:rPr>
            </w:pPr>
            <w:r>
              <w:rPr>
                <w:sz w:val="18"/>
              </w:rPr>
              <w:t>3</w:t>
            </w:r>
          </w:p>
        </w:tc>
        <w:tc>
          <w:tcPr>
            <w:tcW w:w="110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101"/>
              <w:ind w:right="73"/>
              <w:rPr>
                <w:sz w:val="18"/>
              </w:rPr>
            </w:pPr>
            <w:r>
              <w:rPr>
                <w:sz w:val="18"/>
              </w:rPr>
              <w:t>0</w:t>
            </w:r>
          </w:p>
        </w:tc>
        <w:tc>
          <w:tcPr>
            <w:tcW w:w="1129" w:type="dxa"/>
            <w:tcBorders>
              <w:top w:val="single" w:sz="4" w:space="0" w:color="000000"/>
              <w:left w:val="dashed" w:sz="4" w:space="0" w:color="7098D0"/>
              <w:bottom w:val="single" w:sz="4" w:space="0" w:color="000000"/>
              <w:right w:val="nil"/>
            </w:tcBorders>
          </w:tcPr>
          <w:p w:rsidR="006C17CB" w:rsidRDefault="0030091C">
            <w:pPr>
              <w:pStyle w:val="TableParagraph"/>
              <w:spacing w:before="101"/>
              <w:ind w:right="78"/>
              <w:rPr>
                <w:b/>
                <w:sz w:val="18"/>
              </w:rPr>
            </w:pPr>
            <w:r>
              <w:rPr>
                <w:b/>
                <w:sz w:val="18"/>
              </w:rPr>
              <w:t>3</w:t>
            </w:r>
          </w:p>
        </w:tc>
      </w:tr>
      <w:tr w:rsidR="006C17CB">
        <w:trPr>
          <w:trHeight w:val="386"/>
        </w:trPr>
        <w:tc>
          <w:tcPr>
            <w:tcW w:w="623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35-39</w:t>
            </w:r>
          </w:p>
        </w:tc>
        <w:tc>
          <w:tcPr>
            <w:tcW w:w="1162"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101"/>
              <w:ind w:right="72"/>
              <w:rPr>
                <w:sz w:val="18"/>
              </w:rPr>
            </w:pPr>
            <w:r>
              <w:rPr>
                <w:sz w:val="18"/>
              </w:rPr>
              <w:t>4</w:t>
            </w:r>
          </w:p>
        </w:tc>
        <w:tc>
          <w:tcPr>
            <w:tcW w:w="110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101"/>
              <w:ind w:right="73"/>
              <w:rPr>
                <w:sz w:val="18"/>
              </w:rPr>
            </w:pPr>
            <w:r>
              <w:rPr>
                <w:sz w:val="18"/>
              </w:rPr>
              <w:t>3</w:t>
            </w:r>
          </w:p>
        </w:tc>
        <w:tc>
          <w:tcPr>
            <w:tcW w:w="1129" w:type="dxa"/>
            <w:tcBorders>
              <w:top w:val="single" w:sz="4" w:space="0" w:color="000000"/>
              <w:left w:val="dashed" w:sz="4" w:space="0" w:color="7098D0"/>
              <w:bottom w:val="single" w:sz="4" w:space="0" w:color="000000"/>
              <w:right w:val="nil"/>
            </w:tcBorders>
          </w:tcPr>
          <w:p w:rsidR="006C17CB" w:rsidRDefault="0030091C">
            <w:pPr>
              <w:pStyle w:val="TableParagraph"/>
              <w:spacing w:before="101"/>
              <w:ind w:right="78"/>
              <w:rPr>
                <w:b/>
                <w:sz w:val="18"/>
              </w:rPr>
            </w:pPr>
            <w:r>
              <w:rPr>
                <w:b/>
                <w:sz w:val="18"/>
              </w:rPr>
              <w:t>7</w:t>
            </w:r>
          </w:p>
        </w:tc>
      </w:tr>
      <w:tr w:rsidR="006C17CB">
        <w:trPr>
          <w:trHeight w:val="386"/>
        </w:trPr>
        <w:tc>
          <w:tcPr>
            <w:tcW w:w="623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40-44</w:t>
            </w:r>
          </w:p>
        </w:tc>
        <w:tc>
          <w:tcPr>
            <w:tcW w:w="1162"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101"/>
              <w:ind w:right="72"/>
              <w:rPr>
                <w:sz w:val="18"/>
              </w:rPr>
            </w:pPr>
            <w:r>
              <w:rPr>
                <w:sz w:val="18"/>
              </w:rPr>
              <w:t>4</w:t>
            </w:r>
          </w:p>
        </w:tc>
        <w:tc>
          <w:tcPr>
            <w:tcW w:w="110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101"/>
              <w:ind w:right="73"/>
              <w:rPr>
                <w:sz w:val="18"/>
              </w:rPr>
            </w:pPr>
            <w:r>
              <w:rPr>
                <w:sz w:val="18"/>
              </w:rPr>
              <w:t>2</w:t>
            </w:r>
          </w:p>
        </w:tc>
        <w:tc>
          <w:tcPr>
            <w:tcW w:w="1129" w:type="dxa"/>
            <w:tcBorders>
              <w:top w:val="single" w:sz="4" w:space="0" w:color="000000"/>
              <w:left w:val="dashed" w:sz="4" w:space="0" w:color="7098D0"/>
              <w:bottom w:val="single" w:sz="4" w:space="0" w:color="000000"/>
              <w:right w:val="nil"/>
            </w:tcBorders>
          </w:tcPr>
          <w:p w:rsidR="006C17CB" w:rsidRDefault="0030091C">
            <w:pPr>
              <w:pStyle w:val="TableParagraph"/>
              <w:spacing w:before="101"/>
              <w:ind w:right="78"/>
              <w:rPr>
                <w:b/>
                <w:sz w:val="18"/>
              </w:rPr>
            </w:pPr>
            <w:r>
              <w:rPr>
                <w:b/>
                <w:sz w:val="18"/>
              </w:rPr>
              <w:t>6</w:t>
            </w:r>
          </w:p>
        </w:tc>
      </w:tr>
      <w:tr w:rsidR="006C17CB">
        <w:trPr>
          <w:trHeight w:val="386"/>
        </w:trPr>
        <w:tc>
          <w:tcPr>
            <w:tcW w:w="623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45-49</w:t>
            </w:r>
          </w:p>
        </w:tc>
        <w:tc>
          <w:tcPr>
            <w:tcW w:w="1162"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101"/>
              <w:ind w:right="72"/>
              <w:rPr>
                <w:sz w:val="18"/>
              </w:rPr>
            </w:pPr>
            <w:r>
              <w:rPr>
                <w:sz w:val="18"/>
              </w:rPr>
              <w:t>6</w:t>
            </w:r>
          </w:p>
        </w:tc>
        <w:tc>
          <w:tcPr>
            <w:tcW w:w="110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101"/>
              <w:ind w:right="73"/>
              <w:rPr>
                <w:sz w:val="18"/>
              </w:rPr>
            </w:pPr>
            <w:r>
              <w:rPr>
                <w:sz w:val="18"/>
              </w:rPr>
              <w:t>1</w:t>
            </w:r>
          </w:p>
        </w:tc>
        <w:tc>
          <w:tcPr>
            <w:tcW w:w="1129" w:type="dxa"/>
            <w:tcBorders>
              <w:top w:val="single" w:sz="4" w:space="0" w:color="000000"/>
              <w:left w:val="dashed" w:sz="4" w:space="0" w:color="7098D0"/>
              <w:bottom w:val="single" w:sz="4" w:space="0" w:color="000000"/>
              <w:right w:val="nil"/>
            </w:tcBorders>
          </w:tcPr>
          <w:p w:rsidR="006C17CB" w:rsidRDefault="0030091C">
            <w:pPr>
              <w:pStyle w:val="TableParagraph"/>
              <w:spacing w:before="101"/>
              <w:ind w:right="78"/>
              <w:rPr>
                <w:b/>
                <w:sz w:val="18"/>
              </w:rPr>
            </w:pPr>
            <w:r>
              <w:rPr>
                <w:b/>
                <w:sz w:val="18"/>
              </w:rPr>
              <w:t>7</w:t>
            </w:r>
          </w:p>
        </w:tc>
      </w:tr>
      <w:tr w:rsidR="006C17CB">
        <w:trPr>
          <w:trHeight w:val="386"/>
        </w:trPr>
        <w:tc>
          <w:tcPr>
            <w:tcW w:w="623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50-54</w:t>
            </w:r>
          </w:p>
        </w:tc>
        <w:tc>
          <w:tcPr>
            <w:tcW w:w="1162"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101"/>
              <w:ind w:right="72"/>
              <w:rPr>
                <w:sz w:val="18"/>
              </w:rPr>
            </w:pPr>
            <w:r>
              <w:rPr>
                <w:sz w:val="18"/>
              </w:rPr>
              <w:t>8</w:t>
            </w:r>
          </w:p>
        </w:tc>
        <w:tc>
          <w:tcPr>
            <w:tcW w:w="110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101"/>
              <w:ind w:right="73"/>
              <w:rPr>
                <w:sz w:val="18"/>
              </w:rPr>
            </w:pPr>
            <w:r>
              <w:rPr>
                <w:sz w:val="18"/>
              </w:rPr>
              <w:t>3</w:t>
            </w:r>
          </w:p>
        </w:tc>
        <w:tc>
          <w:tcPr>
            <w:tcW w:w="1129" w:type="dxa"/>
            <w:tcBorders>
              <w:top w:val="single" w:sz="4" w:space="0" w:color="000000"/>
              <w:left w:val="dashed" w:sz="4" w:space="0" w:color="7098D0"/>
              <w:bottom w:val="single" w:sz="4" w:space="0" w:color="000000"/>
              <w:right w:val="nil"/>
            </w:tcBorders>
          </w:tcPr>
          <w:p w:rsidR="006C17CB" w:rsidRDefault="0030091C">
            <w:pPr>
              <w:pStyle w:val="TableParagraph"/>
              <w:spacing w:before="101"/>
              <w:ind w:right="78"/>
              <w:rPr>
                <w:b/>
                <w:sz w:val="18"/>
              </w:rPr>
            </w:pPr>
            <w:r>
              <w:rPr>
                <w:b/>
                <w:sz w:val="18"/>
              </w:rPr>
              <w:t>11</w:t>
            </w:r>
          </w:p>
        </w:tc>
      </w:tr>
      <w:tr w:rsidR="006C17CB">
        <w:trPr>
          <w:trHeight w:val="386"/>
        </w:trPr>
        <w:tc>
          <w:tcPr>
            <w:tcW w:w="623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55-59</w:t>
            </w:r>
          </w:p>
        </w:tc>
        <w:tc>
          <w:tcPr>
            <w:tcW w:w="1162"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101"/>
              <w:ind w:right="72"/>
              <w:rPr>
                <w:sz w:val="18"/>
              </w:rPr>
            </w:pPr>
            <w:r>
              <w:rPr>
                <w:sz w:val="18"/>
              </w:rPr>
              <w:t>6</w:t>
            </w:r>
          </w:p>
        </w:tc>
        <w:tc>
          <w:tcPr>
            <w:tcW w:w="110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101"/>
              <w:ind w:right="73"/>
              <w:rPr>
                <w:sz w:val="18"/>
              </w:rPr>
            </w:pPr>
            <w:r>
              <w:rPr>
                <w:sz w:val="18"/>
              </w:rPr>
              <w:t>6</w:t>
            </w:r>
          </w:p>
        </w:tc>
        <w:tc>
          <w:tcPr>
            <w:tcW w:w="1129" w:type="dxa"/>
            <w:tcBorders>
              <w:top w:val="single" w:sz="4" w:space="0" w:color="000000"/>
              <w:left w:val="dashed" w:sz="4" w:space="0" w:color="7098D0"/>
              <w:bottom w:val="single" w:sz="4" w:space="0" w:color="000000"/>
              <w:right w:val="nil"/>
            </w:tcBorders>
          </w:tcPr>
          <w:p w:rsidR="006C17CB" w:rsidRDefault="0030091C">
            <w:pPr>
              <w:pStyle w:val="TableParagraph"/>
              <w:spacing w:before="101"/>
              <w:ind w:right="78"/>
              <w:rPr>
                <w:b/>
                <w:sz w:val="18"/>
              </w:rPr>
            </w:pPr>
            <w:r>
              <w:rPr>
                <w:b/>
                <w:sz w:val="18"/>
              </w:rPr>
              <w:t>12</w:t>
            </w:r>
          </w:p>
        </w:tc>
      </w:tr>
      <w:tr w:rsidR="006C17CB">
        <w:trPr>
          <w:trHeight w:val="386"/>
        </w:trPr>
        <w:tc>
          <w:tcPr>
            <w:tcW w:w="623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60-64</w:t>
            </w:r>
          </w:p>
        </w:tc>
        <w:tc>
          <w:tcPr>
            <w:tcW w:w="1162"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101"/>
              <w:ind w:right="72"/>
              <w:rPr>
                <w:sz w:val="18"/>
              </w:rPr>
            </w:pPr>
            <w:r>
              <w:rPr>
                <w:sz w:val="18"/>
              </w:rPr>
              <w:t>3</w:t>
            </w:r>
          </w:p>
        </w:tc>
        <w:tc>
          <w:tcPr>
            <w:tcW w:w="110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101"/>
              <w:ind w:right="72"/>
              <w:rPr>
                <w:sz w:val="18"/>
              </w:rPr>
            </w:pPr>
            <w:r>
              <w:rPr>
                <w:sz w:val="18"/>
              </w:rPr>
              <w:t>3</w:t>
            </w:r>
          </w:p>
        </w:tc>
        <w:tc>
          <w:tcPr>
            <w:tcW w:w="1129" w:type="dxa"/>
            <w:tcBorders>
              <w:top w:val="single" w:sz="4" w:space="0" w:color="000000"/>
              <w:left w:val="dashed" w:sz="4" w:space="0" w:color="7098D0"/>
              <w:bottom w:val="single" w:sz="4" w:space="0" w:color="000000"/>
              <w:right w:val="nil"/>
            </w:tcBorders>
          </w:tcPr>
          <w:p w:rsidR="006C17CB" w:rsidRDefault="0030091C">
            <w:pPr>
              <w:pStyle w:val="TableParagraph"/>
              <w:spacing w:before="101"/>
              <w:ind w:right="78"/>
              <w:rPr>
                <w:b/>
                <w:sz w:val="18"/>
              </w:rPr>
            </w:pPr>
            <w:r>
              <w:rPr>
                <w:b/>
                <w:sz w:val="18"/>
              </w:rPr>
              <w:t>6</w:t>
            </w:r>
          </w:p>
        </w:tc>
      </w:tr>
      <w:tr w:rsidR="006C17CB">
        <w:trPr>
          <w:trHeight w:val="386"/>
        </w:trPr>
        <w:tc>
          <w:tcPr>
            <w:tcW w:w="623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65-69</w:t>
            </w:r>
          </w:p>
        </w:tc>
        <w:tc>
          <w:tcPr>
            <w:tcW w:w="1162"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101"/>
              <w:ind w:right="72"/>
              <w:rPr>
                <w:sz w:val="18"/>
              </w:rPr>
            </w:pPr>
            <w:r>
              <w:rPr>
                <w:sz w:val="18"/>
              </w:rPr>
              <w:t>2</w:t>
            </w:r>
          </w:p>
        </w:tc>
        <w:tc>
          <w:tcPr>
            <w:tcW w:w="110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101"/>
              <w:ind w:right="72"/>
              <w:rPr>
                <w:sz w:val="18"/>
              </w:rPr>
            </w:pPr>
            <w:r>
              <w:rPr>
                <w:sz w:val="18"/>
              </w:rPr>
              <w:t>1</w:t>
            </w:r>
          </w:p>
        </w:tc>
        <w:tc>
          <w:tcPr>
            <w:tcW w:w="1129" w:type="dxa"/>
            <w:tcBorders>
              <w:top w:val="single" w:sz="4" w:space="0" w:color="000000"/>
              <w:left w:val="dashed" w:sz="4" w:space="0" w:color="7098D0"/>
              <w:bottom w:val="single" w:sz="4" w:space="0" w:color="000000"/>
              <w:right w:val="nil"/>
            </w:tcBorders>
          </w:tcPr>
          <w:p w:rsidR="006C17CB" w:rsidRDefault="0030091C">
            <w:pPr>
              <w:pStyle w:val="TableParagraph"/>
              <w:spacing w:before="101"/>
              <w:ind w:right="78"/>
              <w:rPr>
                <w:b/>
                <w:sz w:val="18"/>
              </w:rPr>
            </w:pPr>
            <w:r>
              <w:rPr>
                <w:b/>
                <w:sz w:val="18"/>
              </w:rPr>
              <w:t>3</w:t>
            </w:r>
          </w:p>
        </w:tc>
      </w:tr>
      <w:tr w:rsidR="006C17CB">
        <w:trPr>
          <w:trHeight w:val="386"/>
        </w:trPr>
        <w:tc>
          <w:tcPr>
            <w:tcW w:w="623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70+</w:t>
            </w:r>
          </w:p>
        </w:tc>
        <w:tc>
          <w:tcPr>
            <w:tcW w:w="1162"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101"/>
              <w:ind w:right="72"/>
              <w:rPr>
                <w:sz w:val="18"/>
              </w:rPr>
            </w:pPr>
            <w:r>
              <w:rPr>
                <w:sz w:val="18"/>
              </w:rPr>
              <w:t>2</w:t>
            </w:r>
          </w:p>
        </w:tc>
        <w:tc>
          <w:tcPr>
            <w:tcW w:w="110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101"/>
              <w:ind w:right="72"/>
              <w:rPr>
                <w:sz w:val="18"/>
              </w:rPr>
            </w:pPr>
            <w:r>
              <w:rPr>
                <w:sz w:val="18"/>
              </w:rPr>
              <w:t>4</w:t>
            </w:r>
          </w:p>
        </w:tc>
        <w:tc>
          <w:tcPr>
            <w:tcW w:w="1129" w:type="dxa"/>
            <w:tcBorders>
              <w:top w:val="single" w:sz="4" w:space="0" w:color="000000"/>
              <w:left w:val="dashed" w:sz="4" w:space="0" w:color="7098D0"/>
              <w:bottom w:val="single" w:sz="4" w:space="0" w:color="000000"/>
              <w:right w:val="nil"/>
            </w:tcBorders>
          </w:tcPr>
          <w:p w:rsidR="006C17CB" w:rsidRDefault="0030091C">
            <w:pPr>
              <w:pStyle w:val="TableParagraph"/>
              <w:spacing w:before="101"/>
              <w:ind w:right="78"/>
              <w:rPr>
                <w:b/>
                <w:sz w:val="18"/>
              </w:rPr>
            </w:pPr>
            <w:r>
              <w:rPr>
                <w:b/>
                <w:sz w:val="18"/>
              </w:rPr>
              <w:t>6</w:t>
            </w:r>
          </w:p>
        </w:tc>
      </w:tr>
      <w:tr w:rsidR="006C17CB">
        <w:trPr>
          <w:trHeight w:val="386"/>
        </w:trPr>
        <w:tc>
          <w:tcPr>
            <w:tcW w:w="6236" w:type="dxa"/>
            <w:tcBorders>
              <w:top w:val="single" w:sz="4" w:space="0" w:color="000000"/>
              <w:left w:val="nil"/>
              <w:bottom w:val="single" w:sz="4" w:space="0" w:color="000000"/>
              <w:right w:val="nil"/>
            </w:tcBorders>
            <w:shd w:val="clear" w:color="auto" w:fill="EDEDED"/>
          </w:tcPr>
          <w:p w:rsidR="006C17CB" w:rsidRDefault="0030091C">
            <w:pPr>
              <w:pStyle w:val="TableParagraph"/>
              <w:spacing w:before="50"/>
              <w:ind w:left="80"/>
              <w:jc w:val="left"/>
              <w:rPr>
                <w:b/>
                <w:sz w:val="18"/>
              </w:rPr>
            </w:pPr>
            <w:r>
              <w:rPr>
                <w:b/>
                <w:sz w:val="18"/>
              </w:rPr>
              <w:t>Total</w:t>
            </w:r>
          </w:p>
        </w:tc>
        <w:tc>
          <w:tcPr>
            <w:tcW w:w="1162" w:type="dxa"/>
            <w:tcBorders>
              <w:top w:val="single" w:sz="4" w:space="0" w:color="000000"/>
              <w:left w:val="nil"/>
              <w:bottom w:val="single" w:sz="4" w:space="0" w:color="000000"/>
              <w:right w:val="dashed" w:sz="4" w:space="0" w:color="7098D0"/>
            </w:tcBorders>
            <w:shd w:val="clear" w:color="auto" w:fill="EDEDED"/>
          </w:tcPr>
          <w:p w:rsidR="006C17CB" w:rsidRDefault="0030091C">
            <w:pPr>
              <w:pStyle w:val="TableParagraph"/>
              <w:spacing w:before="50"/>
              <w:ind w:right="72"/>
              <w:rPr>
                <w:b/>
                <w:sz w:val="18"/>
              </w:rPr>
            </w:pPr>
            <w:r>
              <w:rPr>
                <w:b/>
                <w:sz w:val="18"/>
              </w:rPr>
              <w:t>39</w:t>
            </w:r>
          </w:p>
        </w:tc>
        <w:tc>
          <w:tcPr>
            <w:tcW w:w="1106" w:type="dxa"/>
            <w:tcBorders>
              <w:top w:val="single" w:sz="4" w:space="0" w:color="000000"/>
              <w:left w:val="dashed" w:sz="4" w:space="0" w:color="7098D0"/>
              <w:bottom w:val="single" w:sz="4" w:space="0" w:color="000000"/>
              <w:right w:val="dashed" w:sz="4" w:space="0" w:color="7098D0"/>
            </w:tcBorders>
            <w:shd w:val="clear" w:color="auto" w:fill="EDEDED"/>
          </w:tcPr>
          <w:p w:rsidR="006C17CB" w:rsidRDefault="0030091C">
            <w:pPr>
              <w:pStyle w:val="TableParagraph"/>
              <w:spacing w:before="50"/>
              <w:ind w:right="72"/>
              <w:rPr>
                <w:b/>
                <w:sz w:val="18"/>
              </w:rPr>
            </w:pPr>
            <w:r>
              <w:rPr>
                <w:b/>
                <w:sz w:val="18"/>
              </w:rPr>
              <w:t>24</w:t>
            </w:r>
          </w:p>
        </w:tc>
        <w:tc>
          <w:tcPr>
            <w:tcW w:w="1129" w:type="dxa"/>
            <w:tcBorders>
              <w:top w:val="single" w:sz="4" w:space="0" w:color="000000"/>
              <w:left w:val="dashed" w:sz="4" w:space="0" w:color="7098D0"/>
              <w:bottom w:val="single" w:sz="4" w:space="0" w:color="000000"/>
              <w:right w:val="nil"/>
            </w:tcBorders>
            <w:shd w:val="clear" w:color="auto" w:fill="EDEDED"/>
          </w:tcPr>
          <w:p w:rsidR="006C17CB" w:rsidRDefault="0030091C">
            <w:pPr>
              <w:pStyle w:val="TableParagraph"/>
              <w:spacing w:before="50"/>
              <w:ind w:right="78"/>
              <w:rPr>
                <w:b/>
                <w:sz w:val="18"/>
              </w:rPr>
            </w:pPr>
            <w:r>
              <w:rPr>
                <w:b/>
                <w:sz w:val="18"/>
              </w:rPr>
              <w:t>63</w:t>
            </w:r>
          </w:p>
        </w:tc>
      </w:tr>
    </w:tbl>
    <w:p w:rsidR="006C17CB" w:rsidRDefault="006C17CB">
      <w:pPr>
        <w:pStyle w:val="BodyText"/>
        <w:spacing w:before="3"/>
        <w:rPr>
          <w:rFonts w:ascii="Calibri"/>
          <w:i/>
          <w:sz w:val="21"/>
        </w:rPr>
      </w:pPr>
    </w:p>
    <w:p w:rsidR="006C17CB" w:rsidRDefault="0030091C">
      <w:pPr>
        <w:ind w:left="153"/>
        <w:rPr>
          <w:rFonts w:ascii="Calibri"/>
          <w:sz w:val="18"/>
        </w:rPr>
      </w:pPr>
      <w:r>
        <w:rPr>
          <w:rFonts w:ascii="Calibri"/>
          <w:sz w:val="18"/>
        </w:rPr>
        <w:t>NOTE: numbers include temporary employees and staff on extended leave.</w:t>
      </w:r>
    </w:p>
    <w:p w:rsidR="006C17CB" w:rsidRDefault="006C17CB">
      <w:pPr>
        <w:pStyle w:val="BodyText"/>
        <w:spacing w:before="6"/>
        <w:rPr>
          <w:rFonts w:ascii="Calibri"/>
          <w:sz w:val="23"/>
        </w:rPr>
      </w:pPr>
    </w:p>
    <w:p w:rsidR="006C17CB" w:rsidRDefault="0030091C">
      <w:pPr>
        <w:ind w:left="153"/>
        <w:rPr>
          <w:rFonts w:ascii="Montserrat-SemiBoldItalic"/>
          <w:b/>
          <w:i/>
          <w:sz w:val="20"/>
        </w:rPr>
      </w:pPr>
      <w:r>
        <w:rPr>
          <w:rFonts w:ascii="Montserrat-SemiBoldItalic"/>
          <w:b/>
          <w:i/>
          <w:sz w:val="20"/>
        </w:rPr>
        <w:t>Staff selection processes</w:t>
      </w:r>
    </w:p>
    <w:p w:rsidR="006C17CB" w:rsidRDefault="0030091C">
      <w:pPr>
        <w:pStyle w:val="BodyText"/>
        <w:spacing w:before="166" w:line="189" w:lineRule="auto"/>
        <w:ind w:left="153" w:right="1332"/>
      </w:pPr>
      <w:r>
        <w:t xml:space="preserve">The Office undertook </w:t>
      </w:r>
      <w:r>
        <w:rPr>
          <w:spacing w:val="-3"/>
        </w:rPr>
        <w:t xml:space="preserve">10 </w:t>
      </w:r>
      <w:r>
        <w:t xml:space="preserve">staff selection processes during the </w:t>
      </w:r>
      <w:r>
        <w:rPr>
          <w:spacing w:val="-5"/>
        </w:rPr>
        <w:t xml:space="preserve">year. </w:t>
      </w:r>
      <w:r>
        <w:t>On average, the number of days between</w:t>
      </w:r>
      <w:r>
        <w:rPr>
          <w:spacing w:val="-5"/>
        </w:rPr>
        <w:t xml:space="preserve"> </w:t>
      </w:r>
      <w:r>
        <w:t>advertising</w:t>
      </w:r>
      <w:r>
        <w:rPr>
          <w:spacing w:val="-5"/>
        </w:rPr>
        <w:t xml:space="preserve"> </w:t>
      </w:r>
      <w:r>
        <w:t>and</w:t>
      </w:r>
      <w:r>
        <w:rPr>
          <w:spacing w:val="-5"/>
        </w:rPr>
        <w:t xml:space="preserve"> </w:t>
      </w:r>
      <w:r>
        <w:t>appointment</w:t>
      </w:r>
      <w:r>
        <w:rPr>
          <w:spacing w:val="-5"/>
        </w:rPr>
        <w:t xml:space="preserve"> </w:t>
      </w:r>
      <w:r>
        <w:t>of</w:t>
      </w:r>
      <w:r>
        <w:rPr>
          <w:spacing w:val="-5"/>
        </w:rPr>
        <w:t xml:space="preserve"> </w:t>
      </w:r>
      <w:r>
        <w:t>the</w:t>
      </w:r>
      <w:r>
        <w:rPr>
          <w:spacing w:val="-6"/>
        </w:rPr>
        <w:t xml:space="preserve"> </w:t>
      </w:r>
      <w:r>
        <w:t>successful</w:t>
      </w:r>
      <w:r>
        <w:rPr>
          <w:spacing w:val="-5"/>
        </w:rPr>
        <w:t xml:space="preserve"> </w:t>
      </w:r>
      <w:r>
        <w:t>candidate</w:t>
      </w:r>
      <w:r>
        <w:rPr>
          <w:spacing w:val="-6"/>
        </w:rPr>
        <w:t xml:space="preserve"> </w:t>
      </w:r>
      <w:r>
        <w:t>was</w:t>
      </w:r>
      <w:r>
        <w:rPr>
          <w:spacing w:val="-5"/>
        </w:rPr>
        <w:t xml:space="preserve"> </w:t>
      </w:r>
      <w:r>
        <w:rPr>
          <w:spacing w:val="-3"/>
        </w:rPr>
        <w:t>43,</w:t>
      </w:r>
      <w:r>
        <w:rPr>
          <w:spacing w:val="-5"/>
        </w:rPr>
        <w:t xml:space="preserve"> </w:t>
      </w:r>
      <w:r>
        <w:t>which</w:t>
      </w:r>
      <w:r>
        <w:rPr>
          <w:spacing w:val="-5"/>
        </w:rPr>
        <w:t xml:space="preserve"> </w:t>
      </w:r>
      <w:r>
        <w:t>is</w:t>
      </w:r>
      <w:r>
        <w:rPr>
          <w:spacing w:val="-5"/>
        </w:rPr>
        <w:t xml:space="preserve"> </w:t>
      </w:r>
      <w:r>
        <w:t>a</w:t>
      </w:r>
      <w:r>
        <w:rPr>
          <w:spacing w:val="-5"/>
        </w:rPr>
        <w:t xml:space="preserve"> </w:t>
      </w:r>
      <w:r>
        <w:t>decrease</w:t>
      </w:r>
      <w:r>
        <w:rPr>
          <w:spacing w:val="-6"/>
        </w:rPr>
        <w:t xml:space="preserve"> </w:t>
      </w:r>
      <w:r>
        <w:t>from</w:t>
      </w:r>
      <w:r>
        <w:rPr>
          <w:spacing w:val="-6"/>
        </w:rPr>
        <w:t xml:space="preserve"> 51 </w:t>
      </w:r>
      <w:r>
        <w:t>days in</w:t>
      </w:r>
      <w:r>
        <w:rPr>
          <w:spacing w:val="-1"/>
        </w:rPr>
        <w:t xml:space="preserve"> </w:t>
      </w:r>
      <w:r>
        <w:rPr>
          <w:spacing w:val="-6"/>
        </w:rPr>
        <w:t>2016-2017.</w:t>
      </w:r>
    </w:p>
    <w:p w:rsidR="006C17CB" w:rsidRDefault="0030091C">
      <w:pPr>
        <w:pStyle w:val="BodyText"/>
        <w:spacing w:before="58"/>
        <w:ind w:left="153"/>
      </w:pPr>
      <w:r>
        <w:t>A total of seven staff left the Office during the year, representing a turnover of 10.4 per cent.</w:t>
      </w:r>
    </w:p>
    <w:p w:rsidR="006C17CB" w:rsidRDefault="006C17CB">
      <w:pPr>
        <w:pStyle w:val="BodyText"/>
      </w:pPr>
    </w:p>
    <w:p w:rsidR="006C17CB" w:rsidRDefault="0030091C">
      <w:pPr>
        <w:spacing w:before="183"/>
        <w:ind w:left="157"/>
        <w:rPr>
          <w:rFonts w:ascii="Calibri"/>
          <w:i/>
        </w:rPr>
      </w:pPr>
      <w:r>
        <w:rPr>
          <w:rFonts w:ascii="Calibri"/>
          <w:b/>
          <w:sz w:val="18"/>
        </w:rPr>
        <w:t xml:space="preserve">TABLE 8. </w:t>
      </w:r>
      <w:r>
        <w:rPr>
          <w:rFonts w:ascii="Calibri"/>
          <w:i/>
        </w:rPr>
        <w:t>Reasons for staff departures</w:t>
      </w:r>
    </w:p>
    <w:p w:rsidR="006C17CB" w:rsidRDefault="006C17CB">
      <w:pPr>
        <w:pStyle w:val="BodyText"/>
        <w:spacing w:before="4"/>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7682"/>
        <w:gridCol w:w="839"/>
        <w:gridCol w:w="1109"/>
      </w:tblGrid>
      <w:tr w:rsidR="006C17CB">
        <w:trPr>
          <w:trHeight w:val="396"/>
        </w:trPr>
        <w:tc>
          <w:tcPr>
            <w:tcW w:w="7682"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Reason for departure</w:t>
            </w:r>
          </w:p>
        </w:tc>
        <w:tc>
          <w:tcPr>
            <w:tcW w:w="839" w:type="dxa"/>
            <w:tcBorders>
              <w:top w:val="nil"/>
              <w:bottom w:val="nil"/>
              <w:right w:val="nil"/>
            </w:tcBorders>
            <w:shd w:val="clear" w:color="auto" w:fill="89A7D7"/>
          </w:tcPr>
          <w:p w:rsidR="006C17CB" w:rsidRDefault="0030091C">
            <w:pPr>
              <w:pStyle w:val="TableParagraph"/>
              <w:spacing w:before="72"/>
              <w:ind w:left="187"/>
              <w:jc w:val="left"/>
              <w:rPr>
                <w:b/>
                <w:sz w:val="18"/>
              </w:rPr>
            </w:pPr>
            <w:r>
              <w:rPr>
                <w:b/>
                <w:sz w:val="18"/>
              </w:rPr>
              <w:t>Number</w:t>
            </w:r>
          </w:p>
        </w:tc>
        <w:tc>
          <w:tcPr>
            <w:tcW w:w="1109" w:type="dxa"/>
            <w:tcBorders>
              <w:top w:val="nil"/>
              <w:left w:val="nil"/>
              <w:bottom w:val="nil"/>
              <w:right w:val="nil"/>
            </w:tcBorders>
            <w:shd w:val="clear" w:color="auto" w:fill="89A7D7"/>
          </w:tcPr>
          <w:p w:rsidR="006C17CB" w:rsidRDefault="0030091C">
            <w:pPr>
              <w:pStyle w:val="TableParagraph"/>
              <w:spacing w:before="72"/>
              <w:ind w:left="19"/>
              <w:jc w:val="left"/>
              <w:rPr>
                <w:b/>
                <w:sz w:val="18"/>
              </w:rPr>
            </w:pPr>
            <w:r>
              <w:rPr>
                <w:b/>
                <w:sz w:val="18"/>
              </w:rPr>
              <w:t>ofdepartures</w:t>
            </w:r>
          </w:p>
        </w:tc>
      </w:tr>
      <w:tr w:rsidR="006C17CB">
        <w:trPr>
          <w:trHeight w:val="386"/>
        </w:trPr>
        <w:tc>
          <w:tcPr>
            <w:tcW w:w="7682"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Promotion/transfer to an ACTPS agency</w:t>
            </w:r>
          </w:p>
        </w:tc>
        <w:tc>
          <w:tcPr>
            <w:tcW w:w="1948" w:type="dxa"/>
            <w:gridSpan w:val="2"/>
            <w:tcBorders>
              <w:top w:val="nil"/>
              <w:left w:val="single" w:sz="4" w:space="0" w:color="DADADA"/>
              <w:bottom w:val="single" w:sz="4" w:space="0" w:color="000000"/>
              <w:right w:val="nil"/>
            </w:tcBorders>
          </w:tcPr>
          <w:p w:rsidR="006C17CB" w:rsidRDefault="0030091C">
            <w:pPr>
              <w:pStyle w:val="TableParagraph"/>
              <w:spacing w:before="50"/>
              <w:ind w:right="77"/>
              <w:rPr>
                <w:sz w:val="18"/>
              </w:rPr>
            </w:pPr>
            <w:r>
              <w:rPr>
                <w:sz w:val="18"/>
              </w:rPr>
              <w:t>3</w:t>
            </w:r>
          </w:p>
        </w:tc>
      </w:tr>
      <w:tr w:rsidR="006C17CB">
        <w:trPr>
          <w:trHeight w:val="386"/>
        </w:trPr>
        <w:tc>
          <w:tcPr>
            <w:tcW w:w="7682"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Promotion/transfer to a Commonwealth agency</w:t>
            </w:r>
          </w:p>
        </w:tc>
        <w:tc>
          <w:tcPr>
            <w:tcW w:w="1948" w:type="dxa"/>
            <w:gridSpan w:val="2"/>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1</w:t>
            </w:r>
          </w:p>
        </w:tc>
      </w:tr>
      <w:tr w:rsidR="006C17CB">
        <w:trPr>
          <w:trHeight w:val="386"/>
        </w:trPr>
        <w:tc>
          <w:tcPr>
            <w:tcW w:w="7682"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Resignation (including retirement)</w:t>
            </w:r>
          </w:p>
        </w:tc>
        <w:tc>
          <w:tcPr>
            <w:tcW w:w="1948" w:type="dxa"/>
            <w:gridSpan w:val="2"/>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2</w:t>
            </w:r>
          </w:p>
        </w:tc>
      </w:tr>
      <w:tr w:rsidR="006C17CB">
        <w:trPr>
          <w:trHeight w:val="386"/>
        </w:trPr>
        <w:tc>
          <w:tcPr>
            <w:tcW w:w="7682"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End of temporary transfer</w:t>
            </w:r>
          </w:p>
        </w:tc>
        <w:tc>
          <w:tcPr>
            <w:tcW w:w="1948" w:type="dxa"/>
            <w:gridSpan w:val="2"/>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1</w:t>
            </w:r>
          </w:p>
        </w:tc>
      </w:tr>
      <w:tr w:rsidR="006C17CB">
        <w:trPr>
          <w:trHeight w:val="386"/>
        </w:trPr>
        <w:tc>
          <w:tcPr>
            <w:tcW w:w="7682"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End of temporary employment contract</w:t>
            </w:r>
          </w:p>
        </w:tc>
        <w:tc>
          <w:tcPr>
            <w:tcW w:w="1948" w:type="dxa"/>
            <w:gridSpan w:val="2"/>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bl>
    <w:p w:rsidR="006C17CB" w:rsidRDefault="006C17CB">
      <w:pPr>
        <w:pStyle w:val="BodyText"/>
        <w:spacing w:before="3"/>
        <w:rPr>
          <w:rFonts w:ascii="Calibri"/>
          <w:i/>
          <w:sz w:val="21"/>
        </w:rPr>
      </w:pPr>
    </w:p>
    <w:p w:rsidR="006C17CB" w:rsidRDefault="0030091C">
      <w:pPr>
        <w:pStyle w:val="BodyText"/>
        <w:spacing w:line="189" w:lineRule="auto"/>
        <w:ind w:left="153" w:right="1177"/>
      </w:pPr>
      <w:r>
        <w:t>In January 2018, two senior executive positions were established to head the Parliamentary Support and Business Support branches of the Office. This brought the positions into line with arrangements that broadly apply in other parliamentary jurisdictions, recognised the work value associated with the roles and achieved positive attraction and retention outcomes.</w:t>
      </w:r>
    </w:p>
    <w:p w:rsidR="006C17CB" w:rsidRDefault="006C17CB">
      <w:pPr>
        <w:spacing w:line="189" w:lineRule="auto"/>
        <w:sectPr w:rsidR="006C17CB">
          <w:pgSz w:w="11910" w:h="16840"/>
          <w:pgMar w:top="1580" w:right="0" w:bottom="720" w:left="980" w:header="0" w:footer="52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0"/>
        <w:rPr>
          <w:sz w:val="16"/>
        </w:rPr>
      </w:pPr>
    </w:p>
    <w:p w:rsidR="006C17CB" w:rsidRDefault="0030091C">
      <w:pPr>
        <w:spacing w:before="136"/>
        <w:ind w:left="153"/>
        <w:rPr>
          <w:rFonts w:ascii="Montserrat-SemiBoldItalic" w:hAnsi="Montserrat-SemiBoldItalic"/>
          <w:b/>
          <w:i/>
          <w:sz w:val="20"/>
        </w:rPr>
      </w:pPr>
      <w:r>
        <w:rPr>
          <w:rFonts w:ascii="Montserrat-SemiBoldItalic" w:hAnsi="Montserrat-SemiBoldItalic"/>
          <w:b/>
          <w:i/>
          <w:sz w:val="20"/>
        </w:rPr>
        <w:t>Members’ staff employment</w:t>
      </w:r>
    </w:p>
    <w:p w:rsidR="006C17CB" w:rsidRDefault="0030091C">
      <w:pPr>
        <w:pStyle w:val="BodyText"/>
        <w:spacing w:before="166" w:line="189" w:lineRule="auto"/>
        <w:ind w:left="153" w:right="1412"/>
      </w:pPr>
      <w:r>
        <w:t xml:space="preserve">A significant element of the Office’s human resource management effort relates to its role in the administration of employment of staff, and the engagement of contractors, by non-executive members under the </w:t>
      </w:r>
      <w:hyperlink r:id="rId70">
        <w:r>
          <w:rPr>
            <w:rFonts w:ascii="Calibri" w:hAnsi="Calibri"/>
            <w:i/>
          </w:rPr>
          <w:t xml:space="preserve">Legislative Assembly (Members’ Staff) Act 1989 </w:t>
        </w:r>
      </w:hyperlink>
      <w:r>
        <w:t>(the LAMS Act).</w:t>
      </w:r>
    </w:p>
    <w:p w:rsidR="006C17CB" w:rsidRDefault="0030091C">
      <w:pPr>
        <w:pStyle w:val="BodyText"/>
        <w:spacing w:before="112" w:line="189" w:lineRule="auto"/>
        <w:ind w:left="153" w:right="1081"/>
      </w:pPr>
      <w:r>
        <w:t>The employment arrangements for non-executive members are based on a staff salary allocation that is determined by the Chief Minister under the LAMS Act. As part of these arrangements, the Office monitors and updates relevant staff salary allocations and prepares and manages the execution of all staff employment agreements and contractor agreements.</w:t>
      </w:r>
    </w:p>
    <w:p w:rsidR="006C17CB" w:rsidRDefault="0030091C">
      <w:pPr>
        <w:pStyle w:val="BodyText"/>
        <w:spacing w:before="111" w:line="189" w:lineRule="auto"/>
        <w:ind w:left="153" w:right="1232"/>
      </w:pPr>
      <w:r>
        <w:t xml:space="preserve">A total of 109 employment agreements were administered by the Office over the reporting period. This compares with a total of </w:t>
      </w:r>
      <w:r>
        <w:rPr>
          <w:spacing w:val="-3"/>
        </w:rPr>
        <w:t xml:space="preserve">118 </w:t>
      </w:r>
      <w:r>
        <w:t xml:space="preserve">for the </w:t>
      </w:r>
      <w:r>
        <w:rPr>
          <w:spacing w:val="-4"/>
        </w:rPr>
        <w:t xml:space="preserve">2016-2017 </w:t>
      </w:r>
      <w:r>
        <w:rPr>
          <w:spacing w:val="-5"/>
        </w:rPr>
        <w:t xml:space="preserve">year, </w:t>
      </w:r>
      <w:r>
        <w:t xml:space="preserve">which included the new agreements that are required at the commencement of a new Assembly and the expansion of the Assembly from </w:t>
      </w:r>
      <w:r>
        <w:rPr>
          <w:spacing w:val="-5"/>
        </w:rPr>
        <w:t xml:space="preserve">17 </w:t>
      </w:r>
      <w:r>
        <w:t>to 25 members.</w:t>
      </w:r>
    </w:p>
    <w:p w:rsidR="006C17CB" w:rsidRDefault="0030091C">
      <w:pPr>
        <w:pStyle w:val="BodyText"/>
        <w:spacing w:before="112" w:line="189" w:lineRule="auto"/>
        <w:ind w:left="153" w:right="1628"/>
      </w:pPr>
      <w:r>
        <w:t xml:space="preserve">Members may also engage external contractors throughout the financial </w:t>
      </w:r>
      <w:r>
        <w:rPr>
          <w:spacing w:val="-5"/>
        </w:rPr>
        <w:t xml:space="preserve">year, </w:t>
      </w:r>
      <w:r>
        <w:t>provided they use funds from their staff salary allocation. In the</w:t>
      </w:r>
      <w:r>
        <w:rPr>
          <w:spacing w:val="-5"/>
        </w:rPr>
        <w:t xml:space="preserve"> 2017-2018 </w:t>
      </w:r>
      <w:r>
        <w:t>financial</w:t>
      </w:r>
      <w:r>
        <w:rPr>
          <w:spacing w:val="-5"/>
        </w:rPr>
        <w:t xml:space="preserve"> year, </w:t>
      </w:r>
      <w:r>
        <w:t>three members engaged eight external contractors to perform various pieces of work.</w:t>
      </w:r>
    </w:p>
    <w:p w:rsidR="006C17CB" w:rsidRDefault="0030091C">
      <w:pPr>
        <w:pStyle w:val="BodyText"/>
        <w:spacing w:before="112" w:line="189" w:lineRule="auto"/>
        <w:ind w:left="153" w:right="1232"/>
      </w:pPr>
      <w:r>
        <w:t>Another element of the Office’s administration of staff salary allocations for non-executive members relates to the pledging of allocations from one member to another. Under the staff salary allocation arrangements for non-executive members, a member may pledge part of their staff salary allocation to another member. Appendix 14 summarises the staff salary allocation of each non-executive member and the total amounts pledged or received by, or from, other members.</w:t>
      </w:r>
    </w:p>
    <w:p w:rsidR="006C17CB" w:rsidRDefault="0030091C" w:rsidP="002E10B3">
      <w:pPr>
        <w:pStyle w:val="BodyText"/>
        <w:spacing w:before="111" w:line="189" w:lineRule="auto"/>
        <w:ind w:left="153" w:right="1099"/>
      </w:pPr>
      <w:r>
        <w:t>From time to time, non-executive members will seek to engage volunteers in their offices, in accordance with guidelines that are in place for such arrangements. The Office’s role is to assess the volunteer agreements</w:t>
      </w:r>
      <w:r w:rsidR="002E10B3">
        <w:t xml:space="preserve"> </w:t>
      </w:r>
      <w:r>
        <w:t>for compliance with the relevant guidelines, which includes ensuring that there is an appropriate volunteer agreement in place and that there is appropriate insurance coverage. During the reporting period, ten volunteer agreements were processed, which was an increase from six volunteer agreements in</w:t>
      </w:r>
      <w:r>
        <w:rPr>
          <w:spacing w:val="-6"/>
        </w:rPr>
        <w:t xml:space="preserve"> 2016-2017.</w:t>
      </w:r>
    </w:p>
    <w:p w:rsidR="006C17CB" w:rsidRDefault="006C17CB">
      <w:pPr>
        <w:pStyle w:val="BodyText"/>
        <w:spacing w:before="6"/>
        <w:rPr>
          <w:sz w:val="23"/>
        </w:rPr>
      </w:pPr>
    </w:p>
    <w:p w:rsidR="006C17CB" w:rsidRDefault="0030091C">
      <w:pPr>
        <w:ind w:left="153"/>
        <w:rPr>
          <w:rFonts w:ascii="Montserrat-SemiBoldItalic"/>
          <w:b/>
          <w:i/>
          <w:sz w:val="20"/>
        </w:rPr>
      </w:pPr>
      <w:r>
        <w:rPr>
          <w:rFonts w:ascii="Montserrat-SemiBoldItalic"/>
          <w:b/>
          <w:i/>
          <w:sz w:val="20"/>
        </w:rPr>
        <w:t>Learning and development</w:t>
      </w:r>
    </w:p>
    <w:p w:rsidR="006C17CB" w:rsidRDefault="0030091C">
      <w:pPr>
        <w:pStyle w:val="BodyText"/>
        <w:spacing w:before="166" w:line="189" w:lineRule="auto"/>
        <w:ind w:left="153" w:right="1068"/>
      </w:pPr>
      <w:r>
        <w:t>In recognition of the need to develop and maintain a skilled and flexible workforce, the Office is committed to the provision of learning opportunities relevant to meeting current and future organisational needs.</w:t>
      </w:r>
    </w:p>
    <w:p w:rsidR="006C17CB" w:rsidRDefault="0030091C">
      <w:pPr>
        <w:pStyle w:val="BodyText"/>
        <w:spacing w:before="112" w:line="189" w:lineRule="auto"/>
        <w:ind w:left="153" w:right="1850"/>
      </w:pPr>
      <w:r>
        <w:t>This commitment is reinforced in the Office’s enterprise agreement and strategic plan, both of which recognise that people are the key to achieving the organisation’s goals.</w:t>
      </w:r>
    </w:p>
    <w:p w:rsidR="006C17CB" w:rsidRDefault="0030091C">
      <w:pPr>
        <w:pStyle w:val="BodyText"/>
        <w:spacing w:before="113" w:line="189" w:lineRule="auto"/>
        <w:ind w:left="153" w:right="1177"/>
      </w:pPr>
      <w:r>
        <w:t>The Office actively encourages all staff to participate in development activities, both internal and external, through learning and development plans that form part of the Office’s performance and development program. Development includes inter-parliamentary conferences and seminars, other specific training activities and lateral and temporary transfers within and outside the Office.</w:t>
      </w:r>
    </w:p>
    <w:p w:rsidR="006C17CB" w:rsidRDefault="0030091C" w:rsidP="002E10B3">
      <w:pPr>
        <w:pStyle w:val="BodyText"/>
        <w:spacing w:before="111" w:line="189" w:lineRule="auto"/>
        <w:ind w:left="153" w:right="1499"/>
      </w:pPr>
      <w:r>
        <w:t>The Office’s learning and development strategy takes an integrated and coherent approach to building on the collective knowledge and experience of staff. It provides individuals with opportunities to acquire,</w:t>
      </w:r>
      <w:r w:rsidR="002E10B3">
        <w:t xml:space="preserve"> </w:t>
      </w:r>
      <w:r>
        <w:t>practise and adopt new knowledge and experience, thereby enhancing individual, team and organisational performance and capability.</w:t>
      </w:r>
    </w:p>
    <w:p w:rsidR="006C17CB" w:rsidRDefault="0030091C">
      <w:pPr>
        <w:pStyle w:val="BodyText"/>
        <w:spacing w:before="111" w:line="189" w:lineRule="auto"/>
        <w:ind w:left="153" w:right="1177"/>
      </w:pPr>
      <w:r>
        <w:t>During the reporting period, 36 staff participated in 25 learning and development activities, which involved expenditure of approximately $67,800 (including associated travel costs). This provided learning and development activities in a broad range of areas, including:</w:t>
      </w:r>
    </w:p>
    <w:p w:rsidR="006C17CB" w:rsidRDefault="0030091C">
      <w:pPr>
        <w:pStyle w:val="ListParagraph"/>
        <w:numPr>
          <w:ilvl w:val="0"/>
          <w:numId w:val="22"/>
        </w:numPr>
        <w:tabs>
          <w:tab w:val="left" w:pos="381"/>
        </w:tabs>
        <w:spacing w:before="58" w:line="306" w:lineRule="exact"/>
      </w:pPr>
      <w:r>
        <w:t>inter-parliamentary conferences and</w:t>
      </w:r>
      <w:r>
        <w:rPr>
          <w:spacing w:val="-2"/>
        </w:rPr>
        <w:t xml:space="preserve"> </w:t>
      </w:r>
      <w:r>
        <w:t>seminars;</w:t>
      </w:r>
    </w:p>
    <w:p w:rsidR="006C17CB" w:rsidRDefault="0030091C">
      <w:pPr>
        <w:pStyle w:val="ListParagraph"/>
        <w:numPr>
          <w:ilvl w:val="0"/>
          <w:numId w:val="22"/>
        </w:numPr>
        <w:tabs>
          <w:tab w:val="left" w:pos="381"/>
        </w:tabs>
      </w:pPr>
      <w:r>
        <w:t>information technology</w:t>
      </w:r>
      <w:r>
        <w:rPr>
          <w:spacing w:val="-1"/>
        </w:rPr>
        <w:t xml:space="preserve"> </w:t>
      </w:r>
      <w:r>
        <w:t>skills;</w:t>
      </w:r>
    </w:p>
    <w:p w:rsidR="006C17CB" w:rsidRDefault="0030091C">
      <w:pPr>
        <w:pStyle w:val="ListParagraph"/>
        <w:numPr>
          <w:ilvl w:val="0"/>
          <w:numId w:val="22"/>
        </w:numPr>
        <w:tabs>
          <w:tab w:val="left" w:pos="381"/>
        </w:tabs>
      </w:pPr>
      <w:r>
        <w:t>information and records</w:t>
      </w:r>
      <w:r>
        <w:rPr>
          <w:spacing w:val="-1"/>
        </w:rPr>
        <w:t xml:space="preserve"> </w:t>
      </w:r>
      <w:r>
        <w:t>management;</w:t>
      </w:r>
    </w:p>
    <w:p w:rsidR="006C17CB" w:rsidRDefault="0030091C">
      <w:pPr>
        <w:pStyle w:val="ListParagraph"/>
        <w:numPr>
          <w:ilvl w:val="0"/>
          <w:numId w:val="22"/>
        </w:numPr>
        <w:tabs>
          <w:tab w:val="left" w:pos="381"/>
        </w:tabs>
        <w:spacing w:line="306" w:lineRule="exact"/>
      </w:pPr>
      <w:r>
        <w:t>document and web</w:t>
      </w:r>
      <w:r>
        <w:rPr>
          <w:spacing w:val="-2"/>
        </w:rPr>
        <w:t xml:space="preserve"> </w:t>
      </w:r>
      <w:r>
        <w:t>accessibility;</w:t>
      </w:r>
    </w:p>
    <w:p w:rsidR="006C17CB" w:rsidRDefault="006C17CB">
      <w:pPr>
        <w:spacing w:line="306" w:lineRule="exact"/>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2"/>
        <w:rPr>
          <w:sz w:val="19"/>
        </w:rPr>
      </w:pPr>
    </w:p>
    <w:p w:rsidR="006C17CB" w:rsidRDefault="0030091C">
      <w:pPr>
        <w:pStyle w:val="ListParagraph"/>
        <w:numPr>
          <w:ilvl w:val="0"/>
          <w:numId w:val="22"/>
        </w:numPr>
        <w:tabs>
          <w:tab w:val="left" w:pos="381"/>
        </w:tabs>
        <w:spacing w:before="8" w:line="306" w:lineRule="exact"/>
      </w:pPr>
      <w:r>
        <w:t>work safety, including emergency</w:t>
      </w:r>
      <w:r>
        <w:rPr>
          <w:spacing w:val="-2"/>
        </w:rPr>
        <w:t xml:space="preserve"> </w:t>
      </w:r>
      <w:r>
        <w:t>preparedness;</w:t>
      </w:r>
    </w:p>
    <w:p w:rsidR="006C17CB" w:rsidRDefault="0030091C">
      <w:pPr>
        <w:pStyle w:val="ListParagraph"/>
        <w:numPr>
          <w:ilvl w:val="0"/>
          <w:numId w:val="22"/>
        </w:numPr>
        <w:tabs>
          <w:tab w:val="left" w:pos="381"/>
        </w:tabs>
      </w:pPr>
      <w:r>
        <w:t>strategic</w:t>
      </w:r>
      <w:r>
        <w:rPr>
          <w:spacing w:val="-1"/>
        </w:rPr>
        <w:t xml:space="preserve"> </w:t>
      </w:r>
      <w:r>
        <w:t>thinking;</w:t>
      </w:r>
    </w:p>
    <w:p w:rsidR="006C17CB" w:rsidRDefault="0030091C">
      <w:pPr>
        <w:pStyle w:val="ListParagraph"/>
        <w:numPr>
          <w:ilvl w:val="0"/>
          <w:numId w:val="22"/>
        </w:numPr>
        <w:tabs>
          <w:tab w:val="left" w:pos="381"/>
        </w:tabs>
      </w:pPr>
      <w:r>
        <w:t>essential and advanced Excel</w:t>
      </w:r>
      <w:r>
        <w:rPr>
          <w:spacing w:val="-1"/>
        </w:rPr>
        <w:t xml:space="preserve"> </w:t>
      </w:r>
      <w:r>
        <w:t>skills;</w:t>
      </w:r>
    </w:p>
    <w:p w:rsidR="006C17CB" w:rsidRDefault="0030091C">
      <w:pPr>
        <w:pStyle w:val="ListParagraph"/>
        <w:numPr>
          <w:ilvl w:val="0"/>
          <w:numId w:val="22"/>
        </w:numPr>
        <w:tabs>
          <w:tab w:val="left" w:pos="381"/>
        </w:tabs>
      </w:pPr>
      <w:r>
        <w:t>manager development training;</w:t>
      </w:r>
      <w:r>
        <w:rPr>
          <w:spacing w:val="-1"/>
        </w:rPr>
        <w:t xml:space="preserve"> </w:t>
      </w:r>
      <w:r>
        <w:t>and</w:t>
      </w:r>
    </w:p>
    <w:p w:rsidR="006C17CB" w:rsidRDefault="0030091C">
      <w:pPr>
        <w:pStyle w:val="ListParagraph"/>
        <w:numPr>
          <w:ilvl w:val="0"/>
          <w:numId w:val="22"/>
        </w:numPr>
        <w:tabs>
          <w:tab w:val="left" w:pos="381"/>
        </w:tabs>
        <w:spacing w:line="306" w:lineRule="exact"/>
      </w:pPr>
      <w:r>
        <w:t>job specific</w:t>
      </w:r>
      <w:r>
        <w:rPr>
          <w:spacing w:val="-3"/>
        </w:rPr>
        <w:t xml:space="preserve"> </w:t>
      </w:r>
      <w:r>
        <w:t>training.</w:t>
      </w:r>
    </w:p>
    <w:p w:rsidR="006C17CB" w:rsidRDefault="006C17CB">
      <w:pPr>
        <w:pStyle w:val="BodyText"/>
        <w:spacing w:before="8"/>
        <w:rPr>
          <w:sz w:val="28"/>
        </w:rPr>
      </w:pPr>
    </w:p>
    <w:p w:rsidR="006C17CB" w:rsidRDefault="0030091C">
      <w:pPr>
        <w:spacing w:before="1"/>
        <w:ind w:left="153"/>
        <w:rPr>
          <w:rFonts w:ascii="Montserrat-SemiBoldItalic" w:hAnsi="Montserrat-SemiBoldItalic"/>
          <w:b/>
          <w:i/>
          <w:sz w:val="20"/>
        </w:rPr>
      </w:pPr>
      <w:r>
        <w:rPr>
          <w:rFonts w:ascii="Montserrat-SemiBoldItalic" w:hAnsi="Montserrat-SemiBoldItalic"/>
          <w:b/>
          <w:i/>
          <w:sz w:val="20"/>
        </w:rPr>
        <w:t>Members’ staff</w:t>
      </w:r>
    </w:p>
    <w:p w:rsidR="006C17CB" w:rsidRDefault="0030091C">
      <w:pPr>
        <w:pStyle w:val="BodyText"/>
        <w:spacing w:before="166" w:line="189" w:lineRule="auto"/>
        <w:ind w:left="153" w:right="1198"/>
        <w:jc w:val="both"/>
      </w:pPr>
      <w:r>
        <w:t xml:space="preserve">During the reporting period, 25 members’ staff participated in </w:t>
      </w:r>
      <w:r>
        <w:rPr>
          <w:spacing w:val="-3"/>
        </w:rPr>
        <w:t xml:space="preserve">11 </w:t>
      </w:r>
      <w:r>
        <w:t>learning and development activities, which involved</w:t>
      </w:r>
      <w:r>
        <w:rPr>
          <w:spacing w:val="-10"/>
        </w:rPr>
        <w:t xml:space="preserve"> </w:t>
      </w:r>
      <w:r>
        <w:t>expenditure</w:t>
      </w:r>
      <w:r>
        <w:rPr>
          <w:spacing w:val="-10"/>
        </w:rPr>
        <w:t xml:space="preserve"> </w:t>
      </w:r>
      <w:r>
        <w:t>of</w:t>
      </w:r>
      <w:r>
        <w:rPr>
          <w:spacing w:val="-10"/>
        </w:rPr>
        <w:t xml:space="preserve"> </w:t>
      </w:r>
      <w:r>
        <w:t>approximately</w:t>
      </w:r>
      <w:r>
        <w:rPr>
          <w:spacing w:val="-10"/>
        </w:rPr>
        <w:t xml:space="preserve"> </w:t>
      </w:r>
      <w:r>
        <w:t>$11,000</w:t>
      </w:r>
      <w:r>
        <w:rPr>
          <w:spacing w:val="-10"/>
        </w:rPr>
        <w:t xml:space="preserve"> </w:t>
      </w:r>
      <w:r>
        <w:t>(including</w:t>
      </w:r>
      <w:r>
        <w:rPr>
          <w:spacing w:val="-10"/>
        </w:rPr>
        <w:t xml:space="preserve"> </w:t>
      </w:r>
      <w:r>
        <w:t>associated</w:t>
      </w:r>
      <w:r>
        <w:rPr>
          <w:spacing w:val="-10"/>
        </w:rPr>
        <w:t xml:space="preserve"> </w:t>
      </w:r>
      <w:r>
        <w:t>travel</w:t>
      </w:r>
      <w:r>
        <w:rPr>
          <w:spacing w:val="-10"/>
        </w:rPr>
        <w:t xml:space="preserve"> </w:t>
      </w:r>
      <w:r>
        <w:t>costs).</w:t>
      </w:r>
      <w:r>
        <w:rPr>
          <w:spacing w:val="-10"/>
        </w:rPr>
        <w:t xml:space="preserve"> </w:t>
      </w:r>
      <w:r>
        <w:t>This</w:t>
      </w:r>
      <w:r>
        <w:rPr>
          <w:spacing w:val="-10"/>
        </w:rPr>
        <w:t xml:space="preserve"> </w:t>
      </w:r>
      <w:r>
        <w:t>provided</w:t>
      </w:r>
      <w:r>
        <w:rPr>
          <w:spacing w:val="-10"/>
        </w:rPr>
        <w:t xml:space="preserve"> </w:t>
      </w:r>
      <w:r>
        <w:t>learning</w:t>
      </w:r>
      <w:r>
        <w:rPr>
          <w:spacing w:val="-10"/>
        </w:rPr>
        <w:t xml:space="preserve"> </w:t>
      </w:r>
      <w:r>
        <w:t>and development activities in a broad range of areas,</w:t>
      </w:r>
      <w:r>
        <w:rPr>
          <w:spacing w:val="-6"/>
        </w:rPr>
        <w:t xml:space="preserve"> </w:t>
      </w:r>
      <w:r>
        <w:t>including:</w:t>
      </w:r>
    </w:p>
    <w:p w:rsidR="006C17CB" w:rsidRDefault="0030091C">
      <w:pPr>
        <w:pStyle w:val="ListParagraph"/>
        <w:numPr>
          <w:ilvl w:val="0"/>
          <w:numId w:val="22"/>
        </w:numPr>
        <w:tabs>
          <w:tab w:val="left" w:pos="381"/>
        </w:tabs>
        <w:spacing w:before="57" w:line="306" w:lineRule="exact"/>
      </w:pPr>
      <w:r>
        <w:t>inter-parliamentary conferences and</w:t>
      </w:r>
      <w:r>
        <w:rPr>
          <w:spacing w:val="-2"/>
        </w:rPr>
        <w:t xml:space="preserve"> </w:t>
      </w:r>
      <w:r>
        <w:t>seminars;</w:t>
      </w:r>
    </w:p>
    <w:p w:rsidR="006C17CB" w:rsidRDefault="0030091C">
      <w:pPr>
        <w:pStyle w:val="ListParagraph"/>
        <w:numPr>
          <w:ilvl w:val="0"/>
          <w:numId w:val="22"/>
        </w:numPr>
        <w:tabs>
          <w:tab w:val="left" w:pos="381"/>
        </w:tabs>
      </w:pPr>
      <w:r>
        <w:t>supervision and management</w:t>
      </w:r>
      <w:r>
        <w:rPr>
          <w:spacing w:val="-2"/>
        </w:rPr>
        <w:t xml:space="preserve"> </w:t>
      </w:r>
      <w:r>
        <w:t>skills;</w:t>
      </w:r>
    </w:p>
    <w:p w:rsidR="006C17CB" w:rsidRDefault="0030091C">
      <w:pPr>
        <w:pStyle w:val="ListParagraph"/>
        <w:numPr>
          <w:ilvl w:val="0"/>
          <w:numId w:val="22"/>
        </w:numPr>
        <w:tabs>
          <w:tab w:val="left" w:pos="381"/>
        </w:tabs>
      </w:pPr>
      <w:r>
        <w:t>organisation and time management</w:t>
      </w:r>
      <w:r>
        <w:rPr>
          <w:spacing w:val="-3"/>
        </w:rPr>
        <w:t xml:space="preserve"> </w:t>
      </w:r>
      <w:r>
        <w:t>skills;</w:t>
      </w:r>
    </w:p>
    <w:p w:rsidR="006C17CB" w:rsidRDefault="0030091C">
      <w:pPr>
        <w:pStyle w:val="ListParagraph"/>
        <w:numPr>
          <w:ilvl w:val="0"/>
          <w:numId w:val="22"/>
        </w:numPr>
        <w:tabs>
          <w:tab w:val="left" w:pos="381"/>
        </w:tabs>
      </w:pPr>
      <w:r>
        <w:t xml:space="preserve">computer skills (Access, Excel and </w:t>
      </w:r>
      <w:r>
        <w:rPr>
          <w:spacing w:val="-3"/>
        </w:rPr>
        <w:t>Photoshop)</w:t>
      </w:r>
      <w:r>
        <w:rPr>
          <w:spacing w:val="-2"/>
        </w:rPr>
        <w:t xml:space="preserve"> </w:t>
      </w:r>
      <w:r>
        <w:t>skills;</w:t>
      </w:r>
    </w:p>
    <w:p w:rsidR="006C17CB" w:rsidRDefault="0030091C">
      <w:pPr>
        <w:pStyle w:val="ListParagraph"/>
        <w:numPr>
          <w:ilvl w:val="0"/>
          <w:numId w:val="22"/>
        </w:numPr>
        <w:tabs>
          <w:tab w:val="left" w:pos="381"/>
        </w:tabs>
      </w:pPr>
      <w:r>
        <w:t>social media skills;</w:t>
      </w:r>
      <w:r>
        <w:rPr>
          <w:spacing w:val="-2"/>
        </w:rPr>
        <w:t xml:space="preserve"> </w:t>
      </w:r>
      <w:r>
        <w:t>and</w:t>
      </w:r>
    </w:p>
    <w:p w:rsidR="006C17CB" w:rsidRDefault="0030091C">
      <w:pPr>
        <w:pStyle w:val="ListParagraph"/>
        <w:numPr>
          <w:ilvl w:val="0"/>
          <w:numId w:val="22"/>
        </w:numPr>
        <w:tabs>
          <w:tab w:val="left" w:pos="381"/>
        </w:tabs>
        <w:spacing w:line="306" w:lineRule="exact"/>
      </w:pPr>
      <w:r>
        <w:t>communication</w:t>
      </w:r>
      <w:r>
        <w:rPr>
          <w:spacing w:val="-1"/>
        </w:rPr>
        <w:t xml:space="preserve"> </w:t>
      </w:r>
      <w:r>
        <w:t>skills.</w:t>
      </w:r>
    </w:p>
    <w:p w:rsidR="006C17CB" w:rsidRDefault="006C17CB">
      <w:pPr>
        <w:pStyle w:val="BodyText"/>
        <w:spacing w:before="9"/>
        <w:rPr>
          <w:sz w:val="28"/>
        </w:rPr>
      </w:pPr>
    </w:p>
    <w:p w:rsidR="006C17CB" w:rsidRDefault="0030091C">
      <w:pPr>
        <w:ind w:left="153"/>
        <w:rPr>
          <w:rFonts w:ascii="Montserrat-SemiBoldItalic"/>
          <w:b/>
          <w:i/>
          <w:sz w:val="20"/>
        </w:rPr>
      </w:pPr>
      <w:r>
        <w:rPr>
          <w:rFonts w:ascii="Montserrat-SemiBoldItalic"/>
          <w:b/>
          <w:i/>
          <w:sz w:val="20"/>
        </w:rPr>
        <w:t>Workplace health and safety</w:t>
      </w:r>
    </w:p>
    <w:p w:rsidR="006C17CB" w:rsidRDefault="0030091C">
      <w:pPr>
        <w:pStyle w:val="BodyText"/>
        <w:spacing w:before="166" w:line="189" w:lineRule="auto"/>
        <w:ind w:left="153" w:right="1142"/>
      </w:pPr>
      <w:r>
        <w:t>The Office is committed to promoting and maintaining a high standard of health and safety and wellbeing for all staff, members, contractors and visitors. The Assembly is also a unique workplace in relation to workplace health and safety, with each member and the Clerk having employer responsibilities in relation to their respective employees.</w:t>
      </w:r>
    </w:p>
    <w:p w:rsidR="006C17CB" w:rsidRDefault="0030091C" w:rsidP="000D2C18">
      <w:pPr>
        <w:pStyle w:val="BodyText"/>
        <w:spacing w:before="112" w:line="189" w:lineRule="auto"/>
        <w:ind w:left="153" w:right="1696"/>
      </w:pPr>
      <w:r>
        <w:t>The Ninth Assembly leadership group (the Speaker, the Chief Minister, the Leader of the Opposition, the Leader of the ACT Greens and the Clerk of the Legislative Assembly) endorsed the workplace injury</w:t>
      </w:r>
      <w:r w:rsidR="000D2C18">
        <w:t xml:space="preserve"> </w:t>
      </w:r>
      <w:r>
        <w:t xml:space="preserve">prevention policy statement to demonstrate their commitment to the broad legislative requirements that apply to the Assembly workplace under the </w:t>
      </w:r>
      <w:hyperlink r:id="rId71">
        <w:r>
          <w:rPr>
            <w:rFonts w:ascii="Calibri"/>
            <w:i/>
            <w:spacing w:val="-5"/>
          </w:rPr>
          <w:t xml:space="preserve">Work Health </w:t>
        </w:r>
        <w:r>
          <w:rPr>
            <w:rFonts w:ascii="Calibri"/>
            <w:i/>
            <w:spacing w:val="-4"/>
          </w:rPr>
          <w:t xml:space="preserve">and Safety </w:t>
        </w:r>
        <w:r>
          <w:rPr>
            <w:rFonts w:ascii="Calibri"/>
            <w:i/>
            <w:spacing w:val="-3"/>
          </w:rPr>
          <w:t xml:space="preserve">Act </w:t>
        </w:r>
        <w:r>
          <w:rPr>
            <w:rFonts w:ascii="Calibri"/>
            <w:i/>
            <w:spacing w:val="-8"/>
          </w:rPr>
          <w:t>2011</w:t>
        </w:r>
      </w:hyperlink>
      <w:r>
        <w:rPr>
          <w:spacing w:val="-8"/>
        </w:rPr>
        <w:t xml:space="preserve">; </w:t>
      </w:r>
      <w:r>
        <w:t>that is, to provide and maintain a safe workplace and safe systems of work for all workers.</w:t>
      </w:r>
    </w:p>
    <w:p w:rsidR="006C17CB" w:rsidRDefault="0030091C">
      <w:pPr>
        <w:pStyle w:val="BodyText"/>
        <w:spacing w:before="110" w:line="189" w:lineRule="auto"/>
        <w:ind w:left="153" w:right="1186"/>
      </w:pPr>
      <w:r>
        <w:t>The Assembly workplace has a health and safety committee that met on three occasions during the reporting</w:t>
      </w:r>
      <w:r>
        <w:rPr>
          <w:spacing w:val="-9"/>
        </w:rPr>
        <w:t xml:space="preserve"> </w:t>
      </w:r>
      <w:r>
        <w:t>period.</w:t>
      </w:r>
      <w:r>
        <w:rPr>
          <w:spacing w:val="-9"/>
        </w:rPr>
        <w:t xml:space="preserve"> </w:t>
      </w:r>
      <w:r>
        <w:t>Membership</w:t>
      </w:r>
      <w:r>
        <w:rPr>
          <w:spacing w:val="-9"/>
        </w:rPr>
        <w:t xml:space="preserve"> </w:t>
      </w:r>
      <w:r>
        <w:t>of</w:t>
      </w:r>
      <w:r>
        <w:rPr>
          <w:spacing w:val="-9"/>
        </w:rPr>
        <w:t xml:space="preserve"> </w:t>
      </w:r>
      <w:r>
        <w:t>the</w:t>
      </w:r>
      <w:r>
        <w:rPr>
          <w:spacing w:val="-9"/>
        </w:rPr>
        <w:t xml:space="preserve"> </w:t>
      </w:r>
      <w:r>
        <w:t>committee</w:t>
      </w:r>
      <w:r>
        <w:rPr>
          <w:spacing w:val="-9"/>
        </w:rPr>
        <w:t xml:space="preserve"> </w:t>
      </w:r>
      <w:r>
        <w:t>includes</w:t>
      </w:r>
      <w:r>
        <w:rPr>
          <w:spacing w:val="-9"/>
        </w:rPr>
        <w:t xml:space="preserve"> </w:t>
      </w:r>
      <w:r>
        <w:t>three</w:t>
      </w:r>
      <w:r>
        <w:rPr>
          <w:spacing w:val="-9"/>
        </w:rPr>
        <w:t xml:space="preserve"> </w:t>
      </w:r>
      <w:r>
        <w:t>management</w:t>
      </w:r>
      <w:r>
        <w:rPr>
          <w:spacing w:val="-9"/>
        </w:rPr>
        <w:t xml:space="preserve"> </w:t>
      </w:r>
      <w:r>
        <w:t>representatives,</w:t>
      </w:r>
      <w:r>
        <w:rPr>
          <w:spacing w:val="-9"/>
        </w:rPr>
        <w:t xml:space="preserve"> </w:t>
      </w:r>
      <w:r>
        <w:t>five</w:t>
      </w:r>
      <w:r>
        <w:rPr>
          <w:spacing w:val="-9"/>
        </w:rPr>
        <w:t xml:space="preserve"> </w:t>
      </w:r>
      <w:r>
        <w:t>workplace representatives covering the Office and members’ staff, the health and safety representative, and one union representative.</w:t>
      </w:r>
    </w:p>
    <w:p w:rsidR="006C17CB" w:rsidRDefault="0030091C">
      <w:pPr>
        <w:pStyle w:val="BodyText"/>
        <w:spacing w:before="112" w:line="189" w:lineRule="auto"/>
        <w:ind w:left="153" w:right="1107"/>
      </w:pPr>
      <w:r>
        <w:t>There was one workers compensation claim made during the reporting period, which required the injured worker to take some time off work. In spite of this minor claim, the workers compensation premium rates set for both the non-executive and the Office cost centres continued to be at the minimum rate of 0.70 per cent.</w:t>
      </w:r>
    </w:p>
    <w:p w:rsidR="006C17CB" w:rsidRDefault="0030091C">
      <w:pPr>
        <w:pStyle w:val="BodyText"/>
        <w:spacing w:before="57"/>
        <w:ind w:left="153"/>
      </w:pPr>
      <w:r>
        <w:t>The following measures were undertaken to ensure workplace health, safety and welfare at work for all staff:</w:t>
      </w:r>
    </w:p>
    <w:p w:rsidR="006C17CB" w:rsidRDefault="0030091C">
      <w:pPr>
        <w:pStyle w:val="ListParagraph"/>
        <w:numPr>
          <w:ilvl w:val="0"/>
          <w:numId w:val="22"/>
        </w:numPr>
        <w:tabs>
          <w:tab w:val="left" w:pos="381"/>
        </w:tabs>
        <w:spacing w:before="101" w:line="189" w:lineRule="auto"/>
        <w:ind w:right="1735"/>
      </w:pPr>
      <w:r>
        <w:t>influenza</w:t>
      </w:r>
      <w:r>
        <w:rPr>
          <w:spacing w:val="-7"/>
        </w:rPr>
        <w:t xml:space="preserve"> </w:t>
      </w:r>
      <w:r>
        <w:t>vaccinations</w:t>
      </w:r>
      <w:r>
        <w:rPr>
          <w:spacing w:val="-7"/>
        </w:rPr>
        <w:t xml:space="preserve"> </w:t>
      </w:r>
      <w:r>
        <w:t>were</w:t>
      </w:r>
      <w:r>
        <w:rPr>
          <w:spacing w:val="-8"/>
        </w:rPr>
        <w:t xml:space="preserve"> </w:t>
      </w:r>
      <w:r>
        <w:t>arranged</w:t>
      </w:r>
      <w:r>
        <w:rPr>
          <w:spacing w:val="-8"/>
        </w:rPr>
        <w:t xml:space="preserve"> </w:t>
      </w:r>
      <w:r>
        <w:t>on-site</w:t>
      </w:r>
      <w:r>
        <w:rPr>
          <w:spacing w:val="-8"/>
        </w:rPr>
        <w:t xml:space="preserve"> </w:t>
      </w:r>
      <w:r>
        <w:rPr>
          <w:spacing w:val="-4"/>
        </w:rPr>
        <w:t>(or</w:t>
      </w:r>
      <w:r>
        <w:rPr>
          <w:spacing w:val="-8"/>
        </w:rPr>
        <w:t xml:space="preserve"> </w:t>
      </w:r>
      <w:r>
        <w:t>reimbursement</w:t>
      </w:r>
      <w:r>
        <w:rPr>
          <w:spacing w:val="-7"/>
        </w:rPr>
        <w:t xml:space="preserve"> </w:t>
      </w:r>
      <w:r>
        <w:t>was</w:t>
      </w:r>
      <w:r>
        <w:rPr>
          <w:spacing w:val="-7"/>
        </w:rPr>
        <w:t xml:space="preserve"> </w:t>
      </w:r>
      <w:r>
        <w:t>provided</w:t>
      </w:r>
      <w:r>
        <w:rPr>
          <w:spacing w:val="-8"/>
        </w:rPr>
        <w:t xml:space="preserve"> </w:t>
      </w:r>
      <w:r>
        <w:t>if</w:t>
      </w:r>
      <w:r>
        <w:rPr>
          <w:spacing w:val="-7"/>
        </w:rPr>
        <w:t xml:space="preserve"> </w:t>
      </w:r>
      <w:r>
        <w:t>the</w:t>
      </w:r>
      <w:r>
        <w:rPr>
          <w:spacing w:val="-8"/>
        </w:rPr>
        <w:t xml:space="preserve"> </w:t>
      </w:r>
      <w:r>
        <w:t>vaccination</w:t>
      </w:r>
      <w:r>
        <w:rPr>
          <w:spacing w:val="-7"/>
        </w:rPr>
        <w:t xml:space="preserve"> </w:t>
      </w:r>
      <w:r>
        <w:t>was privately</w:t>
      </w:r>
      <w:r>
        <w:rPr>
          <w:spacing w:val="-1"/>
        </w:rPr>
        <w:t xml:space="preserve"> </w:t>
      </w:r>
      <w:r>
        <w:t>arranged);</w:t>
      </w:r>
    </w:p>
    <w:p w:rsidR="006C17CB" w:rsidRDefault="0030091C">
      <w:pPr>
        <w:pStyle w:val="ListParagraph"/>
        <w:numPr>
          <w:ilvl w:val="0"/>
          <w:numId w:val="22"/>
        </w:numPr>
        <w:tabs>
          <w:tab w:val="left" w:pos="381"/>
        </w:tabs>
        <w:spacing w:before="44" w:line="189" w:lineRule="auto"/>
        <w:ind w:right="1688"/>
      </w:pPr>
      <w:r>
        <w:t>workstation</w:t>
      </w:r>
      <w:r>
        <w:rPr>
          <w:spacing w:val="-6"/>
        </w:rPr>
        <w:t xml:space="preserve"> </w:t>
      </w:r>
      <w:r>
        <w:t>assessments</w:t>
      </w:r>
      <w:r>
        <w:rPr>
          <w:spacing w:val="-6"/>
        </w:rPr>
        <w:t xml:space="preserve"> </w:t>
      </w:r>
      <w:r>
        <w:t>were</w:t>
      </w:r>
      <w:r>
        <w:rPr>
          <w:spacing w:val="-7"/>
        </w:rPr>
        <w:t xml:space="preserve"> </w:t>
      </w:r>
      <w:r>
        <w:t>offered</w:t>
      </w:r>
      <w:r>
        <w:rPr>
          <w:spacing w:val="-7"/>
        </w:rPr>
        <w:t xml:space="preserve"> </w:t>
      </w:r>
      <w:r>
        <w:t>to</w:t>
      </w:r>
      <w:r>
        <w:rPr>
          <w:spacing w:val="-7"/>
        </w:rPr>
        <w:t xml:space="preserve"> </w:t>
      </w:r>
      <w:r>
        <w:t>all</w:t>
      </w:r>
      <w:r>
        <w:rPr>
          <w:spacing w:val="-6"/>
        </w:rPr>
        <w:t xml:space="preserve"> </w:t>
      </w:r>
      <w:r>
        <w:t>staff</w:t>
      </w:r>
      <w:r>
        <w:rPr>
          <w:spacing w:val="-6"/>
        </w:rPr>
        <w:t xml:space="preserve"> </w:t>
      </w:r>
      <w:r>
        <w:t>on</w:t>
      </w:r>
      <w:r>
        <w:rPr>
          <w:spacing w:val="-7"/>
        </w:rPr>
        <w:t xml:space="preserve"> </w:t>
      </w:r>
      <w:r>
        <w:t>commencement</w:t>
      </w:r>
      <w:r>
        <w:rPr>
          <w:spacing w:val="-6"/>
        </w:rPr>
        <w:t xml:space="preserve"> </w:t>
      </w:r>
      <w:r>
        <w:t>of</w:t>
      </w:r>
      <w:r>
        <w:rPr>
          <w:spacing w:val="-6"/>
        </w:rPr>
        <w:t xml:space="preserve"> </w:t>
      </w:r>
      <w:r>
        <w:t>employment</w:t>
      </w:r>
      <w:r>
        <w:rPr>
          <w:spacing w:val="-6"/>
        </w:rPr>
        <w:t xml:space="preserve"> </w:t>
      </w:r>
      <w:r>
        <w:t>or</w:t>
      </w:r>
      <w:r>
        <w:rPr>
          <w:spacing w:val="-7"/>
        </w:rPr>
        <w:t xml:space="preserve"> </w:t>
      </w:r>
      <w:r>
        <w:t>if</w:t>
      </w:r>
      <w:r>
        <w:rPr>
          <w:spacing w:val="-6"/>
        </w:rPr>
        <w:t xml:space="preserve"> </w:t>
      </w:r>
      <w:r>
        <w:t>symptoms were</w:t>
      </w:r>
      <w:r>
        <w:rPr>
          <w:spacing w:val="-2"/>
        </w:rPr>
        <w:t xml:space="preserve"> </w:t>
      </w:r>
      <w:r>
        <w:t>reported;</w:t>
      </w:r>
    </w:p>
    <w:p w:rsidR="006C17CB" w:rsidRDefault="0030091C">
      <w:pPr>
        <w:pStyle w:val="ListParagraph"/>
        <w:numPr>
          <w:ilvl w:val="0"/>
          <w:numId w:val="22"/>
        </w:numPr>
        <w:tabs>
          <w:tab w:val="left" w:pos="381"/>
        </w:tabs>
        <w:spacing w:line="296" w:lineRule="exact"/>
      </w:pPr>
      <w:r>
        <w:t>training for staff who deal with difficult or vulnerable people was</w:t>
      </w:r>
      <w:r>
        <w:rPr>
          <w:spacing w:val="-14"/>
        </w:rPr>
        <w:t xml:space="preserve"> </w:t>
      </w:r>
      <w:r>
        <w:t>undertaken;</w:t>
      </w:r>
    </w:p>
    <w:p w:rsidR="006C17CB" w:rsidRDefault="0030091C">
      <w:pPr>
        <w:pStyle w:val="ListParagraph"/>
        <w:numPr>
          <w:ilvl w:val="0"/>
          <w:numId w:val="22"/>
        </w:numPr>
        <w:tabs>
          <w:tab w:val="left" w:pos="381"/>
        </w:tabs>
      </w:pPr>
      <w:r>
        <w:t>first aid training was provided, along with general emergency and building evacuation</w:t>
      </w:r>
      <w:r>
        <w:rPr>
          <w:spacing w:val="-21"/>
        </w:rPr>
        <w:t xml:space="preserve"> </w:t>
      </w:r>
      <w:r>
        <w:t>awareness;</w:t>
      </w:r>
    </w:p>
    <w:p w:rsidR="006C17CB" w:rsidRDefault="0030091C">
      <w:pPr>
        <w:pStyle w:val="ListParagraph"/>
        <w:numPr>
          <w:ilvl w:val="0"/>
          <w:numId w:val="22"/>
        </w:numPr>
        <w:tabs>
          <w:tab w:val="left" w:pos="381"/>
        </w:tabs>
      </w:pPr>
      <w:r>
        <w:t>health and wellbeing reimbursements were paid under the relevant enterprise</w:t>
      </w:r>
      <w:r>
        <w:rPr>
          <w:spacing w:val="-18"/>
        </w:rPr>
        <w:t xml:space="preserve"> </w:t>
      </w:r>
      <w:r>
        <w:t>agreements;</w:t>
      </w:r>
    </w:p>
    <w:p w:rsidR="006C17CB" w:rsidRDefault="0030091C">
      <w:pPr>
        <w:pStyle w:val="ListParagraph"/>
        <w:numPr>
          <w:ilvl w:val="0"/>
          <w:numId w:val="22"/>
        </w:numPr>
        <w:tabs>
          <w:tab w:val="left" w:pos="381"/>
        </w:tabs>
        <w:spacing w:before="43" w:line="189" w:lineRule="auto"/>
        <w:ind w:right="1446"/>
      </w:pPr>
      <w:r>
        <w:t>articles</w:t>
      </w:r>
      <w:r>
        <w:rPr>
          <w:spacing w:val="-7"/>
        </w:rPr>
        <w:t xml:space="preserve"> </w:t>
      </w:r>
      <w:r>
        <w:t>were</w:t>
      </w:r>
      <w:r>
        <w:rPr>
          <w:spacing w:val="-8"/>
        </w:rPr>
        <w:t xml:space="preserve"> </w:t>
      </w:r>
      <w:r>
        <w:t>published</w:t>
      </w:r>
      <w:r>
        <w:rPr>
          <w:spacing w:val="-8"/>
        </w:rPr>
        <w:t xml:space="preserve"> </w:t>
      </w:r>
      <w:r>
        <w:t>in</w:t>
      </w:r>
      <w:r>
        <w:rPr>
          <w:spacing w:val="-7"/>
        </w:rPr>
        <w:t xml:space="preserve"> </w:t>
      </w:r>
      <w:r>
        <w:t>the</w:t>
      </w:r>
      <w:r>
        <w:rPr>
          <w:spacing w:val="-8"/>
        </w:rPr>
        <w:t xml:space="preserve"> </w:t>
      </w:r>
      <w:r>
        <w:t>Assembly</w:t>
      </w:r>
      <w:r>
        <w:rPr>
          <w:spacing w:val="-7"/>
        </w:rPr>
        <w:t xml:space="preserve"> </w:t>
      </w:r>
      <w:r>
        <w:t>newsletter</w:t>
      </w:r>
      <w:r>
        <w:rPr>
          <w:spacing w:val="-7"/>
        </w:rPr>
        <w:t xml:space="preserve"> </w:t>
      </w:r>
      <w:r>
        <w:t>on</w:t>
      </w:r>
      <w:r>
        <w:rPr>
          <w:spacing w:val="-8"/>
        </w:rPr>
        <w:t xml:space="preserve"> </w:t>
      </w:r>
      <w:r>
        <w:t>work</w:t>
      </w:r>
      <w:r>
        <w:rPr>
          <w:spacing w:val="-7"/>
        </w:rPr>
        <w:t xml:space="preserve"> </w:t>
      </w:r>
      <w:r>
        <w:t>safety</w:t>
      </w:r>
      <w:r>
        <w:rPr>
          <w:spacing w:val="-7"/>
        </w:rPr>
        <w:t xml:space="preserve"> </w:t>
      </w:r>
      <w:r>
        <w:t>related</w:t>
      </w:r>
      <w:r>
        <w:rPr>
          <w:spacing w:val="-8"/>
        </w:rPr>
        <w:t xml:space="preserve"> </w:t>
      </w:r>
      <w:r>
        <w:t>matters,</w:t>
      </w:r>
      <w:r>
        <w:rPr>
          <w:spacing w:val="-7"/>
        </w:rPr>
        <w:t xml:space="preserve"> </w:t>
      </w:r>
      <w:r>
        <w:t>including</w:t>
      </w:r>
      <w:r>
        <w:rPr>
          <w:spacing w:val="-7"/>
        </w:rPr>
        <w:t xml:space="preserve"> </w:t>
      </w:r>
      <w:r>
        <w:t xml:space="preserve">promoting the employee assistance program </w:t>
      </w:r>
      <w:r>
        <w:rPr>
          <w:spacing w:val="-3"/>
        </w:rPr>
        <w:t>(EAP);</w:t>
      </w:r>
      <w:r>
        <w:rPr>
          <w:spacing w:val="-6"/>
        </w:rPr>
        <w:t xml:space="preserve"> </w:t>
      </w:r>
      <w:r>
        <w:t>and</w:t>
      </w:r>
    </w:p>
    <w:p w:rsidR="006C17CB" w:rsidRDefault="0030091C">
      <w:pPr>
        <w:pStyle w:val="ListParagraph"/>
        <w:numPr>
          <w:ilvl w:val="0"/>
          <w:numId w:val="22"/>
        </w:numPr>
        <w:tabs>
          <w:tab w:val="left" w:pos="381"/>
        </w:tabs>
        <w:spacing w:line="307" w:lineRule="exact"/>
      </w:pPr>
      <w:r>
        <w:t>the monthly Healthworks brochure was distributed to all</w:t>
      </w:r>
      <w:r>
        <w:rPr>
          <w:spacing w:val="-9"/>
        </w:rPr>
        <w:t xml:space="preserve"> </w:t>
      </w:r>
      <w:r>
        <w:t>staff.</w:t>
      </w:r>
    </w:p>
    <w:p w:rsidR="006C17CB" w:rsidRDefault="006C17CB">
      <w:pPr>
        <w:spacing w:line="307" w:lineRule="exact"/>
        <w:sectPr w:rsidR="006C17CB">
          <w:pgSz w:w="11910" w:h="16840"/>
          <w:pgMar w:top="1580" w:right="0" w:bottom="720" w:left="980" w:header="0" w:footer="52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2"/>
        <w:rPr>
          <w:sz w:val="19"/>
        </w:rPr>
      </w:pPr>
    </w:p>
    <w:p w:rsidR="006C17CB" w:rsidRDefault="0030091C">
      <w:pPr>
        <w:pStyle w:val="BodyText"/>
        <w:spacing w:before="8"/>
        <w:ind w:left="153"/>
      </w:pPr>
      <w:bookmarkStart w:id="68" w:name="Strategic_asset_management"/>
      <w:bookmarkStart w:id="69" w:name="_bookmark21"/>
      <w:bookmarkEnd w:id="68"/>
      <w:bookmarkEnd w:id="69"/>
      <w:r>
        <w:t>During the reporting period:</w:t>
      </w:r>
    </w:p>
    <w:p w:rsidR="006C17CB" w:rsidRDefault="0030091C" w:rsidP="000D2C18">
      <w:pPr>
        <w:pStyle w:val="ListParagraph"/>
        <w:numPr>
          <w:ilvl w:val="0"/>
          <w:numId w:val="22"/>
        </w:numPr>
        <w:tabs>
          <w:tab w:val="left" w:pos="381"/>
        </w:tabs>
        <w:spacing w:before="100" w:line="189" w:lineRule="auto"/>
        <w:ind w:right="1370"/>
      </w:pPr>
      <w:r>
        <w:t>the</w:t>
      </w:r>
      <w:r>
        <w:rPr>
          <w:spacing w:val="-6"/>
        </w:rPr>
        <w:t xml:space="preserve"> </w:t>
      </w:r>
      <w:r>
        <w:t>Assembly</w:t>
      </w:r>
      <w:r>
        <w:rPr>
          <w:spacing w:val="-5"/>
        </w:rPr>
        <w:t xml:space="preserve"> </w:t>
      </w:r>
      <w:r>
        <w:t>had</w:t>
      </w:r>
      <w:r>
        <w:rPr>
          <w:spacing w:val="-5"/>
        </w:rPr>
        <w:t xml:space="preserve"> </w:t>
      </w:r>
      <w:r>
        <w:t>one</w:t>
      </w:r>
      <w:r>
        <w:rPr>
          <w:spacing w:val="-6"/>
        </w:rPr>
        <w:t xml:space="preserve"> </w:t>
      </w:r>
      <w:r>
        <w:t>accident</w:t>
      </w:r>
      <w:r>
        <w:rPr>
          <w:spacing w:val="-5"/>
        </w:rPr>
        <w:t xml:space="preserve"> </w:t>
      </w:r>
      <w:r>
        <w:t>or</w:t>
      </w:r>
      <w:r>
        <w:rPr>
          <w:spacing w:val="-6"/>
        </w:rPr>
        <w:t xml:space="preserve"> </w:t>
      </w:r>
      <w:r>
        <w:t>dangerous</w:t>
      </w:r>
      <w:r>
        <w:rPr>
          <w:spacing w:val="-5"/>
        </w:rPr>
        <w:t xml:space="preserve"> </w:t>
      </w:r>
      <w:r>
        <w:t>occurrence</w:t>
      </w:r>
      <w:r>
        <w:rPr>
          <w:spacing w:val="-6"/>
        </w:rPr>
        <w:t xml:space="preserve"> </w:t>
      </w:r>
      <w:r>
        <w:t>that</w:t>
      </w:r>
      <w:r>
        <w:rPr>
          <w:spacing w:val="-5"/>
        </w:rPr>
        <w:t xml:space="preserve"> </w:t>
      </w:r>
      <w:r>
        <w:t>required</w:t>
      </w:r>
      <w:r>
        <w:rPr>
          <w:spacing w:val="-6"/>
        </w:rPr>
        <w:t xml:space="preserve"> </w:t>
      </w:r>
      <w:r>
        <w:t>the</w:t>
      </w:r>
      <w:r>
        <w:rPr>
          <w:spacing w:val="-6"/>
        </w:rPr>
        <w:t xml:space="preserve"> </w:t>
      </w:r>
      <w:r>
        <w:t>issuing</w:t>
      </w:r>
      <w:r>
        <w:rPr>
          <w:spacing w:val="-5"/>
        </w:rPr>
        <w:t xml:space="preserve"> </w:t>
      </w:r>
      <w:r>
        <w:t>of</w:t>
      </w:r>
      <w:r>
        <w:rPr>
          <w:spacing w:val="-5"/>
        </w:rPr>
        <w:t xml:space="preserve"> </w:t>
      </w:r>
      <w:r>
        <w:t>a</w:t>
      </w:r>
      <w:r>
        <w:rPr>
          <w:spacing w:val="-5"/>
        </w:rPr>
        <w:t xml:space="preserve"> </w:t>
      </w:r>
      <w:r>
        <w:t>notice</w:t>
      </w:r>
      <w:r>
        <w:rPr>
          <w:spacing w:val="-5"/>
        </w:rPr>
        <w:t xml:space="preserve"> </w:t>
      </w:r>
      <w:r>
        <w:t>under</w:t>
      </w:r>
      <w:r>
        <w:rPr>
          <w:spacing w:val="38"/>
        </w:rPr>
        <w:t xml:space="preserve"> </w:t>
      </w:r>
      <w:r>
        <w:t xml:space="preserve">part 3, section 38, of the </w:t>
      </w:r>
      <w:hyperlink r:id="rId72">
        <w:r>
          <w:rPr>
            <w:rFonts w:ascii="Calibri"/>
            <w:i/>
            <w:spacing w:val="-5"/>
          </w:rPr>
          <w:t xml:space="preserve">Work Health </w:t>
        </w:r>
        <w:r>
          <w:rPr>
            <w:rFonts w:ascii="Calibri"/>
            <w:i/>
            <w:spacing w:val="-4"/>
          </w:rPr>
          <w:t xml:space="preserve">and Safety </w:t>
        </w:r>
        <w:r>
          <w:rPr>
            <w:rFonts w:ascii="Calibri"/>
            <w:i/>
            <w:spacing w:val="-3"/>
          </w:rPr>
          <w:t xml:space="preserve">Act </w:t>
        </w:r>
        <w:r>
          <w:rPr>
            <w:rFonts w:ascii="Calibri"/>
            <w:i/>
            <w:spacing w:val="-7"/>
          </w:rPr>
          <w:t>2011</w:t>
        </w:r>
      </w:hyperlink>
      <w:r>
        <w:rPr>
          <w:spacing w:val="-7"/>
        </w:rPr>
        <w:t xml:space="preserve">. </w:t>
      </w:r>
      <w:r>
        <w:t>The incident occurred when a data cabling contractor</w:t>
      </w:r>
      <w:r>
        <w:rPr>
          <w:spacing w:val="-5"/>
        </w:rPr>
        <w:t xml:space="preserve"> </w:t>
      </w:r>
      <w:r>
        <w:t>performing</w:t>
      </w:r>
      <w:r>
        <w:rPr>
          <w:spacing w:val="-4"/>
        </w:rPr>
        <w:t xml:space="preserve"> </w:t>
      </w:r>
      <w:r>
        <w:t>work</w:t>
      </w:r>
      <w:r>
        <w:rPr>
          <w:spacing w:val="-4"/>
        </w:rPr>
        <w:t xml:space="preserve"> </w:t>
      </w:r>
      <w:r>
        <w:t>in</w:t>
      </w:r>
      <w:r>
        <w:rPr>
          <w:spacing w:val="-4"/>
        </w:rPr>
        <w:t xml:space="preserve"> </w:t>
      </w:r>
      <w:r>
        <w:t>a</w:t>
      </w:r>
      <w:r>
        <w:rPr>
          <w:spacing w:val="-4"/>
        </w:rPr>
        <w:t xml:space="preserve"> </w:t>
      </w:r>
      <w:r>
        <w:t>roof</w:t>
      </w:r>
      <w:r>
        <w:rPr>
          <w:spacing w:val="-4"/>
        </w:rPr>
        <w:t xml:space="preserve"> </w:t>
      </w:r>
      <w:r>
        <w:t>space</w:t>
      </w:r>
      <w:r>
        <w:rPr>
          <w:spacing w:val="-5"/>
        </w:rPr>
        <w:t xml:space="preserve"> </w:t>
      </w:r>
      <w:r>
        <w:t>touched</w:t>
      </w:r>
      <w:r>
        <w:rPr>
          <w:spacing w:val="-5"/>
        </w:rPr>
        <w:t xml:space="preserve"> </w:t>
      </w:r>
      <w:r>
        <w:t>a</w:t>
      </w:r>
      <w:r>
        <w:rPr>
          <w:spacing w:val="-4"/>
        </w:rPr>
        <w:t xml:space="preserve"> </w:t>
      </w:r>
      <w:r>
        <w:t>metal</w:t>
      </w:r>
      <w:r>
        <w:rPr>
          <w:spacing w:val="-4"/>
        </w:rPr>
        <w:t xml:space="preserve"> </w:t>
      </w:r>
      <w:r>
        <w:t>ceiling</w:t>
      </w:r>
      <w:r>
        <w:rPr>
          <w:spacing w:val="-4"/>
        </w:rPr>
        <w:t xml:space="preserve"> </w:t>
      </w:r>
      <w:r>
        <w:t>grid</w:t>
      </w:r>
      <w:r>
        <w:rPr>
          <w:spacing w:val="-4"/>
        </w:rPr>
        <w:t xml:space="preserve"> </w:t>
      </w:r>
      <w:r>
        <w:t>that</w:t>
      </w:r>
      <w:r>
        <w:rPr>
          <w:spacing w:val="-4"/>
        </w:rPr>
        <w:t xml:space="preserve"> </w:t>
      </w:r>
      <w:r>
        <w:t>was</w:t>
      </w:r>
      <w:r>
        <w:rPr>
          <w:spacing w:val="-4"/>
        </w:rPr>
        <w:t xml:space="preserve"> </w:t>
      </w:r>
      <w:r>
        <w:t>in</w:t>
      </w:r>
      <w:r>
        <w:rPr>
          <w:spacing w:val="-4"/>
        </w:rPr>
        <w:t xml:space="preserve"> </w:t>
      </w:r>
      <w:r>
        <w:t>in</w:t>
      </w:r>
      <w:r>
        <w:rPr>
          <w:spacing w:val="-4"/>
        </w:rPr>
        <w:t xml:space="preserve"> </w:t>
      </w:r>
      <w:r>
        <w:t>contact</w:t>
      </w:r>
      <w:r>
        <w:rPr>
          <w:spacing w:val="-4"/>
        </w:rPr>
        <w:t xml:space="preserve"> </w:t>
      </w:r>
      <w:r>
        <w:t>with</w:t>
      </w:r>
      <w:r>
        <w:rPr>
          <w:spacing w:val="-4"/>
        </w:rPr>
        <w:t xml:space="preserve"> </w:t>
      </w:r>
      <w:r>
        <w:t>a</w:t>
      </w:r>
      <w:r>
        <w:rPr>
          <w:spacing w:val="-4"/>
        </w:rPr>
        <w:t xml:space="preserve"> </w:t>
      </w:r>
      <w:r>
        <w:t>live</w:t>
      </w:r>
      <w:r w:rsidR="000D2C18">
        <w:t xml:space="preserve"> </w:t>
      </w:r>
      <w:r>
        <w:t>electrical wire. The contractor received a minor electric shock, causing a minor burn to their thumb. Work was immediately suspended, the contractor was provided with first aid, and a licensed electrician was immediately engaged to terminate and cap the live wire before undertaking a thorough safety inspection of the area. The site was subsequently assessed as safe. No further action was required;</w:t>
      </w:r>
    </w:p>
    <w:p w:rsidR="006C17CB" w:rsidRDefault="0030091C">
      <w:pPr>
        <w:pStyle w:val="ListParagraph"/>
        <w:numPr>
          <w:ilvl w:val="0"/>
          <w:numId w:val="22"/>
        </w:numPr>
        <w:tabs>
          <w:tab w:val="left" w:pos="381"/>
        </w:tabs>
        <w:spacing w:before="42" w:line="189" w:lineRule="auto"/>
        <w:ind w:right="1218"/>
      </w:pPr>
      <w:r>
        <w:t>there</w:t>
      </w:r>
      <w:r>
        <w:rPr>
          <w:spacing w:val="-4"/>
        </w:rPr>
        <w:t xml:space="preserve"> </w:t>
      </w:r>
      <w:r>
        <w:t>were</w:t>
      </w:r>
      <w:r>
        <w:rPr>
          <w:spacing w:val="-4"/>
        </w:rPr>
        <w:t xml:space="preserve"> </w:t>
      </w:r>
      <w:r>
        <w:t>no</w:t>
      </w:r>
      <w:r>
        <w:rPr>
          <w:spacing w:val="-4"/>
        </w:rPr>
        <w:t xml:space="preserve"> </w:t>
      </w:r>
      <w:r>
        <w:t>notices</w:t>
      </w:r>
      <w:r>
        <w:rPr>
          <w:spacing w:val="-3"/>
        </w:rPr>
        <w:t xml:space="preserve"> </w:t>
      </w:r>
      <w:r>
        <w:t>of</w:t>
      </w:r>
      <w:r>
        <w:rPr>
          <w:spacing w:val="-3"/>
        </w:rPr>
        <w:t xml:space="preserve"> </w:t>
      </w:r>
      <w:r>
        <w:t>non-compliance</w:t>
      </w:r>
      <w:r>
        <w:rPr>
          <w:spacing w:val="-4"/>
        </w:rPr>
        <w:t xml:space="preserve"> </w:t>
      </w:r>
      <w:r>
        <w:t>given</w:t>
      </w:r>
      <w:r>
        <w:rPr>
          <w:spacing w:val="-3"/>
        </w:rPr>
        <w:t xml:space="preserve"> </w:t>
      </w:r>
      <w:r>
        <w:t>to</w:t>
      </w:r>
      <w:r>
        <w:rPr>
          <w:spacing w:val="-4"/>
        </w:rPr>
        <w:t xml:space="preserve"> </w:t>
      </w:r>
      <w:r>
        <w:t>the</w:t>
      </w:r>
      <w:r>
        <w:rPr>
          <w:spacing w:val="-4"/>
        </w:rPr>
        <w:t xml:space="preserve"> </w:t>
      </w:r>
      <w:r>
        <w:t>Clerk</w:t>
      </w:r>
      <w:r>
        <w:rPr>
          <w:spacing w:val="-3"/>
        </w:rPr>
        <w:t xml:space="preserve"> </w:t>
      </w:r>
      <w:r>
        <w:t>in</w:t>
      </w:r>
      <w:r>
        <w:rPr>
          <w:spacing w:val="-3"/>
        </w:rPr>
        <w:t xml:space="preserve"> </w:t>
      </w:r>
      <w:r>
        <w:t>accordance</w:t>
      </w:r>
      <w:r>
        <w:rPr>
          <w:spacing w:val="-4"/>
        </w:rPr>
        <w:t xml:space="preserve"> </w:t>
      </w:r>
      <w:r>
        <w:t>with</w:t>
      </w:r>
      <w:r>
        <w:rPr>
          <w:spacing w:val="-3"/>
        </w:rPr>
        <w:t xml:space="preserve"> </w:t>
      </w:r>
      <w:r>
        <w:t>part</w:t>
      </w:r>
      <w:r>
        <w:rPr>
          <w:spacing w:val="-3"/>
        </w:rPr>
        <w:t xml:space="preserve"> 10 </w:t>
      </w:r>
      <w:r>
        <w:t>of</w:t>
      </w:r>
      <w:r>
        <w:rPr>
          <w:spacing w:val="-3"/>
        </w:rPr>
        <w:t xml:space="preserve"> </w:t>
      </w:r>
      <w:r>
        <w:t>the</w:t>
      </w:r>
      <w:r>
        <w:rPr>
          <w:spacing w:val="-3"/>
        </w:rPr>
        <w:t xml:space="preserve"> </w:t>
      </w:r>
      <w:hyperlink r:id="rId73">
        <w:r>
          <w:rPr>
            <w:rFonts w:ascii="Calibri"/>
            <w:i/>
            <w:spacing w:val="-5"/>
          </w:rPr>
          <w:t>Work</w:t>
        </w:r>
        <w:r>
          <w:rPr>
            <w:rFonts w:ascii="Calibri"/>
            <w:i/>
            <w:spacing w:val="-11"/>
          </w:rPr>
          <w:t xml:space="preserve"> </w:t>
        </w:r>
        <w:r>
          <w:rPr>
            <w:rFonts w:ascii="Calibri"/>
            <w:i/>
            <w:spacing w:val="-5"/>
          </w:rPr>
          <w:t>Health</w:t>
        </w:r>
      </w:hyperlink>
      <w:hyperlink r:id="rId74">
        <w:r>
          <w:rPr>
            <w:rFonts w:ascii="Calibri"/>
            <w:i/>
            <w:spacing w:val="-5"/>
          </w:rPr>
          <w:t xml:space="preserve"> </w:t>
        </w:r>
        <w:r>
          <w:rPr>
            <w:rFonts w:ascii="Calibri"/>
            <w:i/>
            <w:spacing w:val="-4"/>
          </w:rPr>
          <w:t xml:space="preserve">and Safety </w:t>
        </w:r>
        <w:r>
          <w:rPr>
            <w:rFonts w:ascii="Calibri"/>
            <w:i/>
            <w:spacing w:val="-3"/>
          </w:rPr>
          <w:t xml:space="preserve">Act </w:t>
        </w:r>
        <w:r>
          <w:rPr>
            <w:rFonts w:ascii="Calibri"/>
            <w:i/>
            <w:spacing w:val="-8"/>
          </w:rPr>
          <w:t>2011</w:t>
        </w:r>
      </w:hyperlink>
      <w:r>
        <w:rPr>
          <w:spacing w:val="-8"/>
        </w:rPr>
        <w:t>;</w:t>
      </w:r>
      <w:r>
        <w:rPr>
          <w:spacing w:val="-15"/>
        </w:rPr>
        <w:t xml:space="preserve"> </w:t>
      </w:r>
      <w:r>
        <w:t>and</w:t>
      </w:r>
    </w:p>
    <w:p w:rsidR="006C17CB" w:rsidRDefault="0030091C">
      <w:pPr>
        <w:pStyle w:val="ListParagraph"/>
        <w:numPr>
          <w:ilvl w:val="0"/>
          <w:numId w:val="22"/>
        </w:numPr>
        <w:tabs>
          <w:tab w:val="left" w:pos="381"/>
        </w:tabs>
        <w:spacing w:line="307" w:lineRule="exact"/>
      </w:pPr>
      <w:r>
        <w:t>all plant and equipment was regularly checked, in line with statutory</w:t>
      </w:r>
      <w:r>
        <w:rPr>
          <w:spacing w:val="-12"/>
        </w:rPr>
        <w:t xml:space="preserve"> </w:t>
      </w:r>
      <w:r>
        <w:t>requirements.</w:t>
      </w:r>
    </w:p>
    <w:p w:rsidR="006C17CB" w:rsidRDefault="006C17CB">
      <w:pPr>
        <w:pStyle w:val="BodyText"/>
        <w:spacing w:before="9"/>
        <w:rPr>
          <w:sz w:val="28"/>
        </w:rPr>
      </w:pPr>
    </w:p>
    <w:p w:rsidR="006C17CB" w:rsidRDefault="0030091C">
      <w:pPr>
        <w:ind w:left="153"/>
        <w:rPr>
          <w:rFonts w:ascii="Montserrat-SemiBoldItalic"/>
          <w:b/>
          <w:i/>
          <w:sz w:val="20"/>
        </w:rPr>
      </w:pPr>
      <w:r>
        <w:rPr>
          <w:rFonts w:ascii="Montserrat-SemiBoldItalic"/>
          <w:b/>
          <w:i/>
          <w:sz w:val="20"/>
        </w:rPr>
        <w:t>Workplace relations</w:t>
      </w:r>
    </w:p>
    <w:p w:rsidR="006C17CB" w:rsidRDefault="0030091C">
      <w:pPr>
        <w:spacing w:before="166" w:line="189" w:lineRule="auto"/>
        <w:ind w:left="153" w:right="1177"/>
      </w:pPr>
      <w:r>
        <w:t xml:space="preserve">The </w:t>
      </w:r>
      <w:hyperlink r:id="rId75">
        <w:r>
          <w:rPr>
            <w:rFonts w:ascii="Calibri"/>
            <w:i/>
            <w:spacing w:val="-3"/>
          </w:rPr>
          <w:t xml:space="preserve">ACT </w:t>
        </w:r>
        <w:r>
          <w:rPr>
            <w:rFonts w:ascii="Calibri"/>
            <w:i/>
            <w:spacing w:val="-5"/>
          </w:rPr>
          <w:t xml:space="preserve">Public Sector: </w:t>
        </w:r>
        <w:r>
          <w:rPr>
            <w:rFonts w:ascii="Calibri"/>
            <w:i/>
            <w:spacing w:val="-2"/>
          </w:rPr>
          <w:t xml:space="preserve">Office </w:t>
        </w:r>
        <w:r>
          <w:rPr>
            <w:rFonts w:ascii="Calibri"/>
            <w:i/>
            <w:spacing w:val="-3"/>
          </w:rPr>
          <w:t xml:space="preserve">of </w:t>
        </w:r>
        <w:r>
          <w:rPr>
            <w:rFonts w:ascii="Calibri"/>
            <w:i/>
            <w:spacing w:val="-4"/>
          </w:rPr>
          <w:t xml:space="preserve">the </w:t>
        </w:r>
        <w:r>
          <w:rPr>
            <w:rFonts w:ascii="Calibri"/>
            <w:i/>
            <w:spacing w:val="-5"/>
          </w:rPr>
          <w:t xml:space="preserve">Legislative Assembly </w:t>
        </w:r>
        <w:r>
          <w:rPr>
            <w:rFonts w:ascii="Calibri"/>
            <w:i/>
            <w:spacing w:val="-6"/>
          </w:rPr>
          <w:t xml:space="preserve">Enterprise Agreement </w:t>
        </w:r>
        <w:r>
          <w:rPr>
            <w:rFonts w:ascii="Calibri"/>
            <w:i/>
            <w:spacing w:val="-8"/>
          </w:rPr>
          <w:t xml:space="preserve">2013-2017 </w:t>
        </w:r>
      </w:hyperlink>
      <w:r>
        <w:t xml:space="preserve">makes provision for the operation of a consultative committee. Membership of the committee includes representatives from Office management and staff and relevant workplace unions. In </w:t>
      </w:r>
      <w:r>
        <w:rPr>
          <w:spacing w:val="-5"/>
        </w:rPr>
        <w:t xml:space="preserve">2017-2018, </w:t>
      </w:r>
      <w:r>
        <w:t>committee meetings focused on the staff consultation process for the proposed enterprise agreement.</w:t>
      </w:r>
    </w:p>
    <w:p w:rsidR="006C17CB" w:rsidRDefault="006C17CB">
      <w:pPr>
        <w:pStyle w:val="BodyText"/>
        <w:spacing w:before="12"/>
        <w:rPr>
          <w:sz w:val="14"/>
        </w:rPr>
      </w:pPr>
    </w:p>
    <w:p w:rsidR="006C17CB" w:rsidRDefault="0030091C">
      <w:pPr>
        <w:spacing w:before="1"/>
        <w:ind w:left="153"/>
        <w:rPr>
          <w:rFonts w:ascii="Montserrat"/>
          <w:sz w:val="19"/>
        </w:rPr>
      </w:pPr>
      <w:r>
        <w:rPr>
          <w:rFonts w:ascii="Montserrat"/>
          <w:sz w:val="19"/>
        </w:rPr>
        <w:t>ATTRACTION AND RETENTION INCENTIVES</w:t>
      </w:r>
    </w:p>
    <w:p w:rsidR="006C17CB" w:rsidRDefault="0030091C">
      <w:pPr>
        <w:pStyle w:val="BodyText"/>
        <w:spacing w:before="111" w:line="189" w:lineRule="auto"/>
        <w:ind w:left="153" w:right="1178"/>
      </w:pPr>
      <w:r>
        <w:t>Throughout the reporting period, the Office utilised attraction and retention incentives under the terms of the enterprise agreement to address specialist requirements and prevailing market forces. At the start of 2017-2018, two attraction and retention incentives were in place for two senior officer grade A positions. Due to restructuring within the Office, one of them was discontinued during the year. One remained in place at 30 June 2018.</w:t>
      </w:r>
    </w:p>
    <w:p w:rsidR="006C17CB" w:rsidRDefault="006C17CB">
      <w:pPr>
        <w:pStyle w:val="BodyText"/>
        <w:spacing w:before="12"/>
        <w:rPr>
          <w:sz w:val="20"/>
        </w:rPr>
      </w:pPr>
    </w:p>
    <w:p w:rsidR="006C17CB" w:rsidRDefault="0030091C">
      <w:pPr>
        <w:pStyle w:val="Heading5"/>
        <w:spacing w:before="1"/>
        <w:rPr>
          <w:rFonts w:ascii="Montserrat"/>
        </w:rPr>
      </w:pPr>
      <w:r>
        <w:rPr>
          <w:rFonts w:ascii="Montserrat"/>
          <w:color w:val="556EAA"/>
        </w:rPr>
        <w:t>Strategic asset management</w:t>
      </w:r>
    </w:p>
    <w:p w:rsidR="006C17CB" w:rsidRDefault="0030091C">
      <w:pPr>
        <w:spacing w:before="202"/>
        <w:ind w:left="153"/>
        <w:rPr>
          <w:rFonts w:ascii="Montserrat-SemiBoldItalic"/>
          <w:b/>
          <w:i/>
          <w:sz w:val="20"/>
        </w:rPr>
      </w:pPr>
      <w:r>
        <w:rPr>
          <w:rFonts w:ascii="Montserrat-SemiBoldItalic"/>
          <w:b/>
          <w:i/>
          <w:sz w:val="20"/>
        </w:rPr>
        <w:t>The Assembly building</w:t>
      </w:r>
    </w:p>
    <w:p w:rsidR="006C17CB" w:rsidRDefault="0030091C">
      <w:pPr>
        <w:pStyle w:val="BodyText"/>
        <w:spacing w:before="166" w:line="189" w:lineRule="auto"/>
        <w:ind w:left="153" w:right="1271"/>
      </w:pPr>
      <w:r>
        <w:t>The asset management strategy for the Assembly building is largely based on a set of life cycle data for the various building elements and components which is updated approximately every three years. To align with the life cycle costings, the Office also receives capital funding each year to perform upgrades of building elements that have reached the end of their useful or economic life.</w:t>
      </w:r>
    </w:p>
    <w:p w:rsidR="006C17CB" w:rsidRDefault="0030091C">
      <w:pPr>
        <w:pStyle w:val="BodyText"/>
        <w:spacing w:before="112" w:line="189" w:lineRule="auto"/>
        <w:ind w:left="153" w:right="1403"/>
      </w:pPr>
      <w:r>
        <w:t>As part of its strategic asset management obligations, the Office engaged an expert consultant during the year to conduct an assessment of the Assembly building’s various elements, including major plant and equipment, to consider their condition and expected remaining life and to provide a forecast 10-year life cycle plan. The results of this review were used as the foundation for a business case for the 2018-2019 budget seeking a baseline increase in recurrent capital upgrade funding—although budget cabinet did not agree to fund any increase. The Office will continue to pursue additional capital funding, particularly to complete an upgrade of the Assembly building’s heating, ventilation and cooling system that was partly upgraded in 2015-2016 and which still has some elements that are nearly 25 years old.</w:t>
      </w:r>
    </w:p>
    <w:p w:rsidR="006C17CB" w:rsidRDefault="006C17CB">
      <w:pPr>
        <w:spacing w:line="189" w:lineRule="auto"/>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7"/>
        <w:rPr>
          <w:sz w:val="15"/>
        </w:rPr>
      </w:pPr>
    </w:p>
    <w:p w:rsidR="006C17CB" w:rsidRDefault="0030091C">
      <w:pPr>
        <w:pStyle w:val="Heading5"/>
        <w:spacing w:before="153"/>
        <w:rPr>
          <w:rFonts w:ascii="Montserrat"/>
        </w:rPr>
      </w:pPr>
      <w:bookmarkStart w:id="70" w:name="Capital_upgrade_funding_and_expenditure"/>
      <w:bookmarkStart w:id="71" w:name="_bookmark22"/>
      <w:bookmarkEnd w:id="70"/>
      <w:bookmarkEnd w:id="71"/>
      <w:r>
        <w:rPr>
          <w:rFonts w:ascii="Montserrat"/>
          <w:color w:val="556EAA"/>
        </w:rPr>
        <w:t>Capital upgrade funding and expenditure</w:t>
      </w:r>
    </w:p>
    <w:p w:rsidR="006C17CB" w:rsidRDefault="0030091C">
      <w:pPr>
        <w:pStyle w:val="BodyText"/>
        <w:spacing w:before="90" w:line="189" w:lineRule="auto"/>
        <w:ind w:left="153" w:right="1660"/>
      </w:pPr>
      <w:r>
        <w:t>In 2017-2018, the Office received $0.144m in capital funding for its recurrent capital upgrade program. These funds were used to:</w:t>
      </w:r>
    </w:p>
    <w:p w:rsidR="006C17CB" w:rsidRDefault="0030091C">
      <w:pPr>
        <w:pStyle w:val="ListParagraph"/>
        <w:numPr>
          <w:ilvl w:val="0"/>
          <w:numId w:val="22"/>
        </w:numPr>
        <w:tabs>
          <w:tab w:val="left" w:pos="381"/>
        </w:tabs>
        <w:spacing w:before="112" w:line="189" w:lineRule="auto"/>
        <w:ind w:right="1738"/>
      </w:pPr>
      <w:r>
        <w:t>continue</w:t>
      </w:r>
      <w:r>
        <w:rPr>
          <w:spacing w:val="-7"/>
        </w:rPr>
        <w:t xml:space="preserve"> </w:t>
      </w:r>
      <w:r>
        <w:t>the</w:t>
      </w:r>
      <w:r>
        <w:rPr>
          <w:spacing w:val="-7"/>
        </w:rPr>
        <w:t xml:space="preserve"> </w:t>
      </w:r>
      <w:r>
        <w:t>program</w:t>
      </w:r>
      <w:r>
        <w:rPr>
          <w:spacing w:val="-7"/>
        </w:rPr>
        <w:t xml:space="preserve"> </w:t>
      </w:r>
      <w:r>
        <w:t>of</w:t>
      </w:r>
      <w:r>
        <w:rPr>
          <w:spacing w:val="-6"/>
        </w:rPr>
        <w:t xml:space="preserve"> </w:t>
      </w:r>
      <w:r>
        <w:t>progressively</w:t>
      </w:r>
      <w:r>
        <w:rPr>
          <w:spacing w:val="-6"/>
        </w:rPr>
        <w:t xml:space="preserve"> </w:t>
      </w:r>
      <w:r>
        <w:t>upgrading</w:t>
      </w:r>
      <w:r>
        <w:rPr>
          <w:spacing w:val="-6"/>
        </w:rPr>
        <w:t xml:space="preserve"> </w:t>
      </w:r>
      <w:r>
        <w:t>selected</w:t>
      </w:r>
      <w:r>
        <w:rPr>
          <w:spacing w:val="-7"/>
        </w:rPr>
        <w:t xml:space="preserve"> </w:t>
      </w:r>
      <w:r>
        <w:t>kitchenettes</w:t>
      </w:r>
      <w:r>
        <w:rPr>
          <w:spacing w:val="-6"/>
        </w:rPr>
        <w:t xml:space="preserve"> </w:t>
      </w:r>
      <w:r>
        <w:t>in</w:t>
      </w:r>
      <w:r>
        <w:rPr>
          <w:spacing w:val="-6"/>
        </w:rPr>
        <w:t xml:space="preserve"> </w:t>
      </w:r>
      <w:r>
        <w:t>the</w:t>
      </w:r>
      <w:r>
        <w:rPr>
          <w:spacing w:val="-7"/>
        </w:rPr>
        <w:t xml:space="preserve"> </w:t>
      </w:r>
      <w:r>
        <w:t>suites</w:t>
      </w:r>
      <w:r>
        <w:rPr>
          <w:spacing w:val="-6"/>
        </w:rPr>
        <w:t xml:space="preserve"> </w:t>
      </w:r>
      <w:r>
        <w:t>of</w:t>
      </w:r>
      <w:r>
        <w:rPr>
          <w:spacing w:val="-6"/>
        </w:rPr>
        <w:t xml:space="preserve"> </w:t>
      </w:r>
      <w:r>
        <w:t>ministers</w:t>
      </w:r>
      <w:r>
        <w:rPr>
          <w:spacing w:val="-6"/>
        </w:rPr>
        <w:t xml:space="preserve"> </w:t>
      </w:r>
      <w:r>
        <w:t>and members and selected ensuites in the suites of ministers and office holders;</w:t>
      </w:r>
      <w:r>
        <w:rPr>
          <w:spacing w:val="-21"/>
        </w:rPr>
        <w:t xml:space="preserve"> </w:t>
      </w:r>
      <w:r>
        <w:t>and</w:t>
      </w:r>
    </w:p>
    <w:p w:rsidR="006C17CB" w:rsidRDefault="0030091C">
      <w:pPr>
        <w:pStyle w:val="ListParagraph"/>
        <w:numPr>
          <w:ilvl w:val="0"/>
          <w:numId w:val="22"/>
        </w:numPr>
        <w:tabs>
          <w:tab w:val="left" w:pos="381"/>
        </w:tabs>
        <w:spacing w:line="307" w:lineRule="exact"/>
      </w:pPr>
      <w:r>
        <w:t>upgrading fluorescent lights in office suites to LED</w:t>
      </w:r>
      <w:r>
        <w:rPr>
          <w:spacing w:val="-6"/>
        </w:rPr>
        <w:t xml:space="preserve"> </w:t>
      </w:r>
      <w:r>
        <w:t>tubes.</w:t>
      </w:r>
    </w:p>
    <w:p w:rsidR="006C17CB" w:rsidRDefault="0030091C">
      <w:pPr>
        <w:pStyle w:val="BodyText"/>
        <w:spacing w:before="185" w:line="189" w:lineRule="auto"/>
        <w:ind w:left="153" w:right="1232"/>
      </w:pPr>
      <w:r>
        <w:t>In addition, the Office also received separate capital funding of $0.390m to commence a program of installing double-glazed windows on selected windows around the Assembly Building, focusing initially on southern facing windows and external windows of members’ and ministers’ offices. Further capital funding to complete the double glazing of all external windows is scheduled to occur in 2018-2019.</w:t>
      </w:r>
    </w:p>
    <w:p w:rsidR="006C17CB" w:rsidRDefault="006C17CB">
      <w:pPr>
        <w:pStyle w:val="BodyText"/>
        <w:spacing w:before="7"/>
        <w:rPr>
          <w:sz w:val="23"/>
        </w:rPr>
      </w:pPr>
    </w:p>
    <w:p w:rsidR="006C17CB" w:rsidRDefault="0030091C">
      <w:pPr>
        <w:ind w:left="153"/>
        <w:rPr>
          <w:rFonts w:ascii="Montserrat-SemiBoldItalic"/>
          <w:b/>
          <w:i/>
          <w:sz w:val="20"/>
        </w:rPr>
      </w:pPr>
      <w:r>
        <w:rPr>
          <w:rFonts w:ascii="Montserrat-SemiBoldItalic"/>
          <w:b/>
          <w:i/>
          <w:sz w:val="20"/>
        </w:rPr>
        <w:t>Asset maintenance and repairs</w:t>
      </w:r>
    </w:p>
    <w:p w:rsidR="006C17CB" w:rsidRDefault="0030091C">
      <w:pPr>
        <w:pStyle w:val="BodyText"/>
        <w:spacing w:before="166" w:line="189" w:lineRule="auto"/>
        <w:ind w:left="153" w:right="1151"/>
      </w:pPr>
      <w:r>
        <w:t>During the year, the Office’s expenditure on building management was $0.829m. The main components of this overall expenditure were cleaning ($0.239m) and scheduled maintenance ($0.184m). The scheduled maintenance expenditure included servicing of mechanical building systems (eg heating, ventilation and cooling systems, fire systems, lifts, auto doors), maintenance of security and access control systems, and maintenance of the courtyard gardens. Approximately $0.174m was expended on unscheduled maintenance and repairs, with a major part of this being the repair to the internal television distribution hardware and cabling in the Assembly building that was 25 years old and causing regular performance issues.</w:t>
      </w:r>
    </w:p>
    <w:p w:rsidR="006C17CB" w:rsidRDefault="0030091C">
      <w:pPr>
        <w:pStyle w:val="BodyText"/>
        <w:spacing w:before="110" w:line="189" w:lineRule="auto"/>
        <w:ind w:left="153" w:right="1232"/>
      </w:pPr>
      <w:r>
        <w:t>The external contractor engaged to provide specialised services for the maintenance of the building’s mechanical systems provided, as part of that contract, annual condition audits and reports, which are used to inform and assist in the management and planning of future maintenance and capital upgrades.</w:t>
      </w:r>
    </w:p>
    <w:p w:rsidR="006C17CB" w:rsidRDefault="006C17CB">
      <w:pPr>
        <w:pStyle w:val="BodyText"/>
        <w:spacing w:before="7"/>
        <w:rPr>
          <w:sz w:val="23"/>
        </w:rPr>
      </w:pPr>
    </w:p>
    <w:p w:rsidR="006C17CB" w:rsidRDefault="0030091C">
      <w:pPr>
        <w:ind w:left="153"/>
        <w:rPr>
          <w:rFonts w:ascii="Montserrat-SemiBoldItalic"/>
          <w:b/>
          <w:i/>
          <w:sz w:val="20"/>
        </w:rPr>
      </w:pPr>
      <w:r>
        <w:rPr>
          <w:rFonts w:ascii="Montserrat-SemiBoldItalic"/>
          <w:b/>
          <w:i/>
          <w:sz w:val="20"/>
        </w:rPr>
        <w:t>Office accommodation</w:t>
      </w:r>
    </w:p>
    <w:p w:rsidR="006C17CB" w:rsidRDefault="0030091C">
      <w:pPr>
        <w:pStyle w:val="BodyText"/>
        <w:spacing w:before="166" w:line="189" w:lineRule="auto"/>
        <w:ind w:left="153" w:right="1177"/>
      </w:pPr>
      <w:r>
        <w:t xml:space="preserve">The gross building area for the Assembly building is </w:t>
      </w:r>
      <w:r>
        <w:rPr>
          <w:spacing w:val="-8"/>
        </w:rPr>
        <w:t>7,437m</w:t>
      </w:r>
      <w:r>
        <w:rPr>
          <w:spacing w:val="-8"/>
          <w:position w:val="6"/>
          <w:sz w:val="13"/>
        </w:rPr>
        <w:t>2</w:t>
      </w:r>
      <w:r>
        <w:rPr>
          <w:spacing w:val="-8"/>
        </w:rPr>
        <w:t xml:space="preserve">and </w:t>
      </w:r>
      <w:r>
        <w:t>the net lettable area for building valuation purposes is 6,834m</w:t>
      </w:r>
      <w:r>
        <w:rPr>
          <w:position w:val="6"/>
          <w:sz w:val="13"/>
        </w:rPr>
        <w:t>2</w:t>
      </w:r>
      <w:r>
        <w:t xml:space="preserve">. </w:t>
      </w:r>
      <w:r>
        <w:rPr>
          <w:spacing w:val="-7"/>
        </w:rPr>
        <w:t xml:space="preserve">However, </w:t>
      </w:r>
      <w:r>
        <w:t xml:space="preserve">significant parts of the net lettable area include floor space that is used only on a periodic or occasional basis or is not occupied by staff. These areas include the Assembly </w:t>
      </w:r>
      <w:r>
        <w:rPr>
          <w:spacing w:val="-7"/>
        </w:rPr>
        <w:t xml:space="preserve">chamber, </w:t>
      </w:r>
      <w:r>
        <w:t xml:space="preserve">two committee rooms and a number of function rooms. For the purposes of establishing a rate of office space utilisation, an area of </w:t>
      </w:r>
      <w:r>
        <w:rPr>
          <w:spacing w:val="-7"/>
        </w:rPr>
        <w:t>5,182m</w:t>
      </w:r>
      <w:r>
        <w:rPr>
          <w:spacing w:val="-7"/>
          <w:position w:val="6"/>
          <w:sz w:val="13"/>
        </w:rPr>
        <w:t xml:space="preserve">2 </w:t>
      </w:r>
      <w:r>
        <w:t xml:space="preserve">has been identified as the area that the Office, members and staff ordinarily </w:t>
      </w:r>
      <w:r>
        <w:rPr>
          <w:spacing w:val="-3"/>
        </w:rPr>
        <w:t xml:space="preserve">occupy. </w:t>
      </w:r>
      <w:r>
        <w:t xml:space="preserve">In terms of the number of people who occupy the space, it was recognised that some fluctuation occurs, due primarily to the sitting patterns of the Assembly </w:t>
      </w:r>
      <w:r>
        <w:rPr>
          <w:spacing w:val="-5"/>
        </w:rPr>
        <w:t xml:space="preserve">(ie </w:t>
      </w:r>
      <w:r>
        <w:t>when additional staff are engaged) and that the peak number was approximately</w:t>
      </w:r>
      <w:r>
        <w:rPr>
          <w:spacing w:val="-3"/>
        </w:rPr>
        <w:t xml:space="preserve"> 165.</w:t>
      </w:r>
    </w:p>
    <w:p w:rsidR="006C17CB" w:rsidRDefault="0030091C">
      <w:pPr>
        <w:pStyle w:val="BodyText"/>
        <w:spacing w:before="55"/>
        <w:ind w:left="153"/>
      </w:pPr>
      <w:r>
        <w:t>Accordingly, the office space utilisation rate is 32.4m</w:t>
      </w:r>
      <w:r>
        <w:rPr>
          <w:position w:val="7"/>
          <w:sz w:val="13"/>
        </w:rPr>
        <w:t xml:space="preserve">2 </w:t>
      </w:r>
      <w:r>
        <w:t>per occupant.</w:t>
      </w:r>
    </w:p>
    <w:p w:rsidR="006C17CB" w:rsidRDefault="006C17CB">
      <w:pPr>
        <w:sectPr w:rsidR="006C17CB">
          <w:pgSz w:w="11910" w:h="16840"/>
          <w:pgMar w:top="1580" w:right="0" w:bottom="720" w:left="980" w:header="0" w:footer="52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2"/>
        <w:rPr>
          <w:sz w:val="19"/>
        </w:rPr>
      </w:pPr>
    </w:p>
    <w:p w:rsidR="006C17CB" w:rsidRDefault="0030091C">
      <w:pPr>
        <w:spacing w:before="8"/>
        <w:ind w:left="157"/>
        <w:rPr>
          <w:rFonts w:ascii="Calibri"/>
          <w:i/>
        </w:rPr>
      </w:pPr>
      <w:r>
        <w:rPr>
          <w:rFonts w:ascii="Calibri"/>
          <w:b/>
          <w:sz w:val="18"/>
        </w:rPr>
        <w:t xml:space="preserve">TABLE 9. </w:t>
      </w:r>
      <w:r>
        <w:rPr>
          <w:rFonts w:ascii="Calibri"/>
          <w:i/>
        </w:rPr>
        <w:t>Value and quantity of assets as at 30 June 2018</w:t>
      </w:r>
    </w:p>
    <w:p w:rsidR="006C17CB" w:rsidRDefault="006C17CB">
      <w:pPr>
        <w:pStyle w:val="BodyText"/>
        <w:spacing w:before="4"/>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7639"/>
        <w:gridCol w:w="1034"/>
        <w:gridCol w:w="958"/>
      </w:tblGrid>
      <w:tr w:rsidR="006C17CB">
        <w:trPr>
          <w:trHeight w:val="396"/>
        </w:trPr>
        <w:tc>
          <w:tcPr>
            <w:tcW w:w="7639"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Asset class</w:t>
            </w:r>
          </w:p>
        </w:tc>
        <w:tc>
          <w:tcPr>
            <w:tcW w:w="1034" w:type="dxa"/>
            <w:tcBorders>
              <w:top w:val="nil"/>
              <w:bottom w:val="nil"/>
            </w:tcBorders>
            <w:shd w:val="clear" w:color="auto" w:fill="89A7D7"/>
          </w:tcPr>
          <w:p w:rsidR="006C17CB" w:rsidRDefault="0030091C">
            <w:pPr>
              <w:pStyle w:val="TableParagraph"/>
              <w:spacing w:before="72"/>
              <w:ind w:right="67"/>
              <w:rPr>
                <w:b/>
                <w:sz w:val="18"/>
              </w:rPr>
            </w:pPr>
            <w:r>
              <w:rPr>
                <w:b/>
                <w:sz w:val="18"/>
              </w:rPr>
              <w:t>Value</w:t>
            </w:r>
          </w:p>
        </w:tc>
        <w:tc>
          <w:tcPr>
            <w:tcW w:w="958" w:type="dxa"/>
            <w:tcBorders>
              <w:top w:val="nil"/>
              <w:bottom w:val="nil"/>
              <w:right w:val="nil"/>
            </w:tcBorders>
            <w:shd w:val="clear" w:color="auto" w:fill="89A7D7"/>
          </w:tcPr>
          <w:p w:rsidR="006C17CB" w:rsidRDefault="0030091C">
            <w:pPr>
              <w:pStyle w:val="TableParagraph"/>
              <w:spacing w:before="72"/>
              <w:ind w:right="77"/>
              <w:rPr>
                <w:b/>
                <w:sz w:val="18"/>
              </w:rPr>
            </w:pPr>
            <w:r>
              <w:rPr>
                <w:b/>
                <w:sz w:val="18"/>
              </w:rPr>
              <w:t>Quantity</w:t>
            </w:r>
          </w:p>
        </w:tc>
      </w:tr>
      <w:tr w:rsidR="006C17CB">
        <w:trPr>
          <w:trHeight w:val="386"/>
        </w:trPr>
        <w:tc>
          <w:tcPr>
            <w:tcW w:w="7639" w:type="dxa"/>
            <w:tcBorders>
              <w:top w:val="nil"/>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Assembly building (Territorial budget)</w:t>
            </w:r>
          </w:p>
        </w:tc>
        <w:tc>
          <w:tcPr>
            <w:tcW w:w="1034"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$24.099m</w:t>
            </w:r>
          </w:p>
        </w:tc>
        <w:tc>
          <w:tcPr>
            <w:tcW w:w="958" w:type="dxa"/>
            <w:tcBorders>
              <w:top w:val="nil"/>
              <w:left w:val="single" w:sz="4" w:space="0" w:color="DADADA"/>
              <w:bottom w:val="single" w:sz="4" w:space="0" w:color="000000"/>
              <w:right w:val="nil"/>
            </w:tcBorders>
          </w:tcPr>
          <w:p w:rsidR="006C17CB" w:rsidRDefault="0030091C">
            <w:pPr>
              <w:pStyle w:val="TableParagraph"/>
              <w:spacing w:before="50"/>
              <w:ind w:right="77"/>
              <w:rPr>
                <w:sz w:val="18"/>
              </w:rPr>
            </w:pPr>
            <w:r>
              <w:rPr>
                <w:sz w:val="18"/>
              </w:rPr>
              <w:t>1</w:t>
            </w:r>
          </w:p>
        </w:tc>
      </w:tr>
      <w:tr w:rsidR="006C17CB">
        <w:trPr>
          <w:trHeight w:val="386"/>
        </w:trPr>
        <w:tc>
          <w:tcPr>
            <w:tcW w:w="7639"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Land (Territorial budget)</w:t>
            </w:r>
          </w:p>
        </w:tc>
        <w:tc>
          <w:tcPr>
            <w:tcW w:w="10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$4.650m</w:t>
            </w:r>
          </w:p>
        </w:tc>
        <w:tc>
          <w:tcPr>
            <w:tcW w:w="958"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1</w:t>
            </w:r>
          </w:p>
        </w:tc>
      </w:tr>
      <w:tr w:rsidR="006C17CB">
        <w:trPr>
          <w:trHeight w:val="386"/>
        </w:trPr>
        <w:tc>
          <w:tcPr>
            <w:tcW w:w="7639"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Assembly art collection (Controlled budget)</w:t>
            </w:r>
          </w:p>
        </w:tc>
        <w:tc>
          <w:tcPr>
            <w:tcW w:w="10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$0.719m</w:t>
            </w:r>
          </w:p>
        </w:tc>
        <w:tc>
          <w:tcPr>
            <w:tcW w:w="958"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Various</w:t>
            </w:r>
          </w:p>
        </w:tc>
      </w:tr>
      <w:tr w:rsidR="006C17CB">
        <w:trPr>
          <w:trHeight w:val="386"/>
        </w:trPr>
        <w:tc>
          <w:tcPr>
            <w:tcW w:w="7639"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Assembly library collection (Controlled budget)</w:t>
            </w:r>
          </w:p>
        </w:tc>
        <w:tc>
          <w:tcPr>
            <w:tcW w:w="10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$0.667m</w:t>
            </w:r>
          </w:p>
        </w:tc>
        <w:tc>
          <w:tcPr>
            <w:tcW w:w="958"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Various</w:t>
            </w:r>
          </w:p>
        </w:tc>
      </w:tr>
      <w:tr w:rsidR="006C17CB">
        <w:trPr>
          <w:trHeight w:val="386"/>
        </w:trPr>
        <w:tc>
          <w:tcPr>
            <w:tcW w:w="7639"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Other collectables (Controlled budget)</w:t>
            </w:r>
          </w:p>
        </w:tc>
        <w:tc>
          <w:tcPr>
            <w:tcW w:w="10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$0.036m</w:t>
            </w:r>
          </w:p>
        </w:tc>
        <w:tc>
          <w:tcPr>
            <w:tcW w:w="958"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Various</w:t>
            </w:r>
          </w:p>
        </w:tc>
      </w:tr>
      <w:tr w:rsidR="006C17CB">
        <w:trPr>
          <w:trHeight w:val="386"/>
        </w:trPr>
        <w:tc>
          <w:tcPr>
            <w:tcW w:w="7639"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Plant and equipment (Controlled budget)</w:t>
            </w:r>
          </w:p>
        </w:tc>
        <w:tc>
          <w:tcPr>
            <w:tcW w:w="10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$0.953m</w:t>
            </w:r>
          </w:p>
        </w:tc>
        <w:tc>
          <w:tcPr>
            <w:tcW w:w="958"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Various</w:t>
            </w:r>
          </w:p>
        </w:tc>
      </w:tr>
      <w:tr w:rsidR="006C17CB">
        <w:trPr>
          <w:trHeight w:val="386"/>
        </w:trPr>
        <w:tc>
          <w:tcPr>
            <w:tcW w:w="7639"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Leasehold improvements (Controlled budget)</w:t>
            </w:r>
          </w:p>
        </w:tc>
        <w:tc>
          <w:tcPr>
            <w:tcW w:w="10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$1.047m</w:t>
            </w:r>
          </w:p>
        </w:tc>
        <w:tc>
          <w:tcPr>
            <w:tcW w:w="958"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1</w:t>
            </w:r>
          </w:p>
        </w:tc>
      </w:tr>
      <w:tr w:rsidR="006C17CB">
        <w:trPr>
          <w:trHeight w:val="386"/>
        </w:trPr>
        <w:tc>
          <w:tcPr>
            <w:tcW w:w="7639"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Intangibles (software) (Controlled budget)</w:t>
            </w:r>
          </w:p>
        </w:tc>
        <w:tc>
          <w:tcPr>
            <w:tcW w:w="10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$0.231m</w:t>
            </w:r>
          </w:p>
        </w:tc>
        <w:tc>
          <w:tcPr>
            <w:tcW w:w="958"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sz w:val="18"/>
              </w:rPr>
            </w:pPr>
            <w:r>
              <w:rPr>
                <w:sz w:val="18"/>
              </w:rPr>
              <w:t>2</w:t>
            </w:r>
          </w:p>
        </w:tc>
      </w:tr>
    </w:tbl>
    <w:p w:rsidR="006C17CB" w:rsidRDefault="006C17CB">
      <w:pPr>
        <w:pStyle w:val="BodyText"/>
        <w:rPr>
          <w:rFonts w:ascii="Calibri"/>
          <w:i/>
        </w:rPr>
      </w:pPr>
    </w:p>
    <w:p w:rsidR="006C17CB" w:rsidRDefault="006C17CB">
      <w:pPr>
        <w:pStyle w:val="BodyText"/>
        <w:rPr>
          <w:rFonts w:ascii="Calibri"/>
          <w:i/>
          <w:sz w:val="15"/>
        </w:rPr>
      </w:pPr>
    </w:p>
    <w:p w:rsidR="006C17CB" w:rsidRDefault="0030091C">
      <w:pPr>
        <w:ind w:left="153"/>
        <w:rPr>
          <w:rFonts w:ascii="Montserrat-SemiBoldItalic"/>
          <w:b/>
          <w:i/>
          <w:sz w:val="20"/>
        </w:rPr>
      </w:pPr>
      <w:r>
        <w:rPr>
          <w:rFonts w:ascii="Montserrat-SemiBoldItalic"/>
          <w:b/>
          <w:i/>
          <w:sz w:val="20"/>
        </w:rPr>
        <w:t>Additions and deletions</w:t>
      </w:r>
    </w:p>
    <w:p w:rsidR="006C17CB" w:rsidRDefault="0030091C">
      <w:pPr>
        <w:spacing w:before="168"/>
        <w:ind w:left="157"/>
        <w:rPr>
          <w:rFonts w:ascii="Calibri"/>
          <w:i/>
        </w:rPr>
      </w:pPr>
      <w:r>
        <w:rPr>
          <w:rFonts w:ascii="Calibri"/>
          <w:b/>
          <w:sz w:val="18"/>
        </w:rPr>
        <w:t xml:space="preserve">TABLE 10. </w:t>
      </w:r>
      <w:r>
        <w:rPr>
          <w:rFonts w:ascii="Calibri"/>
          <w:i/>
        </w:rPr>
        <w:t>Assets that were added or removed from the assets register during 2017-2018</w:t>
      </w:r>
    </w:p>
    <w:p w:rsidR="006C17CB" w:rsidRDefault="006C17CB">
      <w:pPr>
        <w:pStyle w:val="BodyText"/>
        <w:spacing w:before="5"/>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6420"/>
        <w:gridCol w:w="1632"/>
        <w:gridCol w:w="1583"/>
      </w:tblGrid>
      <w:tr w:rsidR="006C17CB">
        <w:trPr>
          <w:trHeight w:val="396"/>
        </w:trPr>
        <w:tc>
          <w:tcPr>
            <w:tcW w:w="6420"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Asset class</w:t>
            </w:r>
          </w:p>
        </w:tc>
        <w:tc>
          <w:tcPr>
            <w:tcW w:w="1632" w:type="dxa"/>
            <w:tcBorders>
              <w:top w:val="nil"/>
              <w:bottom w:val="nil"/>
            </w:tcBorders>
            <w:shd w:val="clear" w:color="auto" w:fill="89A7D7"/>
          </w:tcPr>
          <w:p w:rsidR="006C17CB" w:rsidRDefault="0030091C">
            <w:pPr>
              <w:pStyle w:val="TableParagraph"/>
              <w:spacing w:before="72"/>
              <w:ind w:right="67"/>
              <w:rPr>
                <w:b/>
                <w:sz w:val="18"/>
              </w:rPr>
            </w:pPr>
            <w:r>
              <w:rPr>
                <w:b/>
                <w:sz w:val="18"/>
              </w:rPr>
              <w:t>Value of additions</w:t>
            </w:r>
          </w:p>
        </w:tc>
        <w:tc>
          <w:tcPr>
            <w:tcW w:w="1583" w:type="dxa"/>
            <w:tcBorders>
              <w:top w:val="nil"/>
              <w:bottom w:val="nil"/>
              <w:right w:val="nil"/>
            </w:tcBorders>
            <w:shd w:val="clear" w:color="auto" w:fill="89A7D7"/>
          </w:tcPr>
          <w:p w:rsidR="006C17CB" w:rsidRDefault="0030091C">
            <w:pPr>
              <w:pStyle w:val="TableParagraph"/>
              <w:spacing w:before="72"/>
              <w:ind w:right="77"/>
              <w:rPr>
                <w:b/>
                <w:sz w:val="18"/>
              </w:rPr>
            </w:pPr>
            <w:r>
              <w:rPr>
                <w:b/>
                <w:sz w:val="18"/>
              </w:rPr>
              <w:t>Value of disposals</w:t>
            </w:r>
          </w:p>
        </w:tc>
      </w:tr>
      <w:tr w:rsidR="006C17CB">
        <w:trPr>
          <w:trHeight w:val="386"/>
        </w:trPr>
        <w:tc>
          <w:tcPr>
            <w:tcW w:w="6420"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Assembly building (Territorial budget)</w:t>
            </w:r>
          </w:p>
        </w:tc>
        <w:tc>
          <w:tcPr>
            <w:tcW w:w="1632"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$0.784m</w:t>
            </w:r>
          </w:p>
        </w:tc>
        <w:tc>
          <w:tcPr>
            <w:tcW w:w="1583" w:type="dxa"/>
            <w:tcBorders>
              <w:top w:val="nil"/>
              <w:left w:val="single" w:sz="4" w:space="0" w:color="DADADA"/>
              <w:bottom w:val="single" w:sz="4" w:space="0" w:color="000000"/>
              <w:right w:val="nil"/>
            </w:tcBorders>
          </w:tcPr>
          <w:p w:rsidR="006C17CB" w:rsidRDefault="0030091C">
            <w:pPr>
              <w:pStyle w:val="TableParagraph"/>
              <w:spacing w:before="50"/>
              <w:ind w:right="76"/>
              <w:rPr>
                <w:sz w:val="18"/>
              </w:rPr>
            </w:pPr>
            <w:r>
              <w:rPr>
                <w:sz w:val="18"/>
              </w:rPr>
              <w:t>Nil</w:t>
            </w:r>
          </w:p>
        </w:tc>
      </w:tr>
      <w:tr w:rsidR="006C17CB">
        <w:trPr>
          <w:trHeight w:val="386"/>
        </w:trPr>
        <w:tc>
          <w:tcPr>
            <w:tcW w:w="6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Assembly art collection (Controlled budget)</w:t>
            </w:r>
          </w:p>
        </w:tc>
        <w:tc>
          <w:tcPr>
            <w:tcW w:w="163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$0.030m</w:t>
            </w:r>
          </w:p>
        </w:tc>
        <w:tc>
          <w:tcPr>
            <w:tcW w:w="158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Nil</w:t>
            </w:r>
          </w:p>
        </w:tc>
      </w:tr>
      <w:tr w:rsidR="006C17CB">
        <w:trPr>
          <w:trHeight w:val="386"/>
        </w:trPr>
        <w:tc>
          <w:tcPr>
            <w:tcW w:w="6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Assembly library collection (Controlled budget)</w:t>
            </w:r>
          </w:p>
        </w:tc>
        <w:tc>
          <w:tcPr>
            <w:tcW w:w="163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$0.005m</w:t>
            </w:r>
          </w:p>
        </w:tc>
        <w:tc>
          <w:tcPr>
            <w:tcW w:w="158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Nil</w:t>
            </w:r>
          </w:p>
        </w:tc>
      </w:tr>
      <w:tr w:rsidR="006C17CB">
        <w:trPr>
          <w:trHeight w:val="386"/>
        </w:trPr>
        <w:tc>
          <w:tcPr>
            <w:tcW w:w="6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Plant and equipment (Controlled budget)</w:t>
            </w:r>
          </w:p>
        </w:tc>
        <w:tc>
          <w:tcPr>
            <w:tcW w:w="163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$0.128m</w:t>
            </w:r>
          </w:p>
        </w:tc>
        <w:tc>
          <w:tcPr>
            <w:tcW w:w="158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$0.003m</w:t>
            </w:r>
          </w:p>
        </w:tc>
      </w:tr>
      <w:tr w:rsidR="006C17CB">
        <w:trPr>
          <w:trHeight w:val="386"/>
        </w:trPr>
        <w:tc>
          <w:tcPr>
            <w:tcW w:w="6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Leasehold improvements (Controlled budget)</w:t>
            </w:r>
          </w:p>
        </w:tc>
        <w:tc>
          <w:tcPr>
            <w:tcW w:w="163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Nil</w:t>
            </w:r>
          </w:p>
        </w:tc>
        <w:tc>
          <w:tcPr>
            <w:tcW w:w="158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Nil</w:t>
            </w:r>
          </w:p>
        </w:tc>
      </w:tr>
      <w:tr w:rsidR="006C17CB">
        <w:trPr>
          <w:trHeight w:val="386"/>
        </w:trPr>
        <w:tc>
          <w:tcPr>
            <w:tcW w:w="6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Intangible assets (Controlled budget)</w:t>
            </w:r>
          </w:p>
        </w:tc>
        <w:tc>
          <w:tcPr>
            <w:tcW w:w="163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$0.019m</w:t>
            </w:r>
          </w:p>
        </w:tc>
        <w:tc>
          <w:tcPr>
            <w:tcW w:w="158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Nil</w:t>
            </w:r>
          </w:p>
        </w:tc>
      </w:tr>
    </w:tbl>
    <w:p w:rsidR="006C17CB" w:rsidRDefault="006C17CB">
      <w:pPr>
        <w:pStyle w:val="BodyText"/>
        <w:spacing w:before="3"/>
        <w:rPr>
          <w:rFonts w:ascii="Calibri"/>
          <w:i/>
          <w:sz w:val="21"/>
        </w:rPr>
      </w:pPr>
    </w:p>
    <w:p w:rsidR="006C17CB" w:rsidRDefault="0030091C">
      <w:pPr>
        <w:spacing w:before="1"/>
        <w:ind w:left="153"/>
        <w:rPr>
          <w:rFonts w:ascii="Montserrat-SemiBoldItalic"/>
          <w:b/>
          <w:i/>
          <w:sz w:val="20"/>
        </w:rPr>
      </w:pPr>
      <w:r>
        <w:rPr>
          <w:rFonts w:ascii="Montserrat-SemiBoldItalic"/>
          <w:b/>
          <w:i/>
          <w:sz w:val="20"/>
        </w:rPr>
        <w:t>Contractors</w:t>
      </w:r>
    </w:p>
    <w:p w:rsidR="006C17CB" w:rsidRDefault="0030091C">
      <w:pPr>
        <w:pStyle w:val="BodyText"/>
        <w:spacing w:before="166" w:line="189" w:lineRule="auto"/>
        <w:ind w:left="153" w:right="1412"/>
      </w:pPr>
      <w:r>
        <w:t>During the year, the Office engaged a number of consultants and contractors to provide works or services that, due to the specialised skills or required experience, were unable to be performed by Office staff.</w:t>
      </w:r>
    </w:p>
    <w:p w:rsidR="006C17CB" w:rsidRDefault="0030091C">
      <w:pPr>
        <w:spacing w:before="112" w:line="189" w:lineRule="auto"/>
        <w:ind w:left="153" w:right="1323"/>
      </w:pPr>
      <w:r>
        <w:t xml:space="preserve">The Office adhered to the relevant provisions of the </w:t>
      </w:r>
      <w:hyperlink r:id="rId76">
        <w:r>
          <w:rPr>
            <w:rFonts w:ascii="Calibri"/>
            <w:i/>
            <w:spacing w:val="-6"/>
          </w:rPr>
          <w:t xml:space="preserve">Government Procurement </w:t>
        </w:r>
        <w:r>
          <w:rPr>
            <w:rFonts w:ascii="Calibri"/>
            <w:i/>
            <w:spacing w:val="-3"/>
          </w:rPr>
          <w:t xml:space="preserve">Act </w:t>
        </w:r>
        <w:r>
          <w:rPr>
            <w:rFonts w:ascii="Calibri"/>
            <w:i/>
            <w:spacing w:val="-4"/>
          </w:rPr>
          <w:t xml:space="preserve">2001 </w:t>
        </w:r>
      </w:hyperlink>
      <w:r>
        <w:t xml:space="preserve">and the </w:t>
      </w:r>
      <w:hyperlink r:id="rId77">
        <w:r>
          <w:rPr>
            <w:rFonts w:ascii="Calibri"/>
            <w:i/>
            <w:spacing w:val="-6"/>
          </w:rPr>
          <w:t>Government</w:t>
        </w:r>
      </w:hyperlink>
      <w:r>
        <w:rPr>
          <w:rFonts w:ascii="Calibri"/>
          <w:i/>
          <w:spacing w:val="-6"/>
        </w:rPr>
        <w:t xml:space="preserve"> </w:t>
      </w:r>
      <w:hyperlink r:id="rId78">
        <w:r>
          <w:rPr>
            <w:rFonts w:ascii="Calibri"/>
            <w:i/>
            <w:spacing w:val="-6"/>
          </w:rPr>
          <w:t xml:space="preserve">Procurement </w:t>
        </w:r>
        <w:r>
          <w:rPr>
            <w:rFonts w:ascii="Calibri"/>
            <w:i/>
            <w:spacing w:val="-5"/>
          </w:rPr>
          <w:t xml:space="preserve">Regulation </w:t>
        </w:r>
        <w:r>
          <w:rPr>
            <w:rFonts w:ascii="Calibri"/>
            <w:i/>
            <w:spacing w:val="-9"/>
          </w:rPr>
          <w:t>2007</w:t>
        </w:r>
      </w:hyperlink>
      <w:r>
        <w:rPr>
          <w:spacing w:val="-9"/>
        </w:rPr>
        <w:t>.</w:t>
      </w:r>
    </w:p>
    <w:p w:rsidR="006C17CB" w:rsidRDefault="0030091C">
      <w:pPr>
        <w:pStyle w:val="BodyText"/>
        <w:spacing w:before="112" w:line="189" w:lineRule="auto"/>
        <w:ind w:left="153" w:right="1114"/>
      </w:pPr>
      <w:r>
        <w:t>The table below lists details of the expenditure on consultants and contractors where an individual contract exceeded $25,000 or the total expenditure on one consultant or contractor over the year exceeded $25,000.</w:t>
      </w:r>
    </w:p>
    <w:p w:rsidR="006C17CB" w:rsidRDefault="006C17CB">
      <w:pPr>
        <w:spacing w:line="189" w:lineRule="auto"/>
        <w:sectPr w:rsidR="006C17CB">
          <w:pgSz w:w="11910" w:h="16840"/>
          <w:pgMar w:top="1580" w:right="0" w:bottom="740" w:left="980" w:header="0" w:footer="551"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2"/>
        <w:rPr>
          <w:sz w:val="19"/>
        </w:rPr>
      </w:pPr>
    </w:p>
    <w:p w:rsidR="006C17CB" w:rsidRDefault="0030091C">
      <w:pPr>
        <w:spacing w:before="8"/>
        <w:ind w:left="157"/>
        <w:rPr>
          <w:rFonts w:ascii="Calibri"/>
          <w:i/>
        </w:rPr>
      </w:pPr>
      <w:bookmarkStart w:id="72" w:name="Territory_records"/>
      <w:bookmarkStart w:id="73" w:name="_bookmark23"/>
      <w:bookmarkEnd w:id="72"/>
      <w:bookmarkEnd w:id="73"/>
      <w:r>
        <w:rPr>
          <w:rFonts w:ascii="Calibri"/>
          <w:b/>
          <w:sz w:val="18"/>
        </w:rPr>
        <w:t xml:space="preserve">TABLE 11. </w:t>
      </w:r>
      <w:r>
        <w:rPr>
          <w:rFonts w:ascii="Calibri"/>
          <w:i/>
        </w:rPr>
        <w:t>Contracts summary</w:t>
      </w:r>
    </w:p>
    <w:p w:rsidR="006C17CB" w:rsidRDefault="006C17CB">
      <w:pPr>
        <w:pStyle w:val="BodyText"/>
        <w:spacing w:before="4"/>
        <w:rPr>
          <w:rFonts w:ascii="Calibri"/>
          <w:i/>
          <w:sz w:val="9"/>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0"/>
        <w:gridCol w:w="3804"/>
        <w:gridCol w:w="1893"/>
      </w:tblGrid>
      <w:tr w:rsidR="006C17CB">
        <w:trPr>
          <w:trHeight w:val="396"/>
        </w:trPr>
        <w:tc>
          <w:tcPr>
            <w:tcW w:w="3940" w:type="dxa"/>
            <w:tcBorders>
              <w:top w:val="nil"/>
              <w:left w:val="nil"/>
              <w:bottom w:val="nil"/>
              <w:right w:val="dashed" w:sz="4" w:space="0" w:color="7098D0"/>
            </w:tcBorders>
            <w:shd w:val="clear" w:color="auto" w:fill="89A7D7"/>
          </w:tcPr>
          <w:p w:rsidR="006C17CB" w:rsidRDefault="0030091C">
            <w:pPr>
              <w:pStyle w:val="TableParagraph"/>
              <w:spacing w:before="72"/>
              <w:ind w:left="79"/>
              <w:jc w:val="left"/>
              <w:rPr>
                <w:b/>
                <w:sz w:val="18"/>
              </w:rPr>
            </w:pPr>
            <w:r>
              <w:rPr>
                <w:b/>
                <w:sz w:val="18"/>
              </w:rPr>
              <w:t>Name of contractor or consultant</w:t>
            </w:r>
          </w:p>
        </w:tc>
        <w:tc>
          <w:tcPr>
            <w:tcW w:w="3804" w:type="dxa"/>
            <w:tcBorders>
              <w:top w:val="nil"/>
              <w:left w:val="dashed" w:sz="4" w:space="0" w:color="7098D0"/>
              <w:bottom w:val="nil"/>
              <w:right w:val="dashed" w:sz="4" w:space="0" w:color="7098D0"/>
            </w:tcBorders>
            <w:shd w:val="clear" w:color="auto" w:fill="89A7D7"/>
          </w:tcPr>
          <w:p w:rsidR="006C17CB" w:rsidRDefault="0030091C">
            <w:pPr>
              <w:pStyle w:val="TableParagraph"/>
              <w:spacing w:before="72"/>
              <w:ind w:left="75"/>
              <w:jc w:val="left"/>
              <w:rPr>
                <w:b/>
                <w:sz w:val="18"/>
              </w:rPr>
            </w:pPr>
            <w:r>
              <w:rPr>
                <w:b/>
                <w:sz w:val="18"/>
              </w:rPr>
              <w:t>Comments</w:t>
            </w:r>
          </w:p>
        </w:tc>
        <w:tc>
          <w:tcPr>
            <w:tcW w:w="1893" w:type="dxa"/>
            <w:tcBorders>
              <w:top w:val="nil"/>
              <w:left w:val="dashed" w:sz="4" w:space="0" w:color="7098D0"/>
              <w:bottom w:val="nil"/>
              <w:right w:val="nil"/>
            </w:tcBorders>
            <w:shd w:val="clear" w:color="auto" w:fill="89A7D7"/>
          </w:tcPr>
          <w:p w:rsidR="006C17CB" w:rsidRDefault="0030091C">
            <w:pPr>
              <w:pStyle w:val="TableParagraph"/>
              <w:spacing w:before="72"/>
              <w:ind w:right="77"/>
              <w:rPr>
                <w:b/>
                <w:sz w:val="18"/>
              </w:rPr>
            </w:pPr>
            <w:r>
              <w:rPr>
                <w:b/>
                <w:sz w:val="18"/>
              </w:rPr>
              <w:t>Amount (GST inclusive)</w:t>
            </w:r>
          </w:p>
        </w:tc>
      </w:tr>
      <w:tr w:rsidR="006C17CB">
        <w:trPr>
          <w:trHeight w:val="386"/>
        </w:trPr>
        <w:tc>
          <w:tcPr>
            <w:tcW w:w="3940" w:type="dxa"/>
            <w:tcBorders>
              <w:top w:val="nil"/>
              <w:left w:val="nil"/>
              <w:right w:val="dashed" w:sz="4" w:space="0" w:color="7098D0"/>
            </w:tcBorders>
          </w:tcPr>
          <w:p w:rsidR="006C17CB" w:rsidRDefault="0030091C">
            <w:pPr>
              <w:pStyle w:val="TableParagraph"/>
              <w:spacing w:before="49"/>
              <w:ind w:left="79"/>
              <w:jc w:val="left"/>
              <w:rPr>
                <w:sz w:val="18"/>
              </w:rPr>
            </w:pPr>
            <w:r>
              <w:rPr>
                <w:sz w:val="18"/>
              </w:rPr>
              <w:t>Argument, Stephen</w:t>
            </w:r>
          </w:p>
        </w:tc>
        <w:tc>
          <w:tcPr>
            <w:tcW w:w="3804" w:type="dxa"/>
            <w:tcBorders>
              <w:top w:val="nil"/>
              <w:left w:val="dashed" w:sz="4" w:space="0" w:color="7098D0"/>
              <w:right w:val="dashed" w:sz="4" w:space="0" w:color="7098D0"/>
            </w:tcBorders>
          </w:tcPr>
          <w:p w:rsidR="006C17CB" w:rsidRDefault="0030091C">
            <w:pPr>
              <w:pStyle w:val="TableParagraph"/>
              <w:spacing w:before="49"/>
              <w:ind w:left="75"/>
              <w:jc w:val="left"/>
              <w:rPr>
                <w:sz w:val="18"/>
              </w:rPr>
            </w:pPr>
            <w:r>
              <w:rPr>
                <w:sz w:val="18"/>
              </w:rPr>
              <w:t>Legal advice to scrutiny committee</w:t>
            </w:r>
          </w:p>
        </w:tc>
        <w:tc>
          <w:tcPr>
            <w:tcW w:w="1893" w:type="dxa"/>
            <w:tcBorders>
              <w:top w:val="nil"/>
              <w:left w:val="dashed" w:sz="4" w:space="0" w:color="7098D0"/>
              <w:right w:val="nil"/>
            </w:tcBorders>
          </w:tcPr>
          <w:p w:rsidR="006C17CB" w:rsidRDefault="0030091C">
            <w:pPr>
              <w:pStyle w:val="TableParagraph"/>
              <w:spacing w:before="49"/>
              <w:ind w:right="77"/>
              <w:rPr>
                <w:sz w:val="18"/>
              </w:rPr>
            </w:pPr>
            <w:r>
              <w:rPr>
                <w:sz w:val="18"/>
              </w:rPr>
              <w:t>$52,463</w:t>
            </w:r>
          </w:p>
        </w:tc>
      </w:tr>
      <w:tr w:rsidR="006C17CB">
        <w:trPr>
          <w:trHeight w:val="386"/>
        </w:trPr>
        <w:tc>
          <w:tcPr>
            <w:tcW w:w="3940" w:type="dxa"/>
            <w:tcBorders>
              <w:left w:val="nil"/>
              <w:right w:val="dashed" w:sz="4" w:space="0" w:color="7098D0"/>
            </w:tcBorders>
          </w:tcPr>
          <w:p w:rsidR="006C17CB" w:rsidRDefault="0030091C">
            <w:pPr>
              <w:pStyle w:val="TableParagraph"/>
              <w:spacing w:before="50"/>
              <w:ind w:left="79"/>
              <w:jc w:val="left"/>
              <w:rPr>
                <w:sz w:val="18"/>
              </w:rPr>
            </w:pPr>
            <w:r>
              <w:rPr>
                <w:sz w:val="18"/>
              </w:rPr>
              <w:t>Built Pty Ltd</w:t>
            </w:r>
          </w:p>
        </w:tc>
        <w:tc>
          <w:tcPr>
            <w:tcW w:w="3804" w:type="dxa"/>
            <w:tcBorders>
              <w:left w:val="dashed" w:sz="4" w:space="0" w:color="7098D0"/>
              <w:right w:val="dashed" w:sz="4" w:space="0" w:color="7098D0"/>
            </w:tcBorders>
          </w:tcPr>
          <w:p w:rsidR="006C17CB" w:rsidRDefault="0030091C">
            <w:pPr>
              <w:pStyle w:val="TableParagraph"/>
              <w:spacing w:before="50"/>
              <w:ind w:left="75"/>
              <w:jc w:val="left"/>
              <w:rPr>
                <w:sz w:val="18"/>
              </w:rPr>
            </w:pPr>
            <w:r>
              <w:rPr>
                <w:sz w:val="18"/>
              </w:rPr>
              <w:t>Kitchen and bathroom upgrades</w:t>
            </w:r>
          </w:p>
        </w:tc>
        <w:tc>
          <w:tcPr>
            <w:tcW w:w="1893" w:type="dxa"/>
            <w:tcBorders>
              <w:left w:val="dashed" w:sz="4" w:space="0" w:color="7098D0"/>
              <w:right w:val="nil"/>
            </w:tcBorders>
          </w:tcPr>
          <w:p w:rsidR="006C17CB" w:rsidRDefault="0030091C">
            <w:pPr>
              <w:pStyle w:val="TableParagraph"/>
              <w:spacing w:before="50"/>
              <w:ind w:right="77"/>
              <w:rPr>
                <w:sz w:val="18"/>
              </w:rPr>
            </w:pPr>
            <w:r>
              <w:rPr>
                <w:sz w:val="18"/>
              </w:rPr>
              <w:t>$393,711</w:t>
            </w:r>
          </w:p>
        </w:tc>
      </w:tr>
      <w:tr w:rsidR="006C17CB">
        <w:trPr>
          <w:trHeight w:val="386"/>
        </w:trPr>
        <w:tc>
          <w:tcPr>
            <w:tcW w:w="3940" w:type="dxa"/>
            <w:tcBorders>
              <w:left w:val="nil"/>
              <w:right w:val="dashed" w:sz="4" w:space="0" w:color="7098D0"/>
            </w:tcBorders>
          </w:tcPr>
          <w:p w:rsidR="006C17CB" w:rsidRDefault="0030091C">
            <w:pPr>
              <w:pStyle w:val="TableParagraph"/>
              <w:spacing w:before="50"/>
              <w:ind w:left="79"/>
              <w:jc w:val="left"/>
              <w:rPr>
                <w:sz w:val="18"/>
              </w:rPr>
            </w:pPr>
            <w:r>
              <w:rPr>
                <w:sz w:val="18"/>
              </w:rPr>
              <w:t>Eglaze Australia Pty Ltd</w:t>
            </w:r>
          </w:p>
        </w:tc>
        <w:tc>
          <w:tcPr>
            <w:tcW w:w="3804" w:type="dxa"/>
            <w:tcBorders>
              <w:left w:val="dashed" w:sz="4" w:space="0" w:color="7098D0"/>
              <w:right w:val="dashed" w:sz="4" w:space="0" w:color="7098D0"/>
            </w:tcBorders>
          </w:tcPr>
          <w:p w:rsidR="006C17CB" w:rsidRDefault="0030091C">
            <w:pPr>
              <w:pStyle w:val="TableParagraph"/>
              <w:spacing w:before="50"/>
              <w:ind w:left="75"/>
              <w:jc w:val="left"/>
              <w:rPr>
                <w:sz w:val="18"/>
              </w:rPr>
            </w:pPr>
            <w:r>
              <w:rPr>
                <w:sz w:val="18"/>
              </w:rPr>
              <w:t>Double glazing of the Assembly building windows</w:t>
            </w:r>
          </w:p>
        </w:tc>
        <w:tc>
          <w:tcPr>
            <w:tcW w:w="1893" w:type="dxa"/>
            <w:tcBorders>
              <w:left w:val="dashed" w:sz="4" w:space="0" w:color="7098D0"/>
              <w:right w:val="nil"/>
            </w:tcBorders>
          </w:tcPr>
          <w:p w:rsidR="006C17CB" w:rsidRDefault="0030091C">
            <w:pPr>
              <w:pStyle w:val="TableParagraph"/>
              <w:spacing w:before="50"/>
              <w:ind w:right="77"/>
              <w:rPr>
                <w:sz w:val="18"/>
              </w:rPr>
            </w:pPr>
            <w:r>
              <w:rPr>
                <w:sz w:val="18"/>
              </w:rPr>
              <w:t>$428,785</w:t>
            </w:r>
          </w:p>
        </w:tc>
      </w:tr>
      <w:tr w:rsidR="006C17CB">
        <w:trPr>
          <w:trHeight w:val="386"/>
        </w:trPr>
        <w:tc>
          <w:tcPr>
            <w:tcW w:w="3940" w:type="dxa"/>
            <w:tcBorders>
              <w:left w:val="nil"/>
              <w:right w:val="dashed" w:sz="4" w:space="0" w:color="7098D0"/>
            </w:tcBorders>
          </w:tcPr>
          <w:p w:rsidR="006C17CB" w:rsidRDefault="0030091C">
            <w:pPr>
              <w:pStyle w:val="TableParagraph"/>
              <w:spacing w:before="50"/>
              <w:ind w:left="79"/>
              <w:jc w:val="left"/>
              <w:rPr>
                <w:sz w:val="18"/>
              </w:rPr>
            </w:pPr>
            <w:r>
              <w:rPr>
                <w:sz w:val="18"/>
              </w:rPr>
              <w:t>Fredon Security Pty Ltd</w:t>
            </w:r>
          </w:p>
        </w:tc>
        <w:tc>
          <w:tcPr>
            <w:tcW w:w="3804" w:type="dxa"/>
            <w:tcBorders>
              <w:left w:val="dashed" w:sz="4" w:space="0" w:color="7098D0"/>
              <w:right w:val="dashed" w:sz="4" w:space="0" w:color="7098D0"/>
            </w:tcBorders>
          </w:tcPr>
          <w:p w:rsidR="006C17CB" w:rsidRDefault="0030091C">
            <w:pPr>
              <w:pStyle w:val="TableParagraph"/>
              <w:spacing w:before="50"/>
              <w:ind w:left="75"/>
              <w:jc w:val="left"/>
              <w:rPr>
                <w:sz w:val="18"/>
              </w:rPr>
            </w:pPr>
            <w:r>
              <w:rPr>
                <w:sz w:val="18"/>
              </w:rPr>
              <w:t>Security maintenance</w:t>
            </w:r>
          </w:p>
        </w:tc>
        <w:tc>
          <w:tcPr>
            <w:tcW w:w="1893" w:type="dxa"/>
            <w:tcBorders>
              <w:left w:val="dashed" w:sz="4" w:space="0" w:color="7098D0"/>
              <w:right w:val="nil"/>
            </w:tcBorders>
          </w:tcPr>
          <w:p w:rsidR="006C17CB" w:rsidRDefault="0030091C">
            <w:pPr>
              <w:pStyle w:val="TableParagraph"/>
              <w:spacing w:before="50"/>
              <w:ind w:right="77"/>
              <w:rPr>
                <w:sz w:val="18"/>
              </w:rPr>
            </w:pPr>
            <w:r>
              <w:rPr>
                <w:sz w:val="18"/>
              </w:rPr>
              <w:t>$37,072</w:t>
            </w:r>
          </w:p>
        </w:tc>
      </w:tr>
      <w:tr w:rsidR="006C17CB">
        <w:trPr>
          <w:trHeight w:val="386"/>
        </w:trPr>
        <w:tc>
          <w:tcPr>
            <w:tcW w:w="3940" w:type="dxa"/>
            <w:tcBorders>
              <w:left w:val="nil"/>
              <w:right w:val="dashed" w:sz="4" w:space="0" w:color="7098D0"/>
            </w:tcBorders>
          </w:tcPr>
          <w:p w:rsidR="006C17CB" w:rsidRDefault="0030091C">
            <w:pPr>
              <w:pStyle w:val="TableParagraph"/>
              <w:spacing w:before="50"/>
              <w:ind w:left="79"/>
              <w:jc w:val="left"/>
              <w:rPr>
                <w:sz w:val="18"/>
              </w:rPr>
            </w:pPr>
            <w:r>
              <w:rPr>
                <w:sz w:val="18"/>
              </w:rPr>
              <w:t>EPIQ Australia Pty Ltd</w:t>
            </w:r>
          </w:p>
        </w:tc>
        <w:tc>
          <w:tcPr>
            <w:tcW w:w="3804" w:type="dxa"/>
            <w:tcBorders>
              <w:left w:val="dashed" w:sz="4" w:space="0" w:color="7098D0"/>
              <w:right w:val="dashed" w:sz="4" w:space="0" w:color="7098D0"/>
            </w:tcBorders>
          </w:tcPr>
          <w:p w:rsidR="006C17CB" w:rsidRDefault="0030091C">
            <w:pPr>
              <w:pStyle w:val="TableParagraph"/>
              <w:spacing w:before="50"/>
              <w:ind w:left="75"/>
              <w:jc w:val="left"/>
              <w:rPr>
                <w:sz w:val="18"/>
              </w:rPr>
            </w:pPr>
            <w:r>
              <w:rPr>
                <w:sz w:val="18"/>
              </w:rPr>
              <w:t>Recording and transcription</w:t>
            </w:r>
          </w:p>
        </w:tc>
        <w:tc>
          <w:tcPr>
            <w:tcW w:w="1893" w:type="dxa"/>
            <w:tcBorders>
              <w:left w:val="dashed" w:sz="4" w:space="0" w:color="7098D0"/>
              <w:right w:val="nil"/>
            </w:tcBorders>
          </w:tcPr>
          <w:p w:rsidR="006C17CB" w:rsidRDefault="0030091C">
            <w:pPr>
              <w:pStyle w:val="TableParagraph"/>
              <w:spacing w:before="50"/>
              <w:ind w:right="77"/>
              <w:rPr>
                <w:sz w:val="18"/>
              </w:rPr>
            </w:pPr>
            <w:r>
              <w:rPr>
                <w:sz w:val="18"/>
              </w:rPr>
              <w:t>$192,595</w:t>
            </w:r>
          </w:p>
        </w:tc>
      </w:tr>
      <w:tr w:rsidR="006C17CB">
        <w:trPr>
          <w:trHeight w:val="386"/>
        </w:trPr>
        <w:tc>
          <w:tcPr>
            <w:tcW w:w="3940" w:type="dxa"/>
            <w:tcBorders>
              <w:left w:val="nil"/>
              <w:right w:val="dashed" w:sz="4" w:space="0" w:color="7098D0"/>
            </w:tcBorders>
          </w:tcPr>
          <w:p w:rsidR="006C17CB" w:rsidRDefault="0030091C">
            <w:pPr>
              <w:pStyle w:val="TableParagraph"/>
              <w:spacing w:before="50"/>
              <w:ind w:left="79"/>
              <w:jc w:val="left"/>
              <w:rPr>
                <w:sz w:val="18"/>
              </w:rPr>
            </w:pPr>
            <w:r>
              <w:rPr>
                <w:sz w:val="18"/>
              </w:rPr>
              <w:t>iCognition Pty Ltd</w:t>
            </w:r>
          </w:p>
        </w:tc>
        <w:tc>
          <w:tcPr>
            <w:tcW w:w="3804" w:type="dxa"/>
            <w:tcBorders>
              <w:left w:val="dashed" w:sz="4" w:space="0" w:color="7098D0"/>
              <w:right w:val="dashed" w:sz="4" w:space="0" w:color="7098D0"/>
            </w:tcBorders>
          </w:tcPr>
          <w:p w:rsidR="006C17CB" w:rsidRDefault="0030091C">
            <w:pPr>
              <w:pStyle w:val="TableParagraph"/>
              <w:spacing w:before="50"/>
              <w:ind w:left="75"/>
              <w:jc w:val="left"/>
              <w:rPr>
                <w:sz w:val="18"/>
              </w:rPr>
            </w:pPr>
            <w:r>
              <w:rPr>
                <w:sz w:val="18"/>
              </w:rPr>
              <w:t>Procedural Information Production System</w:t>
            </w:r>
          </w:p>
        </w:tc>
        <w:tc>
          <w:tcPr>
            <w:tcW w:w="1893" w:type="dxa"/>
            <w:tcBorders>
              <w:left w:val="dashed" w:sz="4" w:space="0" w:color="7098D0"/>
              <w:right w:val="nil"/>
            </w:tcBorders>
          </w:tcPr>
          <w:p w:rsidR="006C17CB" w:rsidRDefault="0030091C">
            <w:pPr>
              <w:pStyle w:val="TableParagraph"/>
              <w:spacing w:before="50"/>
              <w:ind w:right="77"/>
              <w:rPr>
                <w:sz w:val="18"/>
              </w:rPr>
            </w:pPr>
            <w:r>
              <w:rPr>
                <w:sz w:val="18"/>
              </w:rPr>
              <w:t>$82,133</w:t>
            </w:r>
          </w:p>
        </w:tc>
      </w:tr>
      <w:tr w:rsidR="006C17CB">
        <w:trPr>
          <w:trHeight w:val="386"/>
        </w:trPr>
        <w:tc>
          <w:tcPr>
            <w:tcW w:w="3940" w:type="dxa"/>
            <w:tcBorders>
              <w:left w:val="nil"/>
              <w:right w:val="dashed" w:sz="4" w:space="0" w:color="7098D0"/>
            </w:tcBorders>
          </w:tcPr>
          <w:p w:rsidR="006C17CB" w:rsidRDefault="0030091C">
            <w:pPr>
              <w:pStyle w:val="TableParagraph"/>
              <w:spacing w:before="50"/>
              <w:ind w:left="79"/>
              <w:jc w:val="left"/>
              <w:rPr>
                <w:sz w:val="18"/>
              </w:rPr>
            </w:pPr>
            <w:r>
              <w:rPr>
                <w:sz w:val="18"/>
              </w:rPr>
              <w:t>Integrated Technical Management Pty Ltd</w:t>
            </w:r>
          </w:p>
        </w:tc>
        <w:tc>
          <w:tcPr>
            <w:tcW w:w="3804" w:type="dxa"/>
            <w:tcBorders>
              <w:left w:val="dashed" w:sz="4" w:space="0" w:color="7098D0"/>
              <w:right w:val="dashed" w:sz="4" w:space="0" w:color="7098D0"/>
            </w:tcBorders>
          </w:tcPr>
          <w:p w:rsidR="006C17CB" w:rsidRDefault="0030091C">
            <w:pPr>
              <w:pStyle w:val="TableParagraph"/>
              <w:spacing w:before="50"/>
              <w:ind w:left="75"/>
              <w:jc w:val="left"/>
              <w:rPr>
                <w:sz w:val="18"/>
              </w:rPr>
            </w:pPr>
            <w:r>
              <w:rPr>
                <w:sz w:val="18"/>
              </w:rPr>
              <w:t>Building maintenance</w:t>
            </w:r>
          </w:p>
        </w:tc>
        <w:tc>
          <w:tcPr>
            <w:tcW w:w="1893" w:type="dxa"/>
            <w:tcBorders>
              <w:left w:val="dashed" w:sz="4" w:space="0" w:color="7098D0"/>
              <w:right w:val="nil"/>
            </w:tcBorders>
          </w:tcPr>
          <w:p w:rsidR="006C17CB" w:rsidRDefault="0030091C">
            <w:pPr>
              <w:pStyle w:val="TableParagraph"/>
              <w:spacing w:before="50"/>
              <w:ind w:right="77"/>
              <w:rPr>
                <w:sz w:val="18"/>
              </w:rPr>
            </w:pPr>
            <w:r>
              <w:rPr>
                <w:sz w:val="18"/>
              </w:rPr>
              <w:t>$255,568</w:t>
            </w:r>
          </w:p>
        </w:tc>
      </w:tr>
      <w:tr w:rsidR="006C17CB">
        <w:trPr>
          <w:trHeight w:val="386"/>
        </w:trPr>
        <w:tc>
          <w:tcPr>
            <w:tcW w:w="3940" w:type="dxa"/>
            <w:tcBorders>
              <w:left w:val="nil"/>
              <w:right w:val="dashed" w:sz="4" w:space="0" w:color="7098D0"/>
            </w:tcBorders>
          </w:tcPr>
          <w:p w:rsidR="006C17CB" w:rsidRDefault="0030091C">
            <w:pPr>
              <w:pStyle w:val="TableParagraph"/>
              <w:spacing w:before="50"/>
              <w:ind w:left="79"/>
              <w:jc w:val="left"/>
              <w:rPr>
                <w:sz w:val="18"/>
              </w:rPr>
            </w:pPr>
            <w:r>
              <w:rPr>
                <w:sz w:val="18"/>
              </w:rPr>
              <w:t>Jones Lang LaSalle Public Sector Valuations Pty Ltd</w:t>
            </w:r>
          </w:p>
        </w:tc>
        <w:tc>
          <w:tcPr>
            <w:tcW w:w="3804" w:type="dxa"/>
            <w:tcBorders>
              <w:left w:val="dashed" w:sz="4" w:space="0" w:color="7098D0"/>
              <w:right w:val="dashed" w:sz="4" w:space="0" w:color="7098D0"/>
            </w:tcBorders>
          </w:tcPr>
          <w:p w:rsidR="006C17CB" w:rsidRDefault="0030091C">
            <w:pPr>
              <w:pStyle w:val="TableParagraph"/>
              <w:spacing w:before="50"/>
              <w:ind w:left="75"/>
              <w:jc w:val="left"/>
              <w:rPr>
                <w:sz w:val="18"/>
              </w:rPr>
            </w:pPr>
            <w:r>
              <w:rPr>
                <w:sz w:val="18"/>
              </w:rPr>
              <w:t>Asset valuations</w:t>
            </w:r>
          </w:p>
        </w:tc>
        <w:tc>
          <w:tcPr>
            <w:tcW w:w="1893" w:type="dxa"/>
            <w:tcBorders>
              <w:left w:val="dashed" w:sz="4" w:space="0" w:color="7098D0"/>
              <w:right w:val="nil"/>
            </w:tcBorders>
          </w:tcPr>
          <w:p w:rsidR="006C17CB" w:rsidRDefault="0030091C">
            <w:pPr>
              <w:pStyle w:val="TableParagraph"/>
              <w:spacing w:before="50"/>
              <w:ind w:right="77"/>
              <w:rPr>
                <w:sz w:val="18"/>
              </w:rPr>
            </w:pPr>
            <w:r>
              <w:rPr>
                <w:sz w:val="18"/>
              </w:rPr>
              <w:t>$27,500</w:t>
            </w:r>
          </w:p>
        </w:tc>
      </w:tr>
      <w:tr w:rsidR="006C17CB">
        <w:trPr>
          <w:trHeight w:val="386"/>
        </w:trPr>
        <w:tc>
          <w:tcPr>
            <w:tcW w:w="3940" w:type="dxa"/>
            <w:tcBorders>
              <w:left w:val="nil"/>
              <w:right w:val="dashed" w:sz="4" w:space="0" w:color="7098D0"/>
            </w:tcBorders>
          </w:tcPr>
          <w:p w:rsidR="006C17CB" w:rsidRDefault="0030091C">
            <w:pPr>
              <w:pStyle w:val="TableParagraph"/>
              <w:spacing w:before="50"/>
              <w:ind w:left="79"/>
              <w:jc w:val="left"/>
              <w:rPr>
                <w:sz w:val="18"/>
              </w:rPr>
            </w:pPr>
            <w:r>
              <w:rPr>
                <w:sz w:val="18"/>
              </w:rPr>
              <w:t>Kaz Electronics Pty Ltd</w:t>
            </w:r>
          </w:p>
        </w:tc>
        <w:tc>
          <w:tcPr>
            <w:tcW w:w="3804" w:type="dxa"/>
            <w:tcBorders>
              <w:left w:val="dashed" w:sz="4" w:space="0" w:color="7098D0"/>
              <w:right w:val="dashed" w:sz="4" w:space="0" w:color="7098D0"/>
            </w:tcBorders>
          </w:tcPr>
          <w:p w:rsidR="006C17CB" w:rsidRDefault="0030091C">
            <w:pPr>
              <w:pStyle w:val="TableParagraph"/>
              <w:spacing w:before="50"/>
              <w:ind w:left="75"/>
              <w:jc w:val="left"/>
              <w:rPr>
                <w:sz w:val="18"/>
              </w:rPr>
            </w:pPr>
            <w:r>
              <w:rPr>
                <w:sz w:val="18"/>
              </w:rPr>
              <w:t>Repairs and maintenance</w:t>
            </w:r>
          </w:p>
        </w:tc>
        <w:tc>
          <w:tcPr>
            <w:tcW w:w="1893" w:type="dxa"/>
            <w:tcBorders>
              <w:left w:val="dashed" w:sz="4" w:space="0" w:color="7098D0"/>
              <w:right w:val="nil"/>
            </w:tcBorders>
          </w:tcPr>
          <w:p w:rsidR="006C17CB" w:rsidRDefault="0030091C">
            <w:pPr>
              <w:pStyle w:val="TableParagraph"/>
              <w:spacing w:before="50"/>
              <w:ind w:right="77"/>
              <w:rPr>
                <w:sz w:val="18"/>
              </w:rPr>
            </w:pPr>
            <w:r>
              <w:rPr>
                <w:sz w:val="18"/>
              </w:rPr>
              <w:t>$82,916</w:t>
            </w:r>
          </w:p>
        </w:tc>
      </w:tr>
      <w:tr w:rsidR="006C17CB">
        <w:trPr>
          <w:trHeight w:val="386"/>
        </w:trPr>
        <w:tc>
          <w:tcPr>
            <w:tcW w:w="3940" w:type="dxa"/>
            <w:tcBorders>
              <w:left w:val="nil"/>
              <w:right w:val="dashed" w:sz="4" w:space="0" w:color="7098D0"/>
            </w:tcBorders>
          </w:tcPr>
          <w:p w:rsidR="006C17CB" w:rsidRDefault="0030091C">
            <w:pPr>
              <w:pStyle w:val="TableParagraph"/>
              <w:spacing w:before="50"/>
              <w:ind w:left="79"/>
              <w:jc w:val="left"/>
              <w:rPr>
                <w:sz w:val="18"/>
              </w:rPr>
            </w:pPr>
            <w:r>
              <w:rPr>
                <w:sz w:val="18"/>
              </w:rPr>
              <w:t>Millennium Hi-Tech Group Pty Ltd</w:t>
            </w:r>
          </w:p>
        </w:tc>
        <w:tc>
          <w:tcPr>
            <w:tcW w:w="3804" w:type="dxa"/>
            <w:tcBorders>
              <w:left w:val="dashed" w:sz="4" w:space="0" w:color="7098D0"/>
              <w:right w:val="dashed" w:sz="4" w:space="0" w:color="7098D0"/>
            </w:tcBorders>
          </w:tcPr>
          <w:p w:rsidR="006C17CB" w:rsidRDefault="0030091C">
            <w:pPr>
              <w:pStyle w:val="TableParagraph"/>
              <w:spacing w:before="50"/>
              <w:ind w:left="75"/>
              <w:jc w:val="left"/>
              <w:rPr>
                <w:sz w:val="18"/>
              </w:rPr>
            </w:pPr>
            <w:r>
              <w:rPr>
                <w:sz w:val="18"/>
              </w:rPr>
              <w:t>Cleaning services</w:t>
            </w:r>
          </w:p>
        </w:tc>
        <w:tc>
          <w:tcPr>
            <w:tcW w:w="1893" w:type="dxa"/>
            <w:tcBorders>
              <w:left w:val="dashed" w:sz="4" w:space="0" w:color="7098D0"/>
              <w:right w:val="nil"/>
            </w:tcBorders>
          </w:tcPr>
          <w:p w:rsidR="006C17CB" w:rsidRDefault="0030091C">
            <w:pPr>
              <w:pStyle w:val="TableParagraph"/>
              <w:spacing w:before="50"/>
              <w:ind w:right="77"/>
              <w:rPr>
                <w:sz w:val="18"/>
              </w:rPr>
            </w:pPr>
            <w:r>
              <w:rPr>
                <w:sz w:val="18"/>
              </w:rPr>
              <w:t>$232,217</w:t>
            </w:r>
          </w:p>
        </w:tc>
      </w:tr>
      <w:tr w:rsidR="006C17CB">
        <w:trPr>
          <w:trHeight w:val="386"/>
        </w:trPr>
        <w:tc>
          <w:tcPr>
            <w:tcW w:w="3940" w:type="dxa"/>
            <w:tcBorders>
              <w:left w:val="nil"/>
              <w:right w:val="dashed" w:sz="4" w:space="0" w:color="7098D0"/>
            </w:tcBorders>
          </w:tcPr>
          <w:p w:rsidR="006C17CB" w:rsidRDefault="0030091C">
            <w:pPr>
              <w:pStyle w:val="TableParagraph"/>
              <w:spacing w:before="50"/>
              <w:ind w:left="79"/>
              <w:jc w:val="left"/>
              <w:rPr>
                <w:sz w:val="18"/>
              </w:rPr>
            </w:pPr>
            <w:r>
              <w:rPr>
                <w:sz w:val="18"/>
              </w:rPr>
              <w:t>SAI Global Limited</w:t>
            </w:r>
          </w:p>
        </w:tc>
        <w:tc>
          <w:tcPr>
            <w:tcW w:w="3804" w:type="dxa"/>
            <w:tcBorders>
              <w:left w:val="dashed" w:sz="4" w:space="0" w:color="7098D0"/>
              <w:right w:val="dashed" w:sz="4" w:space="0" w:color="7098D0"/>
            </w:tcBorders>
          </w:tcPr>
          <w:p w:rsidR="006C17CB" w:rsidRDefault="0030091C">
            <w:pPr>
              <w:pStyle w:val="TableParagraph"/>
              <w:spacing w:before="50"/>
              <w:ind w:left="75"/>
              <w:jc w:val="left"/>
              <w:rPr>
                <w:sz w:val="18"/>
              </w:rPr>
            </w:pPr>
            <w:r>
              <w:rPr>
                <w:sz w:val="18"/>
              </w:rPr>
              <w:t>Standards online subscription</w:t>
            </w:r>
          </w:p>
        </w:tc>
        <w:tc>
          <w:tcPr>
            <w:tcW w:w="1893" w:type="dxa"/>
            <w:tcBorders>
              <w:left w:val="dashed" w:sz="4" w:space="0" w:color="7098D0"/>
              <w:right w:val="nil"/>
            </w:tcBorders>
          </w:tcPr>
          <w:p w:rsidR="006C17CB" w:rsidRDefault="0030091C">
            <w:pPr>
              <w:pStyle w:val="TableParagraph"/>
              <w:spacing w:before="50"/>
              <w:ind w:right="77"/>
              <w:rPr>
                <w:sz w:val="18"/>
              </w:rPr>
            </w:pPr>
            <w:r>
              <w:rPr>
                <w:sz w:val="18"/>
              </w:rPr>
              <w:t>$89,588</w:t>
            </w:r>
          </w:p>
        </w:tc>
      </w:tr>
      <w:tr w:rsidR="006C17CB">
        <w:trPr>
          <w:trHeight w:val="386"/>
        </w:trPr>
        <w:tc>
          <w:tcPr>
            <w:tcW w:w="3940" w:type="dxa"/>
            <w:tcBorders>
              <w:left w:val="nil"/>
              <w:right w:val="dashed" w:sz="4" w:space="0" w:color="7098D0"/>
            </w:tcBorders>
          </w:tcPr>
          <w:p w:rsidR="006C17CB" w:rsidRDefault="0030091C">
            <w:pPr>
              <w:pStyle w:val="TableParagraph"/>
              <w:spacing w:before="50"/>
              <w:ind w:left="79"/>
              <w:jc w:val="left"/>
              <w:rPr>
                <w:sz w:val="18"/>
              </w:rPr>
            </w:pPr>
            <w:r>
              <w:rPr>
                <w:sz w:val="18"/>
              </w:rPr>
              <w:t>Sand Consulting Pty Ltd</w:t>
            </w:r>
          </w:p>
        </w:tc>
        <w:tc>
          <w:tcPr>
            <w:tcW w:w="3804" w:type="dxa"/>
            <w:tcBorders>
              <w:left w:val="dashed" w:sz="4" w:space="0" w:color="7098D0"/>
              <w:right w:val="dashed" w:sz="4" w:space="0" w:color="7098D0"/>
            </w:tcBorders>
          </w:tcPr>
          <w:p w:rsidR="006C17CB" w:rsidRDefault="0030091C">
            <w:pPr>
              <w:pStyle w:val="TableParagraph"/>
              <w:spacing w:before="50"/>
              <w:ind w:left="75"/>
              <w:jc w:val="left"/>
              <w:rPr>
                <w:sz w:val="18"/>
              </w:rPr>
            </w:pPr>
            <w:r>
              <w:rPr>
                <w:sz w:val="18"/>
              </w:rPr>
              <w:t>Broadcasting system maintenance</w:t>
            </w:r>
          </w:p>
        </w:tc>
        <w:tc>
          <w:tcPr>
            <w:tcW w:w="1893" w:type="dxa"/>
            <w:tcBorders>
              <w:left w:val="dashed" w:sz="4" w:space="0" w:color="7098D0"/>
              <w:right w:val="nil"/>
            </w:tcBorders>
          </w:tcPr>
          <w:p w:rsidR="006C17CB" w:rsidRDefault="0030091C">
            <w:pPr>
              <w:pStyle w:val="TableParagraph"/>
              <w:spacing w:before="50"/>
              <w:ind w:right="77"/>
              <w:rPr>
                <w:sz w:val="18"/>
              </w:rPr>
            </w:pPr>
            <w:r>
              <w:rPr>
                <w:sz w:val="18"/>
              </w:rPr>
              <w:t>$78,443</w:t>
            </w:r>
          </w:p>
        </w:tc>
      </w:tr>
      <w:tr w:rsidR="006C17CB">
        <w:trPr>
          <w:trHeight w:val="386"/>
        </w:trPr>
        <w:tc>
          <w:tcPr>
            <w:tcW w:w="3940" w:type="dxa"/>
            <w:tcBorders>
              <w:left w:val="nil"/>
              <w:right w:val="dashed" w:sz="4" w:space="0" w:color="7098D0"/>
            </w:tcBorders>
          </w:tcPr>
          <w:p w:rsidR="006C17CB" w:rsidRDefault="0030091C">
            <w:pPr>
              <w:pStyle w:val="TableParagraph"/>
              <w:spacing w:before="50"/>
              <w:ind w:left="79"/>
              <w:jc w:val="left"/>
              <w:rPr>
                <w:sz w:val="18"/>
              </w:rPr>
            </w:pPr>
            <w:r>
              <w:rPr>
                <w:sz w:val="18"/>
              </w:rPr>
              <w:t>Stewart, Daniel</w:t>
            </w:r>
          </w:p>
        </w:tc>
        <w:tc>
          <w:tcPr>
            <w:tcW w:w="3804" w:type="dxa"/>
            <w:tcBorders>
              <w:left w:val="dashed" w:sz="4" w:space="0" w:color="7098D0"/>
              <w:right w:val="dashed" w:sz="4" w:space="0" w:color="7098D0"/>
            </w:tcBorders>
          </w:tcPr>
          <w:p w:rsidR="006C17CB" w:rsidRDefault="0030091C">
            <w:pPr>
              <w:pStyle w:val="TableParagraph"/>
              <w:spacing w:before="50"/>
              <w:ind w:left="75"/>
              <w:jc w:val="left"/>
              <w:rPr>
                <w:sz w:val="18"/>
              </w:rPr>
            </w:pPr>
            <w:r>
              <w:rPr>
                <w:sz w:val="18"/>
              </w:rPr>
              <w:t>Legal advice to scrutiny committee</w:t>
            </w:r>
          </w:p>
        </w:tc>
        <w:tc>
          <w:tcPr>
            <w:tcW w:w="1893" w:type="dxa"/>
            <w:tcBorders>
              <w:left w:val="dashed" w:sz="4" w:space="0" w:color="7098D0"/>
              <w:right w:val="nil"/>
            </w:tcBorders>
          </w:tcPr>
          <w:p w:rsidR="006C17CB" w:rsidRDefault="0030091C">
            <w:pPr>
              <w:pStyle w:val="TableParagraph"/>
              <w:spacing w:before="50"/>
              <w:ind w:right="77"/>
              <w:rPr>
                <w:sz w:val="18"/>
              </w:rPr>
            </w:pPr>
            <w:r>
              <w:rPr>
                <w:sz w:val="18"/>
              </w:rPr>
              <w:t>$76,444</w:t>
            </w:r>
          </w:p>
        </w:tc>
      </w:tr>
      <w:tr w:rsidR="006C17CB">
        <w:trPr>
          <w:trHeight w:val="386"/>
        </w:trPr>
        <w:tc>
          <w:tcPr>
            <w:tcW w:w="3940" w:type="dxa"/>
            <w:tcBorders>
              <w:left w:val="nil"/>
              <w:right w:val="dashed" w:sz="4" w:space="0" w:color="7098D0"/>
            </w:tcBorders>
          </w:tcPr>
          <w:p w:rsidR="006C17CB" w:rsidRDefault="0030091C">
            <w:pPr>
              <w:pStyle w:val="TableParagraph"/>
              <w:spacing w:before="50"/>
              <w:ind w:left="79"/>
              <w:jc w:val="left"/>
              <w:rPr>
                <w:sz w:val="18"/>
              </w:rPr>
            </w:pPr>
            <w:r>
              <w:rPr>
                <w:sz w:val="18"/>
              </w:rPr>
              <w:t>Videocraft Equipment Pty Ltd</w:t>
            </w:r>
          </w:p>
        </w:tc>
        <w:tc>
          <w:tcPr>
            <w:tcW w:w="3804" w:type="dxa"/>
            <w:tcBorders>
              <w:left w:val="dashed" w:sz="4" w:space="0" w:color="7098D0"/>
              <w:right w:val="dashed" w:sz="4" w:space="0" w:color="7098D0"/>
            </w:tcBorders>
          </w:tcPr>
          <w:p w:rsidR="006C17CB" w:rsidRDefault="0030091C">
            <w:pPr>
              <w:pStyle w:val="TableParagraph"/>
              <w:spacing w:before="50"/>
              <w:ind w:left="75"/>
              <w:jc w:val="left"/>
              <w:rPr>
                <w:sz w:val="18"/>
              </w:rPr>
            </w:pPr>
            <w:r>
              <w:rPr>
                <w:sz w:val="18"/>
              </w:rPr>
              <w:t>Broadcasting system upgrade</w:t>
            </w:r>
          </w:p>
        </w:tc>
        <w:tc>
          <w:tcPr>
            <w:tcW w:w="1893" w:type="dxa"/>
            <w:tcBorders>
              <w:left w:val="dashed" w:sz="4" w:space="0" w:color="7098D0"/>
              <w:right w:val="nil"/>
            </w:tcBorders>
          </w:tcPr>
          <w:p w:rsidR="006C17CB" w:rsidRDefault="0030091C">
            <w:pPr>
              <w:pStyle w:val="TableParagraph"/>
              <w:spacing w:before="50"/>
              <w:ind w:right="77"/>
              <w:rPr>
                <w:sz w:val="18"/>
              </w:rPr>
            </w:pPr>
            <w:r>
              <w:rPr>
                <w:sz w:val="18"/>
              </w:rPr>
              <w:t>$56,412</w:t>
            </w:r>
          </w:p>
        </w:tc>
      </w:tr>
    </w:tbl>
    <w:p w:rsidR="006C17CB" w:rsidRDefault="006C17CB">
      <w:pPr>
        <w:pStyle w:val="BodyText"/>
        <w:spacing w:before="9"/>
        <w:rPr>
          <w:rFonts w:ascii="Calibri"/>
          <w:i/>
          <w:sz w:val="18"/>
        </w:rPr>
      </w:pPr>
    </w:p>
    <w:p w:rsidR="006C17CB" w:rsidRDefault="0030091C">
      <w:pPr>
        <w:pStyle w:val="Heading5"/>
        <w:rPr>
          <w:rFonts w:ascii="Montserrat"/>
        </w:rPr>
      </w:pPr>
      <w:r>
        <w:rPr>
          <w:rFonts w:ascii="Montserrat"/>
          <w:color w:val="556EAA"/>
        </w:rPr>
        <w:t>Territory records</w:t>
      </w:r>
    </w:p>
    <w:p w:rsidR="006C17CB" w:rsidRDefault="0030091C">
      <w:pPr>
        <w:spacing w:before="203"/>
        <w:ind w:left="153"/>
        <w:rPr>
          <w:rFonts w:ascii="Montserrat-SemiBoldItalic"/>
          <w:b/>
          <w:i/>
          <w:sz w:val="20"/>
        </w:rPr>
      </w:pPr>
      <w:r>
        <w:rPr>
          <w:rFonts w:ascii="Montserrat-SemiBoldItalic"/>
          <w:b/>
          <w:i/>
          <w:sz w:val="20"/>
        </w:rPr>
        <w:t>Records management program</w:t>
      </w:r>
    </w:p>
    <w:p w:rsidR="006C17CB" w:rsidRDefault="0030091C">
      <w:pPr>
        <w:pStyle w:val="BodyText"/>
        <w:spacing w:before="166" w:line="189" w:lineRule="auto"/>
        <w:ind w:left="153" w:right="1519"/>
      </w:pPr>
      <w:r>
        <w:t>The Office’s records and information management program was approved by the Clerk and submitted to the Director of Territory Records in October 2014.</w:t>
      </w:r>
    </w:p>
    <w:p w:rsidR="006C17CB" w:rsidRDefault="0030091C">
      <w:pPr>
        <w:pStyle w:val="BodyText"/>
        <w:spacing w:before="113" w:line="189" w:lineRule="auto"/>
        <w:ind w:left="153" w:right="1412"/>
      </w:pPr>
      <w:r>
        <w:t>The records management policy and procedures are available to all staff via the Office’s records and information system, OLARIS. The public can inspect the Office’s records and information management program via the publications menu on the Legislative Assembly website.</w:t>
      </w:r>
    </w:p>
    <w:p w:rsidR="006C17CB" w:rsidRDefault="0030091C">
      <w:pPr>
        <w:pStyle w:val="BodyText"/>
        <w:spacing w:before="111" w:line="189" w:lineRule="auto"/>
        <w:ind w:left="153" w:right="1234"/>
      </w:pPr>
      <w:r>
        <w:t>The Office’s records management program, policy and procedures are currently under review. The review is due for completion by the end of 2018.</w:t>
      </w:r>
    </w:p>
    <w:p w:rsidR="006C17CB" w:rsidRDefault="006C17CB">
      <w:pPr>
        <w:pStyle w:val="BodyText"/>
        <w:spacing w:before="8"/>
        <w:rPr>
          <w:sz w:val="23"/>
        </w:rPr>
      </w:pPr>
    </w:p>
    <w:p w:rsidR="006C17CB" w:rsidRDefault="0030091C">
      <w:pPr>
        <w:ind w:left="153"/>
        <w:rPr>
          <w:rFonts w:ascii="Montserrat-SemiBoldItalic"/>
          <w:b/>
          <w:i/>
          <w:sz w:val="20"/>
        </w:rPr>
      </w:pPr>
      <w:r>
        <w:rPr>
          <w:rFonts w:ascii="Montserrat-SemiBoldItalic"/>
          <w:b/>
          <w:i/>
          <w:sz w:val="20"/>
        </w:rPr>
        <w:t>Training and advice</w:t>
      </w:r>
    </w:p>
    <w:p w:rsidR="006C17CB" w:rsidRDefault="0030091C">
      <w:pPr>
        <w:pStyle w:val="BodyText"/>
        <w:spacing w:before="166" w:line="189" w:lineRule="auto"/>
        <w:ind w:left="153" w:right="1290"/>
      </w:pPr>
      <w:r>
        <w:t>The Office’s Records and Information Manager provides induction training for all new staff employed in the Office, addressing records management principles and the operation of OLARIS. Refresher training is also made available as required.</w:t>
      </w:r>
    </w:p>
    <w:p w:rsidR="006C17CB" w:rsidRDefault="0030091C">
      <w:pPr>
        <w:pStyle w:val="BodyText"/>
        <w:spacing w:before="112" w:line="189" w:lineRule="auto"/>
        <w:ind w:left="153" w:right="1266"/>
      </w:pPr>
      <w:r>
        <w:t>With the upgrade of records management software, a training program for staff called ‘Getting more out of OLARIS’ began in June 2018. This training focused on the improved integration options between Microsoft Office applications and the updated software for easier electronic record keeping.</w:t>
      </w:r>
    </w:p>
    <w:p w:rsidR="006C17CB" w:rsidRDefault="0030091C">
      <w:pPr>
        <w:pStyle w:val="BodyText"/>
        <w:spacing w:before="112" w:line="189" w:lineRule="auto"/>
        <w:ind w:left="153" w:right="1412"/>
      </w:pPr>
      <w:r>
        <w:t>The ‘Tip of the month’ all staff email program continued to promote ongoing awareness of key record- keeping requirements and obligations.</w:t>
      </w:r>
    </w:p>
    <w:p w:rsidR="006C17CB" w:rsidRDefault="006C17CB">
      <w:pPr>
        <w:spacing w:line="189" w:lineRule="auto"/>
        <w:sectPr w:rsidR="006C17CB">
          <w:pgSz w:w="11910" w:h="16840"/>
          <w:pgMar w:top="1580" w:right="0" w:bottom="720" w:left="980" w:header="0" w:footer="52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0"/>
        <w:rPr>
          <w:sz w:val="16"/>
        </w:rPr>
      </w:pPr>
    </w:p>
    <w:p w:rsidR="006C17CB" w:rsidRDefault="0030091C">
      <w:pPr>
        <w:spacing w:before="136"/>
        <w:ind w:left="153"/>
        <w:rPr>
          <w:rFonts w:ascii="Montserrat-SemiBoldItalic"/>
          <w:b/>
          <w:i/>
          <w:sz w:val="20"/>
        </w:rPr>
      </w:pPr>
      <w:r>
        <w:rPr>
          <w:rFonts w:ascii="Montserrat-SemiBoldItalic"/>
          <w:b/>
          <w:i/>
          <w:sz w:val="20"/>
        </w:rPr>
        <w:t>Preservation and access</w:t>
      </w:r>
    </w:p>
    <w:p w:rsidR="006C17CB" w:rsidRDefault="0030091C">
      <w:pPr>
        <w:pStyle w:val="BodyText"/>
        <w:spacing w:before="166" w:line="189" w:lineRule="auto"/>
        <w:ind w:left="153" w:right="1177"/>
      </w:pPr>
      <w:r>
        <w:t xml:space="preserve">In accordance with the </w:t>
      </w:r>
      <w:hyperlink r:id="rId79">
        <w:r>
          <w:rPr>
            <w:rFonts w:ascii="Calibri"/>
            <w:i/>
            <w:spacing w:val="-6"/>
          </w:rPr>
          <w:t xml:space="preserve">Territory </w:t>
        </w:r>
        <w:r>
          <w:rPr>
            <w:rFonts w:ascii="Calibri"/>
            <w:i/>
            <w:spacing w:val="-5"/>
          </w:rPr>
          <w:t xml:space="preserve">Records </w:t>
        </w:r>
        <w:r>
          <w:rPr>
            <w:rFonts w:ascii="Calibri"/>
            <w:i/>
            <w:spacing w:val="-3"/>
          </w:rPr>
          <w:t xml:space="preserve">Act </w:t>
        </w:r>
        <w:r>
          <w:rPr>
            <w:rFonts w:ascii="Calibri"/>
            <w:i/>
            <w:spacing w:val="-5"/>
          </w:rPr>
          <w:t>2002</w:t>
        </w:r>
      </w:hyperlink>
      <w:r>
        <w:rPr>
          <w:spacing w:val="-5"/>
        </w:rPr>
        <w:t xml:space="preserve">, </w:t>
      </w:r>
      <w:r>
        <w:t xml:space="preserve">the Office has procedures in place to ensure that records containing information that will allow people to establish links with their Aboriginal or </w:t>
      </w:r>
      <w:r>
        <w:rPr>
          <w:spacing w:val="-3"/>
        </w:rPr>
        <w:t xml:space="preserve">Torres </w:t>
      </w:r>
      <w:r>
        <w:t xml:space="preserve">Strait Islander heritage are identified and preserved. The Office does not expect that any of its records will contain such information; </w:t>
      </w:r>
      <w:r>
        <w:rPr>
          <w:spacing w:val="-4"/>
        </w:rPr>
        <w:t xml:space="preserve">however, </w:t>
      </w:r>
      <w:r>
        <w:t xml:space="preserve">if such a record is identified, the Office will retain the records </w:t>
      </w:r>
      <w:r>
        <w:rPr>
          <w:spacing w:val="-3"/>
        </w:rPr>
        <w:t>permanently.</w:t>
      </w:r>
    </w:p>
    <w:p w:rsidR="006C17CB" w:rsidRDefault="0030091C">
      <w:pPr>
        <w:pStyle w:val="BodyText"/>
        <w:spacing w:before="111" w:line="189" w:lineRule="auto"/>
        <w:ind w:left="153" w:right="1412"/>
      </w:pPr>
      <w:r>
        <w:t>The Act also provides for public access to records over 20 years old. One request for public access was received via Archives ACT during the reporting period.</w:t>
      </w:r>
    </w:p>
    <w:p w:rsidR="006C17CB" w:rsidRDefault="006C17CB">
      <w:pPr>
        <w:pStyle w:val="BodyText"/>
        <w:spacing w:before="8"/>
        <w:rPr>
          <w:sz w:val="23"/>
        </w:rPr>
      </w:pPr>
    </w:p>
    <w:p w:rsidR="006C17CB" w:rsidRDefault="0030091C">
      <w:pPr>
        <w:ind w:left="153"/>
        <w:rPr>
          <w:rFonts w:ascii="Montserrat-SemiBoldItalic"/>
          <w:b/>
          <w:i/>
          <w:sz w:val="20"/>
        </w:rPr>
      </w:pPr>
      <w:r>
        <w:rPr>
          <w:rFonts w:ascii="Montserrat-SemiBoldItalic"/>
          <w:b/>
          <w:i/>
          <w:sz w:val="20"/>
        </w:rPr>
        <w:t>Activities</w:t>
      </w:r>
    </w:p>
    <w:p w:rsidR="006C17CB" w:rsidRDefault="0030091C">
      <w:pPr>
        <w:pStyle w:val="BodyText"/>
        <w:spacing w:before="166" w:line="189" w:lineRule="auto"/>
        <w:ind w:left="153" w:right="1177"/>
      </w:pPr>
      <w:r>
        <w:t>File creations increased by 9.2 per cent on the previous reporting period, with most being captured digitally in OLARIS.</w:t>
      </w:r>
    </w:p>
    <w:p w:rsidR="006C17CB" w:rsidRDefault="0030091C">
      <w:pPr>
        <w:pStyle w:val="BodyText"/>
        <w:spacing w:before="112" w:line="189" w:lineRule="auto"/>
        <w:ind w:left="153" w:right="1412"/>
      </w:pPr>
      <w:r>
        <w:t>Records were appraised and sentenced in accordance with the territory records disposal schedules. The disposal schedules used by the Office are outlined below.</w:t>
      </w:r>
    </w:p>
    <w:p w:rsidR="006C17CB" w:rsidRDefault="006C17CB">
      <w:pPr>
        <w:pStyle w:val="BodyText"/>
      </w:pPr>
    </w:p>
    <w:p w:rsidR="006C17CB" w:rsidRDefault="0030091C">
      <w:pPr>
        <w:spacing w:before="195"/>
        <w:ind w:left="157"/>
        <w:rPr>
          <w:rFonts w:ascii="Calibri"/>
          <w:i/>
        </w:rPr>
      </w:pPr>
      <w:r>
        <w:rPr>
          <w:rFonts w:ascii="Calibri"/>
          <w:b/>
          <w:sz w:val="18"/>
        </w:rPr>
        <w:t xml:space="preserve">TABLE 12. </w:t>
      </w:r>
      <w:r>
        <w:rPr>
          <w:rFonts w:ascii="Calibri"/>
          <w:i/>
        </w:rPr>
        <w:t>Records disposal schedules used by the Office</w:t>
      </w:r>
    </w:p>
    <w:p w:rsidR="006C17CB" w:rsidRDefault="006C17CB">
      <w:pPr>
        <w:pStyle w:val="BodyText"/>
        <w:spacing w:before="4" w:after="1"/>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6888"/>
        <w:gridCol w:w="1562"/>
        <w:gridCol w:w="1187"/>
      </w:tblGrid>
      <w:tr w:rsidR="006C17CB">
        <w:trPr>
          <w:trHeight w:val="396"/>
        </w:trPr>
        <w:tc>
          <w:tcPr>
            <w:tcW w:w="6888"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Records disposal schedule</w:t>
            </w:r>
          </w:p>
        </w:tc>
        <w:tc>
          <w:tcPr>
            <w:tcW w:w="1562" w:type="dxa"/>
            <w:tcBorders>
              <w:top w:val="nil"/>
              <w:bottom w:val="nil"/>
            </w:tcBorders>
            <w:shd w:val="clear" w:color="auto" w:fill="89A7D7"/>
          </w:tcPr>
          <w:p w:rsidR="006C17CB" w:rsidRDefault="0030091C">
            <w:pPr>
              <w:pStyle w:val="TableParagraph"/>
              <w:spacing w:before="72"/>
              <w:ind w:right="67"/>
              <w:rPr>
                <w:b/>
                <w:sz w:val="18"/>
              </w:rPr>
            </w:pPr>
            <w:r>
              <w:rPr>
                <w:b/>
                <w:sz w:val="18"/>
              </w:rPr>
              <w:t>Effective</w:t>
            </w:r>
          </w:p>
        </w:tc>
        <w:tc>
          <w:tcPr>
            <w:tcW w:w="1187" w:type="dxa"/>
            <w:tcBorders>
              <w:top w:val="nil"/>
              <w:bottom w:val="nil"/>
              <w:right w:val="nil"/>
            </w:tcBorders>
            <w:shd w:val="clear" w:color="auto" w:fill="89A7D7"/>
          </w:tcPr>
          <w:p w:rsidR="006C17CB" w:rsidRDefault="0030091C">
            <w:pPr>
              <w:pStyle w:val="TableParagraph"/>
              <w:spacing w:before="72"/>
              <w:ind w:right="77"/>
              <w:rPr>
                <w:b/>
                <w:sz w:val="18"/>
              </w:rPr>
            </w:pPr>
            <w:r>
              <w:rPr>
                <w:b/>
                <w:sz w:val="18"/>
              </w:rPr>
              <w:t>Year and No.</w:t>
            </w:r>
          </w:p>
        </w:tc>
      </w:tr>
      <w:tr w:rsidR="006C17CB">
        <w:trPr>
          <w:trHeight w:val="556"/>
        </w:trPr>
        <w:tc>
          <w:tcPr>
            <w:tcW w:w="6888" w:type="dxa"/>
            <w:tcBorders>
              <w:top w:val="nil"/>
              <w:left w:val="nil"/>
              <w:bottom w:val="single" w:sz="4" w:space="0" w:color="000000"/>
              <w:right w:val="single" w:sz="4" w:space="0" w:color="DADADA"/>
            </w:tcBorders>
          </w:tcPr>
          <w:p w:rsidR="006C17CB" w:rsidRDefault="0030091C">
            <w:pPr>
              <w:pStyle w:val="TableParagraph"/>
              <w:spacing w:before="30" w:line="204" w:lineRule="auto"/>
              <w:ind w:left="79" w:right="289"/>
              <w:jc w:val="left"/>
              <w:rPr>
                <w:sz w:val="18"/>
              </w:rPr>
            </w:pPr>
            <w:r>
              <w:rPr>
                <w:sz w:val="18"/>
              </w:rPr>
              <w:t>Territory Records (Records Disposal Schedule – Legislative Assembly Secretariat Records) Approval 2004 (No 1)</w:t>
            </w:r>
          </w:p>
        </w:tc>
        <w:tc>
          <w:tcPr>
            <w:tcW w:w="1562"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18 June 2004</w:t>
            </w:r>
          </w:p>
        </w:tc>
        <w:tc>
          <w:tcPr>
            <w:tcW w:w="1187" w:type="dxa"/>
            <w:tcBorders>
              <w:top w:val="nil"/>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NI2004-177</w:t>
            </w:r>
          </w:p>
        </w:tc>
      </w:tr>
      <w:tr w:rsidR="006C17CB">
        <w:trPr>
          <w:trHeight w:val="556"/>
        </w:trPr>
        <w:tc>
          <w:tcPr>
            <w:tcW w:w="6888"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right="363"/>
              <w:jc w:val="left"/>
              <w:rPr>
                <w:sz w:val="18"/>
              </w:rPr>
            </w:pPr>
            <w:r>
              <w:rPr>
                <w:sz w:val="18"/>
              </w:rPr>
              <w:t>Territory Records (Records Disposal Schedule – Arts and Cultural Development Records) Approval 2004 (No 1)</w:t>
            </w:r>
          </w:p>
        </w:tc>
        <w:tc>
          <w:tcPr>
            <w:tcW w:w="15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18 June 2004</w:t>
            </w:r>
          </w:p>
        </w:tc>
        <w:tc>
          <w:tcPr>
            <w:tcW w:w="118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NI2004-179</w:t>
            </w:r>
          </w:p>
        </w:tc>
      </w:tr>
      <w:tr w:rsidR="006C17CB">
        <w:trPr>
          <w:trHeight w:val="556"/>
        </w:trPr>
        <w:tc>
          <w:tcPr>
            <w:tcW w:w="6888"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right="44"/>
              <w:jc w:val="left"/>
              <w:rPr>
                <w:sz w:val="18"/>
              </w:rPr>
            </w:pPr>
            <w:r>
              <w:rPr>
                <w:sz w:val="18"/>
              </w:rPr>
              <w:t>Territory Records (Records Disposal Schedule – Finance and Treasury Management Records) Approval 2017 (No 1)</w:t>
            </w:r>
          </w:p>
        </w:tc>
        <w:tc>
          <w:tcPr>
            <w:tcW w:w="15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27 February 2017</w:t>
            </w:r>
          </w:p>
        </w:tc>
        <w:tc>
          <w:tcPr>
            <w:tcW w:w="118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NI2017-83</w:t>
            </w:r>
          </w:p>
        </w:tc>
      </w:tr>
      <w:tr w:rsidR="006C17CB">
        <w:trPr>
          <w:trHeight w:val="556"/>
        </w:trPr>
        <w:tc>
          <w:tcPr>
            <w:tcW w:w="6888"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right="430"/>
              <w:jc w:val="left"/>
              <w:rPr>
                <w:sz w:val="18"/>
              </w:rPr>
            </w:pPr>
            <w:r>
              <w:rPr>
                <w:sz w:val="18"/>
              </w:rPr>
              <w:t>Territory Records (Records Disposal Schedule – Government and Stakeholder Relations Records) Approval 2017 (No 1)</w:t>
            </w:r>
          </w:p>
        </w:tc>
        <w:tc>
          <w:tcPr>
            <w:tcW w:w="15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27 February 2017</w:t>
            </w:r>
          </w:p>
        </w:tc>
        <w:tc>
          <w:tcPr>
            <w:tcW w:w="118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NI2017-84</w:t>
            </w:r>
          </w:p>
        </w:tc>
      </w:tr>
      <w:tr w:rsidR="006C17CB">
        <w:trPr>
          <w:trHeight w:val="556"/>
        </w:trPr>
        <w:tc>
          <w:tcPr>
            <w:tcW w:w="6888"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right="201"/>
              <w:jc w:val="left"/>
              <w:rPr>
                <w:sz w:val="18"/>
              </w:rPr>
            </w:pPr>
            <w:r>
              <w:rPr>
                <w:sz w:val="18"/>
              </w:rPr>
              <w:t>Territory Records (Records Disposal Schedule – Human Resources Records) Approval 2017 (No 1)</w:t>
            </w:r>
          </w:p>
        </w:tc>
        <w:tc>
          <w:tcPr>
            <w:tcW w:w="15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27 February 2017</w:t>
            </w:r>
          </w:p>
        </w:tc>
        <w:tc>
          <w:tcPr>
            <w:tcW w:w="118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NI2017-79</w:t>
            </w:r>
          </w:p>
        </w:tc>
      </w:tr>
      <w:tr w:rsidR="006C17CB">
        <w:trPr>
          <w:trHeight w:val="556"/>
        </w:trPr>
        <w:tc>
          <w:tcPr>
            <w:tcW w:w="6888"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right="844"/>
              <w:jc w:val="left"/>
              <w:rPr>
                <w:sz w:val="18"/>
              </w:rPr>
            </w:pPr>
            <w:r>
              <w:rPr>
                <w:sz w:val="18"/>
              </w:rPr>
              <w:t>Territory Records (Records Disposal Schedule – Information and Communications Technology Records) Approval 2017 (No 1)</w:t>
            </w:r>
          </w:p>
        </w:tc>
        <w:tc>
          <w:tcPr>
            <w:tcW w:w="15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27 February 2017</w:t>
            </w:r>
          </w:p>
        </w:tc>
        <w:tc>
          <w:tcPr>
            <w:tcW w:w="118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NI2017-85</w:t>
            </w:r>
          </w:p>
        </w:tc>
      </w:tr>
      <w:tr w:rsidR="006C17CB">
        <w:trPr>
          <w:trHeight w:val="556"/>
        </w:trPr>
        <w:tc>
          <w:tcPr>
            <w:tcW w:w="6888"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right="424"/>
              <w:jc w:val="left"/>
              <w:rPr>
                <w:sz w:val="18"/>
              </w:rPr>
            </w:pPr>
            <w:r>
              <w:rPr>
                <w:sz w:val="18"/>
              </w:rPr>
              <w:t>Territory Records (Records Disposal Schedule – Property Equipment and Fleet Records) Approval 2017 (No 1)</w:t>
            </w:r>
          </w:p>
        </w:tc>
        <w:tc>
          <w:tcPr>
            <w:tcW w:w="15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27 February 2017</w:t>
            </w:r>
          </w:p>
        </w:tc>
        <w:tc>
          <w:tcPr>
            <w:tcW w:w="118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NI2017-86</w:t>
            </w:r>
          </w:p>
        </w:tc>
      </w:tr>
      <w:tr w:rsidR="006C17CB">
        <w:trPr>
          <w:trHeight w:val="556"/>
        </w:trPr>
        <w:tc>
          <w:tcPr>
            <w:tcW w:w="6888"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right="466"/>
              <w:jc w:val="left"/>
              <w:rPr>
                <w:sz w:val="18"/>
              </w:rPr>
            </w:pPr>
            <w:r>
              <w:rPr>
                <w:sz w:val="18"/>
              </w:rPr>
              <w:t>Territory Records (Records Disposal Schedule – Records and Information Management Records) Approval 2017 (No 1)</w:t>
            </w:r>
          </w:p>
        </w:tc>
        <w:tc>
          <w:tcPr>
            <w:tcW w:w="15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27 February 2017</w:t>
            </w:r>
          </w:p>
        </w:tc>
        <w:tc>
          <w:tcPr>
            <w:tcW w:w="118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NI2017-87</w:t>
            </w:r>
          </w:p>
        </w:tc>
      </w:tr>
      <w:tr w:rsidR="006C17CB">
        <w:trPr>
          <w:trHeight w:val="556"/>
        </w:trPr>
        <w:tc>
          <w:tcPr>
            <w:tcW w:w="6888"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right="289"/>
              <w:jc w:val="left"/>
              <w:rPr>
                <w:sz w:val="18"/>
              </w:rPr>
            </w:pPr>
            <w:r>
              <w:rPr>
                <w:sz w:val="18"/>
              </w:rPr>
              <w:t>Territory Records (Records Disposal Schedule – Solicitor and Legal Services Records) Approval 2017 (No 1)</w:t>
            </w:r>
          </w:p>
        </w:tc>
        <w:tc>
          <w:tcPr>
            <w:tcW w:w="15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27 February 2017</w:t>
            </w:r>
          </w:p>
        </w:tc>
        <w:tc>
          <w:tcPr>
            <w:tcW w:w="118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NI2017-88</w:t>
            </w:r>
          </w:p>
        </w:tc>
      </w:tr>
      <w:tr w:rsidR="006C17CB">
        <w:trPr>
          <w:trHeight w:val="556"/>
        </w:trPr>
        <w:tc>
          <w:tcPr>
            <w:tcW w:w="6888"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right="77"/>
              <w:jc w:val="left"/>
              <w:rPr>
                <w:sz w:val="18"/>
              </w:rPr>
            </w:pPr>
            <w:r>
              <w:rPr>
                <w:sz w:val="18"/>
              </w:rPr>
              <w:t>Territory Records (Records Disposal Schedule – Strategy and Governance Records) Approval 2017 (No 1)</w:t>
            </w:r>
          </w:p>
        </w:tc>
        <w:tc>
          <w:tcPr>
            <w:tcW w:w="15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27 February 2017</w:t>
            </w:r>
          </w:p>
        </w:tc>
        <w:tc>
          <w:tcPr>
            <w:tcW w:w="118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NI2017-89</w:t>
            </w:r>
          </w:p>
        </w:tc>
      </w:tr>
    </w:tbl>
    <w:p w:rsidR="006C17CB" w:rsidRDefault="006C17CB">
      <w:pPr>
        <w:spacing w:line="258" w:lineRule="exact"/>
        <w:rPr>
          <w:sz w:val="18"/>
        </w:rPr>
        <w:sectPr w:rsidR="006C17CB">
          <w:pgSz w:w="11910" w:h="16840"/>
          <w:pgMar w:top="1580" w:right="0" w:bottom="740" w:left="980" w:header="0" w:footer="551" w:gutter="0"/>
          <w:cols w:space="720"/>
        </w:sectPr>
      </w:pPr>
    </w:p>
    <w:p w:rsidR="006C17CB" w:rsidRDefault="006C17CB">
      <w:pPr>
        <w:pStyle w:val="BodyText"/>
        <w:rPr>
          <w:rFonts w:ascii="Calibri"/>
          <w:i/>
          <w:sz w:val="20"/>
        </w:rPr>
      </w:pPr>
    </w:p>
    <w:p w:rsidR="006C17CB" w:rsidRDefault="006C17CB">
      <w:pPr>
        <w:pStyle w:val="BodyText"/>
        <w:rPr>
          <w:rFonts w:ascii="Calibri"/>
          <w:i/>
          <w:sz w:val="20"/>
        </w:rPr>
      </w:pPr>
    </w:p>
    <w:p w:rsidR="006C17CB" w:rsidRDefault="006C17CB">
      <w:pPr>
        <w:pStyle w:val="BodyText"/>
        <w:spacing w:before="7"/>
        <w:rPr>
          <w:rFonts w:ascii="Calibri"/>
          <w:i/>
          <w:sz w:val="15"/>
        </w:rPr>
      </w:pPr>
    </w:p>
    <w:p w:rsidR="006C17CB" w:rsidRDefault="0030091C">
      <w:pPr>
        <w:pStyle w:val="Heading5"/>
        <w:spacing w:before="153"/>
        <w:rPr>
          <w:rFonts w:ascii="Montserrat"/>
        </w:rPr>
      </w:pPr>
      <w:bookmarkStart w:id="74" w:name="Human_Rights_Act"/>
      <w:bookmarkStart w:id="75" w:name="Sustainability_reporting"/>
      <w:bookmarkStart w:id="76" w:name="_bookmark24"/>
      <w:bookmarkEnd w:id="74"/>
      <w:bookmarkEnd w:id="75"/>
      <w:bookmarkEnd w:id="76"/>
      <w:r>
        <w:rPr>
          <w:rFonts w:ascii="Montserrat"/>
          <w:color w:val="556EAA"/>
        </w:rPr>
        <w:t>Human Rights Act</w:t>
      </w:r>
    </w:p>
    <w:p w:rsidR="006C17CB" w:rsidRDefault="0030091C">
      <w:pPr>
        <w:pStyle w:val="BodyText"/>
        <w:spacing w:before="90" w:line="189" w:lineRule="auto"/>
        <w:ind w:left="153" w:right="1776"/>
      </w:pPr>
      <w:r>
        <w:t xml:space="preserve">The Legislative Assembly plays an important role in the operation of the </w:t>
      </w:r>
      <w:hyperlink r:id="rId80">
        <w:r>
          <w:rPr>
            <w:rFonts w:ascii="Calibri"/>
            <w:i/>
          </w:rPr>
          <w:t>Human</w:t>
        </w:r>
        <w:r>
          <w:rPr>
            <w:rFonts w:ascii="Calibri"/>
            <w:i/>
            <w:spacing w:val="-4"/>
          </w:rPr>
          <w:t xml:space="preserve"> </w:t>
        </w:r>
        <w:r>
          <w:rPr>
            <w:rFonts w:ascii="Calibri"/>
            <w:i/>
            <w:spacing w:val="-5"/>
          </w:rPr>
          <w:t xml:space="preserve">Rights </w:t>
        </w:r>
        <w:r>
          <w:rPr>
            <w:rFonts w:ascii="Calibri"/>
            <w:i/>
            <w:spacing w:val="-3"/>
          </w:rPr>
          <w:t xml:space="preserve">Act </w:t>
        </w:r>
        <w:r>
          <w:rPr>
            <w:rFonts w:ascii="Calibri"/>
            <w:i/>
          </w:rPr>
          <w:t xml:space="preserve">2004 </w:t>
        </w:r>
      </w:hyperlink>
      <w:r>
        <w:t xml:space="preserve">via its scrutiny of legislation through the Standing Committee on Justice and Community Safety (legislative scrutiny </w:t>
      </w:r>
      <w:r>
        <w:rPr>
          <w:spacing w:val="-3"/>
        </w:rPr>
        <w:t>role).</w:t>
      </w:r>
    </w:p>
    <w:p w:rsidR="006C17CB" w:rsidRDefault="0030091C">
      <w:pPr>
        <w:pStyle w:val="BodyText"/>
        <w:spacing w:before="111" w:line="189" w:lineRule="auto"/>
        <w:ind w:left="153" w:right="1290"/>
        <w:jc w:val="both"/>
      </w:pPr>
      <w:r>
        <w:t>Under</w:t>
      </w:r>
      <w:r>
        <w:rPr>
          <w:spacing w:val="-4"/>
        </w:rPr>
        <w:t xml:space="preserve"> </w:t>
      </w:r>
      <w:r>
        <w:t>section</w:t>
      </w:r>
      <w:r>
        <w:rPr>
          <w:spacing w:val="-4"/>
        </w:rPr>
        <w:t xml:space="preserve"> 38(1), </w:t>
      </w:r>
      <w:r>
        <w:t>the</w:t>
      </w:r>
      <w:r>
        <w:rPr>
          <w:spacing w:val="-5"/>
        </w:rPr>
        <w:t xml:space="preserve"> </w:t>
      </w:r>
      <w:r>
        <w:t>committee</w:t>
      </w:r>
      <w:r>
        <w:rPr>
          <w:spacing w:val="-5"/>
        </w:rPr>
        <w:t xml:space="preserve"> </w:t>
      </w:r>
      <w:r>
        <w:t>is</w:t>
      </w:r>
      <w:r>
        <w:rPr>
          <w:spacing w:val="-4"/>
        </w:rPr>
        <w:t xml:space="preserve"> </w:t>
      </w:r>
      <w:r>
        <w:t>responsible</w:t>
      </w:r>
      <w:r>
        <w:rPr>
          <w:spacing w:val="-5"/>
        </w:rPr>
        <w:t xml:space="preserve"> </w:t>
      </w:r>
      <w:r>
        <w:t>for</w:t>
      </w:r>
      <w:r>
        <w:rPr>
          <w:spacing w:val="-5"/>
        </w:rPr>
        <w:t xml:space="preserve"> </w:t>
      </w:r>
      <w:r>
        <w:t>reporting</w:t>
      </w:r>
      <w:r>
        <w:rPr>
          <w:spacing w:val="-4"/>
        </w:rPr>
        <w:t xml:space="preserve"> </w:t>
      </w:r>
      <w:r>
        <w:t>to</w:t>
      </w:r>
      <w:r>
        <w:rPr>
          <w:spacing w:val="-5"/>
        </w:rPr>
        <w:t xml:space="preserve"> </w:t>
      </w:r>
      <w:r>
        <w:t>the</w:t>
      </w:r>
      <w:r>
        <w:rPr>
          <w:spacing w:val="-5"/>
        </w:rPr>
        <w:t xml:space="preserve"> </w:t>
      </w:r>
      <w:r>
        <w:t>Assembly</w:t>
      </w:r>
      <w:r>
        <w:rPr>
          <w:spacing w:val="-4"/>
        </w:rPr>
        <w:t xml:space="preserve"> </w:t>
      </w:r>
      <w:r>
        <w:t>on</w:t>
      </w:r>
      <w:r>
        <w:rPr>
          <w:spacing w:val="-5"/>
        </w:rPr>
        <w:t xml:space="preserve"> </w:t>
      </w:r>
      <w:r>
        <w:t>any</w:t>
      </w:r>
      <w:r>
        <w:rPr>
          <w:spacing w:val="-4"/>
        </w:rPr>
        <w:t xml:space="preserve"> </w:t>
      </w:r>
      <w:r>
        <w:t>human</w:t>
      </w:r>
      <w:r>
        <w:rPr>
          <w:spacing w:val="-4"/>
        </w:rPr>
        <w:t xml:space="preserve"> </w:t>
      </w:r>
      <w:r>
        <w:t>rights</w:t>
      </w:r>
      <w:r>
        <w:rPr>
          <w:spacing w:val="-4"/>
        </w:rPr>
        <w:t xml:space="preserve"> </w:t>
      </w:r>
      <w:r>
        <w:t>issues arising</w:t>
      </w:r>
      <w:r>
        <w:rPr>
          <w:spacing w:val="-7"/>
        </w:rPr>
        <w:t xml:space="preserve"> </w:t>
      </w:r>
      <w:r>
        <w:t>from</w:t>
      </w:r>
      <w:r>
        <w:rPr>
          <w:spacing w:val="-7"/>
        </w:rPr>
        <w:t xml:space="preserve"> </w:t>
      </w:r>
      <w:r>
        <w:t>certain</w:t>
      </w:r>
      <w:r>
        <w:rPr>
          <w:spacing w:val="-7"/>
        </w:rPr>
        <w:t xml:space="preserve"> </w:t>
      </w:r>
      <w:r>
        <w:t>bills</w:t>
      </w:r>
      <w:r>
        <w:rPr>
          <w:spacing w:val="-7"/>
        </w:rPr>
        <w:t xml:space="preserve"> </w:t>
      </w:r>
      <w:r>
        <w:t>presented</w:t>
      </w:r>
      <w:r>
        <w:rPr>
          <w:spacing w:val="-7"/>
        </w:rPr>
        <w:t xml:space="preserve"> </w:t>
      </w:r>
      <w:r>
        <w:t>to</w:t>
      </w:r>
      <w:r>
        <w:rPr>
          <w:spacing w:val="-7"/>
        </w:rPr>
        <w:t xml:space="preserve"> </w:t>
      </w:r>
      <w:r>
        <w:t>it,</w:t>
      </w:r>
      <w:r>
        <w:rPr>
          <w:spacing w:val="-7"/>
        </w:rPr>
        <w:t xml:space="preserve"> </w:t>
      </w:r>
      <w:r>
        <w:t>including</w:t>
      </w:r>
      <w:r>
        <w:rPr>
          <w:spacing w:val="-7"/>
        </w:rPr>
        <w:t xml:space="preserve"> </w:t>
      </w:r>
      <w:r>
        <w:t>any</w:t>
      </w:r>
      <w:r>
        <w:rPr>
          <w:spacing w:val="-7"/>
        </w:rPr>
        <w:t xml:space="preserve"> </w:t>
      </w:r>
      <w:r>
        <w:t>inconsistencies</w:t>
      </w:r>
      <w:r>
        <w:rPr>
          <w:spacing w:val="-7"/>
        </w:rPr>
        <w:t xml:space="preserve"> </w:t>
      </w:r>
      <w:r>
        <w:t>between</w:t>
      </w:r>
      <w:r>
        <w:rPr>
          <w:spacing w:val="-7"/>
        </w:rPr>
        <w:t xml:space="preserve"> </w:t>
      </w:r>
      <w:r>
        <w:t>proposed</w:t>
      </w:r>
      <w:r>
        <w:rPr>
          <w:spacing w:val="-7"/>
        </w:rPr>
        <w:t xml:space="preserve"> </w:t>
      </w:r>
      <w:r>
        <w:t>legislation</w:t>
      </w:r>
      <w:r>
        <w:rPr>
          <w:spacing w:val="-7"/>
        </w:rPr>
        <w:t xml:space="preserve"> </w:t>
      </w:r>
      <w:r>
        <w:t>and</w:t>
      </w:r>
      <w:r>
        <w:rPr>
          <w:spacing w:val="-7"/>
        </w:rPr>
        <w:t xml:space="preserve"> </w:t>
      </w:r>
      <w:r>
        <w:t>the Human Rights</w:t>
      </w:r>
      <w:r>
        <w:rPr>
          <w:spacing w:val="-1"/>
        </w:rPr>
        <w:t xml:space="preserve"> </w:t>
      </w:r>
      <w:r>
        <w:t>Act.</w:t>
      </w:r>
    </w:p>
    <w:p w:rsidR="006C17CB" w:rsidRDefault="006C17CB">
      <w:pPr>
        <w:pStyle w:val="BodyText"/>
        <w:spacing w:before="13"/>
        <w:rPr>
          <w:sz w:val="20"/>
        </w:rPr>
      </w:pPr>
    </w:p>
    <w:p w:rsidR="006C17CB" w:rsidRDefault="0030091C">
      <w:pPr>
        <w:pStyle w:val="Heading5"/>
        <w:spacing w:before="1"/>
        <w:rPr>
          <w:rFonts w:ascii="Montserrat"/>
        </w:rPr>
      </w:pPr>
      <w:r>
        <w:rPr>
          <w:rFonts w:ascii="Montserrat"/>
          <w:color w:val="556EAA"/>
        </w:rPr>
        <w:t>Sustainability reporting</w:t>
      </w:r>
    </w:p>
    <w:p w:rsidR="006C17CB" w:rsidRDefault="0030091C">
      <w:pPr>
        <w:pStyle w:val="BodyText"/>
        <w:spacing w:before="89" w:line="189" w:lineRule="auto"/>
        <w:ind w:left="153" w:right="1141"/>
      </w:pPr>
      <w:r>
        <w:t>During the year, the Office used the enterprise sustainability platform, available across the ACT public sector, to monitor its sustainability performance. The platform provides data on water, energy (electricity and gas), and greenhouse gas emissions, which has been used in this report.</w:t>
      </w:r>
    </w:p>
    <w:p w:rsidR="006C17CB" w:rsidRDefault="006C17CB">
      <w:pPr>
        <w:pStyle w:val="BodyText"/>
        <w:spacing w:before="7"/>
        <w:rPr>
          <w:sz w:val="23"/>
        </w:rPr>
      </w:pPr>
    </w:p>
    <w:p w:rsidR="006C17CB" w:rsidRDefault="0030091C">
      <w:pPr>
        <w:ind w:left="153"/>
        <w:rPr>
          <w:rFonts w:ascii="Montserrat-SemiBoldItalic"/>
          <w:b/>
          <w:i/>
          <w:sz w:val="20"/>
        </w:rPr>
      </w:pPr>
      <w:r>
        <w:rPr>
          <w:rFonts w:ascii="Montserrat-SemiBoldItalic"/>
          <w:b/>
          <w:i/>
          <w:sz w:val="20"/>
        </w:rPr>
        <w:t>GreenPower purchased for 2017-2018</w:t>
      </w:r>
    </w:p>
    <w:p w:rsidR="006C17CB" w:rsidRDefault="0030091C">
      <w:pPr>
        <w:pStyle w:val="BodyText"/>
        <w:spacing w:before="166" w:line="189" w:lineRule="auto"/>
        <w:ind w:left="153" w:right="1524"/>
      </w:pPr>
      <w:r>
        <w:t>The Office avails itself of the whole-of-government energy contract managed by the ACT Property Group on behalf of the Territory.</w:t>
      </w:r>
    </w:p>
    <w:p w:rsidR="006C17CB" w:rsidRDefault="0030091C">
      <w:pPr>
        <w:pStyle w:val="BodyText"/>
        <w:spacing w:before="113" w:line="189" w:lineRule="auto"/>
        <w:ind w:left="153" w:right="1320"/>
      </w:pPr>
      <w:r>
        <w:t xml:space="preserve">The ACT Government purchased an estimated </w:t>
      </w:r>
      <w:r>
        <w:rPr>
          <w:spacing w:val="-4"/>
        </w:rPr>
        <w:t xml:space="preserve">7,600 </w:t>
      </w:r>
      <w:r>
        <w:t xml:space="preserve">MWh (megawatt </w:t>
      </w:r>
      <w:r>
        <w:rPr>
          <w:spacing w:val="-2"/>
        </w:rPr>
        <w:t xml:space="preserve">hours) </w:t>
      </w:r>
      <w:r>
        <w:t xml:space="preserve">of </w:t>
      </w:r>
      <w:r>
        <w:rPr>
          <w:spacing w:val="-4"/>
        </w:rPr>
        <w:t xml:space="preserve">GreenPower, </w:t>
      </w:r>
      <w:r>
        <w:t xml:space="preserve">representing an indicative 5 per cent of electricity consumption for </w:t>
      </w:r>
      <w:r>
        <w:rPr>
          <w:spacing w:val="-5"/>
        </w:rPr>
        <w:t>2017-2018.</w:t>
      </w:r>
    </w:p>
    <w:p w:rsidR="006C17CB" w:rsidRDefault="006C17CB">
      <w:pPr>
        <w:pStyle w:val="BodyText"/>
        <w:spacing w:before="13"/>
        <w:rPr>
          <w:sz w:val="14"/>
        </w:rPr>
      </w:pPr>
    </w:p>
    <w:p w:rsidR="006C17CB" w:rsidRDefault="0030091C">
      <w:pPr>
        <w:ind w:left="153"/>
        <w:rPr>
          <w:rFonts w:ascii="Montserrat"/>
          <w:sz w:val="19"/>
        </w:rPr>
      </w:pPr>
      <w:r>
        <w:rPr>
          <w:rFonts w:ascii="Montserrat"/>
          <w:sz w:val="19"/>
        </w:rPr>
        <w:t>ENVIRONMENTAL SUSTAINABILITY PERFORMANCE STATISTICS</w:t>
      </w:r>
    </w:p>
    <w:p w:rsidR="006C17CB" w:rsidRDefault="0030091C">
      <w:pPr>
        <w:spacing w:before="228"/>
        <w:ind w:left="157"/>
        <w:rPr>
          <w:rFonts w:ascii="Calibri"/>
          <w:i/>
        </w:rPr>
      </w:pPr>
      <w:r>
        <w:rPr>
          <w:rFonts w:ascii="Calibri"/>
          <w:b/>
          <w:sz w:val="18"/>
        </w:rPr>
        <w:t xml:space="preserve">TABLE 13. </w:t>
      </w:r>
      <w:r>
        <w:rPr>
          <w:rFonts w:ascii="Calibri"/>
          <w:i/>
        </w:rPr>
        <w:t>General</w:t>
      </w:r>
    </w:p>
    <w:p w:rsidR="006C17CB" w:rsidRDefault="006C17CB">
      <w:pPr>
        <w:pStyle w:val="BodyText"/>
        <w:spacing w:before="5"/>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3118"/>
        <w:gridCol w:w="1261"/>
        <w:gridCol w:w="1048"/>
        <w:gridCol w:w="1019"/>
        <w:gridCol w:w="1019"/>
        <w:gridCol w:w="1090"/>
        <w:gridCol w:w="1081"/>
      </w:tblGrid>
      <w:tr w:rsidR="006C17CB">
        <w:trPr>
          <w:trHeight w:val="1360"/>
        </w:trPr>
        <w:tc>
          <w:tcPr>
            <w:tcW w:w="3118" w:type="dxa"/>
            <w:tcBorders>
              <w:top w:val="nil"/>
              <w:left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9"/>
              <w:jc w:val="left"/>
              <w:rPr>
                <w:b/>
                <w:sz w:val="18"/>
              </w:rPr>
            </w:pPr>
            <w:r>
              <w:rPr>
                <w:b/>
                <w:sz w:val="18"/>
              </w:rPr>
              <w:t>Indicator</w:t>
            </w:r>
          </w:p>
        </w:tc>
        <w:tc>
          <w:tcPr>
            <w:tcW w:w="1261"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0"/>
              <w:jc w:val="left"/>
              <w:rPr>
                <w:b/>
                <w:sz w:val="18"/>
              </w:rPr>
            </w:pPr>
            <w:r>
              <w:rPr>
                <w:b/>
                <w:sz w:val="18"/>
              </w:rPr>
              <w:t>Unit</w:t>
            </w:r>
          </w:p>
        </w:tc>
        <w:tc>
          <w:tcPr>
            <w:tcW w:w="1048"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69"/>
              <w:jc w:val="left"/>
              <w:rPr>
                <w:b/>
                <w:sz w:val="18"/>
              </w:rPr>
            </w:pPr>
            <w:r>
              <w:rPr>
                <w:b/>
                <w:sz w:val="18"/>
              </w:rPr>
              <w:t>2015-2016</w:t>
            </w:r>
          </w:p>
          <w:p w:rsidR="006C17CB" w:rsidRDefault="0030091C">
            <w:pPr>
              <w:pStyle w:val="TableParagraph"/>
              <w:spacing w:line="230" w:lineRule="exact"/>
              <w:ind w:left="520"/>
              <w:jc w:val="left"/>
              <w:rPr>
                <w:b/>
                <w:sz w:val="18"/>
              </w:rPr>
            </w:pPr>
            <w:r>
              <w:rPr>
                <w:b/>
                <w:sz w:val="18"/>
              </w:rPr>
              <w:t>result</w:t>
            </w:r>
          </w:p>
        </w:tc>
        <w:tc>
          <w:tcPr>
            <w:tcW w:w="1019"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44"/>
              <w:jc w:val="left"/>
              <w:rPr>
                <w:b/>
                <w:sz w:val="18"/>
              </w:rPr>
            </w:pPr>
            <w:r>
              <w:rPr>
                <w:b/>
                <w:sz w:val="18"/>
              </w:rPr>
              <w:t>2016-2017</w:t>
            </w:r>
          </w:p>
          <w:p w:rsidR="006C17CB" w:rsidRDefault="0030091C">
            <w:pPr>
              <w:pStyle w:val="TableParagraph"/>
              <w:spacing w:line="230" w:lineRule="exact"/>
              <w:ind w:left="493"/>
              <w:jc w:val="left"/>
              <w:rPr>
                <w:b/>
                <w:sz w:val="18"/>
              </w:rPr>
            </w:pPr>
            <w:r>
              <w:rPr>
                <w:b/>
                <w:sz w:val="18"/>
              </w:rPr>
              <w:t>result</w:t>
            </w:r>
          </w:p>
        </w:tc>
        <w:tc>
          <w:tcPr>
            <w:tcW w:w="1019"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54"/>
              <w:jc w:val="left"/>
              <w:rPr>
                <w:b/>
                <w:sz w:val="18"/>
              </w:rPr>
            </w:pPr>
            <w:r>
              <w:rPr>
                <w:b/>
                <w:sz w:val="18"/>
              </w:rPr>
              <w:t>2017-2018</w:t>
            </w:r>
          </w:p>
          <w:p w:rsidR="006C17CB" w:rsidRDefault="0030091C">
            <w:pPr>
              <w:pStyle w:val="TableParagraph"/>
              <w:spacing w:line="230" w:lineRule="exact"/>
              <w:ind w:left="494"/>
              <w:jc w:val="left"/>
              <w:rPr>
                <w:b/>
                <w:sz w:val="18"/>
              </w:rPr>
            </w:pPr>
            <w:r>
              <w:rPr>
                <w:b/>
                <w:sz w:val="18"/>
              </w:rPr>
              <w:t>result</w:t>
            </w:r>
          </w:p>
        </w:tc>
        <w:tc>
          <w:tcPr>
            <w:tcW w:w="1090" w:type="dxa"/>
            <w:tcBorders>
              <w:top w:val="nil"/>
              <w:bottom w:val="nil"/>
            </w:tcBorders>
            <w:shd w:val="clear" w:color="auto" w:fill="89A7D7"/>
          </w:tcPr>
          <w:p w:rsidR="006C17CB" w:rsidRDefault="006C17CB">
            <w:pPr>
              <w:pStyle w:val="TableParagraph"/>
              <w:spacing w:before="10"/>
              <w:jc w:val="left"/>
              <w:rPr>
                <w:i/>
                <w:sz w:val="19"/>
              </w:rPr>
            </w:pPr>
          </w:p>
          <w:p w:rsidR="006C17CB" w:rsidRDefault="0030091C">
            <w:pPr>
              <w:pStyle w:val="TableParagraph"/>
              <w:spacing w:before="1" w:line="184" w:lineRule="auto"/>
              <w:ind w:left="218" w:right="61" w:firstLine="124"/>
              <w:jc w:val="both"/>
              <w:rPr>
                <w:b/>
                <w:sz w:val="18"/>
              </w:rPr>
            </w:pPr>
            <w:r>
              <w:rPr>
                <w:b/>
                <w:sz w:val="18"/>
              </w:rPr>
              <w:t>Variance between 2016-2017</w:t>
            </w:r>
          </w:p>
          <w:p w:rsidR="006C17CB" w:rsidRDefault="0030091C">
            <w:pPr>
              <w:pStyle w:val="TableParagraph"/>
              <w:spacing w:line="184" w:lineRule="auto"/>
              <w:ind w:left="226" w:right="29" w:firstLine="493"/>
              <w:jc w:val="left"/>
              <w:rPr>
                <w:b/>
                <w:sz w:val="18"/>
              </w:rPr>
            </w:pPr>
            <w:r>
              <w:rPr>
                <w:b/>
                <w:sz w:val="18"/>
              </w:rPr>
              <w:t>and 2017-2018</w:t>
            </w:r>
          </w:p>
        </w:tc>
        <w:tc>
          <w:tcPr>
            <w:tcW w:w="1081" w:type="dxa"/>
            <w:tcBorders>
              <w:top w:val="nil"/>
              <w:bottom w:val="nil"/>
            </w:tcBorders>
            <w:shd w:val="clear" w:color="auto" w:fill="89A7D7"/>
          </w:tcPr>
          <w:p w:rsidR="006C17CB" w:rsidRDefault="0030091C">
            <w:pPr>
              <w:pStyle w:val="TableParagraph"/>
              <w:spacing w:before="84" w:line="184" w:lineRule="auto"/>
              <w:ind w:left="210" w:right="60" w:hanging="68"/>
              <w:jc w:val="both"/>
              <w:rPr>
                <w:b/>
                <w:sz w:val="18"/>
              </w:rPr>
            </w:pPr>
            <w:r>
              <w:rPr>
                <w:b/>
                <w:sz w:val="18"/>
              </w:rPr>
              <w:t>Percentage variance between 2016-2017</w:t>
            </w:r>
          </w:p>
          <w:p w:rsidR="006C17CB" w:rsidRDefault="0030091C">
            <w:pPr>
              <w:pStyle w:val="TableParagraph"/>
              <w:spacing w:before="1" w:line="184" w:lineRule="auto"/>
              <w:ind w:left="218" w:right="29" w:firstLine="493"/>
              <w:jc w:val="left"/>
              <w:rPr>
                <w:b/>
                <w:sz w:val="18"/>
              </w:rPr>
            </w:pPr>
            <w:r>
              <w:rPr>
                <w:b/>
                <w:sz w:val="18"/>
              </w:rPr>
              <w:t>and 2017-2018</w:t>
            </w:r>
          </w:p>
        </w:tc>
      </w:tr>
      <w:tr w:rsidR="006C17CB">
        <w:trPr>
          <w:trHeight w:val="556"/>
        </w:trPr>
        <w:tc>
          <w:tcPr>
            <w:tcW w:w="3118" w:type="dxa"/>
            <w:tcBorders>
              <w:top w:val="nil"/>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Total occupancy – all building occupants</w:t>
            </w:r>
          </w:p>
        </w:tc>
        <w:tc>
          <w:tcPr>
            <w:tcW w:w="1261" w:type="dxa"/>
            <w:tcBorders>
              <w:top w:val="nil"/>
              <w:left w:val="single" w:sz="4" w:space="0" w:color="DADADA"/>
              <w:bottom w:val="single" w:sz="4" w:space="0" w:color="000000"/>
              <w:right w:val="single" w:sz="4" w:space="0" w:color="DADADA"/>
            </w:tcBorders>
          </w:tcPr>
          <w:p w:rsidR="006C17CB" w:rsidRDefault="0030091C">
            <w:pPr>
              <w:pStyle w:val="TableParagraph"/>
              <w:spacing w:before="30" w:line="204" w:lineRule="auto"/>
              <w:ind w:left="75" w:right="531"/>
              <w:jc w:val="left"/>
              <w:rPr>
                <w:sz w:val="18"/>
              </w:rPr>
            </w:pPr>
            <w:r>
              <w:rPr>
                <w:sz w:val="18"/>
              </w:rPr>
              <w:t>Numeric (FTE)</w:t>
            </w:r>
          </w:p>
        </w:tc>
        <w:tc>
          <w:tcPr>
            <w:tcW w:w="1048"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146.00</w:t>
            </w:r>
          </w:p>
        </w:tc>
        <w:tc>
          <w:tcPr>
            <w:tcW w:w="1019"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0"/>
              <w:rPr>
                <w:sz w:val="18"/>
              </w:rPr>
            </w:pPr>
            <w:r>
              <w:rPr>
                <w:sz w:val="18"/>
              </w:rPr>
              <w:t>167.60</w:t>
            </w:r>
          </w:p>
        </w:tc>
        <w:tc>
          <w:tcPr>
            <w:tcW w:w="1019"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69"/>
              <w:rPr>
                <w:sz w:val="18"/>
              </w:rPr>
            </w:pPr>
            <w:r>
              <w:rPr>
                <w:sz w:val="18"/>
              </w:rPr>
              <w:t>166.50</w:t>
            </w:r>
          </w:p>
        </w:tc>
        <w:tc>
          <w:tcPr>
            <w:tcW w:w="1090"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67"/>
              <w:rPr>
                <w:sz w:val="18"/>
              </w:rPr>
            </w:pPr>
            <w:r>
              <w:rPr>
                <w:sz w:val="18"/>
              </w:rPr>
              <w:t>-1.10</w:t>
            </w:r>
          </w:p>
        </w:tc>
        <w:tc>
          <w:tcPr>
            <w:tcW w:w="1081" w:type="dxa"/>
            <w:tcBorders>
              <w:top w:val="nil"/>
              <w:left w:val="single" w:sz="4" w:space="0" w:color="DADADA"/>
              <w:bottom w:val="single" w:sz="4" w:space="0" w:color="000000"/>
              <w:right w:val="nil"/>
            </w:tcBorders>
          </w:tcPr>
          <w:p w:rsidR="006C17CB" w:rsidRDefault="0030091C">
            <w:pPr>
              <w:pStyle w:val="TableParagraph"/>
              <w:spacing w:line="258" w:lineRule="exact"/>
              <w:ind w:right="71"/>
              <w:rPr>
                <w:sz w:val="18"/>
              </w:rPr>
            </w:pPr>
            <w:r>
              <w:rPr>
                <w:sz w:val="18"/>
              </w:rPr>
              <w:t>-0.66%</w:t>
            </w:r>
          </w:p>
        </w:tc>
      </w:tr>
      <w:tr w:rsidR="006C17CB">
        <w:trPr>
          <w:trHeight w:val="783"/>
        </w:trPr>
        <w:tc>
          <w:tcPr>
            <w:tcW w:w="3118"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right="115"/>
              <w:jc w:val="left"/>
              <w:rPr>
                <w:sz w:val="18"/>
              </w:rPr>
            </w:pPr>
            <w:r>
              <w:rPr>
                <w:sz w:val="18"/>
              </w:rPr>
              <w:t>Non-executive occupancy – Office of the Legislative Assembly, non-executive members and staff</w:t>
            </w:r>
          </w:p>
        </w:tc>
        <w:tc>
          <w:tcPr>
            <w:tcW w:w="1261"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30" w:line="204" w:lineRule="auto"/>
              <w:ind w:left="75" w:right="531"/>
              <w:jc w:val="left"/>
              <w:rPr>
                <w:sz w:val="18"/>
              </w:rPr>
            </w:pPr>
            <w:r>
              <w:rPr>
                <w:sz w:val="18"/>
              </w:rPr>
              <w:t>Numeric (FTE)</w:t>
            </w:r>
          </w:p>
        </w:tc>
        <w:tc>
          <w:tcPr>
            <w:tcW w:w="104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92.80</w:t>
            </w:r>
          </w:p>
        </w:tc>
        <w:tc>
          <w:tcPr>
            <w:tcW w:w="10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0"/>
              <w:rPr>
                <w:sz w:val="18"/>
              </w:rPr>
            </w:pPr>
            <w:r>
              <w:rPr>
                <w:sz w:val="18"/>
              </w:rPr>
              <w:t>114.30</w:t>
            </w:r>
          </w:p>
        </w:tc>
        <w:tc>
          <w:tcPr>
            <w:tcW w:w="10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9"/>
              <w:rPr>
                <w:sz w:val="18"/>
              </w:rPr>
            </w:pPr>
            <w:r>
              <w:rPr>
                <w:sz w:val="18"/>
              </w:rPr>
              <w:t>114.30</w:t>
            </w:r>
          </w:p>
        </w:tc>
        <w:tc>
          <w:tcPr>
            <w:tcW w:w="109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7"/>
              <w:rPr>
                <w:sz w:val="18"/>
              </w:rPr>
            </w:pPr>
            <w:r>
              <w:rPr>
                <w:sz w:val="18"/>
              </w:rPr>
              <w:t>0.00</w:t>
            </w:r>
          </w:p>
        </w:tc>
        <w:tc>
          <w:tcPr>
            <w:tcW w:w="1081"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1"/>
              <w:rPr>
                <w:sz w:val="18"/>
              </w:rPr>
            </w:pPr>
            <w:r>
              <w:rPr>
                <w:sz w:val="18"/>
              </w:rPr>
              <w:t>0.00%</w:t>
            </w:r>
          </w:p>
        </w:tc>
      </w:tr>
      <w:tr w:rsidR="006C17CB">
        <w:trPr>
          <w:trHeight w:val="556"/>
        </w:trPr>
        <w:tc>
          <w:tcPr>
            <w:tcW w:w="3118"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Total area floor space – net lettable area</w:t>
            </w:r>
          </w:p>
        </w:tc>
        <w:tc>
          <w:tcPr>
            <w:tcW w:w="1261"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30" w:line="204" w:lineRule="auto"/>
              <w:ind w:left="75"/>
              <w:jc w:val="left"/>
              <w:rPr>
                <w:sz w:val="18"/>
              </w:rPr>
            </w:pPr>
            <w:r>
              <w:rPr>
                <w:sz w:val="18"/>
              </w:rPr>
              <w:t>Square metres (m</w:t>
            </w:r>
            <w:r>
              <w:rPr>
                <w:position w:val="6"/>
                <w:sz w:val="10"/>
              </w:rPr>
              <w:t>2</w:t>
            </w:r>
            <w:r>
              <w:rPr>
                <w:sz w:val="18"/>
              </w:rPr>
              <w:t>)</w:t>
            </w:r>
          </w:p>
        </w:tc>
        <w:tc>
          <w:tcPr>
            <w:tcW w:w="104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7436.94</w:t>
            </w:r>
          </w:p>
        </w:tc>
        <w:tc>
          <w:tcPr>
            <w:tcW w:w="10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0"/>
              <w:rPr>
                <w:sz w:val="18"/>
              </w:rPr>
            </w:pPr>
            <w:r>
              <w:rPr>
                <w:sz w:val="18"/>
              </w:rPr>
              <w:t>7436.94</w:t>
            </w:r>
          </w:p>
        </w:tc>
        <w:tc>
          <w:tcPr>
            <w:tcW w:w="10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9"/>
              <w:rPr>
                <w:sz w:val="18"/>
              </w:rPr>
            </w:pPr>
            <w:r>
              <w:rPr>
                <w:sz w:val="18"/>
              </w:rPr>
              <w:t>7436.94</w:t>
            </w:r>
          </w:p>
        </w:tc>
        <w:tc>
          <w:tcPr>
            <w:tcW w:w="109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7"/>
              <w:rPr>
                <w:sz w:val="18"/>
              </w:rPr>
            </w:pPr>
            <w:r>
              <w:rPr>
                <w:sz w:val="18"/>
              </w:rPr>
              <w:t>0.00</w:t>
            </w:r>
          </w:p>
        </w:tc>
        <w:tc>
          <w:tcPr>
            <w:tcW w:w="1081"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1"/>
              <w:rPr>
                <w:sz w:val="18"/>
              </w:rPr>
            </w:pPr>
            <w:r>
              <w:rPr>
                <w:sz w:val="18"/>
              </w:rPr>
              <w:t>0.00%</w:t>
            </w:r>
          </w:p>
        </w:tc>
      </w:tr>
    </w:tbl>
    <w:p w:rsidR="006C17CB" w:rsidRDefault="006C17CB">
      <w:pPr>
        <w:spacing w:line="258" w:lineRule="exact"/>
        <w:rPr>
          <w:sz w:val="18"/>
        </w:rPr>
        <w:sectPr w:rsidR="006C17CB">
          <w:pgSz w:w="11910" w:h="16840"/>
          <w:pgMar w:top="1580" w:right="0" w:bottom="720" w:left="980" w:header="0" w:footer="523" w:gutter="0"/>
          <w:cols w:space="720"/>
        </w:sectPr>
      </w:pPr>
    </w:p>
    <w:p w:rsidR="006C17CB" w:rsidRDefault="006C17CB">
      <w:pPr>
        <w:pStyle w:val="BodyText"/>
        <w:spacing w:before="8"/>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3175"/>
        <w:gridCol w:w="1105"/>
        <w:gridCol w:w="1049"/>
        <w:gridCol w:w="1049"/>
        <w:gridCol w:w="1035"/>
        <w:gridCol w:w="1078"/>
        <w:gridCol w:w="1153"/>
      </w:tblGrid>
      <w:tr w:rsidR="006C17CB">
        <w:trPr>
          <w:trHeight w:val="1360"/>
        </w:trPr>
        <w:tc>
          <w:tcPr>
            <w:tcW w:w="3175" w:type="dxa"/>
            <w:tcBorders>
              <w:top w:val="nil"/>
              <w:left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9"/>
              <w:jc w:val="left"/>
              <w:rPr>
                <w:b/>
                <w:sz w:val="18"/>
              </w:rPr>
            </w:pPr>
            <w:r>
              <w:rPr>
                <w:b/>
                <w:sz w:val="18"/>
              </w:rPr>
              <w:t>Indicator</w:t>
            </w:r>
          </w:p>
        </w:tc>
        <w:tc>
          <w:tcPr>
            <w:tcW w:w="1105"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69"/>
              <w:jc w:val="left"/>
              <w:rPr>
                <w:b/>
                <w:sz w:val="18"/>
              </w:rPr>
            </w:pPr>
            <w:r>
              <w:rPr>
                <w:b/>
                <w:sz w:val="18"/>
              </w:rPr>
              <w:t>Unit</w:t>
            </w:r>
          </w:p>
        </w:tc>
        <w:tc>
          <w:tcPr>
            <w:tcW w:w="1049"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68"/>
              <w:jc w:val="left"/>
              <w:rPr>
                <w:b/>
                <w:sz w:val="18"/>
              </w:rPr>
            </w:pPr>
            <w:r>
              <w:rPr>
                <w:b/>
                <w:sz w:val="18"/>
              </w:rPr>
              <w:t>2015-2016</w:t>
            </w:r>
          </w:p>
          <w:p w:rsidR="006C17CB" w:rsidRDefault="0030091C">
            <w:pPr>
              <w:pStyle w:val="TableParagraph"/>
              <w:spacing w:line="230" w:lineRule="exact"/>
              <w:ind w:left="520"/>
              <w:jc w:val="left"/>
              <w:rPr>
                <w:b/>
                <w:sz w:val="18"/>
              </w:rPr>
            </w:pPr>
            <w:r>
              <w:rPr>
                <w:b/>
                <w:sz w:val="18"/>
              </w:rPr>
              <w:t>result</w:t>
            </w:r>
          </w:p>
        </w:tc>
        <w:tc>
          <w:tcPr>
            <w:tcW w:w="1049"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71"/>
              <w:jc w:val="left"/>
              <w:rPr>
                <w:b/>
                <w:sz w:val="18"/>
              </w:rPr>
            </w:pPr>
            <w:r>
              <w:rPr>
                <w:b/>
                <w:sz w:val="18"/>
              </w:rPr>
              <w:t>2016-2017</w:t>
            </w:r>
          </w:p>
          <w:p w:rsidR="006C17CB" w:rsidRDefault="0030091C">
            <w:pPr>
              <w:pStyle w:val="TableParagraph"/>
              <w:spacing w:line="230" w:lineRule="exact"/>
              <w:ind w:left="519"/>
              <w:jc w:val="left"/>
              <w:rPr>
                <w:b/>
                <w:sz w:val="18"/>
              </w:rPr>
            </w:pPr>
            <w:r>
              <w:rPr>
                <w:b/>
                <w:sz w:val="18"/>
              </w:rPr>
              <w:t>result</w:t>
            </w:r>
          </w:p>
        </w:tc>
        <w:tc>
          <w:tcPr>
            <w:tcW w:w="1035"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65"/>
              <w:jc w:val="left"/>
              <w:rPr>
                <w:b/>
                <w:sz w:val="18"/>
              </w:rPr>
            </w:pPr>
            <w:r>
              <w:rPr>
                <w:b/>
                <w:sz w:val="18"/>
              </w:rPr>
              <w:t>2017-2018</w:t>
            </w:r>
          </w:p>
          <w:p w:rsidR="006C17CB" w:rsidRDefault="0030091C">
            <w:pPr>
              <w:pStyle w:val="TableParagraph"/>
              <w:spacing w:line="230" w:lineRule="exact"/>
              <w:ind w:left="505"/>
              <w:jc w:val="left"/>
              <w:rPr>
                <w:b/>
                <w:sz w:val="18"/>
              </w:rPr>
            </w:pPr>
            <w:r>
              <w:rPr>
                <w:b/>
                <w:sz w:val="18"/>
              </w:rPr>
              <w:t>result</w:t>
            </w:r>
          </w:p>
        </w:tc>
        <w:tc>
          <w:tcPr>
            <w:tcW w:w="1078" w:type="dxa"/>
            <w:tcBorders>
              <w:top w:val="nil"/>
              <w:bottom w:val="nil"/>
            </w:tcBorders>
            <w:shd w:val="clear" w:color="auto" w:fill="89A7D7"/>
          </w:tcPr>
          <w:p w:rsidR="006C17CB" w:rsidRDefault="006C17CB">
            <w:pPr>
              <w:pStyle w:val="TableParagraph"/>
              <w:spacing w:before="10"/>
              <w:jc w:val="left"/>
              <w:rPr>
                <w:i/>
                <w:sz w:val="19"/>
              </w:rPr>
            </w:pPr>
          </w:p>
          <w:p w:rsidR="006C17CB" w:rsidRDefault="0030091C">
            <w:pPr>
              <w:pStyle w:val="TableParagraph"/>
              <w:spacing w:before="1" w:line="184" w:lineRule="auto"/>
              <w:ind w:left="199" w:right="68" w:firstLine="124"/>
              <w:jc w:val="both"/>
              <w:rPr>
                <w:b/>
                <w:sz w:val="18"/>
              </w:rPr>
            </w:pPr>
            <w:r>
              <w:rPr>
                <w:b/>
                <w:sz w:val="18"/>
              </w:rPr>
              <w:t>Variance between 2016-2017</w:t>
            </w:r>
          </w:p>
          <w:p w:rsidR="006C17CB" w:rsidRDefault="0030091C">
            <w:pPr>
              <w:pStyle w:val="TableParagraph"/>
              <w:spacing w:line="184" w:lineRule="auto"/>
              <w:ind w:left="207" w:right="33" w:firstLine="493"/>
              <w:jc w:val="left"/>
              <w:rPr>
                <w:b/>
                <w:sz w:val="18"/>
              </w:rPr>
            </w:pPr>
            <w:r>
              <w:rPr>
                <w:b/>
                <w:sz w:val="18"/>
              </w:rPr>
              <w:t>and 2017-2018</w:t>
            </w:r>
          </w:p>
        </w:tc>
        <w:tc>
          <w:tcPr>
            <w:tcW w:w="1153" w:type="dxa"/>
            <w:tcBorders>
              <w:top w:val="nil"/>
              <w:bottom w:val="nil"/>
              <w:right w:val="nil"/>
            </w:tcBorders>
            <w:shd w:val="clear" w:color="auto" w:fill="89A7D7"/>
          </w:tcPr>
          <w:p w:rsidR="006C17CB" w:rsidRDefault="0030091C">
            <w:pPr>
              <w:pStyle w:val="TableParagraph"/>
              <w:spacing w:before="84" w:line="184" w:lineRule="auto"/>
              <w:ind w:left="273" w:right="79" w:hanging="68"/>
              <w:jc w:val="both"/>
              <w:rPr>
                <w:b/>
                <w:sz w:val="18"/>
              </w:rPr>
            </w:pPr>
            <w:r>
              <w:rPr>
                <w:b/>
                <w:sz w:val="18"/>
              </w:rPr>
              <w:t>Percentage variance between 2016-2017</w:t>
            </w:r>
          </w:p>
          <w:p w:rsidR="006C17CB" w:rsidRDefault="0030091C">
            <w:pPr>
              <w:pStyle w:val="TableParagraph"/>
              <w:spacing w:before="1" w:line="184" w:lineRule="auto"/>
              <w:ind w:left="282" w:right="38" w:firstLine="493"/>
              <w:jc w:val="left"/>
              <w:rPr>
                <w:b/>
                <w:sz w:val="18"/>
              </w:rPr>
            </w:pPr>
            <w:r>
              <w:rPr>
                <w:b/>
                <w:sz w:val="18"/>
              </w:rPr>
              <w:t>and 2017-2018</w:t>
            </w:r>
          </w:p>
        </w:tc>
      </w:tr>
      <w:tr w:rsidR="006C17CB">
        <w:trPr>
          <w:trHeight w:val="386"/>
        </w:trPr>
        <w:tc>
          <w:tcPr>
            <w:tcW w:w="3175"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Electricity use</w:t>
            </w:r>
          </w:p>
        </w:tc>
        <w:tc>
          <w:tcPr>
            <w:tcW w:w="1105"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Megajoules</w:t>
            </w:r>
          </w:p>
        </w:tc>
        <w:tc>
          <w:tcPr>
            <w:tcW w:w="1049"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2,950,873</w:t>
            </w:r>
          </w:p>
        </w:tc>
        <w:tc>
          <w:tcPr>
            <w:tcW w:w="1049"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3,293,959</w:t>
            </w:r>
          </w:p>
        </w:tc>
        <w:tc>
          <w:tcPr>
            <w:tcW w:w="1035"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3,157,840</w:t>
            </w:r>
          </w:p>
        </w:tc>
        <w:tc>
          <w:tcPr>
            <w:tcW w:w="1078"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-136,118</w:t>
            </w:r>
          </w:p>
        </w:tc>
        <w:tc>
          <w:tcPr>
            <w:tcW w:w="1153" w:type="dxa"/>
            <w:tcBorders>
              <w:top w:val="nil"/>
              <w:left w:val="single" w:sz="4" w:space="0" w:color="DADADA"/>
              <w:bottom w:val="single" w:sz="4" w:space="0" w:color="000000"/>
              <w:right w:val="nil"/>
            </w:tcBorders>
          </w:tcPr>
          <w:p w:rsidR="006C17CB" w:rsidRDefault="0030091C">
            <w:pPr>
              <w:pStyle w:val="TableParagraph"/>
              <w:spacing w:before="50"/>
              <w:ind w:right="80"/>
              <w:rPr>
                <w:sz w:val="18"/>
              </w:rPr>
            </w:pPr>
            <w:r>
              <w:rPr>
                <w:sz w:val="18"/>
              </w:rPr>
              <w:t>-4.13%</w:t>
            </w:r>
          </w:p>
        </w:tc>
      </w:tr>
      <w:tr w:rsidR="006C17CB">
        <w:trPr>
          <w:trHeight w:val="386"/>
        </w:trPr>
        <w:tc>
          <w:tcPr>
            <w:tcW w:w="3175"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Electricity use</w:t>
            </w:r>
          </w:p>
        </w:tc>
        <w:tc>
          <w:tcPr>
            <w:tcW w:w="110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kWh</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819,687</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914,988</w:t>
            </w:r>
          </w:p>
        </w:tc>
        <w:tc>
          <w:tcPr>
            <w:tcW w:w="103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877,177</w:t>
            </w:r>
          </w:p>
        </w:tc>
        <w:tc>
          <w:tcPr>
            <w:tcW w:w="10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-37,810</w:t>
            </w:r>
          </w:p>
        </w:tc>
        <w:tc>
          <w:tcPr>
            <w:tcW w:w="115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0"/>
              <w:rPr>
                <w:sz w:val="18"/>
              </w:rPr>
            </w:pPr>
            <w:r>
              <w:rPr>
                <w:sz w:val="18"/>
              </w:rPr>
              <w:t>-4.13%</w:t>
            </w:r>
          </w:p>
        </w:tc>
      </w:tr>
      <w:tr w:rsidR="006C17CB">
        <w:trPr>
          <w:trHeight w:val="386"/>
        </w:trPr>
        <w:tc>
          <w:tcPr>
            <w:tcW w:w="3175"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Gas use</w:t>
            </w:r>
          </w:p>
        </w:tc>
        <w:tc>
          <w:tcPr>
            <w:tcW w:w="110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Megajoules</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1,529,491</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2,366,485</w:t>
            </w:r>
          </w:p>
        </w:tc>
        <w:tc>
          <w:tcPr>
            <w:tcW w:w="103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1,942,529</w:t>
            </w:r>
          </w:p>
        </w:tc>
        <w:tc>
          <w:tcPr>
            <w:tcW w:w="10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-423,956</w:t>
            </w:r>
          </w:p>
        </w:tc>
        <w:tc>
          <w:tcPr>
            <w:tcW w:w="115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0"/>
              <w:rPr>
                <w:sz w:val="18"/>
              </w:rPr>
            </w:pPr>
            <w:r>
              <w:rPr>
                <w:sz w:val="18"/>
              </w:rPr>
              <w:t>-17.92%</w:t>
            </w:r>
          </w:p>
        </w:tc>
      </w:tr>
      <w:tr w:rsidR="006C17CB">
        <w:trPr>
          <w:trHeight w:val="386"/>
        </w:trPr>
        <w:tc>
          <w:tcPr>
            <w:tcW w:w="3175"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Total office energy use (gas+electricity)</w:t>
            </w:r>
          </w:p>
        </w:tc>
        <w:tc>
          <w:tcPr>
            <w:tcW w:w="110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Megajoules</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4,480,364</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5,660,444</w:t>
            </w:r>
          </w:p>
        </w:tc>
        <w:tc>
          <w:tcPr>
            <w:tcW w:w="103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5,100,369</w:t>
            </w:r>
          </w:p>
        </w:tc>
        <w:tc>
          <w:tcPr>
            <w:tcW w:w="10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-560,075</w:t>
            </w:r>
          </w:p>
        </w:tc>
        <w:tc>
          <w:tcPr>
            <w:tcW w:w="115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0"/>
              <w:rPr>
                <w:sz w:val="18"/>
              </w:rPr>
            </w:pPr>
            <w:r>
              <w:rPr>
                <w:sz w:val="18"/>
              </w:rPr>
              <w:t>-9.89%</w:t>
            </w:r>
          </w:p>
        </w:tc>
      </w:tr>
      <w:tr w:rsidR="006C17CB">
        <w:trPr>
          <w:trHeight w:val="386"/>
        </w:trPr>
        <w:tc>
          <w:tcPr>
            <w:tcW w:w="3175"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Total office energy use (gas+electricity)</w:t>
            </w:r>
          </w:p>
        </w:tc>
        <w:tc>
          <w:tcPr>
            <w:tcW w:w="110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Gigajoules</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4,480</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5,660</w:t>
            </w:r>
          </w:p>
        </w:tc>
        <w:tc>
          <w:tcPr>
            <w:tcW w:w="103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5,100</w:t>
            </w:r>
          </w:p>
        </w:tc>
        <w:tc>
          <w:tcPr>
            <w:tcW w:w="10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-560</w:t>
            </w:r>
          </w:p>
        </w:tc>
        <w:tc>
          <w:tcPr>
            <w:tcW w:w="115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0"/>
              <w:rPr>
                <w:sz w:val="18"/>
              </w:rPr>
            </w:pPr>
            <w:r>
              <w:rPr>
                <w:sz w:val="18"/>
              </w:rPr>
              <w:t>-9.89%</w:t>
            </w:r>
          </w:p>
        </w:tc>
      </w:tr>
    </w:tbl>
    <w:p w:rsidR="006C17CB" w:rsidRDefault="006C17CB">
      <w:pPr>
        <w:pStyle w:val="BodyText"/>
        <w:rPr>
          <w:rFonts w:ascii="Calibri"/>
          <w:i/>
          <w:sz w:val="20"/>
        </w:rPr>
      </w:pPr>
    </w:p>
    <w:p w:rsidR="006C17CB" w:rsidRDefault="006C17CB">
      <w:pPr>
        <w:pStyle w:val="BodyText"/>
        <w:spacing w:before="10"/>
        <w:rPr>
          <w:rFonts w:ascii="Calibri"/>
          <w:i/>
          <w:sz w:val="12"/>
        </w:rPr>
      </w:pPr>
    </w:p>
    <w:p w:rsidR="006C17CB" w:rsidRDefault="0030091C">
      <w:pPr>
        <w:spacing w:before="7"/>
        <w:ind w:left="157"/>
        <w:rPr>
          <w:rFonts w:ascii="Calibri"/>
          <w:i/>
        </w:rPr>
      </w:pPr>
      <w:r>
        <w:rPr>
          <w:rFonts w:ascii="Calibri"/>
          <w:b/>
          <w:sz w:val="18"/>
        </w:rPr>
        <w:t xml:space="preserve">TABLE 15. </w:t>
      </w:r>
      <w:r>
        <w:rPr>
          <w:rFonts w:ascii="Calibri"/>
          <w:i/>
        </w:rPr>
        <w:t>Energy intensities</w:t>
      </w:r>
    </w:p>
    <w:p w:rsidR="006C17CB" w:rsidRDefault="006C17CB">
      <w:pPr>
        <w:pStyle w:val="BodyText"/>
        <w:spacing w:before="5"/>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2948"/>
        <w:gridCol w:w="1124"/>
        <w:gridCol w:w="1148"/>
        <w:gridCol w:w="1096"/>
        <w:gridCol w:w="1082"/>
        <w:gridCol w:w="1086"/>
        <w:gridCol w:w="1129"/>
      </w:tblGrid>
      <w:tr w:rsidR="006C17CB">
        <w:trPr>
          <w:trHeight w:val="1360"/>
        </w:trPr>
        <w:tc>
          <w:tcPr>
            <w:tcW w:w="2948" w:type="dxa"/>
            <w:tcBorders>
              <w:top w:val="nil"/>
              <w:left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9"/>
              <w:jc w:val="left"/>
              <w:rPr>
                <w:b/>
                <w:sz w:val="18"/>
              </w:rPr>
            </w:pPr>
            <w:r>
              <w:rPr>
                <w:b/>
                <w:sz w:val="18"/>
              </w:rPr>
              <w:t>Indicator</w:t>
            </w:r>
          </w:p>
        </w:tc>
        <w:tc>
          <w:tcPr>
            <w:tcW w:w="1124"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0"/>
              <w:jc w:val="left"/>
              <w:rPr>
                <w:b/>
                <w:sz w:val="18"/>
              </w:rPr>
            </w:pPr>
            <w:r>
              <w:rPr>
                <w:b/>
                <w:sz w:val="18"/>
              </w:rPr>
              <w:t>Unit</w:t>
            </w:r>
          </w:p>
        </w:tc>
        <w:tc>
          <w:tcPr>
            <w:tcW w:w="1148"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268"/>
              <w:jc w:val="left"/>
              <w:rPr>
                <w:b/>
                <w:sz w:val="18"/>
              </w:rPr>
            </w:pPr>
            <w:r>
              <w:rPr>
                <w:b/>
                <w:sz w:val="18"/>
              </w:rPr>
              <w:t>2015-2016</w:t>
            </w:r>
          </w:p>
          <w:p w:rsidR="006C17CB" w:rsidRDefault="0030091C">
            <w:pPr>
              <w:pStyle w:val="TableParagraph"/>
              <w:spacing w:line="230" w:lineRule="exact"/>
              <w:ind w:left="619"/>
              <w:jc w:val="left"/>
              <w:rPr>
                <w:b/>
                <w:sz w:val="18"/>
              </w:rPr>
            </w:pPr>
            <w:r>
              <w:rPr>
                <w:b/>
                <w:sz w:val="18"/>
              </w:rPr>
              <w:t>result</w:t>
            </w:r>
          </w:p>
        </w:tc>
        <w:tc>
          <w:tcPr>
            <w:tcW w:w="1096"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219"/>
              <w:jc w:val="left"/>
              <w:rPr>
                <w:b/>
                <w:sz w:val="18"/>
              </w:rPr>
            </w:pPr>
            <w:r>
              <w:rPr>
                <w:b/>
                <w:sz w:val="18"/>
              </w:rPr>
              <w:t>2016-2017</w:t>
            </w:r>
          </w:p>
          <w:p w:rsidR="006C17CB" w:rsidRDefault="0030091C">
            <w:pPr>
              <w:pStyle w:val="TableParagraph"/>
              <w:spacing w:line="230" w:lineRule="exact"/>
              <w:ind w:left="567"/>
              <w:jc w:val="left"/>
              <w:rPr>
                <w:b/>
                <w:sz w:val="18"/>
              </w:rPr>
            </w:pPr>
            <w:r>
              <w:rPr>
                <w:b/>
                <w:sz w:val="18"/>
              </w:rPr>
              <w:t>result</w:t>
            </w:r>
          </w:p>
        </w:tc>
        <w:tc>
          <w:tcPr>
            <w:tcW w:w="1082"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213"/>
              <w:jc w:val="left"/>
              <w:rPr>
                <w:b/>
                <w:sz w:val="18"/>
              </w:rPr>
            </w:pPr>
            <w:r>
              <w:rPr>
                <w:b/>
                <w:sz w:val="18"/>
              </w:rPr>
              <w:t>2017-2018</w:t>
            </w:r>
          </w:p>
          <w:p w:rsidR="006C17CB" w:rsidRDefault="0030091C">
            <w:pPr>
              <w:pStyle w:val="TableParagraph"/>
              <w:spacing w:line="230" w:lineRule="exact"/>
              <w:ind w:left="553"/>
              <w:jc w:val="left"/>
              <w:rPr>
                <w:b/>
                <w:sz w:val="18"/>
              </w:rPr>
            </w:pPr>
            <w:r>
              <w:rPr>
                <w:b/>
                <w:sz w:val="18"/>
              </w:rPr>
              <w:t>result</w:t>
            </w:r>
          </w:p>
        </w:tc>
        <w:tc>
          <w:tcPr>
            <w:tcW w:w="1086" w:type="dxa"/>
            <w:tcBorders>
              <w:top w:val="nil"/>
              <w:bottom w:val="nil"/>
            </w:tcBorders>
            <w:shd w:val="clear" w:color="auto" w:fill="89A7D7"/>
          </w:tcPr>
          <w:p w:rsidR="006C17CB" w:rsidRDefault="006C17CB">
            <w:pPr>
              <w:pStyle w:val="TableParagraph"/>
              <w:spacing w:before="10"/>
              <w:jc w:val="left"/>
              <w:rPr>
                <w:i/>
                <w:sz w:val="19"/>
              </w:rPr>
            </w:pPr>
          </w:p>
          <w:p w:rsidR="006C17CB" w:rsidRDefault="0030091C">
            <w:pPr>
              <w:pStyle w:val="TableParagraph"/>
              <w:spacing w:before="1" w:line="184" w:lineRule="auto"/>
              <w:ind w:left="209" w:right="66" w:firstLine="124"/>
              <w:jc w:val="both"/>
              <w:rPr>
                <w:b/>
                <w:sz w:val="18"/>
              </w:rPr>
            </w:pPr>
            <w:r>
              <w:rPr>
                <w:b/>
                <w:sz w:val="18"/>
              </w:rPr>
              <w:t>Variance between 2016-2017</w:t>
            </w:r>
          </w:p>
          <w:p w:rsidR="006C17CB" w:rsidRDefault="0030091C">
            <w:pPr>
              <w:pStyle w:val="TableParagraph"/>
              <w:spacing w:line="184" w:lineRule="auto"/>
              <w:ind w:left="217" w:right="32" w:firstLine="493"/>
              <w:jc w:val="left"/>
              <w:rPr>
                <w:b/>
                <w:sz w:val="18"/>
              </w:rPr>
            </w:pPr>
            <w:r>
              <w:rPr>
                <w:b/>
                <w:sz w:val="18"/>
              </w:rPr>
              <w:t>and 2017-2018</w:t>
            </w:r>
          </w:p>
        </w:tc>
        <w:tc>
          <w:tcPr>
            <w:tcW w:w="1129" w:type="dxa"/>
            <w:tcBorders>
              <w:top w:val="nil"/>
              <w:bottom w:val="nil"/>
              <w:right w:val="nil"/>
            </w:tcBorders>
            <w:shd w:val="clear" w:color="auto" w:fill="89A7D7"/>
          </w:tcPr>
          <w:p w:rsidR="006C17CB" w:rsidRDefault="0030091C">
            <w:pPr>
              <w:pStyle w:val="TableParagraph"/>
              <w:spacing w:before="84" w:line="184" w:lineRule="auto"/>
              <w:ind w:left="252" w:right="76" w:hanging="68"/>
              <w:jc w:val="both"/>
              <w:rPr>
                <w:b/>
                <w:sz w:val="18"/>
              </w:rPr>
            </w:pPr>
            <w:r>
              <w:rPr>
                <w:b/>
                <w:sz w:val="18"/>
              </w:rPr>
              <w:t>Percentage variance between 2016-2017</w:t>
            </w:r>
          </w:p>
          <w:p w:rsidR="006C17CB" w:rsidRDefault="0030091C">
            <w:pPr>
              <w:pStyle w:val="TableParagraph"/>
              <w:spacing w:before="1" w:line="184" w:lineRule="auto"/>
              <w:ind w:left="260" w:right="37" w:firstLine="493"/>
              <w:jc w:val="left"/>
              <w:rPr>
                <w:b/>
                <w:sz w:val="18"/>
              </w:rPr>
            </w:pPr>
            <w:r>
              <w:rPr>
                <w:b/>
                <w:sz w:val="18"/>
              </w:rPr>
              <w:t>and 2017-2018</w:t>
            </w:r>
          </w:p>
        </w:tc>
      </w:tr>
      <w:tr w:rsidR="006C17CB">
        <w:trPr>
          <w:trHeight w:val="556"/>
        </w:trPr>
        <w:tc>
          <w:tcPr>
            <w:tcW w:w="2948" w:type="dxa"/>
            <w:tcBorders>
              <w:top w:val="nil"/>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Energy intensity per person</w:t>
            </w:r>
          </w:p>
        </w:tc>
        <w:tc>
          <w:tcPr>
            <w:tcW w:w="1124" w:type="dxa"/>
            <w:tcBorders>
              <w:top w:val="nil"/>
              <w:left w:val="single" w:sz="4" w:space="0" w:color="DADADA"/>
              <w:bottom w:val="single" w:sz="4" w:space="0" w:color="000000"/>
              <w:right w:val="single" w:sz="4" w:space="0" w:color="DADADA"/>
            </w:tcBorders>
          </w:tcPr>
          <w:p w:rsidR="006C17CB" w:rsidRDefault="0030091C">
            <w:pPr>
              <w:pStyle w:val="TableParagraph"/>
              <w:spacing w:line="239" w:lineRule="exact"/>
              <w:ind w:left="75"/>
              <w:jc w:val="left"/>
              <w:rPr>
                <w:sz w:val="18"/>
              </w:rPr>
            </w:pPr>
            <w:r>
              <w:rPr>
                <w:sz w:val="18"/>
              </w:rPr>
              <w:t>Megajoules</w:t>
            </w:r>
          </w:p>
          <w:p w:rsidR="006C17CB" w:rsidRDefault="0030091C">
            <w:pPr>
              <w:pStyle w:val="TableParagraph"/>
              <w:spacing w:line="240" w:lineRule="exact"/>
              <w:ind w:left="75"/>
              <w:jc w:val="left"/>
              <w:rPr>
                <w:sz w:val="18"/>
              </w:rPr>
            </w:pPr>
            <w:r>
              <w:rPr>
                <w:sz w:val="18"/>
              </w:rPr>
              <w:t>/ FTE</w:t>
            </w:r>
          </w:p>
        </w:tc>
        <w:tc>
          <w:tcPr>
            <w:tcW w:w="1148"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30687.43</w:t>
            </w:r>
          </w:p>
        </w:tc>
        <w:tc>
          <w:tcPr>
            <w:tcW w:w="1096"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33773.54</w:t>
            </w:r>
          </w:p>
        </w:tc>
        <w:tc>
          <w:tcPr>
            <w:tcW w:w="1082"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30632.85</w:t>
            </w:r>
          </w:p>
        </w:tc>
        <w:tc>
          <w:tcPr>
            <w:tcW w:w="1086"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3"/>
              <w:rPr>
                <w:sz w:val="18"/>
              </w:rPr>
            </w:pPr>
            <w:r>
              <w:rPr>
                <w:sz w:val="18"/>
              </w:rPr>
              <w:t>-3140.69</w:t>
            </w:r>
          </w:p>
        </w:tc>
        <w:tc>
          <w:tcPr>
            <w:tcW w:w="1129" w:type="dxa"/>
            <w:tcBorders>
              <w:top w:val="nil"/>
              <w:left w:val="single" w:sz="4" w:space="0" w:color="DADADA"/>
              <w:bottom w:val="single" w:sz="4" w:space="0" w:color="000000"/>
              <w:right w:val="nil"/>
            </w:tcBorders>
          </w:tcPr>
          <w:p w:rsidR="006C17CB" w:rsidRDefault="0030091C">
            <w:pPr>
              <w:pStyle w:val="TableParagraph"/>
              <w:spacing w:line="258" w:lineRule="exact"/>
              <w:ind w:right="77"/>
              <w:rPr>
                <w:sz w:val="18"/>
              </w:rPr>
            </w:pPr>
            <w:r>
              <w:rPr>
                <w:sz w:val="18"/>
              </w:rPr>
              <w:t>-9.30%</w:t>
            </w:r>
          </w:p>
        </w:tc>
      </w:tr>
      <w:tr w:rsidR="006C17CB">
        <w:trPr>
          <w:trHeight w:val="556"/>
        </w:trPr>
        <w:tc>
          <w:tcPr>
            <w:tcW w:w="2948"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jc w:val="left"/>
              <w:rPr>
                <w:sz w:val="18"/>
              </w:rPr>
            </w:pPr>
            <w:r>
              <w:rPr>
                <w:sz w:val="18"/>
              </w:rPr>
              <w:t>Energy intensity per area of total floor space</w:t>
            </w:r>
          </w:p>
        </w:tc>
        <w:tc>
          <w:tcPr>
            <w:tcW w:w="112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39" w:lineRule="exact"/>
              <w:ind w:left="75"/>
              <w:jc w:val="left"/>
              <w:rPr>
                <w:sz w:val="18"/>
              </w:rPr>
            </w:pPr>
            <w:r>
              <w:rPr>
                <w:sz w:val="18"/>
              </w:rPr>
              <w:t>Megajoules</w:t>
            </w:r>
          </w:p>
          <w:p w:rsidR="006C17CB" w:rsidRDefault="0030091C">
            <w:pPr>
              <w:pStyle w:val="TableParagraph"/>
              <w:spacing w:line="240" w:lineRule="exact"/>
              <w:ind w:left="75"/>
              <w:jc w:val="left"/>
              <w:rPr>
                <w:sz w:val="10"/>
              </w:rPr>
            </w:pPr>
            <w:r>
              <w:rPr>
                <w:sz w:val="18"/>
              </w:rPr>
              <w:t>/ m</w:t>
            </w:r>
            <w:r>
              <w:rPr>
                <w:position w:val="6"/>
                <w:sz w:val="10"/>
              </w:rPr>
              <w:t>2</w:t>
            </w:r>
          </w:p>
        </w:tc>
        <w:tc>
          <w:tcPr>
            <w:tcW w:w="114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602.45</w:t>
            </w:r>
          </w:p>
        </w:tc>
        <w:tc>
          <w:tcPr>
            <w:tcW w:w="109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761.13</w:t>
            </w:r>
          </w:p>
        </w:tc>
        <w:tc>
          <w:tcPr>
            <w:tcW w:w="108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685.82</w:t>
            </w:r>
          </w:p>
        </w:tc>
        <w:tc>
          <w:tcPr>
            <w:tcW w:w="108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3"/>
              <w:rPr>
                <w:sz w:val="18"/>
              </w:rPr>
            </w:pPr>
            <w:r>
              <w:rPr>
                <w:sz w:val="18"/>
              </w:rPr>
              <w:t>-75.31</w:t>
            </w:r>
          </w:p>
        </w:tc>
        <w:tc>
          <w:tcPr>
            <w:tcW w:w="1129"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7"/>
              <w:rPr>
                <w:sz w:val="18"/>
              </w:rPr>
            </w:pPr>
            <w:r>
              <w:rPr>
                <w:sz w:val="18"/>
              </w:rPr>
              <w:t>-9.89%</w:t>
            </w:r>
          </w:p>
        </w:tc>
      </w:tr>
    </w:tbl>
    <w:p w:rsidR="006C17CB" w:rsidRDefault="006C17CB">
      <w:pPr>
        <w:pStyle w:val="BodyText"/>
        <w:rPr>
          <w:rFonts w:ascii="Calibri"/>
          <w:i/>
        </w:rPr>
      </w:pPr>
    </w:p>
    <w:p w:rsidR="006C17CB" w:rsidRDefault="0030091C">
      <w:pPr>
        <w:spacing w:before="161"/>
        <w:ind w:left="157"/>
        <w:rPr>
          <w:rFonts w:ascii="Calibri"/>
          <w:i/>
        </w:rPr>
      </w:pPr>
      <w:r>
        <w:rPr>
          <w:rFonts w:ascii="Calibri"/>
          <w:b/>
          <w:sz w:val="18"/>
        </w:rPr>
        <w:t xml:space="preserve">TABLE 16. </w:t>
      </w:r>
      <w:r>
        <w:rPr>
          <w:rFonts w:ascii="Calibri"/>
          <w:i/>
        </w:rPr>
        <w:t>Transport energy</w:t>
      </w:r>
    </w:p>
    <w:p w:rsidR="006C17CB" w:rsidRDefault="006C17CB">
      <w:pPr>
        <w:pStyle w:val="BodyText"/>
        <w:spacing w:before="5"/>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2967"/>
        <w:gridCol w:w="1096"/>
        <w:gridCol w:w="1134"/>
        <w:gridCol w:w="1115"/>
        <w:gridCol w:w="1134"/>
        <w:gridCol w:w="1096"/>
        <w:gridCol w:w="1086"/>
      </w:tblGrid>
      <w:tr w:rsidR="006C17CB">
        <w:trPr>
          <w:trHeight w:val="1360"/>
        </w:trPr>
        <w:tc>
          <w:tcPr>
            <w:tcW w:w="2967" w:type="dxa"/>
            <w:tcBorders>
              <w:top w:val="nil"/>
              <w:left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9"/>
              <w:jc w:val="left"/>
              <w:rPr>
                <w:b/>
                <w:sz w:val="18"/>
              </w:rPr>
            </w:pPr>
            <w:r>
              <w:rPr>
                <w:b/>
                <w:sz w:val="18"/>
              </w:rPr>
              <w:t>Indicator</w:t>
            </w:r>
          </w:p>
        </w:tc>
        <w:tc>
          <w:tcPr>
            <w:tcW w:w="1096"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69"/>
              <w:jc w:val="left"/>
              <w:rPr>
                <w:b/>
                <w:sz w:val="18"/>
              </w:rPr>
            </w:pPr>
            <w:r>
              <w:rPr>
                <w:b/>
                <w:sz w:val="18"/>
              </w:rPr>
              <w:t>Unit</w:t>
            </w:r>
          </w:p>
        </w:tc>
        <w:tc>
          <w:tcPr>
            <w:tcW w:w="1134"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254"/>
              <w:jc w:val="left"/>
              <w:rPr>
                <w:b/>
                <w:sz w:val="18"/>
              </w:rPr>
            </w:pPr>
            <w:r>
              <w:rPr>
                <w:b/>
                <w:sz w:val="18"/>
              </w:rPr>
              <w:t>2015-2016</w:t>
            </w:r>
          </w:p>
          <w:p w:rsidR="006C17CB" w:rsidRDefault="0030091C">
            <w:pPr>
              <w:pStyle w:val="TableParagraph"/>
              <w:spacing w:line="230" w:lineRule="exact"/>
              <w:ind w:left="605"/>
              <w:jc w:val="left"/>
              <w:rPr>
                <w:b/>
                <w:sz w:val="18"/>
              </w:rPr>
            </w:pPr>
            <w:r>
              <w:rPr>
                <w:b/>
                <w:sz w:val="18"/>
              </w:rPr>
              <w:t>result</w:t>
            </w:r>
          </w:p>
        </w:tc>
        <w:tc>
          <w:tcPr>
            <w:tcW w:w="1115"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238"/>
              <w:jc w:val="left"/>
              <w:rPr>
                <w:b/>
                <w:sz w:val="18"/>
              </w:rPr>
            </w:pPr>
            <w:r>
              <w:rPr>
                <w:b/>
                <w:sz w:val="18"/>
              </w:rPr>
              <w:t>2016-2017</w:t>
            </w:r>
          </w:p>
          <w:p w:rsidR="006C17CB" w:rsidRDefault="0030091C">
            <w:pPr>
              <w:pStyle w:val="TableParagraph"/>
              <w:spacing w:line="230" w:lineRule="exact"/>
              <w:ind w:left="586"/>
              <w:jc w:val="left"/>
              <w:rPr>
                <w:b/>
                <w:sz w:val="18"/>
              </w:rPr>
            </w:pPr>
            <w:r>
              <w:rPr>
                <w:b/>
                <w:sz w:val="18"/>
              </w:rPr>
              <w:t>result</w:t>
            </w:r>
          </w:p>
        </w:tc>
        <w:tc>
          <w:tcPr>
            <w:tcW w:w="1134"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265"/>
              <w:jc w:val="left"/>
              <w:rPr>
                <w:b/>
                <w:sz w:val="18"/>
              </w:rPr>
            </w:pPr>
            <w:r>
              <w:rPr>
                <w:b/>
                <w:sz w:val="18"/>
              </w:rPr>
              <w:t>2017-2018</w:t>
            </w:r>
          </w:p>
          <w:p w:rsidR="006C17CB" w:rsidRDefault="0030091C">
            <w:pPr>
              <w:pStyle w:val="TableParagraph"/>
              <w:spacing w:line="230" w:lineRule="exact"/>
              <w:ind w:left="605"/>
              <w:jc w:val="left"/>
              <w:rPr>
                <w:b/>
                <w:sz w:val="18"/>
              </w:rPr>
            </w:pPr>
            <w:r>
              <w:rPr>
                <w:b/>
                <w:sz w:val="18"/>
              </w:rPr>
              <w:t>result</w:t>
            </w:r>
          </w:p>
        </w:tc>
        <w:tc>
          <w:tcPr>
            <w:tcW w:w="1096" w:type="dxa"/>
            <w:tcBorders>
              <w:top w:val="nil"/>
              <w:bottom w:val="nil"/>
            </w:tcBorders>
            <w:shd w:val="clear" w:color="auto" w:fill="89A7D7"/>
          </w:tcPr>
          <w:p w:rsidR="006C17CB" w:rsidRDefault="006C17CB">
            <w:pPr>
              <w:pStyle w:val="TableParagraph"/>
              <w:spacing w:before="10"/>
              <w:jc w:val="left"/>
              <w:rPr>
                <w:i/>
                <w:sz w:val="19"/>
              </w:rPr>
            </w:pPr>
          </w:p>
          <w:p w:rsidR="006C17CB" w:rsidRDefault="0030091C">
            <w:pPr>
              <w:pStyle w:val="TableParagraph"/>
              <w:spacing w:before="1" w:line="184" w:lineRule="auto"/>
              <w:ind w:left="218" w:right="66" w:firstLine="124"/>
              <w:jc w:val="both"/>
              <w:rPr>
                <w:b/>
                <w:sz w:val="18"/>
              </w:rPr>
            </w:pPr>
            <w:r>
              <w:rPr>
                <w:b/>
                <w:sz w:val="18"/>
              </w:rPr>
              <w:t>Variance between 2016-2017</w:t>
            </w:r>
          </w:p>
          <w:p w:rsidR="006C17CB" w:rsidRDefault="0030091C">
            <w:pPr>
              <w:pStyle w:val="TableParagraph"/>
              <w:spacing w:line="184" w:lineRule="auto"/>
              <w:ind w:left="227" w:right="32" w:firstLine="493"/>
              <w:jc w:val="left"/>
              <w:rPr>
                <w:b/>
                <w:sz w:val="18"/>
              </w:rPr>
            </w:pPr>
            <w:r>
              <w:rPr>
                <w:b/>
                <w:sz w:val="18"/>
              </w:rPr>
              <w:t>and 2017-2018</w:t>
            </w:r>
          </w:p>
        </w:tc>
        <w:tc>
          <w:tcPr>
            <w:tcW w:w="1086" w:type="dxa"/>
            <w:tcBorders>
              <w:top w:val="nil"/>
              <w:bottom w:val="nil"/>
              <w:right w:val="nil"/>
            </w:tcBorders>
            <w:shd w:val="clear" w:color="auto" w:fill="89A7D7"/>
          </w:tcPr>
          <w:p w:rsidR="006C17CB" w:rsidRDefault="0030091C">
            <w:pPr>
              <w:pStyle w:val="TableParagraph"/>
              <w:spacing w:before="84" w:line="184" w:lineRule="auto"/>
              <w:ind w:left="209" w:right="76" w:hanging="68"/>
              <w:jc w:val="both"/>
              <w:rPr>
                <w:b/>
                <w:sz w:val="18"/>
              </w:rPr>
            </w:pPr>
            <w:r>
              <w:rPr>
                <w:b/>
                <w:sz w:val="18"/>
              </w:rPr>
              <w:t>Percentage variance between 2016-2017</w:t>
            </w:r>
          </w:p>
          <w:p w:rsidR="006C17CB" w:rsidRDefault="0030091C">
            <w:pPr>
              <w:pStyle w:val="TableParagraph"/>
              <w:spacing w:before="1" w:line="184" w:lineRule="auto"/>
              <w:ind w:left="217" w:right="37" w:firstLine="493"/>
              <w:jc w:val="left"/>
              <w:rPr>
                <w:b/>
                <w:sz w:val="18"/>
              </w:rPr>
            </w:pPr>
            <w:r>
              <w:rPr>
                <w:b/>
                <w:sz w:val="18"/>
              </w:rPr>
              <w:t>and 2017-2018</w:t>
            </w:r>
          </w:p>
        </w:tc>
      </w:tr>
      <w:tr w:rsidR="006C17CB">
        <w:trPr>
          <w:trHeight w:val="386"/>
        </w:trPr>
        <w:tc>
          <w:tcPr>
            <w:tcW w:w="2967"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Total number of vehicles</w:t>
            </w:r>
          </w:p>
        </w:tc>
        <w:tc>
          <w:tcPr>
            <w:tcW w:w="1096"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Numeric</w:t>
            </w:r>
          </w:p>
        </w:tc>
        <w:tc>
          <w:tcPr>
            <w:tcW w:w="1134"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5.00</w:t>
            </w:r>
          </w:p>
        </w:tc>
        <w:tc>
          <w:tcPr>
            <w:tcW w:w="1115"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1.00</w:t>
            </w:r>
          </w:p>
        </w:tc>
        <w:tc>
          <w:tcPr>
            <w:tcW w:w="1134"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1.00</w:t>
            </w:r>
          </w:p>
        </w:tc>
        <w:tc>
          <w:tcPr>
            <w:tcW w:w="1096"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0.00</w:t>
            </w:r>
          </w:p>
        </w:tc>
        <w:tc>
          <w:tcPr>
            <w:tcW w:w="1086" w:type="dxa"/>
            <w:tcBorders>
              <w:top w:val="nil"/>
              <w:left w:val="single" w:sz="4" w:space="0" w:color="DADADA"/>
              <w:bottom w:val="single" w:sz="4" w:space="0" w:color="000000"/>
              <w:right w:val="nil"/>
            </w:tcBorders>
          </w:tcPr>
          <w:p w:rsidR="006C17CB" w:rsidRDefault="0030091C">
            <w:pPr>
              <w:pStyle w:val="TableParagraph"/>
              <w:spacing w:before="50"/>
              <w:ind w:right="78"/>
              <w:rPr>
                <w:sz w:val="18"/>
              </w:rPr>
            </w:pPr>
            <w:r>
              <w:rPr>
                <w:sz w:val="18"/>
              </w:rPr>
              <w:t>0.00%</w:t>
            </w:r>
          </w:p>
        </w:tc>
      </w:tr>
      <w:tr w:rsidR="006C17CB">
        <w:trPr>
          <w:trHeight w:val="386"/>
        </w:trPr>
        <w:tc>
          <w:tcPr>
            <w:tcW w:w="2967"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Transport fuel (petrol)</w:t>
            </w:r>
          </w:p>
        </w:tc>
        <w:tc>
          <w:tcPr>
            <w:tcW w:w="109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Litres</w:t>
            </w:r>
          </w:p>
        </w:tc>
        <w:tc>
          <w:tcPr>
            <w:tcW w:w="11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2862.32</w:t>
            </w:r>
          </w:p>
        </w:tc>
        <w:tc>
          <w:tcPr>
            <w:tcW w:w="111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0.00</w:t>
            </w:r>
          </w:p>
        </w:tc>
        <w:tc>
          <w:tcPr>
            <w:tcW w:w="11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0.00</w:t>
            </w:r>
          </w:p>
        </w:tc>
        <w:tc>
          <w:tcPr>
            <w:tcW w:w="109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0.00</w:t>
            </w:r>
          </w:p>
        </w:tc>
        <w:tc>
          <w:tcPr>
            <w:tcW w:w="108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sz w:val="18"/>
              </w:rPr>
            </w:pPr>
            <w:r>
              <w:rPr>
                <w:sz w:val="18"/>
              </w:rPr>
              <w:t>-</w:t>
            </w:r>
          </w:p>
        </w:tc>
      </w:tr>
      <w:tr w:rsidR="006C17CB">
        <w:trPr>
          <w:trHeight w:val="386"/>
        </w:trPr>
        <w:tc>
          <w:tcPr>
            <w:tcW w:w="2967"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Transport fuel (diesel)</w:t>
            </w:r>
          </w:p>
        </w:tc>
        <w:tc>
          <w:tcPr>
            <w:tcW w:w="109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Litres</w:t>
            </w:r>
          </w:p>
        </w:tc>
        <w:tc>
          <w:tcPr>
            <w:tcW w:w="11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2535.16</w:t>
            </w:r>
          </w:p>
        </w:tc>
        <w:tc>
          <w:tcPr>
            <w:tcW w:w="111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1109.00</w:t>
            </w:r>
          </w:p>
        </w:tc>
        <w:tc>
          <w:tcPr>
            <w:tcW w:w="11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1174.00</w:t>
            </w:r>
          </w:p>
        </w:tc>
        <w:tc>
          <w:tcPr>
            <w:tcW w:w="109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65.00</w:t>
            </w:r>
          </w:p>
        </w:tc>
        <w:tc>
          <w:tcPr>
            <w:tcW w:w="108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sz w:val="18"/>
              </w:rPr>
            </w:pPr>
            <w:r>
              <w:rPr>
                <w:sz w:val="18"/>
              </w:rPr>
              <w:t>5.86%</w:t>
            </w:r>
          </w:p>
        </w:tc>
      </w:tr>
      <w:tr w:rsidR="006C17CB">
        <w:trPr>
          <w:trHeight w:val="386"/>
        </w:trPr>
        <w:tc>
          <w:tcPr>
            <w:tcW w:w="2967"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Transport fuel - petrol (conversion)</w:t>
            </w:r>
          </w:p>
        </w:tc>
        <w:tc>
          <w:tcPr>
            <w:tcW w:w="109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Megajoules</w:t>
            </w:r>
          </w:p>
        </w:tc>
        <w:tc>
          <w:tcPr>
            <w:tcW w:w="11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97891.34</w:t>
            </w:r>
          </w:p>
        </w:tc>
        <w:tc>
          <w:tcPr>
            <w:tcW w:w="111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0.00</w:t>
            </w:r>
          </w:p>
        </w:tc>
        <w:tc>
          <w:tcPr>
            <w:tcW w:w="11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0.00</w:t>
            </w:r>
          </w:p>
        </w:tc>
        <w:tc>
          <w:tcPr>
            <w:tcW w:w="109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0.00</w:t>
            </w:r>
          </w:p>
        </w:tc>
        <w:tc>
          <w:tcPr>
            <w:tcW w:w="108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sz w:val="18"/>
              </w:rPr>
            </w:pPr>
            <w:r>
              <w:rPr>
                <w:sz w:val="18"/>
              </w:rPr>
              <w:t>-</w:t>
            </w:r>
          </w:p>
        </w:tc>
      </w:tr>
      <w:tr w:rsidR="006C17CB">
        <w:trPr>
          <w:trHeight w:val="386"/>
        </w:trPr>
        <w:tc>
          <w:tcPr>
            <w:tcW w:w="2967"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Transport fuel - diesel (conversion)</w:t>
            </w:r>
          </w:p>
        </w:tc>
        <w:tc>
          <w:tcPr>
            <w:tcW w:w="109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4"/>
              <w:jc w:val="left"/>
              <w:rPr>
                <w:sz w:val="18"/>
              </w:rPr>
            </w:pPr>
            <w:r>
              <w:rPr>
                <w:sz w:val="18"/>
              </w:rPr>
              <w:t>Megajoules</w:t>
            </w:r>
          </w:p>
        </w:tc>
        <w:tc>
          <w:tcPr>
            <w:tcW w:w="11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97350.14</w:t>
            </w:r>
          </w:p>
        </w:tc>
        <w:tc>
          <w:tcPr>
            <w:tcW w:w="111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42585.60</w:t>
            </w:r>
          </w:p>
        </w:tc>
        <w:tc>
          <w:tcPr>
            <w:tcW w:w="11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45081.60</w:t>
            </w:r>
          </w:p>
        </w:tc>
        <w:tc>
          <w:tcPr>
            <w:tcW w:w="109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2496.00</w:t>
            </w:r>
          </w:p>
        </w:tc>
        <w:tc>
          <w:tcPr>
            <w:tcW w:w="108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sz w:val="18"/>
              </w:rPr>
            </w:pPr>
            <w:r>
              <w:rPr>
                <w:sz w:val="18"/>
              </w:rPr>
              <w:t>5.86%</w:t>
            </w:r>
          </w:p>
        </w:tc>
      </w:tr>
      <w:tr w:rsidR="006C17CB">
        <w:trPr>
          <w:trHeight w:val="556"/>
        </w:trPr>
        <w:tc>
          <w:tcPr>
            <w:tcW w:w="2967"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jc w:val="left"/>
              <w:rPr>
                <w:sz w:val="18"/>
              </w:rPr>
            </w:pPr>
            <w:r>
              <w:rPr>
                <w:sz w:val="18"/>
              </w:rPr>
              <w:t>Total transport energy use (sum of above)</w:t>
            </w:r>
          </w:p>
        </w:tc>
        <w:tc>
          <w:tcPr>
            <w:tcW w:w="109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left="74"/>
              <w:jc w:val="left"/>
              <w:rPr>
                <w:sz w:val="18"/>
              </w:rPr>
            </w:pPr>
            <w:r>
              <w:rPr>
                <w:sz w:val="18"/>
              </w:rPr>
              <w:t>Megajoules</w:t>
            </w:r>
          </w:p>
        </w:tc>
        <w:tc>
          <w:tcPr>
            <w:tcW w:w="11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195241.49</w:t>
            </w:r>
          </w:p>
        </w:tc>
        <w:tc>
          <w:tcPr>
            <w:tcW w:w="111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42585.60</w:t>
            </w:r>
          </w:p>
        </w:tc>
        <w:tc>
          <w:tcPr>
            <w:tcW w:w="11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3"/>
              <w:rPr>
                <w:sz w:val="18"/>
              </w:rPr>
            </w:pPr>
            <w:r>
              <w:rPr>
                <w:sz w:val="18"/>
              </w:rPr>
              <w:t>45081.60</w:t>
            </w:r>
          </w:p>
        </w:tc>
        <w:tc>
          <w:tcPr>
            <w:tcW w:w="109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3"/>
              <w:rPr>
                <w:sz w:val="18"/>
              </w:rPr>
            </w:pPr>
            <w:r>
              <w:rPr>
                <w:sz w:val="18"/>
              </w:rPr>
              <w:t>2496.00</w:t>
            </w:r>
          </w:p>
        </w:tc>
        <w:tc>
          <w:tcPr>
            <w:tcW w:w="1086"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8"/>
              <w:rPr>
                <w:sz w:val="18"/>
              </w:rPr>
            </w:pPr>
            <w:r>
              <w:rPr>
                <w:sz w:val="18"/>
              </w:rPr>
              <w:t>5.86%</w:t>
            </w:r>
          </w:p>
        </w:tc>
      </w:tr>
      <w:tr w:rsidR="006C17CB">
        <w:trPr>
          <w:trHeight w:val="556"/>
        </w:trPr>
        <w:tc>
          <w:tcPr>
            <w:tcW w:w="2967"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right="56"/>
              <w:jc w:val="left"/>
              <w:rPr>
                <w:sz w:val="18"/>
              </w:rPr>
            </w:pPr>
            <w:r>
              <w:rPr>
                <w:sz w:val="18"/>
              </w:rPr>
              <w:t>Total transport energy use (conversion)</w:t>
            </w:r>
          </w:p>
        </w:tc>
        <w:tc>
          <w:tcPr>
            <w:tcW w:w="109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left="74"/>
              <w:jc w:val="left"/>
              <w:rPr>
                <w:sz w:val="18"/>
              </w:rPr>
            </w:pPr>
            <w:r>
              <w:rPr>
                <w:sz w:val="18"/>
              </w:rPr>
              <w:t>Gigajoules</w:t>
            </w:r>
          </w:p>
        </w:tc>
        <w:tc>
          <w:tcPr>
            <w:tcW w:w="11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195.24</w:t>
            </w:r>
          </w:p>
        </w:tc>
        <w:tc>
          <w:tcPr>
            <w:tcW w:w="111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3"/>
              <w:rPr>
                <w:sz w:val="18"/>
              </w:rPr>
            </w:pPr>
            <w:r>
              <w:rPr>
                <w:sz w:val="18"/>
              </w:rPr>
              <w:t>42.59</w:t>
            </w:r>
          </w:p>
        </w:tc>
        <w:tc>
          <w:tcPr>
            <w:tcW w:w="113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3"/>
              <w:rPr>
                <w:sz w:val="18"/>
              </w:rPr>
            </w:pPr>
            <w:r>
              <w:rPr>
                <w:sz w:val="18"/>
              </w:rPr>
              <w:t>45.08</w:t>
            </w:r>
          </w:p>
        </w:tc>
        <w:tc>
          <w:tcPr>
            <w:tcW w:w="109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3"/>
              <w:rPr>
                <w:sz w:val="18"/>
              </w:rPr>
            </w:pPr>
            <w:r>
              <w:rPr>
                <w:sz w:val="18"/>
              </w:rPr>
              <w:t>2.50</w:t>
            </w:r>
          </w:p>
        </w:tc>
        <w:tc>
          <w:tcPr>
            <w:tcW w:w="1086"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8"/>
              <w:rPr>
                <w:sz w:val="18"/>
              </w:rPr>
            </w:pPr>
            <w:r>
              <w:rPr>
                <w:sz w:val="18"/>
              </w:rPr>
              <w:t>5.86%</w:t>
            </w:r>
          </w:p>
        </w:tc>
      </w:tr>
    </w:tbl>
    <w:p w:rsidR="006C17CB" w:rsidRDefault="006C17CB">
      <w:pPr>
        <w:spacing w:line="258" w:lineRule="exact"/>
        <w:rPr>
          <w:sz w:val="18"/>
        </w:rPr>
        <w:sectPr w:rsidR="006C17CB">
          <w:headerReference w:type="even" r:id="rId81"/>
          <w:headerReference w:type="default" r:id="rId82"/>
          <w:pgSz w:w="11910" w:h="16840"/>
          <w:pgMar w:top="2760" w:right="0" w:bottom="740" w:left="980" w:header="2551" w:footer="551" w:gutter="0"/>
          <w:cols w:space="720"/>
        </w:sectPr>
      </w:pPr>
    </w:p>
    <w:p w:rsidR="006C17CB" w:rsidRDefault="006C17CB">
      <w:pPr>
        <w:pStyle w:val="BodyText"/>
        <w:spacing w:before="8"/>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3322"/>
        <w:gridCol w:w="1105"/>
        <w:gridCol w:w="1035"/>
        <w:gridCol w:w="1021"/>
        <w:gridCol w:w="1018"/>
        <w:gridCol w:w="1026"/>
        <w:gridCol w:w="1104"/>
      </w:tblGrid>
      <w:tr w:rsidR="006C17CB">
        <w:trPr>
          <w:trHeight w:val="1360"/>
        </w:trPr>
        <w:tc>
          <w:tcPr>
            <w:tcW w:w="3322" w:type="dxa"/>
            <w:tcBorders>
              <w:top w:val="nil"/>
              <w:left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9"/>
              <w:jc w:val="left"/>
              <w:rPr>
                <w:b/>
                <w:sz w:val="18"/>
              </w:rPr>
            </w:pPr>
            <w:r>
              <w:rPr>
                <w:b/>
                <w:sz w:val="18"/>
              </w:rPr>
              <w:t>Indicator</w:t>
            </w:r>
          </w:p>
        </w:tc>
        <w:tc>
          <w:tcPr>
            <w:tcW w:w="1105"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0"/>
              <w:jc w:val="left"/>
              <w:rPr>
                <w:b/>
                <w:sz w:val="18"/>
              </w:rPr>
            </w:pPr>
            <w:r>
              <w:rPr>
                <w:b/>
                <w:sz w:val="18"/>
              </w:rPr>
              <w:t>Unit</w:t>
            </w:r>
          </w:p>
        </w:tc>
        <w:tc>
          <w:tcPr>
            <w:tcW w:w="1035"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55"/>
              <w:jc w:val="left"/>
              <w:rPr>
                <w:b/>
                <w:sz w:val="18"/>
              </w:rPr>
            </w:pPr>
            <w:r>
              <w:rPr>
                <w:b/>
                <w:sz w:val="18"/>
              </w:rPr>
              <w:t>2015-2016</w:t>
            </w:r>
          </w:p>
          <w:p w:rsidR="006C17CB" w:rsidRDefault="0030091C">
            <w:pPr>
              <w:pStyle w:val="TableParagraph"/>
              <w:spacing w:line="230" w:lineRule="exact"/>
              <w:ind w:left="506"/>
              <w:jc w:val="left"/>
              <w:rPr>
                <w:b/>
                <w:sz w:val="18"/>
              </w:rPr>
            </w:pPr>
            <w:r>
              <w:rPr>
                <w:b/>
                <w:sz w:val="18"/>
              </w:rPr>
              <w:t>result</w:t>
            </w:r>
          </w:p>
        </w:tc>
        <w:tc>
          <w:tcPr>
            <w:tcW w:w="1021"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43"/>
              <w:jc w:val="left"/>
              <w:rPr>
                <w:b/>
                <w:sz w:val="18"/>
              </w:rPr>
            </w:pPr>
            <w:r>
              <w:rPr>
                <w:b/>
                <w:sz w:val="18"/>
              </w:rPr>
              <w:t>2016-2017</w:t>
            </w:r>
          </w:p>
          <w:p w:rsidR="006C17CB" w:rsidRDefault="0030091C">
            <w:pPr>
              <w:pStyle w:val="TableParagraph"/>
              <w:spacing w:line="230" w:lineRule="exact"/>
              <w:ind w:left="492"/>
              <w:jc w:val="left"/>
              <w:rPr>
                <w:b/>
                <w:sz w:val="18"/>
              </w:rPr>
            </w:pPr>
            <w:r>
              <w:rPr>
                <w:b/>
                <w:sz w:val="18"/>
              </w:rPr>
              <w:t>result</w:t>
            </w:r>
          </w:p>
        </w:tc>
        <w:tc>
          <w:tcPr>
            <w:tcW w:w="1018"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48"/>
              <w:jc w:val="left"/>
              <w:rPr>
                <w:b/>
                <w:sz w:val="18"/>
              </w:rPr>
            </w:pPr>
            <w:r>
              <w:rPr>
                <w:b/>
                <w:sz w:val="18"/>
              </w:rPr>
              <w:t>2017-2018</w:t>
            </w:r>
          </w:p>
          <w:p w:rsidR="006C17CB" w:rsidRDefault="0030091C">
            <w:pPr>
              <w:pStyle w:val="TableParagraph"/>
              <w:spacing w:line="230" w:lineRule="exact"/>
              <w:ind w:left="488"/>
              <w:jc w:val="left"/>
              <w:rPr>
                <w:b/>
                <w:sz w:val="18"/>
              </w:rPr>
            </w:pPr>
            <w:r>
              <w:rPr>
                <w:b/>
                <w:sz w:val="18"/>
              </w:rPr>
              <w:t>result</w:t>
            </w:r>
          </w:p>
        </w:tc>
        <w:tc>
          <w:tcPr>
            <w:tcW w:w="1026" w:type="dxa"/>
            <w:tcBorders>
              <w:top w:val="nil"/>
              <w:bottom w:val="nil"/>
            </w:tcBorders>
            <w:shd w:val="clear" w:color="auto" w:fill="89A7D7"/>
          </w:tcPr>
          <w:p w:rsidR="006C17CB" w:rsidRDefault="006C17CB">
            <w:pPr>
              <w:pStyle w:val="TableParagraph"/>
              <w:spacing w:before="10"/>
              <w:jc w:val="left"/>
              <w:rPr>
                <w:i/>
                <w:sz w:val="19"/>
              </w:rPr>
            </w:pPr>
          </w:p>
          <w:p w:rsidR="006C17CB" w:rsidRDefault="0030091C">
            <w:pPr>
              <w:pStyle w:val="TableParagraph"/>
              <w:spacing w:before="1" w:line="184" w:lineRule="auto"/>
              <w:ind w:left="147" w:right="68" w:firstLine="124"/>
              <w:jc w:val="both"/>
              <w:rPr>
                <w:b/>
                <w:sz w:val="18"/>
              </w:rPr>
            </w:pPr>
            <w:r>
              <w:rPr>
                <w:b/>
                <w:sz w:val="18"/>
              </w:rPr>
              <w:t>Variance between 2016-2017</w:t>
            </w:r>
          </w:p>
          <w:p w:rsidR="006C17CB" w:rsidRDefault="0030091C">
            <w:pPr>
              <w:pStyle w:val="TableParagraph"/>
              <w:spacing w:line="184" w:lineRule="auto"/>
              <w:ind w:left="156" w:right="32" w:firstLine="493"/>
              <w:jc w:val="left"/>
              <w:rPr>
                <w:b/>
                <w:sz w:val="18"/>
              </w:rPr>
            </w:pPr>
            <w:r>
              <w:rPr>
                <w:b/>
                <w:sz w:val="18"/>
              </w:rPr>
              <w:t>and 2017-2018</w:t>
            </w:r>
          </w:p>
        </w:tc>
        <w:tc>
          <w:tcPr>
            <w:tcW w:w="1104" w:type="dxa"/>
            <w:tcBorders>
              <w:top w:val="nil"/>
              <w:bottom w:val="nil"/>
              <w:right w:val="nil"/>
            </w:tcBorders>
            <w:shd w:val="clear" w:color="auto" w:fill="89A7D7"/>
          </w:tcPr>
          <w:p w:rsidR="006C17CB" w:rsidRDefault="0030091C">
            <w:pPr>
              <w:pStyle w:val="TableParagraph"/>
              <w:spacing w:before="84" w:line="184" w:lineRule="auto"/>
              <w:ind w:left="224" w:right="78" w:hanging="68"/>
              <w:jc w:val="both"/>
              <w:rPr>
                <w:b/>
                <w:sz w:val="18"/>
              </w:rPr>
            </w:pPr>
            <w:r>
              <w:rPr>
                <w:b/>
                <w:sz w:val="18"/>
              </w:rPr>
              <w:t>Percentage variance between 2016-2017</w:t>
            </w:r>
          </w:p>
          <w:p w:rsidR="006C17CB" w:rsidRDefault="0030091C">
            <w:pPr>
              <w:pStyle w:val="TableParagraph"/>
              <w:spacing w:before="1" w:line="184" w:lineRule="auto"/>
              <w:ind w:left="233" w:right="38" w:firstLine="493"/>
              <w:jc w:val="left"/>
              <w:rPr>
                <w:b/>
                <w:sz w:val="18"/>
              </w:rPr>
            </w:pPr>
            <w:r>
              <w:rPr>
                <w:b/>
                <w:sz w:val="18"/>
              </w:rPr>
              <w:t>and 2017-2018</w:t>
            </w:r>
          </w:p>
        </w:tc>
      </w:tr>
      <w:tr w:rsidR="006C17CB">
        <w:trPr>
          <w:trHeight w:val="386"/>
        </w:trPr>
        <w:tc>
          <w:tcPr>
            <w:tcW w:w="3322"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Total office water use</w:t>
            </w:r>
          </w:p>
        </w:tc>
        <w:tc>
          <w:tcPr>
            <w:tcW w:w="1105"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left="75"/>
              <w:jc w:val="left"/>
              <w:rPr>
                <w:sz w:val="18"/>
              </w:rPr>
            </w:pPr>
            <w:r>
              <w:rPr>
                <w:sz w:val="18"/>
              </w:rPr>
              <w:t>Kilolitres</w:t>
            </w:r>
          </w:p>
        </w:tc>
        <w:tc>
          <w:tcPr>
            <w:tcW w:w="1035"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left="357"/>
              <w:jc w:val="left"/>
              <w:rPr>
                <w:sz w:val="18"/>
              </w:rPr>
            </w:pPr>
            <w:r>
              <w:rPr>
                <w:sz w:val="18"/>
              </w:rPr>
              <w:t>3980.96</w:t>
            </w:r>
          </w:p>
        </w:tc>
        <w:tc>
          <w:tcPr>
            <w:tcW w:w="1021"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left="342"/>
              <w:jc w:val="left"/>
              <w:rPr>
                <w:sz w:val="18"/>
              </w:rPr>
            </w:pPr>
            <w:r>
              <w:rPr>
                <w:sz w:val="18"/>
              </w:rPr>
              <w:t>2511.52</w:t>
            </w:r>
          </w:p>
        </w:tc>
        <w:tc>
          <w:tcPr>
            <w:tcW w:w="1018"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left="339"/>
              <w:jc w:val="left"/>
              <w:rPr>
                <w:sz w:val="18"/>
              </w:rPr>
            </w:pPr>
            <w:r>
              <w:rPr>
                <w:sz w:val="18"/>
              </w:rPr>
              <w:t>2878.56</w:t>
            </w:r>
          </w:p>
        </w:tc>
        <w:tc>
          <w:tcPr>
            <w:tcW w:w="1026"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left="437"/>
              <w:jc w:val="left"/>
              <w:rPr>
                <w:sz w:val="18"/>
              </w:rPr>
            </w:pPr>
            <w:r>
              <w:rPr>
                <w:sz w:val="18"/>
              </w:rPr>
              <w:t>367.04</w:t>
            </w:r>
          </w:p>
        </w:tc>
        <w:tc>
          <w:tcPr>
            <w:tcW w:w="1104" w:type="dxa"/>
            <w:tcBorders>
              <w:top w:val="nil"/>
              <w:left w:val="single" w:sz="4" w:space="0" w:color="DADADA"/>
              <w:bottom w:val="single" w:sz="4" w:space="0" w:color="000000"/>
              <w:right w:val="nil"/>
            </w:tcBorders>
          </w:tcPr>
          <w:p w:rsidR="006C17CB" w:rsidRDefault="0030091C">
            <w:pPr>
              <w:pStyle w:val="TableParagraph"/>
              <w:spacing w:before="50"/>
              <w:ind w:left="477"/>
              <w:jc w:val="left"/>
              <w:rPr>
                <w:sz w:val="18"/>
              </w:rPr>
            </w:pPr>
            <w:r>
              <w:rPr>
                <w:sz w:val="18"/>
              </w:rPr>
              <w:t>14.61%</w:t>
            </w:r>
          </w:p>
        </w:tc>
      </w:tr>
    </w:tbl>
    <w:p w:rsidR="006C17CB" w:rsidRDefault="006C17CB">
      <w:pPr>
        <w:pStyle w:val="BodyText"/>
        <w:rPr>
          <w:rFonts w:ascii="Calibri"/>
          <w:i/>
          <w:sz w:val="20"/>
        </w:rPr>
      </w:pPr>
    </w:p>
    <w:p w:rsidR="006C17CB" w:rsidRDefault="006C17CB">
      <w:pPr>
        <w:pStyle w:val="BodyText"/>
        <w:spacing w:before="10"/>
        <w:rPr>
          <w:rFonts w:ascii="Calibri"/>
          <w:i/>
          <w:sz w:val="12"/>
        </w:rPr>
      </w:pPr>
    </w:p>
    <w:p w:rsidR="006C17CB" w:rsidRDefault="0030091C">
      <w:pPr>
        <w:spacing w:before="7"/>
        <w:ind w:left="157"/>
        <w:rPr>
          <w:rFonts w:ascii="Calibri"/>
          <w:i/>
        </w:rPr>
      </w:pPr>
      <w:r>
        <w:rPr>
          <w:rFonts w:ascii="Calibri"/>
          <w:b/>
          <w:sz w:val="18"/>
        </w:rPr>
        <w:t xml:space="preserve">TABLE 18. </w:t>
      </w:r>
      <w:r>
        <w:rPr>
          <w:rFonts w:ascii="Calibri"/>
          <w:i/>
        </w:rPr>
        <w:t>Water intensities</w:t>
      </w:r>
    </w:p>
    <w:p w:rsidR="006C17CB" w:rsidRDefault="006C17CB">
      <w:pPr>
        <w:pStyle w:val="BodyText"/>
        <w:spacing w:before="5"/>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3322"/>
        <w:gridCol w:w="1077"/>
        <w:gridCol w:w="1054"/>
        <w:gridCol w:w="1043"/>
        <w:gridCol w:w="1054"/>
        <w:gridCol w:w="963"/>
        <w:gridCol w:w="1112"/>
      </w:tblGrid>
      <w:tr w:rsidR="006C17CB">
        <w:trPr>
          <w:trHeight w:val="1360"/>
        </w:trPr>
        <w:tc>
          <w:tcPr>
            <w:tcW w:w="3322" w:type="dxa"/>
            <w:tcBorders>
              <w:top w:val="nil"/>
              <w:left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9"/>
              <w:jc w:val="left"/>
              <w:rPr>
                <w:b/>
                <w:sz w:val="18"/>
              </w:rPr>
            </w:pPr>
            <w:r>
              <w:rPr>
                <w:b/>
                <w:sz w:val="18"/>
              </w:rPr>
              <w:t>Indicator</w:t>
            </w:r>
          </w:p>
        </w:tc>
        <w:tc>
          <w:tcPr>
            <w:tcW w:w="1077"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0"/>
              <w:jc w:val="left"/>
              <w:rPr>
                <w:b/>
                <w:sz w:val="18"/>
              </w:rPr>
            </w:pPr>
            <w:r>
              <w:rPr>
                <w:b/>
                <w:sz w:val="18"/>
              </w:rPr>
              <w:t>Unit</w:t>
            </w:r>
          </w:p>
        </w:tc>
        <w:tc>
          <w:tcPr>
            <w:tcW w:w="1054"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75"/>
              <w:jc w:val="left"/>
              <w:rPr>
                <w:b/>
                <w:sz w:val="18"/>
              </w:rPr>
            </w:pPr>
            <w:r>
              <w:rPr>
                <w:b/>
                <w:sz w:val="18"/>
              </w:rPr>
              <w:t>2015-2016</w:t>
            </w:r>
          </w:p>
          <w:p w:rsidR="006C17CB" w:rsidRDefault="0030091C">
            <w:pPr>
              <w:pStyle w:val="TableParagraph"/>
              <w:spacing w:line="230" w:lineRule="exact"/>
              <w:ind w:left="526"/>
              <w:jc w:val="left"/>
              <w:rPr>
                <w:b/>
                <w:sz w:val="18"/>
              </w:rPr>
            </w:pPr>
            <w:r>
              <w:rPr>
                <w:b/>
                <w:sz w:val="18"/>
              </w:rPr>
              <w:t>result</w:t>
            </w:r>
          </w:p>
        </w:tc>
        <w:tc>
          <w:tcPr>
            <w:tcW w:w="1043"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67"/>
              <w:jc w:val="left"/>
              <w:rPr>
                <w:b/>
                <w:sz w:val="18"/>
              </w:rPr>
            </w:pPr>
            <w:r>
              <w:rPr>
                <w:b/>
                <w:sz w:val="18"/>
              </w:rPr>
              <w:t>2016-2017</w:t>
            </w:r>
          </w:p>
          <w:p w:rsidR="006C17CB" w:rsidRDefault="0030091C">
            <w:pPr>
              <w:pStyle w:val="TableParagraph"/>
              <w:spacing w:line="230" w:lineRule="exact"/>
              <w:ind w:left="515"/>
              <w:jc w:val="left"/>
              <w:rPr>
                <w:b/>
                <w:sz w:val="18"/>
              </w:rPr>
            </w:pPr>
            <w:r>
              <w:rPr>
                <w:b/>
                <w:sz w:val="18"/>
              </w:rPr>
              <w:t>result</w:t>
            </w:r>
          </w:p>
        </w:tc>
        <w:tc>
          <w:tcPr>
            <w:tcW w:w="1054"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87"/>
              <w:jc w:val="left"/>
              <w:rPr>
                <w:b/>
                <w:sz w:val="18"/>
              </w:rPr>
            </w:pPr>
            <w:r>
              <w:rPr>
                <w:b/>
                <w:sz w:val="18"/>
              </w:rPr>
              <w:t>2017-2018</w:t>
            </w:r>
          </w:p>
          <w:p w:rsidR="006C17CB" w:rsidRDefault="0030091C">
            <w:pPr>
              <w:pStyle w:val="TableParagraph"/>
              <w:spacing w:line="230" w:lineRule="exact"/>
              <w:ind w:left="526"/>
              <w:jc w:val="left"/>
              <w:rPr>
                <w:b/>
                <w:sz w:val="18"/>
              </w:rPr>
            </w:pPr>
            <w:r>
              <w:rPr>
                <w:b/>
                <w:sz w:val="18"/>
              </w:rPr>
              <w:t>result</w:t>
            </w:r>
          </w:p>
        </w:tc>
        <w:tc>
          <w:tcPr>
            <w:tcW w:w="963" w:type="dxa"/>
            <w:tcBorders>
              <w:top w:val="nil"/>
              <w:bottom w:val="nil"/>
            </w:tcBorders>
            <w:shd w:val="clear" w:color="auto" w:fill="89A7D7"/>
          </w:tcPr>
          <w:p w:rsidR="006C17CB" w:rsidRDefault="006C17CB">
            <w:pPr>
              <w:pStyle w:val="TableParagraph"/>
              <w:spacing w:before="10"/>
              <w:jc w:val="left"/>
              <w:rPr>
                <w:i/>
                <w:sz w:val="19"/>
              </w:rPr>
            </w:pPr>
          </w:p>
          <w:p w:rsidR="006C17CB" w:rsidRDefault="0030091C">
            <w:pPr>
              <w:pStyle w:val="TableParagraph"/>
              <w:spacing w:before="1" w:line="184" w:lineRule="auto"/>
              <w:ind w:left="88" w:right="64" w:firstLine="124"/>
              <w:jc w:val="both"/>
              <w:rPr>
                <w:b/>
                <w:sz w:val="18"/>
              </w:rPr>
            </w:pPr>
            <w:r>
              <w:rPr>
                <w:b/>
                <w:sz w:val="18"/>
              </w:rPr>
              <w:t>Variance between 2016-2017</w:t>
            </w:r>
          </w:p>
          <w:p w:rsidR="006C17CB" w:rsidRDefault="0030091C">
            <w:pPr>
              <w:pStyle w:val="TableParagraph"/>
              <w:spacing w:line="184" w:lineRule="auto"/>
              <w:ind w:left="96" w:right="31" w:firstLine="493"/>
              <w:jc w:val="left"/>
              <w:rPr>
                <w:b/>
                <w:sz w:val="18"/>
              </w:rPr>
            </w:pPr>
            <w:r>
              <w:rPr>
                <w:b/>
                <w:sz w:val="18"/>
              </w:rPr>
              <w:t>and 2017-2018</w:t>
            </w:r>
          </w:p>
        </w:tc>
        <w:tc>
          <w:tcPr>
            <w:tcW w:w="1112" w:type="dxa"/>
            <w:tcBorders>
              <w:top w:val="nil"/>
              <w:bottom w:val="nil"/>
              <w:right w:val="nil"/>
            </w:tcBorders>
            <w:shd w:val="clear" w:color="auto" w:fill="89A7D7"/>
          </w:tcPr>
          <w:p w:rsidR="006C17CB" w:rsidRDefault="0030091C">
            <w:pPr>
              <w:pStyle w:val="TableParagraph"/>
              <w:spacing w:before="84" w:line="184" w:lineRule="auto"/>
              <w:ind w:left="238" w:right="73" w:hanging="68"/>
              <w:jc w:val="both"/>
              <w:rPr>
                <w:b/>
                <w:sz w:val="18"/>
              </w:rPr>
            </w:pPr>
            <w:r>
              <w:rPr>
                <w:b/>
                <w:sz w:val="18"/>
              </w:rPr>
              <w:t>Percentage variance between 2016-2017</w:t>
            </w:r>
          </w:p>
          <w:p w:rsidR="006C17CB" w:rsidRDefault="0030091C">
            <w:pPr>
              <w:pStyle w:val="TableParagraph"/>
              <w:spacing w:before="1" w:line="184" w:lineRule="auto"/>
              <w:ind w:left="246" w:right="35" w:firstLine="493"/>
              <w:jc w:val="left"/>
              <w:rPr>
                <w:b/>
                <w:sz w:val="18"/>
              </w:rPr>
            </w:pPr>
            <w:r>
              <w:rPr>
                <w:b/>
                <w:sz w:val="18"/>
              </w:rPr>
              <w:t>and 2017-2018</w:t>
            </w:r>
          </w:p>
        </w:tc>
      </w:tr>
      <w:tr w:rsidR="006C17CB">
        <w:trPr>
          <w:trHeight w:val="556"/>
        </w:trPr>
        <w:tc>
          <w:tcPr>
            <w:tcW w:w="3322" w:type="dxa"/>
            <w:tcBorders>
              <w:top w:val="nil"/>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Water use per person</w:t>
            </w:r>
          </w:p>
        </w:tc>
        <w:tc>
          <w:tcPr>
            <w:tcW w:w="1077" w:type="dxa"/>
            <w:tcBorders>
              <w:top w:val="nil"/>
              <w:left w:val="single" w:sz="4" w:space="0" w:color="DADADA"/>
              <w:bottom w:val="single" w:sz="4" w:space="0" w:color="000000"/>
              <w:right w:val="single" w:sz="4" w:space="0" w:color="DADADA"/>
            </w:tcBorders>
          </w:tcPr>
          <w:p w:rsidR="006C17CB" w:rsidRDefault="0030091C">
            <w:pPr>
              <w:pStyle w:val="TableParagraph"/>
              <w:spacing w:before="30" w:line="204" w:lineRule="auto"/>
              <w:ind w:left="75" w:right="265"/>
              <w:jc w:val="left"/>
              <w:rPr>
                <w:sz w:val="18"/>
              </w:rPr>
            </w:pPr>
            <w:r>
              <w:rPr>
                <w:sz w:val="18"/>
              </w:rPr>
              <w:t>Kilolitres/ FTE</w:t>
            </w:r>
          </w:p>
        </w:tc>
        <w:tc>
          <w:tcPr>
            <w:tcW w:w="1054"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27.27</w:t>
            </w:r>
          </w:p>
        </w:tc>
        <w:tc>
          <w:tcPr>
            <w:tcW w:w="1043"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14.99</w:t>
            </w:r>
          </w:p>
        </w:tc>
        <w:tc>
          <w:tcPr>
            <w:tcW w:w="1054"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17.29</w:t>
            </w:r>
          </w:p>
        </w:tc>
        <w:tc>
          <w:tcPr>
            <w:tcW w:w="963"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0"/>
              <w:rPr>
                <w:sz w:val="18"/>
              </w:rPr>
            </w:pPr>
            <w:r>
              <w:rPr>
                <w:sz w:val="18"/>
              </w:rPr>
              <w:t>2.30</w:t>
            </w:r>
          </w:p>
        </w:tc>
        <w:tc>
          <w:tcPr>
            <w:tcW w:w="1112" w:type="dxa"/>
            <w:tcBorders>
              <w:top w:val="nil"/>
              <w:left w:val="single" w:sz="4" w:space="0" w:color="DADADA"/>
              <w:bottom w:val="single" w:sz="4" w:space="0" w:color="000000"/>
              <w:right w:val="nil"/>
            </w:tcBorders>
          </w:tcPr>
          <w:p w:rsidR="006C17CB" w:rsidRDefault="0030091C">
            <w:pPr>
              <w:pStyle w:val="TableParagraph"/>
              <w:spacing w:line="258" w:lineRule="exact"/>
              <w:ind w:right="75"/>
              <w:rPr>
                <w:sz w:val="18"/>
              </w:rPr>
            </w:pPr>
            <w:r>
              <w:rPr>
                <w:sz w:val="18"/>
              </w:rPr>
              <w:t>15.37%</w:t>
            </w:r>
          </w:p>
        </w:tc>
      </w:tr>
      <w:tr w:rsidR="006C17CB">
        <w:trPr>
          <w:trHeight w:val="556"/>
        </w:trPr>
        <w:tc>
          <w:tcPr>
            <w:tcW w:w="3322"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Water use per area of total floor space</w:t>
            </w:r>
          </w:p>
        </w:tc>
        <w:tc>
          <w:tcPr>
            <w:tcW w:w="107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41" w:line="192" w:lineRule="auto"/>
              <w:ind w:left="75" w:right="265"/>
              <w:jc w:val="left"/>
              <w:rPr>
                <w:sz w:val="10"/>
              </w:rPr>
            </w:pPr>
            <w:r>
              <w:rPr>
                <w:sz w:val="18"/>
              </w:rPr>
              <w:t xml:space="preserve">Kilolitres/ </w:t>
            </w:r>
            <w:r>
              <w:rPr>
                <w:position w:val="-5"/>
                <w:sz w:val="18"/>
              </w:rPr>
              <w:t>m</w:t>
            </w:r>
            <w:r>
              <w:rPr>
                <w:sz w:val="10"/>
              </w:rPr>
              <w:t>2</w:t>
            </w:r>
          </w:p>
        </w:tc>
        <w:tc>
          <w:tcPr>
            <w:tcW w:w="105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0.54</w:t>
            </w:r>
          </w:p>
        </w:tc>
        <w:tc>
          <w:tcPr>
            <w:tcW w:w="104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0.34</w:t>
            </w:r>
          </w:p>
        </w:tc>
        <w:tc>
          <w:tcPr>
            <w:tcW w:w="105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0.39</w:t>
            </w:r>
          </w:p>
        </w:tc>
        <w:tc>
          <w:tcPr>
            <w:tcW w:w="96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0"/>
              <w:rPr>
                <w:sz w:val="18"/>
              </w:rPr>
            </w:pPr>
            <w:r>
              <w:rPr>
                <w:sz w:val="18"/>
              </w:rPr>
              <w:t>0.05</w:t>
            </w:r>
          </w:p>
        </w:tc>
        <w:tc>
          <w:tcPr>
            <w:tcW w:w="1112"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5"/>
              <w:rPr>
                <w:sz w:val="18"/>
              </w:rPr>
            </w:pPr>
            <w:r>
              <w:rPr>
                <w:sz w:val="18"/>
              </w:rPr>
              <w:t>14.61%</w:t>
            </w:r>
          </w:p>
        </w:tc>
      </w:tr>
    </w:tbl>
    <w:p w:rsidR="006C17CB" w:rsidRDefault="006C17CB">
      <w:pPr>
        <w:pStyle w:val="BodyText"/>
        <w:rPr>
          <w:rFonts w:ascii="Calibri"/>
          <w:i/>
        </w:rPr>
      </w:pPr>
    </w:p>
    <w:p w:rsidR="006C17CB" w:rsidRDefault="0030091C">
      <w:pPr>
        <w:spacing w:before="161"/>
        <w:ind w:left="157"/>
        <w:rPr>
          <w:rFonts w:ascii="Calibri"/>
          <w:i/>
        </w:rPr>
      </w:pPr>
      <w:r>
        <w:rPr>
          <w:rFonts w:ascii="Calibri"/>
          <w:b/>
          <w:sz w:val="18"/>
        </w:rPr>
        <w:t xml:space="preserve">TABLE 19. </w:t>
      </w:r>
      <w:r>
        <w:rPr>
          <w:rFonts w:ascii="Calibri"/>
          <w:i/>
        </w:rPr>
        <w:t>Waste</w:t>
      </w:r>
    </w:p>
    <w:p w:rsidR="006C17CB" w:rsidRDefault="006C17CB">
      <w:pPr>
        <w:pStyle w:val="BodyText"/>
        <w:spacing w:before="5"/>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3356"/>
        <w:gridCol w:w="1122"/>
        <w:gridCol w:w="975"/>
        <w:gridCol w:w="1043"/>
        <w:gridCol w:w="1077"/>
        <w:gridCol w:w="986"/>
        <w:gridCol w:w="1067"/>
      </w:tblGrid>
      <w:tr w:rsidR="006C17CB">
        <w:trPr>
          <w:trHeight w:val="1360"/>
        </w:trPr>
        <w:tc>
          <w:tcPr>
            <w:tcW w:w="3356" w:type="dxa"/>
            <w:tcBorders>
              <w:top w:val="nil"/>
              <w:left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9"/>
              <w:jc w:val="left"/>
              <w:rPr>
                <w:b/>
                <w:sz w:val="18"/>
              </w:rPr>
            </w:pPr>
            <w:r>
              <w:rPr>
                <w:b/>
                <w:sz w:val="18"/>
              </w:rPr>
              <w:t>Indicator</w:t>
            </w:r>
          </w:p>
        </w:tc>
        <w:tc>
          <w:tcPr>
            <w:tcW w:w="1122"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0"/>
              <w:jc w:val="left"/>
              <w:rPr>
                <w:b/>
                <w:sz w:val="18"/>
              </w:rPr>
            </w:pPr>
            <w:r>
              <w:rPr>
                <w:b/>
                <w:sz w:val="18"/>
              </w:rPr>
              <w:t>Unit</w:t>
            </w:r>
          </w:p>
        </w:tc>
        <w:tc>
          <w:tcPr>
            <w:tcW w:w="975"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96"/>
              <w:jc w:val="left"/>
              <w:rPr>
                <w:b/>
                <w:sz w:val="18"/>
              </w:rPr>
            </w:pPr>
            <w:r>
              <w:rPr>
                <w:b/>
                <w:sz w:val="18"/>
              </w:rPr>
              <w:t>2015-2016</w:t>
            </w:r>
          </w:p>
          <w:p w:rsidR="006C17CB" w:rsidRDefault="0030091C">
            <w:pPr>
              <w:pStyle w:val="TableParagraph"/>
              <w:spacing w:line="230" w:lineRule="exact"/>
              <w:ind w:left="447"/>
              <w:jc w:val="left"/>
              <w:rPr>
                <w:b/>
                <w:sz w:val="18"/>
              </w:rPr>
            </w:pPr>
            <w:r>
              <w:rPr>
                <w:b/>
                <w:sz w:val="18"/>
              </w:rPr>
              <w:t>result</w:t>
            </w:r>
          </w:p>
        </w:tc>
        <w:tc>
          <w:tcPr>
            <w:tcW w:w="1043"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67"/>
              <w:jc w:val="left"/>
              <w:rPr>
                <w:b/>
                <w:sz w:val="18"/>
              </w:rPr>
            </w:pPr>
            <w:r>
              <w:rPr>
                <w:b/>
                <w:sz w:val="18"/>
              </w:rPr>
              <w:t>2016-2017</w:t>
            </w:r>
          </w:p>
          <w:p w:rsidR="006C17CB" w:rsidRDefault="0030091C">
            <w:pPr>
              <w:pStyle w:val="TableParagraph"/>
              <w:spacing w:line="230" w:lineRule="exact"/>
              <w:ind w:left="515"/>
              <w:jc w:val="left"/>
              <w:rPr>
                <w:b/>
                <w:sz w:val="18"/>
              </w:rPr>
            </w:pPr>
            <w:r>
              <w:rPr>
                <w:b/>
                <w:sz w:val="18"/>
              </w:rPr>
              <w:t>result</w:t>
            </w:r>
          </w:p>
        </w:tc>
        <w:tc>
          <w:tcPr>
            <w:tcW w:w="1077"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209"/>
              <w:jc w:val="left"/>
              <w:rPr>
                <w:b/>
                <w:sz w:val="18"/>
              </w:rPr>
            </w:pPr>
            <w:r>
              <w:rPr>
                <w:b/>
                <w:sz w:val="18"/>
              </w:rPr>
              <w:t>2017-2018</w:t>
            </w:r>
          </w:p>
          <w:p w:rsidR="006C17CB" w:rsidRDefault="0030091C">
            <w:pPr>
              <w:pStyle w:val="TableParagraph"/>
              <w:spacing w:line="230" w:lineRule="exact"/>
              <w:ind w:left="549"/>
              <w:jc w:val="left"/>
              <w:rPr>
                <w:b/>
                <w:sz w:val="18"/>
              </w:rPr>
            </w:pPr>
            <w:r>
              <w:rPr>
                <w:b/>
                <w:sz w:val="18"/>
              </w:rPr>
              <w:t>result</w:t>
            </w:r>
          </w:p>
        </w:tc>
        <w:tc>
          <w:tcPr>
            <w:tcW w:w="986" w:type="dxa"/>
            <w:tcBorders>
              <w:top w:val="nil"/>
              <w:bottom w:val="nil"/>
            </w:tcBorders>
            <w:shd w:val="clear" w:color="auto" w:fill="89A7D7"/>
          </w:tcPr>
          <w:p w:rsidR="006C17CB" w:rsidRDefault="006C17CB">
            <w:pPr>
              <w:pStyle w:val="TableParagraph"/>
              <w:spacing w:before="10"/>
              <w:jc w:val="left"/>
              <w:rPr>
                <w:i/>
                <w:sz w:val="19"/>
              </w:rPr>
            </w:pPr>
          </w:p>
          <w:p w:rsidR="006C17CB" w:rsidRDefault="0030091C">
            <w:pPr>
              <w:pStyle w:val="TableParagraph"/>
              <w:spacing w:before="1" w:line="184" w:lineRule="auto"/>
              <w:ind w:left="110" w:right="64" w:firstLine="124"/>
              <w:jc w:val="both"/>
              <w:rPr>
                <w:b/>
                <w:sz w:val="18"/>
              </w:rPr>
            </w:pPr>
            <w:r>
              <w:rPr>
                <w:b/>
                <w:sz w:val="18"/>
              </w:rPr>
              <w:t>Variance between 2016-2017</w:t>
            </w:r>
          </w:p>
          <w:p w:rsidR="006C17CB" w:rsidRDefault="0030091C">
            <w:pPr>
              <w:pStyle w:val="TableParagraph"/>
              <w:spacing w:line="184" w:lineRule="auto"/>
              <w:ind w:left="119" w:right="31" w:firstLine="493"/>
              <w:jc w:val="left"/>
              <w:rPr>
                <w:b/>
                <w:sz w:val="18"/>
              </w:rPr>
            </w:pPr>
            <w:r>
              <w:rPr>
                <w:b/>
                <w:sz w:val="18"/>
              </w:rPr>
              <w:t>and 2017-2018</w:t>
            </w:r>
          </w:p>
        </w:tc>
        <w:tc>
          <w:tcPr>
            <w:tcW w:w="1067" w:type="dxa"/>
            <w:tcBorders>
              <w:top w:val="nil"/>
              <w:bottom w:val="nil"/>
              <w:right w:val="nil"/>
            </w:tcBorders>
            <w:shd w:val="clear" w:color="auto" w:fill="89A7D7"/>
          </w:tcPr>
          <w:p w:rsidR="006C17CB" w:rsidRDefault="0030091C">
            <w:pPr>
              <w:pStyle w:val="TableParagraph"/>
              <w:spacing w:before="84" w:line="184" w:lineRule="auto"/>
              <w:ind w:left="192" w:right="74" w:hanging="68"/>
              <w:jc w:val="both"/>
              <w:rPr>
                <w:b/>
                <w:sz w:val="18"/>
              </w:rPr>
            </w:pPr>
            <w:r>
              <w:rPr>
                <w:b/>
                <w:sz w:val="18"/>
              </w:rPr>
              <w:t>Percentage variance between 2016-2017</w:t>
            </w:r>
          </w:p>
          <w:p w:rsidR="006C17CB" w:rsidRDefault="0030091C">
            <w:pPr>
              <w:pStyle w:val="TableParagraph"/>
              <w:spacing w:before="1" w:line="184" w:lineRule="auto"/>
              <w:ind w:left="200" w:right="36" w:firstLine="493"/>
              <w:jc w:val="left"/>
              <w:rPr>
                <w:b/>
                <w:sz w:val="18"/>
              </w:rPr>
            </w:pPr>
            <w:r>
              <w:rPr>
                <w:b/>
                <w:sz w:val="18"/>
              </w:rPr>
              <w:t>and 2017-2018</w:t>
            </w:r>
          </w:p>
        </w:tc>
      </w:tr>
      <w:tr w:rsidR="006C17CB">
        <w:trPr>
          <w:trHeight w:val="386"/>
        </w:trPr>
        <w:tc>
          <w:tcPr>
            <w:tcW w:w="3356"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Total reams of paper purchased</w:t>
            </w:r>
          </w:p>
        </w:tc>
        <w:tc>
          <w:tcPr>
            <w:tcW w:w="1122"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left="75"/>
              <w:jc w:val="left"/>
              <w:rPr>
                <w:sz w:val="18"/>
              </w:rPr>
            </w:pPr>
            <w:r>
              <w:rPr>
                <w:sz w:val="18"/>
              </w:rPr>
              <w:t>Reams</w:t>
            </w:r>
          </w:p>
        </w:tc>
        <w:tc>
          <w:tcPr>
            <w:tcW w:w="975"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1479.00</w:t>
            </w:r>
          </w:p>
        </w:tc>
        <w:tc>
          <w:tcPr>
            <w:tcW w:w="1043"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1535.00</w:t>
            </w:r>
          </w:p>
        </w:tc>
        <w:tc>
          <w:tcPr>
            <w:tcW w:w="1077"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398.00</w:t>
            </w:r>
          </w:p>
        </w:tc>
        <w:tc>
          <w:tcPr>
            <w:tcW w:w="986"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-1137.00</w:t>
            </w:r>
          </w:p>
        </w:tc>
        <w:tc>
          <w:tcPr>
            <w:tcW w:w="1067" w:type="dxa"/>
            <w:tcBorders>
              <w:top w:val="nil"/>
              <w:left w:val="single" w:sz="4" w:space="0" w:color="DADADA"/>
              <w:bottom w:val="single" w:sz="4" w:space="0" w:color="000000"/>
              <w:right w:val="nil"/>
            </w:tcBorders>
          </w:tcPr>
          <w:p w:rsidR="006C17CB" w:rsidRDefault="0030091C">
            <w:pPr>
              <w:pStyle w:val="TableParagraph"/>
              <w:spacing w:before="50"/>
              <w:ind w:right="76"/>
              <w:rPr>
                <w:sz w:val="18"/>
              </w:rPr>
            </w:pPr>
            <w:r>
              <w:rPr>
                <w:sz w:val="18"/>
              </w:rPr>
              <w:t>-74.07</w:t>
            </w:r>
          </w:p>
        </w:tc>
      </w:tr>
      <w:tr w:rsidR="006C17CB">
        <w:trPr>
          <w:trHeight w:val="386"/>
        </w:trPr>
        <w:tc>
          <w:tcPr>
            <w:tcW w:w="335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Estimate of paper recycled</w:t>
            </w:r>
          </w:p>
        </w:tc>
        <w:tc>
          <w:tcPr>
            <w:tcW w:w="112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5"/>
              <w:jc w:val="left"/>
              <w:rPr>
                <w:sz w:val="18"/>
              </w:rPr>
            </w:pPr>
            <w:r>
              <w:rPr>
                <w:sz w:val="18"/>
              </w:rPr>
              <w:t>Cubic metres</w:t>
            </w:r>
          </w:p>
        </w:tc>
        <w:tc>
          <w:tcPr>
            <w:tcW w:w="97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71.28</w:t>
            </w:r>
          </w:p>
        </w:tc>
        <w:tc>
          <w:tcPr>
            <w:tcW w:w="104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76.32</w:t>
            </w:r>
          </w:p>
        </w:tc>
        <w:tc>
          <w:tcPr>
            <w:tcW w:w="107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56.88</w:t>
            </w:r>
          </w:p>
        </w:tc>
        <w:tc>
          <w:tcPr>
            <w:tcW w:w="98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-19.44</w:t>
            </w:r>
          </w:p>
        </w:tc>
        <w:tc>
          <w:tcPr>
            <w:tcW w:w="1067"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-25.47%</w:t>
            </w:r>
          </w:p>
        </w:tc>
      </w:tr>
      <w:tr w:rsidR="006C17CB">
        <w:trPr>
          <w:trHeight w:val="386"/>
        </w:trPr>
        <w:tc>
          <w:tcPr>
            <w:tcW w:w="335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Estimate of mixed recycling</w:t>
            </w:r>
          </w:p>
        </w:tc>
        <w:tc>
          <w:tcPr>
            <w:tcW w:w="112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5"/>
              <w:jc w:val="left"/>
              <w:rPr>
                <w:sz w:val="18"/>
              </w:rPr>
            </w:pPr>
            <w:r>
              <w:rPr>
                <w:sz w:val="18"/>
              </w:rPr>
              <w:t>Cubic metres</w:t>
            </w:r>
          </w:p>
        </w:tc>
        <w:tc>
          <w:tcPr>
            <w:tcW w:w="97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106.00</w:t>
            </w:r>
          </w:p>
        </w:tc>
        <w:tc>
          <w:tcPr>
            <w:tcW w:w="104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194.70</w:t>
            </w:r>
          </w:p>
        </w:tc>
        <w:tc>
          <w:tcPr>
            <w:tcW w:w="107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163.90</w:t>
            </w:r>
          </w:p>
        </w:tc>
        <w:tc>
          <w:tcPr>
            <w:tcW w:w="98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-30.80</w:t>
            </w:r>
          </w:p>
        </w:tc>
        <w:tc>
          <w:tcPr>
            <w:tcW w:w="1067"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-15.82%</w:t>
            </w:r>
          </w:p>
        </w:tc>
      </w:tr>
      <w:tr w:rsidR="006C17CB">
        <w:trPr>
          <w:trHeight w:val="386"/>
        </w:trPr>
        <w:tc>
          <w:tcPr>
            <w:tcW w:w="335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Estimate of organic waste</w:t>
            </w:r>
          </w:p>
        </w:tc>
        <w:tc>
          <w:tcPr>
            <w:tcW w:w="112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5"/>
              <w:jc w:val="left"/>
              <w:rPr>
                <w:sz w:val="18"/>
              </w:rPr>
            </w:pPr>
            <w:r>
              <w:rPr>
                <w:sz w:val="18"/>
              </w:rPr>
              <w:t>Cubic metres</w:t>
            </w:r>
          </w:p>
        </w:tc>
        <w:tc>
          <w:tcPr>
            <w:tcW w:w="97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3.00</w:t>
            </w:r>
          </w:p>
        </w:tc>
        <w:tc>
          <w:tcPr>
            <w:tcW w:w="104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12.24</w:t>
            </w:r>
          </w:p>
        </w:tc>
        <w:tc>
          <w:tcPr>
            <w:tcW w:w="107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12.96</w:t>
            </w:r>
          </w:p>
        </w:tc>
        <w:tc>
          <w:tcPr>
            <w:tcW w:w="98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0.72</w:t>
            </w:r>
          </w:p>
        </w:tc>
        <w:tc>
          <w:tcPr>
            <w:tcW w:w="1067"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5.88%</w:t>
            </w:r>
          </w:p>
        </w:tc>
      </w:tr>
      <w:tr w:rsidR="006C17CB">
        <w:trPr>
          <w:trHeight w:val="386"/>
        </w:trPr>
        <w:tc>
          <w:tcPr>
            <w:tcW w:w="335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Estimate of waste to landfill</w:t>
            </w:r>
          </w:p>
        </w:tc>
        <w:tc>
          <w:tcPr>
            <w:tcW w:w="112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5"/>
              <w:jc w:val="left"/>
              <w:rPr>
                <w:sz w:val="18"/>
              </w:rPr>
            </w:pPr>
            <w:r>
              <w:rPr>
                <w:sz w:val="18"/>
              </w:rPr>
              <w:t>Cubic metres</w:t>
            </w:r>
          </w:p>
        </w:tc>
        <w:tc>
          <w:tcPr>
            <w:tcW w:w="97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57.20</w:t>
            </w:r>
          </w:p>
        </w:tc>
        <w:tc>
          <w:tcPr>
            <w:tcW w:w="104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66.00</w:t>
            </w:r>
          </w:p>
        </w:tc>
        <w:tc>
          <w:tcPr>
            <w:tcW w:w="107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57.20</w:t>
            </w:r>
          </w:p>
        </w:tc>
        <w:tc>
          <w:tcPr>
            <w:tcW w:w="98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-8.80</w:t>
            </w:r>
          </w:p>
        </w:tc>
        <w:tc>
          <w:tcPr>
            <w:tcW w:w="1067"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-13.33%</w:t>
            </w:r>
          </w:p>
        </w:tc>
      </w:tr>
    </w:tbl>
    <w:p w:rsidR="006C17CB" w:rsidRDefault="006C17CB">
      <w:pPr>
        <w:rPr>
          <w:sz w:val="18"/>
        </w:rPr>
        <w:sectPr w:rsidR="006C17CB">
          <w:pgSz w:w="11910" w:h="16840"/>
          <w:pgMar w:top="2760" w:right="0" w:bottom="720" w:left="980" w:header="2551" w:footer="523" w:gutter="0"/>
          <w:cols w:space="720"/>
        </w:sectPr>
      </w:pPr>
    </w:p>
    <w:p w:rsidR="006C17CB" w:rsidRDefault="006C17CB">
      <w:pPr>
        <w:pStyle w:val="BodyText"/>
        <w:spacing w:before="8"/>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3356"/>
        <w:gridCol w:w="1100"/>
        <w:gridCol w:w="1021"/>
        <w:gridCol w:w="1044"/>
        <w:gridCol w:w="1055"/>
        <w:gridCol w:w="1021"/>
        <w:gridCol w:w="1034"/>
      </w:tblGrid>
      <w:tr w:rsidR="006C17CB">
        <w:trPr>
          <w:trHeight w:val="1360"/>
        </w:trPr>
        <w:tc>
          <w:tcPr>
            <w:tcW w:w="3356" w:type="dxa"/>
            <w:tcBorders>
              <w:top w:val="nil"/>
              <w:left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9"/>
              <w:jc w:val="left"/>
              <w:rPr>
                <w:b/>
                <w:sz w:val="18"/>
              </w:rPr>
            </w:pPr>
            <w:r>
              <w:rPr>
                <w:b/>
                <w:sz w:val="18"/>
              </w:rPr>
              <w:t>Indicator</w:t>
            </w:r>
          </w:p>
        </w:tc>
        <w:tc>
          <w:tcPr>
            <w:tcW w:w="1100"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0"/>
              <w:jc w:val="left"/>
              <w:rPr>
                <w:b/>
                <w:sz w:val="18"/>
              </w:rPr>
            </w:pPr>
            <w:r>
              <w:rPr>
                <w:b/>
                <w:sz w:val="18"/>
              </w:rPr>
              <w:t>Unit</w:t>
            </w:r>
          </w:p>
        </w:tc>
        <w:tc>
          <w:tcPr>
            <w:tcW w:w="1021"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40"/>
              <w:jc w:val="left"/>
              <w:rPr>
                <w:b/>
                <w:sz w:val="18"/>
              </w:rPr>
            </w:pPr>
            <w:r>
              <w:rPr>
                <w:b/>
                <w:sz w:val="18"/>
              </w:rPr>
              <w:t>2015-2016</w:t>
            </w:r>
          </w:p>
          <w:p w:rsidR="006C17CB" w:rsidRDefault="0030091C">
            <w:pPr>
              <w:pStyle w:val="TableParagraph"/>
              <w:spacing w:line="230" w:lineRule="exact"/>
              <w:ind w:left="492"/>
              <w:jc w:val="left"/>
              <w:rPr>
                <w:b/>
                <w:sz w:val="18"/>
              </w:rPr>
            </w:pPr>
            <w:r>
              <w:rPr>
                <w:b/>
                <w:sz w:val="18"/>
              </w:rPr>
              <w:t>result</w:t>
            </w:r>
          </w:p>
        </w:tc>
        <w:tc>
          <w:tcPr>
            <w:tcW w:w="1044"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65"/>
              <w:jc w:val="left"/>
              <w:rPr>
                <w:b/>
                <w:sz w:val="18"/>
              </w:rPr>
            </w:pPr>
            <w:r>
              <w:rPr>
                <w:b/>
                <w:sz w:val="18"/>
              </w:rPr>
              <w:t>2016-2017</w:t>
            </w:r>
          </w:p>
          <w:p w:rsidR="006C17CB" w:rsidRDefault="0030091C">
            <w:pPr>
              <w:pStyle w:val="TableParagraph"/>
              <w:spacing w:line="230" w:lineRule="exact"/>
              <w:ind w:left="514"/>
              <w:jc w:val="left"/>
              <w:rPr>
                <w:b/>
                <w:sz w:val="18"/>
              </w:rPr>
            </w:pPr>
            <w:r>
              <w:rPr>
                <w:b/>
                <w:sz w:val="18"/>
              </w:rPr>
              <w:t>result</w:t>
            </w:r>
          </w:p>
        </w:tc>
        <w:tc>
          <w:tcPr>
            <w:tcW w:w="1055"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84"/>
              <w:jc w:val="left"/>
              <w:rPr>
                <w:b/>
                <w:sz w:val="18"/>
              </w:rPr>
            </w:pPr>
            <w:r>
              <w:rPr>
                <w:b/>
                <w:sz w:val="18"/>
              </w:rPr>
              <w:t>2017-2018</w:t>
            </w:r>
          </w:p>
          <w:p w:rsidR="006C17CB" w:rsidRDefault="0030091C">
            <w:pPr>
              <w:pStyle w:val="TableParagraph"/>
              <w:spacing w:line="230" w:lineRule="exact"/>
              <w:ind w:left="524"/>
              <w:jc w:val="left"/>
              <w:rPr>
                <w:b/>
                <w:sz w:val="18"/>
              </w:rPr>
            </w:pPr>
            <w:r>
              <w:rPr>
                <w:b/>
                <w:sz w:val="18"/>
              </w:rPr>
              <w:t>result</w:t>
            </w:r>
          </w:p>
        </w:tc>
        <w:tc>
          <w:tcPr>
            <w:tcW w:w="1021" w:type="dxa"/>
            <w:tcBorders>
              <w:top w:val="nil"/>
              <w:bottom w:val="nil"/>
            </w:tcBorders>
            <w:shd w:val="clear" w:color="auto" w:fill="89A7D7"/>
          </w:tcPr>
          <w:p w:rsidR="006C17CB" w:rsidRDefault="006C17CB">
            <w:pPr>
              <w:pStyle w:val="TableParagraph"/>
              <w:spacing w:before="10"/>
              <w:jc w:val="left"/>
              <w:rPr>
                <w:i/>
                <w:sz w:val="19"/>
              </w:rPr>
            </w:pPr>
          </w:p>
          <w:p w:rsidR="006C17CB" w:rsidRDefault="0030091C">
            <w:pPr>
              <w:pStyle w:val="TableParagraph"/>
              <w:spacing w:before="1" w:line="184" w:lineRule="auto"/>
              <w:ind w:left="141" w:right="68" w:firstLine="124"/>
              <w:jc w:val="both"/>
              <w:rPr>
                <w:b/>
                <w:sz w:val="18"/>
              </w:rPr>
            </w:pPr>
            <w:r>
              <w:rPr>
                <w:b/>
                <w:sz w:val="18"/>
              </w:rPr>
              <w:t>Variance between 2016-2017</w:t>
            </w:r>
          </w:p>
          <w:p w:rsidR="006C17CB" w:rsidRDefault="0030091C">
            <w:pPr>
              <w:pStyle w:val="TableParagraph"/>
              <w:spacing w:line="184" w:lineRule="auto"/>
              <w:ind w:left="150" w:right="33" w:firstLine="493"/>
              <w:jc w:val="left"/>
              <w:rPr>
                <w:b/>
                <w:sz w:val="18"/>
              </w:rPr>
            </w:pPr>
            <w:r>
              <w:rPr>
                <w:b/>
                <w:sz w:val="18"/>
              </w:rPr>
              <w:t>and 2017-2018</w:t>
            </w:r>
          </w:p>
        </w:tc>
        <w:tc>
          <w:tcPr>
            <w:tcW w:w="1034" w:type="dxa"/>
            <w:tcBorders>
              <w:top w:val="nil"/>
              <w:bottom w:val="nil"/>
              <w:right w:val="nil"/>
            </w:tcBorders>
            <w:shd w:val="clear" w:color="auto" w:fill="89A7D7"/>
          </w:tcPr>
          <w:p w:rsidR="006C17CB" w:rsidRDefault="0030091C">
            <w:pPr>
              <w:pStyle w:val="TableParagraph"/>
              <w:spacing w:before="84" w:line="184" w:lineRule="auto"/>
              <w:ind w:left="154" w:right="79" w:hanging="68"/>
              <w:jc w:val="both"/>
              <w:rPr>
                <w:b/>
                <w:sz w:val="18"/>
              </w:rPr>
            </w:pPr>
            <w:r>
              <w:rPr>
                <w:b/>
                <w:sz w:val="18"/>
              </w:rPr>
              <w:t>Percentage variance between 2016-2017</w:t>
            </w:r>
          </w:p>
          <w:p w:rsidR="006C17CB" w:rsidRDefault="0030091C">
            <w:pPr>
              <w:pStyle w:val="TableParagraph"/>
              <w:spacing w:before="1" w:line="184" w:lineRule="auto"/>
              <w:ind w:left="162" w:right="39" w:firstLine="493"/>
              <w:jc w:val="left"/>
              <w:rPr>
                <w:b/>
                <w:sz w:val="18"/>
              </w:rPr>
            </w:pPr>
            <w:r>
              <w:rPr>
                <w:b/>
                <w:sz w:val="18"/>
              </w:rPr>
              <w:t>and 2017-2018</w:t>
            </w:r>
          </w:p>
        </w:tc>
      </w:tr>
      <w:tr w:rsidR="006C17CB">
        <w:trPr>
          <w:trHeight w:val="556"/>
        </w:trPr>
        <w:tc>
          <w:tcPr>
            <w:tcW w:w="3356" w:type="dxa"/>
            <w:tcBorders>
              <w:top w:val="nil"/>
              <w:left w:val="nil"/>
              <w:bottom w:val="single" w:sz="4" w:space="0" w:color="000000"/>
              <w:right w:val="single" w:sz="4" w:space="0" w:color="DADADA"/>
            </w:tcBorders>
          </w:tcPr>
          <w:p w:rsidR="006C17CB" w:rsidRDefault="0030091C">
            <w:pPr>
              <w:pStyle w:val="TableParagraph"/>
              <w:spacing w:before="30" w:line="204" w:lineRule="auto"/>
              <w:ind w:left="79" w:right="262"/>
              <w:jc w:val="left"/>
              <w:rPr>
                <w:sz w:val="18"/>
              </w:rPr>
            </w:pPr>
            <w:r>
              <w:rPr>
                <w:sz w:val="18"/>
              </w:rPr>
              <w:t>Office paper used per person (Office and non-executive)</w:t>
            </w:r>
          </w:p>
        </w:tc>
        <w:tc>
          <w:tcPr>
            <w:tcW w:w="1100"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left="75"/>
              <w:jc w:val="left"/>
              <w:rPr>
                <w:sz w:val="18"/>
              </w:rPr>
            </w:pPr>
            <w:r>
              <w:rPr>
                <w:sz w:val="18"/>
              </w:rPr>
              <w:t>Reams / FTE</w:t>
            </w:r>
          </w:p>
        </w:tc>
        <w:tc>
          <w:tcPr>
            <w:tcW w:w="1021"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3"/>
              <w:rPr>
                <w:sz w:val="18"/>
              </w:rPr>
            </w:pPr>
            <w:r>
              <w:rPr>
                <w:sz w:val="18"/>
              </w:rPr>
              <w:t>15.94</w:t>
            </w:r>
          </w:p>
        </w:tc>
        <w:tc>
          <w:tcPr>
            <w:tcW w:w="1044"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4"/>
              <w:rPr>
                <w:sz w:val="18"/>
              </w:rPr>
            </w:pPr>
            <w:r>
              <w:rPr>
                <w:sz w:val="18"/>
              </w:rPr>
              <w:t>13.43</w:t>
            </w:r>
          </w:p>
        </w:tc>
        <w:tc>
          <w:tcPr>
            <w:tcW w:w="1055"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4"/>
              <w:rPr>
                <w:sz w:val="18"/>
              </w:rPr>
            </w:pPr>
            <w:r>
              <w:rPr>
                <w:sz w:val="18"/>
              </w:rPr>
              <w:t>3.48</w:t>
            </w:r>
          </w:p>
        </w:tc>
        <w:tc>
          <w:tcPr>
            <w:tcW w:w="1021"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5"/>
              <w:rPr>
                <w:sz w:val="18"/>
              </w:rPr>
            </w:pPr>
            <w:r>
              <w:rPr>
                <w:sz w:val="18"/>
              </w:rPr>
              <w:t>-9.95</w:t>
            </w:r>
          </w:p>
        </w:tc>
        <w:tc>
          <w:tcPr>
            <w:tcW w:w="1034" w:type="dxa"/>
            <w:tcBorders>
              <w:top w:val="nil"/>
              <w:left w:val="single" w:sz="4" w:space="0" w:color="DADADA"/>
              <w:bottom w:val="single" w:sz="4" w:space="0" w:color="000000"/>
              <w:right w:val="nil"/>
            </w:tcBorders>
          </w:tcPr>
          <w:p w:rsidR="006C17CB" w:rsidRDefault="0030091C">
            <w:pPr>
              <w:pStyle w:val="TableParagraph"/>
              <w:spacing w:line="258" w:lineRule="exact"/>
              <w:ind w:right="81"/>
              <w:rPr>
                <w:sz w:val="18"/>
              </w:rPr>
            </w:pPr>
            <w:r>
              <w:rPr>
                <w:sz w:val="18"/>
              </w:rPr>
              <w:t>-74.07%</w:t>
            </w:r>
          </w:p>
        </w:tc>
      </w:tr>
      <w:tr w:rsidR="006C17CB">
        <w:trPr>
          <w:trHeight w:val="386"/>
        </w:trPr>
        <w:tc>
          <w:tcPr>
            <w:tcW w:w="335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Estimate of cardboard recycled per person</w:t>
            </w:r>
          </w:p>
        </w:tc>
        <w:tc>
          <w:tcPr>
            <w:tcW w:w="110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5"/>
              <w:jc w:val="left"/>
              <w:rPr>
                <w:sz w:val="18"/>
              </w:rPr>
            </w:pPr>
            <w:r>
              <w:rPr>
                <w:sz w:val="18"/>
              </w:rPr>
              <w:t>m</w:t>
            </w:r>
            <w:r>
              <w:rPr>
                <w:position w:val="6"/>
                <w:sz w:val="10"/>
              </w:rPr>
              <w:t xml:space="preserve">3 </w:t>
            </w:r>
            <w:r>
              <w:rPr>
                <w:sz w:val="18"/>
              </w:rPr>
              <w:t>/ FTE</w:t>
            </w:r>
          </w:p>
        </w:tc>
        <w:tc>
          <w:tcPr>
            <w:tcW w:w="1021"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0.34</w:t>
            </w:r>
          </w:p>
        </w:tc>
        <w:tc>
          <w:tcPr>
            <w:tcW w:w="104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0.00</w:t>
            </w:r>
          </w:p>
        </w:tc>
        <w:tc>
          <w:tcPr>
            <w:tcW w:w="105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0.00</w:t>
            </w:r>
          </w:p>
        </w:tc>
        <w:tc>
          <w:tcPr>
            <w:tcW w:w="1021"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5"/>
              <w:rPr>
                <w:sz w:val="18"/>
              </w:rPr>
            </w:pPr>
            <w:r>
              <w:rPr>
                <w:sz w:val="18"/>
              </w:rPr>
              <w:t>0.00</w:t>
            </w:r>
          </w:p>
        </w:tc>
        <w:tc>
          <w:tcPr>
            <w:tcW w:w="1034"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1"/>
              <w:rPr>
                <w:sz w:val="18"/>
              </w:rPr>
            </w:pPr>
            <w:r>
              <w:rPr>
                <w:sz w:val="18"/>
              </w:rPr>
              <w:t>0.00</w:t>
            </w:r>
          </w:p>
        </w:tc>
      </w:tr>
      <w:tr w:rsidR="006C17CB">
        <w:trPr>
          <w:trHeight w:val="386"/>
        </w:trPr>
        <w:tc>
          <w:tcPr>
            <w:tcW w:w="335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Estimate of paper recycled per person</w:t>
            </w:r>
          </w:p>
        </w:tc>
        <w:tc>
          <w:tcPr>
            <w:tcW w:w="110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5"/>
              <w:jc w:val="left"/>
              <w:rPr>
                <w:sz w:val="18"/>
              </w:rPr>
            </w:pPr>
            <w:r>
              <w:rPr>
                <w:sz w:val="18"/>
              </w:rPr>
              <w:t>m</w:t>
            </w:r>
            <w:r>
              <w:rPr>
                <w:position w:val="6"/>
                <w:sz w:val="10"/>
              </w:rPr>
              <w:t xml:space="preserve">3 </w:t>
            </w:r>
            <w:r>
              <w:rPr>
                <w:sz w:val="18"/>
              </w:rPr>
              <w:t>/ FTE</w:t>
            </w:r>
          </w:p>
        </w:tc>
        <w:tc>
          <w:tcPr>
            <w:tcW w:w="1021"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0.49</w:t>
            </w:r>
          </w:p>
        </w:tc>
        <w:tc>
          <w:tcPr>
            <w:tcW w:w="104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0.46</w:t>
            </w:r>
          </w:p>
        </w:tc>
        <w:tc>
          <w:tcPr>
            <w:tcW w:w="105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0.34</w:t>
            </w:r>
          </w:p>
        </w:tc>
        <w:tc>
          <w:tcPr>
            <w:tcW w:w="1021"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5"/>
              <w:rPr>
                <w:sz w:val="18"/>
              </w:rPr>
            </w:pPr>
            <w:r>
              <w:rPr>
                <w:sz w:val="18"/>
              </w:rPr>
              <w:t>-0.11</w:t>
            </w:r>
          </w:p>
        </w:tc>
        <w:tc>
          <w:tcPr>
            <w:tcW w:w="1034"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1"/>
              <w:rPr>
                <w:sz w:val="18"/>
              </w:rPr>
            </w:pPr>
            <w:r>
              <w:rPr>
                <w:sz w:val="18"/>
              </w:rPr>
              <w:t>-24.98%</w:t>
            </w:r>
          </w:p>
        </w:tc>
      </w:tr>
      <w:tr w:rsidR="006C17CB">
        <w:trPr>
          <w:trHeight w:val="386"/>
        </w:trPr>
        <w:tc>
          <w:tcPr>
            <w:tcW w:w="335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Estimate of mixed recycling per person</w:t>
            </w:r>
          </w:p>
        </w:tc>
        <w:tc>
          <w:tcPr>
            <w:tcW w:w="110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5"/>
              <w:jc w:val="left"/>
              <w:rPr>
                <w:sz w:val="18"/>
              </w:rPr>
            </w:pPr>
            <w:r>
              <w:rPr>
                <w:sz w:val="18"/>
              </w:rPr>
              <w:t>m</w:t>
            </w:r>
            <w:r>
              <w:rPr>
                <w:position w:val="6"/>
                <w:sz w:val="10"/>
              </w:rPr>
              <w:t xml:space="preserve">3 </w:t>
            </w:r>
            <w:r>
              <w:rPr>
                <w:sz w:val="18"/>
              </w:rPr>
              <w:t>/ FTE</w:t>
            </w:r>
          </w:p>
        </w:tc>
        <w:tc>
          <w:tcPr>
            <w:tcW w:w="1021"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0.73</w:t>
            </w:r>
          </w:p>
        </w:tc>
        <w:tc>
          <w:tcPr>
            <w:tcW w:w="104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1.16</w:t>
            </w:r>
          </w:p>
        </w:tc>
        <w:tc>
          <w:tcPr>
            <w:tcW w:w="105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0.98</w:t>
            </w:r>
          </w:p>
        </w:tc>
        <w:tc>
          <w:tcPr>
            <w:tcW w:w="1021"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5"/>
              <w:rPr>
                <w:sz w:val="18"/>
              </w:rPr>
            </w:pPr>
            <w:r>
              <w:rPr>
                <w:sz w:val="18"/>
              </w:rPr>
              <w:t>-0.18</w:t>
            </w:r>
          </w:p>
        </w:tc>
        <w:tc>
          <w:tcPr>
            <w:tcW w:w="1034"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1"/>
              <w:rPr>
                <w:sz w:val="18"/>
              </w:rPr>
            </w:pPr>
            <w:r>
              <w:rPr>
                <w:sz w:val="18"/>
              </w:rPr>
              <w:t>-15.26%</w:t>
            </w:r>
          </w:p>
        </w:tc>
      </w:tr>
      <w:tr w:rsidR="006C17CB">
        <w:trPr>
          <w:trHeight w:val="386"/>
        </w:trPr>
        <w:tc>
          <w:tcPr>
            <w:tcW w:w="335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Estimate of organic waste per person</w:t>
            </w:r>
          </w:p>
        </w:tc>
        <w:tc>
          <w:tcPr>
            <w:tcW w:w="110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5"/>
              <w:jc w:val="left"/>
              <w:rPr>
                <w:sz w:val="18"/>
              </w:rPr>
            </w:pPr>
            <w:r>
              <w:rPr>
                <w:sz w:val="18"/>
              </w:rPr>
              <w:t>m</w:t>
            </w:r>
            <w:r>
              <w:rPr>
                <w:position w:val="6"/>
                <w:sz w:val="10"/>
              </w:rPr>
              <w:t xml:space="preserve">3 </w:t>
            </w:r>
            <w:r>
              <w:rPr>
                <w:sz w:val="18"/>
              </w:rPr>
              <w:t>/ FTE</w:t>
            </w:r>
          </w:p>
        </w:tc>
        <w:tc>
          <w:tcPr>
            <w:tcW w:w="1021"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0.0730</w:t>
            </w:r>
          </w:p>
        </w:tc>
        <w:tc>
          <w:tcPr>
            <w:tcW w:w="104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0.0730</w:t>
            </w:r>
          </w:p>
        </w:tc>
        <w:tc>
          <w:tcPr>
            <w:tcW w:w="105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0.0778</w:t>
            </w:r>
          </w:p>
        </w:tc>
        <w:tc>
          <w:tcPr>
            <w:tcW w:w="1021"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5"/>
              <w:rPr>
                <w:sz w:val="18"/>
              </w:rPr>
            </w:pPr>
            <w:r>
              <w:rPr>
                <w:sz w:val="18"/>
              </w:rPr>
              <w:t>0.0048</w:t>
            </w:r>
          </w:p>
        </w:tc>
        <w:tc>
          <w:tcPr>
            <w:tcW w:w="1034"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1"/>
              <w:rPr>
                <w:sz w:val="18"/>
              </w:rPr>
            </w:pPr>
            <w:r>
              <w:rPr>
                <w:sz w:val="18"/>
              </w:rPr>
              <w:t>6.58%</w:t>
            </w:r>
          </w:p>
        </w:tc>
      </w:tr>
      <w:tr w:rsidR="006C17CB">
        <w:trPr>
          <w:trHeight w:val="386"/>
        </w:trPr>
        <w:tc>
          <w:tcPr>
            <w:tcW w:w="335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Estimate of landfill waste per person</w:t>
            </w:r>
          </w:p>
        </w:tc>
        <w:tc>
          <w:tcPr>
            <w:tcW w:w="110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left="75"/>
              <w:jc w:val="left"/>
              <w:rPr>
                <w:sz w:val="18"/>
              </w:rPr>
            </w:pPr>
            <w:r>
              <w:rPr>
                <w:sz w:val="18"/>
              </w:rPr>
              <w:t>m</w:t>
            </w:r>
            <w:r>
              <w:rPr>
                <w:position w:val="6"/>
                <w:sz w:val="10"/>
              </w:rPr>
              <w:t xml:space="preserve">3 </w:t>
            </w:r>
            <w:r>
              <w:rPr>
                <w:sz w:val="18"/>
              </w:rPr>
              <w:t>/ FTE</w:t>
            </w:r>
          </w:p>
        </w:tc>
        <w:tc>
          <w:tcPr>
            <w:tcW w:w="1021"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0.39</w:t>
            </w:r>
          </w:p>
        </w:tc>
        <w:tc>
          <w:tcPr>
            <w:tcW w:w="104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0.39</w:t>
            </w:r>
          </w:p>
        </w:tc>
        <w:tc>
          <w:tcPr>
            <w:tcW w:w="105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0.34</w:t>
            </w:r>
          </w:p>
        </w:tc>
        <w:tc>
          <w:tcPr>
            <w:tcW w:w="1021"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5"/>
              <w:rPr>
                <w:sz w:val="18"/>
              </w:rPr>
            </w:pPr>
            <w:r>
              <w:rPr>
                <w:sz w:val="18"/>
              </w:rPr>
              <w:t>-0.05</w:t>
            </w:r>
          </w:p>
        </w:tc>
        <w:tc>
          <w:tcPr>
            <w:tcW w:w="1034"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1"/>
              <w:rPr>
                <w:sz w:val="18"/>
              </w:rPr>
            </w:pPr>
            <w:r>
              <w:rPr>
                <w:sz w:val="18"/>
              </w:rPr>
              <w:t>-12.76%</w:t>
            </w:r>
          </w:p>
        </w:tc>
      </w:tr>
    </w:tbl>
    <w:p w:rsidR="006C17CB" w:rsidRDefault="006C17CB">
      <w:pPr>
        <w:pStyle w:val="BodyText"/>
        <w:rPr>
          <w:rFonts w:ascii="Calibri"/>
          <w:i/>
          <w:sz w:val="20"/>
        </w:rPr>
      </w:pPr>
    </w:p>
    <w:p w:rsidR="006C17CB" w:rsidRDefault="006C17CB">
      <w:pPr>
        <w:pStyle w:val="BodyText"/>
        <w:spacing w:before="2"/>
        <w:rPr>
          <w:rFonts w:ascii="Calibri"/>
          <w:i/>
          <w:sz w:val="13"/>
        </w:rPr>
      </w:pPr>
    </w:p>
    <w:p w:rsidR="006C17CB" w:rsidRDefault="0030091C">
      <w:pPr>
        <w:spacing w:before="8"/>
        <w:ind w:left="157"/>
        <w:rPr>
          <w:rFonts w:ascii="Calibri"/>
          <w:i/>
        </w:rPr>
      </w:pPr>
      <w:r>
        <w:rPr>
          <w:rFonts w:ascii="Calibri"/>
          <w:b/>
          <w:sz w:val="18"/>
        </w:rPr>
        <w:t xml:space="preserve">TABLE 21. </w:t>
      </w:r>
      <w:r>
        <w:rPr>
          <w:rFonts w:ascii="Calibri"/>
          <w:i/>
        </w:rPr>
        <w:t>Greenhouse gas emissions</w:t>
      </w:r>
    </w:p>
    <w:p w:rsidR="006C17CB" w:rsidRDefault="006C17CB">
      <w:pPr>
        <w:pStyle w:val="BodyText"/>
        <w:spacing w:before="4"/>
        <w:rPr>
          <w:rFonts w:ascii="Calibri"/>
          <w:i/>
          <w:sz w:val="9"/>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3356"/>
        <w:gridCol w:w="1066"/>
        <w:gridCol w:w="1043"/>
        <w:gridCol w:w="1088"/>
        <w:gridCol w:w="1009"/>
        <w:gridCol w:w="1020"/>
        <w:gridCol w:w="1044"/>
      </w:tblGrid>
      <w:tr w:rsidR="006C17CB">
        <w:trPr>
          <w:trHeight w:val="1360"/>
        </w:trPr>
        <w:tc>
          <w:tcPr>
            <w:tcW w:w="3356" w:type="dxa"/>
            <w:tcBorders>
              <w:top w:val="nil"/>
              <w:left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9"/>
              <w:jc w:val="left"/>
              <w:rPr>
                <w:b/>
                <w:sz w:val="18"/>
              </w:rPr>
            </w:pPr>
            <w:r>
              <w:rPr>
                <w:b/>
                <w:sz w:val="18"/>
              </w:rPr>
              <w:t>Indicator</w:t>
            </w:r>
          </w:p>
        </w:tc>
        <w:tc>
          <w:tcPr>
            <w:tcW w:w="1066"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0"/>
              <w:jc w:val="left"/>
              <w:rPr>
                <w:b/>
                <w:sz w:val="18"/>
              </w:rPr>
            </w:pPr>
            <w:r>
              <w:rPr>
                <w:b/>
                <w:sz w:val="18"/>
              </w:rPr>
              <w:t>Unit</w:t>
            </w:r>
          </w:p>
        </w:tc>
        <w:tc>
          <w:tcPr>
            <w:tcW w:w="1043"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63"/>
              <w:jc w:val="left"/>
              <w:rPr>
                <w:b/>
                <w:sz w:val="18"/>
              </w:rPr>
            </w:pPr>
            <w:r>
              <w:rPr>
                <w:b/>
                <w:sz w:val="18"/>
              </w:rPr>
              <w:t>2015-2016</w:t>
            </w:r>
          </w:p>
          <w:p w:rsidR="006C17CB" w:rsidRDefault="0030091C">
            <w:pPr>
              <w:pStyle w:val="TableParagraph"/>
              <w:spacing w:line="230" w:lineRule="exact"/>
              <w:ind w:left="514"/>
              <w:jc w:val="left"/>
              <w:rPr>
                <w:b/>
                <w:sz w:val="18"/>
              </w:rPr>
            </w:pPr>
            <w:r>
              <w:rPr>
                <w:b/>
                <w:sz w:val="18"/>
              </w:rPr>
              <w:t>result</w:t>
            </w:r>
          </w:p>
        </w:tc>
        <w:tc>
          <w:tcPr>
            <w:tcW w:w="1088"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211"/>
              <w:jc w:val="left"/>
              <w:rPr>
                <w:b/>
                <w:sz w:val="18"/>
              </w:rPr>
            </w:pPr>
            <w:r>
              <w:rPr>
                <w:b/>
                <w:sz w:val="18"/>
              </w:rPr>
              <w:t>2016-2017</w:t>
            </w:r>
          </w:p>
          <w:p w:rsidR="006C17CB" w:rsidRDefault="0030091C">
            <w:pPr>
              <w:pStyle w:val="TableParagraph"/>
              <w:spacing w:line="230" w:lineRule="exact"/>
              <w:ind w:left="560"/>
              <w:jc w:val="left"/>
              <w:rPr>
                <w:b/>
                <w:sz w:val="18"/>
              </w:rPr>
            </w:pPr>
            <w:r>
              <w:rPr>
                <w:b/>
                <w:sz w:val="18"/>
              </w:rPr>
              <w:t>result</w:t>
            </w:r>
          </w:p>
        </w:tc>
        <w:tc>
          <w:tcPr>
            <w:tcW w:w="1009"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41"/>
              <w:jc w:val="left"/>
              <w:rPr>
                <w:b/>
                <w:sz w:val="18"/>
              </w:rPr>
            </w:pPr>
            <w:r>
              <w:rPr>
                <w:b/>
                <w:sz w:val="18"/>
              </w:rPr>
              <w:t>2017-2018</w:t>
            </w:r>
          </w:p>
          <w:p w:rsidR="006C17CB" w:rsidRDefault="0030091C">
            <w:pPr>
              <w:pStyle w:val="TableParagraph"/>
              <w:spacing w:line="230" w:lineRule="exact"/>
              <w:ind w:left="481"/>
              <w:jc w:val="left"/>
              <w:rPr>
                <w:b/>
                <w:sz w:val="18"/>
              </w:rPr>
            </w:pPr>
            <w:r>
              <w:rPr>
                <w:b/>
                <w:sz w:val="18"/>
              </w:rPr>
              <w:t>result</w:t>
            </w:r>
          </w:p>
        </w:tc>
        <w:tc>
          <w:tcPr>
            <w:tcW w:w="1020" w:type="dxa"/>
            <w:tcBorders>
              <w:top w:val="nil"/>
              <w:bottom w:val="nil"/>
            </w:tcBorders>
            <w:shd w:val="clear" w:color="auto" w:fill="89A7D7"/>
          </w:tcPr>
          <w:p w:rsidR="006C17CB" w:rsidRDefault="006C17CB">
            <w:pPr>
              <w:pStyle w:val="TableParagraph"/>
              <w:spacing w:before="10"/>
              <w:jc w:val="left"/>
              <w:rPr>
                <w:i/>
                <w:sz w:val="19"/>
              </w:rPr>
            </w:pPr>
          </w:p>
          <w:p w:rsidR="006C17CB" w:rsidRDefault="0030091C">
            <w:pPr>
              <w:pStyle w:val="TableParagraph"/>
              <w:spacing w:before="1" w:line="184" w:lineRule="auto"/>
              <w:ind w:left="144" w:right="65" w:firstLine="124"/>
              <w:jc w:val="both"/>
              <w:rPr>
                <w:b/>
                <w:sz w:val="18"/>
              </w:rPr>
            </w:pPr>
            <w:r>
              <w:rPr>
                <w:b/>
                <w:sz w:val="18"/>
              </w:rPr>
              <w:t>Variance between 2016-2017</w:t>
            </w:r>
          </w:p>
          <w:p w:rsidR="006C17CB" w:rsidRDefault="0030091C">
            <w:pPr>
              <w:pStyle w:val="TableParagraph"/>
              <w:spacing w:line="184" w:lineRule="auto"/>
              <w:ind w:left="152" w:right="31" w:firstLine="493"/>
              <w:jc w:val="left"/>
              <w:rPr>
                <w:b/>
                <w:sz w:val="18"/>
              </w:rPr>
            </w:pPr>
            <w:r>
              <w:rPr>
                <w:b/>
                <w:sz w:val="18"/>
              </w:rPr>
              <w:t>and 2017-2018</w:t>
            </w:r>
          </w:p>
        </w:tc>
        <w:tc>
          <w:tcPr>
            <w:tcW w:w="1044" w:type="dxa"/>
            <w:tcBorders>
              <w:top w:val="nil"/>
              <w:bottom w:val="nil"/>
              <w:right w:val="nil"/>
            </w:tcBorders>
            <w:shd w:val="clear" w:color="auto" w:fill="89A7D7"/>
          </w:tcPr>
          <w:p w:rsidR="006C17CB" w:rsidRDefault="0030091C">
            <w:pPr>
              <w:pStyle w:val="TableParagraph"/>
              <w:spacing w:before="84" w:line="184" w:lineRule="auto"/>
              <w:ind w:left="169" w:right="74" w:hanging="68"/>
              <w:jc w:val="both"/>
              <w:rPr>
                <w:b/>
                <w:sz w:val="18"/>
              </w:rPr>
            </w:pPr>
            <w:r>
              <w:rPr>
                <w:b/>
                <w:sz w:val="18"/>
              </w:rPr>
              <w:t>Percentage variance between 2016-2017</w:t>
            </w:r>
          </w:p>
          <w:p w:rsidR="006C17CB" w:rsidRDefault="0030091C">
            <w:pPr>
              <w:pStyle w:val="TableParagraph"/>
              <w:spacing w:before="1" w:line="184" w:lineRule="auto"/>
              <w:ind w:left="177" w:right="36" w:firstLine="493"/>
              <w:jc w:val="left"/>
              <w:rPr>
                <w:b/>
                <w:sz w:val="18"/>
              </w:rPr>
            </w:pPr>
            <w:r>
              <w:rPr>
                <w:b/>
                <w:sz w:val="18"/>
              </w:rPr>
              <w:t>and 2017-2018</w:t>
            </w:r>
          </w:p>
        </w:tc>
      </w:tr>
      <w:tr w:rsidR="006C17CB">
        <w:trPr>
          <w:trHeight w:val="556"/>
        </w:trPr>
        <w:tc>
          <w:tcPr>
            <w:tcW w:w="3356" w:type="dxa"/>
            <w:tcBorders>
              <w:top w:val="nil"/>
              <w:left w:val="nil"/>
              <w:bottom w:val="single" w:sz="4" w:space="0" w:color="000000"/>
              <w:right w:val="single" w:sz="4" w:space="0" w:color="DADADA"/>
            </w:tcBorders>
          </w:tcPr>
          <w:p w:rsidR="006C17CB" w:rsidRDefault="0030091C">
            <w:pPr>
              <w:pStyle w:val="TableParagraph"/>
              <w:spacing w:line="239" w:lineRule="exact"/>
              <w:ind w:left="79"/>
              <w:jc w:val="left"/>
              <w:rPr>
                <w:sz w:val="18"/>
              </w:rPr>
            </w:pPr>
            <w:r>
              <w:rPr>
                <w:sz w:val="18"/>
              </w:rPr>
              <w:t>Office greenhouse gas emissions (electricity</w:t>
            </w:r>
          </w:p>
          <w:p w:rsidR="006C17CB" w:rsidRDefault="0030091C">
            <w:pPr>
              <w:pStyle w:val="TableParagraph"/>
              <w:spacing w:line="240" w:lineRule="exact"/>
              <w:ind w:left="79"/>
              <w:jc w:val="left"/>
              <w:rPr>
                <w:sz w:val="18"/>
              </w:rPr>
            </w:pPr>
            <w:r>
              <w:rPr>
                <w:sz w:val="18"/>
              </w:rPr>
              <w:t>+ gas)</w:t>
            </w:r>
          </w:p>
        </w:tc>
        <w:tc>
          <w:tcPr>
            <w:tcW w:w="1066" w:type="dxa"/>
            <w:tcBorders>
              <w:top w:val="nil"/>
              <w:left w:val="single" w:sz="4" w:space="0" w:color="DADADA"/>
              <w:bottom w:val="single" w:sz="4" w:space="0" w:color="000000"/>
              <w:right w:val="single" w:sz="4" w:space="0" w:color="DADADA"/>
            </w:tcBorders>
          </w:tcPr>
          <w:p w:rsidR="006C17CB" w:rsidRDefault="0030091C">
            <w:pPr>
              <w:pStyle w:val="TableParagraph"/>
              <w:spacing w:before="30" w:line="204" w:lineRule="auto"/>
              <w:ind w:left="75" w:right="93"/>
              <w:jc w:val="left"/>
              <w:rPr>
                <w:sz w:val="18"/>
              </w:rPr>
            </w:pPr>
            <w:r>
              <w:rPr>
                <w:sz w:val="18"/>
              </w:rPr>
              <w:t>Tonnes CO</w:t>
            </w:r>
            <w:r>
              <w:rPr>
                <w:position w:val="-3"/>
                <w:sz w:val="14"/>
              </w:rPr>
              <w:t>2</w:t>
            </w:r>
            <w:r>
              <w:rPr>
                <w:sz w:val="18"/>
              </w:rPr>
              <w:t>e</w:t>
            </w:r>
          </w:p>
        </w:tc>
        <w:tc>
          <w:tcPr>
            <w:tcW w:w="1043"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711.13</w:t>
            </w:r>
          </w:p>
        </w:tc>
        <w:tc>
          <w:tcPr>
            <w:tcW w:w="1088"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646.79</w:t>
            </w:r>
          </w:p>
        </w:tc>
        <w:tc>
          <w:tcPr>
            <w:tcW w:w="1009"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542.50</w:t>
            </w:r>
          </w:p>
        </w:tc>
        <w:tc>
          <w:tcPr>
            <w:tcW w:w="1020"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-104.29</w:t>
            </w:r>
          </w:p>
        </w:tc>
        <w:tc>
          <w:tcPr>
            <w:tcW w:w="1044" w:type="dxa"/>
            <w:tcBorders>
              <w:top w:val="nil"/>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-16.12%</w:t>
            </w:r>
          </w:p>
        </w:tc>
      </w:tr>
      <w:tr w:rsidR="006C17CB">
        <w:trPr>
          <w:trHeight w:val="556"/>
        </w:trPr>
        <w:tc>
          <w:tcPr>
            <w:tcW w:w="3356"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Greenhouse gas emissions from fleet</w:t>
            </w:r>
          </w:p>
        </w:tc>
        <w:tc>
          <w:tcPr>
            <w:tcW w:w="106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30" w:line="204" w:lineRule="auto"/>
              <w:ind w:left="75" w:right="93"/>
              <w:jc w:val="left"/>
              <w:rPr>
                <w:sz w:val="18"/>
              </w:rPr>
            </w:pPr>
            <w:r>
              <w:rPr>
                <w:sz w:val="18"/>
              </w:rPr>
              <w:t>Tonnes CO</w:t>
            </w:r>
            <w:r>
              <w:rPr>
                <w:position w:val="-3"/>
                <w:sz w:val="14"/>
              </w:rPr>
              <w:t>2</w:t>
            </w:r>
            <w:r>
              <w:rPr>
                <w:sz w:val="18"/>
              </w:rPr>
              <w:t>e</w:t>
            </w:r>
          </w:p>
        </w:tc>
        <w:tc>
          <w:tcPr>
            <w:tcW w:w="104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14.40</w:t>
            </w:r>
          </w:p>
        </w:tc>
        <w:tc>
          <w:tcPr>
            <w:tcW w:w="108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3.01</w:t>
            </w:r>
          </w:p>
        </w:tc>
        <w:tc>
          <w:tcPr>
            <w:tcW w:w="100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3.19</w:t>
            </w:r>
          </w:p>
        </w:tc>
        <w:tc>
          <w:tcPr>
            <w:tcW w:w="102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0.18</w:t>
            </w:r>
          </w:p>
        </w:tc>
        <w:tc>
          <w:tcPr>
            <w:tcW w:w="1044"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6.10%</w:t>
            </w:r>
          </w:p>
        </w:tc>
      </w:tr>
      <w:tr w:rsidR="006C17CB">
        <w:trPr>
          <w:trHeight w:val="556"/>
        </w:trPr>
        <w:tc>
          <w:tcPr>
            <w:tcW w:w="3356" w:type="dxa"/>
            <w:tcBorders>
              <w:top w:val="single" w:sz="4" w:space="0" w:color="000000"/>
              <w:left w:val="nil"/>
              <w:bottom w:val="single" w:sz="4" w:space="0" w:color="000000"/>
              <w:right w:val="single" w:sz="4" w:space="0" w:color="DADADA"/>
            </w:tcBorders>
          </w:tcPr>
          <w:p w:rsidR="006C17CB" w:rsidRDefault="0030091C">
            <w:pPr>
              <w:pStyle w:val="TableParagraph"/>
              <w:spacing w:line="239" w:lineRule="exact"/>
              <w:ind w:left="79"/>
              <w:jc w:val="left"/>
              <w:rPr>
                <w:sz w:val="18"/>
              </w:rPr>
            </w:pPr>
            <w:r>
              <w:rPr>
                <w:sz w:val="18"/>
              </w:rPr>
              <w:t>Total greenhouse gas emissions (electricity</w:t>
            </w:r>
          </w:p>
          <w:p w:rsidR="006C17CB" w:rsidRDefault="0030091C">
            <w:pPr>
              <w:pStyle w:val="TableParagraph"/>
              <w:spacing w:line="240" w:lineRule="exact"/>
              <w:ind w:left="79"/>
              <w:jc w:val="left"/>
              <w:rPr>
                <w:sz w:val="18"/>
              </w:rPr>
            </w:pPr>
            <w:r>
              <w:rPr>
                <w:sz w:val="18"/>
              </w:rPr>
              <w:t>+ gas + fleet)</w:t>
            </w:r>
          </w:p>
        </w:tc>
        <w:tc>
          <w:tcPr>
            <w:tcW w:w="106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30" w:line="204" w:lineRule="auto"/>
              <w:ind w:left="75" w:right="93"/>
              <w:jc w:val="left"/>
              <w:rPr>
                <w:sz w:val="18"/>
              </w:rPr>
            </w:pPr>
            <w:r>
              <w:rPr>
                <w:sz w:val="18"/>
              </w:rPr>
              <w:t>Tonnes CO</w:t>
            </w:r>
            <w:r>
              <w:rPr>
                <w:position w:val="-3"/>
                <w:sz w:val="14"/>
              </w:rPr>
              <w:t>2</w:t>
            </w:r>
            <w:r>
              <w:rPr>
                <w:sz w:val="18"/>
              </w:rPr>
              <w:t>e</w:t>
            </w:r>
          </w:p>
        </w:tc>
        <w:tc>
          <w:tcPr>
            <w:tcW w:w="104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725.53</w:t>
            </w:r>
          </w:p>
        </w:tc>
        <w:tc>
          <w:tcPr>
            <w:tcW w:w="108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649.80</w:t>
            </w:r>
          </w:p>
        </w:tc>
        <w:tc>
          <w:tcPr>
            <w:tcW w:w="100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545.69</w:t>
            </w:r>
          </w:p>
        </w:tc>
        <w:tc>
          <w:tcPr>
            <w:tcW w:w="102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-104.11</w:t>
            </w:r>
          </w:p>
        </w:tc>
        <w:tc>
          <w:tcPr>
            <w:tcW w:w="1044"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-16.02%</w:t>
            </w:r>
          </w:p>
        </w:tc>
      </w:tr>
    </w:tbl>
    <w:p w:rsidR="006C17CB" w:rsidRDefault="006C17CB">
      <w:pPr>
        <w:spacing w:line="258" w:lineRule="exact"/>
        <w:rPr>
          <w:sz w:val="18"/>
        </w:rPr>
        <w:sectPr w:rsidR="006C17CB">
          <w:headerReference w:type="even" r:id="rId83"/>
          <w:headerReference w:type="default" r:id="rId84"/>
          <w:pgSz w:w="11910" w:h="16840"/>
          <w:pgMar w:top="2760" w:right="0" w:bottom="740" w:left="980" w:header="2551" w:footer="551" w:gutter="0"/>
          <w:cols w:space="720"/>
        </w:sectPr>
      </w:pPr>
    </w:p>
    <w:p w:rsidR="006C17CB" w:rsidRDefault="00FE24A7">
      <w:pPr>
        <w:pStyle w:val="BodyText"/>
        <w:spacing w:before="8"/>
        <w:rPr>
          <w:rFonts w:ascii="Calibri"/>
          <w:i/>
          <w:sz w:val="9"/>
        </w:rPr>
      </w:pPr>
      <w:r>
        <w:pict>
          <v:shape id="_x0000_s1502" alt="" style="position:absolute;margin-left:595.3pt;margin-top:788pt;width:.1pt;height:1.65pt;z-index:1528;mso-wrap-edited:f;mso-width-percent:0;mso-height-percent:0;mso-position-horizontal-relative:page;mso-position-vertical-relative:page;mso-width-percent:0;mso-height-percent:0" coordsize="1270,33" path="m,32l,,,32xe" fillcolor="#7098d0" stroked="f">
            <v:path arrowok="t" o:connecttype="custom" o:connectlocs="0,2147483646;0,2147483646;0,2147483646" o:connectangles="0,0,0"/>
            <w10:wrap anchorx="page" anchory="page"/>
          </v:shape>
        </w:pict>
      </w:r>
      <w:r>
        <w:pict>
          <v:shape id="_x0000_s1501" alt="" style="position:absolute;margin-left:595.3pt;margin-top:828.45pt;width:.1pt;height:13.15pt;z-index:1552;mso-wrap-edited:f;mso-width-percent:0;mso-height-percent:0;mso-position-horizontal-relative:page;mso-position-vertical-relative:page;mso-width-percent:0;mso-height-percent:0" coordsize="1270,263" path="m,262l,,,262xe" fillcolor="#7098d0" stroked="f">
            <v:path arrowok="t" o:connecttype="custom" o:connectlocs="0,2147483646;0,2147483646;0,2147483646" o:connectangles="0,0,0"/>
            <w10:wrap anchorx="page" anchory="page"/>
          </v:shape>
        </w:pict>
      </w: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3163"/>
        <w:gridCol w:w="1462"/>
        <w:gridCol w:w="974"/>
        <w:gridCol w:w="974"/>
        <w:gridCol w:w="985"/>
        <w:gridCol w:w="985"/>
        <w:gridCol w:w="1064"/>
      </w:tblGrid>
      <w:tr w:rsidR="006C17CB">
        <w:trPr>
          <w:trHeight w:val="1360"/>
        </w:trPr>
        <w:tc>
          <w:tcPr>
            <w:tcW w:w="3163" w:type="dxa"/>
            <w:tcBorders>
              <w:top w:val="nil"/>
              <w:left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9"/>
              <w:jc w:val="left"/>
              <w:rPr>
                <w:b/>
                <w:sz w:val="18"/>
              </w:rPr>
            </w:pPr>
            <w:r>
              <w:rPr>
                <w:b/>
                <w:sz w:val="18"/>
              </w:rPr>
              <w:t>Indicator</w:t>
            </w:r>
          </w:p>
        </w:tc>
        <w:tc>
          <w:tcPr>
            <w:tcW w:w="1462"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spacing w:before="12"/>
              <w:jc w:val="left"/>
              <w:rPr>
                <w:i/>
                <w:sz w:val="17"/>
              </w:rPr>
            </w:pPr>
          </w:p>
          <w:p w:rsidR="006C17CB" w:rsidRDefault="0030091C">
            <w:pPr>
              <w:pStyle w:val="TableParagraph"/>
              <w:ind w:left="70"/>
              <w:jc w:val="left"/>
              <w:rPr>
                <w:b/>
                <w:sz w:val="18"/>
              </w:rPr>
            </w:pPr>
            <w:r>
              <w:rPr>
                <w:b/>
                <w:sz w:val="18"/>
              </w:rPr>
              <w:t>Unit</w:t>
            </w:r>
          </w:p>
        </w:tc>
        <w:tc>
          <w:tcPr>
            <w:tcW w:w="974"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96"/>
              <w:jc w:val="left"/>
              <w:rPr>
                <w:b/>
                <w:sz w:val="18"/>
              </w:rPr>
            </w:pPr>
            <w:r>
              <w:rPr>
                <w:b/>
                <w:sz w:val="18"/>
              </w:rPr>
              <w:t>2015-2016</w:t>
            </w:r>
          </w:p>
          <w:p w:rsidR="006C17CB" w:rsidRDefault="0030091C">
            <w:pPr>
              <w:pStyle w:val="TableParagraph"/>
              <w:spacing w:line="230" w:lineRule="exact"/>
              <w:ind w:left="447"/>
              <w:jc w:val="left"/>
              <w:rPr>
                <w:b/>
                <w:sz w:val="18"/>
              </w:rPr>
            </w:pPr>
            <w:r>
              <w:rPr>
                <w:b/>
                <w:sz w:val="18"/>
              </w:rPr>
              <w:t>result</w:t>
            </w:r>
          </w:p>
        </w:tc>
        <w:tc>
          <w:tcPr>
            <w:tcW w:w="974"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00"/>
              <w:jc w:val="left"/>
              <w:rPr>
                <w:b/>
                <w:sz w:val="18"/>
              </w:rPr>
            </w:pPr>
            <w:r>
              <w:rPr>
                <w:b/>
                <w:sz w:val="18"/>
              </w:rPr>
              <w:t>2016-2017</w:t>
            </w:r>
          </w:p>
          <w:p w:rsidR="006C17CB" w:rsidRDefault="0030091C">
            <w:pPr>
              <w:pStyle w:val="TableParagraph"/>
              <w:spacing w:line="230" w:lineRule="exact"/>
              <w:ind w:left="448"/>
              <w:jc w:val="left"/>
              <w:rPr>
                <w:b/>
                <w:sz w:val="18"/>
              </w:rPr>
            </w:pPr>
            <w:r>
              <w:rPr>
                <w:b/>
                <w:sz w:val="18"/>
              </w:rPr>
              <w:t>result</w:t>
            </w:r>
          </w:p>
        </w:tc>
        <w:tc>
          <w:tcPr>
            <w:tcW w:w="985" w:type="dxa"/>
            <w:tcBorders>
              <w:top w:val="nil"/>
              <w:bottom w:val="nil"/>
            </w:tcBorders>
            <w:shd w:val="clear" w:color="auto" w:fill="89A7D7"/>
          </w:tcPr>
          <w:p w:rsidR="006C17CB" w:rsidRDefault="006C17CB">
            <w:pPr>
              <w:pStyle w:val="TableParagraph"/>
              <w:jc w:val="left"/>
              <w:rPr>
                <w:i/>
                <w:sz w:val="18"/>
              </w:rPr>
            </w:pPr>
          </w:p>
          <w:p w:rsidR="006C17CB" w:rsidRDefault="006C17CB">
            <w:pPr>
              <w:pStyle w:val="TableParagraph"/>
              <w:jc w:val="left"/>
              <w:rPr>
                <w:i/>
                <w:sz w:val="18"/>
              </w:rPr>
            </w:pPr>
          </w:p>
          <w:p w:rsidR="006C17CB" w:rsidRDefault="006C17CB">
            <w:pPr>
              <w:pStyle w:val="TableParagraph"/>
              <w:jc w:val="left"/>
              <w:rPr>
                <w:i/>
              </w:rPr>
            </w:pPr>
          </w:p>
          <w:p w:rsidR="006C17CB" w:rsidRDefault="0030091C">
            <w:pPr>
              <w:pStyle w:val="TableParagraph"/>
              <w:spacing w:line="230" w:lineRule="exact"/>
              <w:ind w:left="121"/>
              <w:jc w:val="left"/>
              <w:rPr>
                <w:b/>
                <w:sz w:val="18"/>
              </w:rPr>
            </w:pPr>
            <w:r>
              <w:rPr>
                <w:b/>
                <w:sz w:val="18"/>
              </w:rPr>
              <w:t>2017-2018</w:t>
            </w:r>
          </w:p>
          <w:p w:rsidR="006C17CB" w:rsidRDefault="0030091C">
            <w:pPr>
              <w:pStyle w:val="TableParagraph"/>
              <w:spacing w:line="230" w:lineRule="exact"/>
              <w:ind w:left="461"/>
              <w:jc w:val="left"/>
              <w:rPr>
                <w:b/>
                <w:sz w:val="18"/>
              </w:rPr>
            </w:pPr>
            <w:r>
              <w:rPr>
                <w:b/>
                <w:sz w:val="18"/>
              </w:rPr>
              <w:t>result</w:t>
            </w:r>
          </w:p>
        </w:tc>
        <w:tc>
          <w:tcPr>
            <w:tcW w:w="985" w:type="dxa"/>
            <w:tcBorders>
              <w:top w:val="nil"/>
              <w:bottom w:val="nil"/>
            </w:tcBorders>
            <w:shd w:val="clear" w:color="auto" w:fill="89A7D7"/>
          </w:tcPr>
          <w:p w:rsidR="006C17CB" w:rsidRDefault="006C17CB">
            <w:pPr>
              <w:pStyle w:val="TableParagraph"/>
              <w:spacing w:before="10"/>
              <w:jc w:val="left"/>
              <w:rPr>
                <w:i/>
                <w:sz w:val="19"/>
              </w:rPr>
            </w:pPr>
          </w:p>
          <w:p w:rsidR="006C17CB" w:rsidRDefault="0030091C">
            <w:pPr>
              <w:pStyle w:val="TableParagraph"/>
              <w:spacing w:before="1" w:line="184" w:lineRule="auto"/>
              <w:ind w:left="114" w:right="60" w:firstLine="124"/>
              <w:jc w:val="both"/>
              <w:rPr>
                <w:b/>
                <w:sz w:val="18"/>
              </w:rPr>
            </w:pPr>
            <w:r>
              <w:rPr>
                <w:b/>
                <w:sz w:val="18"/>
              </w:rPr>
              <w:t>Variance between 2016-2017</w:t>
            </w:r>
          </w:p>
          <w:p w:rsidR="006C17CB" w:rsidRDefault="0030091C">
            <w:pPr>
              <w:pStyle w:val="TableParagraph"/>
              <w:spacing w:line="184" w:lineRule="auto"/>
              <w:ind w:left="123" w:right="28" w:firstLine="493"/>
              <w:jc w:val="left"/>
              <w:rPr>
                <w:b/>
                <w:sz w:val="18"/>
              </w:rPr>
            </w:pPr>
            <w:r>
              <w:rPr>
                <w:b/>
                <w:sz w:val="18"/>
              </w:rPr>
              <w:t>and 2017-2018</w:t>
            </w:r>
          </w:p>
        </w:tc>
        <w:tc>
          <w:tcPr>
            <w:tcW w:w="1064" w:type="dxa"/>
            <w:tcBorders>
              <w:top w:val="nil"/>
              <w:bottom w:val="nil"/>
              <w:right w:val="nil"/>
            </w:tcBorders>
            <w:shd w:val="clear" w:color="auto" w:fill="89A7D7"/>
          </w:tcPr>
          <w:p w:rsidR="006C17CB" w:rsidRDefault="0030091C">
            <w:pPr>
              <w:pStyle w:val="TableParagraph"/>
              <w:spacing w:before="84" w:line="184" w:lineRule="auto"/>
              <w:ind w:left="195" w:right="68" w:hanging="68"/>
              <w:jc w:val="both"/>
              <w:rPr>
                <w:b/>
                <w:sz w:val="18"/>
              </w:rPr>
            </w:pPr>
            <w:r>
              <w:rPr>
                <w:b/>
                <w:sz w:val="18"/>
              </w:rPr>
              <w:t>Percentage variance between 2016-2017</w:t>
            </w:r>
          </w:p>
          <w:p w:rsidR="006C17CB" w:rsidRDefault="0030091C">
            <w:pPr>
              <w:pStyle w:val="TableParagraph"/>
              <w:spacing w:before="1" w:line="184" w:lineRule="auto"/>
              <w:ind w:left="204" w:right="32" w:firstLine="493"/>
              <w:jc w:val="left"/>
              <w:rPr>
                <w:b/>
                <w:sz w:val="18"/>
              </w:rPr>
            </w:pPr>
            <w:r>
              <w:rPr>
                <w:b/>
                <w:sz w:val="18"/>
              </w:rPr>
              <w:t>and 2017-2018</w:t>
            </w:r>
          </w:p>
        </w:tc>
      </w:tr>
      <w:tr w:rsidR="006C17CB">
        <w:trPr>
          <w:trHeight w:val="505"/>
        </w:trPr>
        <w:tc>
          <w:tcPr>
            <w:tcW w:w="3163" w:type="dxa"/>
            <w:tcBorders>
              <w:top w:val="nil"/>
              <w:left w:val="nil"/>
              <w:bottom w:val="single" w:sz="4" w:space="0" w:color="000000"/>
              <w:right w:val="single" w:sz="4" w:space="0" w:color="DADADA"/>
            </w:tcBorders>
          </w:tcPr>
          <w:p w:rsidR="006C17CB" w:rsidRDefault="0030091C">
            <w:pPr>
              <w:pStyle w:val="TableParagraph"/>
              <w:spacing w:line="238" w:lineRule="exact"/>
              <w:ind w:left="80"/>
              <w:jc w:val="left"/>
              <w:rPr>
                <w:sz w:val="18"/>
              </w:rPr>
            </w:pPr>
            <w:r>
              <w:rPr>
                <w:sz w:val="18"/>
              </w:rPr>
              <w:t>Total emissions per person (electricity</w:t>
            </w:r>
          </w:p>
          <w:p w:rsidR="006C17CB" w:rsidRDefault="0030091C">
            <w:pPr>
              <w:pStyle w:val="TableParagraph"/>
              <w:spacing w:line="240" w:lineRule="exact"/>
              <w:ind w:left="80"/>
              <w:jc w:val="left"/>
              <w:rPr>
                <w:sz w:val="18"/>
              </w:rPr>
            </w:pPr>
            <w:r>
              <w:rPr>
                <w:sz w:val="18"/>
              </w:rPr>
              <w:t>+ gas)</w:t>
            </w:r>
          </w:p>
        </w:tc>
        <w:tc>
          <w:tcPr>
            <w:tcW w:w="1462" w:type="dxa"/>
            <w:tcBorders>
              <w:top w:val="nil"/>
              <w:left w:val="single" w:sz="4" w:space="0" w:color="DADADA"/>
              <w:bottom w:val="single" w:sz="4" w:space="0" w:color="000000"/>
              <w:right w:val="single" w:sz="4" w:space="0" w:color="DADADA"/>
            </w:tcBorders>
          </w:tcPr>
          <w:p w:rsidR="006C17CB" w:rsidRDefault="0030091C">
            <w:pPr>
              <w:pStyle w:val="TableParagraph"/>
              <w:spacing w:line="287" w:lineRule="exact"/>
              <w:ind w:left="75"/>
              <w:jc w:val="left"/>
              <w:rPr>
                <w:sz w:val="18"/>
              </w:rPr>
            </w:pPr>
            <w:r>
              <w:rPr>
                <w:sz w:val="18"/>
              </w:rPr>
              <w:t>Tonnes CO</w:t>
            </w:r>
            <w:r>
              <w:rPr>
                <w:position w:val="-3"/>
                <w:sz w:val="14"/>
              </w:rPr>
              <w:t>2</w:t>
            </w:r>
            <w:r>
              <w:rPr>
                <w:sz w:val="18"/>
              </w:rPr>
              <w:t>e / FTE</w:t>
            </w:r>
          </w:p>
        </w:tc>
        <w:tc>
          <w:tcPr>
            <w:tcW w:w="974"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0"/>
              <w:rPr>
                <w:sz w:val="18"/>
              </w:rPr>
            </w:pPr>
            <w:r>
              <w:rPr>
                <w:sz w:val="18"/>
              </w:rPr>
              <w:t>4.87</w:t>
            </w:r>
          </w:p>
        </w:tc>
        <w:tc>
          <w:tcPr>
            <w:tcW w:w="974"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69"/>
              <w:rPr>
                <w:sz w:val="18"/>
              </w:rPr>
            </w:pPr>
            <w:r>
              <w:rPr>
                <w:sz w:val="18"/>
              </w:rPr>
              <w:t>3.86</w:t>
            </w:r>
          </w:p>
        </w:tc>
        <w:tc>
          <w:tcPr>
            <w:tcW w:w="985"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68"/>
              <w:rPr>
                <w:sz w:val="18"/>
              </w:rPr>
            </w:pPr>
            <w:r>
              <w:rPr>
                <w:sz w:val="18"/>
              </w:rPr>
              <w:t>3.26</w:t>
            </w:r>
          </w:p>
        </w:tc>
        <w:tc>
          <w:tcPr>
            <w:tcW w:w="985"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67"/>
              <w:rPr>
                <w:sz w:val="18"/>
              </w:rPr>
            </w:pPr>
            <w:r>
              <w:rPr>
                <w:sz w:val="18"/>
              </w:rPr>
              <w:t>-0.60</w:t>
            </w:r>
          </w:p>
        </w:tc>
        <w:tc>
          <w:tcPr>
            <w:tcW w:w="1064" w:type="dxa"/>
            <w:tcBorders>
              <w:top w:val="nil"/>
              <w:left w:val="single" w:sz="4" w:space="0" w:color="DADADA"/>
              <w:bottom w:val="single" w:sz="4" w:space="0" w:color="000000"/>
              <w:right w:val="nil"/>
            </w:tcBorders>
          </w:tcPr>
          <w:p w:rsidR="006C17CB" w:rsidRDefault="0030091C">
            <w:pPr>
              <w:pStyle w:val="TableParagraph"/>
              <w:spacing w:line="258" w:lineRule="exact"/>
              <w:ind w:right="70"/>
              <w:rPr>
                <w:sz w:val="18"/>
              </w:rPr>
            </w:pPr>
            <w:r>
              <w:rPr>
                <w:sz w:val="18"/>
              </w:rPr>
              <w:t>-15.57%</w:t>
            </w:r>
          </w:p>
        </w:tc>
      </w:tr>
      <w:tr w:rsidR="006C17CB">
        <w:trPr>
          <w:trHeight w:val="330"/>
        </w:trPr>
        <w:tc>
          <w:tcPr>
            <w:tcW w:w="3163" w:type="dxa"/>
            <w:tcBorders>
              <w:top w:val="single" w:sz="4" w:space="0" w:color="000000"/>
              <w:left w:val="nil"/>
              <w:bottom w:val="single" w:sz="4" w:space="0" w:color="000000"/>
              <w:right w:val="single" w:sz="4" w:space="0" w:color="DADADA"/>
            </w:tcBorders>
          </w:tcPr>
          <w:p w:rsidR="006C17CB" w:rsidRDefault="0030091C">
            <w:pPr>
              <w:pStyle w:val="TableParagraph"/>
              <w:spacing w:before="21"/>
              <w:ind w:left="79"/>
              <w:jc w:val="left"/>
              <w:rPr>
                <w:sz w:val="18"/>
              </w:rPr>
            </w:pPr>
            <w:r>
              <w:rPr>
                <w:sz w:val="18"/>
              </w:rPr>
              <w:t>Building energy emissions per office area</w:t>
            </w:r>
          </w:p>
        </w:tc>
        <w:tc>
          <w:tcPr>
            <w:tcW w:w="14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21"/>
              <w:ind w:left="75"/>
              <w:jc w:val="left"/>
              <w:rPr>
                <w:sz w:val="10"/>
              </w:rPr>
            </w:pPr>
            <w:r>
              <w:rPr>
                <w:sz w:val="18"/>
              </w:rPr>
              <w:t>Tonnes CO</w:t>
            </w:r>
            <w:r>
              <w:rPr>
                <w:position w:val="-3"/>
                <w:sz w:val="14"/>
              </w:rPr>
              <w:t>2</w:t>
            </w:r>
            <w:r>
              <w:rPr>
                <w:sz w:val="18"/>
              </w:rPr>
              <w:t>e / m</w:t>
            </w:r>
            <w:r>
              <w:rPr>
                <w:position w:val="6"/>
                <w:sz w:val="10"/>
              </w:rPr>
              <w:t>2</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21"/>
              <w:ind w:right="70"/>
              <w:rPr>
                <w:sz w:val="18"/>
              </w:rPr>
            </w:pPr>
            <w:r>
              <w:rPr>
                <w:sz w:val="18"/>
              </w:rPr>
              <w:t>0.0956</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21"/>
              <w:ind w:right="69"/>
              <w:rPr>
                <w:sz w:val="18"/>
              </w:rPr>
            </w:pPr>
            <w:r>
              <w:rPr>
                <w:sz w:val="18"/>
              </w:rPr>
              <w:t>0.0870</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21"/>
              <w:ind w:right="68"/>
              <w:rPr>
                <w:sz w:val="18"/>
              </w:rPr>
            </w:pPr>
            <w:r>
              <w:rPr>
                <w:sz w:val="18"/>
              </w:rPr>
              <w:t>0.0729</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21"/>
              <w:ind w:right="67"/>
              <w:rPr>
                <w:sz w:val="18"/>
              </w:rPr>
            </w:pPr>
            <w:r>
              <w:rPr>
                <w:sz w:val="18"/>
              </w:rPr>
              <w:t>-0.0140</w:t>
            </w:r>
          </w:p>
        </w:tc>
        <w:tc>
          <w:tcPr>
            <w:tcW w:w="1064" w:type="dxa"/>
            <w:tcBorders>
              <w:top w:val="single" w:sz="4" w:space="0" w:color="000000"/>
              <w:left w:val="single" w:sz="4" w:space="0" w:color="DADADA"/>
              <w:bottom w:val="single" w:sz="4" w:space="0" w:color="000000"/>
              <w:right w:val="nil"/>
            </w:tcBorders>
          </w:tcPr>
          <w:p w:rsidR="006C17CB" w:rsidRDefault="0030091C">
            <w:pPr>
              <w:pStyle w:val="TableParagraph"/>
              <w:spacing w:before="21"/>
              <w:ind w:right="70"/>
              <w:rPr>
                <w:sz w:val="18"/>
              </w:rPr>
            </w:pPr>
            <w:r>
              <w:rPr>
                <w:sz w:val="18"/>
              </w:rPr>
              <w:t>-16.12%</w:t>
            </w:r>
          </w:p>
        </w:tc>
      </w:tr>
      <w:tr w:rsidR="006C17CB">
        <w:trPr>
          <w:trHeight w:val="505"/>
        </w:trPr>
        <w:tc>
          <w:tcPr>
            <w:tcW w:w="3163"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jc w:val="left"/>
              <w:rPr>
                <w:sz w:val="18"/>
              </w:rPr>
            </w:pPr>
            <w:r>
              <w:rPr>
                <w:sz w:val="18"/>
              </w:rPr>
              <w:t>Building energy emissions per total floor space</w:t>
            </w:r>
          </w:p>
        </w:tc>
        <w:tc>
          <w:tcPr>
            <w:tcW w:w="14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88" w:lineRule="exact"/>
              <w:ind w:left="75"/>
              <w:jc w:val="left"/>
              <w:rPr>
                <w:sz w:val="10"/>
              </w:rPr>
            </w:pPr>
            <w:r>
              <w:rPr>
                <w:sz w:val="18"/>
              </w:rPr>
              <w:t>Tonnes CO</w:t>
            </w:r>
            <w:r>
              <w:rPr>
                <w:position w:val="-3"/>
                <w:sz w:val="14"/>
              </w:rPr>
              <w:t>2</w:t>
            </w:r>
            <w:r>
              <w:rPr>
                <w:sz w:val="18"/>
              </w:rPr>
              <w:t>e / m</w:t>
            </w:r>
            <w:r>
              <w:rPr>
                <w:position w:val="6"/>
                <w:sz w:val="10"/>
              </w:rPr>
              <w:t>2</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0"/>
              <w:rPr>
                <w:sz w:val="18"/>
              </w:rPr>
            </w:pPr>
            <w:r>
              <w:rPr>
                <w:sz w:val="18"/>
              </w:rPr>
              <w:t>0.0956</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9"/>
              <w:rPr>
                <w:sz w:val="18"/>
              </w:rPr>
            </w:pPr>
            <w:r>
              <w:rPr>
                <w:sz w:val="18"/>
              </w:rPr>
              <w:t>0.0870</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8"/>
              <w:rPr>
                <w:sz w:val="18"/>
              </w:rPr>
            </w:pPr>
            <w:r>
              <w:rPr>
                <w:sz w:val="18"/>
              </w:rPr>
              <w:t>0.0729</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7"/>
              <w:rPr>
                <w:sz w:val="18"/>
              </w:rPr>
            </w:pPr>
            <w:r>
              <w:rPr>
                <w:sz w:val="18"/>
              </w:rPr>
              <w:t>-0.0140</w:t>
            </w:r>
          </w:p>
        </w:tc>
        <w:tc>
          <w:tcPr>
            <w:tcW w:w="1064"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0"/>
              <w:rPr>
                <w:sz w:val="18"/>
              </w:rPr>
            </w:pPr>
            <w:r>
              <w:rPr>
                <w:sz w:val="18"/>
              </w:rPr>
              <w:t>-16.12%</w:t>
            </w:r>
          </w:p>
        </w:tc>
      </w:tr>
      <w:tr w:rsidR="006C17CB">
        <w:trPr>
          <w:trHeight w:val="505"/>
        </w:trPr>
        <w:tc>
          <w:tcPr>
            <w:tcW w:w="3163"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Transport emissions per vehicle</w:t>
            </w:r>
          </w:p>
        </w:tc>
        <w:tc>
          <w:tcPr>
            <w:tcW w:w="14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42" w:line="182" w:lineRule="auto"/>
              <w:ind w:left="75" w:hanging="1"/>
              <w:jc w:val="left"/>
              <w:rPr>
                <w:sz w:val="18"/>
              </w:rPr>
            </w:pPr>
            <w:r>
              <w:rPr>
                <w:sz w:val="18"/>
              </w:rPr>
              <w:t>Tonnes CO</w:t>
            </w:r>
            <w:r>
              <w:rPr>
                <w:position w:val="-3"/>
                <w:sz w:val="14"/>
              </w:rPr>
              <w:t>2</w:t>
            </w:r>
            <w:r>
              <w:rPr>
                <w:sz w:val="18"/>
              </w:rPr>
              <w:t>e / vehicle</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0"/>
              <w:rPr>
                <w:sz w:val="18"/>
              </w:rPr>
            </w:pPr>
            <w:r>
              <w:rPr>
                <w:sz w:val="18"/>
              </w:rPr>
              <w:t>2.88</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9"/>
              <w:rPr>
                <w:sz w:val="18"/>
              </w:rPr>
            </w:pPr>
            <w:r>
              <w:rPr>
                <w:sz w:val="18"/>
              </w:rPr>
              <w:t>3.01</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8"/>
              <w:rPr>
                <w:sz w:val="18"/>
              </w:rPr>
            </w:pPr>
            <w:r>
              <w:rPr>
                <w:sz w:val="18"/>
              </w:rPr>
              <w:t>3.19</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6"/>
              <w:rPr>
                <w:sz w:val="18"/>
              </w:rPr>
            </w:pPr>
            <w:r>
              <w:rPr>
                <w:sz w:val="18"/>
              </w:rPr>
              <w:t>0.18</w:t>
            </w:r>
          </w:p>
        </w:tc>
        <w:tc>
          <w:tcPr>
            <w:tcW w:w="1064"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0"/>
              <w:rPr>
                <w:sz w:val="18"/>
              </w:rPr>
            </w:pPr>
            <w:r>
              <w:rPr>
                <w:sz w:val="18"/>
              </w:rPr>
              <w:t>6.10%</w:t>
            </w:r>
          </w:p>
        </w:tc>
      </w:tr>
      <w:tr w:rsidR="006C17CB">
        <w:trPr>
          <w:trHeight w:val="505"/>
        </w:trPr>
        <w:tc>
          <w:tcPr>
            <w:tcW w:w="3163"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jc w:val="left"/>
              <w:rPr>
                <w:sz w:val="18"/>
              </w:rPr>
            </w:pPr>
            <w:r>
              <w:rPr>
                <w:sz w:val="18"/>
              </w:rPr>
              <w:t>Total emissions per person (electricity + gas + fleet)</w:t>
            </w:r>
          </w:p>
        </w:tc>
        <w:tc>
          <w:tcPr>
            <w:tcW w:w="14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88" w:lineRule="exact"/>
              <w:ind w:left="75"/>
              <w:jc w:val="left"/>
              <w:rPr>
                <w:sz w:val="18"/>
              </w:rPr>
            </w:pPr>
            <w:r>
              <w:rPr>
                <w:sz w:val="18"/>
              </w:rPr>
              <w:t>Tonnes CO</w:t>
            </w:r>
            <w:r>
              <w:rPr>
                <w:position w:val="-3"/>
                <w:sz w:val="14"/>
              </w:rPr>
              <w:t>2</w:t>
            </w:r>
            <w:r>
              <w:rPr>
                <w:sz w:val="18"/>
              </w:rPr>
              <w:t>e / FTE</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0"/>
              <w:rPr>
                <w:sz w:val="18"/>
              </w:rPr>
            </w:pPr>
            <w:r>
              <w:rPr>
                <w:sz w:val="18"/>
              </w:rPr>
              <w:t>4.97</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9"/>
              <w:rPr>
                <w:sz w:val="18"/>
              </w:rPr>
            </w:pPr>
            <w:r>
              <w:rPr>
                <w:sz w:val="18"/>
              </w:rPr>
              <w:t>3.88</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8"/>
              <w:rPr>
                <w:sz w:val="18"/>
              </w:rPr>
            </w:pPr>
            <w:r>
              <w:rPr>
                <w:sz w:val="18"/>
              </w:rPr>
              <w:t>3.28</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7"/>
              <w:rPr>
                <w:sz w:val="18"/>
              </w:rPr>
            </w:pPr>
            <w:r>
              <w:rPr>
                <w:sz w:val="18"/>
              </w:rPr>
              <w:t>-0.60</w:t>
            </w:r>
          </w:p>
        </w:tc>
        <w:tc>
          <w:tcPr>
            <w:tcW w:w="1064"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0"/>
              <w:rPr>
                <w:sz w:val="18"/>
              </w:rPr>
            </w:pPr>
            <w:r>
              <w:rPr>
                <w:sz w:val="18"/>
              </w:rPr>
              <w:t>-15.47%</w:t>
            </w:r>
          </w:p>
        </w:tc>
      </w:tr>
      <w:tr w:rsidR="006C17CB">
        <w:trPr>
          <w:trHeight w:val="330"/>
        </w:trPr>
        <w:tc>
          <w:tcPr>
            <w:tcW w:w="3163"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Direct emissions (scope 1)</w:t>
            </w:r>
          </w:p>
        </w:tc>
        <w:tc>
          <w:tcPr>
            <w:tcW w:w="14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88" w:lineRule="exact"/>
              <w:ind w:left="75"/>
              <w:jc w:val="left"/>
              <w:rPr>
                <w:sz w:val="18"/>
              </w:rPr>
            </w:pPr>
            <w:r>
              <w:rPr>
                <w:sz w:val="18"/>
              </w:rPr>
              <w:t>Tonnes CO</w:t>
            </w:r>
            <w:r>
              <w:rPr>
                <w:position w:val="-3"/>
                <w:sz w:val="14"/>
              </w:rPr>
              <w:t>2</w:t>
            </w:r>
            <w:r>
              <w:rPr>
                <w:sz w:val="18"/>
              </w:rPr>
              <w:t>e</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0"/>
              <w:rPr>
                <w:sz w:val="18"/>
              </w:rPr>
            </w:pPr>
            <w:r>
              <w:rPr>
                <w:sz w:val="18"/>
              </w:rPr>
              <w:t>62.09</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9"/>
              <w:rPr>
                <w:sz w:val="18"/>
              </w:rPr>
            </w:pPr>
            <w:r>
              <w:rPr>
                <w:sz w:val="18"/>
              </w:rPr>
              <w:t>100.12</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8"/>
              <w:rPr>
                <w:sz w:val="18"/>
              </w:rPr>
            </w:pPr>
            <w:r>
              <w:rPr>
                <w:sz w:val="18"/>
              </w:rPr>
              <w:t>100.10</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6"/>
              <w:rPr>
                <w:sz w:val="18"/>
              </w:rPr>
            </w:pPr>
            <w:r>
              <w:rPr>
                <w:sz w:val="18"/>
              </w:rPr>
              <w:t>-0.02</w:t>
            </w:r>
          </w:p>
        </w:tc>
        <w:tc>
          <w:tcPr>
            <w:tcW w:w="1064"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0"/>
              <w:rPr>
                <w:sz w:val="18"/>
              </w:rPr>
            </w:pPr>
            <w:r>
              <w:rPr>
                <w:sz w:val="18"/>
              </w:rPr>
              <w:t>-0.02%</w:t>
            </w:r>
          </w:p>
        </w:tc>
      </w:tr>
      <w:tr w:rsidR="006C17CB">
        <w:trPr>
          <w:trHeight w:val="330"/>
        </w:trPr>
        <w:tc>
          <w:tcPr>
            <w:tcW w:w="3163"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Indirect emissions (scope 2)</w:t>
            </w:r>
          </w:p>
        </w:tc>
        <w:tc>
          <w:tcPr>
            <w:tcW w:w="14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88" w:lineRule="exact"/>
              <w:ind w:left="75"/>
              <w:jc w:val="left"/>
              <w:rPr>
                <w:sz w:val="18"/>
              </w:rPr>
            </w:pPr>
            <w:r>
              <w:rPr>
                <w:sz w:val="18"/>
              </w:rPr>
              <w:t>Tonnes CO</w:t>
            </w:r>
            <w:r>
              <w:rPr>
                <w:position w:val="-3"/>
                <w:sz w:val="14"/>
              </w:rPr>
              <w:t>2</w:t>
            </w:r>
            <w:r>
              <w:rPr>
                <w:sz w:val="18"/>
              </w:rPr>
              <w:t>e</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0"/>
              <w:rPr>
                <w:sz w:val="18"/>
              </w:rPr>
            </w:pPr>
            <w:r>
              <w:rPr>
                <w:sz w:val="18"/>
              </w:rPr>
              <w:t>609.03</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9"/>
              <w:rPr>
                <w:sz w:val="18"/>
              </w:rPr>
            </w:pPr>
            <w:r>
              <w:rPr>
                <w:sz w:val="18"/>
              </w:rPr>
              <w:t>474.99</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8"/>
              <w:rPr>
                <w:sz w:val="18"/>
              </w:rPr>
            </w:pPr>
            <w:r>
              <w:rPr>
                <w:sz w:val="18"/>
              </w:rPr>
              <w:t>399.12</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6"/>
              <w:rPr>
                <w:sz w:val="18"/>
              </w:rPr>
            </w:pPr>
            <w:r>
              <w:rPr>
                <w:sz w:val="18"/>
              </w:rPr>
              <w:t>-75.87</w:t>
            </w:r>
          </w:p>
        </w:tc>
        <w:tc>
          <w:tcPr>
            <w:tcW w:w="1064"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0"/>
              <w:rPr>
                <w:sz w:val="18"/>
              </w:rPr>
            </w:pPr>
            <w:r>
              <w:rPr>
                <w:sz w:val="18"/>
              </w:rPr>
              <w:t>-15.97%</w:t>
            </w:r>
          </w:p>
        </w:tc>
      </w:tr>
      <w:tr w:rsidR="006C17CB">
        <w:trPr>
          <w:trHeight w:val="330"/>
        </w:trPr>
        <w:tc>
          <w:tcPr>
            <w:tcW w:w="3163"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Other indirect emissions (scope 3)</w:t>
            </w:r>
          </w:p>
        </w:tc>
        <w:tc>
          <w:tcPr>
            <w:tcW w:w="14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88" w:lineRule="exact"/>
              <w:ind w:left="75"/>
              <w:jc w:val="left"/>
              <w:rPr>
                <w:sz w:val="18"/>
              </w:rPr>
            </w:pPr>
            <w:r>
              <w:rPr>
                <w:sz w:val="18"/>
              </w:rPr>
              <w:t>Tonnes CO</w:t>
            </w:r>
            <w:r>
              <w:rPr>
                <w:position w:val="-3"/>
                <w:sz w:val="14"/>
              </w:rPr>
              <w:t>2</w:t>
            </w:r>
            <w:r>
              <w:rPr>
                <w:sz w:val="18"/>
              </w:rPr>
              <w:t>e</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0"/>
              <w:rPr>
                <w:sz w:val="18"/>
              </w:rPr>
            </w:pPr>
            <w:r>
              <w:rPr>
                <w:sz w:val="18"/>
              </w:rPr>
              <w:t>40.01</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9"/>
              <w:rPr>
                <w:sz w:val="18"/>
              </w:rPr>
            </w:pPr>
            <w:r>
              <w:rPr>
                <w:sz w:val="18"/>
              </w:rPr>
              <w:t>46.58</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8"/>
              <w:rPr>
                <w:sz w:val="18"/>
              </w:rPr>
            </w:pPr>
            <w:r>
              <w:rPr>
                <w:sz w:val="18"/>
              </w:rPr>
              <w:t>43.29</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6"/>
              <w:rPr>
                <w:sz w:val="18"/>
              </w:rPr>
            </w:pPr>
            <w:r>
              <w:rPr>
                <w:sz w:val="18"/>
              </w:rPr>
              <w:t>-3.29</w:t>
            </w:r>
          </w:p>
        </w:tc>
        <w:tc>
          <w:tcPr>
            <w:tcW w:w="1064"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0"/>
              <w:rPr>
                <w:sz w:val="18"/>
              </w:rPr>
            </w:pPr>
            <w:r>
              <w:rPr>
                <w:sz w:val="18"/>
              </w:rPr>
              <w:t>-7.06%</w:t>
            </w:r>
          </w:p>
        </w:tc>
      </w:tr>
      <w:tr w:rsidR="006C17CB">
        <w:trPr>
          <w:trHeight w:val="330"/>
        </w:trPr>
        <w:tc>
          <w:tcPr>
            <w:tcW w:w="3163"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Total emissions</w:t>
            </w:r>
          </w:p>
        </w:tc>
        <w:tc>
          <w:tcPr>
            <w:tcW w:w="146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88" w:lineRule="exact"/>
              <w:ind w:left="75"/>
              <w:jc w:val="left"/>
              <w:rPr>
                <w:sz w:val="18"/>
              </w:rPr>
            </w:pPr>
            <w:r>
              <w:rPr>
                <w:sz w:val="18"/>
              </w:rPr>
              <w:t>Tonnes CO</w:t>
            </w:r>
            <w:r>
              <w:rPr>
                <w:position w:val="-3"/>
                <w:sz w:val="14"/>
              </w:rPr>
              <w:t>2</w:t>
            </w:r>
            <w:r>
              <w:rPr>
                <w:sz w:val="18"/>
              </w:rPr>
              <w:t>e</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0"/>
              <w:rPr>
                <w:sz w:val="18"/>
              </w:rPr>
            </w:pPr>
            <w:r>
              <w:rPr>
                <w:sz w:val="18"/>
              </w:rPr>
              <w:t>711.13</w:t>
            </w:r>
          </w:p>
        </w:tc>
        <w:tc>
          <w:tcPr>
            <w:tcW w:w="97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9"/>
              <w:rPr>
                <w:sz w:val="18"/>
              </w:rPr>
            </w:pPr>
            <w:r>
              <w:rPr>
                <w:sz w:val="18"/>
              </w:rPr>
              <w:t>621.69</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8"/>
              <w:rPr>
                <w:sz w:val="18"/>
              </w:rPr>
            </w:pPr>
            <w:r>
              <w:rPr>
                <w:sz w:val="18"/>
              </w:rPr>
              <w:t>542.51</w:t>
            </w:r>
          </w:p>
        </w:tc>
        <w:tc>
          <w:tcPr>
            <w:tcW w:w="98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66"/>
              <w:rPr>
                <w:sz w:val="18"/>
              </w:rPr>
            </w:pPr>
            <w:r>
              <w:rPr>
                <w:sz w:val="18"/>
              </w:rPr>
              <w:t>-79.18</w:t>
            </w:r>
          </w:p>
        </w:tc>
        <w:tc>
          <w:tcPr>
            <w:tcW w:w="1064"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0"/>
              <w:rPr>
                <w:sz w:val="18"/>
              </w:rPr>
            </w:pPr>
            <w:r>
              <w:rPr>
                <w:sz w:val="18"/>
              </w:rPr>
              <w:t>-12.74%</w:t>
            </w:r>
          </w:p>
        </w:tc>
      </w:tr>
    </w:tbl>
    <w:p w:rsidR="006C17CB" w:rsidRDefault="006C17CB">
      <w:pPr>
        <w:pStyle w:val="BodyText"/>
        <w:spacing w:before="7"/>
        <w:rPr>
          <w:rFonts w:ascii="Calibri"/>
          <w:i/>
          <w:sz w:val="19"/>
        </w:rPr>
      </w:pPr>
    </w:p>
    <w:p w:rsidR="006C17CB" w:rsidRDefault="0030091C">
      <w:pPr>
        <w:spacing w:before="128"/>
        <w:ind w:left="153"/>
        <w:rPr>
          <w:rFonts w:ascii="Montserrat"/>
          <w:sz w:val="19"/>
        </w:rPr>
      </w:pPr>
      <w:r>
        <w:rPr>
          <w:rFonts w:ascii="Montserrat"/>
          <w:sz w:val="19"/>
        </w:rPr>
        <w:t>EXPLANATORY NOTES</w:t>
      </w:r>
    </w:p>
    <w:p w:rsidR="006C17CB" w:rsidRDefault="0030091C">
      <w:pPr>
        <w:spacing w:before="181" w:line="238" w:lineRule="exact"/>
        <w:ind w:left="153"/>
        <w:rPr>
          <w:rFonts w:ascii="Calibri-BoldItalic"/>
          <w:b/>
          <w:i/>
          <w:sz w:val="20"/>
        </w:rPr>
      </w:pPr>
      <w:r>
        <w:rPr>
          <w:rFonts w:ascii="Calibri-BoldItalic"/>
          <w:b/>
          <w:i/>
          <w:sz w:val="20"/>
        </w:rPr>
        <w:t>Historical data</w:t>
      </w:r>
    </w:p>
    <w:p w:rsidR="006C17CB" w:rsidRDefault="0030091C">
      <w:pPr>
        <w:spacing w:before="50" w:line="182" w:lineRule="auto"/>
        <w:ind w:left="153" w:right="1114"/>
        <w:rPr>
          <w:sz w:val="20"/>
        </w:rPr>
      </w:pPr>
      <w:r>
        <w:rPr>
          <w:sz w:val="20"/>
        </w:rPr>
        <w:t>Differences between enterprise sustainability platform sourced data in the previous financial year (2016-2017) and data in the original 2016-2017 report are due to changes such as updates to agency occupancy and historical consumption data, and annual adjustments to ACT specific electricity emissions factors.</w:t>
      </w:r>
    </w:p>
    <w:p w:rsidR="006C17CB" w:rsidRDefault="0030091C">
      <w:pPr>
        <w:spacing w:before="161" w:line="238" w:lineRule="exact"/>
        <w:ind w:left="153"/>
        <w:rPr>
          <w:rFonts w:ascii="Calibri-BoldItalic"/>
          <w:b/>
          <w:i/>
          <w:sz w:val="20"/>
        </w:rPr>
      </w:pPr>
      <w:r>
        <w:rPr>
          <w:rFonts w:ascii="Calibri-BoldItalic"/>
          <w:b/>
          <w:i/>
          <w:sz w:val="20"/>
        </w:rPr>
        <w:t>2016-2017 election year</w:t>
      </w:r>
    </w:p>
    <w:p w:rsidR="006C17CB" w:rsidRDefault="0030091C">
      <w:pPr>
        <w:spacing w:line="282" w:lineRule="exact"/>
        <w:ind w:left="153"/>
        <w:rPr>
          <w:sz w:val="20"/>
        </w:rPr>
      </w:pPr>
      <w:r>
        <w:rPr>
          <w:sz w:val="20"/>
        </w:rPr>
        <w:t>2016-2017 was an election year. This has impacted on some of the data for that period.</w:t>
      </w:r>
    </w:p>
    <w:p w:rsidR="006C17CB" w:rsidRDefault="0030091C">
      <w:pPr>
        <w:spacing w:before="146" w:line="239" w:lineRule="exact"/>
        <w:ind w:left="153"/>
        <w:rPr>
          <w:rFonts w:ascii="Calibri-BoldItalic"/>
          <w:b/>
          <w:i/>
          <w:sz w:val="20"/>
        </w:rPr>
      </w:pPr>
      <w:r>
        <w:rPr>
          <w:rFonts w:ascii="Calibri-BoldItalic"/>
          <w:b/>
          <w:i/>
          <w:sz w:val="20"/>
        </w:rPr>
        <w:t>Variance between 2016-2017 and 2017-2018 total office water use</w:t>
      </w:r>
    </w:p>
    <w:p w:rsidR="006C17CB" w:rsidRDefault="00FE24A7">
      <w:pPr>
        <w:spacing w:before="50" w:line="182" w:lineRule="auto"/>
        <w:ind w:left="153" w:right="1412"/>
        <w:rPr>
          <w:sz w:val="20"/>
        </w:rPr>
      </w:pPr>
      <w:r>
        <w:pict>
          <v:shape id="_x0000_s1500" alt="" style="position:absolute;left:0;text-align:left;margin-left:595.3pt;margin-top:27.9pt;width:.1pt;height:150.8pt;z-index:1576;mso-wrap-edited:f;mso-width-percent:0;mso-height-percent:0;mso-position-horizontal-relative:page;mso-width-percent:0;mso-height-percent:0" coordsize="1270,3016" path="m,3016l,,,3016xe" fillcolor="#7098d0" stroked="f">
            <v:path arrowok="t" o:connecttype="custom" o:connectlocs="0,1441126150;0,224999550;0,1441126150" o:connectangles="0,0,0"/>
            <w10:wrap anchorx="page"/>
          </v:shape>
        </w:pict>
      </w:r>
      <w:r w:rsidR="0030091C">
        <w:rPr>
          <w:sz w:val="20"/>
        </w:rPr>
        <w:t>At the time of reporting, 99.99 per cent of the required data was available and a pro-rated figure has been included (this figure will be updated in next year’s annual report)</w:t>
      </w:r>
    </w:p>
    <w:p w:rsidR="006C17CB" w:rsidRDefault="0030091C">
      <w:pPr>
        <w:spacing w:before="160" w:line="238" w:lineRule="exact"/>
        <w:ind w:left="153"/>
        <w:rPr>
          <w:rFonts w:ascii="Calibri-BoldItalic"/>
          <w:b/>
          <w:i/>
          <w:sz w:val="20"/>
        </w:rPr>
      </w:pPr>
      <w:r>
        <w:rPr>
          <w:rFonts w:ascii="Calibri-BoldItalic"/>
          <w:b/>
          <w:i/>
          <w:sz w:val="20"/>
        </w:rPr>
        <w:t>Greenhouse gas emissions in 2016-2017 and 2017-2018</w:t>
      </w:r>
    </w:p>
    <w:p w:rsidR="006C17CB" w:rsidRDefault="0030091C">
      <w:pPr>
        <w:spacing w:line="282" w:lineRule="exact"/>
        <w:ind w:left="153"/>
        <w:rPr>
          <w:sz w:val="20"/>
        </w:rPr>
      </w:pPr>
      <w:r>
        <w:rPr>
          <w:sz w:val="20"/>
        </w:rPr>
        <w:t>Emissions reported for stationary energy and transport fuels include scope 1 and scope 2 emissions only.</w:t>
      </w:r>
    </w:p>
    <w:p w:rsidR="006C17CB" w:rsidRDefault="0030091C">
      <w:pPr>
        <w:spacing w:before="73" w:line="182" w:lineRule="auto"/>
        <w:ind w:left="153" w:right="1412"/>
        <w:rPr>
          <w:sz w:val="20"/>
        </w:rPr>
      </w:pPr>
      <w:r>
        <w:rPr>
          <w:sz w:val="20"/>
        </w:rPr>
        <w:t>Emission factors used to calculate natural gas and fleet fuel are based on the latest national greenhouse accounts (NGA) factors.</w:t>
      </w:r>
    </w:p>
    <w:p w:rsidR="006C17CB" w:rsidRDefault="0030091C">
      <w:pPr>
        <w:spacing w:before="87" w:line="182" w:lineRule="auto"/>
        <w:ind w:left="153" w:right="1412"/>
        <w:rPr>
          <w:sz w:val="20"/>
        </w:rPr>
      </w:pPr>
      <w:r>
        <w:rPr>
          <w:sz w:val="20"/>
        </w:rPr>
        <w:t>Greenhouse gas emissions for electricity consumption have been calculated using the following emissions factors based on the latest (May 2018) ACT electricity emissions factor report:</w:t>
      </w:r>
    </w:p>
    <w:p w:rsidR="006C17CB" w:rsidRDefault="0030091C">
      <w:pPr>
        <w:pStyle w:val="ListParagraph"/>
        <w:numPr>
          <w:ilvl w:val="0"/>
          <w:numId w:val="22"/>
        </w:numPr>
        <w:tabs>
          <w:tab w:val="left" w:pos="381"/>
        </w:tabs>
        <w:spacing w:before="86" w:line="175" w:lineRule="auto"/>
        <w:ind w:right="1329"/>
        <w:rPr>
          <w:sz w:val="20"/>
        </w:rPr>
      </w:pPr>
      <w:r>
        <w:rPr>
          <w:sz w:val="20"/>
        </w:rPr>
        <w:t>A factor of 0.667 kilogram (kg) CO</w:t>
      </w:r>
      <w:r>
        <w:rPr>
          <w:position w:val="-3"/>
          <w:sz w:val="16"/>
        </w:rPr>
        <w:t>2</w:t>
      </w:r>
      <w:r>
        <w:rPr>
          <w:sz w:val="20"/>
        </w:rPr>
        <w:t xml:space="preserve">-e / kilowatt hour (kWh) or 0.667 tonne </w:t>
      </w:r>
      <w:r>
        <w:rPr>
          <w:spacing w:val="-3"/>
          <w:sz w:val="20"/>
        </w:rPr>
        <w:t xml:space="preserve">(t) </w:t>
      </w:r>
      <w:r>
        <w:rPr>
          <w:sz w:val="20"/>
        </w:rPr>
        <w:t>CO</w:t>
      </w:r>
      <w:r>
        <w:rPr>
          <w:position w:val="-3"/>
          <w:sz w:val="16"/>
        </w:rPr>
        <w:t>2</w:t>
      </w:r>
      <w:r>
        <w:rPr>
          <w:sz w:val="20"/>
        </w:rPr>
        <w:t xml:space="preserve">-e / megawatt hour </w:t>
      </w:r>
      <w:r>
        <w:rPr>
          <w:spacing w:val="-3"/>
          <w:sz w:val="20"/>
        </w:rPr>
        <w:t xml:space="preserve">(MWh) </w:t>
      </w:r>
      <w:r>
        <w:rPr>
          <w:sz w:val="20"/>
        </w:rPr>
        <w:t xml:space="preserve">has been used to calculate electricity emissions (scope </w:t>
      </w:r>
      <w:r>
        <w:rPr>
          <w:spacing w:val="-4"/>
          <w:sz w:val="20"/>
        </w:rPr>
        <w:t xml:space="preserve">2) </w:t>
      </w:r>
      <w:r>
        <w:rPr>
          <w:sz w:val="20"/>
        </w:rPr>
        <w:t xml:space="preserve">for the </w:t>
      </w:r>
      <w:r>
        <w:rPr>
          <w:spacing w:val="-3"/>
          <w:sz w:val="20"/>
        </w:rPr>
        <w:t xml:space="preserve">2016-2017 </w:t>
      </w:r>
      <w:r>
        <w:rPr>
          <w:sz w:val="20"/>
        </w:rPr>
        <w:t xml:space="preserve">period. It is based on actual historical data and is a retrospective adjustment of the original 0.525 factor (scope </w:t>
      </w:r>
      <w:r>
        <w:rPr>
          <w:spacing w:val="-4"/>
          <w:sz w:val="20"/>
        </w:rPr>
        <w:t xml:space="preserve">2) </w:t>
      </w:r>
      <w:r>
        <w:rPr>
          <w:sz w:val="20"/>
        </w:rPr>
        <w:t xml:space="preserve">used for </w:t>
      </w:r>
      <w:r>
        <w:rPr>
          <w:spacing w:val="-3"/>
          <w:sz w:val="20"/>
        </w:rPr>
        <w:t xml:space="preserve">2016-2017 </w:t>
      </w:r>
      <w:r>
        <w:rPr>
          <w:sz w:val="20"/>
        </w:rPr>
        <w:t>annual</w:t>
      </w:r>
      <w:r>
        <w:rPr>
          <w:spacing w:val="-2"/>
          <w:sz w:val="20"/>
        </w:rPr>
        <w:t xml:space="preserve"> </w:t>
      </w:r>
      <w:r>
        <w:rPr>
          <w:sz w:val="20"/>
        </w:rPr>
        <w:t>reporting.</w:t>
      </w:r>
    </w:p>
    <w:p w:rsidR="006C17CB" w:rsidRDefault="0030091C">
      <w:pPr>
        <w:pStyle w:val="ListParagraph"/>
        <w:numPr>
          <w:ilvl w:val="0"/>
          <w:numId w:val="22"/>
        </w:numPr>
        <w:tabs>
          <w:tab w:val="left" w:pos="381"/>
        </w:tabs>
        <w:spacing w:before="53" w:line="165" w:lineRule="auto"/>
        <w:ind w:right="1517"/>
        <w:rPr>
          <w:sz w:val="20"/>
        </w:rPr>
      </w:pPr>
      <w:r>
        <w:rPr>
          <w:sz w:val="20"/>
        </w:rPr>
        <w:t>A factor of 0.455 kilogram (kg) CO</w:t>
      </w:r>
      <w:r>
        <w:rPr>
          <w:position w:val="-3"/>
          <w:sz w:val="16"/>
        </w:rPr>
        <w:t>2</w:t>
      </w:r>
      <w:r>
        <w:rPr>
          <w:sz w:val="20"/>
        </w:rPr>
        <w:t xml:space="preserve">-e / kilowatt hour (kWh) or 0.455 tonne </w:t>
      </w:r>
      <w:r>
        <w:rPr>
          <w:spacing w:val="-3"/>
          <w:sz w:val="20"/>
        </w:rPr>
        <w:t xml:space="preserve">(t) </w:t>
      </w:r>
      <w:r>
        <w:rPr>
          <w:sz w:val="20"/>
        </w:rPr>
        <w:t>CO</w:t>
      </w:r>
      <w:r>
        <w:rPr>
          <w:position w:val="-3"/>
          <w:sz w:val="16"/>
        </w:rPr>
        <w:t>2</w:t>
      </w:r>
      <w:r>
        <w:rPr>
          <w:sz w:val="20"/>
        </w:rPr>
        <w:t xml:space="preserve">-e / megawatt hour </w:t>
      </w:r>
      <w:r>
        <w:rPr>
          <w:spacing w:val="-3"/>
          <w:sz w:val="20"/>
        </w:rPr>
        <w:t xml:space="preserve">(MWh) </w:t>
      </w:r>
      <w:r>
        <w:rPr>
          <w:sz w:val="20"/>
        </w:rPr>
        <w:t xml:space="preserve">has been used to calculate electricity emissions (scope </w:t>
      </w:r>
      <w:r>
        <w:rPr>
          <w:spacing w:val="-4"/>
          <w:sz w:val="20"/>
        </w:rPr>
        <w:t xml:space="preserve">2) </w:t>
      </w:r>
      <w:r>
        <w:rPr>
          <w:sz w:val="20"/>
        </w:rPr>
        <w:t xml:space="preserve">for the </w:t>
      </w:r>
      <w:r>
        <w:rPr>
          <w:spacing w:val="-4"/>
          <w:sz w:val="20"/>
        </w:rPr>
        <w:t>2017-2018</w:t>
      </w:r>
      <w:r>
        <w:rPr>
          <w:spacing w:val="-1"/>
          <w:sz w:val="20"/>
        </w:rPr>
        <w:t xml:space="preserve"> </w:t>
      </w:r>
      <w:r>
        <w:rPr>
          <w:sz w:val="20"/>
        </w:rPr>
        <w:t>period.</w:t>
      </w:r>
    </w:p>
    <w:p w:rsidR="006C17CB" w:rsidRDefault="006C17CB">
      <w:pPr>
        <w:pStyle w:val="BodyText"/>
        <w:spacing w:before="2"/>
        <w:rPr>
          <w:sz w:val="14"/>
        </w:rPr>
      </w:pPr>
    </w:p>
    <w:p w:rsidR="006C17CB" w:rsidRDefault="00FE24A7">
      <w:pPr>
        <w:spacing w:line="182" w:lineRule="auto"/>
        <w:ind w:left="153" w:right="1177"/>
        <w:rPr>
          <w:sz w:val="20"/>
        </w:rPr>
      </w:pPr>
      <w:r>
        <w:pict>
          <v:shape id="_x0000_s1499" alt="" style="position:absolute;left:0;text-align:left;margin-left:595.3pt;margin-top:32.5pt;width:.1pt;height:7.9pt;z-index:1600;mso-wrap-edited:f;mso-width-percent:0;mso-height-percent:0;mso-position-horizontal-relative:page;mso-width-percent:0;mso-height-percent:0" coordsize="1270,158" path="m,157l,,,157xe" fillcolor="#7098d0" stroked="f">
            <v:path arrowok="t" o:connecttype="custom" o:connectlocs="0,325402575;0,262096250;0,325402575" o:connectangles="0,0,0"/>
            <w10:wrap anchorx="page"/>
          </v:shape>
        </w:pict>
      </w:r>
      <w:r w:rsidR="0030091C">
        <w:rPr>
          <w:sz w:val="20"/>
        </w:rPr>
        <w:t>The emissions factors include total GreenPower purchases for the ACT calculated in the third quarter of the respective financial years and are specific to the ACT. These emissions factors (scope 2) reflect the increasing contribution of renewable electricity generated under the ACT’s 100 per cent renewable energy target (RET). Consequently they are lower than those reported in the latest national greenhouse accounts (NGA) factors.</w:t>
      </w:r>
    </w:p>
    <w:p w:rsidR="006C17CB" w:rsidRDefault="006C17CB">
      <w:pPr>
        <w:spacing w:line="182" w:lineRule="auto"/>
        <w:rPr>
          <w:sz w:val="20"/>
        </w:rPr>
        <w:sectPr w:rsidR="006C17CB">
          <w:pgSz w:w="11910" w:h="16840"/>
          <w:pgMar w:top="2760" w:right="0" w:bottom="720" w:left="980" w:header="2551" w:footer="523" w:gutter="0"/>
          <w:cols w:space="720"/>
        </w:sectPr>
      </w:pPr>
    </w:p>
    <w:p w:rsidR="006C17CB" w:rsidRDefault="00FE24A7">
      <w:pPr>
        <w:pStyle w:val="BodyText"/>
        <w:rPr>
          <w:sz w:val="20"/>
        </w:rPr>
      </w:pPr>
      <w:r>
        <w:pict>
          <v:group id="_x0000_s1496" alt="" style="position:absolute;margin-left:0;margin-top:127.55pt;width:595.3pt;height:714.35pt;z-index:-476920;mso-position-horizontal-relative:page;mso-position-vertical-relative:page" coordorigin=",2551" coordsize="11906,14287">
            <v:rect id="_x0000_s1497" alt="" style="position:absolute;top:2551;width:11906;height:14287" fillcolor="#7ea0d4" stroked="f"/>
            <v:shape id="_x0000_s1498" alt="" style="position:absolute;top:10437;width:6705;height:6400" coordorigin=",10438" coordsize="6705,6400" o:spt="100" adj="0,,0" path="m687,16838r-118,-20l38,16618,,16578r,260l687,16838t1239,-260l1707,16598r-163,-60l1442,16478r-35,-40l1428,16478r10,20l1437,16538r-11,40l1405,16618r-32,40l1333,16678r-51,40l1223,16758r-69,20l1077,16798r-85,20l898,16838r665,l1636,16778r73,-40l1782,16678r72,-40l1902,16598r24,-20m2234,16064r-1,-63l2225,15939r-15,-59l2209,15879r-21,-54l2160,15775r-35,-44l2083,15695r-48,-28l1981,15650r-81,-5l1819,15660r-78,28l1668,15726r-64,42l1551,15810r-39,37l1490,15874r-6,5l1478,15869r-5,-22l1464,15817r-11,-34l1451,15780r-18,-42l1406,15695r-36,-41l1322,15615r-61,-32l1185,15560r-93,-12l981,15549r-107,11l770,15574r-101,17l572,15610r-94,20l388,15652r-85,23l11,15757r-11,3l,15792r277,-7l463,15783r92,l646,15784r85,2l811,15790r73,5l946,15801r51,9l1035,15820r95,44l1209,15917r63,59l1320,16038r33,61l1371,16156r9,37l1396,16236r24,48l1453,16332r44,46l1553,16419r70,32l1708,16473r101,7l1927,16470r63,-16l2046,16428r49,-35l2136,16350r34,-49l2197,16246r19,-59l2229,16126r5,-62m6704,14638r-89,-20l6533,14598r-78,l6166,14518r-74,-20l6014,14478r-83,-20l5841,14438r-97,-40l5747,14358r4,-40l5756,14238r3,-80l5760,14058r-1,-60l5756,13918r-3,-80l5747,13758r-7,-60l5732,13618r-10,-80l5711,13478r-13,-80l5684,13318r-16,-60l5651,13178r-18,-60l5613,13038r-21,-60l5570,12898r-24,-60l5521,12778r-5,-15l5516,14058r-1,80l5513,14198r-3,60l5506,14318r-38,-13l5468,14850r-899,-152l3981,14698r-478,140l2890,15198r359,-380l3472,14638r25,-20l3746,14558r366,-20l4211,14518r100,20l4411,14538r489,100l4989,14678r85,20l5154,14718r74,40l5295,14778r59,20l5406,14818r42,20l5468,14850r,-545l5445,14298r-63,-20l5316,14258r-69,-20l5174,14218r-76,-40l5018,14158r-84,-40l4216,13978r-518,40l3383,14158r-106,60l3509,13758r176,-540l3798,12758r40,-200l3914,12138r15,-80l3982,11778r35,-220l4054,11278r61,40l4175,11378r59,40l4292,11458r57,60l4405,11558r54,60l4513,11658r53,60l4617,11778r50,40l4716,11878r48,60l4810,11998r45,60l4899,12118r42,60l4983,12238r39,60l5061,12378r37,60l5134,12498r34,80l5200,12638r32,60l5261,12778r29,60l5316,12918r25,80l5365,13058r22,80l5407,13218r18,60l5442,13358r16,80l5471,13518r12,80l5493,13678r8,60l5508,13818r4,80l5515,13978r1,80l5516,12763r-22,-65l5467,12638r-29,-60l5408,12498r-32,-60l5344,12378r-34,-60l5275,12258r-36,-60l5202,12138r-39,-60l5124,12018r-41,-60l5041,11898r-42,-60l4955,11798r-45,-60l4864,11678r-47,-60l4769,11578r-49,-60l4670,11478r-51,-60l4567,11378r-53,-40l4461,11278r-55,-40l4351,11198r-56,-40l4237,11118r-116,-80l4001,10958r-123,-80l3852,10870r,288l3603,11298r-181,98l3422,12138r-122,720l3160,13318r-249,440l2463,14358r29,-440l2533,13298r123,-600l2922,12378r500,-240l3422,11396r-76,42l3143,11558r-81,60l2410,12178r-380,780l1853,13638r-44,280l1800,13798r-11,-120l1774,13578r-18,-120l1736,13358r-23,-120l1688,13138r-28,-100l1631,12958r-31,-100l1568,12778r-34,-80l1499,12618r-35,-80l1427,12458r-5,-11l1422,14178r,60l1420,14318r-3,80l1414,14478r-4,80l1405,14658r-5,80l1395,14818r-6,100l1384,14998r-3,-20l1333,14598r-88,-700l1115,13258,919,12818,580,12358r328,240l1096,12778r119,260l1336,13418r18,80l1370,13558r13,80l1394,13698r9,80l1410,13838r6,80l1419,13998r2,80l1422,14138r,40l1422,12447r-32,-69l1378,12358r-100,-160l1241,12138r-36,-40l1169,12038r-35,-40l1101,11958r-33,-40l1037,11878r-29,-40l981,11818r-25,-20l933,11778r-21,-20l895,11738r-42,-40l740,11618,456,11398r-50,-40l255,11238r131,-80l521,11078r69,-20l730,10978r72,-20l874,10918r73,-20l1021,10858r539,-140l1640,10718r80,-20l1801,10698r81,-20l2373,10678r80,20l2533,10698r79,20l2691,10718r605,160l3369,10918r71,20l3511,10978r70,20l3718,11078r134,80l3852,10870r-37,-12l3687,10778r-64,-20l3557,10718r-133,-40l3357,10658r-68,-40l2940,10518r-71,l2724,10478r-73,l2578,10458r-74,l2430,10438r-602,l1754,10458r-74,l1606,10478r-73,l1389,10518r-71,l969,10618r-68,40l701,10718r-66,40l570,10778r-127,80l380,10878r-123,80l137,11038r-117,80l,11118r,320l30,11418r59,-60l87,11418r-3,60l81,11538r-3,60l75,11678r-6,200l65,11978r-3,120l160,12858r239,820l642,14338r111,260l649,14538r-98,-60l458,14438r-88,-20l288,14418r-78,-20l138,14418r-67,l9,14438r-9,20l,15158r21,l175,15078r76,-20l324,15018r70,-20l461,14978r118,l660,14998r93,40l853,15058r98,40l1042,15118r78,40l1178,15178r32,20l1192,15198r-34,-20l1109,15178r-62,-20l893,15158r-89,-20l710,15138r-97,20l514,15158r-99,20l319,15218r-71,20l177,15278r-142,40l,15318r,300l22,15618r239,-60l337,15538r73,-20l1010,15418r337,60l1495,15578r33,60l1716,15418r155,-180l1906,15198r141,-160l2073,14998r39,-60l2121,14918r1,-20l2124,14818r7,-100l2144,14638r21,-80l2197,14518r49,20l2280,14598r19,80l2305,14698r84,-40l2464,14638r61,20l2566,14678r15,20l2565,14698r-112,20l2376,14778r-45,60l2316,14878r-21,120l1883,15458r765,220l3020,16118r121,460l3150,16778r-37,-120l3074,16538r-43,-100l2986,16338r-47,-80l2890,16178r-51,-80l2788,16018r-52,-60l2684,15918r-52,-60l2581,15818r-50,-40l2482,15738r-47,-20l2390,15698r-43,-20l2307,15658r-37,-20l2237,15638r-29,-20l2139,15618r-3,20l2139,15638r9,20l2165,15658r51,40l2258,15718r33,40l2316,15798r18,40l2347,15898r9,40l2360,15978r2,60l2362,16058r,140l2364,16258r4,60l2375,16378r12,60l2405,16498r23,60l2460,16618r40,60l2549,16738r60,80l2652,16838r892,l3564,16778r7,-20l3605,16658r27,-80l3655,16498r18,-60l3685,16378r6,-80l3690,16238r-9,-60l3663,16118r-28,-60l3597,15978r-50,-60l3486,15838r-190,-120l3264,15698r-224,-40l2867,15698r-69,20l2886,15538r221,-100l3632,15378r1002,-60l4727,15298r179,l4991,15278r83,l5231,15238r75,l5279,15318r-28,60l5222,15458r-30,80l5161,15598r-32,80l5096,15758r-34,60l5026,15898r-36,60l4952,16038r-39,60l4872,16178r-42,60l4786,16318r-45,60l4694,16438r-48,60l4595,16558r-52,60l4489,16678r-56,60l4375,16798r-61,40l4350,16838r62,-60l4473,16738r60,-60l4592,16638r58,-60l4707,16518r56,-60l4818,16418r53,-60l4924,16298r51,-60l5024,16178r49,-60l5120,16058r45,-60l5209,15938r42,-60l5292,15798r39,-60l5369,15678r36,-80l5439,15538r32,-60l5502,15398r29,-60l5558,15258r6,-20l5576,15198r7,-20l6143,15018r305,-160l6486,14838r172,-140l6704,14638e" fillcolor="#7098d0" stroked="f">
              <v:stroke joinstyle="round"/>
              <v:formulas/>
              <v:path arrowok="t" o:connecttype="segments"/>
            </v:shape>
            <w10:wrap anchorx="page" anchory="page"/>
          </v:group>
        </w:pict>
      </w: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0"/>
        <w:rPr>
          <w:sz w:val="16"/>
        </w:rPr>
      </w:pPr>
    </w:p>
    <w:p w:rsidR="006C17CB" w:rsidRDefault="0030091C">
      <w:pPr>
        <w:pStyle w:val="Heading3"/>
        <w:spacing w:before="102"/>
        <w:ind w:left="0" w:right="1133"/>
        <w:jc w:val="right"/>
      </w:pPr>
      <w:bookmarkStart w:id="77" w:name="APPENDICES"/>
      <w:bookmarkStart w:id="78" w:name="_bookmark25"/>
      <w:bookmarkEnd w:id="77"/>
      <w:bookmarkEnd w:id="78"/>
      <w:r>
        <w:rPr>
          <w:color w:val="FFFFFF"/>
          <w:w w:val="90"/>
        </w:rPr>
        <w:t>APPENDICES</w:t>
      </w: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rPr>
          <w:rFonts w:ascii="Montserrat-SemiBold"/>
          <w:b/>
          <w:sz w:val="48"/>
        </w:rPr>
      </w:pPr>
    </w:p>
    <w:p w:rsidR="006C17CB" w:rsidRDefault="006C17CB">
      <w:pPr>
        <w:pStyle w:val="BodyText"/>
        <w:spacing w:before="5"/>
        <w:rPr>
          <w:rFonts w:ascii="Montserrat-SemiBold"/>
          <w:b/>
          <w:sz w:val="47"/>
        </w:rPr>
      </w:pPr>
    </w:p>
    <w:p w:rsidR="006C17CB" w:rsidRDefault="0030091C">
      <w:pPr>
        <w:tabs>
          <w:tab w:val="left" w:pos="5076"/>
        </w:tabs>
        <w:ind w:right="1132"/>
        <w:jc w:val="right"/>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rPr>
          <w:rFonts w:ascii="Montserrat-Light" w:hAnsi="Montserrat-Light"/>
          <w:spacing w:val="-2"/>
          <w:w w:val="90"/>
          <w:sz w:val="16"/>
        </w:rPr>
        <w:t>57</w:t>
      </w:r>
    </w:p>
    <w:p w:rsidR="006C17CB" w:rsidRDefault="006C17CB">
      <w:pPr>
        <w:jc w:val="right"/>
        <w:rPr>
          <w:rFonts w:ascii="Montserrat-Light" w:hAnsi="Montserrat-Light"/>
          <w:sz w:val="16"/>
        </w:rPr>
        <w:sectPr w:rsidR="006C17CB">
          <w:headerReference w:type="default" r:id="rId85"/>
          <w:footerReference w:type="default" r:id="rId86"/>
          <w:pgSz w:w="11910" w:h="16840"/>
          <w:pgMar w:top="1580" w:right="0" w:bottom="280" w:left="980" w:header="0" w:footer="0" w:gutter="0"/>
          <w:cols w:space="720"/>
        </w:sect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rPr>
          <w:rFonts w:ascii="Montserrat-Light"/>
          <w:sz w:val="20"/>
        </w:rPr>
      </w:pPr>
    </w:p>
    <w:p w:rsidR="006C17CB" w:rsidRDefault="006C17CB">
      <w:pPr>
        <w:pStyle w:val="BodyText"/>
        <w:spacing w:before="8"/>
        <w:rPr>
          <w:rFonts w:ascii="Montserrat-Light"/>
          <w:sz w:val="17"/>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2627"/>
        <w:gridCol w:w="1167"/>
        <w:gridCol w:w="1313"/>
        <w:gridCol w:w="1346"/>
        <w:gridCol w:w="1247"/>
        <w:gridCol w:w="1918"/>
      </w:tblGrid>
      <w:tr w:rsidR="006C17CB">
        <w:trPr>
          <w:trHeight w:val="623"/>
        </w:trPr>
        <w:tc>
          <w:tcPr>
            <w:tcW w:w="2627" w:type="dxa"/>
            <w:tcBorders>
              <w:top w:val="nil"/>
              <w:left w:val="nil"/>
              <w:bottom w:val="nil"/>
            </w:tcBorders>
            <w:shd w:val="clear" w:color="auto" w:fill="89A7D7"/>
          </w:tcPr>
          <w:p w:rsidR="006C17CB" w:rsidRDefault="006C17CB">
            <w:pPr>
              <w:pStyle w:val="TableParagraph"/>
              <w:spacing w:before="6"/>
              <w:jc w:val="left"/>
              <w:rPr>
                <w:rFonts w:ascii="Montserrat-Light"/>
                <w:sz w:val="24"/>
              </w:rPr>
            </w:pPr>
          </w:p>
          <w:p w:rsidR="006C17CB" w:rsidRDefault="0030091C">
            <w:pPr>
              <w:pStyle w:val="TableParagraph"/>
              <w:ind w:left="79"/>
              <w:jc w:val="left"/>
              <w:rPr>
                <w:b/>
                <w:sz w:val="18"/>
              </w:rPr>
            </w:pPr>
            <w:bookmarkStart w:id="79" w:name="Appendix_1_–_Sitting_days"/>
            <w:bookmarkStart w:id="80" w:name="_bookmark26"/>
            <w:bookmarkEnd w:id="79"/>
            <w:bookmarkEnd w:id="80"/>
            <w:r>
              <w:rPr>
                <w:b/>
                <w:sz w:val="18"/>
              </w:rPr>
              <w:t>Financial year</w:t>
            </w:r>
          </w:p>
        </w:tc>
        <w:tc>
          <w:tcPr>
            <w:tcW w:w="1167" w:type="dxa"/>
            <w:tcBorders>
              <w:top w:val="nil"/>
              <w:bottom w:val="nil"/>
            </w:tcBorders>
            <w:shd w:val="clear" w:color="auto" w:fill="89A7D7"/>
          </w:tcPr>
          <w:p w:rsidR="006C17CB" w:rsidRDefault="0030091C">
            <w:pPr>
              <w:pStyle w:val="TableParagraph"/>
              <w:spacing w:before="99" w:line="230" w:lineRule="exact"/>
              <w:ind w:left="107"/>
              <w:jc w:val="left"/>
              <w:rPr>
                <w:b/>
                <w:sz w:val="18"/>
              </w:rPr>
            </w:pPr>
            <w:r>
              <w:rPr>
                <w:b/>
                <w:sz w:val="18"/>
              </w:rPr>
              <w:t>No. of sitting</w:t>
            </w:r>
          </w:p>
          <w:p w:rsidR="006C17CB" w:rsidRDefault="0030091C">
            <w:pPr>
              <w:pStyle w:val="TableParagraph"/>
              <w:spacing w:line="230" w:lineRule="exact"/>
              <w:ind w:left="730"/>
              <w:jc w:val="left"/>
              <w:rPr>
                <w:b/>
                <w:sz w:val="18"/>
              </w:rPr>
            </w:pPr>
            <w:r>
              <w:rPr>
                <w:b/>
                <w:sz w:val="18"/>
              </w:rPr>
              <w:t>days</w:t>
            </w:r>
          </w:p>
        </w:tc>
        <w:tc>
          <w:tcPr>
            <w:tcW w:w="1313" w:type="dxa"/>
            <w:tcBorders>
              <w:top w:val="nil"/>
              <w:bottom w:val="nil"/>
            </w:tcBorders>
            <w:shd w:val="clear" w:color="auto" w:fill="89A7D7"/>
          </w:tcPr>
          <w:p w:rsidR="006C17CB" w:rsidRDefault="006C17CB">
            <w:pPr>
              <w:pStyle w:val="TableParagraph"/>
              <w:spacing w:before="6"/>
              <w:jc w:val="left"/>
              <w:rPr>
                <w:rFonts w:ascii="Montserrat-Light"/>
                <w:sz w:val="24"/>
              </w:rPr>
            </w:pPr>
          </w:p>
          <w:p w:rsidR="006C17CB" w:rsidRDefault="0030091C">
            <w:pPr>
              <w:pStyle w:val="TableParagraph"/>
              <w:ind w:right="68"/>
              <w:rPr>
                <w:b/>
                <w:sz w:val="18"/>
              </w:rPr>
            </w:pPr>
            <w:r>
              <w:rPr>
                <w:b/>
                <w:sz w:val="18"/>
              </w:rPr>
              <w:t>No. of hours*</w:t>
            </w:r>
          </w:p>
        </w:tc>
        <w:tc>
          <w:tcPr>
            <w:tcW w:w="1346" w:type="dxa"/>
            <w:tcBorders>
              <w:top w:val="nil"/>
              <w:bottom w:val="nil"/>
            </w:tcBorders>
            <w:shd w:val="clear" w:color="auto" w:fill="89A7D7"/>
          </w:tcPr>
          <w:p w:rsidR="006C17CB" w:rsidRDefault="0030091C">
            <w:pPr>
              <w:pStyle w:val="TableParagraph"/>
              <w:spacing w:before="99" w:line="230" w:lineRule="exact"/>
              <w:ind w:left="161"/>
              <w:jc w:val="left"/>
              <w:rPr>
                <w:b/>
                <w:sz w:val="18"/>
              </w:rPr>
            </w:pPr>
            <w:r>
              <w:rPr>
                <w:b/>
                <w:sz w:val="18"/>
              </w:rPr>
              <w:t>Average hours</w:t>
            </w:r>
          </w:p>
          <w:p w:rsidR="006C17CB" w:rsidRDefault="0030091C">
            <w:pPr>
              <w:pStyle w:val="TableParagraph"/>
              <w:spacing w:line="230" w:lineRule="exact"/>
              <w:ind w:left="596"/>
              <w:jc w:val="left"/>
              <w:rPr>
                <w:b/>
                <w:sz w:val="18"/>
              </w:rPr>
            </w:pPr>
            <w:r>
              <w:rPr>
                <w:b/>
                <w:sz w:val="18"/>
              </w:rPr>
              <w:t>per day*</w:t>
            </w:r>
          </w:p>
        </w:tc>
        <w:tc>
          <w:tcPr>
            <w:tcW w:w="1247" w:type="dxa"/>
            <w:tcBorders>
              <w:top w:val="nil"/>
              <w:bottom w:val="nil"/>
            </w:tcBorders>
            <w:shd w:val="clear" w:color="auto" w:fill="89A7D7"/>
          </w:tcPr>
          <w:p w:rsidR="006C17CB" w:rsidRDefault="0030091C">
            <w:pPr>
              <w:pStyle w:val="TableParagraph"/>
              <w:spacing w:before="99" w:line="230" w:lineRule="exact"/>
              <w:ind w:left="199"/>
              <w:jc w:val="left"/>
              <w:rPr>
                <w:b/>
                <w:sz w:val="18"/>
              </w:rPr>
            </w:pPr>
            <w:r>
              <w:rPr>
                <w:b/>
                <w:sz w:val="18"/>
              </w:rPr>
              <w:t>Sittings after</w:t>
            </w:r>
          </w:p>
          <w:p w:rsidR="006C17CB" w:rsidRDefault="0030091C">
            <w:pPr>
              <w:pStyle w:val="TableParagraph"/>
              <w:spacing w:line="230" w:lineRule="exact"/>
              <w:ind w:left="725"/>
              <w:jc w:val="left"/>
              <w:rPr>
                <w:b/>
                <w:sz w:val="18"/>
              </w:rPr>
            </w:pPr>
            <w:r>
              <w:rPr>
                <w:b/>
                <w:sz w:val="18"/>
              </w:rPr>
              <w:t>10pm</w:t>
            </w:r>
          </w:p>
        </w:tc>
        <w:tc>
          <w:tcPr>
            <w:tcW w:w="1918" w:type="dxa"/>
            <w:tcBorders>
              <w:top w:val="nil"/>
              <w:bottom w:val="nil"/>
              <w:right w:val="nil"/>
            </w:tcBorders>
            <w:shd w:val="clear" w:color="auto" w:fill="89A7D7"/>
          </w:tcPr>
          <w:p w:rsidR="006C17CB" w:rsidRDefault="006C17CB">
            <w:pPr>
              <w:pStyle w:val="TableParagraph"/>
              <w:spacing w:before="6"/>
              <w:jc w:val="left"/>
              <w:rPr>
                <w:rFonts w:ascii="Montserrat-Light"/>
                <w:sz w:val="24"/>
              </w:rPr>
            </w:pPr>
          </w:p>
          <w:p w:rsidR="006C17CB" w:rsidRDefault="0030091C">
            <w:pPr>
              <w:pStyle w:val="TableParagraph"/>
              <w:ind w:right="78"/>
              <w:rPr>
                <w:b/>
                <w:sz w:val="18"/>
              </w:rPr>
            </w:pPr>
            <w:r>
              <w:rPr>
                <w:b/>
                <w:sz w:val="18"/>
              </w:rPr>
              <w:t>Average time of rising</w:t>
            </w:r>
          </w:p>
        </w:tc>
      </w:tr>
      <w:tr w:rsidR="006C17CB">
        <w:trPr>
          <w:trHeight w:val="505"/>
        </w:trPr>
        <w:tc>
          <w:tcPr>
            <w:tcW w:w="2627" w:type="dxa"/>
            <w:tcBorders>
              <w:top w:val="nil"/>
              <w:left w:val="nil"/>
              <w:bottom w:val="single" w:sz="4" w:space="0" w:color="000000"/>
              <w:right w:val="single" w:sz="4" w:space="0" w:color="DADADA"/>
            </w:tcBorders>
          </w:tcPr>
          <w:p w:rsidR="006C17CB" w:rsidRDefault="0030091C">
            <w:pPr>
              <w:pStyle w:val="TableParagraph"/>
              <w:spacing w:before="109"/>
              <w:ind w:left="79"/>
              <w:jc w:val="left"/>
              <w:rPr>
                <w:sz w:val="18"/>
              </w:rPr>
            </w:pPr>
            <w:r>
              <w:rPr>
                <w:sz w:val="18"/>
              </w:rPr>
              <w:t>1988-1989</w:t>
            </w:r>
          </w:p>
        </w:tc>
        <w:tc>
          <w:tcPr>
            <w:tcW w:w="1167" w:type="dxa"/>
            <w:tcBorders>
              <w:top w:val="nil"/>
              <w:left w:val="single" w:sz="4" w:space="0" w:color="DADADA"/>
              <w:bottom w:val="single" w:sz="4" w:space="0" w:color="000000"/>
              <w:right w:val="single" w:sz="4" w:space="0" w:color="DADADA"/>
            </w:tcBorders>
          </w:tcPr>
          <w:p w:rsidR="006C17CB" w:rsidRDefault="0030091C">
            <w:pPr>
              <w:pStyle w:val="TableParagraph"/>
              <w:spacing w:before="109"/>
              <w:ind w:right="73"/>
              <w:rPr>
                <w:sz w:val="18"/>
              </w:rPr>
            </w:pPr>
            <w:r>
              <w:rPr>
                <w:sz w:val="18"/>
              </w:rPr>
              <w:t>10</w:t>
            </w:r>
          </w:p>
        </w:tc>
        <w:tc>
          <w:tcPr>
            <w:tcW w:w="1313" w:type="dxa"/>
            <w:tcBorders>
              <w:top w:val="nil"/>
              <w:left w:val="single" w:sz="4" w:space="0" w:color="DADADA"/>
              <w:bottom w:val="single" w:sz="4" w:space="0" w:color="000000"/>
              <w:right w:val="single" w:sz="4" w:space="0" w:color="DADADA"/>
            </w:tcBorders>
          </w:tcPr>
          <w:p w:rsidR="006C17CB" w:rsidRDefault="0030091C">
            <w:pPr>
              <w:pStyle w:val="TableParagraph"/>
              <w:spacing w:before="109"/>
              <w:ind w:right="73"/>
              <w:rPr>
                <w:sz w:val="18"/>
              </w:rPr>
            </w:pPr>
            <w:r>
              <w:rPr>
                <w:sz w:val="18"/>
              </w:rPr>
              <w:t>55</w:t>
            </w:r>
          </w:p>
        </w:tc>
        <w:tc>
          <w:tcPr>
            <w:tcW w:w="1346" w:type="dxa"/>
            <w:tcBorders>
              <w:top w:val="nil"/>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6</w:t>
            </w:r>
          </w:p>
        </w:tc>
        <w:tc>
          <w:tcPr>
            <w:tcW w:w="1247" w:type="dxa"/>
            <w:tcBorders>
              <w:top w:val="nil"/>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1</w:t>
            </w:r>
          </w:p>
        </w:tc>
        <w:tc>
          <w:tcPr>
            <w:tcW w:w="1918" w:type="dxa"/>
            <w:tcBorders>
              <w:top w:val="nil"/>
              <w:left w:val="single" w:sz="4" w:space="0" w:color="DADADA"/>
              <w:bottom w:val="single" w:sz="4" w:space="0" w:color="000000"/>
              <w:right w:val="nil"/>
            </w:tcBorders>
          </w:tcPr>
          <w:p w:rsidR="006C17CB" w:rsidRDefault="0030091C">
            <w:pPr>
              <w:pStyle w:val="TableParagraph"/>
              <w:spacing w:line="239" w:lineRule="exact"/>
              <w:ind w:left="860"/>
              <w:jc w:val="left"/>
              <w:rPr>
                <w:sz w:val="18"/>
              </w:rPr>
            </w:pPr>
            <w:r>
              <w:rPr>
                <w:sz w:val="18"/>
              </w:rPr>
              <w:t>Tues 6:12 pm</w:t>
            </w:r>
          </w:p>
          <w:p w:rsidR="006C17CB" w:rsidRDefault="0030091C">
            <w:pPr>
              <w:pStyle w:val="TableParagraph"/>
              <w:spacing w:line="240" w:lineRule="exact"/>
              <w:ind w:left="377"/>
              <w:jc w:val="left"/>
              <w:rPr>
                <w:sz w:val="18"/>
              </w:rPr>
            </w:pPr>
            <w:r>
              <w:rPr>
                <w:sz w:val="18"/>
              </w:rPr>
              <w:t>Wed/Thurs 4:12 pm</w:t>
            </w:r>
          </w:p>
        </w:tc>
      </w:tr>
      <w:tr w:rsidR="006C17CB">
        <w:trPr>
          <w:trHeight w:val="505"/>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109"/>
              <w:ind w:left="79"/>
              <w:jc w:val="left"/>
              <w:rPr>
                <w:sz w:val="18"/>
              </w:rPr>
            </w:pPr>
            <w:r>
              <w:rPr>
                <w:sz w:val="18"/>
              </w:rPr>
              <w:t>1989-1990</w:t>
            </w:r>
          </w:p>
        </w:tc>
        <w:tc>
          <w:tcPr>
            <w:tcW w:w="116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3"/>
              <w:rPr>
                <w:sz w:val="18"/>
              </w:rPr>
            </w:pPr>
            <w:r>
              <w:rPr>
                <w:sz w:val="18"/>
              </w:rPr>
              <w:t>54</w:t>
            </w:r>
          </w:p>
        </w:tc>
        <w:tc>
          <w:tcPr>
            <w:tcW w:w="131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353</w:t>
            </w:r>
          </w:p>
        </w:tc>
        <w:tc>
          <w:tcPr>
            <w:tcW w:w="134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7</w:t>
            </w:r>
          </w:p>
        </w:tc>
        <w:tc>
          <w:tcPr>
            <w:tcW w:w="124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8</w:t>
            </w:r>
          </w:p>
        </w:tc>
        <w:tc>
          <w:tcPr>
            <w:tcW w:w="1918" w:type="dxa"/>
            <w:tcBorders>
              <w:top w:val="single" w:sz="4" w:space="0" w:color="000000"/>
              <w:left w:val="single" w:sz="4" w:space="0" w:color="DADADA"/>
              <w:bottom w:val="single" w:sz="4" w:space="0" w:color="000000"/>
              <w:right w:val="nil"/>
            </w:tcBorders>
          </w:tcPr>
          <w:p w:rsidR="006C17CB" w:rsidRDefault="0030091C">
            <w:pPr>
              <w:pStyle w:val="TableParagraph"/>
              <w:spacing w:line="239" w:lineRule="exact"/>
              <w:ind w:left="860"/>
              <w:jc w:val="left"/>
              <w:rPr>
                <w:sz w:val="18"/>
              </w:rPr>
            </w:pPr>
            <w:r>
              <w:rPr>
                <w:sz w:val="18"/>
              </w:rPr>
              <w:t>Tues 9:00 pm</w:t>
            </w:r>
          </w:p>
          <w:p w:rsidR="006C17CB" w:rsidRDefault="0030091C">
            <w:pPr>
              <w:pStyle w:val="TableParagraph"/>
              <w:spacing w:line="240" w:lineRule="exact"/>
              <w:ind w:left="377"/>
              <w:jc w:val="left"/>
              <w:rPr>
                <w:sz w:val="18"/>
              </w:rPr>
            </w:pPr>
            <w:r>
              <w:rPr>
                <w:sz w:val="18"/>
              </w:rPr>
              <w:t>Wed/Thurs 5:10 pm</w:t>
            </w:r>
          </w:p>
        </w:tc>
      </w:tr>
      <w:tr w:rsidR="006C17CB">
        <w:trPr>
          <w:trHeight w:val="505"/>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109"/>
              <w:ind w:left="79"/>
              <w:jc w:val="left"/>
              <w:rPr>
                <w:sz w:val="18"/>
              </w:rPr>
            </w:pPr>
            <w:r>
              <w:rPr>
                <w:sz w:val="18"/>
              </w:rPr>
              <w:t>1990-1991</w:t>
            </w:r>
          </w:p>
        </w:tc>
        <w:tc>
          <w:tcPr>
            <w:tcW w:w="116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3"/>
              <w:rPr>
                <w:sz w:val="18"/>
              </w:rPr>
            </w:pPr>
            <w:r>
              <w:rPr>
                <w:sz w:val="18"/>
              </w:rPr>
              <w:t>49</w:t>
            </w:r>
          </w:p>
        </w:tc>
        <w:tc>
          <w:tcPr>
            <w:tcW w:w="131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338</w:t>
            </w:r>
          </w:p>
        </w:tc>
        <w:tc>
          <w:tcPr>
            <w:tcW w:w="134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7</w:t>
            </w:r>
          </w:p>
        </w:tc>
        <w:tc>
          <w:tcPr>
            <w:tcW w:w="124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8</w:t>
            </w:r>
          </w:p>
        </w:tc>
        <w:tc>
          <w:tcPr>
            <w:tcW w:w="1918" w:type="dxa"/>
            <w:tcBorders>
              <w:top w:val="single" w:sz="4" w:space="0" w:color="000000"/>
              <w:left w:val="single" w:sz="4" w:space="0" w:color="DADADA"/>
              <w:bottom w:val="single" w:sz="4" w:space="0" w:color="000000"/>
              <w:right w:val="nil"/>
            </w:tcBorders>
          </w:tcPr>
          <w:p w:rsidR="006C17CB" w:rsidRDefault="0030091C">
            <w:pPr>
              <w:pStyle w:val="TableParagraph"/>
              <w:spacing w:line="239" w:lineRule="exact"/>
              <w:ind w:left="860"/>
              <w:jc w:val="left"/>
              <w:rPr>
                <w:sz w:val="18"/>
              </w:rPr>
            </w:pPr>
            <w:r>
              <w:rPr>
                <w:sz w:val="18"/>
              </w:rPr>
              <w:t>Tues 9:00 pm</w:t>
            </w:r>
          </w:p>
          <w:p w:rsidR="006C17CB" w:rsidRDefault="0030091C">
            <w:pPr>
              <w:pStyle w:val="TableParagraph"/>
              <w:spacing w:line="240" w:lineRule="exact"/>
              <w:ind w:left="377"/>
              <w:jc w:val="left"/>
              <w:rPr>
                <w:sz w:val="18"/>
              </w:rPr>
            </w:pPr>
            <w:r>
              <w:rPr>
                <w:sz w:val="18"/>
              </w:rPr>
              <w:t>Wed/Thurs 5:45 pm</w:t>
            </w:r>
          </w:p>
        </w:tc>
      </w:tr>
      <w:tr w:rsidR="006C17CB">
        <w:trPr>
          <w:trHeight w:val="505"/>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109"/>
              <w:ind w:left="79"/>
              <w:jc w:val="left"/>
              <w:rPr>
                <w:sz w:val="18"/>
              </w:rPr>
            </w:pPr>
            <w:r>
              <w:rPr>
                <w:sz w:val="18"/>
              </w:rPr>
              <w:t>1991-1992</w:t>
            </w:r>
          </w:p>
        </w:tc>
        <w:tc>
          <w:tcPr>
            <w:tcW w:w="116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3"/>
              <w:rPr>
                <w:sz w:val="18"/>
              </w:rPr>
            </w:pPr>
            <w:r>
              <w:rPr>
                <w:sz w:val="18"/>
              </w:rPr>
              <w:t>48</w:t>
            </w:r>
          </w:p>
        </w:tc>
        <w:tc>
          <w:tcPr>
            <w:tcW w:w="131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354</w:t>
            </w:r>
          </w:p>
        </w:tc>
        <w:tc>
          <w:tcPr>
            <w:tcW w:w="134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7</w:t>
            </w:r>
          </w:p>
        </w:tc>
        <w:tc>
          <w:tcPr>
            <w:tcW w:w="124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12</w:t>
            </w:r>
          </w:p>
        </w:tc>
        <w:tc>
          <w:tcPr>
            <w:tcW w:w="1918" w:type="dxa"/>
            <w:tcBorders>
              <w:top w:val="single" w:sz="4" w:space="0" w:color="000000"/>
              <w:left w:val="single" w:sz="4" w:space="0" w:color="DADADA"/>
              <w:bottom w:val="single" w:sz="4" w:space="0" w:color="000000"/>
              <w:right w:val="nil"/>
            </w:tcBorders>
          </w:tcPr>
          <w:p w:rsidR="006C17CB" w:rsidRDefault="0030091C">
            <w:pPr>
              <w:pStyle w:val="TableParagraph"/>
              <w:spacing w:before="30" w:line="204" w:lineRule="auto"/>
              <w:ind w:left="377" w:firstLine="432"/>
              <w:jc w:val="left"/>
              <w:rPr>
                <w:sz w:val="18"/>
              </w:rPr>
            </w:pPr>
            <w:r>
              <w:rPr>
                <w:sz w:val="18"/>
              </w:rPr>
              <w:t>Tues10:00 pm Wed/Thurs 5:42 pm</w:t>
            </w:r>
          </w:p>
        </w:tc>
      </w:tr>
      <w:tr w:rsidR="006C17CB">
        <w:trPr>
          <w:trHeight w:val="505"/>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109"/>
              <w:ind w:left="79"/>
              <w:jc w:val="left"/>
              <w:rPr>
                <w:sz w:val="18"/>
              </w:rPr>
            </w:pPr>
            <w:r>
              <w:rPr>
                <w:sz w:val="18"/>
              </w:rPr>
              <w:t>1992-1993</w:t>
            </w:r>
          </w:p>
        </w:tc>
        <w:tc>
          <w:tcPr>
            <w:tcW w:w="116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3"/>
              <w:rPr>
                <w:sz w:val="18"/>
              </w:rPr>
            </w:pPr>
            <w:r>
              <w:rPr>
                <w:sz w:val="18"/>
              </w:rPr>
              <w:t>51</w:t>
            </w:r>
          </w:p>
        </w:tc>
        <w:tc>
          <w:tcPr>
            <w:tcW w:w="131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356</w:t>
            </w:r>
          </w:p>
        </w:tc>
        <w:tc>
          <w:tcPr>
            <w:tcW w:w="134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7</w:t>
            </w:r>
          </w:p>
        </w:tc>
        <w:tc>
          <w:tcPr>
            <w:tcW w:w="124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10</w:t>
            </w:r>
          </w:p>
        </w:tc>
        <w:tc>
          <w:tcPr>
            <w:tcW w:w="1918" w:type="dxa"/>
            <w:tcBorders>
              <w:top w:val="single" w:sz="4" w:space="0" w:color="000000"/>
              <w:left w:val="single" w:sz="4" w:space="0" w:color="DADADA"/>
              <w:bottom w:val="single" w:sz="4" w:space="0" w:color="000000"/>
              <w:right w:val="nil"/>
            </w:tcBorders>
          </w:tcPr>
          <w:p w:rsidR="006C17CB" w:rsidRDefault="0030091C">
            <w:pPr>
              <w:pStyle w:val="TableParagraph"/>
              <w:spacing w:line="239" w:lineRule="exact"/>
              <w:ind w:left="860"/>
              <w:jc w:val="left"/>
              <w:rPr>
                <w:sz w:val="18"/>
              </w:rPr>
            </w:pPr>
            <w:r>
              <w:rPr>
                <w:sz w:val="18"/>
              </w:rPr>
              <w:t>Tues 9:55 pm</w:t>
            </w:r>
          </w:p>
          <w:p w:rsidR="006C17CB" w:rsidRDefault="0030091C">
            <w:pPr>
              <w:pStyle w:val="TableParagraph"/>
              <w:spacing w:line="240" w:lineRule="exact"/>
              <w:ind w:left="377"/>
              <w:jc w:val="left"/>
              <w:rPr>
                <w:sz w:val="18"/>
              </w:rPr>
            </w:pPr>
            <w:r>
              <w:rPr>
                <w:sz w:val="18"/>
              </w:rPr>
              <w:t>Wed/Thurs 6:48 pm</w:t>
            </w:r>
          </w:p>
        </w:tc>
      </w:tr>
      <w:tr w:rsidR="006C17CB">
        <w:trPr>
          <w:trHeight w:val="505"/>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109"/>
              <w:ind w:left="79"/>
              <w:jc w:val="left"/>
              <w:rPr>
                <w:sz w:val="18"/>
              </w:rPr>
            </w:pPr>
            <w:r>
              <w:rPr>
                <w:sz w:val="18"/>
              </w:rPr>
              <w:t>1993-1994</w:t>
            </w:r>
          </w:p>
        </w:tc>
        <w:tc>
          <w:tcPr>
            <w:tcW w:w="116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3"/>
              <w:rPr>
                <w:sz w:val="18"/>
              </w:rPr>
            </w:pPr>
            <w:r>
              <w:rPr>
                <w:sz w:val="18"/>
              </w:rPr>
              <w:t>46</w:t>
            </w:r>
          </w:p>
        </w:tc>
        <w:tc>
          <w:tcPr>
            <w:tcW w:w="131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324</w:t>
            </w:r>
          </w:p>
        </w:tc>
        <w:tc>
          <w:tcPr>
            <w:tcW w:w="134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7</w:t>
            </w:r>
          </w:p>
        </w:tc>
        <w:tc>
          <w:tcPr>
            <w:tcW w:w="124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5</w:t>
            </w:r>
          </w:p>
        </w:tc>
        <w:tc>
          <w:tcPr>
            <w:tcW w:w="1918" w:type="dxa"/>
            <w:tcBorders>
              <w:top w:val="single" w:sz="4" w:space="0" w:color="000000"/>
              <w:left w:val="single" w:sz="4" w:space="0" w:color="DADADA"/>
              <w:bottom w:val="single" w:sz="4" w:space="0" w:color="000000"/>
              <w:right w:val="nil"/>
            </w:tcBorders>
          </w:tcPr>
          <w:p w:rsidR="006C17CB" w:rsidRDefault="0030091C">
            <w:pPr>
              <w:pStyle w:val="TableParagraph"/>
              <w:spacing w:line="239" w:lineRule="exact"/>
              <w:ind w:left="860"/>
              <w:jc w:val="left"/>
              <w:rPr>
                <w:sz w:val="18"/>
              </w:rPr>
            </w:pPr>
            <w:r>
              <w:rPr>
                <w:sz w:val="18"/>
              </w:rPr>
              <w:t>Tues 9:36 pm</w:t>
            </w:r>
          </w:p>
          <w:p w:rsidR="006C17CB" w:rsidRDefault="0030091C">
            <w:pPr>
              <w:pStyle w:val="TableParagraph"/>
              <w:spacing w:line="240" w:lineRule="exact"/>
              <w:ind w:left="377"/>
              <w:jc w:val="left"/>
              <w:rPr>
                <w:sz w:val="18"/>
              </w:rPr>
            </w:pPr>
            <w:r>
              <w:rPr>
                <w:sz w:val="18"/>
              </w:rPr>
              <w:t>Wed/Thurs 5:30 pm</w:t>
            </w:r>
          </w:p>
        </w:tc>
      </w:tr>
      <w:tr w:rsidR="006C17CB">
        <w:trPr>
          <w:trHeight w:val="505"/>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109"/>
              <w:ind w:left="79"/>
              <w:jc w:val="left"/>
              <w:rPr>
                <w:sz w:val="18"/>
              </w:rPr>
            </w:pPr>
            <w:r>
              <w:rPr>
                <w:sz w:val="18"/>
              </w:rPr>
              <w:t>1994-1995</w:t>
            </w:r>
          </w:p>
        </w:tc>
        <w:tc>
          <w:tcPr>
            <w:tcW w:w="116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3"/>
              <w:rPr>
                <w:sz w:val="18"/>
              </w:rPr>
            </w:pPr>
            <w:r>
              <w:rPr>
                <w:sz w:val="18"/>
              </w:rPr>
              <w:t>34</w:t>
            </w:r>
          </w:p>
        </w:tc>
        <w:tc>
          <w:tcPr>
            <w:tcW w:w="131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249</w:t>
            </w:r>
          </w:p>
        </w:tc>
        <w:tc>
          <w:tcPr>
            <w:tcW w:w="134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7</w:t>
            </w:r>
          </w:p>
        </w:tc>
        <w:tc>
          <w:tcPr>
            <w:tcW w:w="124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109"/>
              <w:ind w:right="72"/>
              <w:rPr>
                <w:sz w:val="18"/>
              </w:rPr>
            </w:pPr>
            <w:r>
              <w:rPr>
                <w:sz w:val="18"/>
              </w:rPr>
              <w:t>5</w:t>
            </w:r>
          </w:p>
        </w:tc>
        <w:tc>
          <w:tcPr>
            <w:tcW w:w="1918" w:type="dxa"/>
            <w:tcBorders>
              <w:top w:val="single" w:sz="4" w:space="0" w:color="000000"/>
              <w:left w:val="single" w:sz="4" w:space="0" w:color="DADADA"/>
              <w:bottom w:val="single" w:sz="4" w:space="0" w:color="000000"/>
              <w:right w:val="nil"/>
            </w:tcBorders>
          </w:tcPr>
          <w:p w:rsidR="006C17CB" w:rsidRDefault="0030091C">
            <w:pPr>
              <w:pStyle w:val="TableParagraph"/>
              <w:spacing w:line="239" w:lineRule="exact"/>
              <w:ind w:left="860"/>
              <w:jc w:val="left"/>
              <w:rPr>
                <w:sz w:val="18"/>
              </w:rPr>
            </w:pPr>
            <w:r>
              <w:rPr>
                <w:sz w:val="18"/>
              </w:rPr>
              <w:t>Tues 9:32 pm</w:t>
            </w:r>
          </w:p>
          <w:p w:rsidR="006C17CB" w:rsidRDefault="0030091C">
            <w:pPr>
              <w:pStyle w:val="TableParagraph"/>
              <w:spacing w:line="240" w:lineRule="exact"/>
              <w:ind w:left="377"/>
              <w:jc w:val="left"/>
              <w:rPr>
                <w:sz w:val="18"/>
              </w:rPr>
            </w:pPr>
            <w:r>
              <w:rPr>
                <w:sz w:val="18"/>
              </w:rPr>
              <w:t>Wed/Thurs 5:42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1995-1996</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45</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314</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7</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5:33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1996-1997</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39</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315</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6:34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1997-1998</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34</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278</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6:32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1998-1999</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40</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317</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6</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6:43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1999-2000</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41</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344</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7:11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2000-2001</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37</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306</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9</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6:46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2001-2002</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34</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275</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9</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6:22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2002-2003</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40</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346</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9</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10</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7:08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2003-2004</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43</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414</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10</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16</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8:08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2004-2005</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36</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290</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5</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6:38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2005-2006</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41</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312</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6:04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2006-2007</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38</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292</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6:11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2007-2008</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40</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347</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9</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7</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7:10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2008-2009</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38</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323</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9</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5</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6:40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2009-2010</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41</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350</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9</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6:32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2010-2011</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44</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397</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9</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6</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7:01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2011-2012</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42</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359</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9</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6:38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2012-2013</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29</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222</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5:40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2013-2014</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36</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288</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5:59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2014-2015</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44</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335</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5.37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2015-2016</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36</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292</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6.07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2016-2017</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25</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201</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6.02 pm</w:t>
            </w:r>
          </w:p>
        </w:tc>
      </w:tr>
      <w:tr w:rsidR="006C17CB">
        <w:trPr>
          <w:trHeight w:val="352"/>
        </w:trPr>
        <w:tc>
          <w:tcPr>
            <w:tcW w:w="2627"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2017-2018</w:t>
            </w:r>
          </w:p>
        </w:tc>
        <w:tc>
          <w:tcPr>
            <w:tcW w:w="116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3"/>
              <w:rPr>
                <w:sz w:val="18"/>
              </w:rPr>
            </w:pPr>
            <w:r>
              <w:rPr>
                <w:sz w:val="18"/>
              </w:rPr>
              <w:t>42</w:t>
            </w:r>
          </w:p>
        </w:tc>
        <w:tc>
          <w:tcPr>
            <w:tcW w:w="131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329</w:t>
            </w:r>
          </w:p>
        </w:tc>
        <w:tc>
          <w:tcPr>
            <w:tcW w:w="1346"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w:t>
            </w:r>
          </w:p>
        </w:tc>
        <w:tc>
          <w:tcPr>
            <w:tcW w:w="124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918"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8"/>
              <w:rPr>
                <w:sz w:val="18"/>
              </w:rPr>
            </w:pPr>
            <w:r>
              <w:rPr>
                <w:sz w:val="18"/>
              </w:rPr>
              <w:t>5.48 pm</w:t>
            </w:r>
          </w:p>
        </w:tc>
      </w:tr>
    </w:tbl>
    <w:p w:rsidR="006C17CB" w:rsidRDefault="006C17CB">
      <w:pPr>
        <w:pStyle w:val="BodyText"/>
        <w:spacing w:before="1"/>
        <w:rPr>
          <w:rFonts w:ascii="Montserrat-Light"/>
          <w:sz w:val="23"/>
        </w:rPr>
      </w:pPr>
    </w:p>
    <w:p w:rsidR="006C17CB" w:rsidRDefault="0030091C">
      <w:pPr>
        <w:spacing w:before="24"/>
        <w:ind w:left="153"/>
        <w:rPr>
          <w:rFonts w:ascii="Calibri"/>
          <w:sz w:val="18"/>
        </w:rPr>
      </w:pPr>
      <w:r>
        <w:rPr>
          <w:rFonts w:ascii="Calibri"/>
          <w:sz w:val="18"/>
        </w:rPr>
        <w:t>*Includes time expended in suspensions and meal breaks.</w:t>
      </w:r>
    </w:p>
    <w:p w:rsidR="006C17CB" w:rsidRDefault="006C17CB">
      <w:pPr>
        <w:rPr>
          <w:rFonts w:ascii="Calibri"/>
          <w:sz w:val="18"/>
        </w:rPr>
        <w:sectPr w:rsidR="006C17CB">
          <w:headerReference w:type="even" r:id="rId87"/>
          <w:headerReference w:type="default" r:id="rId88"/>
          <w:footerReference w:type="even" r:id="rId89"/>
          <w:footerReference w:type="default" r:id="rId90"/>
          <w:pgSz w:w="11910" w:h="16840"/>
          <w:pgMar w:top="1540" w:right="0" w:bottom="720" w:left="980" w:header="1132" w:footer="523" w:gutter="0"/>
          <w:pgNumType w:start="58"/>
          <w:cols w:space="720"/>
        </w:sect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spacing w:before="4"/>
        <w:rPr>
          <w:rFonts w:ascii="Times New Roman"/>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1890"/>
        <w:gridCol w:w="1292"/>
        <w:gridCol w:w="1293"/>
        <w:gridCol w:w="1292"/>
        <w:gridCol w:w="1293"/>
        <w:gridCol w:w="1292"/>
        <w:gridCol w:w="1293"/>
      </w:tblGrid>
      <w:tr w:rsidR="006C17CB">
        <w:trPr>
          <w:trHeight w:val="963"/>
        </w:trPr>
        <w:tc>
          <w:tcPr>
            <w:tcW w:w="1890" w:type="dxa"/>
            <w:tcBorders>
              <w:top w:val="nil"/>
              <w:left w:val="nil"/>
              <w:bottom w:val="nil"/>
            </w:tcBorders>
            <w:shd w:val="clear" w:color="auto" w:fill="89A7D7"/>
          </w:tcPr>
          <w:p w:rsidR="006C17CB" w:rsidRDefault="006C17CB">
            <w:pPr>
              <w:pStyle w:val="TableParagraph"/>
              <w:jc w:val="left"/>
              <w:rPr>
                <w:rFonts w:ascii="Times New Roman"/>
                <w:sz w:val="18"/>
              </w:rPr>
            </w:pPr>
          </w:p>
          <w:p w:rsidR="006C17CB" w:rsidRDefault="006C17CB">
            <w:pPr>
              <w:pStyle w:val="TableParagraph"/>
              <w:jc w:val="left"/>
              <w:rPr>
                <w:rFonts w:ascii="Times New Roman"/>
                <w:sz w:val="18"/>
              </w:rPr>
            </w:pPr>
          </w:p>
          <w:p w:rsidR="006C17CB" w:rsidRDefault="006C17CB">
            <w:pPr>
              <w:pStyle w:val="TableParagraph"/>
              <w:spacing w:before="6"/>
              <w:jc w:val="left"/>
              <w:rPr>
                <w:rFonts w:ascii="Times New Roman"/>
                <w:sz w:val="19"/>
              </w:rPr>
            </w:pPr>
          </w:p>
          <w:p w:rsidR="006C17CB" w:rsidRDefault="0030091C">
            <w:pPr>
              <w:pStyle w:val="TableParagraph"/>
              <w:spacing w:before="1"/>
              <w:ind w:left="79"/>
              <w:jc w:val="left"/>
              <w:rPr>
                <w:b/>
                <w:sz w:val="18"/>
              </w:rPr>
            </w:pPr>
            <w:bookmarkStart w:id="81" w:name="Appendix_2_–_Proceedings"/>
            <w:bookmarkStart w:id="82" w:name="_bookmark27"/>
            <w:bookmarkEnd w:id="81"/>
            <w:bookmarkEnd w:id="82"/>
            <w:r>
              <w:rPr>
                <w:b/>
                <w:sz w:val="18"/>
              </w:rPr>
              <w:t>Financial year</w:t>
            </w:r>
          </w:p>
        </w:tc>
        <w:tc>
          <w:tcPr>
            <w:tcW w:w="1292" w:type="dxa"/>
            <w:tcBorders>
              <w:top w:val="nil"/>
              <w:bottom w:val="nil"/>
            </w:tcBorders>
            <w:shd w:val="clear" w:color="auto" w:fill="89A7D7"/>
          </w:tcPr>
          <w:p w:rsidR="006C17CB" w:rsidRDefault="006C17CB">
            <w:pPr>
              <w:pStyle w:val="TableParagraph"/>
              <w:jc w:val="left"/>
              <w:rPr>
                <w:rFonts w:ascii="Times New Roman"/>
                <w:sz w:val="25"/>
              </w:rPr>
            </w:pPr>
          </w:p>
          <w:p w:rsidR="006C17CB" w:rsidRDefault="0030091C">
            <w:pPr>
              <w:pStyle w:val="TableParagraph"/>
              <w:spacing w:line="184" w:lineRule="auto"/>
              <w:ind w:left="206" w:right="53" w:firstLine="310"/>
              <w:jc w:val="left"/>
              <w:rPr>
                <w:b/>
                <w:sz w:val="18"/>
              </w:rPr>
            </w:pPr>
            <w:r>
              <w:rPr>
                <w:b/>
                <w:sz w:val="18"/>
              </w:rPr>
              <w:t>Sittings – adjournment</w:t>
            </w:r>
          </w:p>
          <w:p w:rsidR="006C17CB" w:rsidRDefault="0030091C">
            <w:pPr>
              <w:pStyle w:val="TableParagraph"/>
              <w:spacing w:line="211" w:lineRule="exact"/>
              <w:ind w:left="668"/>
              <w:jc w:val="left"/>
              <w:rPr>
                <w:b/>
                <w:sz w:val="18"/>
              </w:rPr>
            </w:pPr>
            <w:r>
              <w:rPr>
                <w:b/>
                <w:sz w:val="18"/>
              </w:rPr>
              <w:t>debate</w:t>
            </w:r>
          </w:p>
        </w:tc>
        <w:tc>
          <w:tcPr>
            <w:tcW w:w="1293" w:type="dxa"/>
            <w:tcBorders>
              <w:top w:val="nil"/>
              <w:bottom w:val="nil"/>
            </w:tcBorders>
            <w:shd w:val="clear" w:color="auto" w:fill="89A7D7"/>
          </w:tcPr>
          <w:p w:rsidR="006C17CB" w:rsidRDefault="006C17CB">
            <w:pPr>
              <w:pStyle w:val="TableParagraph"/>
              <w:jc w:val="left"/>
              <w:rPr>
                <w:rFonts w:ascii="Times New Roman"/>
                <w:sz w:val="25"/>
              </w:rPr>
            </w:pPr>
          </w:p>
          <w:p w:rsidR="006C17CB" w:rsidRDefault="0030091C">
            <w:pPr>
              <w:pStyle w:val="TableParagraph"/>
              <w:spacing w:line="184" w:lineRule="auto"/>
              <w:ind w:left="207" w:right="55" w:firstLine="74"/>
              <w:jc w:val="left"/>
              <w:rPr>
                <w:b/>
                <w:sz w:val="18"/>
              </w:rPr>
            </w:pPr>
            <w:r>
              <w:rPr>
                <w:b/>
                <w:sz w:val="18"/>
              </w:rPr>
              <w:t>Sittings – no adjournment</w:t>
            </w:r>
          </w:p>
          <w:p w:rsidR="006C17CB" w:rsidRDefault="0030091C">
            <w:pPr>
              <w:pStyle w:val="TableParagraph"/>
              <w:spacing w:line="211" w:lineRule="exact"/>
              <w:ind w:left="669"/>
              <w:jc w:val="left"/>
              <w:rPr>
                <w:b/>
                <w:sz w:val="18"/>
              </w:rPr>
            </w:pPr>
            <w:r>
              <w:rPr>
                <w:b/>
                <w:sz w:val="18"/>
              </w:rPr>
              <w:t>debate</w:t>
            </w:r>
          </w:p>
        </w:tc>
        <w:tc>
          <w:tcPr>
            <w:tcW w:w="1292" w:type="dxa"/>
            <w:tcBorders>
              <w:top w:val="nil"/>
              <w:bottom w:val="nil"/>
            </w:tcBorders>
            <w:shd w:val="clear" w:color="auto" w:fill="89A7D7"/>
          </w:tcPr>
          <w:p w:rsidR="006C17CB" w:rsidRDefault="0030091C">
            <w:pPr>
              <w:pStyle w:val="TableParagraph"/>
              <w:spacing w:before="88" w:line="184" w:lineRule="auto"/>
              <w:ind w:left="101" w:right="66" w:firstLine="460"/>
              <w:rPr>
                <w:b/>
                <w:sz w:val="18"/>
              </w:rPr>
            </w:pPr>
            <w:r>
              <w:rPr>
                <w:b/>
                <w:w w:val="95"/>
                <w:sz w:val="18"/>
              </w:rPr>
              <w:t xml:space="preserve">Petitions </w:t>
            </w:r>
            <w:r>
              <w:rPr>
                <w:b/>
                <w:sz w:val="18"/>
              </w:rPr>
              <w:t>presented and referred to ministers</w:t>
            </w:r>
          </w:p>
        </w:tc>
        <w:tc>
          <w:tcPr>
            <w:tcW w:w="1293" w:type="dxa"/>
            <w:tcBorders>
              <w:top w:val="nil"/>
              <w:bottom w:val="nil"/>
            </w:tcBorders>
            <w:shd w:val="clear" w:color="auto" w:fill="89A7D7"/>
          </w:tcPr>
          <w:p w:rsidR="006C17CB" w:rsidRDefault="006C17CB">
            <w:pPr>
              <w:pStyle w:val="TableParagraph"/>
              <w:jc w:val="left"/>
              <w:rPr>
                <w:rFonts w:ascii="Times New Roman"/>
                <w:sz w:val="18"/>
              </w:rPr>
            </w:pPr>
          </w:p>
          <w:p w:rsidR="006C17CB" w:rsidRDefault="006C17CB">
            <w:pPr>
              <w:pStyle w:val="TableParagraph"/>
              <w:jc w:val="left"/>
              <w:rPr>
                <w:rFonts w:ascii="Times New Roman"/>
                <w:sz w:val="18"/>
              </w:rPr>
            </w:pPr>
          </w:p>
          <w:p w:rsidR="006C17CB" w:rsidRDefault="006C17CB">
            <w:pPr>
              <w:pStyle w:val="TableParagraph"/>
              <w:spacing w:before="6"/>
              <w:jc w:val="left"/>
              <w:rPr>
                <w:rFonts w:ascii="Times New Roman"/>
                <w:sz w:val="19"/>
              </w:rPr>
            </w:pPr>
          </w:p>
          <w:p w:rsidR="006C17CB" w:rsidRDefault="0030091C">
            <w:pPr>
              <w:pStyle w:val="TableParagraph"/>
              <w:spacing w:before="1"/>
              <w:ind w:right="68"/>
              <w:rPr>
                <w:b/>
                <w:sz w:val="18"/>
              </w:rPr>
            </w:pPr>
            <w:r>
              <w:rPr>
                <w:b/>
                <w:sz w:val="18"/>
              </w:rPr>
              <w:t>Votes</w:t>
            </w:r>
          </w:p>
        </w:tc>
        <w:tc>
          <w:tcPr>
            <w:tcW w:w="1292" w:type="dxa"/>
            <w:tcBorders>
              <w:top w:val="nil"/>
              <w:bottom w:val="nil"/>
            </w:tcBorders>
            <w:shd w:val="clear" w:color="auto" w:fill="89A7D7"/>
          </w:tcPr>
          <w:p w:rsidR="006C17CB" w:rsidRDefault="006C17CB">
            <w:pPr>
              <w:pStyle w:val="TableParagraph"/>
              <w:jc w:val="left"/>
              <w:rPr>
                <w:rFonts w:ascii="Times New Roman"/>
                <w:sz w:val="25"/>
              </w:rPr>
            </w:pPr>
          </w:p>
          <w:p w:rsidR="006C17CB" w:rsidRDefault="0030091C">
            <w:pPr>
              <w:pStyle w:val="TableParagraph"/>
              <w:spacing w:line="184" w:lineRule="auto"/>
              <w:ind w:left="468" w:right="67" w:hanging="18"/>
              <w:jc w:val="both"/>
              <w:rPr>
                <w:b/>
                <w:sz w:val="18"/>
              </w:rPr>
            </w:pPr>
            <w:r>
              <w:rPr>
                <w:b/>
                <w:sz w:val="18"/>
              </w:rPr>
              <w:t>Closure of questions agreed to</w:t>
            </w:r>
          </w:p>
        </w:tc>
        <w:tc>
          <w:tcPr>
            <w:tcW w:w="1293" w:type="dxa"/>
            <w:tcBorders>
              <w:top w:val="nil"/>
              <w:bottom w:val="nil"/>
              <w:right w:val="nil"/>
            </w:tcBorders>
            <w:shd w:val="clear" w:color="auto" w:fill="89A7D7"/>
          </w:tcPr>
          <w:p w:rsidR="006C17CB" w:rsidRDefault="0030091C">
            <w:pPr>
              <w:pStyle w:val="TableParagraph"/>
              <w:spacing w:before="88" w:line="184" w:lineRule="auto"/>
              <w:ind w:left="319" w:right="75" w:firstLine="282"/>
              <w:rPr>
                <w:b/>
                <w:sz w:val="18"/>
              </w:rPr>
            </w:pPr>
            <w:r>
              <w:rPr>
                <w:b/>
                <w:sz w:val="18"/>
              </w:rPr>
              <w:t>Matters of public importance discussed</w:t>
            </w:r>
          </w:p>
        </w:tc>
      </w:tr>
      <w:tr w:rsidR="006C17CB">
        <w:trPr>
          <w:trHeight w:val="386"/>
        </w:trPr>
        <w:tc>
          <w:tcPr>
            <w:tcW w:w="1890"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1988-1989</w:t>
            </w:r>
          </w:p>
        </w:tc>
        <w:tc>
          <w:tcPr>
            <w:tcW w:w="1292" w:type="dxa"/>
            <w:tcBorders>
              <w:top w:val="nil"/>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6</w:t>
            </w:r>
          </w:p>
        </w:tc>
        <w:tc>
          <w:tcPr>
            <w:tcW w:w="1293"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w:t>
            </w:r>
          </w:p>
        </w:tc>
        <w:tc>
          <w:tcPr>
            <w:tcW w:w="1292"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w:t>
            </w:r>
          </w:p>
        </w:tc>
        <w:tc>
          <w:tcPr>
            <w:tcW w:w="1293"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w:t>
            </w:r>
          </w:p>
        </w:tc>
        <w:tc>
          <w:tcPr>
            <w:tcW w:w="1292"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w:t>
            </w:r>
          </w:p>
        </w:tc>
        <w:tc>
          <w:tcPr>
            <w:tcW w:w="1293" w:type="dxa"/>
            <w:tcBorders>
              <w:top w:val="nil"/>
              <w:left w:val="dashed" w:sz="4" w:space="0" w:color="DADADA"/>
              <w:bottom w:val="single" w:sz="4" w:space="0" w:color="000000"/>
              <w:right w:val="nil"/>
            </w:tcBorders>
          </w:tcPr>
          <w:p w:rsidR="006C17CB" w:rsidRDefault="0030091C">
            <w:pPr>
              <w:pStyle w:val="TableParagraph"/>
              <w:spacing w:before="50"/>
              <w:ind w:right="78"/>
              <w:rPr>
                <w:sz w:val="18"/>
              </w:rPr>
            </w:pPr>
            <w:r>
              <w:rPr>
                <w:sz w:val="18"/>
              </w:rPr>
              <w:t>4</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1989-1990</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37</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17</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31</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127</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16</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25</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1990-1991</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38</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11</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23</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108</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18</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30</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1991-1992</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30</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18</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33</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119</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21</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28</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1992-1993</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32</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19</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34</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137</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41</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1993-1994</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20</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26</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10</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49</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25</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1994-1995</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21</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13</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11</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57</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18</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1995-1996</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29</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16</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46</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96</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10</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1996-1997</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31</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8</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36</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100</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10</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1997-1998</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24</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10</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25</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76</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10</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1998-1999</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29</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11</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20</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88</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10</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1999-2000</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35</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6</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14</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118</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4</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2000-2001</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18</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19</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6</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128</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4</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2001-2002</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26</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8</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23</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65</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15</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2002-2003</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27</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13</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23</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84</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0</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12</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2003-2004</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39</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34</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132</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25</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2004-2005</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32</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6</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86</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6</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20</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2005-2006</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39</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13</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95</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7</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24</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2006-2007</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35</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40</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77</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11</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22</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2007-2008</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33</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7</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25</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92</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10</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21</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2008-2009</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32</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6</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15</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98</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26</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2009-2010</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38</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10</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107</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23</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2010-2011</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42</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16</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149</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23</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2011-2012</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41</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12</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154</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25</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2012-2013</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24</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5</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74</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14</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2013-2014</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33</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8</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81</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20</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2014-2015</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42</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18</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87</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24</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2015-2016</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34</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8</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90</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20</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2016-2017</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22</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18</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40</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10</w:t>
            </w:r>
          </w:p>
        </w:tc>
      </w:tr>
      <w:tr w:rsidR="006C17CB">
        <w:trPr>
          <w:trHeight w:val="386"/>
        </w:trPr>
        <w:tc>
          <w:tcPr>
            <w:tcW w:w="189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2017-2018</w:t>
            </w:r>
          </w:p>
        </w:tc>
        <w:tc>
          <w:tcPr>
            <w:tcW w:w="1292"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41</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28</w:t>
            </w:r>
          </w:p>
        </w:tc>
        <w:tc>
          <w:tcPr>
            <w:tcW w:w="129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60</w:t>
            </w:r>
          </w:p>
        </w:tc>
        <w:tc>
          <w:tcPr>
            <w:tcW w:w="12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w:t>
            </w:r>
          </w:p>
        </w:tc>
        <w:tc>
          <w:tcPr>
            <w:tcW w:w="1293"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18</w:t>
            </w:r>
          </w:p>
        </w:tc>
      </w:tr>
    </w:tbl>
    <w:p w:rsidR="006C17CB" w:rsidRDefault="006C17CB">
      <w:pPr>
        <w:rPr>
          <w:sz w:val="18"/>
        </w:rPr>
        <w:sectPr w:rsidR="006C17CB">
          <w:pgSz w:w="11910" w:h="16840"/>
          <w:pgMar w:top="1540" w:right="0" w:bottom="740" w:left="980" w:header="1132" w:footer="551" w:gutter="0"/>
          <w:cols w:space="720"/>
        </w:sect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spacing w:before="4"/>
        <w:rPr>
          <w:rFonts w:ascii="Times New Roman"/>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3420"/>
        <w:gridCol w:w="1575"/>
        <w:gridCol w:w="1663"/>
        <w:gridCol w:w="2981"/>
      </w:tblGrid>
      <w:tr w:rsidR="006C17CB">
        <w:trPr>
          <w:trHeight w:val="396"/>
        </w:trPr>
        <w:tc>
          <w:tcPr>
            <w:tcW w:w="3420" w:type="dxa"/>
            <w:tcBorders>
              <w:top w:val="nil"/>
              <w:left w:val="nil"/>
              <w:bottom w:val="nil"/>
            </w:tcBorders>
            <w:shd w:val="clear" w:color="auto" w:fill="89A7D7"/>
          </w:tcPr>
          <w:p w:rsidR="006C17CB" w:rsidRDefault="0030091C">
            <w:pPr>
              <w:pStyle w:val="TableParagraph"/>
              <w:spacing w:before="72"/>
              <w:ind w:left="79"/>
              <w:jc w:val="left"/>
              <w:rPr>
                <w:b/>
                <w:sz w:val="18"/>
              </w:rPr>
            </w:pPr>
            <w:bookmarkStart w:id="83" w:name="Appendix_3_–_Minutes_of_proceedings"/>
            <w:bookmarkStart w:id="84" w:name="_bookmark28"/>
            <w:bookmarkEnd w:id="83"/>
            <w:bookmarkEnd w:id="84"/>
            <w:r>
              <w:rPr>
                <w:b/>
                <w:sz w:val="18"/>
              </w:rPr>
              <w:t>Year</w:t>
            </w:r>
          </w:p>
        </w:tc>
        <w:tc>
          <w:tcPr>
            <w:tcW w:w="1575" w:type="dxa"/>
            <w:tcBorders>
              <w:top w:val="nil"/>
              <w:bottom w:val="nil"/>
              <w:right w:val="dashed" w:sz="4" w:space="0" w:color="7098D0"/>
            </w:tcBorders>
            <w:shd w:val="clear" w:color="auto" w:fill="89A7D7"/>
          </w:tcPr>
          <w:p w:rsidR="006C17CB" w:rsidRDefault="0030091C">
            <w:pPr>
              <w:pStyle w:val="TableParagraph"/>
              <w:spacing w:before="72"/>
              <w:ind w:right="72"/>
              <w:rPr>
                <w:b/>
                <w:sz w:val="18"/>
              </w:rPr>
            </w:pPr>
            <w:r>
              <w:rPr>
                <w:b/>
                <w:sz w:val="18"/>
              </w:rPr>
              <w:t>Number of pages</w:t>
            </w:r>
          </w:p>
        </w:tc>
        <w:tc>
          <w:tcPr>
            <w:tcW w:w="1663" w:type="dxa"/>
            <w:tcBorders>
              <w:top w:val="nil"/>
              <w:left w:val="dashed" w:sz="4" w:space="0" w:color="7098D0"/>
              <w:bottom w:val="nil"/>
              <w:right w:val="dashed" w:sz="4" w:space="0" w:color="7098D0"/>
            </w:tcBorders>
            <w:shd w:val="clear" w:color="auto" w:fill="89A7D7"/>
          </w:tcPr>
          <w:p w:rsidR="006C17CB" w:rsidRDefault="0030091C">
            <w:pPr>
              <w:pStyle w:val="TableParagraph"/>
              <w:spacing w:before="72"/>
              <w:ind w:right="72"/>
              <w:rPr>
                <w:b/>
                <w:sz w:val="18"/>
              </w:rPr>
            </w:pPr>
            <w:r>
              <w:rPr>
                <w:b/>
                <w:sz w:val="18"/>
              </w:rPr>
              <w:t>Number of sittings</w:t>
            </w:r>
          </w:p>
        </w:tc>
        <w:tc>
          <w:tcPr>
            <w:tcW w:w="2981" w:type="dxa"/>
            <w:tcBorders>
              <w:top w:val="nil"/>
              <w:left w:val="dashed" w:sz="4" w:space="0" w:color="7098D0"/>
              <w:bottom w:val="nil"/>
              <w:right w:val="nil"/>
            </w:tcBorders>
            <w:shd w:val="clear" w:color="auto" w:fill="89A7D7"/>
          </w:tcPr>
          <w:p w:rsidR="006C17CB" w:rsidRDefault="0030091C">
            <w:pPr>
              <w:pStyle w:val="TableParagraph"/>
              <w:spacing w:before="72"/>
              <w:ind w:right="77"/>
              <w:rPr>
                <w:b/>
                <w:sz w:val="18"/>
              </w:rPr>
            </w:pPr>
            <w:r>
              <w:rPr>
                <w:b/>
                <w:sz w:val="18"/>
              </w:rPr>
              <w:t>Average number ofpages per sitting</w:t>
            </w:r>
          </w:p>
        </w:tc>
      </w:tr>
      <w:tr w:rsidR="006C17CB">
        <w:trPr>
          <w:trHeight w:val="386"/>
        </w:trPr>
        <w:tc>
          <w:tcPr>
            <w:tcW w:w="3420"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1988-1989</w:t>
            </w:r>
          </w:p>
        </w:tc>
        <w:tc>
          <w:tcPr>
            <w:tcW w:w="1575" w:type="dxa"/>
            <w:tcBorders>
              <w:top w:val="nil"/>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40</w:t>
            </w:r>
          </w:p>
        </w:tc>
        <w:tc>
          <w:tcPr>
            <w:tcW w:w="1663" w:type="dxa"/>
            <w:tcBorders>
              <w:top w:val="nil"/>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10</w:t>
            </w:r>
          </w:p>
        </w:tc>
        <w:tc>
          <w:tcPr>
            <w:tcW w:w="2981" w:type="dxa"/>
            <w:tcBorders>
              <w:top w:val="nil"/>
              <w:left w:val="dashed" w:sz="4" w:space="0" w:color="7098D0"/>
              <w:bottom w:val="single" w:sz="4" w:space="0" w:color="000000"/>
              <w:right w:val="nil"/>
            </w:tcBorders>
          </w:tcPr>
          <w:p w:rsidR="006C17CB" w:rsidRDefault="0030091C">
            <w:pPr>
              <w:pStyle w:val="TableParagraph"/>
              <w:spacing w:before="50"/>
              <w:ind w:right="77"/>
              <w:rPr>
                <w:sz w:val="18"/>
              </w:rPr>
            </w:pPr>
            <w:r>
              <w:rPr>
                <w:sz w:val="18"/>
              </w:rPr>
              <w:t>4</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1989-1990</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226</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54</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4</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1990-1991</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215</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49</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4</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1991-1992</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292</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48</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6</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1992-1993</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295</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51</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6</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1993-1994</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389</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46</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9</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1994-1995</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269</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34</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8</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1995-1996</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302</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45</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7</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1996-1997</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322</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39</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8</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1997-1998</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342</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34</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10</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1998-1999</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342</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40</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9</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1999-2000</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480</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41</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12</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2000-2001</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590</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37</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16</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2001-2002</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606</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34</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18</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2002-2003</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575</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40</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14</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2003-2004</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704</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43</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16</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2004-2005</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463</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36</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13</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2005-2006</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471</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41</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12</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2006-2007</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301</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38</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8</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2007-2008</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484</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40</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12</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2008-2009</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491</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38</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13</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2009-2010</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473</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41</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12</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2010-2011</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610</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44</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14</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2011-2012</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593</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42</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14</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2012-2013</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342</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29</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12</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2013-2014</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390</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36</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11</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2014-2015</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524</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44</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12</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2015-2016</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410</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36</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11</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2016-2017</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376</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25</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15</w:t>
            </w:r>
          </w:p>
        </w:tc>
      </w:tr>
      <w:tr w:rsidR="006C17CB">
        <w:trPr>
          <w:trHeight w:val="386"/>
        </w:trPr>
        <w:tc>
          <w:tcPr>
            <w:tcW w:w="342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2017-2018</w:t>
            </w:r>
          </w:p>
        </w:tc>
        <w:tc>
          <w:tcPr>
            <w:tcW w:w="1575"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572</w:t>
            </w:r>
          </w:p>
        </w:tc>
        <w:tc>
          <w:tcPr>
            <w:tcW w:w="166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42</w:t>
            </w:r>
          </w:p>
        </w:tc>
        <w:tc>
          <w:tcPr>
            <w:tcW w:w="2981"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sz w:val="18"/>
              </w:rPr>
            </w:pPr>
            <w:r>
              <w:rPr>
                <w:sz w:val="18"/>
              </w:rPr>
              <w:t>14</w:t>
            </w:r>
          </w:p>
        </w:tc>
      </w:tr>
    </w:tbl>
    <w:p w:rsidR="006C17CB" w:rsidRDefault="006C17CB">
      <w:pPr>
        <w:rPr>
          <w:sz w:val="18"/>
        </w:rPr>
        <w:sectPr w:rsidR="006C17CB">
          <w:headerReference w:type="even" r:id="rId91"/>
          <w:headerReference w:type="default" r:id="rId92"/>
          <w:pgSz w:w="11910" w:h="16840"/>
          <w:pgMar w:top="1540" w:right="0" w:bottom="720" w:left="980" w:header="1132" w:footer="523" w:gutter="0"/>
          <w:cols w:space="720"/>
        </w:sect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spacing w:before="10"/>
        <w:rPr>
          <w:rFonts w:ascii="Times New Roman"/>
          <w:sz w:val="26"/>
        </w:rPr>
      </w:pPr>
    </w:p>
    <w:p w:rsidR="006C17CB" w:rsidRDefault="0030091C">
      <w:pPr>
        <w:pStyle w:val="Heading6"/>
        <w:spacing w:before="146"/>
        <w:ind w:left="153"/>
        <w:rPr>
          <w:rFonts w:ascii="Montserrat"/>
        </w:rPr>
      </w:pPr>
      <w:bookmarkStart w:id="85" w:name="Appendix_4_–_Bills_and_amendments_2017-2"/>
      <w:bookmarkStart w:id="86" w:name="_bookmark29"/>
      <w:bookmarkEnd w:id="85"/>
      <w:bookmarkEnd w:id="86"/>
      <w:r>
        <w:rPr>
          <w:rFonts w:ascii="Montserrat"/>
          <w:color w:val="556EAA"/>
        </w:rPr>
        <w:t>Bills</w:t>
      </w:r>
    </w:p>
    <w:p w:rsidR="006C17CB" w:rsidRDefault="006C17CB">
      <w:pPr>
        <w:pStyle w:val="BodyText"/>
        <w:spacing w:before="11"/>
        <w:rPr>
          <w:rFonts w:ascii="Montserrat"/>
          <w:b/>
          <w:sz w:val="10"/>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2098"/>
        <w:gridCol w:w="1455"/>
        <w:gridCol w:w="1795"/>
        <w:gridCol w:w="1606"/>
        <w:gridCol w:w="1398"/>
        <w:gridCol w:w="1276"/>
      </w:tblGrid>
      <w:tr w:rsidR="006C17CB">
        <w:trPr>
          <w:trHeight w:val="396"/>
        </w:trPr>
        <w:tc>
          <w:tcPr>
            <w:tcW w:w="2098" w:type="dxa"/>
            <w:tcBorders>
              <w:top w:val="nil"/>
              <w:left w:val="nil"/>
              <w:bottom w:val="nil"/>
            </w:tcBorders>
            <w:shd w:val="clear" w:color="auto" w:fill="89A7D7"/>
          </w:tcPr>
          <w:p w:rsidR="006C17CB" w:rsidRDefault="006C17CB">
            <w:pPr>
              <w:pStyle w:val="TableParagraph"/>
              <w:jc w:val="left"/>
              <w:rPr>
                <w:rFonts w:ascii="Times New Roman"/>
                <w:sz w:val="18"/>
              </w:rPr>
            </w:pPr>
          </w:p>
        </w:tc>
        <w:tc>
          <w:tcPr>
            <w:tcW w:w="1455" w:type="dxa"/>
            <w:tcBorders>
              <w:top w:val="nil"/>
              <w:bottom w:val="nil"/>
            </w:tcBorders>
            <w:shd w:val="clear" w:color="auto" w:fill="89A7D7"/>
          </w:tcPr>
          <w:p w:rsidR="006C17CB" w:rsidRDefault="0030091C">
            <w:pPr>
              <w:pStyle w:val="TableParagraph"/>
              <w:spacing w:before="72"/>
              <w:ind w:right="68"/>
              <w:rPr>
                <w:b/>
                <w:sz w:val="18"/>
              </w:rPr>
            </w:pPr>
            <w:r>
              <w:rPr>
                <w:b/>
                <w:sz w:val="18"/>
              </w:rPr>
              <w:t>Executive</w:t>
            </w:r>
          </w:p>
        </w:tc>
        <w:tc>
          <w:tcPr>
            <w:tcW w:w="1795" w:type="dxa"/>
            <w:tcBorders>
              <w:top w:val="nil"/>
              <w:bottom w:val="nil"/>
            </w:tcBorders>
            <w:shd w:val="clear" w:color="auto" w:fill="89A7D7"/>
          </w:tcPr>
          <w:p w:rsidR="006C17CB" w:rsidRDefault="0030091C">
            <w:pPr>
              <w:pStyle w:val="TableParagraph"/>
              <w:spacing w:before="72"/>
              <w:ind w:right="68"/>
              <w:rPr>
                <w:b/>
                <w:sz w:val="18"/>
              </w:rPr>
            </w:pPr>
            <w:r>
              <w:rPr>
                <w:b/>
                <w:sz w:val="18"/>
              </w:rPr>
              <w:t>Executive members</w:t>
            </w:r>
          </w:p>
        </w:tc>
        <w:tc>
          <w:tcPr>
            <w:tcW w:w="1606" w:type="dxa"/>
            <w:tcBorders>
              <w:top w:val="nil"/>
              <w:bottom w:val="nil"/>
            </w:tcBorders>
            <w:shd w:val="clear" w:color="auto" w:fill="89A7D7"/>
          </w:tcPr>
          <w:p w:rsidR="006C17CB" w:rsidRDefault="0030091C">
            <w:pPr>
              <w:pStyle w:val="TableParagraph"/>
              <w:spacing w:before="72"/>
              <w:ind w:right="68"/>
              <w:rPr>
                <w:b/>
                <w:sz w:val="18"/>
              </w:rPr>
            </w:pPr>
            <w:r>
              <w:rPr>
                <w:b/>
                <w:sz w:val="18"/>
              </w:rPr>
              <w:t>Private members</w:t>
            </w:r>
          </w:p>
        </w:tc>
        <w:tc>
          <w:tcPr>
            <w:tcW w:w="1398" w:type="dxa"/>
            <w:tcBorders>
              <w:top w:val="nil"/>
              <w:bottom w:val="nil"/>
            </w:tcBorders>
            <w:shd w:val="clear" w:color="auto" w:fill="89A7D7"/>
          </w:tcPr>
          <w:p w:rsidR="006C17CB" w:rsidRDefault="0030091C">
            <w:pPr>
              <w:pStyle w:val="TableParagraph"/>
              <w:spacing w:before="72"/>
              <w:ind w:right="67"/>
              <w:rPr>
                <w:b/>
                <w:sz w:val="18"/>
              </w:rPr>
            </w:pPr>
            <w:r>
              <w:rPr>
                <w:b/>
                <w:sz w:val="18"/>
              </w:rPr>
              <w:t>Assembly</w:t>
            </w:r>
          </w:p>
        </w:tc>
        <w:tc>
          <w:tcPr>
            <w:tcW w:w="1276" w:type="dxa"/>
            <w:tcBorders>
              <w:top w:val="nil"/>
              <w:bottom w:val="nil"/>
              <w:right w:val="nil"/>
            </w:tcBorders>
            <w:shd w:val="clear" w:color="auto" w:fill="89A7D7"/>
          </w:tcPr>
          <w:p w:rsidR="006C17CB" w:rsidRDefault="0030091C">
            <w:pPr>
              <w:pStyle w:val="TableParagraph"/>
              <w:spacing w:before="72"/>
              <w:ind w:right="77"/>
              <w:rPr>
                <w:b/>
                <w:sz w:val="18"/>
              </w:rPr>
            </w:pPr>
            <w:r>
              <w:rPr>
                <w:b/>
                <w:sz w:val="18"/>
              </w:rPr>
              <w:t>Total</w:t>
            </w:r>
          </w:p>
        </w:tc>
      </w:tr>
      <w:tr w:rsidR="006C17CB">
        <w:trPr>
          <w:trHeight w:val="386"/>
        </w:trPr>
        <w:tc>
          <w:tcPr>
            <w:tcW w:w="2098"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Introduced</w:t>
            </w:r>
          </w:p>
        </w:tc>
        <w:tc>
          <w:tcPr>
            <w:tcW w:w="1455"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54</w:t>
            </w:r>
          </w:p>
        </w:tc>
        <w:tc>
          <w:tcPr>
            <w:tcW w:w="1795"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606"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9</w:t>
            </w:r>
          </w:p>
        </w:tc>
        <w:tc>
          <w:tcPr>
            <w:tcW w:w="1398"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1</w:t>
            </w:r>
          </w:p>
        </w:tc>
        <w:tc>
          <w:tcPr>
            <w:tcW w:w="1276" w:type="dxa"/>
            <w:tcBorders>
              <w:top w:val="nil"/>
              <w:left w:val="single" w:sz="4" w:space="0" w:color="DADADA"/>
              <w:bottom w:val="single" w:sz="4" w:space="0" w:color="000000"/>
              <w:right w:val="nil"/>
            </w:tcBorders>
          </w:tcPr>
          <w:p w:rsidR="006C17CB" w:rsidRDefault="0030091C">
            <w:pPr>
              <w:pStyle w:val="TableParagraph"/>
              <w:spacing w:before="50"/>
              <w:ind w:right="76"/>
              <w:rPr>
                <w:b/>
                <w:sz w:val="18"/>
              </w:rPr>
            </w:pPr>
            <w:r>
              <w:rPr>
                <w:b/>
                <w:sz w:val="18"/>
              </w:rPr>
              <w:t>64</w:t>
            </w:r>
          </w:p>
        </w:tc>
      </w:tr>
      <w:tr w:rsidR="006C17CB">
        <w:trPr>
          <w:trHeight w:val="386"/>
        </w:trPr>
        <w:tc>
          <w:tcPr>
            <w:tcW w:w="2098"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Discharged</w:t>
            </w:r>
          </w:p>
        </w:tc>
        <w:tc>
          <w:tcPr>
            <w:tcW w:w="145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w:t>
            </w:r>
          </w:p>
        </w:tc>
        <w:tc>
          <w:tcPr>
            <w:tcW w:w="17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6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1</w:t>
            </w:r>
          </w:p>
        </w:tc>
        <w:tc>
          <w:tcPr>
            <w:tcW w:w="139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27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b/>
                <w:sz w:val="18"/>
              </w:rPr>
            </w:pPr>
            <w:r>
              <w:rPr>
                <w:b/>
                <w:sz w:val="18"/>
              </w:rPr>
              <w:t>1</w:t>
            </w:r>
          </w:p>
        </w:tc>
      </w:tr>
      <w:tr w:rsidR="006C17CB">
        <w:trPr>
          <w:trHeight w:val="386"/>
        </w:trPr>
        <w:tc>
          <w:tcPr>
            <w:tcW w:w="2098"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Withdrawn</w:t>
            </w:r>
          </w:p>
        </w:tc>
        <w:tc>
          <w:tcPr>
            <w:tcW w:w="145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w:t>
            </w:r>
          </w:p>
        </w:tc>
        <w:tc>
          <w:tcPr>
            <w:tcW w:w="17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6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39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27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b/>
                <w:sz w:val="18"/>
              </w:rPr>
            </w:pPr>
            <w:r>
              <w:rPr>
                <w:b/>
                <w:sz w:val="18"/>
              </w:rPr>
              <w:t>-</w:t>
            </w:r>
          </w:p>
        </w:tc>
      </w:tr>
      <w:tr w:rsidR="006C17CB">
        <w:trPr>
          <w:trHeight w:val="386"/>
        </w:trPr>
        <w:tc>
          <w:tcPr>
            <w:tcW w:w="2098"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Not agreed in principle</w:t>
            </w:r>
          </w:p>
        </w:tc>
        <w:tc>
          <w:tcPr>
            <w:tcW w:w="145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w:t>
            </w:r>
          </w:p>
        </w:tc>
        <w:tc>
          <w:tcPr>
            <w:tcW w:w="17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6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1</w:t>
            </w:r>
          </w:p>
        </w:tc>
        <w:tc>
          <w:tcPr>
            <w:tcW w:w="139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27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b/>
                <w:sz w:val="18"/>
              </w:rPr>
            </w:pPr>
            <w:r>
              <w:rPr>
                <w:b/>
                <w:sz w:val="18"/>
              </w:rPr>
              <w:t>1</w:t>
            </w:r>
          </w:p>
        </w:tc>
      </w:tr>
      <w:tr w:rsidR="006C17CB">
        <w:trPr>
          <w:trHeight w:val="386"/>
        </w:trPr>
        <w:tc>
          <w:tcPr>
            <w:tcW w:w="2098"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Negatived</w:t>
            </w:r>
          </w:p>
        </w:tc>
        <w:tc>
          <w:tcPr>
            <w:tcW w:w="145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w:t>
            </w:r>
          </w:p>
        </w:tc>
        <w:tc>
          <w:tcPr>
            <w:tcW w:w="17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6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39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27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b/>
                <w:sz w:val="18"/>
              </w:rPr>
            </w:pPr>
            <w:r>
              <w:rPr>
                <w:b/>
                <w:sz w:val="18"/>
              </w:rPr>
              <w:t>-</w:t>
            </w:r>
          </w:p>
        </w:tc>
      </w:tr>
      <w:tr w:rsidR="006C17CB">
        <w:trPr>
          <w:trHeight w:val="386"/>
        </w:trPr>
        <w:tc>
          <w:tcPr>
            <w:tcW w:w="2098"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Passed</w:t>
            </w:r>
          </w:p>
        </w:tc>
        <w:tc>
          <w:tcPr>
            <w:tcW w:w="145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48</w:t>
            </w:r>
          </w:p>
        </w:tc>
        <w:tc>
          <w:tcPr>
            <w:tcW w:w="17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6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3</w:t>
            </w:r>
          </w:p>
        </w:tc>
        <w:tc>
          <w:tcPr>
            <w:tcW w:w="139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1</w:t>
            </w:r>
          </w:p>
        </w:tc>
        <w:tc>
          <w:tcPr>
            <w:tcW w:w="127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b/>
                <w:sz w:val="18"/>
              </w:rPr>
            </w:pPr>
            <w:r>
              <w:rPr>
                <w:b/>
                <w:sz w:val="18"/>
              </w:rPr>
              <w:t>52</w:t>
            </w:r>
          </w:p>
        </w:tc>
      </w:tr>
      <w:tr w:rsidR="006C17CB">
        <w:trPr>
          <w:trHeight w:val="386"/>
        </w:trPr>
        <w:tc>
          <w:tcPr>
            <w:tcW w:w="2098"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Amended</w:t>
            </w:r>
          </w:p>
        </w:tc>
        <w:tc>
          <w:tcPr>
            <w:tcW w:w="145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9</w:t>
            </w:r>
          </w:p>
        </w:tc>
        <w:tc>
          <w:tcPr>
            <w:tcW w:w="17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6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3</w:t>
            </w:r>
          </w:p>
        </w:tc>
        <w:tc>
          <w:tcPr>
            <w:tcW w:w="139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1</w:t>
            </w:r>
          </w:p>
        </w:tc>
        <w:tc>
          <w:tcPr>
            <w:tcW w:w="127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b/>
                <w:sz w:val="18"/>
              </w:rPr>
            </w:pPr>
            <w:r>
              <w:rPr>
                <w:b/>
                <w:sz w:val="18"/>
              </w:rPr>
              <w:t>13</w:t>
            </w:r>
          </w:p>
        </w:tc>
      </w:tr>
      <w:tr w:rsidR="006C17CB">
        <w:trPr>
          <w:trHeight w:val="386"/>
        </w:trPr>
        <w:tc>
          <w:tcPr>
            <w:tcW w:w="2098"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Still before the Assembly</w:t>
            </w:r>
          </w:p>
        </w:tc>
        <w:tc>
          <w:tcPr>
            <w:tcW w:w="145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3"/>
              <w:rPr>
                <w:sz w:val="18"/>
              </w:rPr>
            </w:pPr>
            <w:r>
              <w:rPr>
                <w:sz w:val="18"/>
              </w:rPr>
              <w:t>10</w:t>
            </w:r>
          </w:p>
        </w:tc>
        <w:tc>
          <w:tcPr>
            <w:tcW w:w="179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6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6</w:t>
            </w:r>
          </w:p>
        </w:tc>
        <w:tc>
          <w:tcPr>
            <w:tcW w:w="139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w:t>
            </w:r>
          </w:p>
        </w:tc>
        <w:tc>
          <w:tcPr>
            <w:tcW w:w="127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b/>
                <w:sz w:val="18"/>
              </w:rPr>
            </w:pPr>
            <w:r>
              <w:rPr>
                <w:b/>
                <w:sz w:val="18"/>
              </w:rPr>
              <w:t>16</w:t>
            </w:r>
          </w:p>
        </w:tc>
      </w:tr>
    </w:tbl>
    <w:p w:rsidR="006C17CB" w:rsidRDefault="0030091C">
      <w:pPr>
        <w:spacing w:before="308"/>
        <w:ind w:left="153"/>
        <w:rPr>
          <w:rFonts w:ascii="Montserrat"/>
          <w:b/>
          <w:sz w:val="24"/>
        </w:rPr>
      </w:pPr>
      <w:r>
        <w:rPr>
          <w:rFonts w:ascii="Montserrat"/>
          <w:b/>
          <w:color w:val="556EAA"/>
          <w:sz w:val="24"/>
        </w:rPr>
        <w:t>Amendments circulated</w:t>
      </w:r>
    </w:p>
    <w:p w:rsidR="006C17CB" w:rsidRDefault="006C17CB">
      <w:pPr>
        <w:pStyle w:val="BodyText"/>
        <w:spacing w:before="11"/>
        <w:rPr>
          <w:rFonts w:ascii="Montserrat"/>
          <w:b/>
          <w:sz w:val="10"/>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4176"/>
        <w:gridCol w:w="1934"/>
        <w:gridCol w:w="1833"/>
        <w:gridCol w:w="1715"/>
      </w:tblGrid>
      <w:tr w:rsidR="006C17CB">
        <w:trPr>
          <w:trHeight w:val="396"/>
        </w:trPr>
        <w:tc>
          <w:tcPr>
            <w:tcW w:w="4176"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Year</w:t>
            </w:r>
          </w:p>
        </w:tc>
        <w:tc>
          <w:tcPr>
            <w:tcW w:w="1934" w:type="dxa"/>
            <w:tcBorders>
              <w:top w:val="nil"/>
              <w:bottom w:val="nil"/>
              <w:right w:val="dashed" w:sz="4" w:space="0" w:color="7098D0"/>
            </w:tcBorders>
            <w:shd w:val="clear" w:color="auto" w:fill="89A7D7"/>
          </w:tcPr>
          <w:p w:rsidR="006C17CB" w:rsidRDefault="0030091C">
            <w:pPr>
              <w:pStyle w:val="TableParagraph"/>
              <w:spacing w:before="72"/>
              <w:ind w:right="72"/>
              <w:rPr>
                <w:b/>
                <w:sz w:val="18"/>
              </w:rPr>
            </w:pPr>
            <w:r>
              <w:rPr>
                <w:b/>
                <w:sz w:val="18"/>
              </w:rPr>
              <w:t>Number of motions</w:t>
            </w:r>
          </w:p>
        </w:tc>
        <w:tc>
          <w:tcPr>
            <w:tcW w:w="1833" w:type="dxa"/>
            <w:tcBorders>
              <w:top w:val="nil"/>
              <w:left w:val="dashed" w:sz="4" w:space="0" w:color="7098D0"/>
              <w:bottom w:val="nil"/>
              <w:right w:val="dashed" w:sz="4" w:space="0" w:color="7098D0"/>
            </w:tcBorders>
            <w:shd w:val="clear" w:color="auto" w:fill="89A7D7"/>
          </w:tcPr>
          <w:p w:rsidR="006C17CB" w:rsidRDefault="0030091C">
            <w:pPr>
              <w:pStyle w:val="TableParagraph"/>
              <w:spacing w:before="72"/>
              <w:ind w:right="72"/>
              <w:rPr>
                <w:b/>
                <w:sz w:val="18"/>
              </w:rPr>
            </w:pPr>
            <w:r>
              <w:rPr>
                <w:b/>
                <w:sz w:val="18"/>
              </w:rPr>
              <w:t>Number of Bills</w:t>
            </w:r>
          </w:p>
        </w:tc>
        <w:tc>
          <w:tcPr>
            <w:tcW w:w="1715" w:type="dxa"/>
            <w:tcBorders>
              <w:top w:val="nil"/>
              <w:left w:val="dashed" w:sz="4" w:space="0" w:color="7098D0"/>
              <w:bottom w:val="nil"/>
              <w:right w:val="nil"/>
            </w:tcBorders>
            <w:shd w:val="clear" w:color="auto" w:fill="89A7D7"/>
          </w:tcPr>
          <w:p w:rsidR="006C17CB" w:rsidRDefault="0030091C">
            <w:pPr>
              <w:pStyle w:val="TableParagraph"/>
              <w:spacing w:before="72"/>
              <w:ind w:right="77"/>
              <w:rPr>
                <w:b/>
                <w:sz w:val="18"/>
              </w:rPr>
            </w:pPr>
            <w:r>
              <w:rPr>
                <w:b/>
                <w:sz w:val="18"/>
              </w:rPr>
              <w:t>Total</w:t>
            </w:r>
          </w:p>
        </w:tc>
      </w:tr>
      <w:tr w:rsidR="006C17CB">
        <w:trPr>
          <w:trHeight w:val="386"/>
        </w:trPr>
        <w:tc>
          <w:tcPr>
            <w:tcW w:w="4176"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Feb-June 2001</w:t>
            </w:r>
          </w:p>
        </w:tc>
        <w:tc>
          <w:tcPr>
            <w:tcW w:w="1934" w:type="dxa"/>
            <w:tcBorders>
              <w:top w:val="nil"/>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w:t>
            </w:r>
          </w:p>
        </w:tc>
        <w:tc>
          <w:tcPr>
            <w:tcW w:w="1833" w:type="dxa"/>
            <w:tcBorders>
              <w:top w:val="nil"/>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w:t>
            </w:r>
          </w:p>
        </w:tc>
        <w:tc>
          <w:tcPr>
            <w:tcW w:w="1715" w:type="dxa"/>
            <w:tcBorders>
              <w:top w:val="nil"/>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427</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2001-2002</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488</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2002-2003</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472</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2003-2004</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47</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487</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534</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2004-2005</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46</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389</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435</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2005-2006</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47</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425</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472</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2006-2007</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44</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82</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126</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2007-2008</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39</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497</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536</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2008-2009</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90</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314</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404</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2009-2010</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94</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245</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339</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2010-2011</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149</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348</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497</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2011-2012</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176</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340</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516</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2012-2013</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60</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148</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208</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2013-2014</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78</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139</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217</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2014-2015</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77</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313</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390</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2015-2016</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63</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75</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138</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2016-2017</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62</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201</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263</w:t>
            </w:r>
          </w:p>
        </w:tc>
      </w:tr>
      <w:tr w:rsidR="006C17CB">
        <w:trPr>
          <w:trHeight w:val="386"/>
        </w:trPr>
        <w:tc>
          <w:tcPr>
            <w:tcW w:w="41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2017-2018</w:t>
            </w:r>
          </w:p>
        </w:tc>
        <w:tc>
          <w:tcPr>
            <w:tcW w:w="193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50"/>
              <w:ind w:right="72"/>
              <w:rPr>
                <w:sz w:val="18"/>
              </w:rPr>
            </w:pPr>
            <w:r>
              <w:rPr>
                <w:sz w:val="18"/>
              </w:rPr>
              <w:t>80</w:t>
            </w:r>
          </w:p>
        </w:tc>
        <w:tc>
          <w:tcPr>
            <w:tcW w:w="1833"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50"/>
              <w:ind w:right="72"/>
              <w:rPr>
                <w:sz w:val="18"/>
              </w:rPr>
            </w:pPr>
            <w:r>
              <w:rPr>
                <w:sz w:val="18"/>
              </w:rPr>
              <w:t>110</w:t>
            </w:r>
          </w:p>
        </w:tc>
        <w:tc>
          <w:tcPr>
            <w:tcW w:w="1715" w:type="dxa"/>
            <w:tcBorders>
              <w:top w:val="single" w:sz="4" w:space="0" w:color="000000"/>
              <w:left w:val="dashed" w:sz="4" w:space="0" w:color="7098D0"/>
              <w:bottom w:val="single" w:sz="4" w:space="0" w:color="000000"/>
              <w:right w:val="nil"/>
            </w:tcBorders>
          </w:tcPr>
          <w:p w:rsidR="006C17CB" w:rsidRDefault="0030091C">
            <w:pPr>
              <w:pStyle w:val="TableParagraph"/>
              <w:spacing w:before="50"/>
              <w:ind w:right="77"/>
              <w:rPr>
                <w:b/>
                <w:sz w:val="18"/>
              </w:rPr>
            </w:pPr>
            <w:r>
              <w:rPr>
                <w:b/>
                <w:sz w:val="18"/>
              </w:rPr>
              <w:t>190</w:t>
            </w:r>
          </w:p>
        </w:tc>
      </w:tr>
    </w:tbl>
    <w:p w:rsidR="006C17CB" w:rsidRDefault="006C17CB">
      <w:pPr>
        <w:rPr>
          <w:sz w:val="18"/>
        </w:rPr>
        <w:sectPr w:rsidR="006C17CB">
          <w:pgSz w:w="11910" w:h="16840"/>
          <w:pgMar w:top="1540" w:right="0" w:bottom="740" w:left="980" w:header="1132" w:footer="551" w:gutter="0"/>
          <w:cols w:space="720"/>
        </w:sectPr>
      </w:pPr>
    </w:p>
    <w:p w:rsidR="006C17CB" w:rsidRDefault="006C17CB">
      <w:pPr>
        <w:pStyle w:val="BodyText"/>
        <w:rPr>
          <w:rFonts w:ascii="Montserrat"/>
          <w:b/>
          <w:sz w:val="20"/>
        </w:rPr>
      </w:pPr>
    </w:p>
    <w:p w:rsidR="006C17CB" w:rsidRDefault="006C17CB">
      <w:pPr>
        <w:pStyle w:val="BodyText"/>
        <w:rPr>
          <w:rFonts w:ascii="Montserrat"/>
          <w:b/>
          <w:sz w:val="20"/>
        </w:rPr>
      </w:pPr>
    </w:p>
    <w:p w:rsidR="006C17CB" w:rsidRDefault="006C17CB">
      <w:pPr>
        <w:pStyle w:val="BodyText"/>
        <w:rPr>
          <w:rFonts w:ascii="Montserrat"/>
          <w:b/>
          <w:sz w:val="20"/>
        </w:rPr>
      </w:pPr>
    </w:p>
    <w:p w:rsidR="006C17CB" w:rsidRDefault="006C17CB">
      <w:pPr>
        <w:pStyle w:val="BodyText"/>
        <w:spacing w:before="8"/>
        <w:rPr>
          <w:rFonts w:ascii="Montserrat"/>
          <w:b/>
          <w:sz w:val="17"/>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2608"/>
        <w:gridCol w:w="1299"/>
        <w:gridCol w:w="1775"/>
        <w:gridCol w:w="1486"/>
        <w:gridCol w:w="1282"/>
        <w:gridCol w:w="1205"/>
      </w:tblGrid>
      <w:tr w:rsidR="006C17CB">
        <w:trPr>
          <w:trHeight w:val="396"/>
        </w:trPr>
        <w:tc>
          <w:tcPr>
            <w:tcW w:w="2608" w:type="dxa"/>
            <w:tcBorders>
              <w:top w:val="nil"/>
              <w:left w:val="nil"/>
              <w:bottom w:val="nil"/>
            </w:tcBorders>
            <w:shd w:val="clear" w:color="auto" w:fill="89A7D7"/>
          </w:tcPr>
          <w:p w:rsidR="006C17CB" w:rsidRDefault="0030091C">
            <w:pPr>
              <w:pStyle w:val="TableParagraph"/>
              <w:spacing w:before="72"/>
              <w:ind w:left="79"/>
              <w:jc w:val="left"/>
              <w:rPr>
                <w:b/>
                <w:sz w:val="18"/>
              </w:rPr>
            </w:pPr>
            <w:bookmarkStart w:id="87" w:name="Appendix_5_–_Bills_presented"/>
            <w:bookmarkStart w:id="88" w:name="_bookmark30"/>
            <w:bookmarkEnd w:id="87"/>
            <w:bookmarkEnd w:id="88"/>
            <w:r>
              <w:rPr>
                <w:b/>
                <w:sz w:val="18"/>
              </w:rPr>
              <w:t>Financial year</w:t>
            </w:r>
          </w:p>
        </w:tc>
        <w:tc>
          <w:tcPr>
            <w:tcW w:w="1299" w:type="dxa"/>
            <w:tcBorders>
              <w:top w:val="nil"/>
              <w:bottom w:val="nil"/>
              <w:right w:val="dashed" w:sz="4" w:space="0" w:color="7098D0"/>
            </w:tcBorders>
            <w:shd w:val="clear" w:color="auto" w:fill="89A7D7"/>
          </w:tcPr>
          <w:p w:rsidR="006C17CB" w:rsidRDefault="0030091C">
            <w:pPr>
              <w:pStyle w:val="TableParagraph"/>
              <w:spacing w:before="72"/>
              <w:ind w:right="72"/>
              <w:rPr>
                <w:b/>
                <w:sz w:val="18"/>
              </w:rPr>
            </w:pPr>
            <w:r>
              <w:rPr>
                <w:b/>
                <w:sz w:val="18"/>
              </w:rPr>
              <w:t>Executive</w:t>
            </w:r>
          </w:p>
        </w:tc>
        <w:tc>
          <w:tcPr>
            <w:tcW w:w="1775" w:type="dxa"/>
            <w:tcBorders>
              <w:top w:val="nil"/>
              <w:left w:val="dashed" w:sz="4" w:space="0" w:color="7098D0"/>
              <w:bottom w:val="nil"/>
              <w:right w:val="dashed" w:sz="4" w:space="0" w:color="7098D0"/>
            </w:tcBorders>
            <w:shd w:val="clear" w:color="auto" w:fill="89A7D7"/>
          </w:tcPr>
          <w:p w:rsidR="006C17CB" w:rsidRDefault="0030091C">
            <w:pPr>
              <w:pStyle w:val="TableParagraph"/>
              <w:spacing w:before="72"/>
              <w:ind w:right="72"/>
              <w:rPr>
                <w:b/>
                <w:sz w:val="18"/>
              </w:rPr>
            </w:pPr>
            <w:r>
              <w:rPr>
                <w:b/>
                <w:sz w:val="18"/>
              </w:rPr>
              <w:t>Executive members*</w:t>
            </w:r>
          </w:p>
        </w:tc>
        <w:tc>
          <w:tcPr>
            <w:tcW w:w="1486" w:type="dxa"/>
            <w:tcBorders>
              <w:top w:val="nil"/>
              <w:left w:val="dashed" w:sz="4" w:space="0" w:color="7098D0"/>
              <w:bottom w:val="nil"/>
              <w:right w:val="dashed" w:sz="4" w:space="0" w:color="7098D0"/>
            </w:tcBorders>
            <w:shd w:val="clear" w:color="auto" w:fill="89A7D7"/>
          </w:tcPr>
          <w:p w:rsidR="006C17CB" w:rsidRDefault="0030091C">
            <w:pPr>
              <w:pStyle w:val="TableParagraph"/>
              <w:spacing w:before="72"/>
              <w:ind w:right="72"/>
              <w:rPr>
                <w:b/>
                <w:sz w:val="18"/>
              </w:rPr>
            </w:pPr>
            <w:r>
              <w:rPr>
                <w:b/>
                <w:sz w:val="18"/>
              </w:rPr>
              <w:t>Private members</w:t>
            </w:r>
          </w:p>
        </w:tc>
        <w:tc>
          <w:tcPr>
            <w:tcW w:w="1282" w:type="dxa"/>
            <w:tcBorders>
              <w:top w:val="nil"/>
              <w:left w:val="dashed" w:sz="4" w:space="0" w:color="7098D0"/>
              <w:bottom w:val="nil"/>
              <w:right w:val="dashed" w:sz="4" w:space="0" w:color="7098D0"/>
            </w:tcBorders>
            <w:shd w:val="clear" w:color="auto" w:fill="89A7D7"/>
          </w:tcPr>
          <w:p w:rsidR="006C17CB" w:rsidRDefault="0030091C">
            <w:pPr>
              <w:pStyle w:val="TableParagraph"/>
              <w:spacing w:before="72"/>
              <w:ind w:right="71"/>
              <w:rPr>
                <w:b/>
                <w:sz w:val="18"/>
              </w:rPr>
            </w:pPr>
            <w:r>
              <w:rPr>
                <w:b/>
                <w:sz w:val="18"/>
              </w:rPr>
              <w:t>Assembly</w:t>
            </w:r>
          </w:p>
        </w:tc>
        <w:tc>
          <w:tcPr>
            <w:tcW w:w="1205" w:type="dxa"/>
            <w:tcBorders>
              <w:top w:val="nil"/>
              <w:left w:val="dashed" w:sz="4" w:space="0" w:color="7098D0"/>
              <w:bottom w:val="nil"/>
              <w:right w:val="nil"/>
            </w:tcBorders>
            <w:shd w:val="clear" w:color="auto" w:fill="89A7D7"/>
          </w:tcPr>
          <w:p w:rsidR="006C17CB" w:rsidRDefault="0030091C">
            <w:pPr>
              <w:pStyle w:val="TableParagraph"/>
              <w:spacing w:before="72"/>
              <w:ind w:right="76"/>
              <w:rPr>
                <w:b/>
                <w:sz w:val="18"/>
              </w:rPr>
            </w:pPr>
            <w:r>
              <w:rPr>
                <w:b/>
                <w:sz w:val="18"/>
              </w:rPr>
              <w:t>Total</w:t>
            </w:r>
          </w:p>
        </w:tc>
      </w:tr>
      <w:tr w:rsidR="006C17CB">
        <w:trPr>
          <w:trHeight w:val="352"/>
        </w:trPr>
        <w:tc>
          <w:tcPr>
            <w:tcW w:w="2608" w:type="dxa"/>
            <w:tcBorders>
              <w:top w:val="nil"/>
              <w:left w:val="nil"/>
              <w:bottom w:val="single" w:sz="4" w:space="0" w:color="000000"/>
              <w:right w:val="single" w:sz="4" w:space="0" w:color="DADADA"/>
            </w:tcBorders>
          </w:tcPr>
          <w:p w:rsidR="006C17CB" w:rsidRDefault="0030091C">
            <w:pPr>
              <w:pStyle w:val="TableParagraph"/>
              <w:spacing w:before="32"/>
              <w:ind w:left="79"/>
              <w:jc w:val="left"/>
              <w:rPr>
                <w:sz w:val="18"/>
              </w:rPr>
            </w:pPr>
            <w:r>
              <w:rPr>
                <w:sz w:val="18"/>
              </w:rPr>
              <w:t>1988-1989</w:t>
            </w:r>
          </w:p>
        </w:tc>
        <w:tc>
          <w:tcPr>
            <w:tcW w:w="1299" w:type="dxa"/>
            <w:tcBorders>
              <w:top w:val="nil"/>
              <w:left w:val="single" w:sz="4" w:space="0" w:color="DADADA"/>
              <w:bottom w:val="single" w:sz="4" w:space="0" w:color="000000"/>
              <w:right w:val="dashed" w:sz="4" w:space="0" w:color="7098D0"/>
            </w:tcBorders>
          </w:tcPr>
          <w:p w:rsidR="006C17CB" w:rsidRDefault="0030091C">
            <w:pPr>
              <w:pStyle w:val="TableParagraph"/>
              <w:spacing w:before="32"/>
              <w:ind w:right="72"/>
              <w:rPr>
                <w:sz w:val="18"/>
              </w:rPr>
            </w:pPr>
            <w:r>
              <w:rPr>
                <w:sz w:val="18"/>
              </w:rPr>
              <w:t>9</w:t>
            </w:r>
          </w:p>
        </w:tc>
        <w:tc>
          <w:tcPr>
            <w:tcW w:w="1775" w:type="dxa"/>
            <w:tcBorders>
              <w:top w:val="nil"/>
              <w:left w:val="dashed" w:sz="4" w:space="0" w:color="7098D0"/>
              <w:bottom w:val="single" w:sz="4" w:space="0" w:color="000000"/>
              <w:right w:val="dashed" w:sz="4" w:space="0" w:color="7098D0"/>
            </w:tcBorders>
          </w:tcPr>
          <w:p w:rsidR="006C17CB" w:rsidRDefault="0030091C">
            <w:pPr>
              <w:pStyle w:val="TableParagraph"/>
              <w:spacing w:before="32"/>
              <w:ind w:right="72"/>
              <w:rPr>
                <w:sz w:val="18"/>
              </w:rPr>
            </w:pPr>
            <w:r>
              <w:rPr>
                <w:sz w:val="18"/>
              </w:rPr>
              <w:t>-</w:t>
            </w:r>
          </w:p>
        </w:tc>
        <w:tc>
          <w:tcPr>
            <w:tcW w:w="1486" w:type="dxa"/>
            <w:tcBorders>
              <w:top w:val="nil"/>
              <w:left w:val="dashed" w:sz="4" w:space="0" w:color="7098D0"/>
              <w:bottom w:val="single" w:sz="4" w:space="0" w:color="000000"/>
              <w:right w:val="dashed" w:sz="4" w:space="0" w:color="7098D0"/>
            </w:tcBorders>
          </w:tcPr>
          <w:p w:rsidR="006C17CB" w:rsidRDefault="0030091C">
            <w:pPr>
              <w:pStyle w:val="TableParagraph"/>
              <w:spacing w:before="32"/>
              <w:ind w:right="71"/>
              <w:rPr>
                <w:sz w:val="18"/>
              </w:rPr>
            </w:pPr>
            <w:r>
              <w:rPr>
                <w:sz w:val="18"/>
              </w:rPr>
              <w:t>1</w:t>
            </w:r>
          </w:p>
        </w:tc>
        <w:tc>
          <w:tcPr>
            <w:tcW w:w="1282" w:type="dxa"/>
            <w:tcBorders>
              <w:top w:val="nil"/>
              <w:left w:val="dashed" w:sz="4" w:space="0" w:color="7098D0"/>
              <w:bottom w:val="single" w:sz="4" w:space="0" w:color="000000"/>
              <w:right w:val="dashed" w:sz="4" w:space="0" w:color="7098D0"/>
            </w:tcBorders>
          </w:tcPr>
          <w:p w:rsidR="006C17CB" w:rsidRDefault="0030091C">
            <w:pPr>
              <w:pStyle w:val="TableParagraph"/>
              <w:spacing w:before="32"/>
              <w:ind w:right="71"/>
              <w:rPr>
                <w:sz w:val="18"/>
              </w:rPr>
            </w:pPr>
            <w:r>
              <w:rPr>
                <w:sz w:val="18"/>
              </w:rPr>
              <w:t>-</w:t>
            </w:r>
          </w:p>
        </w:tc>
        <w:tc>
          <w:tcPr>
            <w:tcW w:w="1205" w:type="dxa"/>
            <w:tcBorders>
              <w:top w:val="nil"/>
              <w:left w:val="dashed" w:sz="4" w:space="0" w:color="7098D0"/>
              <w:bottom w:val="single" w:sz="4" w:space="0" w:color="000000"/>
              <w:right w:val="nil"/>
            </w:tcBorders>
          </w:tcPr>
          <w:p w:rsidR="006C17CB" w:rsidRDefault="0030091C">
            <w:pPr>
              <w:pStyle w:val="TableParagraph"/>
              <w:spacing w:before="32"/>
              <w:ind w:right="76"/>
              <w:rPr>
                <w:b/>
                <w:sz w:val="18"/>
              </w:rPr>
            </w:pPr>
            <w:r>
              <w:rPr>
                <w:b/>
                <w:sz w:val="18"/>
              </w:rPr>
              <w:t>10</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1989-1990</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48</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11</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59</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1990-1991</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71</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15</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86</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1991-1992</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106</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26</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132</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1992-1993</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95</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25</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120</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1993-1994</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94</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15</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109</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1994-1995</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72</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14</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86</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1995-1996</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77</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15</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92</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1996-1997</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91</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22</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113</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1997-1998</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108</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26</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134</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1998-1999</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68</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2</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31</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101</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1999-2000</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98</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4</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33</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135</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2000-2001</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87</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24</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111</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2001-2002</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47</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22</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69</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2002-2003</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67</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26</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93</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2003-2004</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79</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27</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106</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2004-2005</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64</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11</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75</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2005-2006</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47</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11</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58</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2006-2007</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52</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8</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60</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2007-2008</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47</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19</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66</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2008-2009</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44</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19</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63</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2009-2010</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55</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17</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72</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2010-2011</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63</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11</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74</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2011-2012</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61</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22</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93" w:line="240" w:lineRule="exact"/>
              <w:ind w:right="71"/>
              <w:rPr>
                <w:sz w:val="12"/>
              </w:rPr>
            </w:pPr>
            <w:r>
              <w:rPr>
                <w:position w:val="-5"/>
                <w:sz w:val="18"/>
              </w:rPr>
              <w:t>1</w:t>
            </w:r>
            <w:r>
              <w:rPr>
                <w:sz w:val="12"/>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84</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2012-2013</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41</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4</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3</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48</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2013-2014</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56</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2</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58</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2014-2015</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54</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1</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1</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56</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2015-2016</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71</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2</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5</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78</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2016-2017</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27</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2</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29</w:t>
            </w:r>
          </w:p>
        </w:tc>
      </w:tr>
      <w:tr w:rsidR="006C17CB">
        <w:trPr>
          <w:trHeight w:val="352"/>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2017-2018</w:t>
            </w:r>
          </w:p>
        </w:tc>
        <w:tc>
          <w:tcPr>
            <w:tcW w:w="1299"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54</w:t>
            </w:r>
          </w:p>
        </w:tc>
        <w:tc>
          <w:tcPr>
            <w:tcW w:w="1775"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w:t>
            </w:r>
          </w:p>
        </w:tc>
        <w:tc>
          <w:tcPr>
            <w:tcW w:w="1486"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9</w:t>
            </w:r>
          </w:p>
        </w:tc>
        <w:tc>
          <w:tcPr>
            <w:tcW w:w="1282"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1"/>
              <w:rPr>
                <w:sz w:val="18"/>
              </w:rPr>
            </w:pPr>
            <w:r>
              <w:rPr>
                <w:sz w:val="18"/>
              </w:rPr>
              <w:t>1</w:t>
            </w:r>
          </w:p>
        </w:tc>
        <w:tc>
          <w:tcPr>
            <w:tcW w:w="1205"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6"/>
              <w:rPr>
                <w:b/>
                <w:sz w:val="18"/>
              </w:rPr>
            </w:pPr>
            <w:r>
              <w:rPr>
                <w:b/>
                <w:sz w:val="18"/>
              </w:rPr>
              <w:t>64</w:t>
            </w:r>
          </w:p>
        </w:tc>
      </w:tr>
    </w:tbl>
    <w:p w:rsidR="006C17CB" w:rsidRDefault="006C17CB">
      <w:pPr>
        <w:pStyle w:val="BodyText"/>
        <w:spacing w:before="1"/>
        <w:rPr>
          <w:rFonts w:ascii="Montserrat"/>
          <w:b/>
          <w:sz w:val="23"/>
        </w:rPr>
      </w:pPr>
    </w:p>
    <w:p w:rsidR="006C17CB" w:rsidRDefault="0030091C">
      <w:pPr>
        <w:spacing w:before="73" w:line="184" w:lineRule="auto"/>
        <w:ind w:left="323" w:right="1213" w:hanging="171"/>
        <w:rPr>
          <w:rFonts w:ascii="Calibri" w:hAnsi="Calibri"/>
          <w:sz w:val="18"/>
        </w:rPr>
      </w:pPr>
      <w:r>
        <w:rPr>
          <w:rFonts w:ascii="Calibri" w:hAnsi="Calibri"/>
          <w:sz w:val="18"/>
        </w:rPr>
        <w:t>* In 1998, Assembly standing orders were amended to make provision for executive members’ business. At the conclusion of the Fourth Assembly, this provision lapsed. In November 2012, the standing orders were again amended to accommodate executive members’ business.</w:t>
      </w:r>
    </w:p>
    <w:p w:rsidR="006C17CB" w:rsidRDefault="0030091C">
      <w:pPr>
        <w:spacing w:before="65"/>
        <w:ind w:left="153"/>
        <w:rPr>
          <w:rFonts w:ascii="Calibri"/>
          <w:sz w:val="18"/>
        </w:rPr>
      </w:pPr>
      <w:r>
        <w:rPr>
          <w:rFonts w:ascii="Calibri"/>
          <w:sz w:val="18"/>
        </w:rPr>
        <w:t># In 2012, the Speaker introduced a bill which was considered under Assembly business.</w:t>
      </w:r>
    </w:p>
    <w:p w:rsidR="006C17CB" w:rsidRDefault="006C17CB">
      <w:pPr>
        <w:rPr>
          <w:rFonts w:ascii="Calibri"/>
          <w:sz w:val="18"/>
        </w:rPr>
        <w:sectPr w:rsidR="006C17CB">
          <w:headerReference w:type="even" r:id="rId93"/>
          <w:headerReference w:type="default" r:id="rId94"/>
          <w:pgSz w:w="11910" w:h="16840"/>
          <w:pgMar w:top="1540" w:right="0" w:bottom="720" w:left="980" w:header="1132" w:footer="523" w:gutter="0"/>
          <w:cols w:space="720"/>
        </w:sect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spacing w:before="10"/>
        <w:rPr>
          <w:rFonts w:ascii="Calibri"/>
          <w:sz w:val="25"/>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1871"/>
        <w:gridCol w:w="1814"/>
        <w:gridCol w:w="2221"/>
        <w:gridCol w:w="1529"/>
        <w:gridCol w:w="2206"/>
      </w:tblGrid>
      <w:tr w:rsidR="006C17CB">
        <w:trPr>
          <w:trHeight w:val="396"/>
        </w:trPr>
        <w:tc>
          <w:tcPr>
            <w:tcW w:w="1871" w:type="dxa"/>
            <w:tcBorders>
              <w:top w:val="nil"/>
              <w:left w:val="nil"/>
              <w:bottom w:val="nil"/>
            </w:tcBorders>
            <w:shd w:val="clear" w:color="auto" w:fill="89A7D7"/>
          </w:tcPr>
          <w:p w:rsidR="006C17CB" w:rsidRDefault="0030091C">
            <w:pPr>
              <w:pStyle w:val="TableParagraph"/>
              <w:spacing w:before="72"/>
              <w:ind w:left="79"/>
              <w:jc w:val="left"/>
              <w:rPr>
                <w:b/>
                <w:sz w:val="18"/>
              </w:rPr>
            </w:pPr>
            <w:bookmarkStart w:id="89" w:name="Appendix_6_–_Questions_with_and_without_"/>
            <w:bookmarkStart w:id="90" w:name="_bookmark31"/>
            <w:bookmarkEnd w:id="89"/>
            <w:bookmarkEnd w:id="90"/>
            <w:r>
              <w:rPr>
                <w:b/>
                <w:sz w:val="18"/>
              </w:rPr>
              <w:t>Financial year</w:t>
            </w:r>
          </w:p>
        </w:tc>
        <w:tc>
          <w:tcPr>
            <w:tcW w:w="1814" w:type="dxa"/>
            <w:tcBorders>
              <w:top w:val="nil"/>
              <w:bottom w:val="nil"/>
              <w:right w:val="dashed" w:sz="4" w:space="0" w:color="7098D0"/>
            </w:tcBorders>
            <w:shd w:val="clear" w:color="auto" w:fill="89A7D7"/>
          </w:tcPr>
          <w:p w:rsidR="006C17CB" w:rsidRDefault="0030091C">
            <w:pPr>
              <w:pStyle w:val="TableParagraph"/>
              <w:spacing w:before="72"/>
              <w:ind w:right="72"/>
              <w:rPr>
                <w:b/>
                <w:sz w:val="18"/>
              </w:rPr>
            </w:pPr>
            <w:r>
              <w:rPr>
                <w:b/>
                <w:sz w:val="18"/>
              </w:rPr>
              <w:t>Questions on notice</w:t>
            </w:r>
          </w:p>
        </w:tc>
        <w:tc>
          <w:tcPr>
            <w:tcW w:w="2221" w:type="dxa"/>
            <w:tcBorders>
              <w:top w:val="nil"/>
              <w:left w:val="dashed" w:sz="4" w:space="0" w:color="7098D0"/>
              <w:bottom w:val="nil"/>
              <w:right w:val="dashed" w:sz="4" w:space="0" w:color="7098D0"/>
            </w:tcBorders>
            <w:shd w:val="clear" w:color="auto" w:fill="89A7D7"/>
          </w:tcPr>
          <w:p w:rsidR="006C17CB" w:rsidRDefault="0030091C">
            <w:pPr>
              <w:pStyle w:val="TableParagraph"/>
              <w:spacing w:before="72"/>
              <w:ind w:right="72"/>
              <w:rPr>
                <w:b/>
                <w:sz w:val="18"/>
              </w:rPr>
            </w:pPr>
            <w:r>
              <w:rPr>
                <w:b/>
                <w:sz w:val="18"/>
              </w:rPr>
              <w:t>Questions without notice</w:t>
            </w:r>
          </w:p>
        </w:tc>
        <w:tc>
          <w:tcPr>
            <w:tcW w:w="1529" w:type="dxa"/>
            <w:tcBorders>
              <w:top w:val="nil"/>
              <w:left w:val="dashed" w:sz="4" w:space="0" w:color="7098D0"/>
              <w:bottom w:val="nil"/>
              <w:right w:val="dashed" w:sz="4" w:space="0" w:color="7098D0"/>
            </w:tcBorders>
            <w:shd w:val="clear" w:color="auto" w:fill="89A7D7"/>
          </w:tcPr>
          <w:p w:rsidR="006C17CB" w:rsidRDefault="0030091C">
            <w:pPr>
              <w:pStyle w:val="TableParagraph"/>
              <w:spacing w:before="72"/>
              <w:ind w:right="72"/>
              <w:rPr>
                <w:b/>
                <w:sz w:val="18"/>
              </w:rPr>
            </w:pPr>
            <w:r>
              <w:rPr>
                <w:b/>
                <w:sz w:val="18"/>
              </w:rPr>
              <w:t>Supplementary</w:t>
            </w:r>
          </w:p>
        </w:tc>
        <w:tc>
          <w:tcPr>
            <w:tcW w:w="2206" w:type="dxa"/>
            <w:tcBorders>
              <w:top w:val="nil"/>
              <w:left w:val="dashed" w:sz="4" w:space="0" w:color="7098D0"/>
              <w:bottom w:val="nil"/>
              <w:right w:val="nil"/>
            </w:tcBorders>
            <w:shd w:val="clear" w:color="auto" w:fill="89A7D7"/>
          </w:tcPr>
          <w:p w:rsidR="006C17CB" w:rsidRDefault="0030091C">
            <w:pPr>
              <w:pStyle w:val="TableParagraph"/>
              <w:spacing w:before="72"/>
              <w:ind w:right="77"/>
              <w:rPr>
                <w:b/>
                <w:sz w:val="18"/>
              </w:rPr>
            </w:pPr>
            <w:r>
              <w:rPr>
                <w:b/>
                <w:sz w:val="18"/>
              </w:rPr>
              <w:t>Avg no. asked per sitting*</w:t>
            </w:r>
          </w:p>
        </w:tc>
      </w:tr>
      <w:tr w:rsidR="006C17CB">
        <w:trPr>
          <w:trHeight w:val="352"/>
        </w:trPr>
        <w:tc>
          <w:tcPr>
            <w:tcW w:w="1871" w:type="dxa"/>
            <w:tcBorders>
              <w:top w:val="nil"/>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1988-1989</w:t>
            </w:r>
          </w:p>
        </w:tc>
        <w:tc>
          <w:tcPr>
            <w:tcW w:w="1814" w:type="dxa"/>
            <w:tcBorders>
              <w:top w:val="nil"/>
              <w:left w:val="single" w:sz="4" w:space="0" w:color="DADADA"/>
              <w:bottom w:val="single" w:sz="4" w:space="0" w:color="000000"/>
              <w:right w:val="dashed" w:sz="4" w:space="0" w:color="7098D0"/>
            </w:tcBorders>
          </w:tcPr>
          <w:p w:rsidR="006C17CB" w:rsidRDefault="0030091C">
            <w:pPr>
              <w:pStyle w:val="TableParagraph"/>
              <w:spacing w:before="32"/>
              <w:ind w:right="72"/>
              <w:rPr>
                <w:sz w:val="18"/>
              </w:rPr>
            </w:pPr>
            <w:r>
              <w:rPr>
                <w:sz w:val="18"/>
              </w:rPr>
              <w:t>9</w:t>
            </w:r>
          </w:p>
        </w:tc>
        <w:tc>
          <w:tcPr>
            <w:tcW w:w="2221" w:type="dxa"/>
            <w:tcBorders>
              <w:top w:val="nil"/>
              <w:left w:val="dashed" w:sz="4" w:space="0" w:color="7098D0"/>
              <w:bottom w:val="single" w:sz="4" w:space="0" w:color="000000"/>
              <w:right w:val="dashed" w:sz="4" w:space="0" w:color="7098D0"/>
            </w:tcBorders>
          </w:tcPr>
          <w:p w:rsidR="006C17CB" w:rsidRDefault="0030091C">
            <w:pPr>
              <w:pStyle w:val="TableParagraph"/>
              <w:spacing w:before="32"/>
              <w:ind w:right="72"/>
              <w:rPr>
                <w:sz w:val="18"/>
              </w:rPr>
            </w:pPr>
            <w:r>
              <w:rPr>
                <w:sz w:val="18"/>
              </w:rPr>
              <w:t>131</w:t>
            </w:r>
          </w:p>
        </w:tc>
        <w:tc>
          <w:tcPr>
            <w:tcW w:w="1529" w:type="dxa"/>
            <w:tcBorders>
              <w:top w:val="nil"/>
              <w:left w:val="dashed" w:sz="4" w:space="0" w:color="7098D0"/>
              <w:bottom w:val="single" w:sz="4" w:space="0" w:color="000000"/>
              <w:right w:val="dashed" w:sz="4" w:space="0" w:color="7098D0"/>
            </w:tcBorders>
          </w:tcPr>
          <w:p w:rsidR="006C17CB" w:rsidRDefault="0030091C">
            <w:pPr>
              <w:pStyle w:val="TableParagraph"/>
              <w:spacing w:before="32"/>
              <w:ind w:right="72"/>
              <w:rPr>
                <w:sz w:val="18"/>
              </w:rPr>
            </w:pPr>
            <w:r>
              <w:rPr>
                <w:sz w:val="18"/>
              </w:rPr>
              <w:t>34</w:t>
            </w:r>
          </w:p>
        </w:tc>
        <w:tc>
          <w:tcPr>
            <w:tcW w:w="2206" w:type="dxa"/>
            <w:tcBorders>
              <w:top w:val="nil"/>
              <w:left w:val="dashed" w:sz="4" w:space="0" w:color="7098D0"/>
              <w:bottom w:val="single" w:sz="4" w:space="0" w:color="000000"/>
              <w:right w:val="nil"/>
            </w:tcBorders>
          </w:tcPr>
          <w:p w:rsidR="006C17CB" w:rsidRDefault="0030091C">
            <w:pPr>
              <w:pStyle w:val="TableParagraph"/>
              <w:spacing w:before="32"/>
              <w:ind w:right="77"/>
              <w:rPr>
                <w:sz w:val="18"/>
              </w:rPr>
            </w:pPr>
            <w:r>
              <w:rPr>
                <w:sz w:val="18"/>
              </w:rPr>
              <w:t>17.4</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1989-1990</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187</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684</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207</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16.5</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1990-1991</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241</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685</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176</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14.5</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1991-1992</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448</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490</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188</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14</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1992-1993</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582</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510</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163</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13.2</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1993-1994</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520</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407</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173</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12.6</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1994-1995</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247</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376</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206</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17</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1995-1996</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210</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514</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371</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19.7</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1996-1997</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163</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398</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293</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17.7</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1997-1998</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68</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363</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284</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11</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1998-1999</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141</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352</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327</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17</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1999-2000</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108</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406</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332</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18</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2000-2001</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122</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352</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278</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17</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2001-2002</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268</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370</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302</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19.7</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2002-2003</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575</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425</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330</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18.8</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2003-2004</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820</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410</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347</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17.6</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2004-2005</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608</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356</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283</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17.8</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2005-2006</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712</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399</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314</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17.4</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2006-2007</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455</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366</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296</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17.4</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2007-2008</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519</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378</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299</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16.9</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2008-2009</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351</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401</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330</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19.2</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2009-2010</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751</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417</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2"/>
              </w:rPr>
            </w:pPr>
            <w:r>
              <w:rPr>
                <w:sz w:val="18"/>
              </w:rPr>
              <w:t>1008</w:t>
            </w:r>
            <w:r>
              <w:rPr>
                <w:position w:val="6"/>
                <w:sz w:val="12"/>
              </w:rPr>
              <w:t>#</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34.7</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2010-2011</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697</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445</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2"/>
              </w:rPr>
            </w:pPr>
            <w:r>
              <w:rPr>
                <w:sz w:val="18"/>
              </w:rPr>
              <w:t>1257</w:t>
            </w:r>
            <w:r>
              <w:rPr>
                <w:position w:val="6"/>
                <w:sz w:val="12"/>
              </w:rPr>
              <w:t>#</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38.7</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12"/>
              </w:rPr>
            </w:pPr>
            <w:r>
              <w:rPr>
                <w:sz w:val="21"/>
              </w:rPr>
              <w:t>2011-2012</w:t>
            </w:r>
            <w:r>
              <w:rPr>
                <w:position w:val="6"/>
                <w:sz w:val="12"/>
              </w:rPr>
              <w:t>@</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725</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457</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2"/>
              </w:rPr>
            </w:pPr>
            <w:r>
              <w:rPr>
                <w:sz w:val="18"/>
              </w:rPr>
              <w:t>1329</w:t>
            </w:r>
            <w:r>
              <w:rPr>
                <w:position w:val="6"/>
                <w:sz w:val="12"/>
              </w:rPr>
              <w:t>#</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42.5</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2012-2013</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154</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258</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2"/>
              </w:rPr>
            </w:pPr>
            <w:r>
              <w:rPr>
                <w:sz w:val="18"/>
              </w:rPr>
              <w:t>764</w:t>
            </w:r>
            <w:r>
              <w:rPr>
                <w:position w:val="6"/>
                <w:sz w:val="12"/>
              </w:rPr>
              <w:t>#</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35</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2013-2014</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172</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381</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2"/>
              </w:rPr>
            </w:pPr>
            <w:r>
              <w:rPr>
                <w:sz w:val="18"/>
              </w:rPr>
              <w:t>1117</w:t>
            </w:r>
            <w:r>
              <w:rPr>
                <w:position w:val="6"/>
                <w:sz w:val="12"/>
              </w:rPr>
              <w:t>#</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42</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2014-2015</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140</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388</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2"/>
              </w:rPr>
            </w:pPr>
            <w:r>
              <w:rPr>
                <w:sz w:val="18"/>
              </w:rPr>
              <w:t>1148</w:t>
            </w:r>
            <w:r>
              <w:rPr>
                <w:position w:val="6"/>
                <w:sz w:val="12"/>
              </w:rPr>
              <w:t>#</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35</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2015-2016</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326</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326</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971</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36</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2016-2017</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377</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321</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693</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40.6</w:t>
            </w:r>
          </w:p>
        </w:tc>
      </w:tr>
      <w:tr w:rsidR="006C17CB">
        <w:trPr>
          <w:trHeight w:val="352"/>
        </w:trPr>
        <w:tc>
          <w:tcPr>
            <w:tcW w:w="1871" w:type="dxa"/>
            <w:tcBorders>
              <w:top w:val="single" w:sz="4" w:space="0" w:color="004289"/>
              <w:left w:val="nil"/>
              <w:bottom w:val="single" w:sz="4" w:space="0" w:color="004289"/>
              <w:right w:val="single" w:sz="4" w:space="0" w:color="DADADA"/>
            </w:tcBorders>
          </w:tcPr>
          <w:p w:rsidR="006C17CB" w:rsidRDefault="0030091C">
            <w:pPr>
              <w:pStyle w:val="TableParagraph"/>
              <w:spacing w:before="9"/>
              <w:ind w:left="79"/>
              <w:jc w:val="left"/>
              <w:rPr>
                <w:sz w:val="21"/>
              </w:rPr>
            </w:pPr>
            <w:r>
              <w:rPr>
                <w:sz w:val="21"/>
              </w:rPr>
              <w:t>2017-2018</w:t>
            </w:r>
          </w:p>
        </w:tc>
        <w:tc>
          <w:tcPr>
            <w:tcW w:w="1814" w:type="dxa"/>
            <w:tcBorders>
              <w:top w:val="single" w:sz="4" w:space="0" w:color="000000"/>
              <w:left w:val="single" w:sz="4" w:space="0" w:color="DADADA"/>
              <w:bottom w:val="single" w:sz="4" w:space="0" w:color="000000"/>
              <w:right w:val="dashed" w:sz="4" w:space="0" w:color="7098D0"/>
            </w:tcBorders>
          </w:tcPr>
          <w:p w:rsidR="006C17CB" w:rsidRDefault="0030091C">
            <w:pPr>
              <w:pStyle w:val="TableParagraph"/>
              <w:spacing w:before="33"/>
              <w:ind w:right="72"/>
              <w:rPr>
                <w:sz w:val="18"/>
              </w:rPr>
            </w:pPr>
            <w:r>
              <w:rPr>
                <w:sz w:val="18"/>
              </w:rPr>
              <w:t>1207</w:t>
            </w:r>
          </w:p>
        </w:tc>
        <w:tc>
          <w:tcPr>
            <w:tcW w:w="2221"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8"/>
              </w:rPr>
            </w:pPr>
            <w:r>
              <w:rPr>
                <w:sz w:val="18"/>
              </w:rPr>
              <w:t>616</w:t>
            </w:r>
          </w:p>
        </w:tc>
        <w:tc>
          <w:tcPr>
            <w:tcW w:w="1529" w:type="dxa"/>
            <w:tcBorders>
              <w:top w:val="single" w:sz="4" w:space="0" w:color="000000"/>
              <w:left w:val="dashed" w:sz="4" w:space="0" w:color="7098D0"/>
              <w:bottom w:val="single" w:sz="4" w:space="0" w:color="000000"/>
              <w:right w:val="dashed" w:sz="4" w:space="0" w:color="7098D0"/>
            </w:tcBorders>
          </w:tcPr>
          <w:p w:rsidR="006C17CB" w:rsidRDefault="0030091C">
            <w:pPr>
              <w:pStyle w:val="TableParagraph"/>
              <w:spacing w:before="33"/>
              <w:ind w:right="72"/>
              <w:rPr>
                <w:sz w:val="10"/>
              </w:rPr>
            </w:pPr>
            <w:r>
              <w:rPr>
                <w:sz w:val="18"/>
              </w:rPr>
              <w:t>1210</w:t>
            </w:r>
            <w:r>
              <w:rPr>
                <w:position w:val="6"/>
                <w:sz w:val="10"/>
              </w:rPr>
              <w:t>#</w:t>
            </w:r>
          </w:p>
        </w:tc>
        <w:tc>
          <w:tcPr>
            <w:tcW w:w="2206" w:type="dxa"/>
            <w:tcBorders>
              <w:top w:val="single" w:sz="4" w:space="0" w:color="000000"/>
              <w:left w:val="dashed" w:sz="4" w:space="0" w:color="7098D0"/>
              <w:bottom w:val="single" w:sz="4" w:space="0" w:color="000000"/>
              <w:right w:val="nil"/>
            </w:tcBorders>
          </w:tcPr>
          <w:p w:rsidR="006C17CB" w:rsidRDefault="0030091C">
            <w:pPr>
              <w:pStyle w:val="TableParagraph"/>
              <w:spacing w:before="33"/>
              <w:ind w:right="77"/>
              <w:rPr>
                <w:sz w:val="18"/>
              </w:rPr>
            </w:pPr>
            <w:r>
              <w:rPr>
                <w:sz w:val="18"/>
              </w:rPr>
              <w:t>43.5</w:t>
            </w:r>
          </w:p>
        </w:tc>
      </w:tr>
    </w:tbl>
    <w:p w:rsidR="006C17CB" w:rsidRDefault="006C17CB">
      <w:pPr>
        <w:pStyle w:val="BodyText"/>
        <w:spacing w:before="7"/>
        <w:rPr>
          <w:rFonts w:ascii="Calibri"/>
          <w:sz w:val="19"/>
        </w:rPr>
      </w:pPr>
    </w:p>
    <w:p w:rsidR="006C17CB" w:rsidRDefault="0030091C">
      <w:pPr>
        <w:spacing w:before="25"/>
        <w:ind w:left="153"/>
        <w:rPr>
          <w:rFonts w:ascii="Calibri"/>
          <w:sz w:val="18"/>
        </w:rPr>
      </w:pPr>
      <w:r>
        <w:rPr>
          <w:rFonts w:ascii="Calibri"/>
          <w:sz w:val="18"/>
        </w:rPr>
        <w:t>* Includes supplementary questions.</w:t>
      </w:r>
    </w:p>
    <w:p w:rsidR="006C17CB" w:rsidRDefault="0030091C">
      <w:pPr>
        <w:spacing w:before="54"/>
        <w:ind w:left="153"/>
        <w:rPr>
          <w:rFonts w:ascii="Calibri"/>
          <w:sz w:val="18"/>
        </w:rPr>
      </w:pPr>
      <w:r>
        <w:rPr>
          <w:rFonts w:ascii="Calibri"/>
          <w:sz w:val="18"/>
        </w:rPr>
        <w:t># Includes further supplementary questions per standing order 113B.</w:t>
      </w:r>
    </w:p>
    <w:p w:rsidR="006C17CB" w:rsidRDefault="0030091C">
      <w:pPr>
        <w:spacing w:before="102" w:line="184" w:lineRule="auto"/>
        <w:ind w:left="323" w:right="1177" w:hanging="171"/>
        <w:rPr>
          <w:rFonts w:ascii="Calibri" w:hAnsi="Calibri"/>
          <w:sz w:val="18"/>
        </w:rPr>
      </w:pPr>
      <w:r>
        <w:rPr>
          <w:rFonts w:ascii="Calibri" w:hAnsi="Calibri"/>
          <w:position w:val="2"/>
          <w:sz w:val="14"/>
        </w:rPr>
        <w:t xml:space="preserve">@ </w:t>
      </w:r>
      <w:r>
        <w:rPr>
          <w:rFonts w:ascii="Calibri" w:hAnsi="Calibri"/>
          <w:sz w:val="18"/>
        </w:rPr>
        <w:t>Rostered ministers’ questions—in addition, 69 questions and 67 supplementary questions were asked of rostered ministers from September 2011 to February 2012.</w:t>
      </w:r>
    </w:p>
    <w:p w:rsidR="006C17CB" w:rsidRDefault="006C17CB">
      <w:pPr>
        <w:spacing w:line="184" w:lineRule="auto"/>
        <w:rPr>
          <w:rFonts w:ascii="Calibri" w:hAnsi="Calibri"/>
          <w:sz w:val="18"/>
        </w:rPr>
        <w:sectPr w:rsidR="006C17CB">
          <w:pgSz w:w="11910" w:h="16840"/>
          <w:pgMar w:top="1540" w:right="0" w:bottom="740" w:left="980" w:header="1132" w:footer="551" w:gutter="0"/>
          <w:cols w:space="720"/>
        </w:sect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spacing w:before="5"/>
        <w:rPr>
          <w:rFonts w:ascii="Calibri"/>
          <w:sz w:val="13"/>
        </w:rPr>
      </w:pPr>
    </w:p>
    <w:p w:rsidR="006C17CB" w:rsidRDefault="0030091C">
      <w:pPr>
        <w:pStyle w:val="Heading6"/>
        <w:spacing w:before="146"/>
        <w:ind w:left="153"/>
        <w:rPr>
          <w:rFonts w:ascii="Montserrat"/>
        </w:rPr>
      </w:pPr>
      <w:bookmarkStart w:id="91" w:name="Appendix_7_–_Committee_statistics"/>
      <w:bookmarkStart w:id="92" w:name="_bookmark32"/>
      <w:bookmarkEnd w:id="91"/>
      <w:bookmarkEnd w:id="92"/>
      <w:r>
        <w:rPr>
          <w:rFonts w:ascii="Montserrat"/>
          <w:color w:val="556EAA"/>
        </w:rPr>
        <w:t>Summary of committee statistics 1989-2018</w:t>
      </w:r>
    </w:p>
    <w:p w:rsidR="006C17CB" w:rsidRDefault="006C17CB">
      <w:pPr>
        <w:pStyle w:val="BodyText"/>
        <w:spacing w:before="11"/>
        <w:rPr>
          <w:rFonts w:ascii="Montserrat"/>
          <w:b/>
          <w:sz w:val="10"/>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1672"/>
        <w:gridCol w:w="1187"/>
        <w:gridCol w:w="1173"/>
        <w:gridCol w:w="1141"/>
        <w:gridCol w:w="1134"/>
        <w:gridCol w:w="1137"/>
        <w:gridCol w:w="1165"/>
        <w:gridCol w:w="1032"/>
      </w:tblGrid>
      <w:tr w:rsidR="006C17CB">
        <w:trPr>
          <w:trHeight w:val="963"/>
        </w:trPr>
        <w:tc>
          <w:tcPr>
            <w:tcW w:w="1672" w:type="dxa"/>
            <w:tcBorders>
              <w:top w:val="nil"/>
              <w:left w:val="nil"/>
              <w:bottom w:val="nil"/>
            </w:tcBorders>
            <w:shd w:val="clear" w:color="auto" w:fill="89A7D7"/>
          </w:tcPr>
          <w:p w:rsidR="006C17CB" w:rsidRDefault="006C17CB">
            <w:pPr>
              <w:pStyle w:val="TableParagraph"/>
              <w:jc w:val="left"/>
              <w:rPr>
                <w:rFonts w:ascii="Montserrat"/>
                <w:b/>
                <w:sz w:val="18"/>
              </w:rPr>
            </w:pPr>
          </w:p>
          <w:p w:rsidR="006C17CB" w:rsidRDefault="006C17CB">
            <w:pPr>
              <w:pStyle w:val="TableParagraph"/>
              <w:jc w:val="left"/>
              <w:rPr>
                <w:rFonts w:ascii="Montserrat"/>
                <w:b/>
                <w:sz w:val="18"/>
              </w:rPr>
            </w:pPr>
          </w:p>
          <w:p w:rsidR="006C17CB" w:rsidRDefault="006C17CB">
            <w:pPr>
              <w:pStyle w:val="TableParagraph"/>
              <w:spacing w:before="5"/>
              <w:jc w:val="left"/>
              <w:rPr>
                <w:rFonts w:ascii="Montserrat"/>
                <w:b/>
                <w:sz w:val="16"/>
              </w:rPr>
            </w:pPr>
          </w:p>
          <w:p w:rsidR="006C17CB" w:rsidRDefault="0030091C">
            <w:pPr>
              <w:pStyle w:val="TableParagraph"/>
              <w:ind w:left="79"/>
              <w:jc w:val="left"/>
              <w:rPr>
                <w:b/>
                <w:sz w:val="18"/>
              </w:rPr>
            </w:pPr>
            <w:r>
              <w:rPr>
                <w:b/>
                <w:sz w:val="18"/>
              </w:rPr>
              <w:t>Financial year</w:t>
            </w:r>
          </w:p>
        </w:tc>
        <w:tc>
          <w:tcPr>
            <w:tcW w:w="1187" w:type="dxa"/>
            <w:tcBorders>
              <w:top w:val="nil"/>
              <w:bottom w:val="nil"/>
            </w:tcBorders>
            <w:shd w:val="clear" w:color="auto" w:fill="89A7D7"/>
          </w:tcPr>
          <w:p w:rsidR="006C17CB" w:rsidRDefault="006C17CB">
            <w:pPr>
              <w:pStyle w:val="TableParagraph"/>
              <w:jc w:val="left"/>
              <w:rPr>
                <w:rFonts w:ascii="Montserrat"/>
                <w:b/>
                <w:sz w:val="18"/>
              </w:rPr>
            </w:pPr>
          </w:p>
          <w:p w:rsidR="006C17CB" w:rsidRDefault="006C17CB">
            <w:pPr>
              <w:pStyle w:val="TableParagraph"/>
              <w:jc w:val="left"/>
              <w:rPr>
                <w:rFonts w:ascii="Montserrat"/>
                <w:b/>
                <w:sz w:val="18"/>
              </w:rPr>
            </w:pPr>
          </w:p>
          <w:p w:rsidR="006C17CB" w:rsidRDefault="006C17CB">
            <w:pPr>
              <w:pStyle w:val="TableParagraph"/>
              <w:spacing w:before="5"/>
              <w:jc w:val="left"/>
              <w:rPr>
                <w:rFonts w:ascii="Montserrat"/>
                <w:b/>
                <w:sz w:val="16"/>
              </w:rPr>
            </w:pPr>
          </w:p>
          <w:p w:rsidR="006C17CB" w:rsidRDefault="0030091C">
            <w:pPr>
              <w:pStyle w:val="TableParagraph"/>
              <w:ind w:right="65"/>
              <w:rPr>
                <w:b/>
                <w:sz w:val="18"/>
              </w:rPr>
            </w:pPr>
            <w:r>
              <w:rPr>
                <w:b/>
                <w:sz w:val="18"/>
              </w:rPr>
              <w:t>Meetings</w:t>
            </w:r>
          </w:p>
        </w:tc>
        <w:tc>
          <w:tcPr>
            <w:tcW w:w="1173" w:type="dxa"/>
            <w:tcBorders>
              <w:top w:val="nil"/>
              <w:bottom w:val="nil"/>
            </w:tcBorders>
            <w:shd w:val="clear" w:color="auto" w:fill="89A7D7"/>
          </w:tcPr>
          <w:p w:rsidR="006C17CB" w:rsidRDefault="0030091C">
            <w:pPr>
              <w:pStyle w:val="TableParagraph"/>
              <w:spacing w:before="88" w:line="184" w:lineRule="auto"/>
              <w:ind w:left="171" w:right="65" w:firstLine="201"/>
              <w:jc w:val="both"/>
              <w:rPr>
                <w:b/>
                <w:sz w:val="18"/>
              </w:rPr>
            </w:pPr>
            <w:r>
              <w:rPr>
                <w:b/>
                <w:sz w:val="18"/>
              </w:rPr>
              <w:t>Meetings supported by Chamber</w:t>
            </w:r>
          </w:p>
          <w:p w:rsidR="006C17CB" w:rsidRDefault="0030091C">
            <w:pPr>
              <w:pStyle w:val="TableParagraph"/>
              <w:spacing w:line="212" w:lineRule="exact"/>
              <w:ind w:left="469"/>
              <w:jc w:val="left"/>
              <w:rPr>
                <w:b/>
                <w:sz w:val="18"/>
              </w:rPr>
            </w:pPr>
            <w:r>
              <w:rPr>
                <w:b/>
                <w:sz w:val="18"/>
              </w:rPr>
              <w:t>Support</w:t>
            </w:r>
          </w:p>
        </w:tc>
        <w:tc>
          <w:tcPr>
            <w:tcW w:w="1141" w:type="dxa"/>
            <w:tcBorders>
              <w:top w:val="nil"/>
              <w:bottom w:val="nil"/>
            </w:tcBorders>
            <w:shd w:val="clear" w:color="auto" w:fill="89A7D7"/>
          </w:tcPr>
          <w:p w:rsidR="006C17CB" w:rsidRDefault="006C17CB">
            <w:pPr>
              <w:pStyle w:val="TableParagraph"/>
              <w:spacing w:before="7"/>
              <w:jc w:val="left"/>
              <w:rPr>
                <w:rFonts w:ascii="Montserrat"/>
                <w:b/>
                <w:sz w:val="23"/>
              </w:rPr>
            </w:pPr>
          </w:p>
          <w:p w:rsidR="006C17CB" w:rsidRDefault="0030091C">
            <w:pPr>
              <w:pStyle w:val="TableParagraph"/>
              <w:spacing w:line="184" w:lineRule="auto"/>
              <w:ind w:left="256" w:right="67" w:firstLine="415"/>
              <w:jc w:val="both"/>
              <w:rPr>
                <w:b/>
                <w:sz w:val="18"/>
              </w:rPr>
            </w:pPr>
            <w:r>
              <w:rPr>
                <w:b/>
                <w:sz w:val="18"/>
              </w:rPr>
              <w:t>Total number of meetings</w:t>
            </w:r>
          </w:p>
        </w:tc>
        <w:tc>
          <w:tcPr>
            <w:tcW w:w="1134" w:type="dxa"/>
            <w:tcBorders>
              <w:top w:val="nil"/>
              <w:bottom w:val="nil"/>
            </w:tcBorders>
            <w:shd w:val="clear" w:color="auto" w:fill="89A7D7"/>
          </w:tcPr>
          <w:p w:rsidR="006C17CB" w:rsidRDefault="006C17CB">
            <w:pPr>
              <w:pStyle w:val="TableParagraph"/>
              <w:jc w:val="left"/>
              <w:rPr>
                <w:rFonts w:ascii="Montserrat"/>
                <w:b/>
                <w:sz w:val="18"/>
              </w:rPr>
            </w:pPr>
          </w:p>
          <w:p w:rsidR="006C17CB" w:rsidRDefault="006C17CB">
            <w:pPr>
              <w:pStyle w:val="TableParagraph"/>
              <w:jc w:val="left"/>
              <w:rPr>
                <w:rFonts w:ascii="Montserrat"/>
                <w:b/>
              </w:rPr>
            </w:pPr>
          </w:p>
          <w:p w:rsidR="006C17CB" w:rsidRDefault="0030091C">
            <w:pPr>
              <w:pStyle w:val="TableParagraph"/>
              <w:spacing w:line="184" w:lineRule="auto"/>
              <w:ind w:left="393" w:right="59" w:firstLine="189"/>
              <w:jc w:val="left"/>
              <w:rPr>
                <w:b/>
                <w:sz w:val="18"/>
              </w:rPr>
            </w:pPr>
            <w:r>
              <w:rPr>
                <w:b/>
                <w:sz w:val="18"/>
              </w:rPr>
              <w:t>Public hearings</w:t>
            </w:r>
          </w:p>
        </w:tc>
        <w:tc>
          <w:tcPr>
            <w:tcW w:w="1137" w:type="dxa"/>
            <w:tcBorders>
              <w:top w:val="nil"/>
              <w:bottom w:val="nil"/>
            </w:tcBorders>
            <w:shd w:val="clear" w:color="auto" w:fill="89A7D7"/>
          </w:tcPr>
          <w:p w:rsidR="006C17CB" w:rsidRDefault="006C17CB">
            <w:pPr>
              <w:pStyle w:val="TableParagraph"/>
              <w:jc w:val="left"/>
              <w:rPr>
                <w:rFonts w:ascii="Montserrat"/>
                <w:b/>
                <w:sz w:val="18"/>
              </w:rPr>
            </w:pPr>
          </w:p>
          <w:p w:rsidR="006C17CB" w:rsidRDefault="006C17CB">
            <w:pPr>
              <w:pStyle w:val="TableParagraph"/>
              <w:jc w:val="left"/>
              <w:rPr>
                <w:rFonts w:ascii="Montserrat"/>
                <w:b/>
                <w:sz w:val="18"/>
              </w:rPr>
            </w:pPr>
          </w:p>
          <w:p w:rsidR="006C17CB" w:rsidRDefault="006C17CB">
            <w:pPr>
              <w:pStyle w:val="TableParagraph"/>
              <w:spacing w:before="5"/>
              <w:jc w:val="left"/>
              <w:rPr>
                <w:rFonts w:ascii="Montserrat"/>
                <w:b/>
                <w:sz w:val="16"/>
              </w:rPr>
            </w:pPr>
          </w:p>
          <w:p w:rsidR="006C17CB" w:rsidRDefault="0030091C">
            <w:pPr>
              <w:pStyle w:val="TableParagraph"/>
              <w:ind w:right="67"/>
              <w:rPr>
                <w:b/>
                <w:sz w:val="18"/>
              </w:rPr>
            </w:pPr>
            <w:r>
              <w:rPr>
                <w:b/>
                <w:sz w:val="18"/>
              </w:rPr>
              <w:t>Reports</w:t>
            </w:r>
          </w:p>
        </w:tc>
        <w:tc>
          <w:tcPr>
            <w:tcW w:w="1165" w:type="dxa"/>
            <w:tcBorders>
              <w:top w:val="nil"/>
              <w:bottom w:val="nil"/>
            </w:tcBorders>
            <w:shd w:val="clear" w:color="auto" w:fill="89A7D7"/>
          </w:tcPr>
          <w:p w:rsidR="006C17CB" w:rsidRDefault="0030091C">
            <w:pPr>
              <w:pStyle w:val="TableParagraph"/>
              <w:spacing w:before="88" w:line="184" w:lineRule="auto"/>
              <w:ind w:left="164" w:right="66" w:firstLine="312"/>
              <w:rPr>
                <w:b/>
                <w:sz w:val="18"/>
              </w:rPr>
            </w:pPr>
            <w:r>
              <w:rPr>
                <w:b/>
                <w:sz w:val="18"/>
              </w:rPr>
              <w:t>Reports produced by</w:t>
            </w:r>
            <w:r>
              <w:rPr>
                <w:b/>
                <w:spacing w:val="5"/>
                <w:sz w:val="18"/>
              </w:rPr>
              <w:t xml:space="preserve"> </w:t>
            </w:r>
            <w:r>
              <w:rPr>
                <w:b/>
                <w:sz w:val="18"/>
              </w:rPr>
              <w:t>Chamber</w:t>
            </w:r>
          </w:p>
          <w:p w:rsidR="006C17CB" w:rsidRDefault="0030091C">
            <w:pPr>
              <w:pStyle w:val="TableParagraph"/>
              <w:spacing w:line="212" w:lineRule="exact"/>
              <w:ind w:right="67"/>
              <w:rPr>
                <w:b/>
                <w:sz w:val="18"/>
              </w:rPr>
            </w:pPr>
            <w:r>
              <w:rPr>
                <w:b/>
                <w:sz w:val="18"/>
              </w:rPr>
              <w:t>Support</w:t>
            </w:r>
          </w:p>
        </w:tc>
        <w:tc>
          <w:tcPr>
            <w:tcW w:w="1032" w:type="dxa"/>
            <w:tcBorders>
              <w:top w:val="nil"/>
              <w:bottom w:val="nil"/>
              <w:right w:val="nil"/>
            </w:tcBorders>
            <w:shd w:val="clear" w:color="auto" w:fill="89A7D7"/>
          </w:tcPr>
          <w:p w:rsidR="006C17CB" w:rsidRDefault="006C17CB">
            <w:pPr>
              <w:pStyle w:val="TableParagraph"/>
              <w:jc w:val="left"/>
              <w:rPr>
                <w:rFonts w:ascii="Montserrat"/>
                <w:b/>
                <w:sz w:val="18"/>
              </w:rPr>
            </w:pPr>
          </w:p>
          <w:p w:rsidR="006C17CB" w:rsidRDefault="006C17CB">
            <w:pPr>
              <w:pStyle w:val="TableParagraph"/>
              <w:jc w:val="left"/>
              <w:rPr>
                <w:rFonts w:ascii="Montserrat"/>
                <w:b/>
              </w:rPr>
            </w:pPr>
          </w:p>
          <w:p w:rsidR="006C17CB" w:rsidRDefault="0030091C">
            <w:pPr>
              <w:pStyle w:val="TableParagraph"/>
              <w:spacing w:line="184" w:lineRule="auto"/>
              <w:ind w:left="380" w:right="57" w:firstLine="183"/>
              <w:jc w:val="left"/>
              <w:rPr>
                <w:b/>
                <w:sz w:val="18"/>
              </w:rPr>
            </w:pPr>
            <w:r>
              <w:rPr>
                <w:b/>
                <w:sz w:val="18"/>
              </w:rPr>
              <w:t>Total reports</w:t>
            </w:r>
          </w:p>
        </w:tc>
      </w:tr>
      <w:tr w:rsidR="006C17CB">
        <w:trPr>
          <w:trHeight w:val="352"/>
        </w:trPr>
        <w:tc>
          <w:tcPr>
            <w:tcW w:w="1672" w:type="dxa"/>
            <w:tcBorders>
              <w:top w:val="nil"/>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1989-1990</w:t>
            </w:r>
          </w:p>
        </w:tc>
        <w:tc>
          <w:tcPr>
            <w:tcW w:w="1187" w:type="dxa"/>
            <w:tcBorders>
              <w:top w:val="nil"/>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165</w:t>
            </w:r>
          </w:p>
        </w:tc>
        <w:tc>
          <w:tcPr>
            <w:tcW w:w="1173" w:type="dxa"/>
            <w:tcBorders>
              <w:top w:val="nil"/>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45</w:t>
            </w:r>
          </w:p>
        </w:tc>
        <w:tc>
          <w:tcPr>
            <w:tcW w:w="1141" w:type="dxa"/>
            <w:tcBorders>
              <w:top w:val="nil"/>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210</w:t>
            </w:r>
          </w:p>
        </w:tc>
        <w:tc>
          <w:tcPr>
            <w:tcW w:w="1134" w:type="dxa"/>
            <w:tcBorders>
              <w:top w:val="nil"/>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57</w:t>
            </w:r>
          </w:p>
        </w:tc>
        <w:tc>
          <w:tcPr>
            <w:tcW w:w="1137" w:type="dxa"/>
            <w:tcBorders>
              <w:top w:val="nil"/>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18</w:t>
            </w:r>
          </w:p>
        </w:tc>
        <w:tc>
          <w:tcPr>
            <w:tcW w:w="1165" w:type="dxa"/>
            <w:tcBorders>
              <w:top w:val="nil"/>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11</w:t>
            </w:r>
          </w:p>
        </w:tc>
        <w:tc>
          <w:tcPr>
            <w:tcW w:w="1032" w:type="dxa"/>
            <w:tcBorders>
              <w:top w:val="nil"/>
              <w:left w:val="dashed" w:sz="4" w:space="0" w:color="DADADA"/>
              <w:bottom w:val="single" w:sz="4" w:space="0" w:color="000000"/>
              <w:right w:val="nil"/>
            </w:tcBorders>
          </w:tcPr>
          <w:p w:rsidR="006C17CB" w:rsidRDefault="0030091C">
            <w:pPr>
              <w:pStyle w:val="TableParagraph"/>
              <w:spacing w:before="33"/>
              <w:ind w:right="76"/>
              <w:rPr>
                <w:sz w:val="18"/>
              </w:rPr>
            </w:pPr>
            <w:r>
              <w:rPr>
                <w:sz w:val="18"/>
              </w:rPr>
              <w:t>29</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1990-1991</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185</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54</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239</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45</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16</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24</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40</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1991-1992</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90</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29</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119</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23</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12</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12</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24</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1992-1993</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141</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52</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193</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34</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18</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28</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46</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1993-1994</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144</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48</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192</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53</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31</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34</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1994-1995</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126</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37</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163</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36</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16</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18</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34</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1995-1996</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113</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48</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161</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61</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12</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25</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37</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1996-1997</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129</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40</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169</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59</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11</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21</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32</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1997-1998</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109</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45</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154</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45</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35</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19</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54</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1998-1999</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327</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61</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20</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81</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1999-2000</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293</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57</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21</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78</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2000-2001</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228</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41</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15</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56</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2001-2002</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126</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38</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19</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57</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2002-2003</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230</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38</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268</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81</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31</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19</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50</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2003-2004</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222</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41</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263</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62</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40</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20</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60</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2004-2005</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152</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35</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187</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38</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27</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20</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47</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2005-2006</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231</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34</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265</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61</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18</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15</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33</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2006-2007</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232</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36</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268</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69</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21</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16</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37</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2007-2008</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206</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36</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242</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59</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15</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17</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32</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2008-2009</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221</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31</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252</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61</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23</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13</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36</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2009-2010</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264</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47</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311</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74</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21</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20</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41</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2010-2011</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230</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37</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267</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57</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25</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16</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41</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2011-2012</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287</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46</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333</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95</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23</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16</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39</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2012-2013</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182</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28</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210</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54</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21</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11</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32</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2013-2014</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191</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32</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223</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57</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13</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14</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27</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2014-2015</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178</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34</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212</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60</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17</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19</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36</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2015-2016</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159</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29</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188</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47</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26</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14</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40</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2016-2017</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161</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26</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187</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32</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16</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17</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36</w:t>
            </w:r>
          </w:p>
        </w:tc>
      </w:tr>
      <w:tr w:rsidR="006C17CB">
        <w:trPr>
          <w:trHeight w:val="352"/>
        </w:trPr>
        <w:tc>
          <w:tcPr>
            <w:tcW w:w="1672" w:type="dxa"/>
            <w:tcBorders>
              <w:top w:val="single" w:sz="4" w:space="0" w:color="000000"/>
              <w:left w:val="nil"/>
              <w:bottom w:val="single" w:sz="4" w:space="0" w:color="000000"/>
              <w:right w:val="single" w:sz="4" w:space="0" w:color="DADADA"/>
            </w:tcBorders>
          </w:tcPr>
          <w:p w:rsidR="006C17CB" w:rsidRDefault="0030091C">
            <w:pPr>
              <w:pStyle w:val="TableParagraph"/>
              <w:spacing w:before="33"/>
              <w:ind w:left="79"/>
              <w:jc w:val="left"/>
              <w:rPr>
                <w:sz w:val="18"/>
              </w:rPr>
            </w:pPr>
            <w:r>
              <w:rPr>
                <w:sz w:val="18"/>
              </w:rPr>
              <w:t>2017-2018</w:t>
            </w:r>
          </w:p>
        </w:tc>
        <w:tc>
          <w:tcPr>
            <w:tcW w:w="1187"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289</w:t>
            </w:r>
          </w:p>
        </w:tc>
        <w:tc>
          <w:tcPr>
            <w:tcW w:w="117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34</w:t>
            </w:r>
          </w:p>
        </w:tc>
        <w:tc>
          <w:tcPr>
            <w:tcW w:w="1141"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323</w:t>
            </w:r>
          </w:p>
        </w:tc>
        <w:tc>
          <w:tcPr>
            <w:tcW w:w="113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84</w:t>
            </w:r>
          </w:p>
        </w:tc>
        <w:tc>
          <w:tcPr>
            <w:tcW w:w="1137"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2"/>
              <w:rPr>
                <w:sz w:val="18"/>
              </w:rPr>
            </w:pPr>
            <w:r>
              <w:rPr>
                <w:sz w:val="18"/>
              </w:rPr>
              <w:t>22</w:t>
            </w:r>
          </w:p>
        </w:tc>
        <w:tc>
          <w:tcPr>
            <w:tcW w:w="1165"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33"/>
              <w:ind w:right="71"/>
              <w:rPr>
                <w:sz w:val="18"/>
              </w:rPr>
            </w:pPr>
            <w:r>
              <w:rPr>
                <w:sz w:val="18"/>
              </w:rPr>
              <w:t>14</w:t>
            </w:r>
          </w:p>
        </w:tc>
        <w:tc>
          <w:tcPr>
            <w:tcW w:w="1032" w:type="dxa"/>
            <w:tcBorders>
              <w:top w:val="single" w:sz="4" w:space="0" w:color="000000"/>
              <w:left w:val="dashed" w:sz="4" w:space="0" w:color="DADADA"/>
              <w:bottom w:val="single" w:sz="4" w:space="0" w:color="000000"/>
              <w:right w:val="nil"/>
            </w:tcBorders>
          </w:tcPr>
          <w:p w:rsidR="006C17CB" w:rsidRDefault="0030091C">
            <w:pPr>
              <w:pStyle w:val="TableParagraph"/>
              <w:spacing w:before="33"/>
              <w:ind w:right="76"/>
              <w:rPr>
                <w:sz w:val="18"/>
              </w:rPr>
            </w:pPr>
            <w:r>
              <w:rPr>
                <w:sz w:val="18"/>
              </w:rPr>
              <w:t>36</w:t>
            </w:r>
          </w:p>
        </w:tc>
      </w:tr>
    </w:tbl>
    <w:p w:rsidR="006C17CB" w:rsidRDefault="006C17CB">
      <w:pPr>
        <w:rPr>
          <w:sz w:val="18"/>
        </w:rPr>
        <w:sectPr w:rsidR="006C17CB">
          <w:headerReference w:type="even" r:id="rId95"/>
          <w:pgSz w:w="11910" w:h="16840"/>
          <w:pgMar w:top="1540" w:right="0" w:bottom="720" w:left="980" w:header="1132" w:footer="523" w:gutter="0"/>
          <w:cols w:space="720"/>
        </w:sectPr>
      </w:pPr>
    </w:p>
    <w:p w:rsidR="006C17CB" w:rsidRDefault="006C17CB">
      <w:pPr>
        <w:pStyle w:val="BodyText"/>
        <w:rPr>
          <w:rFonts w:ascii="Montserrat"/>
          <w:b/>
          <w:sz w:val="20"/>
        </w:rPr>
      </w:pPr>
    </w:p>
    <w:p w:rsidR="006C17CB" w:rsidRDefault="006C17CB">
      <w:pPr>
        <w:pStyle w:val="BodyText"/>
        <w:rPr>
          <w:rFonts w:ascii="Montserrat"/>
          <w:b/>
          <w:sz w:val="20"/>
        </w:rPr>
      </w:pPr>
    </w:p>
    <w:p w:rsidR="006C17CB" w:rsidRDefault="006C17CB">
      <w:pPr>
        <w:pStyle w:val="BodyText"/>
        <w:spacing w:before="7"/>
        <w:rPr>
          <w:rFonts w:ascii="Montserrat"/>
          <w:b/>
          <w:sz w:val="21"/>
        </w:rPr>
      </w:pPr>
    </w:p>
    <w:p w:rsidR="006C17CB" w:rsidRDefault="0030091C">
      <w:pPr>
        <w:spacing w:before="146"/>
        <w:ind w:left="153"/>
        <w:rPr>
          <w:rFonts w:ascii="Montserrat"/>
          <w:b/>
          <w:sz w:val="24"/>
        </w:rPr>
      </w:pPr>
      <w:r>
        <w:rPr>
          <w:rFonts w:ascii="Montserrat"/>
          <w:b/>
          <w:color w:val="556EAA"/>
          <w:sz w:val="24"/>
        </w:rPr>
        <w:t>Consolidated committee statistics 2017-2018</w:t>
      </w:r>
    </w:p>
    <w:p w:rsidR="006C17CB" w:rsidRDefault="0030091C">
      <w:pPr>
        <w:spacing w:before="269"/>
        <w:ind w:left="153"/>
        <w:rPr>
          <w:rFonts w:ascii="Montserrat-SemiBoldItalic" w:hAnsi="Montserrat-SemiBoldItalic"/>
          <w:b/>
          <w:i/>
          <w:sz w:val="20"/>
        </w:rPr>
      </w:pPr>
      <w:r>
        <w:rPr>
          <w:rFonts w:ascii="Montserrat-SemiBoldItalic" w:hAnsi="Montserrat-SemiBoldItalic"/>
          <w:b/>
          <w:i/>
          <w:sz w:val="20"/>
        </w:rPr>
        <w:t>Types of meetings – activity</w:t>
      </w:r>
    </w:p>
    <w:p w:rsidR="006C17CB" w:rsidRDefault="006C17CB">
      <w:pPr>
        <w:pStyle w:val="BodyText"/>
        <w:spacing w:before="9" w:after="1"/>
        <w:rPr>
          <w:rFonts w:ascii="Montserrat-SemiBoldItalic"/>
          <w:b/>
          <w:i/>
          <w:sz w:val="11"/>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8561"/>
        <w:gridCol w:w="1072"/>
      </w:tblGrid>
      <w:tr w:rsidR="006C17CB">
        <w:trPr>
          <w:trHeight w:val="396"/>
        </w:trPr>
        <w:tc>
          <w:tcPr>
            <w:tcW w:w="8561"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Consolidated statistical return</w:t>
            </w:r>
          </w:p>
        </w:tc>
        <w:tc>
          <w:tcPr>
            <w:tcW w:w="1072" w:type="dxa"/>
            <w:tcBorders>
              <w:top w:val="nil"/>
              <w:bottom w:val="nil"/>
              <w:right w:val="nil"/>
            </w:tcBorders>
            <w:shd w:val="clear" w:color="auto" w:fill="89A7D7"/>
          </w:tcPr>
          <w:p w:rsidR="006C17CB" w:rsidRDefault="0030091C">
            <w:pPr>
              <w:pStyle w:val="TableParagraph"/>
              <w:spacing w:before="72"/>
              <w:ind w:right="78"/>
              <w:rPr>
                <w:b/>
                <w:sz w:val="18"/>
              </w:rPr>
            </w:pPr>
            <w:r>
              <w:rPr>
                <w:b/>
                <w:sz w:val="18"/>
              </w:rPr>
              <w:t>Total</w:t>
            </w:r>
          </w:p>
        </w:tc>
      </w:tr>
      <w:tr w:rsidR="006C17CB">
        <w:trPr>
          <w:trHeight w:val="386"/>
        </w:trPr>
        <w:tc>
          <w:tcPr>
            <w:tcW w:w="8561"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Total number of meetings</w:t>
            </w:r>
          </w:p>
        </w:tc>
        <w:tc>
          <w:tcPr>
            <w:tcW w:w="1072" w:type="dxa"/>
            <w:tcBorders>
              <w:top w:val="nil"/>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323</w:t>
            </w:r>
          </w:p>
        </w:tc>
      </w:tr>
      <w:tr w:rsidR="006C17CB">
        <w:trPr>
          <w:trHeight w:val="386"/>
        </w:trPr>
        <w:tc>
          <w:tcPr>
            <w:tcW w:w="856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private meetings</w:t>
            </w:r>
          </w:p>
        </w:tc>
        <w:tc>
          <w:tcPr>
            <w:tcW w:w="1072"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226</w:t>
            </w:r>
          </w:p>
        </w:tc>
      </w:tr>
      <w:tr w:rsidR="006C17CB">
        <w:trPr>
          <w:trHeight w:val="386"/>
        </w:trPr>
        <w:tc>
          <w:tcPr>
            <w:tcW w:w="856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private meetings with full attendance by committee members</w:t>
            </w:r>
          </w:p>
        </w:tc>
        <w:tc>
          <w:tcPr>
            <w:tcW w:w="1072"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158</w:t>
            </w:r>
          </w:p>
        </w:tc>
      </w:tr>
      <w:tr w:rsidR="006C17CB">
        <w:trPr>
          <w:trHeight w:val="386"/>
        </w:trPr>
        <w:tc>
          <w:tcPr>
            <w:tcW w:w="856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public hearings</w:t>
            </w:r>
          </w:p>
        </w:tc>
        <w:tc>
          <w:tcPr>
            <w:tcW w:w="1072"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84</w:t>
            </w:r>
          </w:p>
        </w:tc>
      </w:tr>
      <w:tr w:rsidR="006C17CB">
        <w:trPr>
          <w:trHeight w:val="386"/>
        </w:trPr>
        <w:tc>
          <w:tcPr>
            <w:tcW w:w="856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public hearings with full attendance by committee members</w:t>
            </w:r>
          </w:p>
        </w:tc>
        <w:tc>
          <w:tcPr>
            <w:tcW w:w="1072"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59</w:t>
            </w:r>
          </w:p>
        </w:tc>
      </w:tr>
      <w:tr w:rsidR="006C17CB">
        <w:trPr>
          <w:trHeight w:val="386"/>
        </w:trPr>
        <w:tc>
          <w:tcPr>
            <w:tcW w:w="856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site visits/study tours</w:t>
            </w:r>
          </w:p>
        </w:tc>
        <w:tc>
          <w:tcPr>
            <w:tcW w:w="1072"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12</w:t>
            </w:r>
          </w:p>
        </w:tc>
      </w:tr>
      <w:tr w:rsidR="006C17CB">
        <w:trPr>
          <w:trHeight w:val="386"/>
        </w:trPr>
        <w:tc>
          <w:tcPr>
            <w:tcW w:w="856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other kinds of meetings (briefings, round tables, workshops)</w:t>
            </w:r>
          </w:p>
        </w:tc>
        <w:tc>
          <w:tcPr>
            <w:tcW w:w="1072"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1</w:t>
            </w:r>
          </w:p>
        </w:tc>
      </w:tr>
    </w:tbl>
    <w:p w:rsidR="006C17CB" w:rsidRDefault="0030091C">
      <w:pPr>
        <w:spacing w:before="250"/>
        <w:ind w:left="153"/>
        <w:rPr>
          <w:rFonts w:ascii="Montserrat-SemiBoldItalic"/>
          <w:b/>
          <w:i/>
          <w:sz w:val="20"/>
        </w:rPr>
      </w:pPr>
      <w:r>
        <w:rPr>
          <w:rFonts w:ascii="Montserrat-SemiBoldItalic"/>
          <w:b/>
          <w:i/>
          <w:sz w:val="20"/>
        </w:rPr>
        <w:t>Hours of meetings</w:t>
      </w:r>
    </w:p>
    <w:p w:rsidR="006C17CB" w:rsidRDefault="006C17CB">
      <w:pPr>
        <w:pStyle w:val="BodyText"/>
        <w:spacing w:before="8" w:after="1"/>
        <w:rPr>
          <w:rFonts w:ascii="Montserrat-SemiBoldItalic"/>
          <w:b/>
          <w:i/>
          <w:sz w:val="11"/>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8561"/>
        <w:gridCol w:w="1073"/>
      </w:tblGrid>
      <w:tr w:rsidR="006C17CB">
        <w:trPr>
          <w:trHeight w:val="396"/>
        </w:trPr>
        <w:tc>
          <w:tcPr>
            <w:tcW w:w="8561"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Consolidated statistical return</w:t>
            </w:r>
          </w:p>
        </w:tc>
        <w:tc>
          <w:tcPr>
            <w:tcW w:w="1073" w:type="dxa"/>
            <w:tcBorders>
              <w:top w:val="nil"/>
              <w:bottom w:val="nil"/>
              <w:right w:val="nil"/>
            </w:tcBorders>
            <w:shd w:val="clear" w:color="auto" w:fill="89A7D7"/>
          </w:tcPr>
          <w:p w:rsidR="006C17CB" w:rsidRDefault="0030091C">
            <w:pPr>
              <w:pStyle w:val="TableParagraph"/>
              <w:spacing w:before="72"/>
              <w:ind w:right="79"/>
              <w:rPr>
                <w:b/>
                <w:sz w:val="18"/>
              </w:rPr>
            </w:pPr>
            <w:r>
              <w:rPr>
                <w:b/>
                <w:sz w:val="18"/>
              </w:rPr>
              <w:t>Total</w:t>
            </w:r>
          </w:p>
        </w:tc>
      </w:tr>
      <w:tr w:rsidR="006C17CB">
        <w:trPr>
          <w:trHeight w:val="386"/>
        </w:trPr>
        <w:tc>
          <w:tcPr>
            <w:tcW w:w="8561" w:type="dxa"/>
            <w:tcBorders>
              <w:top w:val="nil"/>
              <w:left w:val="nil"/>
              <w:bottom w:val="single" w:sz="4" w:space="0" w:color="000000"/>
              <w:right w:val="single" w:sz="4" w:space="0" w:color="DADADA"/>
            </w:tcBorders>
          </w:tcPr>
          <w:p w:rsidR="006C17CB" w:rsidRDefault="0030091C">
            <w:pPr>
              <w:pStyle w:val="TableParagraph"/>
              <w:spacing w:before="49"/>
              <w:ind w:left="79"/>
              <w:jc w:val="left"/>
              <w:rPr>
                <w:sz w:val="18"/>
              </w:rPr>
            </w:pPr>
            <w:r>
              <w:rPr>
                <w:sz w:val="18"/>
              </w:rPr>
              <w:t>Hours of committee meetings [total]</w:t>
            </w:r>
          </w:p>
        </w:tc>
        <w:tc>
          <w:tcPr>
            <w:tcW w:w="1073" w:type="dxa"/>
            <w:tcBorders>
              <w:top w:val="nil"/>
              <w:left w:val="single" w:sz="4" w:space="0" w:color="DADADA"/>
              <w:bottom w:val="single" w:sz="4" w:space="0" w:color="000000"/>
              <w:right w:val="nil"/>
            </w:tcBorders>
          </w:tcPr>
          <w:p w:rsidR="006C17CB" w:rsidRDefault="0030091C">
            <w:pPr>
              <w:pStyle w:val="TableParagraph"/>
              <w:spacing w:before="49"/>
              <w:ind w:right="79"/>
              <w:rPr>
                <w:b/>
                <w:sz w:val="18"/>
              </w:rPr>
            </w:pPr>
            <w:r>
              <w:rPr>
                <w:b/>
                <w:sz w:val="18"/>
              </w:rPr>
              <w:t>474:31</w:t>
            </w:r>
          </w:p>
        </w:tc>
      </w:tr>
      <w:tr w:rsidR="006C17CB">
        <w:trPr>
          <w:trHeight w:val="386"/>
        </w:trPr>
        <w:tc>
          <w:tcPr>
            <w:tcW w:w="856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Hours of private meetings</w:t>
            </w:r>
          </w:p>
        </w:tc>
        <w:tc>
          <w:tcPr>
            <w:tcW w:w="107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9"/>
              <w:rPr>
                <w:b/>
                <w:sz w:val="18"/>
              </w:rPr>
            </w:pPr>
            <w:r>
              <w:rPr>
                <w:b/>
                <w:sz w:val="18"/>
              </w:rPr>
              <w:t>142:22</w:t>
            </w:r>
          </w:p>
        </w:tc>
      </w:tr>
      <w:tr w:rsidR="006C17CB">
        <w:trPr>
          <w:trHeight w:val="386"/>
        </w:trPr>
        <w:tc>
          <w:tcPr>
            <w:tcW w:w="856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Hours of public hearings</w:t>
            </w:r>
          </w:p>
        </w:tc>
        <w:tc>
          <w:tcPr>
            <w:tcW w:w="107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9"/>
              <w:rPr>
                <w:b/>
                <w:sz w:val="18"/>
              </w:rPr>
            </w:pPr>
            <w:r>
              <w:rPr>
                <w:b/>
                <w:sz w:val="18"/>
              </w:rPr>
              <w:t>310:31</w:t>
            </w:r>
          </w:p>
        </w:tc>
      </w:tr>
      <w:tr w:rsidR="006C17CB">
        <w:trPr>
          <w:trHeight w:val="386"/>
        </w:trPr>
        <w:tc>
          <w:tcPr>
            <w:tcW w:w="856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Hours of site visits/study tours</w:t>
            </w:r>
          </w:p>
        </w:tc>
        <w:tc>
          <w:tcPr>
            <w:tcW w:w="107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9"/>
              <w:rPr>
                <w:b/>
                <w:sz w:val="18"/>
              </w:rPr>
            </w:pPr>
            <w:r>
              <w:rPr>
                <w:b/>
                <w:sz w:val="18"/>
              </w:rPr>
              <w:t>19:47</w:t>
            </w:r>
          </w:p>
        </w:tc>
      </w:tr>
      <w:tr w:rsidR="006C17CB">
        <w:trPr>
          <w:trHeight w:val="386"/>
        </w:trPr>
        <w:tc>
          <w:tcPr>
            <w:tcW w:w="856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Hours of other kinds of meetings</w:t>
            </w:r>
          </w:p>
        </w:tc>
        <w:tc>
          <w:tcPr>
            <w:tcW w:w="107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9"/>
              <w:rPr>
                <w:b/>
                <w:sz w:val="18"/>
              </w:rPr>
            </w:pPr>
            <w:r>
              <w:rPr>
                <w:b/>
                <w:sz w:val="18"/>
              </w:rPr>
              <w:t>1:51</w:t>
            </w:r>
          </w:p>
        </w:tc>
      </w:tr>
    </w:tbl>
    <w:p w:rsidR="006C17CB" w:rsidRDefault="0030091C">
      <w:pPr>
        <w:spacing w:before="250"/>
        <w:ind w:left="153"/>
        <w:rPr>
          <w:rFonts w:ascii="Montserrat-SemiBoldItalic"/>
          <w:b/>
          <w:i/>
          <w:sz w:val="20"/>
        </w:rPr>
      </w:pPr>
      <w:r>
        <w:rPr>
          <w:rFonts w:ascii="Montserrat-SemiBoldItalic"/>
          <w:b/>
          <w:i/>
          <w:sz w:val="20"/>
        </w:rPr>
        <w:t>Inquiry outcomes</w:t>
      </w:r>
    </w:p>
    <w:p w:rsidR="006C17CB" w:rsidRDefault="006C17CB">
      <w:pPr>
        <w:pStyle w:val="BodyText"/>
        <w:spacing w:before="8" w:after="1"/>
        <w:rPr>
          <w:rFonts w:ascii="Montserrat-SemiBoldItalic"/>
          <w:b/>
          <w:i/>
          <w:sz w:val="11"/>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8527"/>
        <w:gridCol w:w="1066"/>
      </w:tblGrid>
      <w:tr w:rsidR="006C17CB">
        <w:trPr>
          <w:trHeight w:val="396"/>
        </w:trPr>
        <w:tc>
          <w:tcPr>
            <w:tcW w:w="8527"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Consolidated statistical return</w:t>
            </w:r>
          </w:p>
        </w:tc>
        <w:tc>
          <w:tcPr>
            <w:tcW w:w="1066" w:type="dxa"/>
            <w:tcBorders>
              <w:top w:val="nil"/>
              <w:bottom w:val="nil"/>
              <w:right w:val="nil"/>
            </w:tcBorders>
            <w:shd w:val="clear" w:color="auto" w:fill="89A7D7"/>
          </w:tcPr>
          <w:p w:rsidR="006C17CB" w:rsidRDefault="0030091C">
            <w:pPr>
              <w:pStyle w:val="TableParagraph"/>
              <w:spacing w:before="72"/>
              <w:ind w:right="78"/>
              <w:rPr>
                <w:b/>
                <w:sz w:val="18"/>
              </w:rPr>
            </w:pPr>
            <w:r>
              <w:rPr>
                <w:b/>
                <w:sz w:val="18"/>
              </w:rPr>
              <w:t>Total</w:t>
            </w:r>
          </w:p>
        </w:tc>
      </w:tr>
      <w:tr w:rsidR="006C17CB">
        <w:trPr>
          <w:trHeight w:val="386"/>
        </w:trPr>
        <w:tc>
          <w:tcPr>
            <w:tcW w:w="8527"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witnesses</w:t>
            </w:r>
          </w:p>
        </w:tc>
        <w:tc>
          <w:tcPr>
            <w:tcW w:w="1066" w:type="dxa"/>
            <w:tcBorders>
              <w:top w:val="nil"/>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817</w:t>
            </w:r>
          </w:p>
        </w:tc>
      </w:tr>
      <w:tr w:rsidR="006C17CB">
        <w:trPr>
          <w:trHeight w:val="386"/>
        </w:trPr>
        <w:tc>
          <w:tcPr>
            <w:tcW w:w="8527"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submissions</w:t>
            </w:r>
          </w:p>
        </w:tc>
        <w:tc>
          <w:tcPr>
            <w:tcW w:w="106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898</w:t>
            </w:r>
          </w:p>
        </w:tc>
      </w:tr>
      <w:tr w:rsidR="006C17CB">
        <w:trPr>
          <w:trHeight w:val="386"/>
        </w:trPr>
        <w:tc>
          <w:tcPr>
            <w:tcW w:w="8527"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referrals</w:t>
            </w:r>
          </w:p>
        </w:tc>
        <w:tc>
          <w:tcPr>
            <w:tcW w:w="106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29</w:t>
            </w:r>
          </w:p>
        </w:tc>
      </w:tr>
      <w:tr w:rsidR="006C17CB">
        <w:trPr>
          <w:trHeight w:val="386"/>
        </w:trPr>
        <w:tc>
          <w:tcPr>
            <w:tcW w:w="8527"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reports presented</w:t>
            </w:r>
          </w:p>
        </w:tc>
        <w:tc>
          <w:tcPr>
            <w:tcW w:w="106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36</w:t>
            </w:r>
          </w:p>
        </w:tc>
      </w:tr>
      <w:tr w:rsidR="006C17CB">
        <w:trPr>
          <w:trHeight w:val="386"/>
        </w:trPr>
        <w:tc>
          <w:tcPr>
            <w:tcW w:w="8527"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statements made under SO246A</w:t>
            </w:r>
          </w:p>
        </w:tc>
        <w:tc>
          <w:tcPr>
            <w:tcW w:w="106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44</w:t>
            </w:r>
          </w:p>
        </w:tc>
      </w:tr>
      <w:tr w:rsidR="006C17CB">
        <w:trPr>
          <w:trHeight w:val="386"/>
        </w:trPr>
        <w:tc>
          <w:tcPr>
            <w:tcW w:w="8527"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statutory appointments considered</w:t>
            </w:r>
          </w:p>
        </w:tc>
        <w:tc>
          <w:tcPr>
            <w:tcW w:w="106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136</w:t>
            </w:r>
          </w:p>
        </w:tc>
      </w:tr>
      <w:tr w:rsidR="006C17CB">
        <w:trPr>
          <w:trHeight w:val="386"/>
        </w:trPr>
        <w:tc>
          <w:tcPr>
            <w:tcW w:w="8527"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bills considered</w:t>
            </w:r>
          </w:p>
        </w:tc>
        <w:tc>
          <w:tcPr>
            <w:tcW w:w="106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61</w:t>
            </w:r>
          </w:p>
        </w:tc>
      </w:tr>
      <w:tr w:rsidR="006C17CB">
        <w:trPr>
          <w:trHeight w:val="386"/>
        </w:trPr>
        <w:tc>
          <w:tcPr>
            <w:tcW w:w="8527"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Items of subordinate legislation considered</w:t>
            </w:r>
          </w:p>
        </w:tc>
        <w:tc>
          <w:tcPr>
            <w:tcW w:w="106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8"/>
              <w:rPr>
                <w:b/>
                <w:sz w:val="18"/>
              </w:rPr>
            </w:pPr>
            <w:r>
              <w:rPr>
                <w:b/>
                <w:sz w:val="18"/>
              </w:rPr>
              <w:t>398</w:t>
            </w:r>
          </w:p>
        </w:tc>
      </w:tr>
    </w:tbl>
    <w:p w:rsidR="006C17CB" w:rsidRDefault="006C17CB">
      <w:pPr>
        <w:rPr>
          <w:sz w:val="18"/>
        </w:rPr>
        <w:sectPr w:rsidR="006C17CB">
          <w:headerReference w:type="default" r:id="rId96"/>
          <w:pgSz w:w="11910" w:h="16840"/>
          <w:pgMar w:top="1580" w:right="0" w:bottom="740" w:left="980" w:header="0" w:footer="551" w:gutter="0"/>
          <w:cols w:space="720"/>
        </w:sectPr>
      </w:pPr>
    </w:p>
    <w:p w:rsidR="006C17CB" w:rsidRDefault="006C17CB">
      <w:pPr>
        <w:pStyle w:val="BodyText"/>
        <w:rPr>
          <w:rFonts w:ascii="Montserrat-SemiBoldItalic"/>
          <w:b/>
          <w:i/>
          <w:sz w:val="20"/>
        </w:rPr>
      </w:pPr>
    </w:p>
    <w:p w:rsidR="006C17CB" w:rsidRDefault="006C17CB">
      <w:pPr>
        <w:pStyle w:val="BodyText"/>
        <w:rPr>
          <w:rFonts w:ascii="Montserrat-SemiBoldItalic"/>
          <w:b/>
          <w:i/>
          <w:sz w:val="20"/>
        </w:rPr>
      </w:pPr>
    </w:p>
    <w:p w:rsidR="006C17CB" w:rsidRDefault="006C17CB">
      <w:pPr>
        <w:pStyle w:val="BodyText"/>
        <w:spacing w:before="1"/>
        <w:rPr>
          <w:rFonts w:ascii="Montserrat-SemiBoldItalic"/>
          <w:b/>
          <w:i/>
          <w:sz w:val="27"/>
        </w:rPr>
      </w:pPr>
    </w:p>
    <w:p w:rsidR="006C17CB" w:rsidRDefault="0030091C">
      <w:pPr>
        <w:spacing w:before="135"/>
        <w:ind w:left="153"/>
        <w:rPr>
          <w:rFonts w:ascii="Montserrat-SemiBoldItalic"/>
          <w:b/>
          <w:i/>
          <w:sz w:val="20"/>
        </w:rPr>
      </w:pPr>
      <w:r>
        <w:rPr>
          <w:rFonts w:ascii="Montserrat-SemiBoldItalic"/>
          <w:b/>
          <w:i/>
          <w:sz w:val="20"/>
        </w:rPr>
        <w:t>Standing Committees</w:t>
      </w:r>
    </w:p>
    <w:p w:rsidR="006C17CB" w:rsidRDefault="006C17CB">
      <w:pPr>
        <w:pStyle w:val="BodyText"/>
        <w:spacing w:before="9"/>
        <w:rPr>
          <w:rFonts w:ascii="Montserrat-SemiBoldItalic"/>
          <w:b/>
          <w:i/>
          <w:sz w:val="11"/>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1332"/>
        <w:gridCol w:w="1119"/>
        <w:gridCol w:w="1006"/>
        <w:gridCol w:w="978"/>
        <w:gridCol w:w="1049"/>
        <w:gridCol w:w="907"/>
        <w:gridCol w:w="893"/>
        <w:gridCol w:w="850"/>
        <w:gridCol w:w="765"/>
        <w:gridCol w:w="737"/>
      </w:tblGrid>
      <w:tr w:rsidR="006C17CB">
        <w:trPr>
          <w:trHeight w:val="963"/>
        </w:trPr>
        <w:tc>
          <w:tcPr>
            <w:tcW w:w="1332" w:type="dxa"/>
            <w:tcBorders>
              <w:top w:val="nil"/>
              <w:left w:val="nil"/>
              <w:bottom w:val="nil"/>
            </w:tcBorders>
            <w:shd w:val="clear" w:color="auto" w:fill="89A7D7"/>
          </w:tcPr>
          <w:p w:rsidR="006C17CB" w:rsidRDefault="006C17CB">
            <w:pPr>
              <w:pStyle w:val="TableParagraph"/>
              <w:jc w:val="left"/>
              <w:rPr>
                <w:rFonts w:ascii="Montserrat-SemiBoldItalic"/>
                <w:b/>
                <w:i/>
                <w:sz w:val="16"/>
              </w:rPr>
            </w:pPr>
          </w:p>
          <w:p w:rsidR="006C17CB" w:rsidRDefault="006C17CB">
            <w:pPr>
              <w:pStyle w:val="TableParagraph"/>
              <w:jc w:val="left"/>
              <w:rPr>
                <w:rFonts w:ascii="Montserrat-SemiBoldItalic"/>
                <w:b/>
                <w:i/>
                <w:sz w:val="16"/>
              </w:rPr>
            </w:pPr>
          </w:p>
          <w:p w:rsidR="006C17CB" w:rsidRDefault="006C17CB">
            <w:pPr>
              <w:pStyle w:val="TableParagraph"/>
              <w:spacing w:before="4"/>
              <w:jc w:val="left"/>
              <w:rPr>
                <w:rFonts w:ascii="Montserrat-SemiBoldItalic"/>
                <w:b/>
                <w:i/>
              </w:rPr>
            </w:pPr>
          </w:p>
          <w:p w:rsidR="006C17CB" w:rsidRDefault="0030091C">
            <w:pPr>
              <w:pStyle w:val="TableParagraph"/>
              <w:ind w:left="79"/>
              <w:jc w:val="left"/>
              <w:rPr>
                <w:b/>
                <w:sz w:val="16"/>
              </w:rPr>
            </w:pPr>
            <w:r>
              <w:rPr>
                <w:b/>
                <w:sz w:val="16"/>
              </w:rPr>
              <w:t>Activity</w:t>
            </w:r>
          </w:p>
        </w:tc>
        <w:tc>
          <w:tcPr>
            <w:tcW w:w="1119" w:type="dxa"/>
            <w:tcBorders>
              <w:top w:val="nil"/>
              <w:bottom w:val="nil"/>
            </w:tcBorders>
            <w:shd w:val="clear" w:color="auto" w:fill="89A7D7"/>
          </w:tcPr>
          <w:p w:rsidR="006C17CB" w:rsidRDefault="006C17CB">
            <w:pPr>
              <w:pStyle w:val="TableParagraph"/>
              <w:jc w:val="left"/>
              <w:rPr>
                <w:rFonts w:ascii="Montserrat-SemiBoldItalic"/>
                <w:b/>
                <w:i/>
                <w:sz w:val="16"/>
              </w:rPr>
            </w:pPr>
          </w:p>
          <w:p w:rsidR="006C17CB" w:rsidRDefault="0030091C">
            <w:pPr>
              <w:pStyle w:val="TableParagraph"/>
              <w:spacing w:before="107" w:line="205" w:lineRule="exact"/>
              <w:ind w:left="36"/>
              <w:jc w:val="left"/>
              <w:rPr>
                <w:b/>
                <w:sz w:val="16"/>
              </w:rPr>
            </w:pPr>
            <w:r>
              <w:rPr>
                <w:b/>
                <w:sz w:val="16"/>
              </w:rPr>
              <w:t>Administration</w:t>
            </w:r>
          </w:p>
          <w:p w:rsidR="006C17CB" w:rsidRDefault="0030091C">
            <w:pPr>
              <w:pStyle w:val="TableParagraph"/>
              <w:spacing w:before="16" w:line="187" w:lineRule="auto"/>
              <w:ind w:left="274" w:right="58" w:firstLine="508"/>
              <w:jc w:val="left"/>
              <w:rPr>
                <w:b/>
                <w:sz w:val="16"/>
              </w:rPr>
            </w:pPr>
            <w:r>
              <w:rPr>
                <w:b/>
                <w:w w:val="95"/>
                <w:sz w:val="16"/>
              </w:rPr>
              <w:t>and Procedure*</w:t>
            </w:r>
          </w:p>
        </w:tc>
        <w:tc>
          <w:tcPr>
            <w:tcW w:w="1006" w:type="dxa"/>
            <w:tcBorders>
              <w:top w:val="nil"/>
              <w:bottom w:val="nil"/>
            </w:tcBorders>
            <w:shd w:val="clear" w:color="auto" w:fill="89A7D7"/>
          </w:tcPr>
          <w:p w:rsidR="006C17CB" w:rsidRDefault="006C17CB">
            <w:pPr>
              <w:pStyle w:val="TableParagraph"/>
              <w:jc w:val="left"/>
              <w:rPr>
                <w:rFonts w:ascii="Montserrat-SemiBoldItalic"/>
                <w:b/>
                <w:i/>
                <w:sz w:val="16"/>
              </w:rPr>
            </w:pPr>
          </w:p>
          <w:p w:rsidR="006C17CB" w:rsidRDefault="006C17CB">
            <w:pPr>
              <w:pStyle w:val="TableParagraph"/>
              <w:spacing w:before="2"/>
              <w:jc w:val="left"/>
              <w:rPr>
                <w:rFonts w:ascii="Montserrat-SemiBoldItalic"/>
                <w:b/>
                <w:i/>
                <w:sz w:val="12"/>
              </w:rPr>
            </w:pPr>
          </w:p>
          <w:p w:rsidR="006C17CB" w:rsidRDefault="0030091C">
            <w:pPr>
              <w:pStyle w:val="TableParagraph"/>
              <w:spacing w:line="187" w:lineRule="auto"/>
              <w:ind w:left="23" w:right="66" w:firstLine="260"/>
              <w:jc w:val="both"/>
              <w:rPr>
                <w:b/>
                <w:sz w:val="16"/>
              </w:rPr>
            </w:pPr>
            <w:r>
              <w:rPr>
                <w:b/>
                <w:w w:val="95"/>
                <w:sz w:val="16"/>
              </w:rPr>
              <w:t xml:space="preserve">Economic Development </w:t>
            </w:r>
            <w:r>
              <w:rPr>
                <w:b/>
                <w:sz w:val="16"/>
              </w:rPr>
              <w:t>and Tourism</w:t>
            </w:r>
          </w:p>
        </w:tc>
        <w:tc>
          <w:tcPr>
            <w:tcW w:w="978" w:type="dxa"/>
            <w:tcBorders>
              <w:top w:val="nil"/>
              <w:bottom w:val="nil"/>
            </w:tcBorders>
            <w:shd w:val="clear" w:color="auto" w:fill="89A7D7"/>
          </w:tcPr>
          <w:p w:rsidR="006C17CB" w:rsidRDefault="006C17CB">
            <w:pPr>
              <w:pStyle w:val="TableParagraph"/>
              <w:spacing w:before="5"/>
              <w:jc w:val="left"/>
              <w:rPr>
                <w:rFonts w:ascii="Montserrat-SemiBoldItalic"/>
                <w:b/>
                <w:i/>
                <w:sz w:val="13"/>
              </w:rPr>
            </w:pPr>
          </w:p>
          <w:p w:rsidR="006C17CB" w:rsidRDefault="0030091C">
            <w:pPr>
              <w:pStyle w:val="TableParagraph"/>
              <w:spacing w:line="187" w:lineRule="auto"/>
              <w:ind w:left="50" w:right="66" w:firstLine="141"/>
              <w:rPr>
                <w:b/>
                <w:sz w:val="16"/>
              </w:rPr>
            </w:pPr>
            <w:r>
              <w:rPr>
                <w:b/>
                <w:w w:val="95"/>
                <w:sz w:val="16"/>
              </w:rPr>
              <w:t xml:space="preserve">Education, Employment </w:t>
            </w:r>
            <w:r>
              <w:rPr>
                <w:b/>
                <w:sz w:val="16"/>
              </w:rPr>
              <w:t>and Youth</w:t>
            </w:r>
          </w:p>
          <w:p w:rsidR="006C17CB" w:rsidRDefault="0030091C">
            <w:pPr>
              <w:pStyle w:val="TableParagraph"/>
              <w:spacing w:line="190" w:lineRule="exact"/>
              <w:ind w:right="66"/>
              <w:rPr>
                <w:b/>
                <w:sz w:val="16"/>
              </w:rPr>
            </w:pPr>
            <w:r>
              <w:rPr>
                <w:b/>
                <w:w w:val="95"/>
                <w:sz w:val="16"/>
              </w:rPr>
              <w:t>Affairs</w:t>
            </w:r>
          </w:p>
        </w:tc>
        <w:tc>
          <w:tcPr>
            <w:tcW w:w="1049" w:type="dxa"/>
            <w:tcBorders>
              <w:top w:val="nil"/>
              <w:bottom w:val="nil"/>
            </w:tcBorders>
            <w:shd w:val="clear" w:color="auto" w:fill="89A7D7"/>
          </w:tcPr>
          <w:p w:rsidR="006C17CB" w:rsidRDefault="0030091C">
            <w:pPr>
              <w:pStyle w:val="TableParagraph"/>
              <w:spacing w:before="122" w:line="205" w:lineRule="exact"/>
              <w:ind w:left="107"/>
              <w:jc w:val="left"/>
              <w:rPr>
                <w:b/>
                <w:sz w:val="16"/>
              </w:rPr>
            </w:pPr>
            <w:r>
              <w:rPr>
                <w:b/>
                <w:sz w:val="16"/>
              </w:rPr>
              <w:t>Environment</w:t>
            </w:r>
          </w:p>
          <w:p w:rsidR="006C17CB" w:rsidRDefault="0030091C">
            <w:pPr>
              <w:pStyle w:val="TableParagraph"/>
              <w:spacing w:before="16" w:line="187" w:lineRule="auto"/>
              <w:ind w:left="34" w:right="66" w:firstLine="677"/>
              <w:jc w:val="both"/>
              <w:rPr>
                <w:b/>
                <w:sz w:val="16"/>
              </w:rPr>
            </w:pPr>
            <w:r>
              <w:rPr>
                <w:b/>
                <w:w w:val="95"/>
                <w:sz w:val="16"/>
              </w:rPr>
              <w:t xml:space="preserve">and </w:t>
            </w:r>
            <w:r>
              <w:rPr>
                <w:b/>
                <w:sz w:val="16"/>
              </w:rPr>
              <w:t>Transport</w:t>
            </w:r>
            <w:r>
              <w:rPr>
                <w:b/>
                <w:spacing w:val="-14"/>
                <w:sz w:val="16"/>
              </w:rPr>
              <w:t xml:space="preserve"> </w:t>
            </w:r>
            <w:r>
              <w:rPr>
                <w:b/>
                <w:sz w:val="16"/>
              </w:rPr>
              <w:t>and City</w:t>
            </w:r>
            <w:r>
              <w:rPr>
                <w:b/>
                <w:spacing w:val="-2"/>
                <w:sz w:val="16"/>
              </w:rPr>
              <w:t xml:space="preserve"> </w:t>
            </w:r>
            <w:r>
              <w:rPr>
                <w:b/>
                <w:sz w:val="16"/>
              </w:rPr>
              <w:t>Services</w:t>
            </w:r>
          </w:p>
        </w:tc>
        <w:tc>
          <w:tcPr>
            <w:tcW w:w="907" w:type="dxa"/>
            <w:tcBorders>
              <w:top w:val="nil"/>
              <w:bottom w:val="nil"/>
            </w:tcBorders>
            <w:shd w:val="clear" w:color="auto" w:fill="89A7D7"/>
          </w:tcPr>
          <w:p w:rsidR="006C17CB" w:rsidRDefault="006C17CB">
            <w:pPr>
              <w:pStyle w:val="TableParagraph"/>
              <w:spacing w:before="5"/>
              <w:jc w:val="left"/>
              <w:rPr>
                <w:rFonts w:ascii="Montserrat-SemiBoldItalic"/>
                <w:b/>
                <w:i/>
                <w:sz w:val="13"/>
              </w:rPr>
            </w:pPr>
          </w:p>
          <w:p w:rsidR="006C17CB" w:rsidRDefault="0030091C">
            <w:pPr>
              <w:pStyle w:val="TableParagraph"/>
              <w:spacing w:line="187" w:lineRule="auto"/>
              <w:ind w:left="48" w:right="66" w:firstLine="289"/>
              <w:rPr>
                <w:b/>
                <w:sz w:val="16"/>
              </w:rPr>
            </w:pPr>
            <w:r>
              <w:rPr>
                <w:b/>
                <w:w w:val="95"/>
                <w:sz w:val="16"/>
              </w:rPr>
              <w:t xml:space="preserve">Health, </w:t>
            </w:r>
            <w:r>
              <w:rPr>
                <w:b/>
                <w:sz w:val="16"/>
              </w:rPr>
              <w:t>Ageing and</w:t>
            </w:r>
            <w:r>
              <w:rPr>
                <w:b/>
                <w:w w:val="97"/>
                <w:sz w:val="16"/>
              </w:rPr>
              <w:t xml:space="preserve"> </w:t>
            </w:r>
            <w:r>
              <w:rPr>
                <w:b/>
                <w:w w:val="95"/>
                <w:sz w:val="16"/>
              </w:rPr>
              <w:t xml:space="preserve">Community </w:t>
            </w:r>
            <w:r>
              <w:rPr>
                <w:b/>
                <w:sz w:val="16"/>
              </w:rPr>
              <w:t>Services</w:t>
            </w:r>
          </w:p>
        </w:tc>
        <w:tc>
          <w:tcPr>
            <w:tcW w:w="893" w:type="dxa"/>
            <w:tcBorders>
              <w:top w:val="nil"/>
              <w:bottom w:val="nil"/>
            </w:tcBorders>
            <w:shd w:val="clear" w:color="auto" w:fill="89A7D7"/>
          </w:tcPr>
          <w:p w:rsidR="006C17CB" w:rsidRDefault="006C17CB">
            <w:pPr>
              <w:pStyle w:val="TableParagraph"/>
              <w:spacing w:before="5"/>
              <w:jc w:val="left"/>
              <w:rPr>
                <w:rFonts w:ascii="Montserrat-SemiBoldItalic"/>
                <w:b/>
                <w:i/>
                <w:sz w:val="13"/>
              </w:rPr>
            </w:pPr>
          </w:p>
          <w:p w:rsidR="006C17CB" w:rsidRDefault="0030091C">
            <w:pPr>
              <w:pStyle w:val="TableParagraph"/>
              <w:spacing w:line="187" w:lineRule="auto"/>
              <w:ind w:left="34" w:firstLine="44"/>
              <w:jc w:val="left"/>
              <w:rPr>
                <w:b/>
                <w:sz w:val="16"/>
              </w:rPr>
            </w:pPr>
            <w:r>
              <w:rPr>
                <w:b/>
                <w:sz w:val="16"/>
              </w:rPr>
              <w:t xml:space="preserve">Justice and </w:t>
            </w:r>
            <w:r>
              <w:rPr>
                <w:b/>
                <w:w w:val="95"/>
                <w:sz w:val="16"/>
              </w:rPr>
              <w:t>Community</w:t>
            </w:r>
          </w:p>
          <w:p w:rsidR="006C17CB" w:rsidRDefault="0030091C">
            <w:pPr>
              <w:pStyle w:val="TableParagraph"/>
              <w:spacing w:line="187" w:lineRule="auto"/>
              <w:ind w:left="402" w:right="50" w:hanging="17"/>
              <w:jc w:val="left"/>
              <w:rPr>
                <w:b/>
                <w:sz w:val="16"/>
              </w:rPr>
            </w:pPr>
            <w:r>
              <w:rPr>
                <w:b/>
                <w:sz w:val="16"/>
              </w:rPr>
              <w:t xml:space="preserve">Safety </w:t>
            </w:r>
            <w:r>
              <w:rPr>
                <w:b/>
                <w:w w:val="95"/>
                <w:sz w:val="16"/>
              </w:rPr>
              <w:t>(JACS)</w:t>
            </w:r>
          </w:p>
        </w:tc>
        <w:tc>
          <w:tcPr>
            <w:tcW w:w="850" w:type="dxa"/>
            <w:tcBorders>
              <w:top w:val="nil"/>
              <w:bottom w:val="nil"/>
            </w:tcBorders>
            <w:shd w:val="clear" w:color="auto" w:fill="89A7D7"/>
          </w:tcPr>
          <w:p w:rsidR="006C17CB" w:rsidRDefault="0030091C">
            <w:pPr>
              <w:pStyle w:val="TableParagraph"/>
              <w:spacing w:before="122" w:line="205" w:lineRule="exact"/>
              <w:ind w:left="455"/>
              <w:jc w:val="left"/>
              <w:rPr>
                <w:b/>
                <w:sz w:val="16"/>
              </w:rPr>
            </w:pPr>
            <w:r>
              <w:rPr>
                <w:b/>
                <w:sz w:val="16"/>
              </w:rPr>
              <w:t>JACS</w:t>
            </w:r>
          </w:p>
          <w:p w:rsidR="006C17CB" w:rsidRDefault="0030091C">
            <w:pPr>
              <w:pStyle w:val="TableParagraph"/>
              <w:spacing w:before="16" w:line="187" w:lineRule="auto"/>
              <w:ind w:left="235" w:right="66" w:hanging="188"/>
              <w:rPr>
                <w:b/>
                <w:sz w:val="16"/>
              </w:rPr>
            </w:pPr>
            <w:r>
              <w:rPr>
                <w:b/>
                <w:w w:val="95"/>
                <w:sz w:val="16"/>
              </w:rPr>
              <w:t>(legislative scrutiny role)*</w:t>
            </w:r>
          </w:p>
        </w:tc>
        <w:tc>
          <w:tcPr>
            <w:tcW w:w="765" w:type="dxa"/>
            <w:tcBorders>
              <w:top w:val="nil"/>
              <w:bottom w:val="nil"/>
            </w:tcBorders>
            <w:shd w:val="clear" w:color="auto" w:fill="89A7D7"/>
          </w:tcPr>
          <w:p w:rsidR="006C17CB" w:rsidRDefault="0030091C">
            <w:pPr>
              <w:pStyle w:val="TableParagraph"/>
              <w:spacing w:before="122" w:line="205" w:lineRule="exact"/>
              <w:ind w:left="104"/>
              <w:jc w:val="left"/>
              <w:rPr>
                <w:b/>
                <w:sz w:val="16"/>
              </w:rPr>
            </w:pPr>
            <w:r>
              <w:rPr>
                <w:b/>
                <w:sz w:val="16"/>
              </w:rPr>
              <w:t>Planning</w:t>
            </w:r>
          </w:p>
          <w:p w:rsidR="006C17CB" w:rsidRDefault="0030091C">
            <w:pPr>
              <w:pStyle w:val="TableParagraph"/>
              <w:spacing w:before="16" w:line="187" w:lineRule="auto"/>
              <w:ind w:left="109" w:right="66" w:firstLine="320"/>
              <w:rPr>
                <w:b/>
                <w:sz w:val="16"/>
              </w:rPr>
            </w:pPr>
            <w:r>
              <w:rPr>
                <w:b/>
                <w:w w:val="95"/>
                <w:sz w:val="16"/>
              </w:rPr>
              <w:t>and Urban Renewal</w:t>
            </w:r>
          </w:p>
        </w:tc>
        <w:tc>
          <w:tcPr>
            <w:tcW w:w="737" w:type="dxa"/>
            <w:tcBorders>
              <w:top w:val="nil"/>
              <w:bottom w:val="nil"/>
              <w:right w:val="nil"/>
            </w:tcBorders>
            <w:shd w:val="clear" w:color="auto" w:fill="89A7D7"/>
          </w:tcPr>
          <w:p w:rsidR="006C17CB" w:rsidRDefault="006C17CB">
            <w:pPr>
              <w:pStyle w:val="TableParagraph"/>
              <w:jc w:val="left"/>
              <w:rPr>
                <w:rFonts w:ascii="Montserrat-SemiBoldItalic"/>
                <w:b/>
                <w:i/>
                <w:sz w:val="16"/>
              </w:rPr>
            </w:pPr>
          </w:p>
          <w:p w:rsidR="006C17CB" w:rsidRDefault="006C17CB">
            <w:pPr>
              <w:pStyle w:val="TableParagraph"/>
              <w:jc w:val="left"/>
              <w:rPr>
                <w:rFonts w:ascii="Montserrat-SemiBoldItalic"/>
                <w:b/>
                <w:i/>
                <w:sz w:val="16"/>
              </w:rPr>
            </w:pPr>
          </w:p>
          <w:p w:rsidR="006C17CB" w:rsidRDefault="0030091C">
            <w:pPr>
              <w:pStyle w:val="TableParagraph"/>
              <w:spacing w:before="134" w:line="187" w:lineRule="auto"/>
              <w:ind w:left="44" w:firstLine="204"/>
              <w:jc w:val="left"/>
              <w:rPr>
                <w:b/>
                <w:sz w:val="16"/>
              </w:rPr>
            </w:pPr>
            <w:r>
              <w:rPr>
                <w:b/>
                <w:w w:val="95"/>
                <w:sz w:val="16"/>
              </w:rPr>
              <w:t>Public Accounts</w:t>
            </w:r>
          </w:p>
        </w:tc>
      </w:tr>
      <w:tr w:rsidR="006C17CB">
        <w:trPr>
          <w:trHeight w:val="749"/>
        </w:trPr>
        <w:tc>
          <w:tcPr>
            <w:tcW w:w="1332" w:type="dxa"/>
            <w:tcBorders>
              <w:top w:val="nil"/>
              <w:left w:val="nil"/>
              <w:bottom w:val="single" w:sz="4" w:space="0" w:color="000000"/>
              <w:right w:val="single" w:sz="4" w:space="0" w:color="DADADA"/>
            </w:tcBorders>
          </w:tcPr>
          <w:p w:rsidR="006C17CB" w:rsidRDefault="0030091C">
            <w:pPr>
              <w:pStyle w:val="TableParagraph"/>
              <w:spacing w:before="47" w:line="184" w:lineRule="auto"/>
              <w:ind w:left="80" w:right="14"/>
              <w:jc w:val="left"/>
              <w:rPr>
                <w:sz w:val="18"/>
              </w:rPr>
            </w:pPr>
            <w:r>
              <w:rPr>
                <w:sz w:val="18"/>
              </w:rPr>
              <w:t xml:space="preserve">Number of committee </w:t>
            </w:r>
            <w:r>
              <w:rPr>
                <w:w w:val="90"/>
                <w:sz w:val="18"/>
              </w:rPr>
              <w:t>meetings (total)</w:t>
            </w:r>
          </w:p>
        </w:tc>
        <w:tc>
          <w:tcPr>
            <w:tcW w:w="1119"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20</w:t>
            </w:r>
          </w:p>
        </w:tc>
        <w:tc>
          <w:tcPr>
            <w:tcW w:w="1006"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19</w:t>
            </w:r>
          </w:p>
        </w:tc>
        <w:tc>
          <w:tcPr>
            <w:tcW w:w="978"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27</w:t>
            </w:r>
          </w:p>
        </w:tc>
        <w:tc>
          <w:tcPr>
            <w:tcW w:w="1049"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29</w:t>
            </w:r>
          </w:p>
        </w:tc>
        <w:tc>
          <w:tcPr>
            <w:tcW w:w="907"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23</w:t>
            </w:r>
          </w:p>
        </w:tc>
        <w:tc>
          <w:tcPr>
            <w:tcW w:w="893"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38</w:t>
            </w:r>
          </w:p>
        </w:tc>
        <w:tc>
          <w:tcPr>
            <w:tcW w:w="850"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14</w:t>
            </w:r>
          </w:p>
        </w:tc>
        <w:tc>
          <w:tcPr>
            <w:tcW w:w="765" w:type="dxa"/>
            <w:tcBorders>
              <w:top w:val="nil"/>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30</w:t>
            </w:r>
          </w:p>
        </w:tc>
        <w:tc>
          <w:tcPr>
            <w:tcW w:w="737" w:type="dxa"/>
            <w:tcBorders>
              <w:top w:val="nil"/>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38</w:t>
            </w:r>
          </w:p>
        </w:tc>
      </w:tr>
      <w:tr w:rsidR="006C17CB">
        <w:trPr>
          <w:trHeight w:val="521"/>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14"/>
              <w:jc w:val="left"/>
              <w:rPr>
                <w:sz w:val="18"/>
              </w:rPr>
            </w:pPr>
            <w:r>
              <w:rPr>
                <w:w w:val="90"/>
                <w:sz w:val="18"/>
              </w:rPr>
              <w:t xml:space="preserve">Number of private </w:t>
            </w:r>
            <w:r>
              <w:rPr>
                <w:sz w:val="18"/>
              </w:rPr>
              <w:t>meetings</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20</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13</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21</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21</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14</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23</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14</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23</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23</w:t>
            </w:r>
          </w:p>
        </w:tc>
      </w:tr>
      <w:tr w:rsidR="006C17CB">
        <w:trPr>
          <w:trHeight w:val="542"/>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80"/>
              <w:jc w:val="left"/>
              <w:rPr>
                <w:sz w:val="18"/>
              </w:rPr>
            </w:pPr>
            <w:r>
              <w:rPr>
                <w:w w:val="90"/>
                <w:sz w:val="18"/>
              </w:rPr>
              <w:t xml:space="preserve">Number of public </w:t>
            </w:r>
            <w:r>
              <w:rPr>
                <w:sz w:val="18"/>
              </w:rPr>
              <w:t>hearings</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6</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6</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6</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9</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11</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7</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14</w:t>
            </w:r>
          </w:p>
        </w:tc>
      </w:tr>
      <w:tr w:rsidR="006C17CB">
        <w:trPr>
          <w:trHeight w:val="500"/>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14"/>
              <w:jc w:val="left"/>
              <w:rPr>
                <w:sz w:val="18"/>
              </w:rPr>
            </w:pPr>
            <w:r>
              <w:rPr>
                <w:sz w:val="18"/>
              </w:rPr>
              <w:t xml:space="preserve">Number of site </w:t>
            </w:r>
            <w:r>
              <w:rPr>
                <w:w w:val="90"/>
                <w:sz w:val="18"/>
              </w:rPr>
              <w:t>visits/study tours</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4</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0</w:t>
            </w:r>
          </w:p>
        </w:tc>
      </w:tr>
      <w:tr w:rsidR="006C17CB">
        <w:trPr>
          <w:trHeight w:val="528"/>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14"/>
              <w:jc w:val="left"/>
              <w:rPr>
                <w:sz w:val="18"/>
              </w:rPr>
            </w:pPr>
            <w:r>
              <w:rPr>
                <w:w w:val="95"/>
                <w:sz w:val="18"/>
              </w:rPr>
              <w:t xml:space="preserve">Number of other </w:t>
            </w:r>
            <w:r>
              <w:rPr>
                <w:w w:val="90"/>
                <w:sz w:val="18"/>
              </w:rPr>
              <w:t>kinds of meetings</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1</w:t>
            </w:r>
          </w:p>
        </w:tc>
      </w:tr>
      <w:tr w:rsidR="006C17CB">
        <w:trPr>
          <w:trHeight w:val="698"/>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14"/>
              <w:jc w:val="left"/>
              <w:rPr>
                <w:sz w:val="18"/>
              </w:rPr>
            </w:pPr>
            <w:r>
              <w:rPr>
                <w:sz w:val="18"/>
              </w:rPr>
              <w:t xml:space="preserve">Hours of committee </w:t>
            </w:r>
            <w:r>
              <w:rPr>
                <w:w w:val="90"/>
                <w:sz w:val="18"/>
              </w:rPr>
              <w:t>meetings (total)</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9:43</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19:46</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28:46</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30:23</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37:45</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45:17</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10:48</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47:11</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54:42</w:t>
            </w:r>
          </w:p>
        </w:tc>
      </w:tr>
      <w:tr w:rsidR="006C17CB">
        <w:trPr>
          <w:trHeight w:val="500"/>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14"/>
              <w:jc w:val="left"/>
              <w:rPr>
                <w:sz w:val="18"/>
              </w:rPr>
            </w:pPr>
            <w:r>
              <w:rPr>
                <w:w w:val="90"/>
                <w:sz w:val="18"/>
              </w:rPr>
              <w:t xml:space="preserve">Hours of private </w:t>
            </w:r>
            <w:r>
              <w:rPr>
                <w:sz w:val="18"/>
              </w:rPr>
              <w:t>meetings</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9:43</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4:47</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5:29</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10:59</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7:58</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9:52</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10:48</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21:42</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15:13</w:t>
            </w:r>
          </w:p>
        </w:tc>
      </w:tr>
      <w:tr w:rsidR="006C17CB">
        <w:trPr>
          <w:trHeight w:val="528"/>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230"/>
              <w:jc w:val="left"/>
              <w:rPr>
                <w:sz w:val="18"/>
              </w:rPr>
            </w:pPr>
            <w:r>
              <w:rPr>
                <w:w w:val="90"/>
                <w:sz w:val="18"/>
              </w:rPr>
              <w:t xml:space="preserve">Hours of public </w:t>
            </w:r>
            <w:r>
              <w:rPr>
                <w:sz w:val="18"/>
              </w:rPr>
              <w:t>hearings</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14:59</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23:17</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17:14</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29:47</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30:33</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25:29</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37:38</w:t>
            </w:r>
          </w:p>
        </w:tc>
      </w:tr>
      <w:tr w:rsidR="006C17CB">
        <w:trPr>
          <w:trHeight w:val="500"/>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14"/>
              <w:jc w:val="left"/>
              <w:rPr>
                <w:sz w:val="18"/>
              </w:rPr>
            </w:pPr>
            <w:r>
              <w:rPr>
                <w:sz w:val="18"/>
              </w:rPr>
              <w:t xml:space="preserve">Hours of site </w:t>
            </w:r>
            <w:r>
              <w:rPr>
                <w:w w:val="90"/>
                <w:sz w:val="18"/>
              </w:rPr>
              <w:t>visits/study tours</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2:10</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4:52</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0</w:t>
            </w:r>
          </w:p>
        </w:tc>
      </w:tr>
      <w:tr w:rsidR="006C17CB">
        <w:trPr>
          <w:trHeight w:val="514"/>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68"/>
              <w:jc w:val="left"/>
              <w:rPr>
                <w:sz w:val="18"/>
              </w:rPr>
            </w:pPr>
            <w:r>
              <w:rPr>
                <w:sz w:val="18"/>
              </w:rPr>
              <w:t xml:space="preserve">Hours of other </w:t>
            </w:r>
            <w:r>
              <w:rPr>
                <w:w w:val="90"/>
                <w:sz w:val="18"/>
              </w:rPr>
              <w:t>kinds of meetings</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1:51</w:t>
            </w:r>
          </w:p>
        </w:tc>
      </w:tr>
      <w:tr w:rsidR="006C17CB">
        <w:trPr>
          <w:trHeight w:val="485"/>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515"/>
              <w:jc w:val="left"/>
              <w:rPr>
                <w:sz w:val="18"/>
              </w:rPr>
            </w:pPr>
            <w:r>
              <w:rPr>
                <w:w w:val="90"/>
                <w:sz w:val="18"/>
              </w:rPr>
              <w:t xml:space="preserve">Number of </w:t>
            </w:r>
            <w:r>
              <w:rPr>
                <w:w w:val="95"/>
                <w:sz w:val="18"/>
              </w:rPr>
              <w:t>witnesses</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34</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74</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44</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82</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80</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57</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81</w:t>
            </w:r>
          </w:p>
        </w:tc>
      </w:tr>
      <w:tr w:rsidR="006C17CB">
        <w:trPr>
          <w:trHeight w:val="515"/>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430"/>
              <w:jc w:val="left"/>
              <w:rPr>
                <w:sz w:val="18"/>
              </w:rPr>
            </w:pPr>
            <w:r>
              <w:rPr>
                <w:sz w:val="18"/>
              </w:rPr>
              <w:t xml:space="preserve">Number of </w:t>
            </w:r>
            <w:r>
              <w:rPr>
                <w:w w:val="90"/>
                <w:sz w:val="18"/>
              </w:rPr>
              <w:t>submissions</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11</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5</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39</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45</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87</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32</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36</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100</w:t>
            </w:r>
          </w:p>
        </w:tc>
      </w:tr>
      <w:tr w:rsidR="006C17CB">
        <w:trPr>
          <w:trHeight w:val="514"/>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515"/>
              <w:jc w:val="left"/>
              <w:rPr>
                <w:sz w:val="18"/>
              </w:rPr>
            </w:pPr>
            <w:r>
              <w:rPr>
                <w:w w:val="90"/>
                <w:sz w:val="18"/>
              </w:rPr>
              <w:t xml:space="preserve">Number of </w:t>
            </w:r>
            <w:r>
              <w:rPr>
                <w:sz w:val="18"/>
              </w:rPr>
              <w:t>referrals</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3</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5</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5</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3</w:t>
            </w:r>
          </w:p>
        </w:tc>
      </w:tr>
      <w:tr w:rsidR="006C17CB">
        <w:trPr>
          <w:trHeight w:val="542"/>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4"/>
              <w:jc w:val="left"/>
              <w:rPr>
                <w:sz w:val="18"/>
              </w:rPr>
            </w:pPr>
            <w:r>
              <w:rPr>
                <w:w w:val="90"/>
                <w:sz w:val="18"/>
              </w:rPr>
              <w:t xml:space="preserve">Number of reports </w:t>
            </w:r>
            <w:r>
              <w:rPr>
                <w:sz w:val="18"/>
              </w:rPr>
              <w:t>presented</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2</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4</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12</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4</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2</w:t>
            </w:r>
          </w:p>
        </w:tc>
      </w:tr>
      <w:tr w:rsidR="006C17CB">
        <w:trPr>
          <w:trHeight w:val="727"/>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14"/>
              <w:jc w:val="left"/>
              <w:rPr>
                <w:sz w:val="18"/>
              </w:rPr>
            </w:pPr>
            <w:r>
              <w:rPr>
                <w:sz w:val="18"/>
              </w:rPr>
              <w:t xml:space="preserve">Number of </w:t>
            </w:r>
            <w:r>
              <w:rPr>
                <w:w w:val="90"/>
                <w:sz w:val="18"/>
              </w:rPr>
              <w:t xml:space="preserve">statements made </w:t>
            </w:r>
            <w:r>
              <w:rPr>
                <w:sz w:val="18"/>
              </w:rPr>
              <w:t>under SO246A</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2</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4</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8</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7</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5</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5</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11</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2</w:t>
            </w:r>
          </w:p>
        </w:tc>
      </w:tr>
      <w:tr w:rsidR="006C17CB">
        <w:trPr>
          <w:trHeight w:val="885"/>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305"/>
              <w:jc w:val="left"/>
              <w:rPr>
                <w:sz w:val="18"/>
              </w:rPr>
            </w:pPr>
            <w:r>
              <w:rPr>
                <w:sz w:val="18"/>
              </w:rPr>
              <w:t xml:space="preserve">Number of statutory </w:t>
            </w:r>
            <w:r>
              <w:rPr>
                <w:w w:val="90"/>
                <w:sz w:val="18"/>
              </w:rPr>
              <w:t xml:space="preserve">appointments </w:t>
            </w:r>
            <w:r>
              <w:rPr>
                <w:sz w:val="18"/>
              </w:rPr>
              <w:t>considered</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33</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24</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59</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1</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13</w:t>
            </w:r>
          </w:p>
        </w:tc>
      </w:tr>
      <w:tr w:rsidR="006C17CB">
        <w:trPr>
          <w:trHeight w:val="498"/>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218"/>
              <w:jc w:val="left"/>
              <w:rPr>
                <w:sz w:val="18"/>
              </w:rPr>
            </w:pPr>
            <w:r>
              <w:rPr>
                <w:w w:val="90"/>
                <w:sz w:val="18"/>
              </w:rPr>
              <w:t xml:space="preserve">Number of bills </w:t>
            </w:r>
            <w:r>
              <w:rPr>
                <w:sz w:val="18"/>
              </w:rPr>
              <w:t>considered</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61</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0</w:t>
            </w:r>
          </w:p>
        </w:tc>
      </w:tr>
      <w:tr w:rsidR="006C17CB">
        <w:trPr>
          <w:trHeight w:val="884"/>
        </w:trPr>
        <w:tc>
          <w:tcPr>
            <w:tcW w:w="1332" w:type="dxa"/>
            <w:tcBorders>
              <w:top w:val="single" w:sz="4" w:space="0" w:color="000000"/>
              <w:left w:val="nil"/>
              <w:bottom w:val="single" w:sz="4" w:space="0" w:color="000000"/>
              <w:right w:val="single" w:sz="4" w:space="0" w:color="DADADA"/>
            </w:tcBorders>
          </w:tcPr>
          <w:p w:rsidR="006C17CB" w:rsidRDefault="0030091C">
            <w:pPr>
              <w:pStyle w:val="TableParagraph"/>
              <w:spacing w:before="47" w:line="184" w:lineRule="auto"/>
              <w:ind w:left="79" w:right="14"/>
              <w:jc w:val="left"/>
              <w:rPr>
                <w:sz w:val="18"/>
              </w:rPr>
            </w:pPr>
            <w:r>
              <w:rPr>
                <w:sz w:val="18"/>
              </w:rPr>
              <w:t xml:space="preserve">Items of </w:t>
            </w:r>
            <w:r>
              <w:rPr>
                <w:w w:val="90"/>
                <w:sz w:val="18"/>
              </w:rPr>
              <w:t xml:space="preserve">subordinate </w:t>
            </w:r>
            <w:r>
              <w:rPr>
                <w:sz w:val="18"/>
              </w:rPr>
              <w:t xml:space="preserve">legislation </w:t>
            </w:r>
            <w:r>
              <w:rPr>
                <w:w w:val="90"/>
                <w:sz w:val="18"/>
              </w:rPr>
              <w:t>considered</w:t>
            </w:r>
          </w:p>
        </w:tc>
        <w:tc>
          <w:tcPr>
            <w:tcW w:w="11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00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9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104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90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89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85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398</w:t>
            </w:r>
          </w:p>
        </w:tc>
        <w:tc>
          <w:tcPr>
            <w:tcW w:w="765"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1"/>
              <w:rPr>
                <w:sz w:val="18"/>
              </w:rPr>
            </w:pPr>
            <w:r>
              <w:rPr>
                <w:sz w:val="18"/>
              </w:rPr>
              <w:t>0</w:t>
            </w:r>
          </w:p>
        </w:tc>
        <w:tc>
          <w:tcPr>
            <w:tcW w:w="737"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0</w:t>
            </w:r>
          </w:p>
        </w:tc>
      </w:tr>
    </w:tbl>
    <w:p w:rsidR="006C17CB" w:rsidRDefault="006C17CB">
      <w:pPr>
        <w:pStyle w:val="BodyText"/>
        <w:rPr>
          <w:rFonts w:ascii="Montserrat-SemiBoldItalic"/>
          <w:b/>
          <w:i/>
          <w:sz w:val="25"/>
        </w:rPr>
      </w:pPr>
    </w:p>
    <w:p w:rsidR="006C17CB" w:rsidRDefault="0030091C">
      <w:pPr>
        <w:spacing w:before="1"/>
        <w:ind w:left="153"/>
        <w:rPr>
          <w:rFonts w:ascii="Calibri"/>
          <w:sz w:val="18"/>
        </w:rPr>
      </w:pPr>
      <w:r>
        <w:rPr>
          <w:rFonts w:ascii="Calibri"/>
          <w:sz w:val="18"/>
        </w:rPr>
        <w:t>* Committees supported by Chamber Support.</w:t>
      </w:r>
    </w:p>
    <w:p w:rsidR="006C17CB" w:rsidRDefault="006C17CB">
      <w:pPr>
        <w:rPr>
          <w:rFonts w:ascii="Calibri"/>
          <w:sz w:val="18"/>
        </w:rPr>
        <w:sectPr w:rsidR="006C17CB">
          <w:headerReference w:type="even" r:id="rId97"/>
          <w:footerReference w:type="even" r:id="rId98"/>
          <w:footerReference w:type="default" r:id="rId99"/>
          <w:pgSz w:w="11910" w:h="16840"/>
          <w:pgMar w:top="1580" w:right="0" w:bottom="720" w:left="980" w:header="0" w:footer="523" w:gutter="0"/>
          <w:pgNumType w:start="66"/>
          <w:cols w:space="720"/>
        </w:sect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spacing w:before="10"/>
        <w:rPr>
          <w:rFonts w:ascii="Calibri"/>
          <w:sz w:val="16"/>
        </w:rPr>
      </w:pPr>
    </w:p>
    <w:p w:rsidR="006C17CB" w:rsidRDefault="0030091C">
      <w:pPr>
        <w:spacing w:before="136"/>
        <w:ind w:left="153"/>
        <w:rPr>
          <w:rFonts w:ascii="Montserrat-SemiBoldItalic"/>
          <w:b/>
          <w:i/>
          <w:sz w:val="20"/>
        </w:rPr>
      </w:pPr>
      <w:r>
        <w:rPr>
          <w:rFonts w:ascii="Montserrat-SemiBoldItalic"/>
          <w:b/>
          <w:i/>
          <w:sz w:val="20"/>
        </w:rPr>
        <w:t>Select Committees</w:t>
      </w:r>
    </w:p>
    <w:p w:rsidR="006C17CB" w:rsidRDefault="006C17CB">
      <w:pPr>
        <w:pStyle w:val="BodyText"/>
        <w:spacing w:before="9"/>
        <w:rPr>
          <w:rFonts w:ascii="Montserrat-SemiBoldItalic"/>
          <w:b/>
          <w:i/>
          <w:sz w:val="11"/>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3076"/>
        <w:gridCol w:w="1063"/>
        <w:gridCol w:w="1020"/>
        <w:gridCol w:w="992"/>
        <w:gridCol w:w="1219"/>
        <w:gridCol w:w="1219"/>
        <w:gridCol w:w="1054"/>
      </w:tblGrid>
      <w:tr w:rsidR="006C17CB">
        <w:trPr>
          <w:trHeight w:val="963"/>
        </w:trPr>
        <w:tc>
          <w:tcPr>
            <w:tcW w:w="3076" w:type="dxa"/>
            <w:tcBorders>
              <w:top w:val="nil"/>
              <w:left w:val="nil"/>
              <w:bottom w:val="nil"/>
            </w:tcBorders>
            <w:shd w:val="clear" w:color="auto" w:fill="89A7D7"/>
          </w:tcPr>
          <w:p w:rsidR="006C17CB" w:rsidRDefault="006C17CB">
            <w:pPr>
              <w:pStyle w:val="TableParagraph"/>
              <w:jc w:val="left"/>
              <w:rPr>
                <w:rFonts w:ascii="Montserrat-SemiBoldItalic"/>
                <w:b/>
                <w:i/>
                <w:sz w:val="16"/>
              </w:rPr>
            </w:pPr>
          </w:p>
          <w:p w:rsidR="006C17CB" w:rsidRDefault="006C17CB">
            <w:pPr>
              <w:pStyle w:val="TableParagraph"/>
              <w:jc w:val="left"/>
              <w:rPr>
                <w:rFonts w:ascii="Montserrat-SemiBoldItalic"/>
                <w:b/>
                <w:i/>
                <w:sz w:val="16"/>
              </w:rPr>
            </w:pPr>
          </w:p>
          <w:p w:rsidR="006C17CB" w:rsidRDefault="006C17CB">
            <w:pPr>
              <w:pStyle w:val="TableParagraph"/>
              <w:spacing w:before="4"/>
              <w:jc w:val="left"/>
              <w:rPr>
                <w:rFonts w:ascii="Montserrat-SemiBoldItalic"/>
                <w:b/>
                <w:i/>
              </w:rPr>
            </w:pPr>
          </w:p>
          <w:p w:rsidR="006C17CB" w:rsidRDefault="0030091C">
            <w:pPr>
              <w:pStyle w:val="TableParagraph"/>
              <w:ind w:left="79"/>
              <w:jc w:val="left"/>
              <w:rPr>
                <w:b/>
                <w:sz w:val="16"/>
              </w:rPr>
            </w:pPr>
            <w:r>
              <w:rPr>
                <w:b/>
                <w:sz w:val="16"/>
              </w:rPr>
              <w:t>Activity</w:t>
            </w:r>
          </w:p>
        </w:tc>
        <w:tc>
          <w:tcPr>
            <w:tcW w:w="1063" w:type="dxa"/>
            <w:tcBorders>
              <w:top w:val="nil"/>
              <w:bottom w:val="nil"/>
            </w:tcBorders>
            <w:shd w:val="clear" w:color="auto" w:fill="89A7D7"/>
          </w:tcPr>
          <w:p w:rsidR="006C17CB" w:rsidRDefault="006C17CB">
            <w:pPr>
              <w:pStyle w:val="TableParagraph"/>
              <w:jc w:val="left"/>
              <w:rPr>
                <w:rFonts w:ascii="Montserrat-SemiBoldItalic"/>
                <w:b/>
                <w:i/>
                <w:sz w:val="16"/>
              </w:rPr>
            </w:pPr>
          </w:p>
          <w:p w:rsidR="006C17CB" w:rsidRDefault="0030091C">
            <w:pPr>
              <w:pStyle w:val="TableParagraph"/>
              <w:spacing w:before="107" w:line="205" w:lineRule="exact"/>
              <w:ind w:left="362"/>
              <w:jc w:val="left"/>
              <w:rPr>
                <w:b/>
                <w:sz w:val="16"/>
              </w:rPr>
            </w:pPr>
            <w:r>
              <w:rPr>
                <w:b/>
                <w:sz w:val="16"/>
              </w:rPr>
              <w:t>2016 ACT</w:t>
            </w:r>
          </w:p>
          <w:p w:rsidR="006C17CB" w:rsidRDefault="0030091C">
            <w:pPr>
              <w:pStyle w:val="TableParagraph"/>
              <w:spacing w:before="16" w:line="187" w:lineRule="auto"/>
              <w:ind w:left="136" w:firstLine="24"/>
              <w:jc w:val="left"/>
              <w:rPr>
                <w:b/>
                <w:sz w:val="16"/>
              </w:rPr>
            </w:pPr>
            <w:r>
              <w:rPr>
                <w:b/>
                <w:sz w:val="16"/>
              </w:rPr>
              <w:t>Election and Electoral Act</w:t>
            </w:r>
          </w:p>
        </w:tc>
        <w:tc>
          <w:tcPr>
            <w:tcW w:w="1020" w:type="dxa"/>
            <w:tcBorders>
              <w:top w:val="nil"/>
              <w:bottom w:val="nil"/>
            </w:tcBorders>
            <w:shd w:val="clear" w:color="auto" w:fill="89A7D7"/>
          </w:tcPr>
          <w:p w:rsidR="006C17CB" w:rsidRDefault="006C17CB">
            <w:pPr>
              <w:pStyle w:val="TableParagraph"/>
              <w:jc w:val="left"/>
              <w:rPr>
                <w:rFonts w:ascii="Montserrat-SemiBoldItalic"/>
                <w:b/>
                <w:i/>
                <w:sz w:val="16"/>
              </w:rPr>
            </w:pPr>
          </w:p>
          <w:p w:rsidR="006C17CB" w:rsidRDefault="006C17CB">
            <w:pPr>
              <w:pStyle w:val="TableParagraph"/>
              <w:jc w:val="left"/>
              <w:rPr>
                <w:rFonts w:ascii="Montserrat-SemiBoldItalic"/>
                <w:b/>
                <w:i/>
                <w:sz w:val="16"/>
              </w:rPr>
            </w:pPr>
          </w:p>
          <w:p w:rsidR="006C17CB" w:rsidRDefault="0030091C">
            <w:pPr>
              <w:pStyle w:val="TableParagraph"/>
              <w:spacing w:before="134" w:line="187" w:lineRule="auto"/>
              <w:ind w:left="253" w:right="67" w:firstLine="36"/>
              <w:jc w:val="left"/>
              <w:rPr>
                <w:b/>
                <w:sz w:val="16"/>
              </w:rPr>
            </w:pPr>
            <w:r>
              <w:rPr>
                <w:b/>
                <w:w w:val="95"/>
                <w:sz w:val="16"/>
              </w:rPr>
              <w:t>Estimates 2017-2018</w:t>
            </w:r>
          </w:p>
        </w:tc>
        <w:tc>
          <w:tcPr>
            <w:tcW w:w="992" w:type="dxa"/>
            <w:tcBorders>
              <w:top w:val="nil"/>
              <w:bottom w:val="nil"/>
            </w:tcBorders>
            <w:shd w:val="clear" w:color="auto" w:fill="89A7D7"/>
          </w:tcPr>
          <w:p w:rsidR="006C17CB" w:rsidRDefault="006C17CB">
            <w:pPr>
              <w:pStyle w:val="TableParagraph"/>
              <w:jc w:val="left"/>
              <w:rPr>
                <w:rFonts w:ascii="Montserrat-SemiBoldItalic"/>
                <w:b/>
                <w:i/>
                <w:sz w:val="16"/>
              </w:rPr>
            </w:pPr>
          </w:p>
          <w:p w:rsidR="006C17CB" w:rsidRDefault="006C17CB">
            <w:pPr>
              <w:pStyle w:val="TableParagraph"/>
              <w:jc w:val="left"/>
              <w:rPr>
                <w:rFonts w:ascii="Montserrat-SemiBoldItalic"/>
                <w:b/>
                <w:i/>
                <w:sz w:val="16"/>
              </w:rPr>
            </w:pPr>
          </w:p>
          <w:p w:rsidR="006C17CB" w:rsidRDefault="0030091C">
            <w:pPr>
              <w:pStyle w:val="TableParagraph"/>
              <w:spacing w:before="134" w:line="187" w:lineRule="auto"/>
              <w:ind w:left="214" w:right="67" w:firstLine="47"/>
              <w:jc w:val="left"/>
              <w:rPr>
                <w:b/>
                <w:sz w:val="16"/>
              </w:rPr>
            </w:pPr>
            <w:r>
              <w:rPr>
                <w:b/>
                <w:w w:val="95"/>
                <w:sz w:val="16"/>
              </w:rPr>
              <w:t>Estimates 2018-2019</w:t>
            </w:r>
          </w:p>
        </w:tc>
        <w:tc>
          <w:tcPr>
            <w:tcW w:w="1219" w:type="dxa"/>
            <w:tcBorders>
              <w:top w:val="nil"/>
              <w:bottom w:val="nil"/>
            </w:tcBorders>
            <w:shd w:val="clear" w:color="auto" w:fill="89A7D7"/>
          </w:tcPr>
          <w:p w:rsidR="006C17CB" w:rsidRDefault="006C17CB">
            <w:pPr>
              <w:pStyle w:val="TableParagraph"/>
              <w:jc w:val="left"/>
              <w:rPr>
                <w:rFonts w:ascii="Montserrat-SemiBoldItalic"/>
                <w:b/>
                <w:i/>
                <w:sz w:val="16"/>
              </w:rPr>
            </w:pPr>
          </w:p>
          <w:p w:rsidR="006C17CB" w:rsidRDefault="0030091C">
            <w:pPr>
              <w:pStyle w:val="TableParagraph"/>
              <w:spacing w:before="107" w:line="205" w:lineRule="exact"/>
              <w:ind w:left="278"/>
              <w:jc w:val="left"/>
              <w:rPr>
                <w:b/>
                <w:sz w:val="16"/>
              </w:rPr>
            </w:pPr>
            <w:r>
              <w:rPr>
                <w:b/>
                <w:sz w:val="16"/>
              </w:rPr>
              <w:t>Independent</w:t>
            </w:r>
          </w:p>
          <w:p w:rsidR="006C17CB" w:rsidRDefault="0030091C">
            <w:pPr>
              <w:pStyle w:val="TableParagraph"/>
              <w:spacing w:before="16" w:line="187" w:lineRule="auto"/>
              <w:ind w:left="323" w:right="53" w:firstLine="235"/>
              <w:jc w:val="left"/>
              <w:rPr>
                <w:b/>
                <w:sz w:val="16"/>
              </w:rPr>
            </w:pPr>
            <w:r>
              <w:rPr>
                <w:b/>
                <w:sz w:val="16"/>
              </w:rPr>
              <w:t xml:space="preserve">Integrity </w:t>
            </w:r>
            <w:r>
              <w:rPr>
                <w:b/>
                <w:w w:val="95"/>
                <w:sz w:val="16"/>
              </w:rPr>
              <w:t>Commission</w:t>
            </w:r>
          </w:p>
        </w:tc>
        <w:tc>
          <w:tcPr>
            <w:tcW w:w="1219" w:type="dxa"/>
            <w:tcBorders>
              <w:top w:val="nil"/>
              <w:bottom w:val="nil"/>
            </w:tcBorders>
            <w:shd w:val="clear" w:color="auto" w:fill="89A7D7"/>
          </w:tcPr>
          <w:p w:rsidR="006C17CB" w:rsidRDefault="0030091C">
            <w:pPr>
              <w:pStyle w:val="TableParagraph"/>
              <w:spacing w:before="122" w:line="205" w:lineRule="exact"/>
              <w:ind w:left="278"/>
              <w:jc w:val="left"/>
              <w:rPr>
                <w:b/>
                <w:sz w:val="16"/>
              </w:rPr>
            </w:pPr>
            <w:r>
              <w:rPr>
                <w:b/>
                <w:sz w:val="16"/>
              </w:rPr>
              <w:t>Independent</w:t>
            </w:r>
          </w:p>
          <w:p w:rsidR="006C17CB" w:rsidRDefault="0030091C">
            <w:pPr>
              <w:pStyle w:val="TableParagraph"/>
              <w:spacing w:before="16" w:line="187" w:lineRule="auto"/>
              <w:ind w:left="323" w:right="67" w:firstLine="235"/>
              <w:rPr>
                <w:b/>
                <w:sz w:val="16"/>
              </w:rPr>
            </w:pPr>
            <w:r>
              <w:rPr>
                <w:b/>
                <w:w w:val="95"/>
                <w:sz w:val="16"/>
              </w:rPr>
              <w:t>Integrity Commission</w:t>
            </w:r>
          </w:p>
          <w:p w:rsidR="006C17CB" w:rsidRDefault="0030091C">
            <w:pPr>
              <w:pStyle w:val="TableParagraph"/>
              <w:spacing w:line="190" w:lineRule="exact"/>
              <w:ind w:right="68"/>
              <w:rPr>
                <w:b/>
                <w:sz w:val="16"/>
              </w:rPr>
            </w:pPr>
            <w:r>
              <w:rPr>
                <w:b/>
                <w:w w:val="95"/>
                <w:sz w:val="16"/>
              </w:rPr>
              <w:t>2018</w:t>
            </w:r>
          </w:p>
        </w:tc>
        <w:tc>
          <w:tcPr>
            <w:tcW w:w="1054" w:type="dxa"/>
            <w:tcBorders>
              <w:top w:val="nil"/>
              <w:bottom w:val="nil"/>
              <w:right w:val="nil"/>
            </w:tcBorders>
            <w:shd w:val="clear" w:color="auto" w:fill="89A7D7"/>
          </w:tcPr>
          <w:p w:rsidR="006C17CB" w:rsidRDefault="006C17CB">
            <w:pPr>
              <w:pStyle w:val="TableParagraph"/>
              <w:jc w:val="left"/>
              <w:rPr>
                <w:rFonts w:ascii="Montserrat-SemiBoldItalic"/>
                <w:b/>
                <w:i/>
                <w:sz w:val="16"/>
              </w:rPr>
            </w:pPr>
          </w:p>
          <w:p w:rsidR="006C17CB" w:rsidRDefault="006C17CB">
            <w:pPr>
              <w:pStyle w:val="TableParagraph"/>
              <w:spacing w:before="7"/>
              <w:jc w:val="left"/>
              <w:rPr>
                <w:rFonts w:ascii="Montserrat-SemiBoldItalic"/>
                <w:b/>
                <w:i/>
                <w:sz w:val="23"/>
              </w:rPr>
            </w:pPr>
          </w:p>
          <w:p w:rsidR="006C17CB" w:rsidRDefault="0030091C">
            <w:pPr>
              <w:pStyle w:val="TableParagraph"/>
              <w:spacing w:line="205" w:lineRule="exact"/>
              <w:ind w:left="328"/>
              <w:jc w:val="left"/>
              <w:rPr>
                <w:b/>
                <w:sz w:val="16"/>
              </w:rPr>
            </w:pPr>
            <w:r>
              <w:rPr>
                <w:b/>
                <w:sz w:val="16"/>
              </w:rPr>
              <w:t>Privileges</w:t>
            </w:r>
          </w:p>
          <w:p w:rsidR="006C17CB" w:rsidRDefault="0030091C">
            <w:pPr>
              <w:pStyle w:val="TableParagraph"/>
              <w:spacing w:line="205" w:lineRule="exact"/>
              <w:ind w:left="594"/>
              <w:jc w:val="left"/>
              <w:rPr>
                <w:b/>
                <w:sz w:val="9"/>
              </w:rPr>
            </w:pPr>
            <w:r>
              <w:rPr>
                <w:b/>
                <w:sz w:val="16"/>
              </w:rPr>
              <w:t>2018</w:t>
            </w:r>
            <w:r>
              <w:rPr>
                <w:b/>
                <w:position w:val="5"/>
                <w:sz w:val="9"/>
              </w:rPr>
              <w:t>#</w:t>
            </w:r>
          </w:p>
        </w:tc>
      </w:tr>
      <w:tr w:rsidR="006C17CB">
        <w:trPr>
          <w:trHeight w:val="386"/>
        </w:trPr>
        <w:tc>
          <w:tcPr>
            <w:tcW w:w="3076"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committee meetings (total)</w:t>
            </w:r>
          </w:p>
        </w:tc>
        <w:tc>
          <w:tcPr>
            <w:tcW w:w="1063" w:type="dxa"/>
            <w:tcBorders>
              <w:top w:val="nil"/>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13</w:t>
            </w:r>
          </w:p>
        </w:tc>
        <w:tc>
          <w:tcPr>
            <w:tcW w:w="1020"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20</w:t>
            </w:r>
          </w:p>
        </w:tc>
        <w:tc>
          <w:tcPr>
            <w:tcW w:w="992"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7</w:t>
            </w:r>
          </w:p>
        </w:tc>
        <w:tc>
          <w:tcPr>
            <w:tcW w:w="1219"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20</w:t>
            </w:r>
          </w:p>
        </w:tc>
        <w:tc>
          <w:tcPr>
            <w:tcW w:w="1219"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18</w:t>
            </w:r>
          </w:p>
        </w:tc>
        <w:tc>
          <w:tcPr>
            <w:tcW w:w="1054" w:type="dxa"/>
            <w:tcBorders>
              <w:top w:val="nil"/>
              <w:left w:val="dashed" w:sz="4" w:space="0" w:color="DADADA"/>
              <w:bottom w:val="single" w:sz="4" w:space="0" w:color="000000"/>
              <w:right w:val="nil"/>
            </w:tcBorders>
          </w:tcPr>
          <w:p w:rsidR="006C17CB" w:rsidRDefault="0030091C">
            <w:pPr>
              <w:pStyle w:val="TableParagraph"/>
              <w:spacing w:before="50"/>
              <w:ind w:right="78"/>
              <w:rPr>
                <w:sz w:val="18"/>
              </w:rPr>
            </w:pPr>
            <w:r>
              <w:rPr>
                <w:sz w:val="18"/>
              </w:rPr>
              <w:t>2</w:t>
            </w:r>
          </w:p>
        </w:tc>
      </w:tr>
      <w:tr w:rsidR="006C17CB">
        <w:trPr>
          <w:trHeight w:val="38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private meetings</w:t>
            </w:r>
          </w:p>
        </w:tc>
        <w:tc>
          <w:tcPr>
            <w:tcW w:w="1063"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7</w:t>
            </w:r>
          </w:p>
        </w:tc>
        <w:tc>
          <w:tcPr>
            <w:tcW w:w="1020"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11</w:t>
            </w:r>
          </w:p>
        </w:tc>
        <w:tc>
          <w:tcPr>
            <w:tcW w:w="9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6</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11</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14</w:t>
            </w:r>
          </w:p>
        </w:tc>
        <w:tc>
          <w:tcPr>
            <w:tcW w:w="1054"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w:t>
            </w:r>
          </w:p>
        </w:tc>
      </w:tr>
      <w:tr w:rsidR="006C17CB">
        <w:trPr>
          <w:trHeight w:val="38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Number of public hearings</w:t>
            </w:r>
          </w:p>
        </w:tc>
        <w:tc>
          <w:tcPr>
            <w:tcW w:w="1063"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w:t>
            </w:r>
          </w:p>
        </w:tc>
        <w:tc>
          <w:tcPr>
            <w:tcW w:w="1020"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6</w:t>
            </w:r>
          </w:p>
        </w:tc>
        <w:tc>
          <w:tcPr>
            <w:tcW w:w="9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11</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w:t>
            </w:r>
          </w:p>
        </w:tc>
        <w:tc>
          <w:tcPr>
            <w:tcW w:w="1054"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0</w:t>
            </w:r>
          </w:p>
        </w:tc>
      </w:tr>
      <w:tr w:rsidR="006C17CB">
        <w:trPr>
          <w:trHeight w:val="38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Number of site visits/study tours</w:t>
            </w:r>
          </w:p>
        </w:tc>
        <w:tc>
          <w:tcPr>
            <w:tcW w:w="1063"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w:t>
            </w:r>
          </w:p>
        </w:tc>
        <w:tc>
          <w:tcPr>
            <w:tcW w:w="1020"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3</w:t>
            </w:r>
          </w:p>
        </w:tc>
        <w:tc>
          <w:tcPr>
            <w:tcW w:w="9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0</w:t>
            </w:r>
          </w:p>
        </w:tc>
        <w:tc>
          <w:tcPr>
            <w:tcW w:w="1054"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0</w:t>
            </w:r>
          </w:p>
        </w:tc>
      </w:tr>
      <w:tr w:rsidR="006C17CB">
        <w:trPr>
          <w:trHeight w:val="38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Number of other kinds of meetings</w:t>
            </w:r>
          </w:p>
        </w:tc>
        <w:tc>
          <w:tcPr>
            <w:tcW w:w="1063"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0</w:t>
            </w:r>
          </w:p>
        </w:tc>
        <w:tc>
          <w:tcPr>
            <w:tcW w:w="1020"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9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0</w:t>
            </w:r>
          </w:p>
        </w:tc>
        <w:tc>
          <w:tcPr>
            <w:tcW w:w="1054"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0</w:t>
            </w:r>
          </w:p>
        </w:tc>
      </w:tr>
      <w:tr w:rsidR="006C17CB">
        <w:trPr>
          <w:trHeight w:val="38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Hours of committee meetings [total]</w:t>
            </w:r>
          </w:p>
        </w:tc>
        <w:tc>
          <w:tcPr>
            <w:tcW w:w="1063"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21:46</w:t>
            </w:r>
          </w:p>
        </w:tc>
        <w:tc>
          <w:tcPr>
            <w:tcW w:w="1020"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44:04</w:t>
            </w:r>
          </w:p>
        </w:tc>
        <w:tc>
          <w:tcPr>
            <w:tcW w:w="9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8:55</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88:00</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23:24</w:t>
            </w:r>
          </w:p>
        </w:tc>
        <w:tc>
          <w:tcPr>
            <w:tcW w:w="1054"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0:33</w:t>
            </w:r>
          </w:p>
        </w:tc>
      </w:tr>
      <w:tr w:rsidR="006C17CB">
        <w:trPr>
          <w:trHeight w:val="38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Hours of private meetings</w:t>
            </w:r>
          </w:p>
        </w:tc>
        <w:tc>
          <w:tcPr>
            <w:tcW w:w="1063"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8:31</w:t>
            </w:r>
          </w:p>
        </w:tc>
        <w:tc>
          <w:tcPr>
            <w:tcW w:w="1020"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6:16</w:t>
            </w:r>
          </w:p>
        </w:tc>
        <w:tc>
          <w:tcPr>
            <w:tcW w:w="9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8:24</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3:59</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14:40</w:t>
            </w:r>
          </w:p>
        </w:tc>
        <w:tc>
          <w:tcPr>
            <w:tcW w:w="1054"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0:33</w:t>
            </w:r>
          </w:p>
        </w:tc>
      </w:tr>
      <w:tr w:rsidR="006C17CB">
        <w:trPr>
          <w:trHeight w:val="38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Hours of public hearings</w:t>
            </w:r>
          </w:p>
        </w:tc>
        <w:tc>
          <w:tcPr>
            <w:tcW w:w="1063"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9:25</w:t>
            </w:r>
          </w:p>
        </w:tc>
        <w:tc>
          <w:tcPr>
            <w:tcW w:w="1020"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28:53</w:t>
            </w:r>
          </w:p>
        </w:tc>
        <w:tc>
          <w:tcPr>
            <w:tcW w:w="9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0:31</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84:01</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8:44</w:t>
            </w:r>
          </w:p>
        </w:tc>
        <w:tc>
          <w:tcPr>
            <w:tcW w:w="1054"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0</w:t>
            </w:r>
          </w:p>
        </w:tc>
      </w:tr>
      <w:tr w:rsidR="006C17CB">
        <w:trPr>
          <w:trHeight w:val="38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Hours of site visits/study tours</w:t>
            </w:r>
          </w:p>
        </w:tc>
        <w:tc>
          <w:tcPr>
            <w:tcW w:w="1063"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3:50</w:t>
            </w:r>
          </w:p>
        </w:tc>
        <w:tc>
          <w:tcPr>
            <w:tcW w:w="1020"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8:55</w:t>
            </w:r>
          </w:p>
        </w:tc>
        <w:tc>
          <w:tcPr>
            <w:tcW w:w="9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0</w:t>
            </w:r>
          </w:p>
        </w:tc>
        <w:tc>
          <w:tcPr>
            <w:tcW w:w="1054"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0</w:t>
            </w:r>
          </w:p>
        </w:tc>
      </w:tr>
      <w:tr w:rsidR="006C17CB">
        <w:trPr>
          <w:trHeight w:val="38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Hours of other kinds of meetings</w:t>
            </w:r>
          </w:p>
        </w:tc>
        <w:tc>
          <w:tcPr>
            <w:tcW w:w="1063"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0</w:t>
            </w:r>
          </w:p>
        </w:tc>
        <w:tc>
          <w:tcPr>
            <w:tcW w:w="1020"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9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0</w:t>
            </w:r>
          </w:p>
        </w:tc>
        <w:tc>
          <w:tcPr>
            <w:tcW w:w="1054"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0</w:t>
            </w:r>
          </w:p>
        </w:tc>
      </w:tr>
      <w:tr w:rsidR="006C17CB">
        <w:trPr>
          <w:trHeight w:val="38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Number of witnesses</w:t>
            </w:r>
          </w:p>
        </w:tc>
        <w:tc>
          <w:tcPr>
            <w:tcW w:w="1063"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30</w:t>
            </w:r>
          </w:p>
        </w:tc>
        <w:tc>
          <w:tcPr>
            <w:tcW w:w="1020"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70</w:t>
            </w:r>
          </w:p>
        </w:tc>
        <w:tc>
          <w:tcPr>
            <w:tcW w:w="9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4</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234</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24</w:t>
            </w:r>
          </w:p>
        </w:tc>
        <w:tc>
          <w:tcPr>
            <w:tcW w:w="1054"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0</w:t>
            </w:r>
          </w:p>
        </w:tc>
      </w:tr>
      <w:tr w:rsidR="006C17CB">
        <w:trPr>
          <w:trHeight w:val="38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Number of submissions</w:t>
            </w:r>
          </w:p>
        </w:tc>
        <w:tc>
          <w:tcPr>
            <w:tcW w:w="1063"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24</w:t>
            </w:r>
          </w:p>
        </w:tc>
        <w:tc>
          <w:tcPr>
            <w:tcW w:w="1020"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487</w:t>
            </w:r>
          </w:p>
        </w:tc>
        <w:tc>
          <w:tcPr>
            <w:tcW w:w="9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16</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8</w:t>
            </w:r>
          </w:p>
        </w:tc>
        <w:tc>
          <w:tcPr>
            <w:tcW w:w="1054"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0</w:t>
            </w:r>
          </w:p>
        </w:tc>
      </w:tr>
      <w:tr w:rsidR="006C17CB">
        <w:trPr>
          <w:trHeight w:val="38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Number of referrals</w:t>
            </w:r>
          </w:p>
        </w:tc>
        <w:tc>
          <w:tcPr>
            <w:tcW w:w="1063"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0</w:t>
            </w:r>
          </w:p>
        </w:tc>
        <w:tc>
          <w:tcPr>
            <w:tcW w:w="1020"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w:t>
            </w:r>
          </w:p>
        </w:tc>
        <w:tc>
          <w:tcPr>
            <w:tcW w:w="9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w:t>
            </w:r>
          </w:p>
        </w:tc>
        <w:tc>
          <w:tcPr>
            <w:tcW w:w="1054"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1</w:t>
            </w:r>
          </w:p>
        </w:tc>
      </w:tr>
      <w:tr w:rsidR="006C17CB">
        <w:trPr>
          <w:trHeight w:val="38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80"/>
              <w:jc w:val="left"/>
              <w:rPr>
                <w:sz w:val="18"/>
              </w:rPr>
            </w:pPr>
            <w:r>
              <w:rPr>
                <w:sz w:val="18"/>
              </w:rPr>
              <w:t>Number of reports presented</w:t>
            </w:r>
          </w:p>
        </w:tc>
        <w:tc>
          <w:tcPr>
            <w:tcW w:w="1063"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1</w:t>
            </w:r>
          </w:p>
        </w:tc>
        <w:tc>
          <w:tcPr>
            <w:tcW w:w="1020"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w:t>
            </w:r>
          </w:p>
        </w:tc>
        <w:tc>
          <w:tcPr>
            <w:tcW w:w="992"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w:t>
            </w:r>
          </w:p>
        </w:tc>
        <w:tc>
          <w:tcPr>
            <w:tcW w:w="121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0</w:t>
            </w:r>
          </w:p>
        </w:tc>
        <w:tc>
          <w:tcPr>
            <w:tcW w:w="1054"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0</w:t>
            </w:r>
          </w:p>
        </w:tc>
      </w:tr>
      <w:tr w:rsidR="006C17CB">
        <w:trPr>
          <w:trHeight w:val="55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80"/>
              <w:jc w:val="left"/>
              <w:rPr>
                <w:sz w:val="18"/>
              </w:rPr>
            </w:pPr>
            <w:r>
              <w:rPr>
                <w:sz w:val="18"/>
              </w:rPr>
              <w:t>Number of statements made under SO246A</w:t>
            </w:r>
          </w:p>
        </w:tc>
        <w:tc>
          <w:tcPr>
            <w:tcW w:w="106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3"/>
              <w:rPr>
                <w:sz w:val="18"/>
              </w:rPr>
            </w:pPr>
            <w:r>
              <w:rPr>
                <w:sz w:val="18"/>
              </w:rPr>
              <w:t>0</w:t>
            </w:r>
          </w:p>
        </w:tc>
        <w:tc>
          <w:tcPr>
            <w:tcW w:w="102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99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2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2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3"/>
              <w:rPr>
                <w:sz w:val="18"/>
              </w:rPr>
            </w:pPr>
            <w:r>
              <w:rPr>
                <w:sz w:val="18"/>
              </w:rPr>
              <w:t>0</w:t>
            </w:r>
          </w:p>
        </w:tc>
        <w:tc>
          <w:tcPr>
            <w:tcW w:w="1054"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8"/>
              <w:rPr>
                <w:sz w:val="18"/>
              </w:rPr>
            </w:pPr>
            <w:r>
              <w:rPr>
                <w:sz w:val="18"/>
              </w:rPr>
              <w:t>0</w:t>
            </w:r>
          </w:p>
        </w:tc>
      </w:tr>
      <w:tr w:rsidR="006C17CB">
        <w:trPr>
          <w:trHeight w:val="556"/>
        </w:trPr>
        <w:tc>
          <w:tcPr>
            <w:tcW w:w="3076"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80"/>
              <w:jc w:val="left"/>
              <w:rPr>
                <w:sz w:val="18"/>
              </w:rPr>
            </w:pPr>
            <w:r>
              <w:rPr>
                <w:sz w:val="18"/>
              </w:rPr>
              <w:t>Number of statutory appointments considered</w:t>
            </w:r>
          </w:p>
        </w:tc>
        <w:tc>
          <w:tcPr>
            <w:tcW w:w="106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3"/>
              <w:rPr>
                <w:sz w:val="18"/>
              </w:rPr>
            </w:pPr>
            <w:r>
              <w:rPr>
                <w:sz w:val="18"/>
              </w:rPr>
              <w:t>0</w:t>
            </w:r>
          </w:p>
        </w:tc>
        <w:tc>
          <w:tcPr>
            <w:tcW w:w="102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99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2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2"/>
              <w:rPr>
                <w:sz w:val="18"/>
              </w:rPr>
            </w:pPr>
            <w:r>
              <w:rPr>
                <w:sz w:val="18"/>
              </w:rPr>
              <w:t>0</w:t>
            </w:r>
          </w:p>
        </w:tc>
        <w:tc>
          <w:tcPr>
            <w:tcW w:w="121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right="73"/>
              <w:rPr>
                <w:sz w:val="18"/>
              </w:rPr>
            </w:pPr>
            <w:r>
              <w:rPr>
                <w:sz w:val="18"/>
              </w:rPr>
              <w:t>0</w:t>
            </w:r>
          </w:p>
        </w:tc>
        <w:tc>
          <w:tcPr>
            <w:tcW w:w="1054"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8"/>
              <w:rPr>
                <w:sz w:val="18"/>
              </w:rPr>
            </w:pPr>
            <w:r>
              <w:rPr>
                <w:sz w:val="18"/>
              </w:rPr>
              <w:t>0</w:t>
            </w:r>
          </w:p>
        </w:tc>
      </w:tr>
    </w:tbl>
    <w:p w:rsidR="006C17CB" w:rsidRDefault="006C17CB">
      <w:pPr>
        <w:pStyle w:val="BodyText"/>
        <w:rPr>
          <w:rFonts w:ascii="Montserrat-SemiBoldItalic"/>
          <w:b/>
          <w:i/>
          <w:sz w:val="25"/>
        </w:rPr>
      </w:pPr>
    </w:p>
    <w:p w:rsidR="006C17CB" w:rsidRDefault="0030091C">
      <w:pPr>
        <w:spacing w:before="1"/>
        <w:ind w:left="153"/>
        <w:rPr>
          <w:rFonts w:ascii="Calibri"/>
          <w:sz w:val="18"/>
        </w:rPr>
      </w:pPr>
      <w:r>
        <w:rPr>
          <w:rFonts w:ascii="Calibri"/>
          <w:sz w:val="18"/>
        </w:rPr>
        <w:t>* Committees supported by Chamber Support.</w:t>
      </w:r>
    </w:p>
    <w:p w:rsidR="006C17CB" w:rsidRDefault="0030091C">
      <w:pPr>
        <w:spacing w:before="54"/>
        <w:ind w:left="153"/>
        <w:rPr>
          <w:rFonts w:ascii="Calibri"/>
          <w:sz w:val="18"/>
        </w:rPr>
      </w:pPr>
      <w:r>
        <w:rPr>
          <w:rFonts w:ascii="Calibri"/>
          <w:sz w:val="18"/>
        </w:rPr>
        <w:t># Privileges 2018 report circulated out of session.</w:t>
      </w:r>
    </w:p>
    <w:p w:rsidR="006C17CB" w:rsidRDefault="006C17CB">
      <w:pPr>
        <w:rPr>
          <w:rFonts w:ascii="Calibri"/>
          <w:sz w:val="18"/>
        </w:rPr>
        <w:sectPr w:rsidR="006C17CB">
          <w:headerReference w:type="default" r:id="rId100"/>
          <w:pgSz w:w="11910" w:h="16840"/>
          <w:pgMar w:top="1580" w:right="0" w:bottom="740" w:left="980" w:header="0" w:footer="551" w:gutter="0"/>
          <w:cols w:space="720"/>
        </w:sectPr>
      </w:pPr>
    </w:p>
    <w:p w:rsidR="006C17CB" w:rsidRDefault="0030091C">
      <w:pPr>
        <w:spacing w:before="76"/>
        <w:ind w:left="155"/>
        <w:rPr>
          <w:rFonts w:ascii="Montserrat-SemiBold" w:hAnsi="Montserrat-SemiBold"/>
          <w:b/>
          <w:sz w:val="34"/>
        </w:rPr>
      </w:pPr>
      <w:bookmarkStart w:id="93" w:name="Appendix_8_–_Broadcasting_and_website_ma"/>
      <w:bookmarkStart w:id="94" w:name="_bookmark33"/>
      <w:bookmarkEnd w:id="93"/>
      <w:bookmarkEnd w:id="94"/>
      <w:r>
        <w:rPr>
          <w:rFonts w:ascii="Montserrat-SemiBold" w:hAnsi="Montserrat-SemiBold"/>
          <w:b/>
          <w:color w:val="004289"/>
          <w:sz w:val="34"/>
        </w:rPr>
        <w:t>APPENDIX 8 – BROADCASTING AND WEBSITE MANAGEMENT</w:t>
      </w:r>
    </w:p>
    <w:p w:rsidR="006C17CB" w:rsidRDefault="006C17CB">
      <w:pPr>
        <w:pStyle w:val="BodyText"/>
        <w:rPr>
          <w:rFonts w:ascii="Montserrat-SemiBold"/>
          <w:b/>
          <w:sz w:val="42"/>
        </w:rPr>
      </w:pPr>
    </w:p>
    <w:p w:rsidR="006C17CB" w:rsidRDefault="006C17CB">
      <w:pPr>
        <w:pStyle w:val="BodyText"/>
        <w:spacing w:before="11"/>
        <w:rPr>
          <w:rFonts w:ascii="Montserrat-SemiBold"/>
          <w:b/>
          <w:sz w:val="33"/>
        </w:rPr>
      </w:pPr>
    </w:p>
    <w:p w:rsidR="006C17CB" w:rsidRDefault="0030091C">
      <w:pPr>
        <w:pStyle w:val="Heading6"/>
        <w:spacing w:before="1"/>
        <w:ind w:left="153"/>
        <w:rPr>
          <w:rFonts w:ascii="Montserrat"/>
        </w:rPr>
      </w:pPr>
      <w:r>
        <w:rPr>
          <w:rFonts w:ascii="Montserrat"/>
          <w:color w:val="556EAA"/>
        </w:rPr>
        <w:t>Internet related activity</w:t>
      </w:r>
    </w:p>
    <w:p w:rsidR="006C17CB" w:rsidRDefault="0030091C">
      <w:pPr>
        <w:pStyle w:val="BodyText"/>
        <w:spacing w:before="99" w:line="189" w:lineRule="auto"/>
        <w:ind w:left="153"/>
      </w:pPr>
      <w:r>
        <w:t xml:space="preserve">This graph compares visitor statistics for the three Assembly </w:t>
      </w:r>
      <w:r>
        <w:rPr>
          <w:spacing w:val="-2"/>
        </w:rPr>
        <w:t xml:space="preserve">websites: </w:t>
      </w:r>
      <w:r>
        <w:t xml:space="preserve">the general Legislative Assembly site </w:t>
      </w:r>
      <w:r>
        <w:rPr>
          <w:spacing w:val="-3"/>
        </w:rPr>
        <w:t xml:space="preserve">(www.parliament.act.gov.au), </w:t>
      </w:r>
      <w:r>
        <w:t xml:space="preserve">the Assembly on Demand site </w:t>
      </w:r>
      <w:r>
        <w:rPr>
          <w:spacing w:val="-3"/>
        </w:rPr>
        <w:t xml:space="preserve">(aod.parliament.act.gov.au), </w:t>
      </w:r>
      <w:r>
        <w:t xml:space="preserve">and the Hansard site </w:t>
      </w:r>
      <w:r>
        <w:rPr>
          <w:spacing w:val="-3"/>
        </w:rPr>
        <w:t>(www.hansard.act.gov.au).</w:t>
      </w:r>
    </w:p>
    <w:p w:rsidR="006C17CB" w:rsidRDefault="0030091C">
      <w:pPr>
        <w:pStyle w:val="BodyText"/>
        <w:spacing w:before="112" w:line="189" w:lineRule="auto"/>
        <w:ind w:left="153" w:right="1177"/>
      </w:pPr>
      <w:r>
        <w:t>The Assembly on Demand site, introduced in 2016, provides a single portal for viewing all Assembly and committee proceedings. As a result, page views for Assembly and committee proceedings are now provided as a combined figure.</w:t>
      </w:r>
    </w:p>
    <w:p w:rsidR="006C17CB" w:rsidRDefault="0030091C">
      <w:pPr>
        <w:pStyle w:val="BodyText"/>
        <w:spacing w:before="112" w:line="189" w:lineRule="auto"/>
        <w:ind w:left="153" w:right="1223"/>
      </w:pPr>
      <w:r>
        <w:t>Visitor statistics are obtained through Google Analytics. Client use is measured in terms of ‘unique sessions’. If a user is inactive on the site for 30 minutes or more, future activity is attributed to a new session.</w:t>
      </w:r>
    </w:p>
    <w:p w:rsidR="006C17CB" w:rsidRDefault="006C17CB">
      <w:pPr>
        <w:pStyle w:val="BodyText"/>
        <w:spacing w:before="9"/>
        <w:rPr>
          <w:sz w:val="27"/>
        </w:rPr>
      </w:pPr>
    </w:p>
    <w:p w:rsidR="006C17CB" w:rsidRDefault="0030091C">
      <w:pPr>
        <w:ind w:left="157"/>
        <w:rPr>
          <w:rFonts w:ascii="Calibri"/>
          <w:i/>
        </w:rPr>
      </w:pPr>
      <w:r>
        <w:rPr>
          <w:rFonts w:ascii="Calibri"/>
          <w:b/>
          <w:sz w:val="18"/>
        </w:rPr>
        <w:t xml:space="preserve">FIGURE 6. </w:t>
      </w:r>
      <w:r>
        <w:rPr>
          <w:rFonts w:ascii="Calibri"/>
          <w:i/>
        </w:rPr>
        <w:t>Website user sessions for Assembly websites</w:t>
      </w:r>
    </w:p>
    <w:p w:rsidR="006C17CB" w:rsidRDefault="0030091C">
      <w:pPr>
        <w:pStyle w:val="BodyText"/>
        <w:spacing w:before="3"/>
        <w:rPr>
          <w:rFonts w:ascii="Calibri"/>
          <w:i/>
          <w:sz w:val="12"/>
        </w:rPr>
      </w:pPr>
      <w:r>
        <w:rPr>
          <w:noProof/>
          <w:lang w:val="en-AU" w:eastAsia="en-AU" w:bidi="ar-SA"/>
        </w:rPr>
        <w:drawing>
          <wp:anchor distT="0" distB="0" distL="0" distR="0" simplePos="0" relativeHeight="1648" behindDoc="0" locked="0" layoutInCell="1" allowOverlap="1">
            <wp:simplePos x="0" y="0"/>
            <wp:positionH relativeFrom="page">
              <wp:posOffset>742024</wp:posOffset>
            </wp:positionH>
            <wp:positionV relativeFrom="paragraph">
              <wp:posOffset>136550</wp:posOffset>
            </wp:positionV>
            <wp:extent cx="5663649" cy="3491103"/>
            <wp:effectExtent l="0" t="0" r="0" b="0"/>
            <wp:wrapTopAndBottom/>
            <wp:docPr id="15" name="image10.png" descr="The Legislative Assembly's primary website receives the most traffic, with 150,685 user sessions in this reporting period. Traffic to this site has been steadily increasing in the past three years. Traffic to the Assembly on Demand service is also increasing, with 37,118 user sessions in this reporting period. Visits to the Hansard website has stayed relatively consistent across the three years, this year recording 29,118 use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01" cstate="print"/>
                    <a:stretch>
                      <a:fillRect/>
                    </a:stretch>
                  </pic:blipFill>
                  <pic:spPr>
                    <a:xfrm>
                      <a:off x="0" y="0"/>
                      <a:ext cx="5663649" cy="3491103"/>
                    </a:xfrm>
                    <a:prstGeom prst="rect">
                      <a:avLst/>
                    </a:prstGeom>
                  </pic:spPr>
                </pic:pic>
              </a:graphicData>
            </a:graphic>
          </wp:anchor>
        </w:drawing>
      </w:r>
    </w:p>
    <w:p w:rsidR="006C17CB" w:rsidRDefault="006C17CB">
      <w:pPr>
        <w:rPr>
          <w:rFonts w:ascii="Calibri"/>
          <w:sz w:val="12"/>
        </w:rPr>
        <w:sectPr w:rsidR="006C17CB">
          <w:headerReference w:type="even" r:id="rId102"/>
          <w:footerReference w:type="even" r:id="rId103"/>
          <w:footerReference w:type="default" r:id="rId104"/>
          <w:pgSz w:w="11910" w:h="16840"/>
          <w:pgMar w:top="1040" w:right="0" w:bottom="720" w:left="980" w:header="0" w:footer="523" w:gutter="0"/>
          <w:pgNumType w:start="68"/>
          <w:cols w:space="720"/>
        </w:sectPr>
      </w:pPr>
    </w:p>
    <w:p w:rsidR="006C17CB" w:rsidRDefault="006C17CB">
      <w:pPr>
        <w:pStyle w:val="BodyText"/>
        <w:rPr>
          <w:rFonts w:ascii="Calibri"/>
          <w:i/>
          <w:sz w:val="20"/>
        </w:rPr>
      </w:pPr>
    </w:p>
    <w:p w:rsidR="006C17CB" w:rsidRDefault="006C17CB">
      <w:pPr>
        <w:pStyle w:val="BodyText"/>
        <w:rPr>
          <w:rFonts w:ascii="Calibri"/>
          <w:i/>
          <w:sz w:val="20"/>
        </w:rPr>
      </w:pPr>
    </w:p>
    <w:p w:rsidR="006C17CB" w:rsidRDefault="006C17CB">
      <w:pPr>
        <w:pStyle w:val="BodyText"/>
        <w:spacing w:before="5"/>
        <w:rPr>
          <w:rFonts w:ascii="Calibri"/>
          <w:i/>
          <w:sz w:val="13"/>
        </w:rPr>
      </w:pPr>
    </w:p>
    <w:p w:rsidR="006C17CB" w:rsidRDefault="0030091C">
      <w:pPr>
        <w:pStyle w:val="Heading6"/>
        <w:spacing w:before="146"/>
        <w:ind w:left="153"/>
        <w:rPr>
          <w:rFonts w:ascii="Montserrat"/>
        </w:rPr>
      </w:pPr>
      <w:bookmarkStart w:id="95" w:name="Appendix_9_–_Library_and_reference_servi"/>
      <w:bookmarkStart w:id="96" w:name="_bookmark34"/>
      <w:bookmarkEnd w:id="95"/>
      <w:bookmarkEnd w:id="96"/>
      <w:r>
        <w:rPr>
          <w:rFonts w:ascii="Montserrat"/>
          <w:color w:val="556EAA"/>
        </w:rPr>
        <w:t>Library services</w:t>
      </w:r>
    </w:p>
    <w:p w:rsidR="006C17CB" w:rsidRDefault="006C17CB">
      <w:pPr>
        <w:pStyle w:val="BodyText"/>
        <w:spacing w:before="11"/>
        <w:rPr>
          <w:rFonts w:ascii="Montserrat"/>
          <w:b/>
          <w:sz w:val="10"/>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6508"/>
        <w:gridCol w:w="1044"/>
        <w:gridCol w:w="1042"/>
        <w:gridCol w:w="1048"/>
      </w:tblGrid>
      <w:tr w:rsidR="006C17CB">
        <w:trPr>
          <w:trHeight w:val="396"/>
        </w:trPr>
        <w:tc>
          <w:tcPr>
            <w:tcW w:w="6508"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Service</w:t>
            </w:r>
          </w:p>
        </w:tc>
        <w:tc>
          <w:tcPr>
            <w:tcW w:w="1044" w:type="dxa"/>
            <w:tcBorders>
              <w:top w:val="nil"/>
              <w:bottom w:val="nil"/>
            </w:tcBorders>
            <w:shd w:val="clear" w:color="auto" w:fill="89A7D7"/>
          </w:tcPr>
          <w:p w:rsidR="006C17CB" w:rsidRDefault="0030091C">
            <w:pPr>
              <w:pStyle w:val="TableParagraph"/>
              <w:spacing w:before="72"/>
              <w:ind w:right="66"/>
              <w:rPr>
                <w:b/>
                <w:sz w:val="18"/>
              </w:rPr>
            </w:pPr>
            <w:r>
              <w:rPr>
                <w:b/>
                <w:sz w:val="18"/>
              </w:rPr>
              <w:t>2015-2016</w:t>
            </w:r>
          </w:p>
        </w:tc>
        <w:tc>
          <w:tcPr>
            <w:tcW w:w="1042" w:type="dxa"/>
            <w:tcBorders>
              <w:top w:val="nil"/>
              <w:bottom w:val="nil"/>
            </w:tcBorders>
            <w:shd w:val="clear" w:color="auto" w:fill="89A7D7"/>
          </w:tcPr>
          <w:p w:rsidR="006C17CB" w:rsidRDefault="0030091C">
            <w:pPr>
              <w:pStyle w:val="TableParagraph"/>
              <w:spacing w:before="72"/>
              <w:ind w:right="65"/>
              <w:rPr>
                <w:b/>
                <w:sz w:val="18"/>
              </w:rPr>
            </w:pPr>
            <w:r>
              <w:rPr>
                <w:b/>
                <w:sz w:val="18"/>
              </w:rPr>
              <w:t>2016-2017</w:t>
            </w:r>
          </w:p>
        </w:tc>
        <w:tc>
          <w:tcPr>
            <w:tcW w:w="1048" w:type="dxa"/>
            <w:tcBorders>
              <w:top w:val="nil"/>
              <w:bottom w:val="nil"/>
              <w:right w:val="nil"/>
            </w:tcBorders>
            <w:shd w:val="clear" w:color="auto" w:fill="89A7D7"/>
          </w:tcPr>
          <w:p w:rsidR="006C17CB" w:rsidRDefault="0030091C">
            <w:pPr>
              <w:pStyle w:val="TableParagraph"/>
              <w:spacing w:before="72"/>
              <w:ind w:right="74"/>
              <w:rPr>
                <w:b/>
                <w:sz w:val="18"/>
              </w:rPr>
            </w:pPr>
            <w:r>
              <w:rPr>
                <w:b/>
                <w:sz w:val="18"/>
              </w:rPr>
              <w:t>2017-2018</w:t>
            </w:r>
          </w:p>
        </w:tc>
      </w:tr>
      <w:tr w:rsidR="006C17CB">
        <w:trPr>
          <w:trHeight w:val="386"/>
        </w:trPr>
        <w:tc>
          <w:tcPr>
            <w:tcW w:w="6508"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publications catalogued</w:t>
            </w:r>
          </w:p>
        </w:tc>
        <w:tc>
          <w:tcPr>
            <w:tcW w:w="1044"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260</w:t>
            </w:r>
          </w:p>
        </w:tc>
        <w:tc>
          <w:tcPr>
            <w:tcW w:w="1042"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0"/>
              <w:rPr>
                <w:sz w:val="18"/>
              </w:rPr>
            </w:pPr>
            <w:r>
              <w:rPr>
                <w:sz w:val="18"/>
              </w:rPr>
              <w:t>377</w:t>
            </w:r>
          </w:p>
        </w:tc>
        <w:tc>
          <w:tcPr>
            <w:tcW w:w="1048" w:type="dxa"/>
            <w:tcBorders>
              <w:top w:val="nil"/>
              <w:left w:val="single" w:sz="4" w:space="0" w:color="DADADA"/>
              <w:bottom w:val="single" w:sz="4" w:space="0" w:color="000000"/>
              <w:right w:val="nil"/>
            </w:tcBorders>
          </w:tcPr>
          <w:p w:rsidR="006C17CB" w:rsidRDefault="0030091C">
            <w:pPr>
              <w:pStyle w:val="TableParagraph"/>
              <w:spacing w:before="50"/>
              <w:ind w:right="74"/>
              <w:rPr>
                <w:sz w:val="18"/>
              </w:rPr>
            </w:pPr>
            <w:r>
              <w:rPr>
                <w:sz w:val="18"/>
              </w:rPr>
              <w:t>617</w:t>
            </w:r>
          </w:p>
        </w:tc>
      </w:tr>
      <w:tr w:rsidR="006C17CB">
        <w:trPr>
          <w:trHeight w:val="386"/>
        </w:trPr>
        <w:tc>
          <w:tcPr>
            <w:tcW w:w="6508"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journals received from publishers</w:t>
            </w:r>
          </w:p>
        </w:tc>
        <w:tc>
          <w:tcPr>
            <w:tcW w:w="104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113</w:t>
            </w:r>
          </w:p>
        </w:tc>
        <w:tc>
          <w:tcPr>
            <w:tcW w:w="104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0"/>
              <w:rPr>
                <w:sz w:val="18"/>
              </w:rPr>
            </w:pPr>
            <w:r>
              <w:rPr>
                <w:sz w:val="18"/>
              </w:rPr>
              <w:t>102</w:t>
            </w:r>
          </w:p>
        </w:tc>
        <w:tc>
          <w:tcPr>
            <w:tcW w:w="1048"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4"/>
              <w:rPr>
                <w:sz w:val="18"/>
              </w:rPr>
            </w:pPr>
            <w:r>
              <w:rPr>
                <w:sz w:val="18"/>
              </w:rPr>
              <w:t>74</w:t>
            </w:r>
          </w:p>
        </w:tc>
      </w:tr>
      <w:tr w:rsidR="006C17CB">
        <w:trPr>
          <w:trHeight w:val="386"/>
        </w:trPr>
        <w:tc>
          <w:tcPr>
            <w:tcW w:w="6508"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interlibrary loan requests</w:t>
            </w:r>
          </w:p>
        </w:tc>
        <w:tc>
          <w:tcPr>
            <w:tcW w:w="104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78</w:t>
            </w:r>
          </w:p>
        </w:tc>
        <w:tc>
          <w:tcPr>
            <w:tcW w:w="1042"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0"/>
              <w:rPr>
                <w:sz w:val="18"/>
              </w:rPr>
            </w:pPr>
            <w:r>
              <w:rPr>
                <w:sz w:val="18"/>
              </w:rPr>
              <w:t>61</w:t>
            </w:r>
          </w:p>
        </w:tc>
        <w:tc>
          <w:tcPr>
            <w:tcW w:w="1048"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4"/>
              <w:rPr>
                <w:sz w:val="18"/>
              </w:rPr>
            </w:pPr>
            <w:r>
              <w:rPr>
                <w:sz w:val="18"/>
              </w:rPr>
              <w:t>55</w:t>
            </w:r>
          </w:p>
        </w:tc>
      </w:tr>
    </w:tbl>
    <w:p w:rsidR="006C17CB" w:rsidRDefault="0030091C">
      <w:pPr>
        <w:spacing w:before="308"/>
        <w:ind w:left="153"/>
        <w:rPr>
          <w:rFonts w:ascii="Montserrat"/>
          <w:b/>
          <w:sz w:val="24"/>
        </w:rPr>
      </w:pPr>
      <w:r>
        <w:rPr>
          <w:rFonts w:ascii="Montserrat"/>
          <w:b/>
          <w:color w:val="556EAA"/>
          <w:sz w:val="24"/>
        </w:rPr>
        <w:t>Reference and information services</w:t>
      </w:r>
    </w:p>
    <w:p w:rsidR="006C17CB" w:rsidRDefault="006C17CB">
      <w:pPr>
        <w:pStyle w:val="BodyText"/>
        <w:spacing w:before="11"/>
        <w:rPr>
          <w:rFonts w:ascii="Montserrat"/>
          <w:b/>
          <w:sz w:val="10"/>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6565"/>
        <w:gridCol w:w="1043"/>
        <w:gridCol w:w="1020"/>
        <w:gridCol w:w="1015"/>
      </w:tblGrid>
      <w:tr w:rsidR="006C17CB">
        <w:trPr>
          <w:trHeight w:val="396"/>
        </w:trPr>
        <w:tc>
          <w:tcPr>
            <w:tcW w:w="6565"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Service</w:t>
            </w:r>
          </w:p>
        </w:tc>
        <w:tc>
          <w:tcPr>
            <w:tcW w:w="1043" w:type="dxa"/>
            <w:tcBorders>
              <w:top w:val="nil"/>
              <w:bottom w:val="nil"/>
            </w:tcBorders>
            <w:shd w:val="clear" w:color="auto" w:fill="89A7D7"/>
          </w:tcPr>
          <w:p w:rsidR="006C17CB" w:rsidRDefault="0030091C">
            <w:pPr>
              <w:pStyle w:val="TableParagraph"/>
              <w:spacing w:before="72"/>
              <w:ind w:right="67"/>
              <w:rPr>
                <w:b/>
                <w:sz w:val="18"/>
              </w:rPr>
            </w:pPr>
            <w:r>
              <w:rPr>
                <w:b/>
                <w:sz w:val="18"/>
              </w:rPr>
              <w:t>2015-2016</w:t>
            </w:r>
          </w:p>
        </w:tc>
        <w:tc>
          <w:tcPr>
            <w:tcW w:w="1020" w:type="dxa"/>
            <w:tcBorders>
              <w:top w:val="nil"/>
              <w:bottom w:val="nil"/>
            </w:tcBorders>
            <w:shd w:val="clear" w:color="auto" w:fill="89A7D7"/>
          </w:tcPr>
          <w:p w:rsidR="006C17CB" w:rsidRDefault="0030091C">
            <w:pPr>
              <w:pStyle w:val="TableParagraph"/>
              <w:spacing w:before="72"/>
              <w:ind w:right="67"/>
              <w:rPr>
                <w:b/>
                <w:sz w:val="18"/>
              </w:rPr>
            </w:pPr>
            <w:r>
              <w:rPr>
                <w:b/>
                <w:sz w:val="18"/>
              </w:rPr>
              <w:t>2016-2017</w:t>
            </w:r>
          </w:p>
        </w:tc>
        <w:tc>
          <w:tcPr>
            <w:tcW w:w="1015" w:type="dxa"/>
            <w:tcBorders>
              <w:top w:val="nil"/>
              <w:bottom w:val="nil"/>
              <w:right w:val="nil"/>
            </w:tcBorders>
            <w:shd w:val="clear" w:color="auto" w:fill="89A7D7"/>
          </w:tcPr>
          <w:p w:rsidR="006C17CB" w:rsidRDefault="0030091C">
            <w:pPr>
              <w:pStyle w:val="TableParagraph"/>
              <w:spacing w:before="72"/>
              <w:ind w:right="76"/>
              <w:rPr>
                <w:b/>
                <w:sz w:val="18"/>
              </w:rPr>
            </w:pPr>
            <w:r>
              <w:rPr>
                <w:b/>
                <w:sz w:val="18"/>
              </w:rPr>
              <w:t>2017-2018</w:t>
            </w:r>
          </w:p>
        </w:tc>
      </w:tr>
      <w:tr w:rsidR="006C17CB">
        <w:trPr>
          <w:trHeight w:val="386"/>
        </w:trPr>
        <w:tc>
          <w:tcPr>
            <w:tcW w:w="6565"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reference requests for information—Assembly clients</w:t>
            </w:r>
          </w:p>
        </w:tc>
        <w:tc>
          <w:tcPr>
            <w:tcW w:w="1043"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242</w:t>
            </w:r>
          </w:p>
        </w:tc>
        <w:tc>
          <w:tcPr>
            <w:tcW w:w="1020"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176</w:t>
            </w:r>
          </w:p>
        </w:tc>
        <w:tc>
          <w:tcPr>
            <w:tcW w:w="1015" w:type="dxa"/>
            <w:tcBorders>
              <w:top w:val="nil"/>
              <w:left w:val="single" w:sz="4" w:space="0" w:color="DADADA"/>
              <w:bottom w:val="single" w:sz="4" w:space="0" w:color="000000"/>
              <w:right w:val="nil"/>
            </w:tcBorders>
          </w:tcPr>
          <w:p w:rsidR="006C17CB" w:rsidRDefault="0030091C">
            <w:pPr>
              <w:pStyle w:val="TableParagraph"/>
              <w:spacing w:before="50"/>
              <w:ind w:right="76"/>
              <w:rPr>
                <w:sz w:val="18"/>
              </w:rPr>
            </w:pPr>
            <w:r>
              <w:rPr>
                <w:sz w:val="18"/>
              </w:rPr>
              <w:t>222</w:t>
            </w:r>
          </w:p>
        </w:tc>
      </w:tr>
      <w:tr w:rsidR="006C17CB">
        <w:trPr>
          <w:trHeight w:val="386"/>
        </w:trPr>
        <w:tc>
          <w:tcPr>
            <w:tcW w:w="6565"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reference requests for information—ACT government clients</w:t>
            </w:r>
          </w:p>
        </w:tc>
        <w:tc>
          <w:tcPr>
            <w:tcW w:w="104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78</w:t>
            </w:r>
          </w:p>
        </w:tc>
        <w:tc>
          <w:tcPr>
            <w:tcW w:w="102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51</w:t>
            </w:r>
          </w:p>
        </w:tc>
        <w:tc>
          <w:tcPr>
            <w:tcW w:w="1015"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66</w:t>
            </w:r>
          </w:p>
        </w:tc>
      </w:tr>
      <w:tr w:rsidR="006C17CB">
        <w:trPr>
          <w:trHeight w:val="386"/>
        </w:trPr>
        <w:tc>
          <w:tcPr>
            <w:tcW w:w="6565"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Number of reference requests for information—other clients</w:t>
            </w:r>
          </w:p>
        </w:tc>
        <w:tc>
          <w:tcPr>
            <w:tcW w:w="104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56</w:t>
            </w:r>
          </w:p>
        </w:tc>
        <w:tc>
          <w:tcPr>
            <w:tcW w:w="102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39</w:t>
            </w:r>
          </w:p>
        </w:tc>
        <w:tc>
          <w:tcPr>
            <w:tcW w:w="1015"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40</w:t>
            </w:r>
          </w:p>
        </w:tc>
      </w:tr>
      <w:tr w:rsidR="006C17CB">
        <w:trPr>
          <w:trHeight w:val="386"/>
        </w:trPr>
        <w:tc>
          <w:tcPr>
            <w:tcW w:w="6565"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Urgent simple inquiry: percentage resolved within one hour (target 90%)</w:t>
            </w:r>
          </w:p>
        </w:tc>
        <w:tc>
          <w:tcPr>
            <w:tcW w:w="104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100%</w:t>
            </w:r>
          </w:p>
        </w:tc>
        <w:tc>
          <w:tcPr>
            <w:tcW w:w="102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100%</w:t>
            </w:r>
          </w:p>
        </w:tc>
        <w:tc>
          <w:tcPr>
            <w:tcW w:w="1015"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91.75%</w:t>
            </w:r>
          </w:p>
        </w:tc>
      </w:tr>
      <w:tr w:rsidR="006C17CB">
        <w:trPr>
          <w:trHeight w:val="386"/>
        </w:trPr>
        <w:tc>
          <w:tcPr>
            <w:tcW w:w="6565"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Simple inquiry: percentage resolved within agreed time frame (target 90%)</w:t>
            </w:r>
          </w:p>
        </w:tc>
        <w:tc>
          <w:tcPr>
            <w:tcW w:w="104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99%</w:t>
            </w:r>
          </w:p>
        </w:tc>
        <w:tc>
          <w:tcPr>
            <w:tcW w:w="102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100%</w:t>
            </w:r>
          </w:p>
        </w:tc>
        <w:tc>
          <w:tcPr>
            <w:tcW w:w="1015"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99.25%</w:t>
            </w:r>
          </w:p>
        </w:tc>
      </w:tr>
      <w:tr w:rsidR="006C17CB">
        <w:trPr>
          <w:trHeight w:val="386"/>
        </w:trPr>
        <w:tc>
          <w:tcPr>
            <w:tcW w:w="6565"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Complex inquiry: percentage resolved within agreed time frame (target 90 per cent)</w:t>
            </w:r>
          </w:p>
        </w:tc>
        <w:tc>
          <w:tcPr>
            <w:tcW w:w="1043"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100%</w:t>
            </w:r>
          </w:p>
        </w:tc>
        <w:tc>
          <w:tcPr>
            <w:tcW w:w="1020"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100%</w:t>
            </w:r>
          </w:p>
        </w:tc>
        <w:tc>
          <w:tcPr>
            <w:tcW w:w="1015"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100%</w:t>
            </w:r>
          </w:p>
        </w:tc>
      </w:tr>
    </w:tbl>
    <w:p w:rsidR="006C17CB" w:rsidRDefault="006C17CB">
      <w:pPr>
        <w:rPr>
          <w:sz w:val="18"/>
        </w:rPr>
        <w:sectPr w:rsidR="006C17CB">
          <w:headerReference w:type="default" r:id="rId105"/>
          <w:pgSz w:w="11910" w:h="16840"/>
          <w:pgMar w:top="1540" w:right="0" w:bottom="740" w:left="980" w:header="1132" w:footer="551" w:gutter="0"/>
          <w:cols w:space="720"/>
        </w:sectPr>
      </w:pPr>
    </w:p>
    <w:p w:rsidR="006C17CB" w:rsidRDefault="006C17CB">
      <w:pPr>
        <w:pStyle w:val="BodyText"/>
        <w:rPr>
          <w:rFonts w:ascii="Montserrat"/>
          <w:b/>
          <w:sz w:val="20"/>
        </w:rPr>
      </w:pPr>
    </w:p>
    <w:p w:rsidR="006C17CB" w:rsidRDefault="006C17CB">
      <w:pPr>
        <w:pStyle w:val="BodyText"/>
        <w:rPr>
          <w:rFonts w:ascii="Montserrat"/>
          <w:b/>
          <w:sz w:val="20"/>
        </w:rPr>
      </w:pPr>
    </w:p>
    <w:p w:rsidR="006C17CB" w:rsidRDefault="006C17CB">
      <w:pPr>
        <w:pStyle w:val="BodyText"/>
        <w:spacing w:before="3"/>
        <w:rPr>
          <w:rFonts w:ascii="Montserrat"/>
          <w:b/>
          <w:sz w:val="26"/>
        </w:rPr>
      </w:pPr>
    </w:p>
    <w:p w:rsidR="006C17CB" w:rsidRDefault="0030091C">
      <w:pPr>
        <w:spacing w:before="146"/>
        <w:ind w:left="153"/>
        <w:rPr>
          <w:rFonts w:ascii="Montserrat"/>
          <w:b/>
          <w:sz w:val="24"/>
        </w:rPr>
      </w:pPr>
      <w:r>
        <w:rPr>
          <w:rFonts w:ascii="Montserrat"/>
          <w:b/>
          <w:color w:val="556EAA"/>
          <w:sz w:val="24"/>
        </w:rPr>
        <w:t>Other services</w:t>
      </w:r>
    </w:p>
    <w:p w:rsidR="006C17CB" w:rsidRDefault="006C17CB">
      <w:pPr>
        <w:pStyle w:val="BodyText"/>
        <w:spacing w:before="11"/>
        <w:rPr>
          <w:rFonts w:ascii="Montserrat"/>
          <w:b/>
          <w:sz w:val="10"/>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5386"/>
        <w:gridCol w:w="1299"/>
        <w:gridCol w:w="1267"/>
        <w:gridCol w:w="1683"/>
      </w:tblGrid>
      <w:tr w:rsidR="006C17CB">
        <w:trPr>
          <w:trHeight w:val="396"/>
        </w:trPr>
        <w:tc>
          <w:tcPr>
            <w:tcW w:w="5386"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Service</w:t>
            </w:r>
          </w:p>
        </w:tc>
        <w:tc>
          <w:tcPr>
            <w:tcW w:w="1299" w:type="dxa"/>
            <w:tcBorders>
              <w:top w:val="nil"/>
              <w:bottom w:val="nil"/>
            </w:tcBorders>
            <w:shd w:val="clear" w:color="auto" w:fill="89A7D7"/>
          </w:tcPr>
          <w:p w:rsidR="006C17CB" w:rsidRDefault="0030091C">
            <w:pPr>
              <w:pStyle w:val="TableParagraph"/>
              <w:spacing w:before="72"/>
              <w:ind w:right="67"/>
              <w:rPr>
                <w:b/>
                <w:sz w:val="18"/>
              </w:rPr>
            </w:pPr>
            <w:r>
              <w:rPr>
                <w:b/>
                <w:sz w:val="18"/>
              </w:rPr>
              <w:t>2015-2016</w:t>
            </w:r>
          </w:p>
        </w:tc>
        <w:tc>
          <w:tcPr>
            <w:tcW w:w="1267" w:type="dxa"/>
            <w:tcBorders>
              <w:top w:val="nil"/>
              <w:bottom w:val="nil"/>
            </w:tcBorders>
            <w:shd w:val="clear" w:color="auto" w:fill="89A7D7"/>
          </w:tcPr>
          <w:p w:rsidR="006C17CB" w:rsidRDefault="0030091C">
            <w:pPr>
              <w:pStyle w:val="TableParagraph"/>
              <w:spacing w:before="72"/>
              <w:ind w:right="67"/>
              <w:rPr>
                <w:b/>
                <w:sz w:val="18"/>
              </w:rPr>
            </w:pPr>
            <w:r>
              <w:rPr>
                <w:b/>
                <w:sz w:val="18"/>
              </w:rPr>
              <w:t>2016-2017</w:t>
            </w:r>
          </w:p>
        </w:tc>
        <w:tc>
          <w:tcPr>
            <w:tcW w:w="1683" w:type="dxa"/>
            <w:tcBorders>
              <w:top w:val="nil"/>
              <w:bottom w:val="nil"/>
              <w:right w:val="nil"/>
            </w:tcBorders>
            <w:shd w:val="clear" w:color="auto" w:fill="89A7D7"/>
          </w:tcPr>
          <w:p w:rsidR="006C17CB" w:rsidRDefault="0030091C">
            <w:pPr>
              <w:pStyle w:val="TableParagraph"/>
              <w:spacing w:before="72"/>
              <w:ind w:right="77"/>
              <w:rPr>
                <w:b/>
                <w:sz w:val="18"/>
              </w:rPr>
            </w:pPr>
            <w:r>
              <w:rPr>
                <w:b/>
                <w:sz w:val="18"/>
              </w:rPr>
              <w:t>2017-2018</w:t>
            </w:r>
          </w:p>
        </w:tc>
      </w:tr>
      <w:tr w:rsidR="006C17CB">
        <w:trPr>
          <w:trHeight w:val="386"/>
        </w:trPr>
        <w:tc>
          <w:tcPr>
            <w:tcW w:w="5386"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Visits to library intranet (visits)</w:t>
            </w:r>
          </w:p>
        </w:tc>
        <w:tc>
          <w:tcPr>
            <w:tcW w:w="1299"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53,816</w:t>
            </w:r>
          </w:p>
        </w:tc>
        <w:tc>
          <w:tcPr>
            <w:tcW w:w="1267"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87,869</w:t>
            </w:r>
          </w:p>
        </w:tc>
        <w:tc>
          <w:tcPr>
            <w:tcW w:w="1683" w:type="dxa"/>
            <w:tcBorders>
              <w:top w:val="nil"/>
              <w:left w:val="single" w:sz="4" w:space="0" w:color="DADADA"/>
              <w:bottom w:val="single" w:sz="4" w:space="0" w:color="000000"/>
              <w:right w:val="nil"/>
            </w:tcBorders>
          </w:tcPr>
          <w:p w:rsidR="006C17CB" w:rsidRDefault="0030091C">
            <w:pPr>
              <w:pStyle w:val="TableParagraph"/>
              <w:spacing w:before="50"/>
              <w:ind w:right="77"/>
              <w:rPr>
                <w:sz w:val="10"/>
              </w:rPr>
            </w:pPr>
            <w:r>
              <w:rPr>
                <w:sz w:val="18"/>
              </w:rPr>
              <w:t>n/a</w:t>
            </w:r>
            <w:r>
              <w:rPr>
                <w:position w:val="6"/>
                <w:sz w:val="10"/>
              </w:rPr>
              <w:t>1</w:t>
            </w:r>
          </w:p>
        </w:tc>
      </w:tr>
      <w:tr w:rsidR="006C17CB">
        <w:trPr>
          <w:trHeight w:val="386"/>
        </w:trPr>
        <w:tc>
          <w:tcPr>
            <w:tcW w:w="538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Visits to library intranet (hits)</w:t>
            </w:r>
          </w:p>
        </w:tc>
        <w:tc>
          <w:tcPr>
            <w:tcW w:w="129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6"/>
              <w:rPr>
                <w:sz w:val="18"/>
              </w:rPr>
            </w:pPr>
            <w:r>
              <w:rPr>
                <w:sz w:val="18"/>
              </w:rPr>
              <w:t>n/a</w:t>
            </w:r>
          </w:p>
        </w:tc>
        <w:tc>
          <w:tcPr>
            <w:tcW w:w="126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6"/>
              <w:rPr>
                <w:sz w:val="18"/>
              </w:rPr>
            </w:pPr>
            <w:r>
              <w:rPr>
                <w:sz w:val="18"/>
              </w:rPr>
              <w:t>n/a</w:t>
            </w:r>
          </w:p>
        </w:tc>
        <w:tc>
          <w:tcPr>
            <w:tcW w:w="168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0"/>
              </w:rPr>
            </w:pPr>
            <w:r>
              <w:rPr>
                <w:sz w:val="18"/>
              </w:rPr>
              <w:t>15,117</w:t>
            </w:r>
            <w:r>
              <w:rPr>
                <w:position w:val="6"/>
                <w:sz w:val="10"/>
              </w:rPr>
              <w:t>1</w:t>
            </w:r>
          </w:p>
        </w:tc>
      </w:tr>
      <w:tr w:rsidR="006C17CB">
        <w:trPr>
          <w:trHeight w:val="386"/>
        </w:trPr>
        <w:tc>
          <w:tcPr>
            <w:tcW w:w="538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TV and radio files accessed by users</w:t>
            </w:r>
          </w:p>
        </w:tc>
        <w:tc>
          <w:tcPr>
            <w:tcW w:w="129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422</w:t>
            </w:r>
          </w:p>
        </w:tc>
        <w:tc>
          <w:tcPr>
            <w:tcW w:w="126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318</w:t>
            </w:r>
          </w:p>
        </w:tc>
        <w:tc>
          <w:tcPr>
            <w:tcW w:w="168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0"/>
              </w:rPr>
            </w:pPr>
            <w:r>
              <w:rPr>
                <w:sz w:val="18"/>
              </w:rPr>
              <w:t>n/a</w:t>
            </w:r>
            <w:r>
              <w:rPr>
                <w:position w:val="6"/>
                <w:sz w:val="10"/>
              </w:rPr>
              <w:t>2</w:t>
            </w:r>
          </w:p>
        </w:tc>
      </w:tr>
      <w:tr w:rsidR="006C17CB">
        <w:trPr>
          <w:trHeight w:val="386"/>
        </w:trPr>
        <w:tc>
          <w:tcPr>
            <w:tcW w:w="538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Interstate press articles accessed by users</w:t>
            </w:r>
          </w:p>
        </w:tc>
        <w:tc>
          <w:tcPr>
            <w:tcW w:w="129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2,411</w:t>
            </w:r>
          </w:p>
        </w:tc>
        <w:tc>
          <w:tcPr>
            <w:tcW w:w="126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3,641</w:t>
            </w:r>
          </w:p>
        </w:tc>
        <w:tc>
          <w:tcPr>
            <w:tcW w:w="168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No longer produced</w:t>
            </w:r>
          </w:p>
        </w:tc>
      </w:tr>
      <w:tr w:rsidR="006C17CB">
        <w:trPr>
          <w:trHeight w:val="386"/>
        </w:trPr>
        <w:tc>
          <w:tcPr>
            <w:tcW w:w="538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Visits to interstate media releases RSS feeds</w:t>
            </w:r>
          </w:p>
        </w:tc>
        <w:tc>
          <w:tcPr>
            <w:tcW w:w="129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31,306</w:t>
            </w:r>
          </w:p>
        </w:tc>
        <w:tc>
          <w:tcPr>
            <w:tcW w:w="126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33,742</w:t>
            </w:r>
          </w:p>
        </w:tc>
        <w:tc>
          <w:tcPr>
            <w:tcW w:w="168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0"/>
              </w:rPr>
            </w:pPr>
            <w:r>
              <w:rPr>
                <w:sz w:val="18"/>
              </w:rPr>
              <w:t>n/a</w:t>
            </w:r>
            <w:r>
              <w:rPr>
                <w:position w:val="6"/>
                <w:sz w:val="10"/>
              </w:rPr>
              <w:t>2</w:t>
            </w:r>
          </w:p>
        </w:tc>
      </w:tr>
      <w:tr w:rsidR="006C17CB">
        <w:trPr>
          <w:trHeight w:val="386"/>
        </w:trPr>
        <w:tc>
          <w:tcPr>
            <w:tcW w:w="538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Visits to current awareness RSS feeds (discontinued April 2017)</w:t>
            </w:r>
          </w:p>
        </w:tc>
        <w:tc>
          <w:tcPr>
            <w:tcW w:w="129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91,203</w:t>
            </w:r>
          </w:p>
        </w:tc>
        <w:tc>
          <w:tcPr>
            <w:tcW w:w="126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2"/>
              <w:rPr>
                <w:sz w:val="18"/>
              </w:rPr>
            </w:pPr>
            <w:r>
              <w:rPr>
                <w:sz w:val="18"/>
              </w:rPr>
              <w:t>49,522</w:t>
            </w:r>
          </w:p>
        </w:tc>
        <w:tc>
          <w:tcPr>
            <w:tcW w:w="168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8"/>
              </w:rPr>
            </w:pPr>
            <w:r>
              <w:rPr>
                <w:sz w:val="18"/>
              </w:rPr>
              <w:t>-</w:t>
            </w:r>
          </w:p>
        </w:tc>
      </w:tr>
      <w:tr w:rsidR="006C17CB">
        <w:trPr>
          <w:trHeight w:val="386"/>
        </w:trPr>
        <w:tc>
          <w:tcPr>
            <w:tcW w:w="538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Visits to current awareness newsletters (commenced April 2017)</w:t>
            </w:r>
          </w:p>
        </w:tc>
        <w:tc>
          <w:tcPr>
            <w:tcW w:w="1299"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6"/>
              <w:rPr>
                <w:sz w:val="18"/>
              </w:rPr>
            </w:pPr>
            <w:r>
              <w:rPr>
                <w:sz w:val="18"/>
              </w:rPr>
              <w:t>n/a</w:t>
            </w:r>
          </w:p>
        </w:tc>
        <w:tc>
          <w:tcPr>
            <w:tcW w:w="1267"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6"/>
              <w:rPr>
                <w:sz w:val="18"/>
              </w:rPr>
            </w:pPr>
            <w:r>
              <w:rPr>
                <w:sz w:val="18"/>
              </w:rPr>
              <w:t>n/a</w:t>
            </w:r>
          </w:p>
        </w:tc>
        <w:tc>
          <w:tcPr>
            <w:tcW w:w="1683"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7"/>
              <w:rPr>
                <w:sz w:val="10"/>
              </w:rPr>
            </w:pPr>
            <w:r>
              <w:rPr>
                <w:sz w:val="18"/>
              </w:rPr>
              <w:t>3,470</w:t>
            </w:r>
            <w:r>
              <w:rPr>
                <w:position w:val="6"/>
                <w:sz w:val="10"/>
              </w:rPr>
              <w:t>3</w:t>
            </w:r>
          </w:p>
        </w:tc>
      </w:tr>
    </w:tbl>
    <w:p w:rsidR="006C17CB" w:rsidRDefault="006C17CB">
      <w:pPr>
        <w:pStyle w:val="BodyText"/>
        <w:rPr>
          <w:rFonts w:ascii="Montserrat"/>
          <w:b/>
          <w:sz w:val="29"/>
        </w:rPr>
      </w:pPr>
    </w:p>
    <w:p w:rsidR="006C17CB" w:rsidRDefault="0030091C">
      <w:pPr>
        <w:pStyle w:val="ListParagraph"/>
        <w:numPr>
          <w:ilvl w:val="0"/>
          <w:numId w:val="21"/>
        </w:numPr>
        <w:tabs>
          <w:tab w:val="left" w:pos="324"/>
        </w:tabs>
        <w:spacing w:line="184" w:lineRule="auto"/>
        <w:ind w:right="1638" w:hanging="170"/>
        <w:rPr>
          <w:rFonts w:ascii="Calibri"/>
          <w:sz w:val="18"/>
        </w:rPr>
      </w:pPr>
      <w:r>
        <w:rPr>
          <w:rFonts w:ascii="Calibri"/>
          <w:sz w:val="18"/>
        </w:rPr>
        <w:t>In</w:t>
      </w:r>
      <w:r>
        <w:rPr>
          <w:rFonts w:ascii="Calibri"/>
          <w:spacing w:val="-4"/>
          <w:sz w:val="18"/>
        </w:rPr>
        <w:t xml:space="preserve"> </w:t>
      </w:r>
      <w:r>
        <w:rPr>
          <w:rFonts w:ascii="Calibri"/>
          <w:sz w:val="18"/>
        </w:rPr>
        <w:t>July</w:t>
      </w:r>
      <w:r>
        <w:rPr>
          <w:rFonts w:ascii="Calibri"/>
          <w:spacing w:val="-4"/>
          <w:sz w:val="18"/>
        </w:rPr>
        <w:t xml:space="preserve"> </w:t>
      </w:r>
      <w:r>
        <w:rPr>
          <w:rFonts w:ascii="Calibri"/>
          <w:sz w:val="18"/>
        </w:rPr>
        <w:t>2017,</w:t>
      </w:r>
      <w:r>
        <w:rPr>
          <w:rFonts w:ascii="Calibri"/>
          <w:spacing w:val="-4"/>
          <w:sz w:val="18"/>
        </w:rPr>
        <w:t xml:space="preserve"> </w:t>
      </w:r>
      <w:r>
        <w:rPr>
          <w:rFonts w:ascii="Calibri"/>
          <w:sz w:val="18"/>
        </w:rPr>
        <w:t>the</w:t>
      </w:r>
      <w:r>
        <w:rPr>
          <w:rFonts w:ascii="Calibri"/>
          <w:spacing w:val="-4"/>
          <w:sz w:val="18"/>
        </w:rPr>
        <w:t xml:space="preserve"> </w:t>
      </w:r>
      <w:r>
        <w:rPr>
          <w:rFonts w:ascii="Calibri"/>
          <w:sz w:val="18"/>
        </w:rPr>
        <w:t>library</w:t>
      </w:r>
      <w:r>
        <w:rPr>
          <w:rFonts w:ascii="Calibri"/>
          <w:spacing w:val="-4"/>
          <w:sz w:val="18"/>
        </w:rPr>
        <w:t xml:space="preserve"> </w:t>
      </w:r>
      <w:r>
        <w:rPr>
          <w:rFonts w:ascii="Calibri"/>
          <w:sz w:val="18"/>
        </w:rPr>
        <w:t>changed</w:t>
      </w:r>
      <w:r>
        <w:rPr>
          <w:rFonts w:ascii="Calibri"/>
          <w:spacing w:val="-4"/>
          <w:sz w:val="18"/>
        </w:rPr>
        <w:t xml:space="preserve"> </w:t>
      </w:r>
      <w:r>
        <w:rPr>
          <w:rFonts w:ascii="Calibri"/>
          <w:sz w:val="18"/>
        </w:rPr>
        <w:t>intranet</w:t>
      </w:r>
      <w:r>
        <w:rPr>
          <w:rFonts w:ascii="Calibri"/>
          <w:spacing w:val="-4"/>
          <w:sz w:val="18"/>
        </w:rPr>
        <w:t xml:space="preserve"> </w:t>
      </w:r>
      <w:r>
        <w:rPr>
          <w:rFonts w:ascii="Calibri"/>
          <w:sz w:val="18"/>
        </w:rPr>
        <w:t>content</w:t>
      </w:r>
      <w:r>
        <w:rPr>
          <w:rFonts w:ascii="Calibri"/>
          <w:spacing w:val="-4"/>
          <w:sz w:val="18"/>
        </w:rPr>
        <w:t xml:space="preserve"> </w:t>
      </w:r>
      <w:r>
        <w:rPr>
          <w:rFonts w:ascii="Calibri"/>
          <w:sz w:val="18"/>
        </w:rPr>
        <w:t>management</w:t>
      </w:r>
      <w:r>
        <w:rPr>
          <w:rFonts w:ascii="Calibri"/>
          <w:spacing w:val="-4"/>
          <w:sz w:val="18"/>
        </w:rPr>
        <w:t xml:space="preserve"> </w:t>
      </w:r>
      <w:r>
        <w:rPr>
          <w:rFonts w:ascii="Calibri"/>
          <w:sz w:val="18"/>
        </w:rPr>
        <w:t>systems.</w:t>
      </w:r>
      <w:r>
        <w:rPr>
          <w:rFonts w:ascii="Calibri"/>
          <w:spacing w:val="-4"/>
          <w:sz w:val="18"/>
        </w:rPr>
        <w:t xml:space="preserve"> </w:t>
      </w:r>
      <w:r>
        <w:rPr>
          <w:rFonts w:ascii="Calibri"/>
          <w:sz w:val="18"/>
        </w:rPr>
        <w:t>The</w:t>
      </w:r>
      <w:r>
        <w:rPr>
          <w:rFonts w:ascii="Calibri"/>
          <w:spacing w:val="-5"/>
          <w:sz w:val="18"/>
        </w:rPr>
        <w:t xml:space="preserve"> </w:t>
      </w:r>
      <w:r>
        <w:rPr>
          <w:rFonts w:ascii="Calibri"/>
          <w:sz w:val="18"/>
        </w:rPr>
        <w:t>previous</w:t>
      </w:r>
      <w:r>
        <w:rPr>
          <w:rFonts w:ascii="Calibri"/>
          <w:spacing w:val="-4"/>
          <w:sz w:val="18"/>
        </w:rPr>
        <w:t xml:space="preserve"> </w:t>
      </w:r>
      <w:r>
        <w:rPr>
          <w:rFonts w:ascii="Calibri"/>
          <w:sz w:val="18"/>
        </w:rPr>
        <w:t>system,</w:t>
      </w:r>
      <w:r>
        <w:rPr>
          <w:rFonts w:ascii="Calibri"/>
          <w:spacing w:val="-4"/>
          <w:sz w:val="18"/>
        </w:rPr>
        <w:t xml:space="preserve"> </w:t>
      </w:r>
      <w:r>
        <w:rPr>
          <w:rFonts w:ascii="Calibri"/>
          <w:sz w:val="18"/>
        </w:rPr>
        <w:t>Squiz,</w:t>
      </w:r>
      <w:r>
        <w:rPr>
          <w:rFonts w:ascii="Calibri"/>
          <w:spacing w:val="-5"/>
          <w:sz w:val="18"/>
        </w:rPr>
        <w:t xml:space="preserve"> </w:t>
      </w:r>
      <w:r>
        <w:rPr>
          <w:rFonts w:ascii="Calibri"/>
          <w:sz w:val="18"/>
        </w:rPr>
        <w:t>measured</w:t>
      </w:r>
      <w:r>
        <w:rPr>
          <w:rFonts w:ascii="Calibri"/>
          <w:spacing w:val="-4"/>
          <w:sz w:val="18"/>
        </w:rPr>
        <w:t xml:space="preserve"> </w:t>
      </w:r>
      <w:r>
        <w:rPr>
          <w:rFonts w:ascii="Calibri"/>
          <w:sz w:val="18"/>
        </w:rPr>
        <w:t>visits</w:t>
      </w:r>
      <w:r>
        <w:rPr>
          <w:rFonts w:ascii="Calibri"/>
          <w:spacing w:val="-4"/>
          <w:sz w:val="18"/>
        </w:rPr>
        <w:t xml:space="preserve"> </w:t>
      </w:r>
      <w:r>
        <w:rPr>
          <w:rFonts w:ascii="Calibri"/>
          <w:sz w:val="18"/>
        </w:rPr>
        <w:t>to</w:t>
      </w:r>
      <w:r>
        <w:rPr>
          <w:rFonts w:ascii="Calibri"/>
          <w:spacing w:val="-5"/>
          <w:sz w:val="18"/>
        </w:rPr>
        <w:t xml:space="preserve"> </w:t>
      </w:r>
      <w:r>
        <w:rPr>
          <w:rFonts w:ascii="Calibri"/>
          <w:sz w:val="18"/>
        </w:rPr>
        <w:t>the intranet site. The current system, SharePoint, measures hits to the intranet</w:t>
      </w:r>
      <w:r>
        <w:rPr>
          <w:rFonts w:ascii="Calibri"/>
          <w:spacing w:val="-11"/>
          <w:sz w:val="18"/>
        </w:rPr>
        <w:t xml:space="preserve"> </w:t>
      </w:r>
      <w:r>
        <w:rPr>
          <w:rFonts w:ascii="Calibri"/>
          <w:sz w:val="18"/>
        </w:rPr>
        <w:t>site.</w:t>
      </w:r>
    </w:p>
    <w:p w:rsidR="006C17CB" w:rsidRDefault="0030091C">
      <w:pPr>
        <w:pStyle w:val="ListParagraph"/>
        <w:numPr>
          <w:ilvl w:val="0"/>
          <w:numId w:val="21"/>
        </w:numPr>
        <w:tabs>
          <w:tab w:val="left" w:pos="324"/>
        </w:tabs>
        <w:spacing w:before="66" w:line="290" w:lineRule="auto"/>
        <w:ind w:left="153" w:right="1328" w:firstLine="0"/>
        <w:rPr>
          <w:rFonts w:ascii="Calibri"/>
          <w:sz w:val="18"/>
        </w:rPr>
      </w:pPr>
      <w:r>
        <w:rPr>
          <w:rFonts w:ascii="Calibri"/>
          <w:sz w:val="18"/>
        </w:rPr>
        <w:t>This</w:t>
      </w:r>
      <w:r>
        <w:rPr>
          <w:rFonts w:ascii="Calibri"/>
          <w:spacing w:val="-7"/>
          <w:sz w:val="18"/>
        </w:rPr>
        <w:t xml:space="preserve"> </w:t>
      </w:r>
      <w:r>
        <w:rPr>
          <w:rFonts w:ascii="Calibri"/>
          <w:sz w:val="18"/>
        </w:rPr>
        <w:t>service</w:t>
      </w:r>
      <w:r>
        <w:rPr>
          <w:rFonts w:ascii="Calibri"/>
          <w:spacing w:val="-6"/>
          <w:sz w:val="18"/>
        </w:rPr>
        <w:t xml:space="preserve"> </w:t>
      </w:r>
      <w:r>
        <w:rPr>
          <w:rFonts w:ascii="Calibri"/>
          <w:sz w:val="18"/>
        </w:rPr>
        <w:t>is</w:t>
      </w:r>
      <w:r>
        <w:rPr>
          <w:rFonts w:ascii="Calibri"/>
          <w:spacing w:val="-7"/>
          <w:sz w:val="18"/>
        </w:rPr>
        <w:t xml:space="preserve"> </w:t>
      </w:r>
      <w:r>
        <w:rPr>
          <w:rFonts w:ascii="Calibri"/>
          <w:sz w:val="18"/>
        </w:rPr>
        <w:t>still</w:t>
      </w:r>
      <w:r>
        <w:rPr>
          <w:rFonts w:ascii="Calibri"/>
          <w:spacing w:val="-7"/>
          <w:sz w:val="18"/>
        </w:rPr>
        <w:t xml:space="preserve"> </w:t>
      </w:r>
      <w:r>
        <w:rPr>
          <w:rFonts w:ascii="Calibri"/>
          <w:sz w:val="18"/>
        </w:rPr>
        <w:t>provided,</w:t>
      </w:r>
      <w:r>
        <w:rPr>
          <w:rFonts w:ascii="Calibri"/>
          <w:spacing w:val="-6"/>
          <w:sz w:val="18"/>
        </w:rPr>
        <w:t xml:space="preserve"> </w:t>
      </w:r>
      <w:r>
        <w:rPr>
          <w:rFonts w:ascii="Calibri"/>
          <w:sz w:val="18"/>
        </w:rPr>
        <w:t>but</w:t>
      </w:r>
      <w:r>
        <w:rPr>
          <w:rFonts w:ascii="Calibri"/>
          <w:spacing w:val="-7"/>
          <w:sz w:val="18"/>
        </w:rPr>
        <w:t xml:space="preserve"> </w:t>
      </w:r>
      <w:r>
        <w:rPr>
          <w:rFonts w:ascii="Calibri"/>
          <w:sz w:val="18"/>
        </w:rPr>
        <w:t>statistics</w:t>
      </w:r>
      <w:r>
        <w:rPr>
          <w:rFonts w:ascii="Calibri"/>
          <w:spacing w:val="-7"/>
          <w:sz w:val="18"/>
        </w:rPr>
        <w:t xml:space="preserve"> </w:t>
      </w:r>
      <w:r>
        <w:rPr>
          <w:rFonts w:ascii="Calibri"/>
          <w:sz w:val="18"/>
        </w:rPr>
        <w:t>are</w:t>
      </w:r>
      <w:r>
        <w:rPr>
          <w:rFonts w:ascii="Calibri"/>
          <w:spacing w:val="-6"/>
          <w:sz w:val="18"/>
        </w:rPr>
        <w:t xml:space="preserve"> </w:t>
      </w:r>
      <w:r>
        <w:rPr>
          <w:rFonts w:ascii="Calibri"/>
          <w:sz w:val="18"/>
        </w:rPr>
        <w:t>not</w:t>
      </w:r>
      <w:r>
        <w:rPr>
          <w:rFonts w:ascii="Calibri"/>
          <w:spacing w:val="-7"/>
          <w:sz w:val="18"/>
        </w:rPr>
        <w:t xml:space="preserve"> </w:t>
      </w:r>
      <w:r>
        <w:rPr>
          <w:rFonts w:ascii="Calibri"/>
          <w:sz w:val="18"/>
        </w:rPr>
        <w:t>available</w:t>
      </w:r>
      <w:r>
        <w:rPr>
          <w:rFonts w:ascii="Calibri"/>
          <w:spacing w:val="-7"/>
          <w:sz w:val="18"/>
        </w:rPr>
        <w:t xml:space="preserve"> </w:t>
      </w:r>
      <w:r>
        <w:rPr>
          <w:rFonts w:ascii="Calibri"/>
          <w:sz w:val="18"/>
        </w:rPr>
        <w:t>through</w:t>
      </w:r>
      <w:r>
        <w:rPr>
          <w:rFonts w:ascii="Calibri"/>
          <w:spacing w:val="-7"/>
          <w:sz w:val="18"/>
        </w:rPr>
        <w:t xml:space="preserve"> </w:t>
      </w:r>
      <w:r>
        <w:rPr>
          <w:rFonts w:ascii="Calibri"/>
          <w:sz w:val="18"/>
        </w:rPr>
        <w:t>the</w:t>
      </w:r>
      <w:r>
        <w:rPr>
          <w:rFonts w:ascii="Calibri"/>
          <w:spacing w:val="-6"/>
          <w:sz w:val="18"/>
        </w:rPr>
        <w:t xml:space="preserve"> </w:t>
      </w:r>
      <w:r>
        <w:rPr>
          <w:rFonts w:ascii="Calibri"/>
          <w:sz w:val="18"/>
        </w:rPr>
        <w:t>new</w:t>
      </w:r>
      <w:r>
        <w:rPr>
          <w:rFonts w:ascii="Calibri"/>
          <w:spacing w:val="-6"/>
          <w:sz w:val="18"/>
        </w:rPr>
        <w:t xml:space="preserve"> </w:t>
      </w:r>
      <w:r>
        <w:rPr>
          <w:rFonts w:ascii="Calibri"/>
          <w:sz w:val="18"/>
        </w:rPr>
        <w:t>intranet</w:t>
      </w:r>
      <w:r>
        <w:rPr>
          <w:rFonts w:ascii="Calibri"/>
          <w:spacing w:val="-6"/>
          <w:sz w:val="18"/>
        </w:rPr>
        <w:t xml:space="preserve"> </w:t>
      </w:r>
      <w:r>
        <w:rPr>
          <w:rFonts w:ascii="Calibri"/>
          <w:sz w:val="18"/>
        </w:rPr>
        <w:t>content</w:t>
      </w:r>
      <w:r>
        <w:rPr>
          <w:rFonts w:ascii="Calibri"/>
          <w:spacing w:val="-6"/>
          <w:sz w:val="18"/>
        </w:rPr>
        <w:t xml:space="preserve"> </w:t>
      </w:r>
      <w:r>
        <w:rPr>
          <w:rFonts w:ascii="Calibri"/>
          <w:sz w:val="18"/>
        </w:rPr>
        <w:t>management</w:t>
      </w:r>
      <w:r>
        <w:rPr>
          <w:rFonts w:ascii="Calibri"/>
          <w:spacing w:val="-6"/>
          <w:sz w:val="18"/>
        </w:rPr>
        <w:t xml:space="preserve"> </w:t>
      </w:r>
      <w:r>
        <w:rPr>
          <w:rFonts w:ascii="Calibri"/>
          <w:sz w:val="18"/>
        </w:rPr>
        <w:t>system</w:t>
      </w:r>
      <w:r>
        <w:rPr>
          <w:rFonts w:ascii="Calibri"/>
          <w:spacing w:val="-6"/>
          <w:sz w:val="18"/>
        </w:rPr>
        <w:t xml:space="preserve"> </w:t>
      </w:r>
      <w:r>
        <w:rPr>
          <w:rFonts w:ascii="Calibri"/>
          <w:sz w:val="18"/>
        </w:rPr>
        <w:t xml:space="preserve">(SharePoint). 3 In April 2017, the library changed from subject based RSS feeds to opt-in newsletters. This has changed the </w:t>
      </w:r>
      <w:r>
        <w:rPr>
          <w:rFonts w:ascii="Calibri"/>
          <w:spacing w:val="-3"/>
          <w:sz w:val="18"/>
        </w:rPr>
        <w:t xml:space="preserve">way </w:t>
      </w:r>
      <w:r>
        <w:rPr>
          <w:rFonts w:ascii="Calibri"/>
          <w:sz w:val="18"/>
        </w:rPr>
        <w:t>figures</w:t>
      </w:r>
      <w:r>
        <w:rPr>
          <w:rFonts w:ascii="Calibri"/>
          <w:spacing w:val="-23"/>
          <w:sz w:val="18"/>
        </w:rPr>
        <w:t xml:space="preserve"> </w:t>
      </w:r>
      <w:r>
        <w:rPr>
          <w:rFonts w:ascii="Calibri"/>
          <w:sz w:val="18"/>
        </w:rPr>
        <w:t>are</w:t>
      </w:r>
    </w:p>
    <w:p w:rsidR="006C17CB" w:rsidRDefault="0030091C">
      <w:pPr>
        <w:spacing w:line="145" w:lineRule="exact"/>
        <w:ind w:left="323"/>
        <w:rPr>
          <w:rFonts w:ascii="Calibri"/>
          <w:sz w:val="18"/>
        </w:rPr>
      </w:pPr>
      <w:r>
        <w:rPr>
          <w:rFonts w:ascii="Calibri"/>
          <w:sz w:val="18"/>
        </w:rPr>
        <w:t>collected, compared with previous years.</w:t>
      </w:r>
    </w:p>
    <w:p w:rsidR="006C17CB" w:rsidRDefault="006C17CB">
      <w:pPr>
        <w:spacing w:line="145" w:lineRule="exact"/>
        <w:rPr>
          <w:rFonts w:ascii="Calibri"/>
          <w:sz w:val="18"/>
        </w:rPr>
        <w:sectPr w:rsidR="006C17CB">
          <w:headerReference w:type="even" r:id="rId106"/>
          <w:pgSz w:w="11910" w:h="16840"/>
          <w:pgMar w:top="1580" w:right="0" w:bottom="720" w:left="980" w:header="0" w:footer="523" w:gutter="0"/>
          <w:cols w:space="720"/>
        </w:sect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3"/>
        </w:rPr>
      </w:pPr>
    </w:p>
    <w:p w:rsidR="006C17CB" w:rsidRDefault="0030091C">
      <w:pPr>
        <w:pStyle w:val="BodyText"/>
        <w:spacing w:before="7" w:line="276" w:lineRule="auto"/>
        <w:ind w:left="138" w:right="9190"/>
      </w:pPr>
      <w:bookmarkStart w:id="97" w:name="Appendix_10_–_Members_of_the_Ninth_Assem"/>
      <w:bookmarkStart w:id="98" w:name="_bookmark35"/>
      <w:bookmarkEnd w:id="97"/>
      <w:bookmarkEnd w:id="98"/>
      <w:r>
        <w:t>BARR, Mr Andrew BERRY, Ms Yvette</w:t>
      </w:r>
    </w:p>
    <w:p w:rsidR="006C17CB" w:rsidRDefault="0030091C">
      <w:pPr>
        <w:pStyle w:val="BodyText"/>
        <w:spacing w:line="276" w:lineRule="auto"/>
        <w:ind w:left="138" w:right="3161"/>
      </w:pPr>
      <w:r>
        <w:t>BURCH, Miss Candice (declared elected on 13 December 2017, to fill a casual vacancy) BURCH, Ms Joy</w:t>
      </w:r>
    </w:p>
    <w:p w:rsidR="006C17CB" w:rsidRDefault="0030091C">
      <w:pPr>
        <w:pStyle w:val="BodyText"/>
        <w:spacing w:line="276" w:lineRule="auto"/>
        <w:ind w:left="138" w:right="9190"/>
      </w:pPr>
      <w:r>
        <w:t>CHEYNE, Ms Tara CODY, Ms Bec COE, Mr Alistair</w:t>
      </w:r>
    </w:p>
    <w:p w:rsidR="006C17CB" w:rsidRDefault="0030091C">
      <w:pPr>
        <w:pStyle w:val="BodyText"/>
        <w:spacing w:line="276" w:lineRule="auto"/>
        <w:ind w:left="138" w:right="6260"/>
      </w:pPr>
      <w:r>
        <w:t>DOSZPOT, Mr Steve (deceased 25 November 2017) DUNNE, Mrs Vicki</w:t>
      </w:r>
    </w:p>
    <w:p w:rsidR="006C17CB" w:rsidRDefault="0030091C">
      <w:pPr>
        <w:pStyle w:val="BodyText"/>
        <w:spacing w:line="276" w:lineRule="auto"/>
        <w:ind w:left="138" w:right="8612"/>
      </w:pPr>
      <w:r>
        <w:t>FITZHARRIS, Ms Meegan GENTLEMAN, Mr Mick</w:t>
      </w:r>
    </w:p>
    <w:p w:rsidR="006C17CB" w:rsidRDefault="0030091C">
      <w:pPr>
        <w:pStyle w:val="BodyText"/>
        <w:spacing w:line="276" w:lineRule="auto"/>
        <w:ind w:left="138" w:right="8554"/>
      </w:pPr>
      <w:r>
        <w:t>HANSON, Mr Jeremy CSC JONES, Mrs Giulia KIKKERT, Mrs Elizabeth LAWDER, Ms Nicole</w:t>
      </w:r>
    </w:p>
    <w:p w:rsidR="006C17CB" w:rsidRDefault="0030091C">
      <w:pPr>
        <w:pStyle w:val="BodyText"/>
        <w:spacing w:line="276" w:lineRule="auto"/>
        <w:ind w:left="138" w:right="8511"/>
      </w:pPr>
      <w:r>
        <w:t xml:space="preserve">LE COUTEUR, Ms Caroline LEE, Ms Elizabeth MILLIGAN, Mr James ORR, Ms Suzanne </w:t>
      </w:r>
      <w:r>
        <w:rPr>
          <w:spacing w:val="-3"/>
        </w:rPr>
        <w:t xml:space="preserve">PARTON, </w:t>
      </w:r>
      <w:r>
        <w:t xml:space="preserve">Mr Mark PETTERSSON, Mr Michael </w:t>
      </w:r>
      <w:r>
        <w:rPr>
          <w:spacing w:val="-4"/>
        </w:rPr>
        <w:t xml:space="preserve">RAMSAY, </w:t>
      </w:r>
      <w:r>
        <w:t xml:space="preserve">Mr Gordon </w:t>
      </w:r>
      <w:r>
        <w:rPr>
          <w:spacing w:val="-3"/>
        </w:rPr>
        <w:t xml:space="preserve">RATTENBURY, </w:t>
      </w:r>
      <w:r>
        <w:t>Mr Shane</w:t>
      </w:r>
    </w:p>
    <w:p w:rsidR="006C17CB" w:rsidRDefault="0030091C">
      <w:pPr>
        <w:pStyle w:val="BodyText"/>
        <w:spacing w:line="307" w:lineRule="exact"/>
        <w:ind w:left="138"/>
      </w:pPr>
      <w:r>
        <w:t>STEEL, Mr Chris</w:t>
      </w:r>
    </w:p>
    <w:p w:rsidR="006C17CB" w:rsidRDefault="0030091C">
      <w:pPr>
        <w:pStyle w:val="BodyText"/>
        <w:spacing w:before="27"/>
        <w:ind w:left="138"/>
      </w:pPr>
      <w:r>
        <w:t>STEPHEN-SMITH, Ms Rachel</w:t>
      </w:r>
    </w:p>
    <w:p w:rsidR="006C17CB" w:rsidRDefault="0030091C">
      <w:pPr>
        <w:pStyle w:val="BodyText"/>
        <w:spacing w:before="47"/>
        <w:ind w:left="138"/>
      </w:pPr>
      <w:r>
        <w:t>WALL, Mr Andrew</w:t>
      </w:r>
    </w:p>
    <w:p w:rsidR="006C17CB" w:rsidRDefault="006C17CB">
      <w:pPr>
        <w:sectPr w:rsidR="006C17CB">
          <w:headerReference w:type="even" r:id="rId107"/>
          <w:headerReference w:type="default" r:id="rId108"/>
          <w:footerReference w:type="even" r:id="rId109"/>
          <w:footerReference w:type="default" r:id="rId110"/>
          <w:pgSz w:w="11910" w:h="16840"/>
          <w:pgMar w:top="1540" w:right="0" w:bottom="740" w:left="980" w:header="1132" w:footer="551" w:gutter="0"/>
          <w:pgNumType w:start="71"/>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0"/>
        <w:rPr>
          <w:sz w:val="25"/>
        </w:rPr>
      </w:pPr>
    </w:p>
    <w:tbl>
      <w:tblPr>
        <w:tblW w:w="0" w:type="auto"/>
        <w:tblInd w:w="153" w:type="dxa"/>
        <w:tblLayout w:type="fixed"/>
        <w:tblCellMar>
          <w:left w:w="0" w:type="dxa"/>
          <w:right w:w="0" w:type="dxa"/>
        </w:tblCellMar>
        <w:tblLook w:val="01E0" w:firstRow="1" w:lastRow="1" w:firstColumn="1" w:lastColumn="1" w:noHBand="0" w:noVBand="0"/>
      </w:tblPr>
      <w:tblGrid>
        <w:gridCol w:w="1734"/>
        <w:gridCol w:w="7895"/>
      </w:tblGrid>
      <w:tr w:rsidR="006C17CB">
        <w:trPr>
          <w:trHeight w:val="396"/>
        </w:trPr>
        <w:tc>
          <w:tcPr>
            <w:tcW w:w="1734" w:type="dxa"/>
            <w:shd w:val="clear" w:color="auto" w:fill="89A7D7"/>
          </w:tcPr>
          <w:p w:rsidR="006C17CB" w:rsidRDefault="0030091C">
            <w:pPr>
              <w:pStyle w:val="TableParagraph"/>
              <w:spacing w:before="72"/>
              <w:ind w:left="79"/>
              <w:jc w:val="left"/>
              <w:rPr>
                <w:b/>
                <w:sz w:val="18"/>
              </w:rPr>
            </w:pPr>
            <w:bookmarkStart w:id="99" w:name="Appendix_11_–_Office_holders_of_the_Nint"/>
            <w:bookmarkStart w:id="100" w:name="_bookmark36"/>
            <w:bookmarkEnd w:id="99"/>
            <w:bookmarkEnd w:id="100"/>
            <w:r>
              <w:rPr>
                <w:b/>
                <w:sz w:val="18"/>
              </w:rPr>
              <w:t>Office</w:t>
            </w:r>
          </w:p>
        </w:tc>
        <w:tc>
          <w:tcPr>
            <w:tcW w:w="7895" w:type="dxa"/>
            <w:shd w:val="clear" w:color="auto" w:fill="89A7D7"/>
          </w:tcPr>
          <w:p w:rsidR="006C17CB" w:rsidRDefault="0030091C">
            <w:pPr>
              <w:pStyle w:val="TableParagraph"/>
              <w:spacing w:before="72"/>
              <w:ind w:left="188"/>
              <w:jc w:val="left"/>
              <w:rPr>
                <w:b/>
                <w:sz w:val="18"/>
              </w:rPr>
            </w:pPr>
            <w:r>
              <w:rPr>
                <w:b/>
                <w:sz w:val="18"/>
              </w:rPr>
              <w:t>Holder</w:t>
            </w:r>
          </w:p>
        </w:tc>
      </w:tr>
      <w:tr w:rsidR="006C17CB">
        <w:trPr>
          <w:trHeight w:val="386"/>
        </w:trPr>
        <w:tc>
          <w:tcPr>
            <w:tcW w:w="1734" w:type="dxa"/>
            <w:tcBorders>
              <w:bottom w:val="single" w:sz="4" w:space="0" w:color="000000"/>
            </w:tcBorders>
          </w:tcPr>
          <w:p w:rsidR="006C17CB" w:rsidRDefault="0030091C">
            <w:pPr>
              <w:pStyle w:val="TableParagraph"/>
              <w:spacing w:before="50"/>
              <w:ind w:left="79"/>
              <w:jc w:val="left"/>
              <w:rPr>
                <w:sz w:val="18"/>
              </w:rPr>
            </w:pPr>
            <w:r>
              <w:rPr>
                <w:sz w:val="18"/>
              </w:rPr>
              <w:t>SPEAKER</w:t>
            </w:r>
          </w:p>
        </w:tc>
        <w:tc>
          <w:tcPr>
            <w:tcW w:w="7895" w:type="dxa"/>
            <w:tcBorders>
              <w:bottom w:val="single" w:sz="4" w:space="0" w:color="000000"/>
            </w:tcBorders>
          </w:tcPr>
          <w:p w:rsidR="006C17CB" w:rsidRDefault="0030091C">
            <w:pPr>
              <w:pStyle w:val="TableParagraph"/>
              <w:spacing w:before="50"/>
              <w:ind w:left="188"/>
              <w:jc w:val="left"/>
              <w:rPr>
                <w:sz w:val="18"/>
              </w:rPr>
            </w:pPr>
            <w:r>
              <w:rPr>
                <w:sz w:val="18"/>
              </w:rPr>
              <w:t>Ms Joy Burch</w:t>
            </w:r>
          </w:p>
        </w:tc>
      </w:tr>
      <w:tr w:rsidR="006C17CB">
        <w:trPr>
          <w:trHeight w:val="386"/>
        </w:trPr>
        <w:tc>
          <w:tcPr>
            <w:tcW w:w="1734" w:type="dxa"/>
            <w:tcBorders>
              <w:top w:val="single" w:sz="4" w:space="0" w:color="000000"/>
              <w:bottom w:val="single" w:sz="4" w:space="0" w:color="000000"/>
            </w:tcBorders>
          </w:tcPr>
          <w:p w:rsidR="006C17CB" w:rsidRDefault="0030091C">
            <w:pPr>
              <w:pStyle w:val="TableParagraph"/>
              <w:spacing w:before="50"/>
              <w:ind w:left="79"/>
              <w:jc w:val="left"/>
              <w:rPr>
                <w:sz w:val="18"/>
              </w:rPr>
            </w:pPr>
            <w:r>
              <w:rPr>
                <w:sz w:val="18"/>
              </w:rPr>
              <w:t>DEPUTY SPEAKER</w:t>
            </w:r>
          </w:p>
        </w:tc>
        <w:tc>
          <w:tcPr>
            <w:tcW w:w="7895" w:type="dxa"/>
            <w:tcBorders>
              <w:top w:val="single" w:sz="4" w:space="0" w:color="000000"/>
              <w:bottom w:val="single" w:sz="4" w:space="0" w:color="000000"/>
            </w:tcBorders>
          </w:tcPr>
          <w:p w:rsidR="006C17CB" w:rsidRDefault="0030091C">
            <w:pPr>
              <w:pStyle w:val="TableParagraph"/>
              <w:spacing w:before="50"/>
              <w:ind w:left="188"/>
              <w:jc w:val="left"/>
              <w:rPr>
                <w:sz w:val="10"/>
              </w:rPr>
            </w:pPr>
            <w:r>
              <w:rPr>
                <w:sz w:val="18"/>
              </w:rPr>
              <w:t>Mrs Vicki Dunne</w:t>
            </w:r>
            <w:r>
              <w:rPr>
                <w:position w:val="6"/>
                <w:sz w:val="10"/>
              </w:rPr>
              <w:t>1</w:t>
            </w:r>
          </w:p>
        </w:tc>
      </w:tr>
      <w:tr w:rsidR="006C17CB">
        <w:trPr>
          <w:trHeight w:val="386"/>
        </w:trPr>
        <w:tc>
          <w:tcPr>
            <w:tcW w:w="1734" w:type="dxa"/>
            <w:tcBorders>
              <w:top w:val="single" w:sz="4" w:space="0" w:color="000000"/>
              <w:bottom w:val="single" w:sz="4" w:space="0" w:color="000000"/>
            </w:tcBorders>
          </w:tcPr>
          <w:p w:rsidR="006C17CB" w:rsidRDefault="0030091C">
            <w:pPr>
              <w:pStyle w:val="TableParagraph"/>
              <w:spacing w:before="50"/>
              <w:ind w:left="79"/>
              <w:jc w:val="left"/>
              <w:rPr>
                <w:sz w:val="18"/>
              </w:rPr>
            </w:pPr>
            <w:r>
              <w:rPr>
                <w:sz w:val="18"/>
              </w:rPr>
              <w:t>ASSISTANT SPEAKER</w:t>
            </w:r>
          </w:p>
        </w:tc>
        <w:tc>
          <w:tcPr>
            <w:tcW w:w="7895" w:type="dxa"/>
            <w:tcBorders>
              <w:top w:val="single" w:sz="4" w:space="0" w:color="000000"/>
              <w:bottom w:val="single" w:sz="4" w:space="0" w:color="000000"/>
            </w:tcBorders>
          </w:tcPr>
          <w:p w:rsidR="006C17CB" w:rsidRDefault="0030091C">
            <w:pPr>
              <w:pStyle w:val="TableParagraph"/>
              <w:spacing w:before="50"/>
              <w:ind w:left="188"/>
              <w:jc w:val="left"/>
              <w:rPr>
                <w:sz w:val="10"/>
              </w:rPr>
            </w:pPr>
            <w:r>
              <w:rPr>
                <w:sz w:val="18"/>
              </w:rPr>
              <w:t>Ms Bec Cody</w:t>
            </w:r>
            <w:r>
              <w:rPr>
                <w:position w:val="6"/>
                <w:sz w:val="10"/>
              </w:rPr>
              <w:t>2</w:t>
            </w:r>
          </w:p>
        </w:tc>
      </w:tr>
      <w:tr w:rsidR="006C17CB">
        <w:trPr>
          <w:trHeight w:val="386"/>
        </w:trPr>
        <w:tc>
          <w:tcPr>
            <w:tcW w:w="1734" w:type="dxa"/>
            <w:tcBorders>
              <w:top w:val="single" w:sz="4" w:space="0" w:color="000000"/>
              <w:bottom w:val="single" w:sz="4" w:space="0" w:color="000000"/>
            </w:tcBorders>
          </w:tcPr>
          <w:p w:rsidR="006C17CB" w:rsidRDefault="0030091C">
            <w:pPr>
              <w:pStyle w:val="TableParagraph"/>
              <w:spacing w:before="50"/>
              <w:ind w:left="79"/>
              <w:jc w:val="left"/>
              <w:rPr>
                <w:sz w:val="18"/>
              </w:rPr>
            </w:pPr>
            <w:r>
              <w:rPr>
                <w:sz w:val="18"/>
              </w:rPr>
              <w:t>ASSISTANT SPEAKER</w:t>
            </w:r>
          </w:p>
        </w:tc>
        <w:tc>
          <w:tcPr>
            <w:tcW w:w="7895" w:type="dxa"/>
            <w:tcBorders>
              <w:top w:val="single" w:sz="4" w:space="0" w:color="000000"/>
              <w:bottom w:val="single" w:sz="4" w:space="0" w:color="000000"/>
            </w:tcBorders>
          </w:tcPr>
          <w:p w:rsidR="006C17CB" w:rsidRDefault="0030091C">
            <w:pPr>
              <w:pStyle w:val="TableParagraph"/>
              <w:spacing w:before="50"/>
              <w:ind w:left="188"/>
              <w:jc w:val="left"/>
              <w:rPr>
                <w:sz w:val="10"/>
              </w:rPr>
            </w:pPr>
            <w:r>
              <w:rPr>
                <w:sz w:val="18"/>
              </w:rPr>
              <w:t>Ms Elizabeth Lee</w:t>
            </w:r>
            <w:r>
              <w:rPr>
                <w:position w:val="6"/>
                <w:sz w:val="10"/>
              </w:rPr>
              <w:t>3</w:t>
            </w:r>
          </w:p>
        </w:tc>
      </w:tr>
      <w:tr w:rsidR="006C17CB">
        <w:trPr>
          <w:trHeight w:val="386"/>
        </w:trPr>
        <w:tc>
          <w:tcPr>
            <w:tcW w:w="1734" w:type="dxa"/>
            <w:tcBorders>
              <w:top w:val="single" w:sz="4" w:space="0" w:color="000000"/>
              <w:bottom w:val="single" w:sz="4" w:space="0" w:color="000000"/>
            </w:tcBorders>
          </w:tcPr>
          <w:p w:rsidR="006C17CB" w:rsidRDefault="0030091C">
            <w:pPr>
              <w:pStyle w:val="TableParagraph"/>
              <w:spacing w:before="50"/>
              <w:ind w:left="79"/>
              <w:jc w:val="left"/>
              <w:rPr>
                <w:sz w:val="18"/>
              </w:rPr>
            </w:pPr>
            <w:r>
              <w:rPr>
                <w:sz w:val="18"/>
              </w:rPr>
              <w:t>ASSISTANT SPEAKER</w:t>
            </w:r>
          </w:p>
        </w:tc>
        <w:tc>
          <w:tcPr>
            <w:tcW w:w="7895" w:type="dxa"/>
            <w:tcBorders>
              <w:top w:val="single" w:sz="4" w:space="0" w:color="000000"/>
              <w:bottom w:val="single" w:sz="4" w:space="0" w:color="000000"/>
            </w:tcBorders>
          </w:tcPr>
          <w:p w:rsidR="006C17CB" w:rsidRDefault="0030091C">
            <w:pPr>
              <w:pStyle w:val="TableParagraph"/>
              <w:spacing w:before="50"/>
              <w:ind w:left="188"/>
              <w:jc w:val="left"/>
              <w:rPr>
                <w:sz w:val="10"/>
              </w:rPr>
            </w:pPr>
            <w:r>
              <w:rPr>
                <w:sz w:val="18"/>
              </w:rPr>
              <w:t>Mr Chris Steel</w:t>
            </w:r>
            <w:r>
              <w:rPr>
                <w:position w:val="6"/>
                <w:sz w:val="10"/>
              </w:rPr>
              <w:t>4</w:t>
            </w:r>
          </w:p>
        </w:tc>
      </w:tr>
    </w:tbl>
    <w:p w:rsidR="006C17CB" w:rsidRDefault="006C17CB">
      <w:pPr>
        <w:pStyle w:val="BodyText"/>
        <w:spacing w:before="7"/>
        <w:rPr>
          <w:sz w:val="19"/>
        </w:rPr>
      </w:pPr>
    </w:p>
    <w:p w:rsidR="006C17CB" w:rsidRDefault="0030091C">
      <w:pPr>
        <w:pStyle w:val="ListParagraph"/>
        <w:numPr>
          <w:ilvl w:val="0"/>
          <w:numId w:val="20"/>
        </w:numPr>
        <w:tabs>
          <w:tab w:val="left" w:pos="324"/>
        </w:tabs>
        <w:spacing w:before="25" w:line="230" w:lineRule="exact"/>
        <w:ind w:hanging="170"/>
        <w:rPr>
          <w:rFonts w:ascii="Calibri"/>
          <w:sz w:val="18"/>
        </w:rPr>
      </w:pPr>
      <w:r>
        <w:rPr>
          <w:rFonts w:ascii="Calibri"/>
          <w:sz w:val="18"/>
        </w:rPr>
        <w:t>Acting Speaker 17-20 July 2017, 1 August 2017, 14-18 August 2017, 23-28 September 2017, 1422 October 2017, 15-16</w:t>
      </w:r>
      <w:r>
        <w:rPr>
          <w:rFonts w:ascii="Calibri"/>
          <w:spacing w:val="-13"/>
          <w:sz w:val="18"/>
        </w:rPr>
        <w:t xml:space="preserve"> </w:t>
      </w:r>
      <w:r>
        <w:rPr>
          <w:rFonts w:ascii="Calibri"/>
          <w:sz w:val="18"/>
        </w:rPr>
        <w:t>March</w:t>
      </w:r>
    </w:p>
    <w:p w:rsidR="006C17CB" w:rsidRDefault="0030091C">
      <w:pPr>
        <w:spacing w:line="230" w:lineRule="exact"/>
        <w:ind w:left="323"/>
        <w:rPr>
          <w:rFonts w:ascii="Calibri"/>
          <w:sz w:val="18"/>
        </w:rPr>
      </w:pPr>
      <w:r>
        <w:rPr>
          <w:rFonts w:ascii="Calibri"/>
          <w:sz w:val="18"/>
        </w:rPr>
        <w:t>2018, 30 May-1 June 2018 and 16-27 June 2018.</w:t>
      </w:r>
    </w:p>
    <w:p w:rsidR="006C17CB" w:rsidRDefault="0030091C">
      <w:pPr>
        <w:pStyle w:val="ListParagraph"/>
        <w:numPr>
          <w:ilvl w:val="0"/>
          <w:numId w:val="20"/>
        </w:numPr>
        <w:tabs>
          <w:tab w:val="left" w:pos="324"/>
        </w:tabs>
        <w:spacing w:before="54" w:line="240" w:lineRule="auto"/>
        <w:ind w:hanging="170"/>
        <w:rPr>
          <w:rFonts w:ascii="Calibri"/>
          <w:sz w:val="18"/>
        </w:rPr>
      </w:pPr>
      <w:r>
        <w:rPr>
          <w:rFonts w:ascii="Calibri"/>
          <w:sz w:val="18"/>
        </w:rPr>
        <w:t>Acting Speaker 11-12 January</w:t>
      </w:r>
      <w:r>
        <w:rPr>
          <w:rFonts w:ascii="Calibri"/>
          <w:spacing w:val="-1"/>
          <w:sz w:val="18"/>
        </w:rPr>
        <w:t xml:space="preserve"> </w:t>
      </w:r>
      <w:r>
        <w:rPr>
          <w:rFonts w:ascii="Calibri"/>
          <w:sz w:val="18"/>
        </w:rPr>
        <w:t>2018.</w:t>
      </w:r>
    </w:p>
    <w:p w:rsidR="006C17CB" w:rsidRDefault="0030091C">
      <w:pPr>
        <w:pStyle w:val="ListParagraph"/>
        <w:numPr>
          <w:ilvl w:val="0"/>
          <w:numId w:val="20"/>
        </w:numPr>
        <w:tabs>
          <w:tab w:val="left" w:pos="324"/>
        </w:tabs>
        <w:spacing w:before="53" w:line="240" w:lineRule="auto"/>
        <w:ind w:hanging="170"/>
        <w:rPr>
          <w:rFonts w:ascii="Calibri"/>
          <w:sz w:val="18"/>
        </w:rPr>
      </w:pPr>
      <w:r>
        <w:rPr>
          <w:rFonts w:ascii="Calibri"/>
          <w:sz w:val="18"/>
        </w:rPr>
        <w:t>Acting Speaker 2-3 June</w:t>
      </w:r>
      <w:r>
        <w:rPr>
          <w:rFonts w:ascii="Calibri"/>
          <w:spacing w:val="-1"/>
          <w:sz w:val="18"/>
        </w:rPr>
        <w:t xml:space="preserve"> </w:t>
      </w:r>
      <w:r>
        <w:rPr>
          <w:rFonts w:ascii="Calibri"/>
          <w:sz w:val="18"/>
        </w:rPr>
        <w:t>2018.</w:t>
      </w:r>
    </w:p>
    <w:p w:rsidR="006C17CB" w:rsidRDefault="0030091C">
      <w:pPr>
        <w:pStyle w:val="ListParagraph"/>
        <w:numPr>
          <w:ilvl w:val="0"/>
          <w:numId w:val="20"/>
        </w:numPr>
        <w:tabs>
          <w:tab w:val="left" w:pos="324"/>
        </w:tabs>
        <w:spacing w:before="54" w:line="240" w:lineRule="auto"/>
        <w:ind w:hanging="170"/>
        <w:rPr>
          <w:rFonts w:ascii="Calibri"/>
          <w:sz w:val="18"/>
        </w:rPr>
      </w:pPr>
      <w:r>
        <w:rPr>
          <w:rFonts w:ascii="Calibri"/>
          <w:sz w:val="18"/>
        </w:rPr>
        <w:t>Acting Speaker 8-9 August 2017 and 13-21 January</w:t>
      </w:r>
      <w:r>
        <w:rPr>
          <w:rFonts w:ascii="Calibri"/>
          <w:spacing w:val="-2"/>
          <w:sz w:val="18"/>
        </w:rPr>
        <w:t xml:space="preserve"> </w:t>
      </w:r>
      <w:r>
        <w:rPr>
          <w:rFonts w:ascii="Calibri"/>
          <w:sz w:val="18"/>
        </w:rPr>
        <w:t>2018.</w:t>
      </w:r>
    </w:p>
    <w:p w:rsidR="006C17CB" w:rsidRDefault="006C17CB">
      <w:pPr>
        <w:rPr>
          <w:rFonts w:ascii="Calibri"/>
          <w:sz w:val="18"/>
        </w:rPr>
        <w:sectPr w:rsidR="006C17CB">
          <w:pgSz w:w="11910" w:h="16840"/>
          <w:pgMar w:top="1540" w:right="0" w:bottom="720" w:left="980" w:header="1132" w:footer="523" w:gutter="0"/>
          <w:cols w:space="720"/>
        </w:sect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spacing w:before="5"/>
        <w:rPr>
          <w:rFonts w:ascii="Calibri"/>
          <w:sz w:val="13"/>
        </w:rPr>
      </w:pPr>
    </w:p>
    <w:p w:rsidR="006C17CB" w:rsidRDefault="0030091C">
      <w:pPr>
        <w:pStyle w:val="Heading6"/>
        <w:spacing w:before="146"/>
        <w:ind w:left="153"/>
        <w:rPr>
          <w:rFonts w:ascii="Montserrat"/>
        </w:rPr>
      </w:pPr>
      <w:bookmarkStart w:id="101" w:name="Appendix_12_–_Ministers_as_at_30_June_20"/>
      <w:bookmarkStart w:id="102" w:name="_bookmark37"/>
      <w:bookmarkEnd w:id="101"/>
      <w:bookmarkEnd w:id="102"/>
      <w:r>
        <w:rPr>
          <w:rFonts w:ascii="Montserrat"/>
          <w:color w:val="556EAA"/>
        </w:rPr>
        <w:t>Eighth Barr Ministry</w:t>
      </w:r>
    </w:p>
    <w:p w:rsidR="006C17CB" w:rsidRDefault="006C17CB">
      <w:pPr>
        <w:pStyle w:val="BodyText"/>
        <w:spacing w:before="11"/>
        <w:rPr>
          <w:rFonts w:ascii="Montserrat"/>
          <w:b/>
          <w:sz w:val="10"/>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1857"/>
        <w:gridCol w:w="7771"/>
      </w:tblGrid>
      <w:tr w:rsidR="006C17CB">
        <w:trPr>
          <w:trHeight w:val="396"/>
        </w:trPr>
        <w:tc>
          <w:tcPr>
            <w:tcW w:w="1857"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Minister</w:t>
            </w:r>
          </w:p>
        </w:tc>
        <w:tc>
          <w:tcPr>
            <w:tcW w:w="7771" w:type="dxa"/>
            <w:tcBorders>
              <w:top w:val="nil"/>
              <w:bottom w:val="nil"/>
              <w:right w:val="nil"/>
            </w:tcBorders>
            <w:shd w:val="clear" w:color="auto" w:fill="89A7D7"/>
          </w:tcPr>
          <w:p w:rsidR="006C17CB" w:rsidRDefault="0030091C">
            <w:pPr>
              <w:pStyle w:val="TableParagraph"/>
              <w:spacing w:before="72"/>
              <w:ind w:left="69"/>
              <w:jc w:val="left"/>
              <w:rPr>
                <w:b/>
                <w:sz w:val="18"/>
              </w:rPr>
            </w:pPr>
            <w:r>
              <w:rPr>
                <w:b/>
                <w:sz w:val="18"/>
              </w:rPr>
              <w:t>Ministry</w:t>
            </w:r>
          </w:p>
        </w:tc>
      </w:tr>
      <w:tr w:rsidR="006C17CB">
        <w:trPr>
          <w:trHeight w:val="1010"/>
        </w:trPr>
        <w:tc>
          <w:tcPr>
            <w:tcW w:w="1857" w:type="dxa"/>
            <w:tcBorders>
              <w:top w:val="nil"/>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Andrew Barr</w:t>
            </w:r>
          </w:p>
        </w:tc>
        <w:tc>
          <w:tcPr>
            <w:tcW w:w="7771" w:type="dxa"/>
            <w:tcBorders>
              <w:top w:val="nil"/>
              <w:left w:val="single" w:sz="4" w:space="0" w:color="DADADA"/>
              <w:bottom w:val="single" w:sz="4" w:space="0" w:color="000000"/>
              <w:right w:val="nil"/>
            </w:tcBorders>
          </w:tcPr>
          <w:p w:rsidR="006C17CB" w:rsidRDefault="0030091C">
            <w:pPr>
              <w:pStyle w:val="TableParagraph"/>
              <w:spacing w:before="30" w:line="204" w:lineRule="auto"/>
              <w:ind w:left="74" w:right="5974"/>
              <w:jc w:val="left"/>
              <w:rPr>
                <w:sz w:val="18"/>
              </w:rPr>
            </w:pPr>
            <w:r>
              <w:rPr>
                <w:sz w:val="18"/>
              </w:rPr>
              <w:t>Chief Minister Treasurer</w:t>
            </w:r>
          </w:p>
          <w:p w:rsidR="006C17CB" w:rsidRDefault="0030091C">
            <w:pPr>
              <w:pStyle w:val="TableParagraph"/>
              <w:spacing w:line="204" w:lineRule="auto"/>
              <w:ind w:left="74" w:right="4611"/>
              <w:jc w:val="left"/>
              <w:rPr>
                <w:sz w:val="18"/>
              </w:rPr>
            </w:pPr>
            <w:r>
              <w:rPr>
                <w:sz w:val="18"/>
              </w:rPr>
              <w:t>Minister for Economic Development Minister for Tourism and Major Events</w:t>
            </w:r>
          </w:p>
        </w:tc>
      </w:tr>
      <w:tr w:rsidR="006C17CB">
        <w:trPr>
          <w:trHeight w:val="1464"/>
        </w:trPr>
        <w:tc>
          <w:tcPr>
            <w:tcW w:w="1857"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Yvette Berry</w:t>
            </w:r>
          </w:p>
        </w:tc>
        <w:tc>
          <w:tcPr>
            <w:tcW w:w="7771" w:type="dxa"/>
            <w:tcBorders>
              <w:top w:val="single" w:sz="4" w:space="0" w:color="000000"/>
              <w:left w:val="single" w:sz="4" w:space="0" w:color="DADADA"/>
              <w:bottom w:val="single" w:sz="4" w:space="0" w:color="000000"/>
              <w:right w:val="nil"/>
            </w:tcBorders>
          </w:tcPr>
          <w:p w:rsidR="006C17CB" w:rsidRDefault="0030091C">
            <w:pPr>
              <w:pStyle w:val="TableParagraph"/>
              <w:spacing w:line="239" w:lineRule="exact"/>
              <w:ind w:left="74"/>
              <w:jc w:val="left"/>
              <w:rPr>
                <w:sz w:val="18"/>
              </w:rPr>
            </w:pPr>
            <w:r>
              <w:rPr>
                <w:sz w:val="18"/>
              </w:rPr>
              <w:t>Deputy Chief Minister</w:t>
            </w:r>
          </w:p>
          <w:p w:rsidR="006C17CB" w:rsidRDefault="0030091C">
            <w:pPr>
              <w:pStyle w:val="TableParagraph"/>
              <w:spacing w:before="12" w:line="204" w:lineRule="auto"/>
              <w:ind w:left="74" w:right="3231"/>
              <w:jc w:val="left"/>
              <w:rPr>
                <w:sz w:val="18"/>
              </w:rPr>
            </w:pPr>
            <w:r>
              <w:rPr>
                <w:sz w:val="18"/>
              </w:rPr>
              <w:t>Minister for Education and Early Childhood Development Minister for Housing and Suburban Development</w:t>
            </w:r>
          </w:p>
          <w:p w:rsidR="006C17CB" w:rsidRDefault="0030091C">
            <w:pPr>
              <w:pStyle w:val="TableParagraph"/>
              <w:spacing w:line="204" w:lineRule="auto"/>
              <w:ind w:left="74" w:right="3231"/>
              <w:jc w:val="left"/>
              <w:rPr>
                <w:sz w:val="18"/>
              </w:rPr>
            </w:pPr>
            <w:r>
              <w:rPr>
                <w:sz w:val="18"/>
              </w:rPr>
              <w:t>Minister for the Prevention of Domestic and Family Violence Minister for Women</w:t>
            </w:r>
          </w:p>
          <w:p w:rsidR="006C17CB" w:rsidRDefault="0030091C">
            <w:pPr>
              <w:pStyle w:val="TableParagraph"/>
              <w:spacing w:line="227" w:lineRule="exact"/>
              <w:ind w:left="74"/>
              <w:jc w:val="left"/>
              <w:rPr>
                <w:sz w:val="18"/>
              </w:rPr>
            </w:pPr>
            <w:r>
              <w:rPr>
                <w:sz w:val="18"/>
              </w:rPr>
              <w:t>Minister for Sport and Recreation</w:t>
            </w:r>
          </w:p>
        </w:tc>
      </w:tr>
      <w:tr w:rsidR="006C17CB">
        <w:trPr>
          <w:trHeight w:val="783"/>
        </w:trPr>
        <w:tc>
          <w:tcPr>
            <w:tcW w:w="1857"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Meegan Fitzharris</w:t>
            </w:r>
          </w:p>
        </w:tc>
        <w:tc>
          <w:tcPr>
            <w:tcW w:w="7771" w:type="dxa"/>
            <w:tcBorders>
              <w:top w:val="single" w:sz="4" w:space="0" w:color="000000"/>
              <w:left w:val="single" w:sz="4" w:space="0" w:color="DADADA"/>
              <w:bottom w:val="single" w:sz="4" w:space="0" w:color="000000"/>
              <w:right w:val="nil"/>
            </w:tcBorders>
          </w:tcPr>
          <w:p w:rsidR="006C17CB" w:rsidRDefault="0030091C">
            <w:pPr>
              <w:pStyle w:val="TableParagraph"/>
              <w:spacing w:before="30" w:line="204" w:lineRule="auto"/>
              <w:ind w:left="74" w:right="4611"/>
              <w:jc w:val="left"/>
              <w:rPr>
                <w:sz w:val="18"/>
              </w:rPr>
            </w:pPr>
            <w:r>
              <w:rPr>
                <w:sz w:val="18"/>
              </w:rPr>
              <w:t>Minister for Health and Wellbeing Minister for Transport and City Services</w:t>
            </w:r>
          </w:p>
          <w:p w:rsidR="006C17CB" w:rsidRDefault="0030091C">
            <w:pPr>
              <w:pStyle w:val="TableParagraph"/>
              <w:spacing w:line="227" w:lineRule="exact"/>
              <w:ind w:left="74"/>
              <w:jc w:val="left"/>
              <w:rPr>
                <w:sz w:val="18"/>
              </w:rPr>
            </w:pPr>
            <w:r>
              <w:rPr>
                <w:sz w:val="18"/>
              </w:rPr>
              <w:t>Minister for Higher Education, Training and Research</w:t>
            </w:r>
          </w:p>
        </w:tc>
      </w:tr>
      <w:tr w:rsidR="006C17CB">
        <w:trPr>
          <w:trHeight w:val="1010"/>
        </w:trPr>
        <w:tc>
          <w:tcPr>
            <w:tcW w:w="1857"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Mick Gentleman</w:t>
            </w:r>
          </w:p>
        </w:tc>
        <w:tc>
          <w:tcPr>
            <w:tcW w:w="7771" w:type="dxa"/>
            <w:tcBorders>
              <w:top w:val="single" w:sz="4" w:space="0" w:color="000000"/>
              <w:left w:val="single" w:sz="4" w:space="0" w:color="DADADA"/>
              <w:bottom w:val="single" w:sz="4" w:space="0" w:color="000000"/>
              <w:right w:val="nil"/>
            </w:tcBorders>
          </w:tcPr>
          <w:p w:rsidR="006C17CB" w:rsidRDefault="0030091C">
            <w:pPr>
              <w:pStyle w:val="TableParagraph"/>
              <w:spacing w:before="30" w:line="204" w:lineRule="auto"/>
              <w:ind w:left="74" w:right="3975"/>
              <w:jc w:val="left"/>
              <w:rPr>
                <w:sz w:val="18"/>
              </w:rPr>
            </w:pPr>
            <w:r>
              <w:rPr>
                <w:sz w:val="18"/>
              </w:rPr>
              <w:t>Minister for Police and Emergency Services Minister for the Environment and Heritage Minister for Planning and Land Management Minister for Urban Renewal</w:t>
            </w:r>
          </w:p>
        </w:tc>
      </w:tr>
      <w:tr w:rsidR="006C17CB">
        <w:trPr>
          <w:trHeight w:val="1010"/>
        </w:trPr>
        <w:tc>
          <w:tcPr>
            <w:tcW w:w="1857"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Gordon Ramsay</w:t>
            </w:r>
          </w:p>
        </w:tc>
        <w:tc>
          <w:tcPr>
            <w:tcW w:w="7771" w:type="dxa"/>
            <w:tcBorders>
              <w:top w:val="single" w:sz="4" w:space="0" w:color="000000"/>
              <w:left w:val="single" w:sz="4" w:space="0" w:color="DADADA"/>
              <w:bottom w:val="single" w:sz="4" w:space="0" w:color="000000"/>
              <w:right w:val="nil"/>
            </w:tcBorders>
          </w:tcPr>
          <w:p w:rsidR="006C17CB" w:rsidRDefault="0030091C">
            <w:pPr>
              <w:pStyle w:val="TableParagraph"/>
              <w:spacing w:line="239" w:lineRule="exact"/>
              <w:ind w:left="74"/>
              <w:jc w:val="left"/>
              <w:rPr>
                <w:sz w:val="18"/>
              </w:rPr>
            </w:pPr>
            <w:r>
              <w:rPr>
                <w:sz w:val="18"/>
              </w:rPr>
              <w:t>Attorney-General</w:t>
            </w:r>
          </w:p>
          <w:p w:rsidR="006C17CB" w:rsidRDefault="0030091C">
            <w:pPr>
              <w:pStyle w:val="TableParagraph"/>
              <w:spacing w:line="220" w:lineRule="exact"/>
              <w:ind w:left="74"/>
              <w:jc w:val="left"/>
              <w:rPr>
                <w:sz w:val="18"/>
              </w:rPr>
            </w:pPr>
            <w:r>
              <w:rPr>
                <w:sz w:val="18"/>
              </w:rPr>
              <w:t>Minister for Regulatory Services</w:t>
            </w:r>
          </w:p>
          <w:p w:rsidR="006C17CB" w:rsidRDefault="0030091C">
            <w:pPr>
              <w:pStyle w:val="TableParagraph"/>
              <w:spacing w:before="12" w:line="204" w:lineRule="auto"/>
              <w:ind w:left="74" w:right="3975"/>
              <w:jc w:val="left"/>
              <w:rPr>
                <w:sz w:val="18"/>
              </w:rPr>
            </w:pPr>
            <w:r>
              <w:rPr>
                <w:sz w:val="18"/>
              </w:rPr>
              <w:t>Minister for the Arts and Community Events Minister for Veterans and Seniors</w:t>
            </w:r>
          </w:p>
        </w:tc>
      </w:tr>
      <w:tr w:rsidR="006C17CB">
        <w:trPr>
          <w:trHeight w:val="1010"/>
        </w:trPr>
        <w:tc>
          <w:tcPr>
            <w:tcW w:w="1857"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Shane Rattenbury</w:t>
            </w:r>
          </w:p>
        </w:tc>
        <w:tc>
          <w:tcPr>
            <w:tcW w:w="7771" w:type="dxa"/>
            <w:tcBorders>
              <w:top w:val="single" w:sz="4" w:space="0" w:color="000000"/>
              <w:left w:val="single" w:sz="4" w:space="0" w:color="DADADA"/>
              <w:bottom w:val="single" w:sz="4" w:space="0" w:color="000000"/>
              <w:right w:val="nil"/>
            </w:tcBorders>
          </w:tcPr>
          <w:p w:rsidR="006C17CB" w:rsidRDefault="0030091C">
            <w:pPr>
              <w:pStyle w:val="TableParagraph"/>
              <w:spacing w:before="30" w:line="204" w:lineRule="auto"/>
              <w:ind w:left="74" w:right="3700"/>
              <w:jc w:val="left"/>
              <w:rPr>
                <w:sz w:val="18"/>
              </w:rPr>
            </w:pPr>
            <w:r>
              <w:rPr>
                <w:sz w:val="18"/>
              </w:rPr>
              <w:t>Minister for Climate Change and Sustainability Minister for Justice, Consumer Affairs and Road Safety Minister for Corrections</w:t>
            </w:r>
          </w:p>
          <w:p w:rsidR="006C17CB" w:rsidRDefault="0030091C">
            <w:pPr>
              <w:pStyle w:val="TableParagraph"/>
              <w:spacing w:line="226" w:lineRule="exact"/>
              <w:ind w:left="74"/>
              <w:jc w:val="left"/>
              <w:rPr>
                <w:sz w:val="18"/>
              </w:rPr>
            </w:pPr>
            <w:r>
              <w:rPr>
                <w:sz w:val="18"/>
              </w:rPr>
              <w:t>Minister for Mental Health</w:t>
            </w:r>
          </w:p>
        </w:tc>
      </w:tr>
      <w:tr w:rsidR="006C17CB">
        <w:trPr>
          <w:trHeight w:val="1165"/>
        </w:trPr>
        <w:tc>
          <w:tcPr>
            <w:tcW w:w="1857"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Rachel Stephen-Smith</w:t>
            </w:r>
          </w:p>
        </w:tc>
        <w:tc>
          <w:tcPr>
            <w:tcW w:w="7771" w:type="dxa"/>
            <w:tcBorders>
              <w:top w:val="single" w:sz="4" w:space="0" w:color="000000"/>
              <w:left w:val="single" w:sz="4" w:space="0" w:color="DADADA"/>
              <w:bottom w:val="single" w:sz="4" w:space="0" w:color="000000"/>
              <w:right w:val="nil"/>
            </w:tcBorders>
          </w:tcPr>
          <w:p w:rsidR="006C17CB" w:rsidRDefault="0030091C">
            <w:pPr>
              <w:pStyle w:val="TableParagraph"/>
              <w:spacing w:before="30" w:line="204" w:lineRule="auto"/>
              <w:ind w:left="74" w:right="3231"/>
              <w:jc w:val="left"/>
              <w:rPr>
                <w:sz w:val="18"/>
              </w:rPr>
            </w:pPr>
            <w:r>
              <w:rPr>
                <w:sz w:val="18"/>
              </w:rPr>
              <w:t>Minister for Community Services and Social Inclusion Minister for Disability, Children and Youth</w:t>
            </w:r>
          </w:p>
          <w:p w:rsidR="006C17CB" w:rsidRDefault="0030091C">
            <w:pPr>
              <w:pStyle w:val="TableParagraph"/>
              <w:spacing w:line="204" w:lineRule="auto"/>
              <w:ind w:left="74" w:right="3231"/>
              <w:jc w:val="left"/>
              <w:rPr>
                <w:sz w:val="18"/>
              </w:rPr>
            </w:pPr>
            <w:r>
              <w:rPr>
                <w:sz w:val="18"/>
              </w:rPr>
              <w:t>Minister for Aboriginal and Torres Strait Islander Affairs Minister for Multicultural Affairs</w:t>
            </w:r>
          </w:p>
          <w:p w:rsidR="006C17CB" w:rsidRDefault="0030091C">
            <w:pPr>
              <w:pStyle w:val="TableParagraph"/>
              <w:spacing w:line="227" w:lineRule="exact"/>
              <w:ind w:left="74"/>
              <w:jc w:val="left"/>
              <w:rPr>
                <w:sz w:val="18"/>
              </w:rPr>
            </w:pPr>
            <w:r>
              <w:rPr>
                <w:sz w:val="18"/>
              </w:rPr>
              <w:t>Minister for Workplace Safety and Industrial Relations</w:t>
            </w:r>
          </w:p>
        </w:tc>
      </w:tr>
    </w:tbl>
    <w:p w:rsidR="006C17CB" w:rsidRDefault="006C17CB">
      <w:pPr>
        <w:spacing w:line="227" w:lineRule="exact"/>
        <w:rPr>
          <w:sz w:val="18"/>
        </w:rPr>
        <w:sectPr w:rsidR="006C17CB">
          <w:headerReference w:type="even" r:id="rId111"/>
          <w:headerReference w:type="default" r:id="rId112"/>
          <w:pgSz w:w="11910" w:h="16840"/>
          <w:pgMar w:top="1540" w:right="0" w:bottom="740" w:left="980" w:header="1132" w:footer="551" w:gutter="0"/>
          <w:cols w:space="720"/>
        </w:sectPr>
      </w:pPr>
    </w:p>
    <w:p w:rsidR="006C17CB" w:rsidRDefault="006C17CB">
      <w:pPr>
        <w:pStyle w:val="BodyText"/>
        <w:rPr>
          <w:rFonts w:ascii="Montserrat"/>
          <w:b/>
          <w:sz w:val="20"/>
        </w:rPr>
      </w:pPr>
    </w:p>
    <w:p w:rsidR="006C17CB" w:rsidRDefault="006C17CB">
      <w:pPr>
        <w:pStyle w:val="BodyText"/>
        <w:rPr>
          <w:rFonts w:ascii="Montserrat"/>
          <w:b/>
          <w:sz w:val="20"/>
        </w:rPr>
      </w:pPr>
    </w:p>
    <w:p w:rsidR="006C17CB" w:rsidRDefault="006C17CB">
      <w:pPr>
        <w:pStyle w:val="BodyText"/>
        <w:spacing w:before="11"/>
        <w:rPr>
          <w:rFonts w:ascii="Montserrat"/>
          <w:b/>
          <w:sz w:val="29"/>
        </w:rPr>
      </w:pPr>
    </w:p>
    <w:p w:rsidR="006C17CB" w:rsidRDefault="0030091C">
      <w:pPr>
        <w:pStyle w:val="BodyText"/>
        <w:spacing w:before="61" w:line="189" w:lineRule="auto"/>
        <w:ind w:left="153" w:right="1201"/>
      </w:pPr>
      <w:bookmarkStart w:id="103" w:name="Appendix_13_–_Remuneration_of_MLAs"/>
      <w:bookmarkStart w:id="104" w:name="_bookmark38"/>
      <w:bookmarkEnd w:id="103"/>
      <w:bookmarkEnd w:id="104"/>
      <w:r>
        <w:t xml:space="preserve">ACT Remuneration </w:t>
      </w:r>
      <w:r>
        <w:rPr>
          <w:spacing w:val="-4"/>
        </w:rPr>
        <w:t xml:space="preserve">Tribunal </w:t>
      </w:r>
      <w:r>
        <w:t xml:space="preserve">determination No 2 of </w:t>
      </w:r>
      <w:r>
        <w:rPr>
          <w:spacing w:val="-8"/>
        </w:rPr>
        <w:t xml:space="preserve">2017, </w:t>
      </w:r>
      <w:r>
        <w:t xml:space="preserve">which commenced on 1 July </w:t>
      </w:r>
      <w:r>
        <w:rPr>
          <w:spacing w:val="-8"/>
        </w:rPr>
        <w:t xml:space="preserve">2017, </w:t>
      </w:r>
      <w:r>
        <w:t xml:space="preserve">provided that the base rate of salary for all members of the Legislative Assembly shall be </w:t>
      </w:r>
      <w:r>
        <w:rPr>
          <w:spacing w:val="-4"/>
        </w:rPr>
        <w:t xml:space="preserve">$160,373 </w:t>
      </w:r>
      <w:r>
        <w:t>per annum.</w:t>
      </w:r>
    </w:p>
    <w:p w:rsidR="006C17CB" w:rsidRDefault="0030091C">
      <w:pPr>
        <w:pStyle w:val="BodyText"/>
        <w:spacing w:before="112" w:line="189" w:lineRule="auto"/>
        <w:ind w:left="153" w:right="1169"/>
      </w:pPr>
      <w:r>
        <w:t>The determination also provided that a member holding any of the following offices would be entitled to the corresponding additional salary as shown in the following table:</w:t>
      </w:r>
    </w:p>
    <w:p w:rsidR="006C17CB" w:rsidRDefault="006C17CB">
      <w:pPr>
        <w:pStyle w:val="BodyText"/>
        <w:spacing w:before="9"/>
        <w:rPr>
          <w:sz w:val="23"/>
        </w:rPr>
      </w:pPr>
    </w:p>
    <w:p w:rsidR="006C17CB" w:rsidRDefault="0030091C">
      <w:pPr>
        <w:pStyle w:val="Heading6"/>
        <w:ind w:left="153"/>
        <w:rPr>
          <w:rFonts w:ascii="Montserrat"/>
        </w:rPr>
      </w:pPr>
      <w:r>
        <w:rPr>
          <w:rFonts w:ascii="Montserrat"/>
          <w:color w:val="556EAA"/>
        </w:rPr>
        <w:t>Remuneration of MLAs</w:t>
      </w:r>
    </w:p>
    <w:p w:rsidR="006C17CB" w:rsidRDefault="006C17CB">
      <w:pPr>
        <w:pStyle w:val="BodyText"/>
        <w:spacing w:before="11" w:after="1"/>
        <w:rPr>
          <w:rFonts w:ascii="Montserrat"/>
          <w:b/>
          <w:sz w:val="10"/>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8050"/>
        <w:gridCol w:w="1581"/>
      </w:tblGrid>
      <w:tr w:rsidR="006C17CB">
        <w:trPr>
          <w:trHeight w:val="396"/>
        </w:trPr>
        <w:tc>
          <w:tcPr>
            <w:tcW w:w="8050"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Position</w:t>
            </w:r>
          </w:p>
        </w:tc>
        <w:tc>
          <w:tcPr>
            <w:tcW w:w="1581" w:type="dxa"/>
            <w:tcBorders>
              <w:top w:val="nil"/>
              <w:bottom w:val="nil"/>
              <w:right w:val="nil"/>
            </w:tcBorders>
            <w:shd w:val="clear" w:color="auto" w:fill="89A7D7"/>
          </w:tcPr>
          <w:p w:rsidR="006C17CB" w:rsidRDefault="0030091C">
            <w:pPr>
              <w:pStyle w:val="TableParagraph"/>
              <w:spacing w:before="72"/>
              <w:ind w:right="76"/>
              <w:rPr>
                <w:b/>
                <w:sz w:val="18"/>
              </w:rPr>
            </w:pPr>
            <w:r>
              <w:rPr>
                <w:b/>
                <w:sz w:val="18"/>
              </w:rPr>
              <w:t>Remuneration</w:t>
            </w:r>
          </w:p>
        </w:tc>
      </w:tr>
      <w:tr w:rsidR="006C17CB">
        <w:trPr>
          <w:trHeight w:val="386"/>
        </w:trPr>
        <w:tc>
          <w:tcPr>
            <w:tcW w:w="8050"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Chief Minister</w:t>
            </w:r>
          </w:p>
        </w:tc>
        <w:tc>
          <w:tcPr>
            <w:tcW w:w="1581" w:type="dxa"/>
            <w:tcBorders>
              <w:top w:val="nil"/>
              <w:left w:val="single" w:sz="4" w:space="0" w:color="DADADA"/>
              <w:bottom w:val="single" w:sz="4" w:space="0" w:color="000000"/>
              <w:right w:val="nil"/>
            </w:tcBorders>
          </w:tcPr>
          <w:p w:rsidR="006C17CB" w:rsidRDefault="0030091C">
            <w:pPr>
              <w:pStyle w:val="TableParagraph"/>
              <w:spacing w:before="50"/>
              <w:ind w:right="76"/>
              <w:rPr>
                <w:sz w:val="18"/>
              </w:rPr>
            </w:pPr>
            <w:r>
              <w:rPr>
                <w:sz w:val="18"/>
              </w:rPr>
              <w:t>$176,410</w:t>
            </w:r>
          </w:p>
        </w:tc>
      </w:tr>
      <w:tr w:rsidR="006C17CB">
        <w:trPr>
          <w:trHeight w:val="386"/>
        </w:trPr>
        <w:tc>
          <w:tcPr>
            <w:tcW w:w="805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Deputy Chief Minister</w:t>
            </w:r>
          </w:p>
        </w:tc>
        <w:tc>
          <w:tcPr>
            <w:tcW w:w="1581"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$128,298</w:t>
            </w:r>
          </w:p>
        </w:tc>
      </w:tr>
      <w:tr w:rsidR="006C17CB">
        <w:trPr>
          <w:trHeight w:val="386"/>
        </w:trPr>
        <w:tc>
          <w:tcPr>
            <w:tcW w:w="805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Minister</w:t>
            </w:r>
          </w:p>
        </w:tc>
        <w:tc>
          <w:tcPr>
            <w:tcW w:w="1581"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$112,261</w:t>
            </w:r>
          </w:p>
        </w:tc>
      </w:tr>
      <w:tr w:rsidR="006C17CB">
        <w:trPr>
          <w:trHeight w:val="386"/>
        </w:trPr>
        <w:tc>
          <w:tcPr>
            <w:tcW w:w="805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Leader of the Opposition</w:t>
            </w:r>
          </w:p>
        </w:tc>
        <w:tc>
          <w:tcPr>
            <w:tcW w:w="1581"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$112,261</w:t>
            </w:r>
          </w:p>
        </w:tc>
      </w:tr>
      <w:tr w:rsidR="006C17CB">
        <w:trPr>
          <w:trHeight w:val="386"/>
        </w:trPr>
        <w:tc>
          <w:tcPr>
            <w:tcW w:w="805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Presiding Officer</w:t>
            </w:r>
          </w:p>
        </w:tc>
        <w:tc>
          <w:tcPr>
            <w:tcW w:w="1581"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$88,205</w:t>
            </w:r>
          </w:p>
        </w:tc>
      </w:tr>
      <w:tr w:rsidR="006C17CB">
        <w:trPr>
          <w:trHeight w:val="386"/>
        </w:trPr>
        <w:tc>
          <w:tcPr>
            <w:tcW w:w="805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Deputy Leader of the Opposition</w:t>
            </w:r>
          </w:p>
        </w:tc>
        <w:tc>
          <w:tcPr>
            <w:tcW w:w="1581"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$32,075</w:t>
            </w:r>
          </w:p>
        </w:tc>
      </w:tr>
      <w:tr w:rsidR="006C17CB">
        <w:trPr>
          <w:trHeight w:val="386"/>
        </w:trPr>
        <w:tc>
          <w:tcPr>
            <w:tcW w:w="805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Deputy Presiding Officer</w:t>
            </w:r>
          </w:p>
        </w:tc>
        <w:tc>
          <w:tcPr>
            <w:tcW w:w="1581"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$24,056</w:t>
            </w:r>
          </w:p>
        </w:tc>
      </w:tr>
      <w:tr w:rsidR="006C17CB">
        <w:trPr>
          <w:trHeight w:val="386"/>
        </w:trPr>
        <w:tc>
          <w:tcPr>
            <w:tcW w:w="805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Government Whip</w:t>
            </w:r>
          </w:p>
        </w:tc>
        <w:tc>
          <w:tcPr>
            <w:tcW w:w="1581"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$16,037</w:t>
            </w:r>
          </w:p>
        </w:tc>
      </w:tr>
      <w:tr w:rsidR="006C17CB">
        <w:trPr>
          <w:trHeight w:val="386"/>
        </w:trPr>
        <w:tc>
          <w:tcPr>
            <w:tcW w:w="8050"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Opposition Whip</w:t>
            </w:r>
          </w:p>
        </w:tc>
        <w:tc>
          <w:tcPr>
            <w:tcW w:w="1581"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6"/>
              <w:rPr>
                <w:sz w:val="18"/>
              </w:rPr>
            </w:pPr>
            <w:r>
              <w:rPr>
                <w:sz w:val="18"/>
              </w:rPr>
              <w:t>$16,037</w:t>
            </w:r>
          </w:p>
        </w:tc>
      </w:tr>
      <w:tr w:rsidR="006C17CB">
        <w:trPr>
          <w:trHeight w:val="505"/>
        </w:trPr>
        <w:tc>
          <w:tcPr>
            <w:tcW w:w="8050" w:type="dxa"/>
            <w:tcBorders>
              <w:top w:val="single" w:sz="4" w:space="0" w:color="000000"/>
              <w:left w:val="nil"/>
              <w:bottom w:val="single" w:sz="4" w:space="0" w:color="000000"/>
              <w:right w:val="single" w:sz="4" w:space="0" w:color="DADADA"/>
            </w:tcBorders>
          </w:tcPr>
          <w:p w:rsidR="006C17CB" w:rsidRDefault="0030091C">
            <w:pPr>
              <w:pStyle w:val="TableParagraph"/>
              <w:spacing w:before="30" w:line="204" w:lineRule="auto"/>
              <w:ind w:left="79" w:right="150"/>
              <w:jc w:val="left"/>
              <w:rPr>
                <w:sz w:val="18"/>
              </w:rPr>
            </w:pPr>
            <w:r>
              <w:rPr>
                <w:spacing w:val="-3"/>
                <w:sz w:val="18"/>
              </w:rPr>
              <w:t xml:space="preserve">Presiding </w:t>
            </w:r>
            <w:r>
              <w:rPr>
                <w:sz w:val="18"/>
              </w:rPr>
              <w:t xml:space="preserve">member of a committee which is concerned with public affairs rather </w:t>
            </w:r>
            <w:r>
              <w:rPr>
                <w:spacing w:val="-3"/>
                <w:sz w:val="18"/>
              </w:rPr>
              <w:t xml:space="preserve">than </w:t>
            </w:r>
            <w:r>
              <w:rPr>
                <w:sz w:val="18"/>
              </w:rPr>
              <w:t>domestic affairs of the Legislative Assembly</w:t>
            </w:r>
          </w:p>
        </w:tc>
        <w:tc>
          <w:tcPr>
            <w:tcW w:w="1581"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right="76"/>
              <w:rPr>
                <w:sz w:val="18"/>
              </w:rPr>
            </w:pPr>
            <w:r>
              <w:rPr>
                <w:sz w:val="18"/>
              </w:rPr>
              <w:t>$16,037</w:t>
            </w:r>
          </w:p>
        </w:tc>
      </w:tr>
    </w:tbl>
    <w:p w:rsidR="006C17CB" w:rsidRDefault="006C17CB">
      <w:pPr>
        <w:spacing w:line="258" w:lineRule="exact"/>
        <w:rPr>
          <w:sz w:val="18"/>
        </w:rPr>
        <w:sectPr w:rsidR="006C17CB">
          <w:pgSz w:w="11910" w:h="16840"/>
          <w:pgMar w:top="1540" w:right="0" w:bottom="720" w:left="980" w:header="1132" w:footer="523" w:gutter="0"/>
          <w:cols w:space="720"/>
        </w:sectPr>
      </w:pPr>
    </w:p>
    <w:p w:rsidR="006C17CB" w:rsidRDefault="006C17CB">
      <w:pPr>
        <w:pStyle w:val="BodyText"/>
        <w:rPr>
          <w:rFonts w:ascii="Montserrat"/>
          <w:b/>
          <w:sz w:val="20"/>
        </w:rPr>
      </w:pPr>
    </w:p>
    <w:p w:rsidR="006C17CB" w:rsidRDefault="006C17CB">
      <w:pPr>
        <w:pStyle w:val="BodyText"/>
        <w:rPr>
          <w:rFonts w:ascii="Montserrat"/>
          <w:b/>
          <w:sz w:val="20"/>
        </w:rPr>
      </w:pPr>
    </w:p>
    <w:p w:rsidR="006C17CB" w:rsidRDefault="006C17CB">
      <w:pPr>
        <w:pStyle w:val="BodyText"/>
        <w:spacing w:before="7"/>
        <w:rPr>
          <w:rFonts w:ascii="Montserrat"/>
          <w:b/>
          <w:sz w:val="23"/>
        </w:rPr>
      </w:pPr>
    </w:p>
    <w:p w:rsidR="006C17CB" w:rsidRDefault="0030091C">
      <w:pPr>
        <w:spacing w:before="145"/>
        <w:ind w:left="153"/>
        <w:rPr>
          <w:rFonts w:ascii="Montserrat"/>
          <w:b/>
          <w:sz w:val="24"/>
        </w:rPr>
      </w:pPr>
      <w:bookmarkStart w:id="105" w:name="Appendix_14_–_Non-executive_members’_sta"/>
      <w:bookmarkStart w:id="106" w:name="_bookmark39"/>
      <w:bookmarkEnd w:id="105"/>
      <w:bookmarkEnd w:id="106"/>
      <w:r>
        <w:rPr>
          <w:rFonts w:ascii="Montserrat"/>
          <w:b/>
          <w:color w:val="556EAA"/>
          <w:sz w:val="24"/>
        </w:rPr>
        <w:t>Number of staff employment agreements processed</w:t>
      </w:r>
    </w:p>
    <w:p w:rsidR="006C17CB" w:rsidRDefault="006C17CB">
      <w:pPr>
        <w:pStyle w:val="BodyText"/>
        <w:spacing w:before="11" w:after="1"/>
        <w:rPr>
          <w:rFonts w:ascii="Montserrat"/>
          <w:b/>
          <w:sz w:val="10"/>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2721"/>
        <w:gridCol w:w="1856"/>
        <w:gridCol w:w="2678"/>
        <w:gridCol w:w="2390"/>
      </w:tblGrid>
      <w:tr w:rsidR="006C17CB">
        <w:trPr>
          <w:trHeight w:val="396"/>
        </w:trPr>
        <w:tc>
          <w:tcPr>
            <w:tcW w:w="2721"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Year</w:t>
            </w:r>
          </w:p>
        </w:tc>
        <w:tc>
          <w:tcPr>
            <w:tcW w:w="1856" w:type="dxa"/>
            <w:tcBorders>
              <w:top w:val="nil"/>
              <w:bottom w:val="nil"/>
            </w:tcBorders>
            <w:shd w:val="clear" w:color="auto" w:fill="89A7D7"/>
          </w:tcPr>
          <w:p w:rsidR="006C17CB" w:rsidRDefault="0030091C">
            <w:pPr>
              <w:pStyle w:val="TableParagraph"/>
              <w:spacing w:before="72"/>
              <w:ind w:right="67"/>
              <w:rPr>
                <w:b/>
                <w:sz w:val="18"/>
              </w:rPr>
            </w:pPr>
            <w:r>
              <w:rPr>
                <w:b/>
                <w:sz w:val="18"/>
              </w:rPr>
              <w:t>No. of LAMS contracts</w:t>
            </w:r>
          </w:p>
        </w:tc>
        <w:tc>
          <w:tcPr>
            <w:tcW w:w="2678" w:type="dxa"/>
            <w:tcBorders>
              <w:top w:val="nil"/>
              <w:bottom w:val="nil"/>
            </w:tcBorders>
            <w:shd w:val="clear" w:color="auto" w:fill="89A7D7"/>
          </w:tcPr>
          <w:p w:rsidR="006C17CB" w:rsidRDefault="0030091C">
            <w:pPr>
              <w:pStyle w:val="TableParagraph"/>
              <w:spacing w:before="72"/>
              <w:ind w:right="66"/>
              <w:rPr>
                <w:b/>
                <w:sz w:val="18"/>
              </w:rPr>
            </w:pPr>
            <w:r>
              <w:rPr>
                <w:b/>
                <w:sz w:val="18"/>
              </w:rPr>
              <w:t>No. of non-executive members</w:t>
            </w:r>
          </w:p>
        </w:tc>
        <w:tc>
          <w:tcPr>
            <w:tcW w:w="2390" w:type="dxa"/>
            <w:tcBorders>
              <w:top w:val="nil"/>
              <w:bottom w:val="nil"/>
              <w:right w:val="nil"/>
            </w:tcBorders>
            <w:shd w:val="clear" w:color="auto" w:fill="89A7D7"/>
          </w:tcPr>
          <w:p w:rsidR="006C17CB" w:rsidRDefault="0030091C">
            <w:pPr>
              <w:pStyle w:val="TableParagraph"/>
              <w:spacing w:before="72"/>
              <w:ind w:right="74"/>
              <w:rPr>
                <w:b/>
                <w:sz w:val="18"/>
              </w:rPr>
            </w:pPr>
            <w:r>
              <w:rPr>
                <w:b/>
                <w:sz w:val="18"/>
              </w:rPr>
              <w:t>Average contracts/member</w:t>
            </w:r>
          </w:p>
        </w:tc>
      </w:tr>
      <w:tr w:rsidR="006C17CB">
        <w:trPr>
          <w:trHeight w:val="386"/>
        </w:trPr>
        <w:tc>
          <w:tcPr>
            <w:tcW w:w="2721"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1999-2000</w:t>
            </w:r>
          </w:p>
        </w:tc>
        <w:tc>
          <w:tcPr>
            <w:tcW w:w="1856"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63</w:t>
            </w:r>
          </w:p>
        </w:tc>
        <w:tc>
          <w:tcPr>
            <w:tcW w:w="2678"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12</w:t>
            </w:r>
          </w:p>
        </w:tc>
        <w:tc>
          <w:tcPr>
            <w:tcW w:w="2390" w:type="dxa"/>
            <w:tcBorders>
              <w:top w:val="nil"/>
              <w:left w:val="single" w:sz="4" w:space="0" w:color="DADADA"/>
              <w:bottom w:val="single" w:sz="4" w:space="0" w:color="000000"/>
              <w:right w:val="nil"/>
            </w:tcBorders>
          </w:tcPr>
          <w:p w:rsidR="006C17CB" w:rsidRDefault="0030091C">
            <w:pPr>
              <w:pStyle w:val="TableParagraph"/>
              <w:spacing w:before="50"/>
              <w:ind w:right="75"/>
              <w:rPr>
                <w:sz w:val="18"/>
              </w:rPr>
            </w:pPr>
            <w:r>
              <w:rPr>
                <w:sz w:val="18"/>
              </w:rPr>
              <w:t>5.25</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2000-2001</w:t>
            </w:r>
          </w:p>
        </w:tc>
        <w:tc>
          <w:tcPr>
            <w:tcW w:w="185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50</w:t>
            </w:r>
          </w:p>
        </w:tc>
        <w:tc>
          <w:tcPr>
            <w:tcW w:w="26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12</w:t>
            </w:r>
          </w:p>
        </w:tc>
        <w:tc>
          <w:tcPr>
            <w:tcW w:w="2390"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5"/>
              <w:rPr>
                <w:sz w:val="18"/>
              </w:rPr>
            </w:pPr>
            <w:r>
              <w:rPr>
                <w:sz w:val="18"/>
              </w:rPr>
              <w:t>4.17</w:t>
            </w:r>
          </w:p>
        </w:tc>
      </w:tr>
      <w:tr w:rsidR="006C17CB">
        <w:trPr>
          <w:trHeight w:val="386"/>
        </w:trPr>
        <w:tc>
          <w:tcPr>
            <w:tcW w:w="2721" w:type="dxa"/>
            <w:tcBorders>
              <w:top w:val="single" w:sz="4" w:space="0" w:color="000000"/>
              <w:left w:val="nil"/>
              <w:bottom w:val="single" w:sz="4" w:space="0" w:color="000000"/>
              <w:right w:val="single" w:sz="4" w:space="0" w:color="DADADA"/>
            </w:tcBorders>
            <w:shd w:val="clear" w:color="auto" w:fill="ECF0FA"/>
          </w:tcPr>
          <w:p w:rsidR="006C17CB" w:rsidRDefault="0030091C">
            <w:pPr>
              <w:pStyle w:val="TableParagraph"/>
              <w:spacing w:before="50"/>
              <w:ind w:left="79"/>
              <w:jc w:val="left"/>
              <w:rPr>
                <w:sz w:val="18"/>
              </w:rPr>
            </w:pPr>
            <w:r>
              <w:rPr>
                <w:sz w:val="18"/>
              </w:rPr>
              <w:t>2001-2002 (pre-election)</w:t>
            </w:r>
          </w:p>
        </w:tc>
        <w:tc>
          <w:tcPr>
            <w:tcW w:w="1856" w:type="dxa"/>
            <w:tcBorders>
              <w:top w:val="single" w:sz="4" w:space="0" w:color="000000"/>
              <w:left w:val="single" w:sz="4" w:space="0" w:color="DADADA"/>
              <w:bottom w:val="single" w:sz="4" w:space="0" w:color="000000"/>
              <w:right w:val="single" w:sz="4" w:space="0" w:color="DADADA"/>
            </w:tcBorders>
            <w:shd w:val="clear" w:color="auto" w:fill="ECF0FA"/>
          </w:tcPr>
          <w:p w:rsidR="006C17CB" w:rsidRDefault="0030091C">
            <w:pPr>
              <w:pStyle w:val="TableParagraph"/>
              <w:spacing w:before="50"/>
              <w:ind w:right="71"/>
              <w:rPr>
                <w:sz w:val="18"/>
              </w:rPr>
            </w:pPr>
            <w:r>
              <w:rPr>
                <w:sz w:val="18"/>
              </w:rPr>
              <w:t>47</w:t>
            </w:r>
          </w:p>
        </w:tc>
        <w:tc>
          <w:tcPr>
            <w:tcW w:w="2678" w:type="dxa"/>
            <w:tcBorders>
              <w:top w:val="single" w:sz="4" w:space="0" w:color="000000"/>
              <w:left w:val="single" w:sz="4" w:space="0" w:color="DADADA"/>
              <w:bottom w:val="single" w:sz="4" w:space="0" w:color="000000"/>
              <w:right w:val="single" w:sz="4" w:space="0" w:color="DADADA"/>
            </w:tcBorders>
            <w:shd w:val="clear" w:color="auto" w:fill="ECF0FA"/>
          </w:tcPr>
          <w:p w:rsidR="006C17CB" w:rsidRDefault="0030091C">
            <w:pPr>
              <w:pStyle w:val="TableParagraph"/>
              <w:spacing w:before="50"/>
              <w:ind w:right="71"/>
              <w:rPr>
                <w:sz w:val="18"/>
              </w:rPr>
            </w:pPr>
            <w:r>
              <w:rPr>
                <w:sz w:val="18"/>
              </w:rPr>
              <w:t>12</w:t>
            </w:r>
          </w:p>
        </w:tc>
        <w:tc>
          <w:tcPr>
            <w:tcW w:w="2390" w:type="dxa"/>
            <w:tcBorders>
              <w:top w:val="single" w:sz="4" w:space="0" w:color="000000"/>
              <w:left w:val="single" w:sz="4" w:space="0" w:color="DADADA"/>
              <w:bottom w:val="single" w:sz="4" w:space="0" w:color="000000"/>
              <w:right w:val="nil"/>
            </w:tcBorders>
            <w:shd w:val="clear" w:color="auto" w:fill="ECF0FA"/>
          </w:tcPr>
          <w:p w:rsidR="006C17CB" w:rsidRDefault="0030091C">
            <w:pPr>
              <w:pStyle w:val="TableParagraph"/>
              <w:spacing w:before="50"/>
              <w:ind w:right="75"/>
              <w:rPr>
                <w:sz w:val="18"/>
              </w:rPr>
            </w:pPr>
            <w:r>
              <w:rPr>
                <w:sz w:val="18"/>
              </w:rPr>
              <w:t>3.92</w:t>
            </w:r>
          </w:p>
        </w:tc>
      </w:tr>
      <w:tr w:rsidR="006C17CB">
        <w:trPr>
          <w:trHeight w:val="386"/>
        </w:trPr>
        <w:tc>
          <w:tcPr>
            <w:tcW w:w="2721" w:type="dxa"/>
            <w:tcBorders>
              <w:top w:val="single" w:sz="4" w:space="0" w:color="000000"/>
              <w:left w:val="nil"/>
              <w:bottom w:val="single" w:sz="4" w:space="0" w:color="000000"/>
              <w:right w:val="single" w:sz="4" w:space="0" w:color="DADADA"/>
            </w:tcBorders>
            <w:shd w:val="clear" w:color="auto" w:fill="ECF0FA"/>
          </w:tcPr>
          <w:p w:rsidR="006C17CB" w:rsidRDefault="0030091C">
            <w:pPr>
              <w:pStyle w:val="TableParagraph"/>
              <w:spacing w:before="50"/>
              <w:ind w:left="79"/>
              <w:jc w:val="left"/>
              <w:rPr>
                <w:sz w:val="18"/>
              </w:rPr>
            </w:pPr>
            <w:r>
              <w:rPr>
                <w:sz w:val="18"/>
              </w:rPr>
              <w:t>2001-2002 (post-election)</w:t>
            </w:r>
          </w:p>
        </w:tc>
        <w:tc>
          <w:tcPr>
            <w:tcW w:w="1856" w:type="dxa"/>
            <w:tcBorders>
              <w:top w:val="single" w:sz="4" w:space="0" w:color="000000"/>
              <w:left w:val="single" w:sz="4" w:space="0" w:color="DADADA"/>
              <w:bottom w:val="single" w:sz="4" w:space="0" w:color="000000"/>
              <w:right w:val="single" w:sz="4" w:space="0" w:color="DADADA"/>
            </w:tcBorders>
            <w:shd w:val="clear" w:color="auto" w:fill="ECF0FA"/>
          </w:tcPr>
          <w:p w:rsidR="006C17CB" w:rsidRDefault="0030091C">
            <w:pPr>
              <w:pStyle w:val="TableParagraph"/>
              <w:spacing w:before="50"/>
              <w:ind w:right="71"/>
              <w:rPr>
                <w:sz w:val="18"/>
              </w:rPr>
            </w:pPr>
            <w:r>
              <w:rPr>
                <w:sz w:val="18"/>
              </w:rPr>
              <w:t>67</w:t>
            </w:r>
          </w:p>
        </w:tc>
        <w:tc>
          <w:tcPr>
            <w:tcW w:w="2678" w:type="dxa"/>
            <w:tcBorders>
              <w:top w:val="single" w:sz="4" w:space="0" w:color="000000"/>
              <w:left w:val="single" w:sz="4" w:space="0" w:color="DADADA"/>
              <w:bottom w:val="single" w:sz="4" w:space="0" w:color="000000"/>
              <w:right w:val="single" w:sz="4" w:space="0" w:color="DADADA"/>
            </w:tcBorders>
            <w:shd w:val="clear" w:color="auto" w:fill="ECF0FA"/>
          </w:tcPr>
          <w:p w:rsidR="006C17CB" w:rsidRDefault="0030091C">
            <w:pPr>
              <w:pStyle w:val="TableParagraph"/>
              <w:spacing w:before="50"/>
              <w:ind w:right="71"/>
              <w:rPr>
                <w:sz w:val="18"/>
              </w:rPr>
            </w:pPr>
            <w:r>
              <w:rPr>
                <w:sz w:val="18"/>
              </w:rPr>
              <w:t>13</w:t>
            </w:r>
          </w:p>
        </w:tc>
        <w:tc>
          <w:tcPr>
            <w:tcW w:w="2390" w:type="dxa"/>
            <w:tcBorders>
              <w:top w:val="single" w:sz="4" w:space="0" w:color="000000"/>
              <w:left w:val="single" w:sz="4" w:space="0" w:color="DADADA"/>
              <w:bottom w:val="single" w:sz="4" w:space="0" w:color="000000"/>
              <w:right w:val="nil"/>
            </w:tcBorders>
            <w:shd w:val="clear" w:color="auto" w:fill="ECF0FA"/>
          </w:tcPr>
          <w:p w:rsidR="006C17CB" w:rsidRDefault="0030091C">
            <w:pPr>
              <w:pStyle w:val="TableParagraph"/>
              <w:spacing w:before="50"/>
              <w:ind w:right="75"/>
              <w:rPr>
                <w:sz w:val="18"/>
              </w:rPr>
            </w:pPr>
            <w:r>
              <w:rPr>
                <w:sz w:val="18"/>
              </w:rPr>
              <w:t>5.15</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2001-2002 total</w:t>
            </w:r>
          </w:p>
        </w:tc>
        <w:tc>
          <w:tcPr>
            <w:tcW w:w="185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114</w:t>
            </w:r>
          </w:p>
        </w:tc>
        <w:tc>
          <w:tcPr>
            <w:tcW w:w="26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12.5</w:t>
            </w:r>
          </w:p>
        </w:tc>
        <w:tc>
          <w:tcPr>
            <w:tcW w:w="2390"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5"/>
              <w:rPr>
                <w:sz w:val="18"/>
              </w:rPr>
            </w:pPr>
            <w:r>
              <w:rPr>
                <w:sz w:val="18"/>
              </w:rPr>
              <w:t>9.12</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2002-2003</w:t>
            </w:r>
          </w:p>
        </w:tc>
        <w:tc>
          <w:tcPr>
            <w:tcW w:w="1856"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149</w:t>
            </w:r>
          </w:p>
        </w:tc>
        <w:tc>
          <w:tcPr>
            <w:tcW w:w="267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1"/>
              <w:rPr>
                <w:sz w:val="18"/>
              </w:rPr>
            </w:pPr>
            <w:r>
              <w:rPr>
                <w:sz w:val="18"/>
              </w:rPr>
              <w:t>12.5</w:t>
            </w:r>
          </w:p>
        </w:tc>
        <w:tc>
          <w:tcPr>
            <w:tcW w:w="2390"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5"/>
              <w:rPr>
                <w:sz w:val="18"/>
              </w:rPr>
            </w:pPr>
            <w:r>
              <w:rPr>
                <w:sz w:val="18"/>
              </w:rPr>
              <w:t>11.92</w:t>
            </w:r>
          </w:p>
        </w:tc>
      </w:tr>
      <w:tr w:rsidR="006C17CB">
        <w:trPr>
          <w:trHeight w:val="505"/>
        </w:trPr>
        <w:tc>
          <w:tcPr>
            <w:tcW w:w="2721" w:type="dxa"/>
            <w:tcBorders>
              <w:top w:val="single" w:sz="4" w:space="0" w:color="000000"/>
              <w:left w:val="nil"/>
              <w:bottom w:val="single" w:sz="4" w:space="0" w:color="000000"/>
              <w:right w:val="single" w:sz="4" w:space="0" w:color="DADADA"/>
            </w:tcBorders>
            <w:shd w:val="clear" w:color="auto" w:fill="ECF0FA"/>
          </w:tcPr>
          <w:p w:rsidR="006C17CB" w:rsidRDefault="0030091C">
            <w:pPr>
              <w:pStyle w:val="TableParagraph"/>
              <w:spacing w:before="30" w:line="204" w:lineRule="auto"/>
              <w:ind w:left="79"/>
              <w:jc w:val="left"/>
              <w:rPr>
                <w:sz w:val="18"/>
              </w:rPr>
            </w:pPr>
            <w:r>
              <w:rPr>
                <w:sz w:val="18"/>
              </w:rPr>
              <w:t>2003-2004 (prior to new staff structure)</w:t>
            </w:r>
          </w:p>
        </w:tc>
        <w:tc>
          <w:tcPr>
            <w:tcW w:w="1856" w:type="dxa"/>
            <w:tcBorders>
              <w:top w:val="single" w:sz="4" w:space="0" w:color="000000"/>
              <w:left w:val="single" w:sz="4" w:space="0" w:color="DADADA"/>
              <w:bottom w:val="single" w:sz="4" w:space="0" w:color="000000"/>
              <w:right w:val="single" w:sz="4" w:space="0" w:color="DADADA"/>
            </w:tcBorders>
            <w:shd w:val="clear" w:color="auto" w:fill="ECF0FA"/>
          </w:tcPr>
          <w:p w:rsidR="006C17CB" w:rsidRDefault="0030091C">
            <w:pPr>
              <w:pStyle w:val="TableParagraph"/>
              <w:spacing w:before="109"/>
              <w:ind w:right="71"/>
              <w:rPr>
                <w:sz w:val="18"/>
              </w:rPr>
            </w:pPr>
            <w:r>
              <w:rPr>
                <w:sz w:val="18"/>
              </w:rPr>
              <w:t>61</w:t>
            </w:r>
          </w:p>
        </w:tc>
        <w:tc>
          <w:tcPr>
            <w:tcW w:w="2678" w:type="dxa"/>
            <w:tcBorders>
              <w:top w:val="single" w:sz="4" w:space="0" w:color="000000"/>
              <w:left w:val="single" w:sz="4" w:space="0" w:color="DADADA"/>
              <w:bottom w:val="single" w:sz="4" w:space="0" w:color="000000"/>
              <w:right w:val="single" w:sz="4" w:space="0" w:color="DADADA"/>
            </w:tcBorders>
            <w:shd w:val="clear" w:color="auto" w:fill="ECF0FA"/>
          </w:tcPr>
          <w:p w:rsidR="006C17CB" w:rsidRDefault="0030091C">
            <w:pPr>
              <w:pStyle w:val="TableParagraph"/>
              <w:spacing w:before="109"/>
              <w:ind w:right="71"/>
              <w:rPr>
                <w:sz w:val="18"/>
              </w:rPr>
            </w:pPr>
            <w:r>
              <w:rPr>
                <w:sz w:val="18"/>
              </w:rPr>
              <w:t>12</w:t>
            </w:r>
          </w:p>
        </w:tc>
        <w:tc>
          <w:tcPr>
            <w:tcW w:w="2390" w:type="dxa"/>
            <w:tcBorders>
              <w:top w:val="single" w:sz="4" w:space="0" w:color="000000"/>
              <w:left w:val="single" w:sz="4" w:space="0" w:color="DADADA"/>
              <w:bottom w:val="single" w:sz="4" w:space="0" w:color="000000"/>
              <w:right w:val="nil"/>
            </w:tcBorders>
            <w:shd w:val="clear" w:color="auto" w:fill="ECF0FA"/>
          </w:tcPr>
          <w:p w:rsidR="006C17CB" w:rsidRDefault="0030091C">
            <w:pPr>
              <w:pStyle w:val="TableParagraph"/>
              <w:spacing w:before="109"/>
              <w:ind w:right="75"/>
              <w:rPr>
                <w:sz w:val="18"/>
              </w:rPr>
            </w:pPr>
            <w:r>
              <w:rPr>
                <w:sz w:val="18"/>
              </w:rPr>
              <w:t>5.08</w:t>
            </w:r>
          </w:p>
        </w:tc>
      </w:tr>
      <w:tr w:rsidR="006C17CB">
        <w:trPr>
          <w:trHeight w:val="505"/>
        </w:trPr>
        <w:tc>
          <w:tcPr>
            <w:tcW w:w="2721" w:type="dxa"/>
            <w:tcBorders>
              <w:top w:val="single" w:sz="4" w:space="0" w:color="000000"/>
              <w:left w:val="nil"/>
              <w:bottom w:val="single" w:sz="4" w:space="0" w:color="000000"/>
              <w:right w:val="single" w:sz="4" w:space="0" w:color="DADADA"/>
            </w:tcBorders>
            <w:shd w:val="clear" w:color="auto" w:fill="ECF0FA"/>
          </w:tcPr>
          <w:p w:rsidR="006C17CB" w:rsidRDefault="0030091C">
            <w:pPr>
              <w:pStyle w:val="TableParagraph"/>
              <w:spacing w:before="30" w:line="204" w:lineRule="auto"/>
              <w:ind w:left="79" w:right="107"/>
              <w:jc w:val="left"/>
              <w:rPr>
                <w:sz w:val="18"/>
              </w:rPr>
            </w:pPr>
            <w:r>
              <w:rPr>
                <w:sz w:val="18"/>
              </w:rPr>
              <w:t>2003-2004 (translation to new staff structure)</w:t>
            </w:r>
          </w:p>
        </w:tc>
        <w:tc>
          <w:tcPr>
            <w:tcW w:w="1856" w:type="dxa"/>
            <w:tcBorders>
              <w:top w:val="single" w:sz="4" w:space="0" w:color="000000"/>
              <w:left w:val="single" w:sz="4" w:space="0" w:color="DADADA"/>
              <w:bottom w:val="single" w:sz="4" w:space="0" w:color="000000"/>
              <w:right w:val="single" w:sz="4" w:space="0" w:color="DADADA"/>
            </w:tcBorders>
            <w:shd w:val="clear" w:color="auto" w:fill="ECF0FA"/>
          </w:tcPr>
          <w:p w:rsidR="006C17CB" w:rsidRDefault="0030091C">
            <w:pPr>
              <w:pStyle w:val="TableParagraph"/>
              <w:spacing w:before="109"/>
              <w:ind w:right="71"/>
              <w:rPr>
                <w:sz w:val="18"/>
              </w:rPr>
            </w:pPr>
            <w:r>
              <w:rPr>
                <w:sz w:val="18"/>
              </w:rPr>
              <w:t>33</w:t>
            </w:r>
          </w:p>
        </w:tc>
        <w:tc>
          <w:tcPr>
            <w:tcW w:w="2678" w:type="dxa"/>
            <w:tcBorders>
              <w:top w:val="single" w:sz="4" w:space="0" w:color="000000"/>
              <w:left w:val="single" w:sz="4" w:space="0" w:color="DADADA"/>
              <w:bottom w:val="single" w:sz="4" w:space="0" w:color="000000"/>
              <w:right w:val="single" w:sz="4" w:space="0" w:color="DADADA"/>
            </w:tcBorders>
            <w:shd w:val="clear" w:color="auto" w:fill="ECF0FA"/>
          </w:tcPr>
          <w:p w:rsidR="006C17CB" w:rsidRDefault="0030091C">
            <w:pPr>
              <w:pStyle w:val="TableParagraph"/>
              <w:spacing w:before="109"/>
              <w:ind w:right="71"/>
              <w:rPr>
                <w:sz w:val="18"/>
              </w:rPr>
            </w:pPr>
            <w:r>
              <w:rPr>
                <w:sz w:val="18"/>
              </w:rPr>
              <w:t>12</w:t>
            </w:r>
          </w:p>
        </w:tc>
        <w:tc>
          <w:tcPr>
            <w:tcW w:w="2390" w:type="dxa"/>
            <w:tcBorders>
              <w:top w:val="single" w:sz="4" w:space="0" w:color="000000"/>
              <w:left w:val="single" w:sz="4" w:space="0" w:color="DADADA"/>
              <w:bottom w:val="single" w:sz="4" w:space="0" w:color="000000"/>
              <w:right w:val="nil"/>
            </w:tcBorders>
            <w:shd w:val="clear" w:color="auto" w:fill="ECF0FA"/>
          </w:tcPr>
          <w:p w:rsidR="006C17CB" w:rsidRDefault="0030091C">
            <w:pPr>
              <w:pStyle w:val="TableParagraph"/>
              <w:spacing w:before="109"/>
              <w:ind w:right="75"/>
              <w:rPr>
                <w:sz w:val="18"/>
              </w:rPr>
            </w:pPr>
            <w:r>
              <w:rPr>
                <w:sz w:val="18"/>
              </w:rPr>
              <w:t>2.75</w:t>
            </w:r>
          </w:p>
        </w:tc>
      </w:tr>
      <w:tr w:rsidR="006C17CB">
        <w:trPr>
          <w:trHeight w:val="505"/>
        </w:trPr>
        <w:tc>
          <w:tcPr>
            <w:tcW w:w="2721" w:type="dxa"/>
            <w:tcBorders>
              <w:top w:val="single" w:sz="4" w:space="0" w:color="000000"/>
              <w:left w:val="nil"/>
              <w:bottom w:val="single" w:sz="4" w:space="0" w:color="000000"/>
              <w:right w:val="single" w:sz="4" w:space="0" w:color="DADADA"/>
            </w:tcBorders>
            <w:shd w:val="clear" w:color="auto" w:fill="ECF0FA"/>
          </w:tcPr>
          <w:p w:rsidR="006C17CB" w:rsidRDefault="0030091C">
            <w:pPr>
              <w:pStyle w:val="TableParagraph"/>
              <w:spacing w:before="30" w:line="204" w:lineRule="auto"/>
              <w:ind w:left="79"/>
              <w:jc w:val="left"/>
              <w:rPr>
                <w:sz w:val="18"/>
              </w:rPr>
            </w:pPr>
            <w:r>
              <w:rPr>
                <w:sz w:val="18"/>
              </w:rPr>
              <w:t>2003-2004 (following new staff structure)</w:t>
            </w:r>
          </w:p>
        </w:tc>
        <w:tc>
          <w:tcPr>
            <w:tcW w:w="1856" w:type="dxa"/>
            <w:tcBorders>
              <w:top w:val="single" w:sz="4" w:space="0" w:color="000000"/>
              <w:left w:val="single" w:sz="4" w:space="0" w:color="DADADA"/>
              <w:bottom w:val="single" w:sz="4" w:space="0" w:color="000000"/>
              <w:right w:val="single" w:sz="4" w:space="0" w:color="DADADA"/>
            </w:tcBorders>
            <w:shd w:val="clear" w:color="auto" w:fill="ECF0FA"/>
          </w:tcPr>
          <w:p w:rsidR="006C17CB" w:rsidRDefault="0030091C">
            <w:pPr>
              <w:pStyle w:val="TableParagraph"/>
              <w:spacing w:before="109"/>
              <w:ind w:right="71"/>
              <w:rPr>
                <w:sz w:val="18"/>
              </w:rPr>
            </w:pPr>
            <w:r>
              <w:rPr>
                <w:sz w:val="18"/>
              </w:rPr>
              <w:t>50</w:t>
            </w:r>
          </w:p>
        </w:tc>
        <w:tc>
          <w:tcPr>
            <w:tcW w:w="2678" w:type="dxa"/>
            <w:tcBorders>
              <w:top w:val="single" w:sz="4" w:space="0" w:color="000000"/>
              <w:left w:val="single" w:sz="4" w:space="0" w:color="DADADA"/>
              <w:bottom w:val="single" w:sz="4" w:space="0" w:color="000000"/>
              <w:right w:val="single" w:sz="4" w:space="0" w:color="DADADA"/>
            </w:tcBorders>
            <w:shd w:val="clear" w:color="auto" w:fill="ECF0FA"/>
          </w:tcPr>
          <w:p w:rsidR="006C17CB" w:rsidRDefault="0030091C">
            <w:pPr>
              <w:pStyle w:val="TableParagraph"/>
              <w:spacing w:before="109"/>
              <w:ind w:right="71"/>
              <w:rPr>
                <w:sz w:val="18"/>
              </w:rPr>
            </w:pPr>
            <w:r>
              <w:rPr>
                <w:sz w:val="18"/>
              </w:rPr>
              <w:t>12</w:t>
            </w:r>
          </w:p>
        </w:tc>
        <w:tc>
          <w:tcPr>
            <w:tcW w:w="2390" w:type="dxa"/>
            <w:tcBorders>
              <w:top w:val="single" w:sz="4" w:space="0" w:color="000000"/>
              <w:left w:val="single" w:sz="4" w:space="0" w:color="DADADA"/>
              <w:bottom w:val="single" w:sz="4" w:space="0" w:color="000000"/>
              <w:right w:val="nil"/>
            </w:tcBorders>
            <w:shd w:val="clear" w:color="auto" w:fill="ECF0FA"/>
          </w:tcPr>
          <w:p w:rsidR="006C17CB" w:rsidRDefault="0030091C">
            <w:pPr>
              <w:pStyle w:val="TableParagraph"/>
              <w:spacing w:before="109"/>
              <w:ind w:right="75"/>
              <w:rPr>
                <w:sz w:val="18"/>
              </w:rPr>
            </w:pPr>
            <w:r>
              <w:rPr>
                <w:sz w:val="18"/>
              </w:rPr>
              <w:t>4.17</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2003-2004 total</w:t>
            </w:r>
          </w:p>
        </w:tc>
        <w:tc>
          <w:tcPr>
            <w:tcW w:w="1856"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144</w:t>
            </w:r>
          </w:p>
        </w:tc>
        <w:tc>
          <w:tcPr>
            <w:tcW w:w="267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12</w:t>
            </w:r>
          </w:p>
        </w:tc>
        <w:tc>
          <w:tcPr>
            <w:tcW w:w="239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5"/>
              <w:rPr>
                <w:sz w:val="18"/>
              </w:rPr>
            </w:pPr>
            <w:r>
              <w:rPr>
                <w:sz w:val="18"/>
              </w:rPr>
              <w:t>12.00</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2005-2006</w:t>
            </w:r>
          </w:p>
        </w:tc>
        <w:tc>
          <w:tcPr>
            <w:tcW w:w="1856"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87</w:t>
            </w:r>
          </w:p>
        </w:tc>
        <w:tc>
          <w:tcPr>
            <w:tcW w:w="267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12</w:t>
            </w:r>
          </w:p>
        </w:tc>
        <w:tc>
          <w:tcPr>
            <w:tcW w:w="239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5"/>
              <w:rPr>
                <w:sz w:val="18"/>
              </w:rPr>
            </w:pPr>
            <w:r>
              <w:rPr>
                <w:sz w:val="18"/>
              </w:rPr>
              <w:t>7.25</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2006-2007</w:t>
            </w:r>
          </w:p>
        </w:tc>
        <w:tc>
          <w:tcPr>
            <w:tcW w:w="1856"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120</w:t>
            </w:r>
          </w:p>
        </w:tc>
        <w:tc>
          <w:tcPr>
            <w:tcW w:w="267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12</w:t>
            </w:r>
          </w:p>
        </w:tc>
        <w:tc>
          <w:tcPr>
            <w:tcW w:w="239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5"/>
              <w:rPr>
                <w:sz w:val="18"/>
              </w:rPr>
            </w:pPr>
            <w:r>
              <w:rPr>
                <w:sz w:val="18"/>
              </w:rPr>
              <w:t>10.0</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2007-2008</w:t>
            </w:r>
          </w:p>
        </w:tc>
        <w:tc>
          <w:tcPr>
            <w:tcW w:w="1856"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102</w:t>
            </w:r>
          </w:p>
        </w:tc>
        <w:tc>
          <w:tcPr>
            <w:tcW w:w="267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12</w:t>
            </w:r>
          </w:p>
        </w:tc>
        <w:tc>
          <w:tcPr>
            <w:tcW w:w="239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5"/>
              <w:rPr>
                <w:sz w:val="18"/>
              </w:rPr>
            </w:pPr>
            <w:r>
              <w:rPr>
                <w:sz w:val="18"/>
              </w:rPr>
              <w:t>8.5</w:t>
            </w:r>
          </w:p>
        </w:tc>
      </w:tr>
      <w:tr w:rsidR="006C17CB">
        <w:trPr>
          <w:trHeight w:val="386"/>
        </w:trPr>
        <w:tc>
          <w:tcPr>
            <w:tcW w:w="2721" w:type="dxa"/>
            <w:tcBorders>
              <w:top w:val="single" w:sz="4" w:space="0" w:color="000000"/>
              <w:left w:val="nil"/>
              <w:bottom w:val="single" w:sz="4" w:space="0" w:color="000000"/>
              <w:right w:val="single" w:sz="4" w:space="0" w:color="DADADA"/>
            </w:tcBorders>
            <w:shd w:val="clear" w:color="auto" w:fill="ECF0FA"/>
          </w:tcPr>
          <w:p w:rsidR="006C17CB" w:rsidRDefault="0030091C">
            <w:pPr>
              <w:pStyle w:val="TableParagraph"/>
              <w:spacing w:before="50"/>
              <w:ind w:left="79"/>
              <w:jc w:val="left"/>
              <w:rPr>
                <w:sz w:val="18"/>
              </w:rPr>
            </w:pPr>
            <w:r>
              <w:rPr>
                <w:sz w:val="18"/>
              </w:rPr>
              <w:t>2008-2009 (pre-election)</w:t>
            </w:r>
          </w:p>
        </w:tc>
        <w:tc>
          <w:tcPr>
            <w:tcW w:w="1856" w:type="dxa"/>
            <w:tcBorders>
              <w:top w:val="single" w:sz="4" w:space="0" w:color="000000"/>
              <w:left w:val="single" w:sz="4" w:space="0" w:color="DADADA"/>
              <w:bottom w:val="single" w:sz="4" w:space="0" w:color="000000"/>
              <w:right w:val="dashed" w:sz="4" w:space="0" w:color="DADADA"/>
            </w:tcBorders>
            <w:shd w:val="clear" w:color="auto" w:fill="ECF0FA"/>
          </w:tcPr>
          <w:p w:rsidR="006C17CB" w:rsidRDefault="0030091C">
            <w:pPr>
              <w:pStyle w:val="TableParagraph"/>
              <w:spacing w:before="50"/>
              <w:ind w:right="71"/>
              <w:rPr>
                <w:sz w:val="18"/>
              </w:rPr>
            </w:pPr>
            <w:r>
              <w:rPr>
                <w:sz w:val="18"/>
              </w:rPr>
              <w:t>16</w:t>
            </w:r>
          </w:p>
        </w:tc>
        <w:tc>
          <w:tcPr>
            <w:tcW w:w="2678" w:type="dxa"/>
            <w:tcBorders>
              <w:top w:val="single" w:sz="4" w:space="0" w:color="000000"/>
              <w:left w:val="dashed" w:sz="4" w:space="0" w:color="DADADA"/>
              <w:bottom w:val="single" w:sz="4" w:space="0" w:color="000000"/>
              <w:right w:val="dashed" w:sz="4" w:space="0" w:color="DADADA"/>
            </w:tcBorders>
            <w:shd w:val="clear" w:color="auto" w:fill="ECF0FA"/>
          </w:tcPr>
          <w:p w:rsidR="006C17CB" w:rsidRDefault="0030091C">
            <w:pPr>
              <w:pStyle w:val="TableParagraph"/>
              <w:spacing w:before="50"/>
              <w:ind w:right="71"/>
              <w:rPr>
                <w:sz w:val="18"/>
              </w:rPr>
            </w:pPr>
            <w:r>
              <w:rPr>
                <w:sz w:val="18"/>
              </w:rPr>
              <w:t>12</w:t>
            </w:r>
          </w:p>
        </w:tc>
        <w:tc>
          <w:tcPr>
            <w:tcW w:w="2390" w:type="dxa"/>
            <w:tcBorders>
              <w:top w:val="single" w:sz="4" w:space="0" w:color="000000"/>
              <w:left w:val="dashed" w:sz="4" w:space="0" w:color="DADADA"/>
              <w:bottom w:val="single" w:sz="4" w:space="0" w:color="000000"/>
              <w:right w:val="nil"/>
            </w:tcBorders>
            <w:shd w:val="clear" w:color="auto" w:fill="ECF0FA"/>
          </w:tcPr>
          <w:p w:rsidR="006C17CB" w:rsidRDefault="0030091C">
            <w:pPr>
              <w:pStyle w:val="TableParagraph"/>
              <w:spacing w:before="50"/>
              <w:ind w:right="75"/>
              <w:rPr>
                <w:sz w:val="18"/>
              </w:rPr>
            </w:pPr>
            <w:r>
              <w:rPr>
                <w:sz w:val="18"/>
              </w:rPr>
              <w:t>1.33</w:t>
            </w:r>
          </w:p>
        </w:tc>
      </w:tr>
      <w:tr w:rsidR="006C17CB">
        <w:trPr>
          <w:trHeight w:val="386"/>
        </w:trPr>
        <w:tc>
          <w:tcPr>
            <w:tcW w:w="2721" w:type="dxa"/>
            <w:tcBorders>
              <w:top w:val="single" w:sz="4" w:space="0" w:color="000000"/>
              <w:left w:val="nil"/>
              <w:bottom w:val="single" w:sz="4" w:space="0" w:color="000000"/>
              <w:right w:val="single" w:sz="4" w:space="0" w:color="DADADA"/>
            </w:tcBorders>
            <w:shd w:val="clear" w:color="auto" w:fill="ECF0FA"/>
          </w:tcPr>
          <w:p w:rsidR="006C17CB" w:rsidRDefault="0030091C">
            <w:pPr>
              <w:pStyle w:val="TableParagraph"/>
              <w:spacing w:before="50"/>
              <w:ind w:left="79"/>
              <w:jc w:val="left"/>
              <w:rPr>
                <w:sz w:val="18"/>
              </w:rPr>
            </w:pPr>
            <w:r>
              <w:rPr>
                <w:sz w:val="18"/>
              </w:rPr>
              <w:t>2008-2009 (post-election)</w:t>
            </w:r>
          </w:p>
        </w:tc>
        <w:tc>
          <w:tcPr>
            <w:tcW w:w="1856" w:type="dxa"/>
            <w:tcBorders>
              <w:top w:val="single" w:sz="4" w:space="0" w:color="000000"/>
              <w:left w:val="single" w:sz="4" w:space="0" w:color="DADADA"/>
              <w:bottom w:val="single" w:sz="4" w:space="0" w:color="000000"/>
              <w:right w:val="dashed" w:sz="4" w:space="0" w:color="DADADA"/>
            </w:tcBorders>
            <w:shd w:val="clear" w:color="auto" w:fill="ECF0FA"/>
          </w:tcPr>
          <w:p w:rsidR="006C17CB" w:rsidRDefault="0030091C">
            <w:pPr>
              <w:pStyle w:val="TableParagraph"/>
              <w:spacing w:before="50"/>
              <w:ind w:right="71"/>
              <w:rPr>
                <w:sz w:val="18"/>
              </w:rPr>
            </w:pPr>
            <w:r>
              <w:rPr>
                <w:sz w:val="18"/>
              </w:rPr>
              <w:t>98</w:t>
            </w:r>
          </w:p>
        </w:tc>
        <w:tc>
          <w:tcPr>
            <w:tcW w:w="2678" w:type="dxa"/>
            <w:tcBorders>
              <w:top w:val="single" w:sz="4" w:space="0" w:color="000000"/>
              <w:left w:val="dashed" w:sz="4" w:space="0" w:color="DADADA"/>
              <w:bottom w:val="single" w:sz="4" w:space="0" w:color="000000"/>
              <w:right w:val="dashed" w:sz="4" w:space="0" w:color="DADADA"/>
            </w:tcBorders>
            <w:shd w:val="clear" w:color="auto" w:fill="ECF0FA"/>
          </w:tcPr>
          <w:p w:rsidR="006C17CB" w:rsidRDefault="0030091C">
            <w:pPr>
              <w:pStyle w:val="TableParagraph"/>
              <w:spacing w:before="50"/>
              <w:ind w:right="71"/>
              <w:rPr>
                <w:sz w:val="18"/>
              </w:rPr>
            </w:pPr>
            <w:r>
              <w:rPr>
                <w:sz w:val="18"/>
              </w:rPr>
              <w:t>12</w:t>
            </w:r>
          </w:p>
        </w:tc>
        <w:tc>
          <w:tcPr>
            <w:tcW w:w="2390" w:type="dxa"/>
            <w:tcBorders>
              <w:top w:val="single" w:sz="4" w:space="0" w:color="000000"/>
              <w:left w:val="dashed" w:sz="4" w:space="0" w:color="DADADA"/>
              <w:bottom w:val="single" w:sz="4" w:space="0" w:color="000000"/>
              <w:right w:val="nil"/>
            </w:tcBorders>
            <w:shd w:val="clear" w:color="auto" w:fill="ECF0FA"/>
          </w:tcPr>
          <w:p w:rsidR="006C17CB" w:rsidRDefault="0030091C">
            <w:pPr>
              <w:pStyle w:val="TableParagraph"/>
              <w:spacing w:before="50"/>
              <w:ind w:right="75"/>
              <w:rPr>
                <w:sz w:val="18"/>
              </w:rPr>
            </w:pPr>
            <w:r>
              <w:rPr>
                <w:sz w:val="18"/>
              </w:rPr>
              <w:t>8.17</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2008-2009 total</w:t>
            </w:r>
          </w:p>
        </w:tc>
        <w:tc>
          <w:tcPr>
            <w:tcW w:w="1856"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114</w:t>
            </w:r>
          </w:p>
        </w:tc>
        <w:tc>
          <w:tcPr>
            <w:tcW w:w="267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12</w:t>
            </w:r>
          </w:p>
        </w:tc>
        <w:tc>
          <w:tcPr>
            <w:tcW w:w="239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5"/>
              <w:rPr>
                <w:sz w:val="18"/>
              </w:rPr>
            </w:pPr>
            <w:r>
              <w:rPr>
                <w:sz w:val="18"/>
              </w:rPr>
              <w:t>9.5</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2009-2010</w:t>
            </w:r>
          </w:p>
        </w:tc>
        <w:tc>
          <w:tcPr>
            <w:tcW w:w="1856"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71</w:t>
            </w:r>
          </w:p>
        </w:tc>
        <w:tc>
          <w:tcPr>
            <w:tcW w:w="267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12</w:t>
            </w:r>
          </w:p>
        </w:tc>
        <w:tc>
          <w:tcPr>
            <w:tcW w:w="239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5"/>
              <w:rPr>
                <w:sz w:val="18"/>
              </w:rPr>
            </w:pPr>
            <w:r>
              <w:rPr>
                <w:sz w:val="18"/>
              </w:rPr>
              <w:t>5.91</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2010-2011</w:t>
            </w:r>
          </w:p>
        </w:tc>
        <w:tc>
          <w:tcPr>
            <w:tcW w:w="1856"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79</w:t>
            </w:r>
          </w:p>
        </w:tc>
        <w:tc>
          <w:tcPr>
            <w:tcW w:w="267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48"/>
              <w:ind w:right="71"/>
              <w:rPr>
                <w:sz w:val="13"/>
              </w:rPr>
            </w:pPr>
            <w:r>
              <w:rPr>
                <w:sz w:val="18"/>
              </w:rPr>
              <w:t>13</w:t>
            </w:r>
            <w:r>
              <w:rPr>
                <w:position w:val="6"/>
                <w:sz w:val="13"/>
              </w:rPr>
              <w:t>1</w:t>
            </w:r>
          </w:p>
        </w:tc>
        <w:tc>
          <w:tcPr>
            <w:tcW w:w="239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5"/>
              <w:rPr>
                <w:sz w:val="18"/>
              </w:rPr>
            </w:pPr>
            <w:r>
              <w:rPr>
                <w:sz w:val="18"/>
              </w:rPr>
              <w:t>6.08</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2011-2012</w:t>
            </w:r>
          </w:p>
        </w:tc>
        <w:tc>
          <w:tcPr>
            <w:tcW w:w="1856"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59</w:t>
            </w:r>
          </w:p>
        </w:tc>
        <w:tc>
          <w:tcPr>
            <w:tcW w:w="267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48"/>
              <w:ind w:right="71"/>
              <w:rPr>
                <w:sz w:val="13"/>
              </w:rPr>
            </w:pPr>
            <w:r>
              <w:rPr>
                <w:sz w:val="18"/>
              </w:rPr>
              <w:t>12</w:t>
            </w:r>
            <w:r>
              <w:rPr>
                <w:position w:val="6"/>
                <w:sz w:val="13"/>
              </w:rPr>
              <w:t>1</w:t>
            </w:r>
          </w:p>
        </w:tc>
        <w:tc>
          <w:tcPr>
            <w:tcW w:w="239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5"/>
              <w:rPr>
                <w:sz w:val="18"/>
              </w:rPr>
            </w:pPr>
            <w:r>
              <w:rPr>
                <w:sz w:val="18"/>
              </w:rPr>
              <w:t>4.92</w:t>
            </w:r>
          </w:p>
        </w:tc>
      </w:tr>
      <w:tr w:rsidR="006C17CB">
        <w:trPr>
          <w:trHeight w:val="386"/>
        </w:trPr>
        <w:tc>
          <w:tcPr>
            <w:tcW w:w="2721" w:type="dxa"/>
            <w:tcBorders>
              <w:top w:val="single" w:sz="4" w:space="0" w:color="000000"/>
              <w:left w:val="nil"/>
              <w:bottom w:val="single" w:sz="4" w:space="0" w:color="000000"/>
              <w:right w:val="single" w:sz="4" w:space="0" w:color="DADADA"/>
            </w:tcBorders>
            <w:shd w:val="clear" w:color="auto" w:fill="ECF0FA"/>
          </w:tcPr>
          <w:p w:rsidR="006C17CB" w:rsidRDefault="0030091C">
            <w:pPr>
              <w:pStyle w:val="TableParagraph"/>
              <w:spacing w:before="50"/>
              <w:ind w:left="79"/>
              <w:jc w:val="left"/>
              <w:rPr>
                <w:sz w:val="18"/>
              </w:rPr>
            </w:pPr>
            <w:r>
              <w:rPr>
                <w:sz w:val="18"/>
              </w:rPr>
              <w:t>2012-2013 (pre-election)</w:t>
            </w:r>
          </w:p>
        </w:tc>
        <w:tc>
          <w:tcPr>
            <w:tcW w:w="1856" w:type="dxa"/>
            <w:tcBorders>
              <w:top w:val="single" w:sz="4" w:space="0" w:color="000000"/>
              <w:left w:val="single" w:sz="4" w:space="0" w:color="DADADA"/>
              <w:bottom w:val="single" w:sz="4" w:space="0" w:color="000000"/>
              <w:right w:val="dashed" w:sz="4" w:space="0" w:color="DADADA"/>
            </w:tcBorders>
            <w:shd w:val="clear" w:color="auto" w:fill="ECF0FA"/>
          </w:tcPr>
          <w:p w:rsidR="006C17CB" w:rsidRDefault="0030091C">
            <w:pPr>
              <w:pStyle w:val="TableParagraph"/>
              <w:spacing w:before="50"/>
              <w:ind w:right="71"/>
              <w:rPr>
                <w:sz w:val="18"/>
              </w:rPr>
            </w:pPr>
            <w:r>
              <w:rPr>
                <w:sz w:val="18"/>
              </w:rPr>
              <w:t>12</w:t>
            </w:r>
          </w:p>
        </w:tc>
        <w:tc>
          <w:tcPr>
            <w:tcW w:w="2678" w:type="dxa"/>
            <w:tcBorders>
              <w:top w:val="single" w:sz="4" w:space="0" w:color="000000"/>
              <w:left w:val="dashed" w:sz="4" w:space="0" w:color="DADADA"/>
              <w:bottom w:val="single" w:sz="4" w:space="0" w:color="000000"/>
              <w:right w:val="dashed" w:sz="4" w:space="0" w:color="DADADA"/>
            </w:tcBorders>
            <w:shd w:val="clear" w:color="auto" w:fill="ECF0FA"/>
          </w:tcPr>
          <w:p w:rsidR="006C17CB" w:rsidRDefault="0030091C">
            <w:pPr>
              <w:pStyle w:val="TableParagraph"/>
              <w:spacing w:before="50"/>
              <w:ind w:right="71"/>
              <w:rPr>
                <w:sz w:val="18"/>
              </w:rPr>
            </w:pPr>
            <w:r>
              <w:rPr>
                <w:sz w:val="18"/>
              </w:rPr>
              <w:t>12</w:t>
            </w:r>
          </w:p>
        </w:tc>
        <w:tc>
          <w:tcPr>
            <w:tcW w:w="2390" w:type="dxa"/>
            <w:tcBorders>
              <w:top w:val="single" w:sz="4" w:space="0" w:color="000000"/>
              <w:left w:val="dashed" w:sz="4" w:space="0" w:color="DADADA"/>
              <w:bottom w:val="single" w:sz="4" w:space="0" w:color="000000"/>
              <w:right w:val="nil"/>
            </w:tcBorders>
            <w:shd w:val="clear" w:color="auto" w:fill="ECF0FA"/>
          </w:tcPr>
          <w:p w:rsidR="006C17CB" w:rsidRDefault="0030091C">
            <w:pPr>
              <w:pStyle w:val="TableParagraph"/>
              <w:spacing w:before="50"/>
              <w:ind w:right="75"/>
              <w:rPr>
                <w:sz w:val="18"/>
              </w:rPr>
            </w:pPr>
            <w:r>
              <w:rPr>
                <w:sz w:val="18"/>
              </w:rPr>
              <w:t>1.00</w:t>
            </w:r>
          </w:p>
        </w:tc>
      </w:tr>
      <w:tr w:rsidR="006C17CB">
        <w:trPr>
          <w:trHeight w:val="386"/>
        </w:trPr>
        <w:tc>
          <w:tcPr>
            <w:tcW w:w="2721" w:type="dxa"/>
            <w:tcBorders>
              <w:top w:val="single" w:sz="4" w:space="0" w:color="000000"/>
              <w:left w:val="nil"/>
              <w:bottom w:val="single" w:sz="4" w:space="0" w:color="000000"/>
              <w:right w:val="single" w:sz="4" w:space="0" w:color="DADADA"/>
            </w:tcBorders>
            <w:shd w:val="clear" w:color="auto" w:fill="ECF0FA"/>
          </w:tcPr>
          <w:p w:rsidR="006C17CB" w:rsidRDefault="0030091C">
            <w:pPr>
              <w:pStyle w:val="TableParagraph"/>
              <w:spacing w:before="50"/>
              <w:ind w:left="79"/>
              <w:jc w:val="left"/>
              <w:rPr>
                <w:sz w:val="18"/>
              </w:rPr>
            </w:pPr>
            <w:r>
              <w:rPr>
                <w:sz w:val="18"/>
              </w:rPr>
              <w:t>2012-2013 (post-election)</w:t>
            </w:r>
          </w:p>
        </w:tc>
        <w:tc>
          <w:tcPr>
            <w:tcW w:w="1856" w:type="dxa"/>
            <w:tcBorders>
              <w:top w:val="single" w:sz="4" w:space="0" w:color="000000"/>
              <w:left w:val="single" w:sz="4" w:space="0" w:color="DADADA"/>
              <w:bottom w:val="single" w:sz="4" w:space="0" w:color="000000"/>
              <w:right w:val="dashed" w:sz="4" w:space="0" w:color="DADADA"/>
            </w:tcBorders>
            <w:shd w:val="clear" w:color="auto" w:fill="ECF0FA"/>
          </w:tcPr>
          <w:p w:rsidR="006C17CB" w:rsidRDefault="0030091C">
            <w:pPr>
              <w:pStyle w:val="TableParagraph"/>
              <w:spacing w:before="50"/>
              <w:ind w:right="71"/>
              <w:rPr>
                <w:sz w:val="18"/>
              </w:rPr>
            </w:pPr>
            <w:r>
              <w:rPr>
                <w:sz w:val="18"/>
              </w:rPr>
              <w:t>91</w:t>
            </w:r>
          </w:p>
        </w:tc>
        <w:tc>
          <w:tcPr>
            <w:tcW w:w="2678" w:type="dxa"/>
            <w:tcBorders>
              <w:top w:val="single" w:sz="4" w:space="0" w:color="000000"/>
              <w:left w:val="dashed" w:sz="4" w:space="0" w:color="DADADA"/>
              <w:bottom w:val="single" w:sz="4" w:space="0" w:color="000000"/>
              <w:right w:val="dashed" w:sz="4" w:space="0" w:color="DADADA"/>
            </w:tcBorders>
            <w:shd w:val="clear" w:color="auto" w:fill="ECF0FA"/>
          </w:tcPr>
          <w:p w:rsidR="006C17CB" w:rsidRDefault="0030091C">
            <w:pPr>
              <w:pStyle w:val="TableParagraph"/>
              <w:spacing w:before="50"/>
              <w:ind w:right="71"/>
              <w:rPr>
                <w:sz w:val="18"/>
              </w:rPr>
            </w:pPr>
            <w:r>
              <w:rPr>
                <w:sz w:val="18"/>
              </w:rPr>
              <w:t>12</w:t>
            </w:r>
          </w:p>
        </w:tc>
        <w:tc>
          <w:tcPr>
            <w:tcW w:w="2390" w:type="dxa"/>
            <w:tcBorders>
              <w:top w:val="single" w:sz="4" w:space="0" w:color="000000"/>
              <w:left w:val="dashed" w:sz="4" w:space="0" w:color="DADADA"/>
              <w:bottom w:val="single" w:sz="4" w:space="0" w:color="000000"/>
              <w:right w:val="nil"/>
            </w:tcBorders>
            <w:shd w:val="clear" w:color="auto" w:fill="ECF0FA"/>
          </w:tcPr>
          <w:p w:rsidR="006C17CB" w:rsidRDefault="0030091C">
            <w:pPr>
              <w:pStyle w:val="TableParagraph"/>
              <w:spacing w:before="50"/>
              <w:ind w:right="75"/>
              <w:rPr>
                <w:sz w:val="18"/>
              </w:rPr>
            </w:pPr>
            <w:r>
              <w:rPr>
                <w:sz w:val="18"/>
              </w:rPr>
              <w:t>7.58</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2013-2014</w:t>
            </w:r>
          </w:p>
        </w:tc>
        <w:tc>
          <w:tcPr>
            <w:tcW w:w="1856"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66</w:t>
            </w:r>
          </w:p>
        </w:tc>
        <w:tc>
          <w:tcPr>
            <w:tcW w:w="267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12</w:t>
            </w:r>
          </w:p>
        </w:tc>
        <w:tc>
          <w:tcPr>
            <w:tcW w:w="239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5"/>
              <w:rPr>
                <w:sz w:val="18"/>
              </w:rPr>
            </w:pPr>
            <w:r>
              <w:rPr>
                <w:sz w:val="18"/>
              </w:rPr>
              <w:t>5.50</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2014-2015</w:t>
            </w:r>
          </w:p>
        </w:tc>
        <w:tc>
          <w:tcPr>
            <w:tcW w:w="1856"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77</w:t>
            </w:r>
          </w:p>
        </w:tc>
        <w:tc>
          <w:tcPr>
            <w:tcW w:w="267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11</w:t>
            </w:r>
          </w:p>
        </w:tc>
        <w:tc>
          <w:tcPr>
            <w:tcW w:w="239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5"/>
              <w:rPr>
                <w:sz w:val="18"/>
              </w:rPr>
            </w:pPr>
            <w:r>
              <w:rPr>
                <w:sz w:val="18"/>
              </w:rPr>
              <w:t>7.00</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2015-2016</w:t>
            </w:r>
          </w:p>
        </w:tc>
        <w:tc>
          <w:tcPr>
            <w:tcW w:w="1856"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62</w:t>
            </w:r>
          </w:p>
        </w:tc>
        <w:tc>
          <w:tcPr>
            <w:tcW w:w="267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48"/>
              <w:ind w:right="71"/>
              <w:rPr>
                <w:sz w:val="13"/>
              </w:rPr>
            </w:pPr>
            <w:r>
              <w:rPr>
                <w:sz w:val="18"/>
              </w:rPr>
              <w:t>10</w:t>
            </w:r>
            <w:r>
              <w:rPr>
                <w:position w:val="6"/>
                <w:sz w:val="13"/>
              </w:rPr>
              <w:t>2</w:t>
            </w:r>
          </w:p>
        </w:tc>
        <w:tc>
          <w:tcPr>
            <w:tcW w:w="239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5"/>
              <w:rPr>
                <w:sz w:val="18"/>
              </w:rPr>
            </w:pPr>
            <w:r>
              <w:rPr>
                <w:sz w:val="18"/>
              </w:rPr>
              <w:t>5.17</w:t>
            </w:r>
          </w:p>
        </w:tc>
      </w:tr>
      <w:tr w:rsidR="006C17CB">
        <w:trPr>
          <w:trHeight w:val="386"/>
        </w:trPr>
        <w:tc>
          <w:tcPr>
            <w:tcW w:w="2721" w:type="dxa"/>
            <w:tcBorders>
              <w:top w:val="single" w:sz="4" w:space="0" w:color="000000"/>
              <w:left w:val="nil"/>
              <w:bottom w:val="single" w:sz="4" w:space="0" w:color="000000"/>
              <w:right w:val="single" w:sz="4" w:space="0" w:color="DADADA"/>
            </w:tcBorders>
            <w:shd w:val="clear" w:color="auto" w:fill="ECF0FA"/>
          </w:tcPr>
          <w:p w:rsidR="006C17CB" w:rsidRDefault="0030091C">
            <w:pPr>
              <w:pStyle w:val="TableParagraph"/>
              <w:spacing w:before="50"/>
              <w:ind w:left="79"/>
              <w:jc w:val="left"/>
              <w:rPr>
                <w:sz w:val="18"/>
              </w:rPr>
            </w:pPr>
            <w:r>
              <w:rPr>
                <w:sz w:val="18"/>
              </w:rPr>
              <w:t>2016-2017 (pre-election)</w:t>
            </w:r>
          </w:p>
        </w:tc>
        <w:tc>
          <w:tcPr>
            <w:tcW w:w="1856" w:type="dxa"/>
            <w:tcBorders>
              <w:top w:val="single" w:sz="4" w:space="0" w:color="000000"/>
              <w:left w:val="single" w:sz="4" w:space="0" w:color="DADADA"/>
              <w:bottom w:val="single" w:sz="4" w:space="0" w:color="000000"/>
              <w:right w:val="dashed" w:sz="4" w:space="0" w:color="DADADA"/>
            </w:tcBorders>
            <w:shd w:val="clear" w:color="auto" w:fill="ECF0FA"/>
          </w:tcPr>
          <w:p w:rsidR="006C17CB" w:rsidRDefault="0030091C">
            <w:pPr>
              <w:pStyle w:val="TableParagraph"/>
              <w:spacing w:before="50"/>
              <w:ind w:right="71"/>
              <w:rPr>
                <w:sz w:val="18"/>
              </w:rPr>
            </w:pPr>
            <w:r>
              <w:rPr>
                <w:sz w:val="18"/>
              </w:rPr>
              <w:t>17</w:t>
            </w:r>
          </w:p>
        </w:tc>
        <w:tc>
          <w:tcPr>
            <w:tcW w:w="2678" w:type="dxa"/>
            <w:tcBorders>
              <w:top w:val="single" w:sz="4" w:space="0" w:color="000000"/>
              <w:left w:val="dashed" w:sz="4" w:space="0" w:color="DADADA"/>
              <w:bottom w:val="single" w:sz="4" w:space="0" w:color="000000"/>
              <w:right w:val="dashed" w:sz="4" w:space="0" w:color="DADADA"/>
            </w:tcBorders>
            <w:shd w:val="clear" w:color="auto" w:fill="ECF0FA"/>
          </w:tcPr>
          <w:p w:rsidR="006C17CB" w:rsidRDefault="0030091C">
            <w:pPr>
              <w:pStyle w:val="TableParagraph"/>
              <w:spacing w:before="50"/>
              <w:ind w:right="71"/>
              <w:rPr>
                <w:sz w:val="18"/>
              </w:rPr>
            </w:pPr>
            <w:r>
              <w:rPr>
                <w:sz w:val="18"/>
              </w:rPr>
              <w:t>11</w:t>
            </w:r>
          </w:p>
        </w:tc>
        <w:tc>
          <w:tcPr>
            <w:tcW w:w="2390" w:type="dxa"/>
            <w:tcBorders>
              <w:top w:val="single" w:sz="4" w:space="0" w:color="000000"/>
              <w:left w:val="dashed" w:sz="4" w:space="0" w:color="DADADA"/>
              <w:bottom w:val="single" w:sz="4" w:space="0" w:color="000000"/>
              <w:right w:val="nil"/>
            </w:tcBorders>
            <w:shd w:val="clear" w:color="auto" w:fill="ECF0FA"/>
          </w:tcPr>
          <w:p w:rsidR="006C17CB" w:rsidRDefault="0030091C">
            <w:pPr>
              <w:pStyle w:val="TableParagraph"/>
              <w:spacing w:before="50"/>
              <w:ind w:right="75"/>
              <w:rPr>
                <w:sz w:val="18"/>
              </w:rPr>
            </w:pPr>
            <w:r>
              <w:rPr>
                <w:sz w:val="18"/>
              </w:rPr>
              <w:t>1.55</w:t>
            </w:r>
          </w:p>
        </w:tc>
      </w:tr>
      <w:tr w:rsidR="006C17CB">
        <w:trPr>
          <w:trHeight w:val="386"/>
        </w:trPr>
        <w:tc>
          <w:tcPr>
            <w:tcW w:w="2721" w:type="dxa"/>
            <w:tcBorders>
              <w:top w:val="single" w:sz="4" w:space="0" w:color="000000"/>
              <w:left w:val="nil"/>
              <w:bottom w:val="single" w:sz="4" w:space="0" w:color="000000"/>
              <w:right w:val="single" w:sz="4" w:space="0" w:color="DADADA"/>
            </w:tcBorders>
            <w:shd w:val="clear" w:color="auto" w:fill="ECF0FA"/>
          </w:tcPr>
          <w:p w:rsidR="006C17CB" w:rsidRDefault="0030091C">
            <w:pPr>
              <w:pStyle w:val="TableParagraph"/>
              <w:spacing w:before="50"/>
              <w:ind w:left="79"/>
              <w:jc w:val="left"/>
              <w:rPr>
                <w:sz w:val="18"/>
              </w:rPr>
            </w:pPr>
            <w:r>
              <w:rPr>
                <w:sz w:val="18"/>
              </w:rPr>
              <w:t>2016-2017 (post-election)</w:t>
            </w:r>
          </w:p>
        </w:tc>
        <w:tc>
          <w:tcPr>
            <w:tcW w:w="1856" w:type="dxa"/>
            <w:tcBorders>
              <w:top w:val="single" w:sz="4" w:space="0" w:color="000000"/>
              <w:left w:val="single" w:sz="4" w:space="0" w:color="DADADA"/>
              <w:bottom w:val="single" w:sz="4" w:space="0" w:color="000000"/>
              <w:right w:val="dashed" w:sz="4" w:space="0" w:color="DADADA"/>
            </w:tcBorders>
            <w:shd w:val="clear" w:color="auto" w:fill="ECF0FA"/>
          </w:tcPr>
          <w:p w:rsidR="006C17CB" w:rsidRDefault="0030091C">
            <w:pPr>
              <w:pStyle w:val="TableParagraph"/>
              <w:spacing w:before="50"/>
              <w:ind w:right="71"/>
              <w:rPr>
                <w:sz w:val="18"/>
              </w:rPr>
            </w:pPr>
            <w:r>
              <w:rPr>
                <w:sz w:val="18"/>
              </w:rPr>
              <w:t>101</w:t>
            </w:r>
          </w:p>
        </w:tc>
        <w:tc>
          <w:tcPr>
            <w:tcW w:w="2678" w:type="dxa"/>
            <w:tcBorders>
              <w:top w:val="single" w:sz="4" w:space="0" w:color="000000"/>
              <w:left w:val="dashed" w:sz="4" w:space="0" w:color="DADADA"/>
              <w:bottom w:val="single" w:sz="4" w:space="0" w:color="000000"/>
              <w:right w:val="dashed" w:sz="4" w:space="0" w:color="DADADA"/>
            </w:tcBorders>
            <w:shd w:val="clear" w:color="auto" w:fill="ECF0FA"/>
          </w:tcPr>
          <w:p w:rsidR="006C17CB" w:rsidRDefault="0030091C">
            <w:pPr>
              <w:pStyle w:val="TableParagraph"/>
              <w:spacing w:before="50"/>
              <w:ind w:right="71"/>
              <w:rPr>
                <w:sz w:val="18"/>
              </w:rPr>
            </w:pPr>
            <w:r>
              <w:rPr>
                <w:sz w:val="18"/>
              </w:rPr>
              <w:t>18</w:t>
            </w:r>
          </w:p>
        </w:tc>
        <w:tc>
          <w:tcPr>
            <w:tcW w:w="2390" w:type="dxa"/>
            <w:tcBorders>
              <w:top w:val="single" w:sz="4" w:space="0" w:color="000000"/>
              <w:left w:val="dashed" w:sz="4" w:space="0" w:color="DADADA"/>
              <w:bottom w:val="single" w:sz="4" w:space="0" w:color="000000"/>
              <w:right w:val="nil"/>
            </w:tcBorders>
            <w:shd w:val="clear" w:color="auto" w:fill="ECF0FA"/>
          </w:tcPr>
          <w:p w:rsidR="006C17CB" w:rsidRDefault="0030091C">
            <w:pPr>
              <w:pStyle w:val="TableParagraph"/>
              <w:spacing w:before="50"/>
              <w:ind w:right="75"/>
              <w:rPr>
                <w:sz w:val="18"/>
              </w:rPr>
            </w:pPr>
            <w:r>
              <w:rPr>
                <w:sz w:val="18"/>
              </w:rPr>
              <w:t>5.61</w:t>
            </w:r>
          </w:p>
        </w:tc>
      </w:tr>
      <w:tr w:rsidR="006C17CB">
        <w:trPr>
          <w:trHeight w:val="386"/>
        </w:trPr>
        <w:tc>
          <w:tcPr>
            <w:tcW w:w="272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2017-2018</w:t>
            </w:r>
          </w:p>
        </w:tc>
        <w:tc>
          <w:tcPr>
            <w:tcW w:w="1856"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109</w:t>
            </w:r>
          </w:p>
        </w:tc>
        <w:tc>
          <w:tcPr>
            <w:tcW w:w="267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1"/>
              <w:rPr>
                <w:sz w:val="18"/>
              </w:rPr>
            </w:pPr>
            <w:r>
              <w:rPr>
                <w:sz w:val="18"/>
              </w:rPr>
              <w:t>18</w:t>
            </w:r>
          </w:p>
        </w:tc>
        <w:tc>
          <w:tcPr>
            <w:tcW w:w="239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5"/>
              <w:rPr>
                <w:sz w:val="18"/>
              </w:rPr>
            </w:pPr>
            <w:r>
              <w:rPr>
                <w:sz w:val="18"/>
              </w:rPr>
              <w:t>6.06</w:t>
            </w:r>
          </w:p>
        </w:tc>
      </w:tr>
    </w:tbl>
    <w:p w:rsidR="006C17CB" w:rsidRDefault="0030091C">
      <w:pPr>
        <w:pStyle w:val="ListParagraph"/>
        <w:numPr>
          <w:ilvl w:val="0"/>
          <w:numId w:val="19"/>
        </w:numPr>
        <w:tabs>
          <w:tab w:val="left" w:pos="324"/>
        </w:tabs>
        <w:spacing w:before="305" w:line="240" w:lineRule="auto"/>
        <w:ind w:hanging="170"/>
        <w:rPr>
          <w:rFonts w:ascii="Calibri"/>
          <w:sz w:val="18"/>
        </w:rPr>
      </w:pPr>
      <w:r>
        <w:rPr>
          <w:rFonts w:ascii="Calibri"/>
          <w:sz w:val="18"/>
        </w:rPr>
        <w:t>13th non-executive member from 2 June 2011 to 23 November</w:t>
      </w:r>
      <w:r>
        <w:rPr>
          <w:rFonts w:ascii="Calibri"/>
          <w:spacing w:val="-4"/>
          <w:sz w:val="18"/>
        </w:rPr>
        <w:t xml:space="preserve"> </w:t>
      </w:r>
      <w:r>
        <w:rPr>
          <w:rFonts w:ascii="Calibri"/>
          <w:sz w:val="18"/>
        </w:rPr>
        <w:t>2011.</w:t>
      </w:r>
    </w:p>
    <w:p w:rsidR="006C17CB" w:rsidRDefault="0030091C">
      <w:pPr>
        <w:pStyle w:val="ListParagraph"/>
        <w:numPr>
          <w:ilvl w:val="0"/>
          <w:numId w:val="19"/>
        </w:numPr>
        <w:tabs>
          <w:tab w:val="left" w:pos="324"/>
        </w:tabs>
        <w:spacing w:before="54" w:line="240" w:lineRule="auto"/>
        <w:ind w:hanging="170"/>
        <w:rPr>
          <w:rFonts w:ascii="Calibri"/>
          <w:sz w:val="18"/>
        </w:rPr>
      </w:pPr>
      <w:r>
        <w:rPr>
          <w:rFonts w:ascii="Calibri"/>
          <w:sz w:val="18"/>
        </w:rPr>
        <w:t>11th non-executive member from 1 July 2015 to January</w:t>
      </w:r>
      <w:r>
        <w:rPr>
          <w:rFonts w:ascii="Calibri"/>
          <w:spacing w:val="-4"/>
          <w:sz w:val="18"/>
        </w:rPr>
        <w:t xml:space="preserve"> </w:t>
      </w:r>
      <w:r>
        <w:rPr>
          <w:rFonts w:ascii="Calibri"/>
          <w:sz w:val="18"/>
        </w:rPr>
        <w:t>2016.</w:t>
      </w:r>
    </w:p>
    <w:p w:rsidR="006C17CB" w:rsidRDefault="006C17CB">
      <w:pPr>
        <w:rPr>
          <w:rFonts w:ascii="Calibri"/>
          <w:sz w:val="18"/>
        </w:rPr>
        <w:sectPr w:rsidR="006C17CB">
          <w:headerReference w:type="default" r:id="rId113"/>
          <w:pgSz w:w="11910" w:h="16840"/>
          <w:pgMar w:top="1520" w:right="0" w:bottom="740" w:left="980" w:header="1132" w:footer="551" w:gutter="0"/>
          <w:cols w:space="720"/>
        </w:sect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16"/>
        </w:rPr>
      </w:pPr>
    </w:p>
    <w:p w:rsidR="006C17CB" w:rsidRDefault="0030091C">
      <w:pPr>
        <w:pStyle w:val="Heading6"/>
        <w:spacing w:before="155" w:line="230" w:lineRule="auto"/>
        <w:ind w:left="153" w:right="1948"/>
        <w:rPr>
          <w:rFonts w:ascii="Montserrat"/>
        </w:rPr>
      </w:pPr>
      <w:r>
        <w:rPr>
          <w:rFonts w:ascii="Montserrat"/>
          <w:color w:val="556EAA"/>
        </w:rPr>
        <w:t>Number of non-executive MLA staff employed at each classification at 30 June 2018</w:t>
      </w:r>
    </w:p>
    <w:p w:rsidR="006C17CB" w:rsidRDefault="006C17CB">
      <w:pPr>
        <w:pStyle w:val="BodyText"/>
        <w:spacing w:before="1"/>
        <w:rPr>
          <w:rFonts w:ascii="Montserrat"/>
          <w:b/>
          <w:sz w:val="11"/>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6146"/>
        <w:gridCol w:w="1714"/>
        <w:gridCol w:w="1776"/>
      </w:tblGrid>
      <w:tr w:rsidR="006C17CB">
        <w:trPr>
          <w:trHeight w:val="396"/>
        </w:trPr>
        <w:tc>
          <w:tcPr>
            <w:tcW w:w="6146"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Classification</w:t>
            </w:r>
          </w:p>
        </w:tc>
        <w:tc>
          <w:tcPr>
            <w:tcW w:w="1714" w:type="dxa"/>
            <w:tcBorders>
              <w:top w:val="nil"/>
              <w:bottom w:val="nil"/>
            </w:tcBorders>
            <w:shd w:val="clear" w:color="auto" w:fill="89A7D7"/>
          </w:tcPr>
          <w:p w:rsidR="006C17CB" w:rsidRDefault="0030091C">
            <w:pPr>
              <w:pStyle w:val="TableParagraph"/>
              <w:spacing w:before="72"/>
              <w:ind w:right="69"/>
              <w:rPr>
                <w:b/>
                <w:sz w:val="18"/>
              </w:rPr>
            </w:pPr>
            <w:r>
              <w:rPr>
                <w:b/>
                <w:sz w:val="18"/>
              </w:rPr>
              <w:t>Number of staff</w:t>
            </w:r>
          </w:p>
        </w:tc>
        <w:tc>
          <w:tcPr>
            <w:tcW w:w="1776" w:type="dxa"/>
            <w:tcBorders>
              <w:top w:val="nil"/>
              <w:bottom w:val="nil"/>
              <w:right w:val="nil"/>
            </w:tcBorders>
            <w:shd w:val="clear" w:color="auto" w:fill="89A7D7"/>
          </w:tcPr>
          <w:p w:rsidR="006C17CB" w:rsidRDefault="0030091C">
            <w:pPr>
              <w:pStyle w:val="TableParagraph"/>
              <w:spacing w:before="72"/>
              <w:ind w:right="80"/>
              <w:rPr>
                <w:b/>
                <w:sz w:val="18"/>
              </w:rPr>
            </w:pPr>
            <w:r>
              <w:rPr>
                <w:b/>
                <w:sz w:val="18"/>
              </w:rPr>
              <w:t>Full-timeequivalent</w:t>
            </w:r>
          </w:p>
        </w:tc>
      </w:tr>
      <w:tr w:rsidR="006C17CB">
        <w:trPr>
          <w:trHeight w:val="386"/>
        </w:trPr>
        <w:tc>
          <w:tcPr>
            <w:tcW w:w="6146"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Senior Adviser Level 2</w:t>
            </w:r>
          </w:p>
        </w:tc>
        <w:tc>
          <w:tcPr>
            <w:tcW w:w="1714" w:type="dxa"/>
            <w:tcBorders>
              <w:top w:val="nil"/>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2</w:t>
            </w:r>
          </w:p>
        </w:tc>
        <w:tc>
          <w:tcPr>
            <w:tcW w:w="1776" w:type="dxa"/>
            <w:tcBorders>
              <w:top w:val="nil"/>
              <w:left w:val="single" w:sz="4" w:space="0" w:color="DADADA"/>
              <w:bottom w:val="single" w:sz="4" w:space="0" w:color="000000"/>
              <w:right w:val="nil"/>
            </w:tcBorders>
          </w:tcPr>
          <w:p w:rsidR="006C17CB" w:rsidRDefault="0030091C">
            <w:pPr>
              <w:pStyle w:val="TableParagraph"/>
              <w:spacing w:before="50"/>
              <w:ind w:right="80"/>
              <w:rPr>
                <w:sz w:val="18"/>
              </w:rPr>
            </w:pPr>
            <w:r>
              <w:rPr>
                <w:sz w:val="18"/>
              </w:rPr>
              <w:t>1.80</w:t>
            </w:r>
          </w:p>
        </w:tc>
      </w:tr>
      <w:tr w:rsidR="006C17CB">
        <w:trPr>
          <w:trHeight w:val="386"/>
        </w:trPr>
        <w:tc>
          <w:tcPr>
            <w:tcW w:w="614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Senior Adviser Level 1</w:t>
            </w:r>
          </w:p>
        </w:tc>
        <w:tc>
          <w:tcPr>
            <w:tcW w:w="171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8</w:t>
            </w:r>
          </w:p>
        </w:tc>
        <w:tc>
          <w:tcPr>
            <w:tcW w:w="177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0"/>
              <w:rPr>
                <w:sz w:val="18"/>
              </w:rPr>
            </w:pPr>
            <w:r>
              <w:rPr>
                <w:sz w:val="18"/>
              </w:rPr>
              <w:t>7.10</w:t>
            </w:r>
          </w:p>
        </w:tc>
      </w:tr>
      <w:tr w:rsidR="006C17CB">
        <w:trPr>
          <w:trHeight w:val="386"/>
        </w:trPr>
        <w:tc>
          <w:tcPr>
            <w:tcW w:w="614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Adviser Level 2</w:t>
            </w:r>
          </w:p>
        </w:tc>
        <w:tc>
          <w:tcPr>
            <w:tcW w:w="171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13</w:t>
            </w:r>
          </w:p>
        </w:tc>
        <w:tc>
          <w:tcPr>
            <w:tcW w:w="177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9"/>
              <w:rPr>
                <w:sz w:val="18"/>
              </w:rPr>
            </w:pPr>
            <w:r>
              <w:rPr>
                <w:sz w:val="18"/>
              </w:rPr>
              <w:t>11.50</w:t>
            </w:r>
          </w:p>
        </w:tc>
      </w:tr>
      <w:tr w:rsidR="006C17CB">
        <w:trPr>
          <w:trHeight w:val="386"/>
        </w:trPr>
        <w:tc>
          <w:tcPr>
            <w:tcW w:w="614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Adviser Level 1 (upper)</w:t>
            </w:r>
          </w:p>
        </w:tc>
        <w:tc>
          <w:tcPr>
            <w:tcW w:w="171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10</w:t>
            </w:r>
          </w:p>
        </w:tc>
        <w:tc>
          <w:tcPr>
            <w:tcW w:w="177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80"/>
              <w:rPr>
                <w:sz w:val="18"/>
              </w:rPr>
            </w:pPr>
            <w:r>
              <w:rPr>
                <w:sz w:val="18"/>
              </w:rPr>
              <w:t>7.94</w:t>
            </w:r>
          </w:p>
        </w:tc>
      </w:tr>
      <w:tr w:rsidR="006C17CB">
        <w:trPr>
          <w:trHeight w:val="386"/>
        </w:trPr>
        <w:tc>
          <w:tcPr>
            <w:tcW w:w="6146"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Adviser Level 1 (lower)</w:t>
            </w:r>
          </w:p>
        </w:tc>
        <w:tc>
          <w:tcPr>
            <w:tcW w:w="1714"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50"/>
              <w:ind w:right="74"/>
              <w:rPr>
                <w:sz w:val="18"/>
              </w:rPr>
            </w:pPr>
            <w:r>
              <w:rPr>
                <w:sz w:val="18"/>
              </w:rPr>
              <w:t>35</w:t>
            </w:r>
          </w:p>
        </w:tc>
        <w:tc>
          <w:tcPr>
            <w:tcW w:w="1776" w:type="dxa"/>
            <w:tcBorders>
              <w:top w:val="single" w:sz="4" w:space="0" w:color="000000"/>
              <w:left w:val="single" w:sz="4" w:space="0" w:color="DADADA"/>
              <w:bottom w:val="single" w:sz="4" w:space="0" w:color="000000"/>
              <w:right w:val="nil"/>
            </w:tcBorders>
          </w:tcPr>
          <w:p w:rsidR="006C17CB" w:rsidRDefault="0030091C">
            <w:pPr>
              <w:pStyle w:val="TableParagraph"/>
              <w:spacing w:before="50"/>
              <w:ind w:right="79"/>
              <w:rPr>
                <w:sz w:val="18"/>
              </w:rPr>
            </w:pPr>
            <w:r>
              <w:rPr>
                <w:sz w:val="18"/>
              </w:rPr>
              <w:t>19.24</w:t>
            </w:r>
          </w:p>
        </w:tc>
      </w:tr>
      <w:tr w:rsidR="006C17CB">
        <w:trPr>
          <w:trHeight w:val="386"/>
        </w:trPr>
        <w:tc>
          <w:tcPr>
            <w:tcW w:w="6146" w:type="dxa"/>
            <w:tcBorders>
              <w:top w:val="single" w:sz="4" w:space="0" w:color="000000"/>
              <w:left w:val="nil"/>
              <w:bottom w:val="single" w:sz="4" w:space="0" w:color="000000"/>
              <w:right w:val="single" w:sz="4" w:space="0" w:color="DADADA"/>
            </w:tcBorders>
            <w:shd w:val="clear" w:color="auto" w:fill="EDEDED"/>
          </w:tcPr>
          <w:p w:rsidR="006C17CB" w:rsidRDefault="0030091C">
            <w:pPr>
              <w:pStyle w:val="TableParagraph"/>
              <w:spacing w:before="50"/>
              <w:ind w:left="79"/>
              <w:jc w:val="left"/>
              <w:rPr>
                <w:b/>
                <w:sz w:val="18"/>
              </w:rPr>
            </w:pPr>
            <w:r>
              <w:rPr>
                <w:b/>
                <w:sz w:val="18"/>
              </w:rPr>
              <w:t>TOTAL</w:t>
            </w:r>
          </w:p>
        </w:tc>
        <w:tc>
          <w:tcPr>
            <w:tcW w:w="1714" w:type="dxa"/>
            <w:tcBorders>
              <w:top w:val="single" w:sz="4" w:space="0" w:color="000000"/>
              <w:left w:val="single" w:sz="4" w:space="0" w:color="DADADA"/>
              <w:bottom w:val="single" w:sz="4" w:space="0" w:color="000000"/>
              <w:right w:val="single" w:sz="4" w:space="0" w:color="DADADA"/>
            </w:tcBorders>
            <w:shd w:val="clear" w:color="auto" w:fill="EDEDED"/>
          </w:tcPr>
          <w:p w:rsidR="006C17CB" w:rsidRDefault="0030091C">
            <w:pPr>
              <w:pStyle w:val="TableParagraph"/>
              <w:spacing w:before="50"/>
              <w:ind w:right="74"/>
              <w:rPr>
                <w:b/>
                <w:sz w:val="18"/>
              </w:rPr>
            </w:pPr>
            <w:r>
              <w:rPr>
                <w:b/>
                <w:sz w:val="18"/>
              </w:rPr>
              <w:t>68</w:t>
            </w:r>
          </w:p>
        </w:tc>
        <w:tc>
          <w:tcPr>
            <w:tcW w:w="1776" w:type="dxa"/>
            <w:tcBorders>
              <w:top w:val="single" w:sz="4" w:space="0" w:color="000000"/>
              <w:left w:val="single" w:sz="4" w:space="0" w:color="DADADA"/>
              <w:bottom w:val="single" w:sz="4" w:space="0" w:color="000000"/>
              <w:right w:val="nil"/>
            </w:tcBorders>
            <w:shd w:val="clear" w:color="auto" w:fill="EDEDED"/>
          </w:tcPr>
          <w:p w:rsidR="006C17CB" w:rsidRDefault="0030091C">
            <w:pPr>
              <w:pStyle w:val="TableParagraph"/>
              <w:spacing w:before="50"/>
              <w:ind w:right="81"/>
              <w:rPr>
                <w:b/>
                <w:sz w:val="18"/>
              </w:rPr>
            </w:pPr>
            <w:r>
              <w:rPr>
                <w:b/>
                <w:sz w:val="18"/>
              </w:rPr>
              <w:t>47.58</w:t>
            </w:r>
          </w:p>
        </w:tc>
      </w:tr>
    </w:tbl>
    <w:p w:rsidR="006C17CB" w:rsidRDefault="0030091C">
      <w:pPr>
        <w:spacing w:before="317" w:line="230" w:lineRule="auto"/>
        <w:ind w:left="153" w:right="1177"/>
        <w:rPr>
          <w:rFonts w:ascii="Montserrat"/>
          <w:b/>
          <w:sz w:val="24"/>
        </w:rPr>
      </w:pPr>
      <w:r>
        <w:rPr>
          <w:rFonts w:ascii="Montserrat"/>
          <w:b/>
          <w:color w:val="556EAA"/>
          <w:sz w:val="24"/>
        </w:rPr>
        <w:t>Usage of staff salary allocation by non-executive members, including pledges made or received</w:t>
      </w:r>
    </w:p>
    <w:p w:rsidR="006C17CB" w:rsidRDefault="006C17CB">
      <w:pPr>
        <w:pStyle w:val="BodyText"/>
        <w:rPr>
          <w:rFonts w:ascii="Montserrat"/>
          <w:b/>
          <w:sz w:val="11"/>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1814"/>
        <w:gridCol w:w="989"/>
        <w:gridCol w:w="904"/>
        <w:gridCol w:w="1043"/>
        <w:gridCol w:w="989"/>
        <w:gridCol w:w="814"/>
        <w:gridCol w:w="1043"/>
        <w:gridCol w:w="989"/>
        <w:gridCol w:w="1058"/>
      </w:tblGrid>
      <w:tr w:rsidR="006C17CB">
        <w:trPr>
          <w:trHeight w:val="528"/>
        </w:trPr>
        <w:tc>
          <w:tcPr>
            <w:tcW w:w="1814" w:type="dxa"/>
            <w:tcBorders>
              <w:top w:val="nil"/>
              <w:left w:val="nil"/>
              <w:bottom w:val="nil"/>
            </w:tcBorders>
            <w:shd w:val="clear" w:color="auto" w:fill="89A7D7"/>
          </w:tcPr>
          <w:p w:rsidR="006C17CB" w:rsidRDefault="006C17CB">
            <w:pPr>
              <w:pStyle w:val="TableParagraph"/>
              <w:spacing w:before="8"/>
              <w:jc w:val="left"/>
              <w:rPr>
                <w:rFonts w:ascii="Montserrat"/>
                <w:b/>
                <w:sz w:val="16"/>
              </w:rPr>
            </w:pPr>
          </w:p>
          <w:p w:rsidR="006C17CB" w:rsidRDefault="0030091C">
            <w:pPr>
              <w:pStyle w:val="TableParagraph"/>
              <w:spacing w:before="1"/>
              <w:ind w:left="79"/>
              <w:jc w:val="left"/>
              <w:rPr>
                <w:b/>
                <w:sz w:val="18"/>
              </w:rPr>
            </w:pPr>
            <w:r>
              <w:rPr>
                <w:b/>
                <w:sz w:val="18"/>
              </w:rPr>
              <w:t>Member</w:t>
            </w:r>
          </w:p>
        </w:tc>
        <w:tc>
          <w:tcPr>
            <w:tcW w:w="989" w:type="dxa"/>
            <w:tcBorders>
              <w:top w:val="nil"/>
              <w:bottom w:val="nil"/>
            </w:tcBorders>
            <w:shd w:val="clear" w:color="auto" w:fill="89A7D7"/>
          </w:tcPr>
          <w:p w:rsidR="006C17CB" w:rsidRDefault="006C17CB">
            <w:pPr>
              <w:pStyle w:val="TableParagraph"/>
              <w:spacing w:before="8"/>
              <w:jc w:val="left"/>
              <w:rPr>
                <w:rFonts w:ascii="Montserrat"/>
                <w:b/>
                <w:sz w:val="16"/>
              </w:rPr>
            </w:pPr>
          </w:p>
          <w:p w:rsidR="006C17CB" w:rsidRDefault="0030091C">
            <w:pPr>
              <w:pStyle w:val="TableParagraph"/>
              <w:spacing w:before="1"/>
              <w:ind w:right="67"/>
              <w:rPr>
                <w:b/>
                <w:sz w:val="18"/>
              </w:rPr>
            </w:pPr>
            <w:r>
              <w:rPr>
                <w:b/>
                <w:sz w:val="18"/>
              </w:rPr>
              <w:t>Rollover</w:t>
            </w:r>
          </w:p>
        </w:tc>
        <w:tc>
          <w:tcPr>
            <w:tcW w:w="904" w:type="dxa"/>
            <w:tcBorders>
              <w:top w:val="nil"/>
              <w:bottom w:val="nil"/>
            </w:tcBorders>
            <w:shd w:val="clear" w:color="auto" w:fill="89A7D7"/>
          </w:tcPr>
          <w:p w:rsidR="006C17CB" w:rsidRDefault="0030091C">
            <w:pPr>
              <w:pStyle w:val="TableParagraph"/>
              <w:spacing w:before="52" w:line="184" w:lineRule="auto"/>
              <w:ind w:left="255" w:right="59" w:firstLine="114"/>
              <w:jc w:val="left"/>
              <w:rPr>
                <w:b/>
                <w:sz w:val="18"/>
              </w:rPr>
            </w:pPr>
            <w:r>
              <w:rPr>
                <w:b/>
                <w:sz w:val="18"/>
              </w:rPr>
              <w:t>Other income</w:t>
            </w:r>
          </w:p>
        </w:tc>
        <w:tc>
          <w:tcPr>
            <w:tcW w:w="1043" w:type="dxa"/>
            <w:tcBorders>
              <w:top w:val="nil"/>
              <w:bottom w:val="nil"/>
            </w:tcBorders>
            <w:shd w:val="clear" w:color="auto" w:fill="89A7D7"/>
          </w:tcPr>
          <w:p w:rsidR="006C17CB" w:rsidRDefault="0030091C">
            <w:pPr>
              <w:pStyle w:val="TableParagraph"/>
              <w:spacing w:before="52" w:line="184" w:lineRule="auto"/>
              <w:ind w:left="201" w:right="58" w:firstLine="212"/>
              <w:jc w:val="left"/>
              <w:rPr>
                <w:b/>
                <w:sz w:val="18"/>
              </w:rPr>
            </w:pPr>
            <w:r>
              <w:rPr>
                <w:b/>
                <w:sz w:val="18"/>
              </w:rPr>
              <w:t>Annual allocation</w:t>
            </w:r>
          </w:p>
        </w:tc>
        <w:tc>
          <w:tcPr>
            <w:tcW w:w="989" w:type="dxa"/>
            <w:tcBorders>
              <w:top w:val="nil"/>
              <w:bottom w:val="nil"/>
            </w:tcBorders>
            <w:shd w:val="clear" w:color="auto" w:fill="89A7D7"/>
          </w:tcPr>
          <w:p w:rsidR="006C17CB" w:rsidRDefault="0030091C">
            <w:pPr>
              <w:pStyle w:val="TableParagraph"/>
              <w:spacing w:before="52" w:line="184" w:lineRule="auto"/>
              <w:ind w:left="250" w:right="57" w:firstLine="138"/>
              <w:jc w:val="left"/>
              <w:rPr>
                <w:b/>
                <w:sz w:val="18"/>
              </w:rPr>
            </w:pPr>
            <w:r>
              <w:rPr>
                <w:b/>
                <w:sz w:val="18"/>
              </w:rPr>
              <w:t>Pledge received</w:t>
            </w:r>
          </w:p>
        </w:tc>
        <w:tc>
          <w:tcPr>
            <w:tcW w:w="814" w:type="dxa"/>
            <w:tcBorders>
              <w:top w:val="nil"/>
              <w:bottom w:val="nil"/>
            </w:tcBorders>
            <w:shd w:val="clear" w:color="auto" w:fill="89A7D7"/>
          </w:tcPr>
          <w:p w:rsidR="006C17CB" w:rsidRDefault="0030091C">
            <w:pPr>
              <w:pStyle w:val="TableParagraph"/>
              <w:spacing w:before="52" w:line="184" w:lineRule="auto"/>
              <w:ind w:left="296" w:right="55" w:hanging="84"/>
              <w:jc w:val="left"/>
              <w:rPr>
                <w:b/>
                <w:sz w:val="18"/>
              </w:rPr>
            </w:pPr>
            <w:r>
              <w:rPr>
                <w:b/>
                <w:sz w:val="18"/>
              </w:rPr>
              <w:t>Pledge made</w:t>
            </w:r>
          </w:p>
        </w:tc>
        <w:tc>
          <w:tcPr>
            <w:tcW w:w="1043" w:type="dxa"/>
            <w:tcBorders>
              <w:top w:val="nil"/>
              <w:bottom w:val="nil"/>
            </w:tcBorders>
            <w:shd w:val="clear" w:color="auto" w:fill="89A7D7"/>
          </w:tcPr>
          <w:p w:rsidR="006C17CB" w:rsidRDefault="0030091C">
            <w:pPr>
              <w:pStyle w:val="TableParagraph"/>
              <w:spacing w:before="52" w:line="184" w:lineRule="auto"/>
              <w:ind w:left="248" w:right="49" w:firstLine="373"/>
              <w:jc w:val="left"/>
              <w:rPr>
                <w:b/>
                <w:sz w:val="18"/>
              </w:rPr>
            </w:pPr>
            <w:r>
              <w:rPr>
                <w:b/>
                <w:w w:val="95"/>
                <w:sz w:val="18"/>
              </w:rPr>
              <w:t xml:space="preserve">Staff </w:t>
            </w:r>
            <w:r>
              <w:rPr>
                <w:b/>
                <w:sz w:val="18"/>
              </w:rPr>
              <w:t>expenses</w:t>
            </w:r>
          </w:p>
        </w:tc>
        <w:tc>
          <w:tcPr>
            <w:tcW w:w="989" w:type="dxa"/>
            <w:tcBorders>
              <w:top w:val="nil"/>
              <w:bottom w:val="nil"/>
            </w:tcBorders>
            <w:shd w:val="clear" w:color="auto" w:fill="89A7D7"/>
          </w:tcPr>
          <w:p w:rsidR="006C17CB" w:rsidRDefault="0030091C">
            <w:pPr>
              <w:pStyle w:val="TableParagraph"/>
              <w:spacing w:before="52" w:line="184" w:lineRule="auto"/>
              <w:ind w:left="303" w:right="56" w:firstLine="97"/>
              <w:jc w:val="left"/>
              <w:rPr>
                <w:b/>
                <w:sz w:val="18"/>
              </w:rPr>
            </w:pPr>
            <w:r>
              <w:rPr>
                <w:b/>
                <w:sz w:val="18"/>
              </w:rPr>
              <w:t>Future rollover</w:t>
            </w:r>
          </w:p>
        </w:tc>
        <w:tc>
          <w:tcPr>
            <w:tcW w:w="1058" w:type="dxa"/>
            <w:tcBorders>
              <w:top w:val="nil"/>
              <w:bottom w:val="nil"/>
              <w:right w:val="nil"/>
            </w:tcBorders>
            <w:shd w:val="clear" w:color="auto" w:fill="89A7D7"/>
          </w:tcPr>
          <w:p w:rsidR="006C17CB" w:rsidRDefault="0030091C">
            <w:pPr>
              <w:pStyle w:val="TableParagraph"/>
              <w:spacing w:before="52" w:line="184" w:lineRule="auto"/>
              <w:ind w:left="216" w:right="68" w:firstLine="174"/>
              <w:jc w:val="left"/>
              <w:rPr>
                <w:b/>
                <w:sz w:val="18"/>
              </w:rPr>
            </w:pPr>
            <w:r>
              <w:rPr>
                <w:b/>
                <w:sz w:val="18"/>
              </w:rPr>
              <w:t>Unused allocation</w:t>
            </w:r>
          </w:p>
        </w:tc>
      </w:tr>
      <w:tr w:rsidR="006C17CB">
        <w:trPr>
          <w:trHeight w:val="386"/>
        </w:trPr>
        <w:tc>
          <w:tcPr>
            <w:tcW w:w="1814"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Wall</w:t>
            </w:r>
          </w:p>
        </w:tc>
        <w:tc>
          <w:tcPr>
            <w:tcW w:w="989" w:type="dxa"/>
            <w:tcBorders>
              <w:top w:val="nil"/>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11,498</w:t>
            </w:r>
          </w:p>
        </w:tc>
        <w:tc>
          <w:tcPr>
            <w:tcW w:w="904"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170,710</w:t>
            </w:r>
          </w:p>
        </w:tc>
        <w:tc>
          <w:tcPr>
            <w:tcW w:w="989"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167,088</w:t>
            </w:r>
          </w:p>
        </w:tc>
        <w:tc>
          <w:tcPr>
            <w:tcW w:w="989"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15,120</w:t>
            </w:r>
          </w:p>
        </w:tc>
        <w:tc>
          <w:tcPr>
            <w:tcW w:w="1058" w:type="dxa"/>
            <w:tcBorders>
              <w:top w:val="nil"/>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Steel</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5,058</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170,710</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171,597</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4,171</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Pettersson</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11,498</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170,710</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172,292</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9,916</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Parton</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9,287</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170,710</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164,762</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15,235</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Orr</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11,147</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170,710</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171,260</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10,597</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Milligan</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11,498</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170,710</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175,333</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6,875</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Lee</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406</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170,710</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166,755</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4,361</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Le Couteur</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23,043</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342,063</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331,103</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34,003</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Lawder</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12,708</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189,975</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156,688</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18,998</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6"/>
              <w:rPr>
                <w:sz w:val="18"/>
              </w:rPr>
            </w:pPr>
            <w:r>
              <w:rPr>
                <w:sz w:val="18"/>
              </w:rPr>
              <w:t>26,997</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Kikkert</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7,668</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170,710</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170,632</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7,746</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Jones</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11,498</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170,710</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165,533</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16,675</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Hanson</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6,703</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170,710</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172,204</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5,209</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Dunne</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7,606</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170,710</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40,000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209,761</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8,555</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Doszpot</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5,611</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72,223</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71,044</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6,790</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Coe</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42,328</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633,568</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40,000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565,506</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63,357</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6"/>
              <w:rPr>
                <w:sz w:val="18"/>
              </w:rPr>
            </w:pPr>
            <w:r>
              <w:rPr>
                <w:sz w:val="18"/>
              </w:rPr>
              <w:t>7,033</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Cody</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10,143</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170,710</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179,394</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1,459</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Cheyne</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11,498</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4,263</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170,710</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176,771</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9,700</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7"/>
              <w:rPr>
                <w:sz w:val="18"/>
              </w:rPr>
            </w:pPr>
            <w:r>
              <w:rPr>
                <w:sz w:val="18"/>
              </w:rPr>
              <w:t>0</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Burch J</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11,879</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260,626</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220,935</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26,063</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6"/>
              <w:rPr>
                <w:sz w:val="18"/>
              </w:rPr>
            </w:pPr>
            <w:r>
              <w:rPr>
                <w:sz w:val="18"/>
              </w:rPr>
              <w:t>25,507</w:t>
            </w:r>
          </w:p>
        </w:tc>
      </w:tr>
      <w:tr w:rsidR="006C17CB">
        <w:trPr>
          <w:trHeight w:val="386"/>
        </w:trPr>
        <w:tc>
          <w:tcPr>
            <w:tcW w:w="1814"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Burch</w:t>
            </w:r>
          </w:p>
        </w:tc>
        <w:tc>
          <w:tcPr>
            <w:tcW w:w="989"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90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93,234</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814"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0</w:t>
            </w:r>
          </w:p>
        </w:tc>
        <w:tc>
          <w:tcPr>
            <w:tcW w:w="1043"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55,444</w:t>
            </w:r>
          </w:p>
        </w:tc>
        <w:tc>
          <w:tcPr>
            <w:tcW w:w="989"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9,323</w:t>
            </w:r>
          </w:p>
        </w:tc>
        <w:tc>
          <w:tcPr>
            <w:tcW w:w="1058"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6"/>
              <w:rPr>
                <w:sz w:val="18"/>
              </w:rPr>
            </w:pPr>
            <w:r>
              <w:rPr>
                <w:sz w:val="18"/>
              </w:rPr>
              <w:t>28,467</w:t>
            </w:r>
          </w:p>
        </w:tc>
      </w:tr>
      <w:tr w:rsidR="006C17CB">
        <w:trPr>
          <w:trHeight w:val="386"/>
        </w:trPr>
        <w:tc>
          <w:tcPr>
            <w:tcW w:w="1814" w:type="dxa"/>
            <w:tcBorders>
              <w:top w:val="single" w:sz="4" w:space="0" w:color="000000"/>
              <w:left w:val="nil"/>
              <w:bottom w:val="single" w:sz="4" w:space="0" w:color="000000"/>
              <w:right w:val="nil"/>
            </w:tcBorders>
            <w:shd w:val="clear" w:color="auto" w:fill="EDEDED"/>
          </w:tcPr>
          <w:p w:rsidR="006C17CB" w:rsidRDefault="0030091C">
            <w:pPr>
              <w:pStyle w:val="TableParagraph"/>
              <w:spacing w:before="50"/>
              <w:ind w:left="79"/>
              <w:jc w:val="left"/>
              <w:rPr>
                <w:b/>
                <w:sz w:val="18"/>
              </w:rPr>
            </w:pPr>
            <w:r>
              <w:rPr>
                <w:b/>
                <w:sz w:val="18"/>
              </w:rPr>
              <w:t>TOTAL</w:t>
            </w:r>
          </w:p>
        </w:tc>
        <w:tc>
          <w:tcPr>
            <w:tcW w:w="989" w:type="dxa"/>
            <w:tcBorders>
              <w:top w:val="single" w:sz="4" w:space="0" w:color="000000"/>
              <w:left w:val="nil"/>
              <w:bottom w:val="single" w:sz="4" w:space="0" w:color="000000"/>
              <w:right w:val="dashed" w:sz="4" w:space="0" w:color="DADADA"/>
            </w:tcBorders>
            <w:shd w:val="clear" w:color="auto" w:fill="EDEDED"/>
          </w:tcPr>
          <w:p w:rsidR="006C17CB" w:rsidRDefault="0030091C">
            <w:pPr>
              <w:pStyle w:val="TableParagraph"/>
              <w:spacing w:before="50"/>
              <w:ind w:right="72"/>
              <w:rPr>
                <w:b/>
                <w:sz w:val="18"/>
              </w:rPr>
            </w:pPr>
            <w:r>
              <w:rPr>
                <w:b/>
                <w:sz w:val="18"/>
              </w:rPr>
              <w:t>211,077</w:t>
            </w:r>
          </w:p>
        </w:tc>
        <w:tc>
          <w:tcPr>
            <w:tcW w:w="904" w:type="dxa"/>
            <w:tcBorders>
              <w:top w:val="single" w:sz="4" w:space="0" w:color="000000"/>
              <w:left w:val="dashed" w:sz="4" w:space="0" w:color="DADADA"/>
              <w:bottom w:val="single" w:sz="4" w:space="0" w:color="000000"/>
              <w:right w:val="dashed" w:sz="4" w:space="0" w:color="DADADA"/>
            </w:tcBorders>
            <w:shd w:val="clear" w:color="auto" w:fill="EDEDED"/>
          </w:tcPr>
          <w:p w:rsidR="006C17CB" w:rsidRDefault="0030091C">
            <w:pPr>
              <w:pStyle w:val="TableParagraph"/>
              <w:spacing w:before="50"/>
              <w:ind w:right="72"/>
              <w:rPr>
                <w:b/>
                <w:sz w:val="18"/>
              </w:rPr>
            </w:pPr>
            <w:r>
              <w:rPr>
                <w:b/>
                <w:sz w:val="18"/>
              </w:rPr>
              <w:t>4,263</w:t>
            </w:r>
          </w:p>
        </w:tc>
        <w:tc>
          <w:tcPr>
            <w:tcW w:w="1043" w:type="dxa"/>
            <w:tcBorders>
              <w:top w:val="single" w:sz="4" w:space="0" w:color="000000"/>
              <w:left w:val="dashed" w:sz="4" w:space="0" w:color="DADADA"/>
              <w:bottom w:val="single" w:sz="4" w:space="0" w:color="000000"/>
              <w:right w:val="dashed" w:sz="4" w:space="0" w:color="DADADA"/>
            </w:tcBorders>
            <w:shd w:val="clear" w:color="auto" w:fill="EDEDED"/>
          </w:tcPr>
          <w:p w:rsidR="006C17CB" w:rsidRDefault="0030091C">
            <w:pPr>
              <w:pStyle w:val="TableParagraph"/>
              <w:spacing w:before="50"/>
              <w:ind w:right="72"/>
              <w:rPr>
                <w:b/>
                <w:sz w:val="18"/>
              </w:rPr>
            </w:pPr>
            <w:r>
              <w:rPr>
                <w:b/>
                <w:sz w:val="18"/>
              </w:rPr>
              <w:t>3,810,919</w:t>
            </w:r>
          </w:p>
        </w:tc>
        <w:tc>
          <w:tcPr>
            <w:tcW w:w="989" w:type="dxa"/>
            <w:tcBorders>
              <w:top w:val="single" w:sz="4" w:space="0" w:color="000000"/>
              <w:left w:val="dashed" w:sz="4" w:space="0" w:color="DADADA"/>
              <w:bottom w:val="single" w:sz="4" w:space="0" w:color="000000"/>
              <w:right w:val="dashed" w:sz="4" w:space="0" w:color="DADADA"/>
            </w:tcBorders>
            <w:shd w:val="clear" w:color="auto" w:fill="EDEDED"/>
          </w:tcPr>
          <w:p w:rsidR="006C17CB" w:rsidRDefault="0030091C">
            <w:pPr>
              <w:pStyle w:val="TableParagraph"/>
              <w:spacing w:before="50"/>
              <w:ind w:right="72"/>
              <w:rPr>
                <w:b/>
                <w:sz w:val="18"/>
              </w:rPr>
            </w:pPr>
            <w:r>
              <w:rPr>
                <w:b/>
                <w:sz w:val="18"/>
              </w:rPr>
              <w:t>40,000</w:t>
            </w:r>
          </w:p>
        </w:tc>
        <w:tc>
          <w:tcPr>
            <w:tcW w:w="814" w:type="dxa"/>
            <w:tcBorders>
              <w:top w:val="single" w:sz="4" w:space="0" w:color="000000"/>
              <w:left w:val="dashed" w:sz="4" w:space="0" w:color="DADADA"/>
              <w:bottom w:val="single" w:sz="4" w:space="0" w:color="000000"/>
              <w:right w:val="dashed" w:sz="4" w:space="0" w:color="DADADA"/>
            </w:tcBorders>
            <w:shd w:val="clear" w:color="auto" w:fill="EDEDED"/>
          </w:tcPr>
          <w:p w:rsidR="006C17CB" w:rsidRDefault="0030091C">
            <w:pPr>
              <w:pStyle w:val="TableParagraph"/>
              <w:spacing w:before="50"/>
              <w:ind w:right="72"/>
              <w:rPr>
                <w:b/>
                <w:sz w:val="18"/>
              </w:rPr>
            </w:pPr>
            <w:r>
              <w:rPr>
                <w:b/>
                <w:sz w:val="18"/>
              </w:rPr>
              <w:t>40,000</w:t>
            </w:r>
          </w:p>
        </w:tc>
        <w:tc>
          <w:tcPr>
            <w:tcW w:w="1043" w:type="dxa"/>
            <w:tcBorders>
              <w:top w:val="single" w:sz="4" w:space="0" w:color="000000"/>
              <w:left w:val="dashed" w:sz="4" w:space="0" w:color="DADADA"/>
              <w:bottom w:val="single" w:sz="4" w:space="0" w:color="000000"/>
              <w:right w:val="dashed" w:sz="4" w:space="0" w:color="DADADA"/>
            </w:tcBorders>
            <w:shd w:val="clear" w:color="auto" w:fill="EDEDED"/>
          </w:tcPr>
          <w:p w:rsidR="006C17CB" w:rsidRDefault="0030091C">
            <w:pPr>
              <w:pStyle w:val="TableParagraph"/>
              <w:spacing w:before="50"/>
              <w:ind w:right="72"/>
              <w:rPr>
                <w:b/>
                <w:sz w:val="18"/>
              </w:rPr>
            </w:pPr>
            <w:r>
              <w:rPr>
                <w:b/>
                <w:sz w:val="18"/>
              </w:rPr>
              <w:t>3,664,102</w:t>
            </w:r>
          </w:p>
        </w:tc>
        <w:tc>
          <w:tcPr>
            <w:tcW w:w="989" w:type="dxa"/>
            <w:tcBorders>
              <w:top w:val="single" w:sz="4" w:space="0" w:color="000000"/>
              <w:left w:val="dashed" w:sz="4" w:space="0" w:color="DADADA"/>
              <w:bottom w:val="single" w:sz="4" w:space="0" w:color="000000"/>
              <w:right w:val="dashed" w:sz="4" w:space="0" w:color="DADADA"/>
            </w:tcBorders>
            <w:shd w:val="clear" w:color="auto" w:fill="EDEDED"/>
          </w:tcPr>
          <w:p w:rsidR="006C17CB" w:rsidRDefault="0030091C">
            <w:pPr>
              <w:pStyle w:val="TableParagraph"/>
              <w:spacing w:before="50"/>
              <w:ind w:right="72"/>
              <w:rPr>
                <w:b/>
                <w:sz w:val="18"/>
              </w:rPr>
            </w:pPr>
            <w:r>
              <w:rPr>
                <w:b/>
                <w:sz w:val="18"/>
              </w:rPr>
              <w:t>274,153</w:t>
            </w:r>
          </w:p>
        </w:tc>
        <w:tc>
          <w:tcPr>
            <w:tcW w:w="1058" w:type="dxa"/>
            <w:tcBorders>
              <w:top w:val="single" w:sz="4" w:space="0" w:color="000000"/>
              <w:left w:val="dashed" w:sz="4" w:space="0" w:color="DADADA"/>
              <w:bottom w:val="single" w:sz="4" w:space="0" w:color="000000"/>
              <w:right w:val="nil"/>
            </w:tcBorders>
            <w:shd w:val="clear" w:color="auto" w:fill="EDEDED"/>
          </w:tcPr>
          <w:p w:rsidR="006C17CB" w:rsidRDefault="0030091C">
            <w:pPr>
              <w:pStyle w:val="TableParagraph"/>
              <w:spacing w:before="50"/>
              <w:ind w:right="76"/>
              <w:rPr>
                <w:b/>
                <w:sz w:val="18"/>
              </w:rPr>
            </w:pPr>
            <w:r>
              <w:rPr>
                <w:b/>
                <w:sz w:val="18"/>
              </w:rPr>
              <w:t>88,004</w:t>
            </w:r>
          </w:p>
        </w:tc>
      </w:tr>
    </w:tbl>
    <w:p w:rsidR="006C17CB" w:rsidRDefault="006C17CB">
      <w:pPr>
        <w:rPr>
          <w:sz w:val="18"/>
        </w:rPr>
        <w:sectPr w:rsidR="006C17CB">
          <w:headerReference w:type="even" r:id="rId114"/>
          <w:pgSz w:w="11910" w:h="16840"/>
          <w:pgMar w:top="1580" w:right="0" w:bottom="720" w:left="980" w:header="0" w:footer="523" w:gutter="0"/>
          <w:cols w:space="720"/>
        </w:sectPr>
      </w:pPr>
    </w:p>
    <w:p w:rsidR="006C17CB" w:rsidRDefault="0030091C">
      <w:pPr>
        <w:spacing w:before="135" w:line="196" w:lineRule="auto"/>
        <w:ind w:left="155" w:right="1177"/>
        <w:rPr>
          <w:rFonts w:ascii="Montserrat-SemiBold" w:hAnsi="Montserrat-SemiBold"/>
          <w:b/>
          <w:sz w:val="34"/>
        </w:rPr>
      </w:pPr>
      <w:bookmarkStart w:id="107" w:name="Appendix_15_–_Visits_by_members_and_parl"/>
      <w:bookmarkStart w:id="108" w:name="_bookmark40"/>
      <w:bookmarkEnd w:id="107"/>
      <w:bookmarkEnd w:id="108"/>
      <w:r>
        <w:rPr>
          <w:rFonts w:ascii="Montserrat-SemiBold" w:hAnsi="Montserrat-SemiBold"/>
          <w:b/>
          <w:color w:val="004289"/>
          <w:w w:val="95"/>
          <w:sz w:val="34"/>
        </w:rPr>
        <w:t xml:space="preserve">APPENDIX 15 – VISITS BY MEMBERS AND PARLIAMENTARY OFFICERS FROM OTHER LEGISLATURES, DELEGATIONS </w:t>
      </w:r>
      <w:r>
        <w:rPr>
          <w:rFonts w:ascii="Montserrat-SemiBold" w:hAnsi="Montserrat-SemiBold"/>
          <w:b/>
          <w:color w:val="004289"/>
          <w:sz w:val="34"/>
        </w:rPr>
        <w:t>AND OTHERS</w:t>
      </w:r>
    </w:p>
    <w:p w:rsidR="006C17CB" w:rsidRDefault="006C17CB">
      <w:pPr>
        <w:pStyle w:val="BodyText"/>
        <w:rPr>
          <w:rFonts w:ascii="Montserrat-SemiBold"/>
          <w:b/>
          <w:sz w:val="20"/>
        </w:rPr>
      </w:pPr>
    </w:p>
    <w:p w:rsidR="006C17CB" w:rsidRDefault="006C17CB">
      <w:pPr>
        <w:pStyle w:val="BodyText"/>
        <w:spacing w:before="5"/>
        <w:rPr>
          <w:rFonts w:ascii="Montserrat-SemiBold"/>
          <w:b/>
          <w:sz w:val="13"/>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2608"/>
        <w:gridCol w:w="4328"/>
        <w:gridCol w:w="2693"/>
      </w:tblGrid>
      <w:tr w:rsidR="006C17CB">
        <w:trPr>
          <w:trHeight w:val="396"/>
        </w:trPr>
        <w:tc>
          <w:tcPr>
            <w:tcW w:w="2608" w:type="dxa"/>
            <w:tcBorders>
              <w:top w:val="nil"/>
              <w:left w:val="nil"/>
              <w:bottom w:val="nil"/>
            </w:tcBorders>
            <w:shd w:val="clear" w:color="auto" w:fill="89A7D7"/>
          </w:tcPr>
          <w:p w:rsidR="006C17CB" w:rsidRDefault="0030091C">
            <w:pPr>
              <w:pStyle w:val="TableParagraph"/>
              <w:spacing w:before="72"/>
              <w:ind w:left="79"/>
              <w:jc w:val="left"/>
              <w:rPr>
                <w:b/>
                <w:sz w:val="18"/>
              </w:rPr>
            </w:pPr>
            <w:r>
              <w:rPr>
                <w:b/>
                <w:sz w:val="18"/>
              </w:rPr>
              <w:t>Date</w:t>
            </w:r>
          </w:p>
        </w:tc>
        <w:tc>
          <w:tcPr>
            <w:tcW w:w="4328" w:type="dxa"/>
            <w:tcBorders>
              <w:top w:val="nil"/>
              <w:bottom w:val="nil"/>
            </w:tcBorders>
            <w:shd w:val="clear" w:color="auto" w:fill="89A7D7"/>
          </w:tcPr>
          <w:p w:rsidR="006C17CB" w:rsidRDefault="0030091C">
            <w:pPr>
              <w:pStyle w:val="TableParagraph"/>
              <w:spacing w:before="72"/>
              <w:ind w:left="69"/>
              <w:jc w:val="left"/>
              <w:rPr>
                <w:b/>
                <w:sz w:val="18"/>
              </w:rPr>
            </w:pPr>
            <w:r>
              <w:rPr>
                <w:b/>
                <w:sz w:val="18"/>
              </w:rPr>
              <w:t>Name</w:t>
            </w:r>
          </w:p>
        </w:tc>
        <w:tc>
          <w:tcPr>
            <w:tcW w:w="2693" w:type="dxa"/>
            <w:tcBorders>
              <w:top w:val="nil"/>
              <w:bottom w:val="nil"/>
              <w:right w:val="nil"/>
            </w:tcBorders>
            <w:shd w:val="clear" w:color="auto" w:fill="89A7D7"/>
          </w:tcPr>
          <w:p w:rsidR="006C17CB" w:rsidRDefault="0030091C">
            <w:pPr>
              <w:pStyle w:val="TableParagraph"/>
              <w:spacing w:before="72"/>
              <w:ind w:left="69"/>
              <w:jc w:val="left"/>
              <w:rPr>
                <w:b/>
                <w:sz w:val="18"/>
              </w:rPr>
            </w:pPr>
            <w:r>
              <w:rPr>
                <w:b/>
                <w:sz w:val="18"/>
              </w:rPr>
              <w:t>Place oforigin</w:t>
            </w:r>
          </w:p>
        </w:tc>
      </w:tr>
      <w:tr w:rsidR="006C17CB">
        <w:trPr>
          <w:trHeight w:val="783"/>
        </w:trPr>
        <w:tc>
          <w:tcPr>
            <w:tcW w:w="2608" w:type="dxa"/>
            <w:tcBorders>
              <w:top w:val="nil"/>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25 and 27 October 2017</w:t>
            </w:r>
          </w:p>
        </w:tc>
        <w:tc>
          <w:tcPr>
            <w:tcW w:w="4328" w:type="dxa"/>
            <w:tcBorders>
              <w:top w:val="nil"/>
              <w:left w:val="single" w:sz="4" w:space="0" w:color="DADADA"/>
              <w:bottom w:val="single" w:sz="4" w:space="0" w:color="000000"/>
              <w:right w:val="single" w:sz="4" w:space="0" w:color="DADADA"/>
            </w:tcBorders>
          </w:tcPr>
          <w:p w:rsidR="006C17CB" w:rsidRDefault="0030091C">
            <w:pPr>
              <w:pStyle w:val="TableParagraph"/>
              <w:spacing w:before="30" w:line="204" w:lineRule="auto"/>
              <w:ind w:left="74"/>
              <w:jc w:val="left"/>
              <w:rPr>
                <w:sz w:val="18"/>
              </w:rPr>
            </w:pPr>
            <w:r>
              <w:rPr>
                <w:sz w:val="18"/>
              </w:rPr>
              <w:t>Hon Peter Watson MLA, Speaker of the Legislative Assembly, Parliament of Western Australia,</w:t>
            </w:r>
          </w:p>
          <w:p w:rsidR="006C17CB" w:rsidRDefault="0030091C">
            <w:pPr>
              <w:pStyle w:val="TableParagraph"/>
              <w:spacing w:line="227" w:lineRule="exact"/>
              <w:ind w:left="74"/>
              <w:jc w:val="left"/>
              <w:rPr>
                <w:sz w:val="18"/>
              </w:rPr>
            </w:pPr>
            <w:r>
              <w:rPr>
                <w:sz w:val="18"/>
              </w:rPr>
              <w:t>and Dr Isla Macphail, Serjeant-at-Arms</w:t>
            </w:r>
          </w:p>
        </w:tc>
        <w:tc>
          <w:tcPr>
            <w:tcW w:w="2693" w:type="dxa"/>
            <w:tcBorders>
              <w:top w:val="nil"/>
              <w:left w:val="single" w:sz="4" w:space="0" w:color="DADADA"/>
              <w:bottom w:val="single" w:sz="4" w:space="0" w:color="000000"/>
              <w:right w:val="nil"/>
            </w:tcBorders>
          </w:tcPr>
          <w:p w:rsidR="006C17CB" w:rsidRDefault="0030091C">
            <w:pPr>
              <w:pStyle w:val="TableParagraph"/>
              <w:spacing w:line="258" w:lineRule="exact"/>
              <w:ind w:left="74"/>
              <w:jc w:val="left"/>
              <w:rPr>
                <w:sz w:val="18"/>
              </w:rPr>
            </w:pPr>
            <w:r>
              <w:rPr>
                <w:sz w:val="18"/>
              </w:rPr>
              <w:t>Western Australia</w:t>
            </w:r>
          </w:p>
        </w:tc>
      </w:tr>
      <w:tr w:rsidR="006C17CB">
        <w:trPr>
          <w:trHeight w:val="556"/>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31 October – 2 November 2017</w:t>
            </w:r>
          </w:p>
        </w:tc>
        <w:tc>
          <w:tcPr>
            <w:tcW w:w="432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30" w:line="204" w:lineRule="auto"/>
              <w:ind w:left="74" w:right="747"/>
              <w:jc w:val="left"/>
              <w:rPr>
                <w:sz w:val="18"/>
              </w:rPr>
            </w:pPr>
            <w:r>
              <w:rPr>
                <w:sz w:val="18"/>
              </w:rPr>
              <w:t>Mr Tebuai Uaai, Speaker, Parliament of Kiribati, and Mr Eni Tekanene, Clerk</w:t>
            </w:r>
          </w:p>
        </w:tc>
        <w:tc>
          <w:tcPr>
            <w:tcW w:w="2693"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left="74"/>
              <w:jc w:val="left"/>
              <w:rPr>
                <w:sz w:val="18"/>
              </w:rPr>
            </w:pPr>
            <w:r>
              <w:rPr>
                <w:sz w:val="18"/>
              </w:rPr>
              <w:t>Kiribati</w:t>
            </w:r>
          </w:p>
        </w:tc>
      </w:tr>
      <w:tr w:rsidR="006C17CB">
        <w:trPr>
          <w:trHeight w:val="556"/>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24 November 2017</w:t>
            </w:r>
          </w:p>
        </w:tc>
        <w:tc>
          <w:tcPr>
            <w:tcW w:w="432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30" w:line="204" w:lineRule="auto"/>
              <w:ind w:left="74" w:right="1189"/>
              <w:jc w:val="left"/>
              <w:rPr>
                <w:sz w:val="18"/>
              </w:rPr>
            </w:pPr>
            <w:r>
              <w:rPr>
                <w:sz w:val="18"/>
              </w:rPr>
              <w:t>Inter-Parliamentary Study Program, Pacific Deputy Speakers</w:t>
            </w:r>
          </w:p>
        </w:tc>
        <w:tc>
          <w:tcPr>
            <w:tcW w:w="2693"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left="74"/>
              <w:jc w:val="left"/>
              <w:rPr>
                <w:sz w:val="18"/>
              </w:rPr>
            </w:pPr>
            <w:r>
              <w:rPr>
                <w:sz w:val="18"/>
              </w:rPr>
              <w:t>Various</w:t>
            </w:r>
          </w:p>
        </w:tc>
      </w:tr>
      <w:tr w:rsidR="006C17CB">
        <w:trPr>
          <w:trHeight w:val="386"/>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29 January 2018</w:t>
            </w:r>
          </w:p>
        </w:tc>
        <w:tc>
          <w:tcPr>
            <w:tcW w:w="432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left="74"/>
              <w:jc w:val="left"/>
              <w:rPr>
                <w:sz w:val="18"/>
              </w:rPr>
            </w:pPr>
            <w:r>
              <w:rPr>
                <w:sz w:val="18"/>
              </w:rPr>
              <w:t>Mon Democracy and Peace Forum</w:t>
            </w:r>
          </w:p>
        </w:tc>
        <w:tc>
          <w:tcPr>
            <w:tcW w:w="2693"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left="74"/>
              <w:jc w:val="left"/>
              <w:rPr>
                <w:sz w:val="18"/>
              </w:rPr>
            </w:pPr>
            <w:r>
              <w:rPr>
                <w:sz w:val="18"/>
              </w:rPr>
              <w:t>Myanmar</w:t>
            </w:r>
          </w:p>
        </w:tc>
      </w:tr>
      <w:tr w:rsidR="006C17CB">
        <w:trPr>
          <w:trHeight w:val="386"/>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2 February 2018</w:t>
            </w:r>
          </w:p>
        </w:tc>
        <w:tc>
          <w:tcPr>
            <w:tcW w:w="432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line="258" w:lineRule="exact"/>
              <w:ind w:left="74"/>
              <w:jc w:val="left"/>
              <w:rPr>
                <w:sz w:val="18"/>
              </w:rPr>
            </w:pPr>
            <w:r>
              <w:rPr>
                <w:sz w:val="18"/>
              </w:rPr>
              <w:t>Teen Diplomatic Envoy</w:t>
            </w:r>
          </w:p>
        </w:tc>
        <w:tc>
          <w:tcPr>
            <w:tcW w:w="2693"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left="74"/>
              <w:jc w:val="left"/>
              <w:rPr>
                <w:sz w:val="18"/>
              </w:rPr>
            </w:pPr>
            <w:r>
              <w:rPr>
                <w:sz w:val="18"/>
              </w:rPr>
              <w:t>Taiwan</w:t>
            </w:r>
          </w:p>
        </w:tc>
      </w:tr>
      <w:tr w:rsidR="006C17CB">
        <w:trPr>
          <w:trHeight w:val="556"/>
        </w:trPr>
        <w:tc>
          <w:tcPr>
            <w:tcW w:w="2608" w:type="dxa"/>
            <w:tcBorders>
              <w:top w:val="single" w:sz="4" w:space="0" w:color="000000"/>
              <w:left w:val="nil"/>
              <w:bottom w:val="single" w:sz="4" w:space="0" w:color="000000"/>
              <w:right w:val="single" w:sz="4" w:space="0" w:color="DADADA"/>
            </w:tcBorders>
          </w:tcPr>
          <w:p w:rsidR="006C17CB" w:rsidRDefault="0030091C">
            <w:pPr>
              <w:pStyle w:val="TableParagraph"/>
              <w:spacing w:line="258" w:lineRule="exact"/>
              <w:ind w:left="79"/>
              <w:jc w:val="left"/>
              <w:rPr>
                <w:sz w:val="18"/>
              </w:rPr>
            </w:pPr>
            <w:r>
              <w:rPr>
                <w:sz w:val="18"/>
              </w:rPr>
              <w:t>15 June 2018</w:t>
            </w:r>
          </w:p>
        </w:tc>
        <w:tc>
          <w:tcPr>
            <w:tcW w:w="4328" w:type="dxa"/>
            <w:tcBorders>
              <w:top w:val="single" w:sz="4" w:space="0" w:color="000000"/>
              <w:left w:val="single" w:sz="4" w:space="0" w:color="DADADA"/>
              <w:bottom w:val="single" w:sz="4" w:space="0" w:color="000000"/>
              <w:right w:val="single" w:sz="4" w:space="0" w:color="DADADA"/>
            </w:tcBorders>
          </w:tcPr>
          <w:p w:rsidR="006C17CB" w:rsidRDefault="0030091C">
            <w:pPr>
              <w:pStyle w:val="TableParagraph"/>
              <w:spacing w:before="30" w:line="204" w:lineRule="auto"/>
              <w:ind w:left="74" w:right="747"/>
              <w:jc w:val="left"/>
              <w:rPr>
                <w:sz w:val="18"/>
              </w:rPr>
            </w:pPr>
            <w:r>
              <w:rPr>
                <w:sz w:val="18"/>
              </w:rPr>
              <w:t>Inter-Parliamentary Study Program, Parliamentary Staff</w:t>
            </w:r>
          </w:p>
        </w:tc>
        <w:tc>
          <w:tcPr>
            <w:tcW w:w="2693" w:type="dxa"/>
            <w:tcBorders>
              <w:top w:val="single" w:sz="4" w:space="0" w:color="000000"/>
              <w:left w:val="single" w:sz="4" w:space="0" w:color="DADADA"/>
              <w:bottom w:val="single" w:sz="4" w:space="0" w:color="000000"/>
              <w:right w:val="nil"/>
            </w:tcBorders>
          </w:tcPr>
          <w:p w:rsidR="006C17CB" w:rsidRDefault="0030091C">
            <w:pPr>
              <w:pStyle w:val="TableParagraph"/>
              <w:spacing w:line="258" w:lineRule="exact"/>
              <w:ind w:left="74"/>
              <w:jc w:val="left"/>
              <w:rPr>
                <w:sz w:val="18"/>
              </w:rPr>
            </w:pPr>
            <w:r>
              <w:rPr>
                <w:sz w:val="18"/>
              </w:rPr>
              <w:t>Various</w:t>
            </w:r>
          </w:p>
        </w:tc>
      </w:tr>
    </w:tbl>
    <w:p w:rsidR="006C17CB" w:rsidRDefault="006C17CB">
      <w:pPr>
        <w:spacing w:line="258" w:lineRule="exact"/>
        <w:rPr>
          <w:sz w:val="18"/>
        </w:rPr>
        <w:sectPr w:rsidR="006C17CB">
          <w:headerReference w:type="default" r:id="rId115"/>
          <w:footerReference w:type="even" r:id="rId116"/>
          <w:footerReference w:type="default" r:id="rId117"/>
          <w:pgSz w:w="11910" w:h="16840"/>
          <w:pgMar w:top="1040" w:right="0" w:bottom="740" w:left="980" w:header="0" w:footer="551" w:gutter="0"/>
          <w:pgNumType w:start="77"/>
          <w:cols w:space="720"/>
        </w:sectPr>
      </w:pPr>
    </w:p>
    <w:p w:rsidR="006C17CB" w:rsidRDefault="0030091C">
      <w:pPr>
        <w:spacing w:before="135" w:line="196" w:lineRule="auto"/>
        <w:ind w:left="155" w:right="2137"/>
        <w:rPr>
          <w:rFonts w:ascii="Montserrat-SemiBold" w:hAnsi="Montserrat-SemiBold"/>
          <w:b/>
          <w:sz w:val="34"/>
        </w:rPr>
      </w:pPr>
      <w:bookmarkStart w:id="109" w:name="Appendix_16_–_Administrative_support_for"/>
      <w:bookmarkStart w:id="110" w:name="_bookmark41"/>
      <w:bookmarkEnd w:id="109"/>
      <w:bookmarkEnd w:id="110"/>
      <w:r>
        <w:rPr>
          <w:rFonts w:ascii="Montserrat-SemiBold" w:hAnsi="Montserrat-SemiBold"/>
          <w:b/>
          <w:color w:val="004289"/>
          <w:sz w:val="34"/>
        </w:rPr>
        <w:t xml:space="preserve">APPENDIX 16 – ADMINISTRATIVE SUPPORT FOR </w:t>
      </w:r>
      <w:r>
        <w:rPr>
          <w:rFonts w:ascii="Montserrat-SemiBold" w:hAnsi="Montserrat-SemiBold"/>
          <w:b/>
          <w:color w:val="004289"/>
          <w:w w:val="95"/>
          <w:sz w:val="34"/>
        </w:rPr>
        <w:t xml:space="preserve">THE ASSEMBLY BRANCH OF THE COMMONWEALTH </w:t>
      </w:r>
      <w:r>
        <w:rPr>
          <w:rFonts w:ascii="Montserrat-SemiBold" w:hAnsi="Montserrat-SemiBold"/>
          <w:b/>
          <w:color w:val="004289"/>
          <w:sz w:val="34"/>
        </w:rPr>
        <w:t>PARLIAMENTARY ASSOCIATION 2017-2018</w:t>
      </w:r>
    </w:p>
    <w:p w:rsidR="006C17CB" w:rsidRDefault="0030091C">
      <w:pPr>
        <w:pStyle w:val="BodyText"/>
        <w:spacing w:before="373" w:line="189" w:lineRule="auto"/>
        <w:ind w:left="153" w:right="1156"/>
      </w:pPr>
      <w:r>
        <w:t>The</w:t>
      </w:r>
      <w:r>
        <w:rPr>
          <w:spacing w:val="-8"/>
        </w:rPr>
        <w:t xml:space="preserve"> </w:t>
      </w:r>
      <w:r>
        <w:t>Australian</w:t>
      </w:r>
      <w:r>
        <w:rPr>
          <w:spacing w:val="-7"/>
        </w:rPr>
        <w:t xml:space="preserve"> </w:t>
      </w:r>
      <w:r>
        <w:t>Capital</w:t>
      </w:r>
      <w:r>
        <w:rPr>
          <w:spacing w:val="-7"/>
        </w:rPr>
        <w:t xml:space="preserve"> </w:t>
      </w:r>
      <w:r>
        <w:t>Territory</w:t>
      </w:r>
      <w:r>
        <w:rPr>
          <w:spacing w:val="-7"/>
        </w:rPr>
        <w:t xml:space="preserve"> </w:t>
      </w:r>
      <w:r>
        <w:t>Legislative</w:t>
      </w:r>
      <w:r>
        <w:rPr>
          <w:spacing w:val="-8"/>
        </w:rPr>
        <w:t xml:space="preserve"> </w:t>
      </w:r>
      <w:r>
        <w:t>Assembly</w:t>
      </w:r>
      <w:r>
        <w:rPr>
          <w:spacing w:val="-7"/>
        </w:rPr>
        <w:t xml:space="preserve"> </w:t>
      </w:r>
      <w:r>
        <w:t>branch</w:t>
      </w:r>
      <w:r>
        <w:rPr>
          <w:spacing w:val="-7"/>
        </w:rPr>
        <w:t xml:space="preserve"> </w:t>
      </w:r>
      <w:r>
        <w:t>of</w:t>
      </w:r>
      <w:r>
        <w:rPr>
          <w:spacing w:val="-7"/>
        </w:rPr>
        <w:t xml:space="preserve"> </w:t>
      </w:r>
      <w:r>
        <w:t>the</w:t>
      </w:r>
      <w:r>
        <w:rPr>
          <w:spacing w:val="-8"/>
        </w:rPr>
        <w:t xml:space="preserve"> </w:t>
      </w:r>
      <w:r>
        <w:t>Commonwealth</w:t>
      </w:r>
      <w:r>
        <w:rPr>
          <w:spacing w:val="-7"/>
        </w:rPr>
        <w:t xml:space="preserve"> </w:t>
      </w:r>
      <w:r>
        <w:t>Parliamentary</w:t>
      </w:r>
      <w:r>
        <w:rPr>
          <w:spacing w:val="-7"/>
        </w:rPr>
        <w:t xml:space="preserve"> </w:t>
      </w:r>
      <w:r>
        <w:t xml:space="preserve">Association </w:t>
      </w:r>
      <w:r>
        <w:rPr>
          <w:spacing w:val="-5"/>
        </w:rPr>
        <w:t xml:space="preserve">(CPA) </w:t>
      </w:r>
      <w:r>
        <w:t xml:space="preserve">did not meet during the </w:t>
      </w:r>
      <w:r>
        <w:rPr>
          <w:spacing w:val="-5"/>
        </w:rPr>
        <w:t xml:space="preserve">year. </w:t>
      </w:r>
      <w:r>
        <w:rPr>
          <w:spacing w:val="-4"/>
        </w:rPr>
        <w:t xml:space="preserve">However, </w:t>
      </w:r>
      <w:r>
        <w:t xml:space="preserve">a number of matters of interest were communicated to members through email and correspondence. Correspondence from the </w:t>
      </w:r>
      <w:r>
        <w:rPr>
          <w:spacing w:val="-4"/>
        </w:rPr>
        <w:t xml:space="preserve">CPA </w:t>
      </w:r>
      <w:r>
        <w:t xml:space="preserve">headquarters and the Australian region was regularly circulated to members. The issues raised included twinning arrangements with the Parliament of Kiribati, proposed agenda items for future conferences, and invitations to events, conferences and seminars. ‘Celebrating </w:t>
      </w:r>
      <w:r>
        <w:rPr>
          <w:spacing w:val="-5"/>
        </w:rPr>
        <w:t xml:space="preserve">Women’, </w:t>
      </w:r>
      <w:r>
        <w:t xml:space="preserve">a Commonwealth </w:t>
      </w:r>
      <w:r>
        <w:rPr>
          <w:spacing w:val="-3"/>
        </w:rPr>
        <w:t xml:space="preserve">Women </w:t>
      </w:r>
      <w:r>
        <w:t xml:space="preserve">Parliamentarians </w:t>
      </w:r>
      <w:r>
        <w:rPr>
          <w:spacing w:val="-4"/>
        </w:rPr>
        <w:t xml:space="preserve">(CWP) </w:t>
      </w:r>
      <w:r>
        <w:t xml:space="preserve">event hosted by the </w:t>
      </w:r>
      <w:r>
        <w:rPr>
          <w:spacing w:val="-4"/>
        </w:rPr>
        <w:t xml:space="preserve">Speaker, </w:t>
      </w:r>
      <w:r>
        <w:t xml:space="preserve">was held on 23 October </w:t>
      </w:r>
      <w:r>
        <w:rPr>
          <w:spacing w:val="-8"/>
        </w:rPr>
        <w:t xml:space="preserve">2017. </w:t>
      </w:r>
      <w:r>
        <w:t xml:space="preserve">It was a gathering of young women and </w:t>
      </w:r>
      <w:r>
        <w:rPr>
          <w:spacing w:val="1"/>
        </w:rPr>
        <w:t xml:space="preserve">MLAs </w:t>
      </w:r>
      <w:r>
        <w:t>to mark the</w:t>
      </w:r>
      <w:r>
        <w:rPr>
          <w:spacing w:val="-4"/>
        </w:rPr>
        <w:t xml:space="preserve"> </w:t>
      </w:r>
      <w:r>
        <w:t>first</w:t>
      </w:r>
      <w:r>
        <w:rPr>
          <w:spacing w:val="-3"/>
        </w:rPr>
        <w:t xml:space="preserve"> </w:t>
      </w:r>
      <w:r>
        <w:t>anniversary</w:t>
      </w:r>
      <w:r>
        <w:rPr>
          <w:spacing w:val="-3"/>
        </w:rPr>
        <w:t xml:space="preserve"> </w:t>
      </w:r>
      <w:r>
        <w:t>of</w:t>
      </w:r>
      <w:r>
        <w:rPr>
          <w:spacing w:val="-3"/>
        </w:rPr>
        <w:t xml:space="preserve"> </w:t>
      </w:r>
      <w:r>
        <w:t>being</w:t>
      </w:r>
      <w:r>
        <w:rPr>
          <w:spacing w:val="-3"/>
        </w:rPr>
        <w:t xml:space="preserve"> </w:t>
      </w:r>
      <w:r>
        <w:t>the</w:t>
      </w:r>
      <w:r>
        <w:rPr>
          <w:spacing w:val="-4"/>
        </w:rPr>
        <w:t xml:space="preserve"> </w:t>
      </w:r>
      <w:r>
        <w:t>first</w:t>
      </w:r>
      <w:r>
        <w:rPr>
          <w:spacing w:val="-3"/>
        </w:rPr>
        <w:t xml:space="preserve"> </w:t>
      </w:r>
      <w:r>
        <w:t>parliament</w:t>
      </w:r>
      <w:r>
        <w:rPr>
          <w:spacing w:val="-3"/>
        </w:rPr>
        <w:t xml:space="preserve"> </w:t>
      </w:r>
      <w:r>
        <w:t>in</w:t>
      </w:r>
      <w:r>
        <w:rPr>
          <w:spacing w:val="-3"/>
        </w:rPr>
        <w:t xml:space="preserve"> </w:t>
      </w:r>
      <w:r>
        <w:t>Australia</w:t>
      </w:r>
      <w:r>
        <w:rPr>
          <w:spacing w:val="-3"/>
        </w:rPr>
        <w:t xml:space="preserve"> </w:t>
      </w:r>
      <w:r>
        <w:t>to</w:t>
      </w:r>
      <w:r>
        <w:rPr>
          <w:spacing w:val="-4"/>
        </w:rPr>
        <w:t xml:space="preserve"> </w:t>
      </w:r>
      <w:r>
        <w:t>have</w:t>
      </w:r>
      <w:r>
        <w:rPr>
          <w:spacing w:val="-4"/>
        </w:rPr>
        <w:t xml:space="preserve"> </w:t>
      </w:r>
      <w:r>
        <w:t>majority</w:t>
      </w:r>
      <w:r>
        <w:rPr>
          <w:spacing w:val="-3"/>
        </w:rPr>
        <w:t xml:space="preserve"> </w:t>
      </w:r>
      <w:r>
        <w:t>female</w:t>
      </w:r>
      <w:r>
        <w:rPr>
          <w:spacing w:val="-4"/>
        </w:rPr>
        <w:t xml:space="preserve"> </w:t>
      </w:r>
      <w:r>
        <w:t>representation.</w:t>
      </w:r>
    </w:p>
    <w:p w:rsidR="006C17CB" w:rsidRDefault="0030091C">
      <w:pPr>
        <w:pStyle w:val="BodyText"/>
        <w:spacing w:before="110" w:line="189" w:lineRule="auto"/>
        <w:ind w:left="153" w:right="1343"/>
      </w:pPr>
      <w:r>
        <w:t>The Deputy Speaker, Vicki Dunne MLA, was appointed to the position of Treasurer of the CPA in December 2016, for a period of three years. The Clerk also held the position of Australian Regional Secretary for the reporting period. The Office provided support to the Deputy Speaker and the Clerk for these roles.</w:t>
      </w:r>
    </w:p>
    <w:p w:rsidR="006C17CB" w:rsidRDefault="0030091C">
      <w:pPr>
        <w:pStyle w:val="BodyText"/>
        <w:spacing w:before="57"/>
        <w:ind w:left="153"/>
      </w:pPr>
      <w:r>
        <w:t>During the year, the ACT branch was represented at the following events:</w:t>
      </w:r>
    </w:p>
    <w:p w:rsidR="006C17CB" w:rsidRDefault="0030091C">
      <w:pPr>
        <w:pStyle w:val="ListParagraph"/>
        <w:numPr>
          <w:ilvl w:val="0"/>
          <w:numId w:val="22"/>
        </w:numPr>
        <w:tabs>
          <w:tab w:val="left" w:pos="381"/>
        </w:tabs>
        <w:spacing w:before="46" w:line="306" w:lineRule="exact"/>
      </w:pPr>
      <w:r>
        <w:t>CWP Conference in Melbourne in August</w:t>
      </w:r>
      <w:r>
        <w:rPr>
          <w:spacing w:val="-4"/>
        </w:rPr>
        <w:t xml:space="preserve"> </w:t>
      </w:r>
      <w:r>
        <w:rPr>
          <w:spacing w:val="-6"/>
        </w:rPr>
        <w:t>2017;</w:t>
      </w:r>
    </w:p>
    <w:p w:rsidR="006C17CB" w:rsidRDefault="0030091C">
      <w:pPr>
        <w:pStyle w:val="ListParagraph"/>
        <w:numPr>
          <w:ilvl w:val="0"/>
          <w:numId w:val="22"/>
        </w:numPr>
        <w:tabs>
          <w:tab w:val="left" w:pos="381"/>
        </w:tabs>
      </w:pPr>
      <w:r>
        <w:rPr>
          <w:spacing w:val="-4"/>
        </w:rPr>
        <w:t xml:space="preserve">CPA </w:t>
      </w:r>
      <w:r>
        <w:t>Australia/Pacific Regional Conference in Sydney in October</w:t>
      </w:r>
      <w:r>
        <w:rPr>
          <w:spacing w:val="-4"/>
        </w:rPr>
        <w:t xml:space="preserve"> </w:t>
      </w:r>
      <w:r>
        <w:rPr>
          <w:spacing w:val="-6"/>
        </w:rPr>
        <w:t>2017;</w:t>
      </w:r>
    </w:p>
    <w:p w:rsidR="006C17CB" w:rsidRDefault="0030091C">
      <w:pPr>
        <w:pStyle w:val="ListParagraph"/>
        <w:numPr>
          <w:ilvl w:val="0"/>
          <w:numId w:val="22"/>
        </w:numPr>
        <w:tabs>
          <w:tab w:val="left" w:pos="381"/>
        </w:tabs>
      </w:pPr>
      <w:r>
        <w:t>Regional hot topic seminar in Sydney in October</w:t>
      </w:r>
      <w:r>
        <w:rPr>
          <w:spacing w:val="-5"/>
        </w:rPr>
        <w:t xml:space="preserve"> </w:t>
      </w:r>
      <w:r>
        <w:rPr>
          <w:spacing w:val="-6"/>
        </w:rPr>
        <w:t>2017;</w:t>
      </w:r>
    </w:p>
    <w:p w:rsidR="006C17CB" w:rsidRDefault="0030091C">
      <w:pPr>
        <w:pStyle w:val="ListParagraph"/>
        <w:numPr>
          <w:ilvl w:val="0"/>
          <w:numId w:val="22"/>
        </w:numPr>
        <w:tabs>
          <w:tab w:val="left" w:pos="381"/>
        </w:tabs>
      </w:pPr>
      <w:r>
        <w:rPr>
          <w:spacing w:val="-4"/>
        </w:rPr>
        <w:t xml:space="preserve">CPA </w:t>
      </w:r>
      <w:r>
        <w:t xml:space="preserve">small branches strategy meeting in Malta in October </w:t>
      </w:r>
      <w:r>
        <w:rPr>
          <w:spacing w:val="-6"/>
        </w:rPr>
        <w:t>2017;</w:t>
      </w:r>
    </w:p>
    <w:p w:rsidR="006C17CB" w:rsidRDefault="0030091C">
      <w:pPr>
        <w:pStyle w:val="ListParagraph"/>
        <w:numPr>
          <w:ilvl w:val="0"/>
          <w:numId w:val="22"/>
        </w:numPr>
        <w:tabs>
          <w:tab w:val="left" w:pos="381"/>
        </w:tabs>
      </w:pPr>
      <w:r>
        <w:t>63rd Commonwealth Parliamentary Association Conference in Bangladesh in November</w:t>
      </w:r>
      <w:r>
        <w:rPr>
          <w:spacing w:val="-13"/>
        </w:rPr>
        <w:t xml:space="preserve"> </w:t>
      </w:r>
      <w:r>
        <w:rPr>
          <w:spacing w:val="-6"/>
        </w:rPr>
        <w:t>2017;</w:t>
      </w:r>
    </w:p>
    <w:p w:rsidR="006C17CB" w:rsidRDefault="0030091C">
      <w:pPr>
        <w:pStyle w:val="ListParagraph"/>
        <w:numPr>
          <w:ilvl w:val="0"/>
          <w:numId w:val="22"/>
        </w:numPr>
        <w:tabs>
          <w:tab w:val="left" w:pos="381"/>
        </w:tabs>
      </w:pPr>
      <w:r>
        <w:rPr>
          <w:spacing w:val="-4"/>
        </w:rPr>
        <w:t xml:space="preserve">CPA </w:t>
      </w:r>
      <w:r>
        <w:t>Regional Management Committees;</w:t>
      </w:r>
    </w:p>
    <w:p w:rsidR="006C17CB" w:rsidRDefault="0030091C">
      <w:pPr>
        <w:pStyle w:val="ListParagraph"/>
        <w:numPr>
          <w:ilvl w:val="0"/>
          <w:numId w:val="22"/>
        </w:numPr>
        <w:tabs>
          <w:tab w:val="left" w:pos="381"/>
        </w:tabs>
      </w:pPr>
      <w:r>
        <w:t xml:space="preserve">Meetings of the </w:t>
      </w:r>
      <w:r>
        <w:rPr>
          <w:spacing w:val="-4"/>
        </w:rPr>
        <w:t xml:space="preserve">CPA </w:t>
      </w:r>
      <w:r>
        <w:t>Executive</w:t>
      </w:r>
      <w:r>
        <w:rPr>
          <w:spacing w:val="-1"/>
        </w:rPr>
        <w:t xml:space="preserve"> </w:t>
      </w:r>
      <w:r>
        <w:t>Committee;</w:t>
      </w:r>
    </w:p>
    <w:p w:rsidR="006C17CB" w:rsidRDefault="0030091C">
      <w:pPr>
        <w:pStyle w:val="ListParagraph"/>
        <w:numPr>
          <w:ilvl w:val="0"/>
          <w:numId w:val="22"/>
        </w:numPr>
        <w:tabs>
          <w:tab w:val="left" w:pos="381"/>
        </w:tabs>
      </w:pPr>
      <w:r>
        <w:t xml:space="preserve">Ninth Commonwealth </w:t>
      </w:r>
      <w:r>
        <w:rPr>
          <w:spacing w:val="-3"/>
        </w:rPr>
        <w:t xml:space="preserve">Youth </w:t>
      </w:r>
      <w:r>
        <w:t>Parliament, Channel Islands, in February</w:t>
      </w:r>
      <w:r>
        <w:rPr>
          <w:spacing w:val="-5"/>
        </w:rPr>
        <w:t xml:space="preserve"> </w:t>
      </w:r>
      <w:r>
        <w:rPr>
          <w:spacing w:val="-3"/>
        </w:rPr>
        <w:t>2018;</w:t>
      </w:r>
    </w:p>
    <w:p w:rsidR="006C17CB" w:rsidRDefault="0030091C">
      <w:pPr>
        <w:pStyle w:val="ListParagraph"/>
        <w:numPr>
          <w:ilvl w:val="0"/>
          <w:numId w:val="22"/>
        </w:numPr>
        <w:tabs>
          <w:tab w:val="left" w:pos="381"/>
        </w:tabs>
      </w:pPr>
      <w:r>
        <w:rPr>
          <w:spacing w:val="-4"/>
        </w:rPr>
        <w:t xml:space="preserve">CPA </w:t>
      </w:r>
      <w:r>
        <w:t xml:space="preserve">post-election </w:t>
      </w:r>
      <w:r>
        <w:rPr>
          <w:spacing w:val="-4"/>
        </w:rPr>
        <w:t xml:space="preserve">seminar, </w:t>
      </w:r>
      <w:r>
        <w:t xml:space="preserve">Mombasa, Kenya in March </w:t>
      </w:r>
      <w:r>
        <w:rPr>
          <w:spacing w:val="-3"/>
        </w:rPr>
        <w:t>2018;</w:t>
      </w:r>
      <w:r>
        <w:rPr>
          <w:spacing w:val="5"/>
        </w:rPr>
        <w:t xml:space="preserve"> </w:t>
      </w:r>
      <w:r>
        <w:t>and</w:t>
      </w:r>
    </w:p>
    <w:p w:rsidR="006C17CB" w:rsidRDefault="0030091C">
      <w:pPr>
        <w:pStyle w:val="ListParagraph"/>
        <w:numPr>
          <w:ilvl w:val="0"/>
          <w:numId w:val="22"/>
        </w:numPr>
        <w:tabs>
          <w:tab w:val="left" w:pos="381"/>
        </w:tabs>
        <w:spacing w:line="306" w:lineRule="exact"/>
      </w:pPr>
      <w:r>
        <w:rPr>
          <w:spacing w:val="-4"/>
        </w:rPr>
        <w:t xml:space="preserve">CPA </w:t>
      </w:r>
      <w:r>
        <w:t>benchmarks workshop, London, in June 2018.</w:t>
      </w:r>
    </w:p>
    <w:p w:rsidR="006C17CB" w:rsidRDefault="0030091C">
      <w:pPr>
        <w:pStyle w:val="BodyText"/>
        <w:spacing w:before="186" w:line="189" w:lineRule="auto"/>
        <w:ind w:left="153" w:right="1236"/>
        <w:jc w:val="both"/>
      </w:pPr>
      <w:r>
        <w:t>On the resolution of the ACT branch of the association it was agreed that the expenditure incurred from the Assembly’s</w:t>
      </w:r>
      <w:r>
        <w:rPr>
          <w:spacing w:val="-5"/>
        </w:rPr>
        <w:t xml:space="preserve"> </w:t>
      </w:r>
      <w:r>
        <w:t>budget</w:t>
      </w:r>
      <w:r>
        <w:rPr>
          <w:spacing w:val="-5"/>
        </w:rPr>
        <w:t xml:space="preserve"> </w:t>
      </w:r>
      <w:r>
        <w:t>for</w:t>
      </w:r>
      <w:r>
        <w:rPr>
          <w:spacing w:val="-6"/>
        </w:rPr>
        <w:t xml:space="preserve"> </w:t>
      </w:r>
      <w:r>
        <w:t>each</w:t>
      </w:r>
      <w:r>
        <w:rPr>
          <w:spacing w:val="-5"/>
        </w:rPr>
        <w:t xml:space="preserve"> </w:t>
      </w:r>
      <w:r>
        <w:rPr>
          <w:spacing w:val="-4"/>
        </w:rPr>
        <w:t>CPA</w:t>
      </w:r>
      <w:r>
        <w:rPr>
          <w:spacing w:val="-6"/>
        </w:rPr>
        <w:t xml:space="preserve"> </w:t>
      </w:r>
      <w:r>
        <w:t>conference</w:t>
      </w:r>
      <w:r>
        <w:rPr>
          <w:spacing w:val="-6"/>
        </w:rPr>
        <w:t xml:space="preserve"> </w:t>
      </w:r>
      <w:r>
        <w:t>and</w:t>
      </w:r>
      <w:r>
        <w:rPr>
          <w:spacing w:val="-5"/>
        </w:rPr>
        <w:t xml:space="preserve"> </w:t>
      </w:r>
      <w:r>
        <w:t>seminar</w:t>
      </w:r>
      <w:r>
        <w:rPr>
          <w:spacing w:val="-5"/>
        </w:rPr>
        <w:t xml:space="preserve"> </w:t>
      </w:r>
      <w:r>
        <w:t>be</w:t>
      </w:r>
      <w:r>
        <w:rPr>
          <w:spacing w:val="-6"/>
        </w:rPr>
        <w:t xml:space="preserve"> </w:t>
      </w:r>
      <w:r>
        <w:t>included</w:t>
      </w:r>
      <w:r>
        <w:rPr>
          <w:spacing w:val="-6"/>
        </w:rPr>
        <w:t xml:space="preserve"> </w:t>
      </w:r>
      <w:r>
        <w:t>in</w:t>
      </w:r>
      <w:r>
        <w:rPr>
          <w:spacing w:val="-5"/>
        </w:rPr>
        <w:t xml:space="preserve"> </w:t>
      </w:r>
      <w:r>
        <w:t>the</w:t>
      </w:r>
      <w:r>
        <w:rPr>
          <w:spacing w:val="-6"/>
        </w:rPr>
        <w:t xml:space="preserve"> </w:t>
      </w:r>
      <w:r>
        <w:t>Assembly’s</w:t>
      </w:r>
      <w:r>
        <w:rPr>
          <w:spacing w:val="-5"/>
        </w:rPr>
        <w:t xml:space="preserve"> </w:t>
      </w:r>
      <w:r>
        <w:t>annual</w:t>
      </w:r>
      <w:r>
        <w:rPr>
          <w:spacing w:val="-5"/>
        </w:rPr>
        <w:t xml:space="preserve"> </w:t>
      </w:r>
      <w:r>
        <w:t>report.</w:t>
      </w:r>
      <w:r>
        <w:rPr>
          <w:spacing w:val="-5"/>
        </w:rPr>
        <w:t xml:space="preserve"> </w:t>
      </w:r>
      <w:r>
        <w:t>Direct net</w:t>
      </w:r>
      <w:r>
        <w:rPr>
          <w:spacing w:val="-5"/>
        </w:rPr>
        <w:t xml:space="preserve"> </w:t>
      </w:r>
      <w:r>
        <w:t>expenditure</w:t>
      </w:r>
      <w:r>
        <w:rPr>
          <w:spacing w:val="-6"/>
        </w:rPr>
        <w:t xml:space="preserve"> </w:t>
      </w:r>
      <w:r>
        <w:t>associated</w:t>
      </w:r>
      <w:r>
        <w:rPr>
          <w:spacing w:val="-6"/>
        </w:rPr>
        <w:t xml:space="preserve"> </w:t>
      </w:r>
      <w:r>
        <w:t>with</w:t>
      </w:r>
      <w:r>
        <w:rPr>
          <w:spacing w:val="-5"/>
        </w:rPr>
        <w:t xml:space="preserve"> </w:t>
      </w:r>
      <w:r>
        <w:t>the</w:t>
      </w:r>
      <w:r>
        <w:rPr>
          <w:spacing w:val="-6"/>
        </w:rPr>
        <w:t xml:space="preserve"> </w:t>
      </w:r>
      <w:r>
        <w:t>seminars</w:t>
      </w:r>
      <w:r>
        <w:rPr>
          <w:spacing w:val="-5"/>
        </w:rPr>
        <w:t xml:space="preserve"> </w:t>
      </w:r>
      <w:r>
        <w:t>and</w:t>
      </w:r>
      <w:r>
        <w:rPr>
          <w:spacing w:val="-5"/>
        </w:rPr>
        <w:t xml:space="preserve"> </w:t>
      </w:r>
      <w:r>
        <w:t>conferences</w:t>
      </w:r>
      <w:r>
        <w:rPr>
          <w:spacing w:val="-5"/>
        </w:rPr>
        <w:t xml:space="preserve"> </w:t>
      </w:r>
      <w:r>
        <w:t>attended</w:t>
      </w:r>
      <w:r>
        <w:rPr>
          <w:spacing w:val="-6"/>
        </w:rPr>
        <w:t xml:space="preserve"> </w:t>
      </w:r>
      <w:r>
        <w:t>during</w:t>
      </w:r>
      <w:r>
        <w:rPr>
          <w:spacing w:val="-5"/>
        </w:rPr>
        <w:t xml:space="preserve"> 2017-2018 </w:t>
      </w:r>
      <w:r>
        <w:t>was</w:t>
      </w:r>
      <w:r>
        <w:rPr>
          <w:spacing w:val="-5"/>
        </w:rPr>
        <w:t xml:space="preserve"> </w:t>
      </w:r>
      <w:r>
        <w:t>as</w:t>
      </w:r>
      <w:r>
        <w:rPr>
          <w:spacing w:val="-5"/>
        </w:rPr>
        <w:t xml:space="preserve"> </w:t>
      </w:r>
      <w:r>
        <w:t>follows:</w:t>
      </w:r>
    </w:p>
    <w:p w:rsidR="006C17CB" w:rsidRDefault="0030091C">
      <w:pPr>
        <w:pStyle w:val="ListParagraph"/>
        <w:numPr>
          <w:ilvl w:val="0"/>
          <w:numId w:val="22"/>
        </w:numPr>
        <w:tabs>
          <w:tab w:val="left" w:pos="381"/>
        </w:tabs>
        <w:spacing w:before="58" w:line="306" w:lineRule="exact"/>
      </w:pPr>
      <w:r>
        <w:rPr>
          <w:spacing w:val="-4"/>
        </w:rPr>
        <w:t xml:space="preserve">CPA </w:t>
      </w:r>
      <w:r>
        <w:t xml:space="preserve">Regional Management </w:t>
      </w:r>
      <w:r>
        <w:rPr>
          <w:spacing w:val="-3"/>
        </w:rPr>
        <w:t xml:space="preserve">Committee—Sydney, </w:t>
      </w:r>
      <w:r>
        <w:t xml:space="preserve">July </w:t>
      </w:r>
      <w:r>
        <w:rPr>
          <w:spacing w:val="-5"/>
        </w:rPr>
        <w:t xml:space="preserve">2017—Vicki </w:t>
      </w:r>
      <w:r>
        <w:t xml:space="preserve">Dunne </w:t>
      </w:r>
      <w:r>
        <w:rPr>
          <w:spacing w:val="1"/>
        </w:rPr>
        <w:t xml:space="preserve">MLA </w:t>
      </w:r>
      <w:r>
        <w:rPr>
          <w:spacing w:val="-5"/>
        </w:rPr>
        <w:t xml:space="preserve">(CPA </w:t>
      </w:r>
      <w:r>
        <w:rPr>
          <w:spacing w:val="-4"/>
        </w:rPr>
        <w:t>Treasurer)</w:t>
      </w:r>
      <w:r>
        <w:rPr>
          <w:spacing w:val="-9"/>
        </w:rPr>
        <w:t xml:space="preserve"> </w:t>
      </w:r>
      <w:r>
        <w:rPr>
          <w:spacing w:val="-4"/>
        </w:rPr>
        <w:t>($nil);</w:t>
      </w:r>
    </w:p>
    <w:p w:rsidR="006C17CB" w:rsidRDefault="0030091C">
      <w:pPr>
        <w:pStyle w:val="ListParagraph"/>
        <w:numPr>
          <w:ilvl w:val="0"/>
          <w:numId w:val="22"/>
        </w:numPr>
        <w:tabs>
          <w:tab w:val="left" w:pos="381"/>
        </w:tabs>
      </w:pPr>
      <w:r>
        <w:rPr>
          <w:spacing w:val="-4"/>
        </w:rPr>
        <w:t xml:space="preserve">CPA </w:t>
      </w:r>
      <w:r>
        <w:t xml:space="preserve">executive meeting—London, August </w:t>
      </w:r>
      <w:r>
        <w:rPr>
          <w:spacing w:val="-5"/>
        </w:rPr>
        <w:t xml:space="preserve">2017—Vicki </w:t>
      </w:r>
      <w:r>
        <w:t xml:space="preserve">Dunne </w:t>
      </w:r>
      <w:r>
        <w:rPr>
          <w:spacing w:val="1"/>
        </w:rPr>
        <w:t xml:space="preserve">MLA </w:t>
      </w:r>
      <w:r>
        <w:rPr>
          <w:spacing w:val="-5"/>
        </w:rPr>
        <w:t xml:space="preserve">(CPA </w:t>
      </w:r>
      <w:r>
        <w:rPr>
          <w:spacing w:val="-4"/>
        </w:rPr>
        <w:t>Treasurer)</w:t>
      </w:r>
      <w:r>
        <w:rPr>
          <w:spacing w:val="2"/>
        </w:rPr>
        <w:t xml:space="preserve"> </w:t>
      </w:r>
      <w:r>
        <w:rPr>
          <w:spacing w:val="-4"/>
        </w:rPr>
        <w:t>($563);</w:t>
      </w:r>
    </w:p>
    <w:p w:rsidR="006C17CB" w:rsidRDefault="0030091C">
      <w:pPr>
        <w:pStyle w:val="ListParagraph"/>
        <w:numPr>
          <w:ilvl w:val="0"/>
          <w:numId w:val="22"/>
        </w:numPr>
        <w:tabs>
          <w:tab w:val="left" w:pos="381"/>
        </w:tabs>
      </w:pPr>
      <w:r>
        <w:t xml:space="preserve">CWP Conference—Melbourne, August </w:t>
      </w:r>
      <w:r>
        <w:rPr>
          <w:spacing w:val="-8"/>
        </w:rPr>
        <w:t xml:space="preserve">2017—Tara </w:t>
      </w:r>
      <w:r>
        <w:t xml:space="preserve">Cheyne </w:t>
      </w:r>
      <w:r>
        <w:rPr>
          <w:spacing w:val="1"/>
        </w:rPr>
        <w:t xml:space="preserve">MLA </w:t>
      </w:r>
      <w:r>
        <w:rPr>
          <w:spacing w:val="-4"/>
        </w:rPr>
        <w:t xml:space="preserve">($1,380), </w:t>
      </w:r>
      <w:r>
        <w:t xml:space="preserve">Giulia Jones </w:t>
      </w:r>
      <w:r>
        <w:rPr>
          <w:spacing w:val="1"/>
        </w:rPr>
        <w:t>MLA</w:t>
      </w:r>
      <w:r>
        <w:rPr>
          <w:spacing w:val="-1"/>
        </w:rPr>
        <w:t xml:space="preserve"> </w:t>
      </w:r>
      <w:r>
        <w:rPr>
          <w:spacing w:val="-4"/>
        </w:rPr>
        <w:t>($1,290);</w:t>
      </w:r>
    </w:p>
    <w:p w:rsidR="006C17CB" w:rsidRDefault="0030091C">
      <w:pPr>
        <w:pStyle w:val="ListParagraph"/>
        <w:numPr>
          <w:ilvl w:val="0"/>
          <w:numId w:val="22"/>
        </w:numPr>
        <w:tabs>
          <w:tab w:val="left" w:pos="381"/>
        </w:tabs>
        <w:spacing w:before="43" w:line="189" w:lineRule="auto"/>
        <w:ind w:right="1373"/>
      </w:pPr>
      <w:r>
        <w:rPr>
          <w:spacing w:val="-4"/>
        </w:rPr>
        <w:t xml:space="preserve">CPA </w:t>
      </w:r>
      <w:r>
        <w:t xml:space="preserve">Australia/Pacific Regional Conference and regional hot topic </w:t>
      </w:r>
      <w:r>
        <w:rPr>
          <w:spacing w:val="-5"/>
        </w:rPr>
        <w:t xml:space="preserve">seminar—Sydney, </w:t>
      </w:r>
      <w:r>
        <w:rPr>
          <w:spacing w:val="-3"/>
        </w:rPr>
        <w:t xml:space="preserve">2226 </w:t>
      </w:r>
      <w:r>
        <w:t xml:space="preserve">October </w:t>
      </w:r>
      <w:r>
        <w:rPr>
          <w:spacing w:val="-7"/>
        </w:rPr>
        <w:t xml:space="preserve">2017— </w:t>
      </w:r>
      <w:r>
        <w:t xml:space="preserve">Michael Pettersson </w:t>
      </w:r>
      <w:r>
        <w:rPr>
          <w:spacing w:val="1"/>
        </w:rPr>
        <w:t xml:space="preserve">MLA </w:t>
      </w:r>
      <w:r>
        <w:rPr>
          <w:spacing w:val="-4"/>
        </w:rPr>
        <w:t xml:space="preserve">($901), </w:t>
      </w:r>
      <w:r>
        <w:t xml:space="preserve">James Milligan </w:t>
      </w:r>
      <w:r>
        <w:rPr>
          <w:spacing w:val="1"/>
        </w:rPr>
        <w:t>MLA</w:t>
      </w:r>
      <w:r>
        <w:rPr>
          <w:spacing w:val="-4"/>
        </w:rPr>
        <w:t xml:space="preserve"> </w:t>
      </w:r>
      <w:r>
        <w:rPr>
          <w:spacing w:val="-5"/>
        </w:rPr>
        <w:t>($632);</w:t>
      </w:r>
    </w:p>
    <w:p w:rsidR="006C17CB" w:rsidRDefault="0030091C">
      <w:pPr>
        <w:pStyle w:val="ListParagraph"/>
        <w:numPr>
          <w:ilvl w:val="0"/>
          <w:numId w:val="22"/>
        </w:numPr>
        <w:tabs>
          <w:tab w:val="left" w:pos="381"/>
        </w:tabs>
        <w:spacing w:line="296" w:lineRule="exact"/>
      </w:pPr>
      <w:r>
        <w:rPr>
          <w:spacing w:val="-4"/>
        </w:rPr>
        <w:t xml:space="preserve">CPA </w:t>
      </w:r>
      <w:r>
        <w:t xml:space="preserve">small branches strategy meeting—Malta, </w:t>
      </w:r>
      <w:r>
        <w:rPr>
          <w:spacing w:val="-4"/>
        </w:rPr>
        <w:t xml:space="preserve">18-21 </w:t>
      </w:r>
      <w:r>
        <w:t xml:space="preserve">October </w:t>
      </w:r>
      <w:r>
        <w:rPr>
          <w:spacing w:val="-7"/>
        </w:rPr>
        <w:t xml:space="preserve">2017—Joy </w:t>
      </w:r>
      <w:r>
        <w:t xml:space="preserve">Burch </w:t>
      </w:r>
      <w:r>
        <w:rPr>
          <w:spacing w:val="1"/>
        </w:rPr>
        <w:t>MLA</w:t>
      </w:r>
      <w:r>
        <w:rPr>
          <w:spacing w:val="8"/>
        </w:rPr>
        <w:t xml:space="preserve"> </w:t>
      </w:r>
      <w:r>
        <w:rPr>
          <w:spacing w:val="-4"/>
        </w:rPr>
        <w:t>($4,878);</w:t>
      </w:r>
    </w:p>
    <w:p w:rsidR="006C17CB" w:rsidRDefault="0030091C">
      <w:pPr>
        <w:pStyle w:val="ListParagraph"/>
        <w:numPr>
          <w:ilvl w:val="0"/>
          <w:numId w:val="22"/>
        </w:numPr>
        <w:tabs>
          <w:tab w:val="left" w:pos="381"/>
        </w:tabs>
        <w:spacing w:before="43" w:line="189" w:lineRule="auto"/>
        <w:ind w:right="1607"/>
      </w:pPr>
      <w:r>
        <w:t>63rd</w:t>
      </w:r>
      <w:r>
        <w:rPr>
          <w:spacing w:val="-10"/>
        </w:rPr>
        <w:t xml:space="preserve"> </w:t>
      </w:r>
      <w:r>
        <w:t>Commonwealth</w:t>
      </w:r>
      <w:r>
        <w:rPr>
          <w:spacing w:val="-9"/>
        </w:rPr>
        <w:t xml:space="preserve"> </w:t>
      </w:r>
      <w:r>
        <w:t>Parliamentary</w:t>
      </w:r>
      <w:r>
        <w:rPr>
          <w:spacing w:val="-9"/>
        </w:rPr>
        <w:t xml:space="preserve"> </w:t>
      </w:r>
      <w:r>
        <w:t>Association</w:t>
      </w:r>
      <w:r>
        <w:rPr>
          <w:spacing w:val="-9"/>
        </w:rPr>
        <w:t xml:space="preserve"> </w:t>
      </w:r>
      <w:r>
        <w:t>Conference—Bangladesh,</w:t>
      </w:r>
      <w:r>
        <w:rPr>
          <w:spacing w:val="-9"/>
        </w:rPr>
        <w:t xml:space="preserve"> </w:t>
      </w:r>
      <w:r>
        <w:rPr>
          <w:spacing w:val="-3"/>
        </w:rPr>
        <w:t>1-8</w:t>
      </w:r>
      <w:r>
        <w:rPr>
          <w:spacing w:val="-9"/>
        </w:rPr>
        <w:t xml:space="preserve"> </w:t>
      </w:r>
      <w:r>
        <w:t>November</w:t>
      </w:r>
      <w:r>
        <w:rPr>
          <w:spacing w:val="-9"/>
        </w:rPr>
        <w:t xml:space="preserve"> </w:t>
      </w:r>
      <w:r>
        <w:rPr>
          <w:spacing w:val="-4"/>
        </w:rPr>
        <w:t xml:space="preserve">2017—Chris </w:t>
      </w:r>
      <w:r>
        <w:t xml:space="preserve">Steel </w:t>
      </w:r>
      <w:r>
        <w:rPr>
          <w:spacing w:val="1"/>
        </w:rPr>
        <w:t xml:space="preserve">MLA </w:t>
      </w:r>
      <w:r>
        <w:rPr>
          <w:spacing w:val="-4"/>
        </w:rPr>
        <w:t xml:space="preserve">($2,960), </w:t>
      </w:r>
      <w:r>
        <w:t xml:space="preserve">Vicki Dunne </w:t>
      </w:r>
      <w:r>
        <w:rPr>
          <w:spacing w:val="1"/>
        </w:rPr>
        <w:t xml:space="preserve">MLA </w:t>
      </w:r>
      <w:r>
        <w:rPr>
          <w:spacing w:val="-5"/>
        </w:rPr>
        <w:t xml:space="preserve">(CPA </w:t>
      </w:r>
      <w:r>
        <w:rPr>
          <w:spacing w:val="-4"/>
        </w:rPr>
        <w:t>Treasurer)</w:t>
      </w:r>
      <w:r>
        <w:t xml:space="preserve"> </w:t>
      </w:r>
      <w:r>
        <w:rPr>
          <w:spacing w:val="-5"/>
        </w:rPr>
        <w:t>($1,212);</w:t>
      </w:r>
    </w:p>
    <w:p w:rsidR="006C17CB" w:rsidRDefault="0030091C">
      <w:pPr>
        <w:pStyle w:val="ListParagraph"/>
        <w:numPr>
          <w:ilvl w:val="0"/>
          <w:numId w:val="22"/>
        </w:numPr>
        <w:tabs>
          <w:tab w:val="left" w:pos="381"/>
        </w:tabs>
        <w:spacing w:before="45" w:line="189" w:lineRule="auto"/>
        <w:ind w:right="1260"/>
      </w:pPr>
      <w:r>
        <w:t>Ninth</w:t>
      </w:r>
      <w:r>
        <w:rPr>
          <w:spacing w:val="-6"/>
        </w:rPr>
        <w:t xml:space="preserve"> </w:t>
      </w:r>
      <w:r>
        <w:t>Commonwealth</w:t>
      </w:r>
      <w:r>
        <w:rPr>
          <w:spacing w:val="-6"/>
        </w:rPr>
        <w:t xml:space="preserve"> </w:t>
      </w:r>
      <w:r>
        <w:rPr>
          <w:spacing w:val="-3"/>
        </w:rPr>
        <w:t>Youth</w:t>
      </w:r>
      <w:r>
        <w:rPr>
          <w:spacing w:val="-6"/>
        </w:rPr>
        <w:t xml:space="preserve"> </w:t>
      </w:r>
      <w:r>
        <w:rPr>
          <w:spacing w:val="-4"/>
        </w:rPr>
        <w:t>Parliament—Jersey,</w:t>
      </w:r>
      <w:r>
        <w:rPr>
          <w:spacing w:val="-6"/>
        </w:rPr>
        <w:t xml:space="preserve"> </w:t>
      </w:r>
      <w:r>
        <w:t>Channel</w:t>
      </w:r>
      <w:r>
        <w:rPr>
          <w:spacing w:val="-6"/>
        </w:rPr>
        <w:t xml:space="preserve"> </w:t>
      </w:r>
      <w:r>
        <w:t>Islands,</w:t>
      </w:r>
      <w:r>
        <w:rPr>
          <w:spacing w:val="-6"/>
        </w:rPr>
        <w:t xml:space="preserve"> </w:t>
      </w:r>
      <w:r>
        <w:t>25</w:t>
      </w:r>
      <w:r>
        <w:rPr>
          <w:spacing w:val="-6"/>
        </w:rPr>
        <w:t xml:space="preserve"> </w:t>
      </w:r>
      <w:r>
        <w:t>February-1</w:t>
      </w:r>
      <w:r>
        <w:rPr>
          <w:spacing w:val="-6"/>
        </w:rPr>
        <w:t xml:space="preserve"> </w:t>
      </w:r>
      <w:r>
        <w:t>March,</w:t>
      </w:r>
      <w:r>
        <w:rPr>
          <w:spacing w:val="-6"/>
        </w:rPr>
        <w:t xml:space="preserve"> </w:t>
      </w:r>
      <w:r>
        <w:rPr>
          <w:spacing w:val="-3"/>
        </w:rPr>
        <w:t>2018—Max</w:t>
      </w:r>
      <w:r>
        <w:rPr>
          <w:spacing w:val="-7"/>
        </w:rPr>
        <w:t xml:space="preserve"> </w:t>
      </w:r>
      <w:r>
        <w:t>Burke (ACT Branch nominee)</w:t>
      </w:r>
      <w:r>
        <w:rPr>
          <w:spacing w:val="-2"/>
        </w:rPr>
        <w:t xml:space="preserve"> </w:t>
      </w:r>
      <w:r>
        <w:rPr>
          <w:spacing w:val="-6"/>
        </w:rPr>
        <w:t>($126);</w:t>
      </w:r>
    </w:p>
    <w:p w:rsidR="006C17CB" w:rsidRDefault="0030091C">
      <w:pPr>
        <w:pStyle w:val="ListParagraph"/>
        <w:numPr>
          <w:ilvl w:val="0"/>
          <w:numId w:val="22"/>
        </w:numPr>
        <w:tabs>
          <w:tab w:val="left" w:pos="381"/>
        </w:tabs>
        <w:spacing w:before="44" w:line="189" w:lineRule="auto"/>
        <w:ind w:right="1550"/>
      </w:pPr>
      <w:r>
        <w:rPr>
          <w:spacing w:val="-4"/>
        </w:rPr>
        <w:t>CPA</w:t>
      </w:r>
      <w:r>
        <w:rPr>
          <w:spacing w:val="-10"/>
        </w:rPr>
        <w:t xml:space="preserve"> </w:t>
      </w:r>
      <w:r>
        <w:t>mid-year</w:t>
      </w:r>
      <w:r>
        <w:rPr>
          <w:spacing w:val="-9"/>
        </w:rPr>
        <w:t xml:space="preserve"> </w:t>
      </w:r>
      <w:r>
        <w:t>international</w:t>
      </w:r>
      <w:r>
        <w:rPr>
          <w:spacing w:val="-9"/>
        </w:rPr>
        <w:t xml:space="preserve"> </w:t>
      </w:r>
      <w:r>
        <w:t>executive</w:t>
      </w:r>
      <w:r>
        <w:rPr>
          <w:spacing w:val="-10"/>
        </w:rPr>
        <w:t xml:space="preserve"> </w:t>
      </w:r>
      <w:r>
        <w:t>committee</w:t>
      </w:r>
      <w:r>
        <w:rPr>
          <w:spacing w:val="-10"/>
        </w:rPr>
        <w:t xml:space="preserve"> </w:t>
      </w:r>
      <w:r>
        <w:t>meeting—Mauritius,</w:t>
      </w:r>
      <w:r>
        <w:rPr>
          <w:spacing w:val="-9"/>
        </w:rPr>
        <w:t xml:space="preserve"> </w:t>
      </w:r>
      <w:r>
        <w:rPr>
          <w:spacing w:val="-3"/>
        </w:rPr>
        <w:t>20-24</w:t>
      </w:r>
      <w:r>
        <w:rPr>
          <w:spacing w:val="-9"/>
        </w:rPr>
        <w:t xml:space="preserve"> </w:t>
      </w:r>
      <w:r>
        <w:t>March</w:t>
      </w:r>
      <w:r>
        <w:rPr>
          <w:spacing w:val="-9"/>
        </w:rPr>
        <w:t xml:space="preserve"> </w:t>
      </w:r>
      <w:r>
        <w:rPr>
          <w:spacing w:val="-3"/>
        </w:rPr>
        <w:t>2018—Vicki</w:t>
      </w:r>
      <w:r>
        <w:rPr>
          <w:spacing w:val="-9"/>
        </w:rPr>
        <w:t xml:space="preserve"> </w:t>
      </w:r>
      <w:r>
        <w:t xml:space="preserve">Dunne </w:t>
      </w:r>
      <w:r>
        <w:rPr>
          <w:spacing w:val="1"/>
        </w:rPr>
        <w:t xml:space="preserve">MLA </w:t>
      </w:r>
      <w:r>
        <w:rPr>
          <w:spacing w:val="-5"/>
        </w:rPr>
        <w:t xml:space="preserve">(CPA </w:t>
      </w:r>
      <w:r>
        <w:rPr>
          <w:spacing w:val="-4"/>
        </w:rPr>
        <w:t>Treasurer)</w:t>
      </w:r>
      <w:r>
        <w:t xml:space="preserve"> </w:t>
      </w:r>
      <w:r>
        <w:rPr>
          <w:spacing w:val="-4"/>
        </w:rPr>
        <w:t>($357);</w:t>
      </w:r>
    </w:p>
    <w:p w:rsidR="006C17CB" w:rsidRDefault="0030091C">
      <w:pPr>
        <w:pStyle w:val="ListParagraph"/>
        <w:numPr>
          <w:ilvl w:val="0"/>
          <w:numId w:val="22"/>
        </w:numPr>
        <w:tabs>
          <w:tab w:val="left" w:pos="381"/>
        </w:tabs>
        <w:spacing w:line="296" w:lineRule="exact"/>
      </w:pPr>
      <w:r>
        <w:rPr>
          <w:spacing w:val="-4"/>
        </w:rPr>
        <w:t xml:space="preserve">CPA </w:t>
      </w:r>
      <w:r>
        <w:t xml:space="preserve">status working group—London, June </w:t>
      </w:r>
      <w:r>
        <w:rPr>
          <w:spacing w:val="-3"/>
        </w:rPr>
        <w:t xml:space="preserve">2018—Vicki </w:t>
      </w:r>
      <w:r>
        <w:t xml:space="preserve">Dunne </w:t>
      </w:r>
      <w:r>
        <w:rPr>
          <w:spacing w:val="1"/>
        </w:rPr>
        <w:t xml:space="preserve">MLA </w:t>
      </w:r>
      <w:r>
        <w:rPr>
          <w:spacing w:val="-5"/>
        </w:rPr>
        <w:t xml:space="preserve">(CPA </w:t>
      </w:r>
      <w:r>
        <w:rPr>
          <w:spacing w:val="-4"/>
        </w:rPr>
        <w:t>Treasurer) ($707);</w:t>
      </w:r>
      <w:r>
        <w:rPr>
          <w:spacing w:val="2"/>
        </w:rPr>
        <w:t xml:space="preserve"> </w:t>
      </w:r>
      <w:r>
        <w:t>and</w:t>
      </w:r>
    </w:p>
    <w:p w:rsidR="006C17CB" w:rsidRDefault="0030091C">
      <w:pPr>
        <w:pStyle w:val="ListParagraph"/>
        <w:numPr>
          <w:ilvl w:val="0"/>
          <w:numId w:val="22"/>
        </w:numPr>
        <w:tabs>
          <w:tab w:val="left" w:pos="381"/>
        </w:tabs>
        <w:spacing w:line="306" w:lineRule="exact"/>
      </w:pPr>
      <w:r>
        <w:rPr>
          <w:spacing w:val="-4"/>
        </w:rPr>
        <w:t xml:space="preserve">CPA </w:t>
      </w:r>
      <w:r>
        <w:t xml:space="preserve">benchmarks workshop—London, </w:t>
      </w:r>
      <w:r>
        <w:rPr>
          <w:spacing w:val="-3"/>
        </w:rPr>
        <w:t xml:space="preserve">18-20 </w:t>
      </w:r>
      <w:r>
        <w:t xml:space="preserve">June </w:t>
      </w:r>
      <w:r>
        <w:rPr>
          <w:spacing w:val="-4"/>
        </w:rPr>
        <w:t xml:space="preserve">2018—Joy </w:t>
      </w:r>
      <w:r>
        <w:t xml:space="preserve">Burch </w:t>
      </w:r>
      <w:r>
        <w:rPr>
          <w:spacing w:val="1"/>
        </w:rPr>
        <w:t>MLA</w:t>
      </w:r>
      <w:r>
        <w:rPr>
          <w:spacing w:val="3"/>
        </w:rPr>
        <w:t xml:space="preserve"> </w:t>
      </w:r>
      <w:r>
        <w:rPr>
          <w:spacing w:val="-5"/>
        </w:rPr>
        <w:t>($4,765).</w:t>
      </w:r>
    </w:p>
    <w:p w:rsidR="006C17CB" w:rsidRDefault="0030091C">
      <w:pPr>
        <w:pStyle w:val="BodyText"/>
        <w:spacing w:before="131"/>
        <w:ind w:left="153"/>
      </w:pPr>
      <w:r>
        <w:t>In addition, the association membership subscription for the branch for the year was $13,755.03.</w:t>
      </w:r>
    </w:p>
    <w:p w:rsidR="006C17CB" w:rsidRDefault="006C17CB">
      <w:pPr>
        <w:sectPr w:rsidR="006C17CB">
          <w:headerReference w:type="even" r:id="rId118"/>
          <w:pgSz w:w="11910" w:h="16840"/>
          <w:pgMar w:top="1040" w:right="0" w:bottom="720" w:left="980" w:header="0" w:footer="523" w:gutter="0"/>
          <w:cols w:space="720"/>
        </w:sectPr>
      </w:pPr>
    </w:p>
    <w:p w:rsidR="006C17CB" w:rsidRDefault="0030091C">
      <w:pPr>
        <w:pStyle w:val="Heading4"/>
        <w:spacing w:before="76"/>
        <w:ind w:left="155"/>
      </w:pPr>
      <w:bookmarkStart w:id="111" w:name="Appendix_17_–_Education_program"/>
      <w:bookmarkStart w:id="112" w:name="_bookmark42"/>
      <w:bookmarkEnd w:id="111"/>
      <w:bookmarkEnd w:id="112"/>
      <w:r>
        <w:rPr>
          <w:color w:val="004289"/>
        </w:rPr>
        <w:t>APPENDIX 17 – EDUCATION PROGRAM</w:t>
      </w:r>
    </w:p>
    <w:p w:rsidR="006C17CB" w:rsidRDefault="006C17CB">
      <w:pPr>
        <w:pStyle w:val="BodyText"/>
        <w:rPr>
          <w:rFonts w:ascii="Montserrat-SemiBold"/>
          <w:b/>
          <w:sz w:val="42"/>
        </w:rPr>
      </w:pPr>
    </w:p>
    <w:p w:rsidR="006C17CB" w:rsidRDefault="006C17CB">
      <w:pPr>
        <w:pStyle w:val="BodyText"/>
        <w:spacing w:before="11"/>
        <w:rPr>
          <w:rFonts w:ascii="Montserrat-SemiBold"/>
          <w:b/>
          <w:sz w:val="33"/>
        </w:rPr>
      </w:pPr>
    </w:p>
    <w:p w:rsidR="006C17CB" w:rsidRDefault="0030091C">
      <w:pPr>
        <w:pStyle w:val="Heading6"/>
        <w:spacing w:before="1"/>
        <w:ind w:left="153"/>
        <w:rPr>
          <w:rFonts w:ascii="Montserrat"/>
        </w:rPr>
      </w:pPr>
      <w:r>
        <w:rPr>
          <w:rFonts w:ascii="Montserrat"/>
          <w:color w:val="556EAA"/>
        </w:rPr>
        <w:t>Visitors to the Assembly</w:t>
      </w:r>
    </w:p>
    <w:p w:rsidR="006C17CB" w:rsidRDefault="006C17CB">
      <w:pPr>
        <w:pStyle w:val="BodyText"/>
        <w:spacing w:before="11"/>
        <w:rPr>
          <w:rFonts w:ascii="Montserrat"/>
          <w:b/>
          <w:sz w:val="10"/>
        </w:rPr>
      </w:pPr>
    </w:p>
    <w:tbl>
      <w:tblPr>
        <w:tblW w:w="0" w:type="auto"/>
        <w:tblInd w:w="153" w:type="dxa"/>
        <w:tblBorders>
          <w:top w:val="single" w:sz="8" w:space="0" w:color="7098D0"/>
          <w:left w:val="single" w:sz="8" w:space="0" w:color="7098D0"/>
          <w:bottom w:val="single" w:sz="8" w:space="0" w:color="7098D0"/>
          <w:right w:val="single" w:sz="8" w:space="0" w:color="7098D0"/>
          <w:insideH w:val="single" w:sz="8" w:space="0" w:color="7098D0"/>
          <w:insideV w:val="single" w:sz="8" w:space="0" w:color="7098D0"/>
        </w:tblBorders>
        <w:tblLayout w:type="fixed"/>
        <w:tblCellMar>
          <w:left w:w="0" w:type="dxa"/>
          <w:right w:w="0" w:type="dxa"/>
        </w:tblCellMar>
        <w:tblLook w:val="01E0" w:firstRow="1" w:lastRow="1" w:firstColumn="1" w:lastColumn="1" w:noHBand="0" w:noVBand="0"/>
      </w:tblPr>
      <w:tblGrid>
        <w:gridCol w:w="5641"/>
        <w:gridCol w:w="1304"/>
        <w:gridCol w:w="1318"/>
        <w:gridCol w:w="1370"/>
      </w:tblGrid>
      <w:tr w:rsidR="006C17CB">
        <w:trPr>
          <w:trHeight w:val="736"/>
        </w:trPr>
        <w:tc>
          <w:tcPr>
            <w:tcW w:w="5641" w:type="dxa"/>
            <w:tcBorders>
              <w:top w:val="nil"/>
              <w:left w:val="nil"/>
              <w:bottom w:val="nil"/>
            </w:tcBorders>
            <w:shd w:val="clear" w:color="auto" w:fill="89A7D7"/>
          </w:tcPr>
          <w:p w:rsidR="006C17CB" w:rsidRDefault="006C17CB">
            <w:pPr>
              <w:pStyle w:val="TableParagraph"/>
              <w:jc w:val="left"/>
              <w:rPr>
                <w:rFonts w:ascii="Montserrat"/>
                <w:b/>
                <w:sz w:val="18"/>
              </w:rPr>
            </w:pPr>
          </w:p>
          <w:p w:rsidR="006C17CB" w:rsidRDefault="006C17CB">
            <w:pPr>
              <w:pStyle w:val="TableParagraph"/>
              <w:spacing w:before="10"/>
              <w:jc w:val="left"/>
              <w:rPr>
                <w:rFonts w:ascii="Montserrat"/>
                <w:b/>
                <w:sz w:val="15"/>
              </w:rPr>
            </w:pPr>
          </w:p>
          <w:p w:rsidR="006C17CB" w:rsidRDefault="0030091C">
            <w:pPr>
              <w:pStyle w:val="TableParagraph"/>
              <w:ind w:left="79"/>
              <w:jc w:val="left"/>
              <w:rPr>
                <w:b/>
                <w:sz w:val="18"/>
              </w:rPr>
            </w:pPr>
            <w:r>
              <w:rPr>
                <w:b/>
                <w:sz w:val="18"/>
              </w:rPr>
              <w:t>Visitors by group</w:t>
            </w:r>
          </w:p>
        </w:tc>
        <w:tc>
          <w:tcPr>
            <w:tcW w:w="1304" w:type="dxa"/>
            <w:tcBorders>
              <w:top w:val="nil"/>
              <w:bottom w:val="nil"/>
            </w:tcBorders>
            <w:shd w:val="clear" w:color="auto" w:fill="89A7D7"/>
          </w:tcPr>
          <w:p w:rsidR="006C17CB" w:rsidRDefault="0030091C">
            <w:pPr>
              <w:pStyle w:val="TableParagraph"/>
              <w:spacing w:before="61" w:line="184" w:lineRule="auto"/>
              <w:ind w:left="300" w:right="67" w:firstLine="95"/>
              <w:jc w:val="both"/>
              <w:rPr>
                <w:b/>
                <w:sz w:val="18"/>
              </w:rPr>
            </w:pPr>
            <w:r>
              <w:rPr>
                <w:b/>
                <w:sz w:val="18"/>
              </w:rPr>
              <w:t>Number of participants 2015-2016</w:t>
            </w:r>
          </w:p>
        </w:tc>
        <w:tc>
          <w:tcPr>
            <w:tcW w:w="1318" w:type="dxa"/>
            <w:tcBorders>
              <w:top w:val="nil"/>
              <w:bottom w:val="nil"/>
            </w:tcBorders>
            <w:shd w:val="clear" w:color="auto" w:fill="89A7D7"/>
          </w:tcPr>
          <w:p w:rsidR="006C17CB" w:rsidRDefault="0030091C">
            <w:pPr>
              <w:pStyle w:val="TableParagraph"/>
              <w:spacing w:before="61" w:line="184" w:lineRule="auto"/>
              <w:ind w:left="314" w:right="67" w:firstLine="95"/>
              <w:jc w:val="both"/>
              <w:rPr>
                <w:b/>
                <w:sz w:val="18"/>
              </w:rPr>
            </w:pPr>
            <w:r>
              <w:rPr>
                <w:b/>
                <w:sz w:val="18"/>
              </w:rPr>
              <w:t>Number of participants 2016-2017</w:t>
            </w:r>
          </w:p>
        </w:tc>
        <w:tc>
          <w:tcPr>
            <w:tcW w:w="1370" w:type="dxa"/>
            <w:tcBorders>
              <w:top w:val="nil"/>
              <w:bottom w:val="nil"/>
              <w:right w:val="nil"/>
            </w:tcBorders>
            <w:shd w:val="clear" w:color="auto" w:fill="89A7D7"/>
          </w:tcPr>
          <w:p w:rsidR="006C17CB" w:rsidRDefault="0030091C">
            <w:pPr>
              <w:pStyle w:val="TableParagraph"/>
              <w:spacing w:before="61" w:line="184" w:lineRule="auto"/>
              <w:ind w:left="366" w:right="78" w:firstLine="95"/>
              <w:rPr>
                <w:b/>
                <w:sz w:val="18"/>
              </w:rPr>
            </w:pPr>
            <w:r>
              <w:rPr>
                <w:b/>
                <w:sz w:val="18"/>
              </w:rPr>
              <w:t>Number of participants 2017-2018</w:t>
            </w:r>
          </w:p>
        </w:tc>
      </w:tr>
      <w:tr w:rsidR="006C17CB">
        <w:trPr>
          <w:trHeight w:val="386"/>
        </w:trPr>
        <w:tc>
          <w:tcPr>
            <w:tcW w:w="5641" w:type="dxa"/>
            <w:tcBorders>
              <w:top w:val="nil"/>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Community groups</w:t>
            </w:r>
          </w:p>
        </w:tc>
        <w:tc>
          <w:tcPr>
            <w:tcW w:w="1304" w:type="dxa"/>
            <w:tcBorders>
              <w:top w:val="nil"/>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372</w:t>
            </w:r>
          </w:p>
        </w:tc>
        <w:tc>
          <w:tcPr>
            <w:tcW w:w="1318" w:type="dxa"/>
            <w:tcBorders>
              <w:top w:val="nil"/>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327</w:t>
            </w:r>
          </w:p>
        </w:tc>
        <w:tc>
          <w:tcPr>
            <w:tcW w:w="1370" w:type="dxa"/>
            <w:tcBorders>
              <w:top w:val="nil"/>
              <w:left w:val="dashed" w:sz="4" w:space="0" w:color="DADADA"/>
              <w:bottom w:val="single" w:sz="4" w:space="0" w:color="000000"/>
              <w:right w:val="nil"/>
            </w:tcBorders>
          </w:tcPr>
          <w:p w:rsidR="006C17CB" w:rsidRDefault="0030091C">
            <w:pPr>
              <w:pStyle w:val="TableParagraph"/>
              <w:spacing w:before="50"/>
              <w:ind w:right="78"/>
              <w:rPr>
                <w:sz w:val="18"/>
              </w:rPr>
            </w:pPr>
            <w:r>
              <w:rPr>
                <w:sz w:val="18"/>
              </w:rPr>
              <w:t>697</w:t>
            </w:r>
          </w:p>
        </w:tc>
      </w:tr>
      <w:tr w:rsidR="006C17CB">
        <w:trPr>
          <w:trHeight w:val="386"/>
        </w:trPr>
        <w:tc>
          <w:tcPr>
            <w:tcW w:w="564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Delegations</w:t>
            </w:r>
          </w:p>
        </w:tc>
        <w:tc>
          <w:tcPr>
            <w:tcW w:w="1304"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47</w:t>
            </w:r>
          </w:p>
        </w:tc>
        <w:tc>
          <w:tcPr>
            <w:tcW w:w="131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32</w:t>
            </w:r>
          </w:p>
        </w:tc>
        <w:tc>
          <w:tcPr>
            <w:tcW w:w="137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87</w:t>
            </w:r>
          </w:p>
        </w:tc>
      </w:tr>
      <w:tr w:rsidR="006C17CB">
        <w:trPr>
          <w:trHeight w:val="386"/>
        </w:trPr>
        <w:tc>
          <w:tcPr>
            <w:tcW w:w="564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Speaker’s citizenship evening</w:t>
            </w:r>
          </w:p>
        </w:tc>
        <w:tc>
          <w:tcPr>
            <w:tcW w:w="1304"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248</w:t>
            </w:r>
          </w:p>
        </w:tc>
        <w:tc>
          <w:tcPr>
            <w:tcW w:w="131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183</w:t>
            </w:r>
          </w:p>
        </w:tc>
        <w:tc>
          <w:tcPr>
            <w:tcW w:w="137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122</w:t>
            </w:r>
          </w:p>
        </w:tc>
      </w:tr>
      <w:tr w:rsidR="006C17CB">
        <w:trPr>
          <w:trHeight w:val="386"/>
        </w:trPr>
        <w:tc>
          <w:tcPr>
            <w:tcW w:w="564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Public service seminar/tour; includes teacher professional development</w:t>
            </w:r>
          </w:p>
        </w:tc>
        <w:tc>
          <w:tcPr>
            <w:tcW w:w="1304"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223</w:t>
            </w:r>
          </w:p>
        </w:tc>
        <w:tc>
          <w:tcPr>
            <w:tcW w:w="131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275</w:t>
            </w:r>
          </w:p>
        </w:tc>
        <w:tc>
          <w:tcPr>
            <w:tcW w:w="137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246</w:t>
            </w:r>
          </w:p>
        </w:tc>
      </w:tr>
      <w:tr w:rsidR="006C17CB">
        <w:trPr>
          <w:trHeight w:val="386"/>
        </w:trPr>
        <w:tc>
          <w:tcPr>
            <w:tcW w:w="564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Seminars and conventions; Assembly Open Day</w:t>
            </w:r>
          </w:p>
        </w:tc>
        <w:tc>
          <w:tcPr>
            <w:tcW w:w="1304"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382</w:t>
            </w:r>
          </w:p>
        </w:tc>
        <w:tc>
          <w:tcPr>
            <w:tcW w:w="131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0</w:t>
            </w:r>
          </w:p>
        </w:tc>
        <w:tc>
          <w:tcPr>
            <w:tcW w:w="137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38</w:t>
            </w:r>
          </w:p>
        </w:tc>
      </w:tr>
      <w:tr w:rsidR="006C17CB">
        <w:trPr>
          <w:trHeight w:val="386"/>
        </w:trPr>
        <w:tc>
          <w:tcPr>
            <w:tcW w:w="564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Work experience/internship</w:t>
            </w:r>
          </w:p>
        </w:tc>
        <w:tc>
          <w:tcPr>
            <w:tcW w:w="1304"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7</w:t>
            </w:r>
          </w:p>
        </w:tc>
        <w:tc>
          <w:tcPr>
            <w:tcW w:w="131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12</w:t>
            </w:r>
          </w:p>
        </w:tc>
        <w:tc>
          <w:tcPr>
            <w:tcW w:w="137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23</w:t>
            </w:r>
          </w:p>
        </w:tc>
      </w:tr>
      <w:tr w:rsidR="006C17CB">
        <w:trPr>
          <w:trHeight w:val="386"/>
        </w:trPr>
        <w:tc>
          <w:tcPr>
            <w:tcW w:w="564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School students (from individual school visits)</w:t>
            </w:r>
          </w:p>
        </w:tc>
        <w:tc>
          <w:tcPr>
            <w:tcW w:w="1304"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234</w:t>
            </w:r>
          </w:p>
        </w:tc>
        <w:tc>
          <w:tcPr>
            <w:tcW w:w="131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805</w:t>
            </w:r>
          </w:p>
        </w:tc>
        <w:tc>
          <w:tcPr>
            <w:tcW w:w="137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1,009</w:t>
            </w:r>
          </w:p>
        </w:tc>
      </w:tr>
      <w:tr w:rsidR="006C17CB">
        <w:trPr>
          <w:trHeight w:val="386"/>
        </w:trPr>
        <w:tc>
          <w:tcPr>
            <w:tcW w:w="564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School students (outreach visits to schools)</w:t>
            </w:r>
          </w:p>
        </w:tc>
        <w:tc>
          <w:tcPr>
            <w:tcW w:w="1304"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50</w:t>
            </w:r>
          </w:p>
        </w:tc>
        <w:tc>
          <w:tcPr>
            <w:tcW w:w="131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0</w:t>
            </w:r>
          </w:p>
        </w:tc>
        <w:tc>
          <w:tcPr>
            <w:tcW w:w="137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0</w:t>
            </w:r>
          </w:p>
        </w:tc>
      </w:tr>
      <w:tr w:rsidR="006C17CB">
        <w:trPr>
          <w:trHeight w:val="386"/>
        </w:trPr>
        <w:tc>
          <w:tcPr>
            <w:tcW w:w="564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School students (school debates)</w:t>
            </w:r>
          </w:p>
        </w:tc>
        <w:tc>
          <w:tcPr>
            <w:tcW w:w="1304"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530</w:t>
            </w:r>
          </w:p>
        </w:tc>
        <w:tc>
          <w:tcPr>
            <w:tcW w:w="131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527</w:t>
            </w:r>
          </w:p>
        </w:tc>
        <w:tc>
          <w:tcPr>
            <w:tcW w:w="137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341</w:t>
            </w:r>
          </w:p>
        </w:tc>
      </w:tr>
      <w:tr w:rsidR="006C17CB">
        <w:trPr>
          <w:trHeight w:val="386"/>
        </w:trPr>
        <w:tc>
          <w:tcPr>
            <w:tcW w:w="564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School students (constitutional convention)</w:t>
            </w:r>
          </w:p>
        </w:tc>
        <w:tc>
          <w:tcPr>
            <w:tcW w:w="1304"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77</w:t>
            </w:r>
          </w:p>
        </w:tc>
        <w:tc>
          <w:tcPr>
            <w:tcW w:w="131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66</w:t>
            </w:r>
          </w:p>
        </w:tc>
        <w:tc>
          <w:tcPr>
            <w:tcW w:w="137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82</w:t>
            </w:r>
          </w:p>
        </w:tc>
      </w:tr>
      <w:tr w:rsidR="006C17CB">
        <w:trPr>
          <w:trHeight w:val="386"/>
        </w:trPr>
        <w:tc>
          <w:tcPr>
            <w:tcW w:w="564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Tours</w:t>
            </w:r>
          </w:p>
        </w:tc>
        <w:tc>
          <w:tcPr>
            <w:tcW w:w="1304"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6"/>
              <w:rPr>
                <w:sz w:val="18"/>
              </w:rPr>
            </w:pPr>
            <w:r>
              <w:rPr>
                <w:sz w:val="18"/>
              </w:rPr>
              <w:t>n/a</w:t>
            </w:r>
          </w:p>
        </w:tc>
        <w:tc>
          <w:tcPr>
            <w:tcW w:w="131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2"/>
              <w:rPr>
                <w:sz w:val="18"/>
              </w:rPr>
            </w:pPr>
            <w:r>
              <w:rPr>
                <w:sz w:val="18"/>
              </w:rPr>
              <w:t>64</w:t>
            </w:r>
          </w:p>
        </w:tc>
        <w:tc>
          <w:tcPr>
            <w:tcW w:w="137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96</w:t>
            </w:r>
          </w:p>
        </w:tc>
      </w:tr>
      <w:tr w:rsidR="006C17CB">
        <w:trPr>
          <w:trHeight w:val="386"/>
        </w:trPr>
        <w:tc>
          <w:tcPr>
            <w:tcW w:w="5641" w:type="dxa"/>
            <w:tcBorders>
              <w:top w:val="single" w:sz="4" w:space="0" w:color="000000"/>
              <w:left w:val="nil"/>
              <w:bottom w:val="single" w:sz="4" w:space="0" w:color="000000"/>
              <w:right w:val="single" w:sz="4" w:space="0" w:color="DADADA"/>
            </w:tcBorders>
          </w:tcPr>
          <w:p w:rsidR="006C17CB" w:rsidRDefault="0030091C">
            <w:pPr>
              <w:pStyle w:val="TableParagraph"/>
              <w:spacing w:before="50"/>
              <w:ind w:left="79"/>
              <w:jc w:val="left"/>
              <w:rPr>
                <w:sz w:val="18"/>
              </w:rPr>
            </w:pPr>
            <w:r>
              <w:rPr>
                <w:sz w:val="18"/>
              </w:rPr>
              <w:t>Youth parliament</w:t>
            </w:r>
          </w:p>
        </w:tc>
        <w:tc>
          <w:tcPr>
            <w:tcW w:w="1304" w:type="dxa"/>
            <w:tcBorders>
              <w:top w:val="single" w:sz="4" w:space="0" w:color="000000"/>
              <w:left w:val="single"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64</w:t>
            </w:r>
          </w:p>
        </w:tc>
        <w:tc>
          <w:tcPr>
            <w:tcW w:w="1318" w:type="dxa"/>
            <w:tcBorders>
              <w:top w:val="single" w:sz="4" w:space="0" w:color="000000"/>
              <w:left w:val="dashed" w:sz="4" w:space="0" w:color="DADADA"/>
              <w:bottom w:val="single" w:sz="4" w:space="0" w:color="000000"/>
              <w:right w:val="dashed" w:sz="4" w:space="0" w:color="DADADA"/>
            </w:tcBorders>
          </w:tcPr>
          <w:p w:rsidR="006C17CB" w:rsidRDefault="0030091C">
            <w:pPr>
              <w:pStyle w:val="TableParagraph"/>
              <w:spacing w:before="50"/>
              <w:ind w:right="73"/>
              <w:rPr>
                <w:sz w:val="18"/>
              </w:rPr>
            </w:pPr>
            <w:r>
              <w:rPr>
                <w:sz w:val="18"/>
              </w:rPr>
              <w:t>0</w:t>
            </w:r>
          </w:p>
        </w:tc>
        <w:tc>
          <w:tcPr>
            <w:tcW w:w="1370" w:type="dxa"/>
            <w:tcBorders>
              <w:top w:val="single" w:sz="4" w:space="0" w:color="000000"/>
              <w:left w:val="dashed" w:sz="4" w:space="0" w:color="DADADA"/>
              <w:bottom w:val="single" w:sz="4" w:space="0" w:color="000000"/>
              <w:right w:val="nil"/>
            </w:tcBorders>
          </w:tcPr>
          <w:p w:rsidR="006C17CB" w:rsidRDefault="0030091C">
            <w:pPr>
              <w:pStyle w:val="TableParagraph"/>
              <w:spacing w:before="50"/>
              <w:ind w:right="78"/>
              <w:rPr>
                <w:sz w:val="18"/>
              </w:rPr>
            </w:pPr>
            <w:r>
              <w:rPr>
                <w:sz w:val="18"/>
              </w:rPr>
              <w:t>0</w:t>
            </w:r>
          </w:p>
        </w:tc>
      </w:tr>
      <w:tr w:rsidR="006C17CB">
        <w:trPr>
          <w:trHeight w:val="386"/>
        </w:trPr>
        <w:tc>
          <w:tcPr>
            <w:tcW w:w="5641" w:type="dxa"/>
            <w:tcBorders>
              <w:top w:val="single" w:sz="4" w:space="0" w:color="000000"/>
              <w:left w:val="nil"/>
              <w:bottom w:val="single" w:sz="4" w:space="0" w:color="000000"/>
              <w:right w:val="nil"/>
            </w:tcBorders>
            <w:shd w:val="clear" w:color="auto" w:fill="EDEDED"/>
          </w:tcPr>
          <w:p w:rsidR="006C17CB" w:rsidRDefault="0030091C">
            <w:pPr>
              <w:pStyle w:val="TableParagraph"/>
              <w:spacing w:before="50"/>
              <w:ind w:left="79"/>
              <w:jc w:val="left"/>
              <w:rPr>
                <w:b/>
                <w:sz w:val="18"/>
              </w:rPr>
            </w:pPr>
            <w:r>
              <w:rPr>
                <w:b/>
                <w:sz w:val="18"/>
              </w:rPr>
              <w:t>TOTAL</w:t>
            </w:r>
          </w:p>
        </w:tc>
        <w:tc>
          <w:tcPr>
            <w:tcW w:w="1304" w:type="dxa"/>
            <w:tcBorders>
              <w:top w:val="single" w:sz="4" w:space="0" w:color="000000"/>
              <w:left w:val="nil"/>
              <w:bottom w:val="single" w:sz="4" w:space="0" w:color="000000"/>
              <w:right w:val="dashed" w:sz="4" w:space="0" w:color="DADADA"/>
            </w:tcBorders>
            <w:shd w:val="clear" w:color="auto" w:fill="EDEDED"/>
          </w:tcPr>
          <w:p w:rsidR="006C17CB" w:rsidRDefault="0030091C">
            <w:pPr>
              <w:pStyle w:val="TableParagraph"/>
              <w:spacing w:before="50"/>
              <w:ind w:right="72"/>
              <w:rPr>
                <w:b/>
                <w:sz w:val="18"/>
              </w:rPr>
            </w:pPr>
            <w:r>
              <w:rPr>
                <w:b/>
                <w:sz w:val="18"/>
              </w:rPr>
              <w:t>2,234</w:t>
            </w:r>
          </w:p>
        </w:tc>
        <w:tc>
          <w:tcPr>
            <w:tcW w:w="1318" w:type="dxa"/>
            <w:tcBorders>
              <w:top w:val="single" w:sz="4" w:space="0" w:color="000000"/>
              <w:left w:val="dashed" w:sz="4" w:space="0" w:color="DADADA"/>
              <w:bottom w:val="single" w:sz="4" w:space="0" w:color="000000"/>
              <w:right w:val="dashed" w:sz="4" w:space="0" w:color="DADADA"/>
            </w:tcBorders>
            <w:shd w:val="clear" w:color="auto" w:fill="EDEDED"/>
          </w:tcPr>
          <w:p w:rsidR="006C17CB" w:rsidRDefault="0030091C">
            <w:pPr>
              <w:pStyle w:val="TableParagraph"/>
              <w:spacing w:before="50"/>
              <w:ind w:right="72"/>
              <w:rPr>
                <w:b/>
                <w:sz w:val="18"/>
              </w:rPr>
            </w:pPr>
            <w:r>
              <w:rPr>
                <w:b/>
                <w:sz w:val="18"/>
              </w:rPr>
              <w:t>2,291</w:t>
            </w:r>
          </w:p>
        </w:tc>
        <w:tc>
          <w:tcPr>
            <w:tcW w:w="1370" w:type="dxa"/>
            <w:tcBorders>
              <w:top w:val="single" w:sz="4" w:space="0" w:color="000000"/>
              <w:left w:val="dashed" w:sz="4" w:space="0" w:color="DADADA"/>
              <w:bottom w:val="single" w:sz="4" w:space="0" w:color="000000"/>
              <w:right w:val="nil"/>
            </w:tcBorders>
            <w:shd w:val="clear" w:color="auto" w:fill="EDEDED"/>
          </w:tcPr>
          <w:p w:rsidR="006C17CB" w:rsidRDefault="0030091C">
            <w:pPr>
              <w:pStyle w:val="TableParagraph"/>
              <w:spacing w:before="50"/>
              <w:ind w:right="78"/>
              <w:rPr>
                <w:b/>
                <w:sz w:val="18"/>
              </w:rPr>
            </w:pPr>
            <w:r>
              <w:rPr>
                <w:b/>
                <w:sz w:val="18"/>
              </w:rPr>
              <w:t>2,741</w:t>
            </w:r>
          </w:p>
        </w:tc>
      </w:tr>
    </w:tbl>
    <w:p w:rsidR="006C17CB" w:rsidRDefault="006C17CB">
      <w:pPr>
        <w:rPr>
          <w:sz w:val="18"/>
        </w:rPr>
        <w:sectPr w:rsidR="006C17CB">
          <w:headerReference w:type="default" r:id="rId119"/>
          <w:footerReference w:type="even" r:id="rId120"/>
          <w:footerReference w:type="default" r:id="rId121"/>
          <w:pgSz w:w="11910" w:h="16840"/>
          <w:pgMar w:top="1040" w:right="0" w:bottom="740" w:left="980" w:header="0" w:footer="551" w:gutter="0"/>
          <w:pgNumType w:start="79"/>
          <w:cols w:space="720"/>
        </w:sectPr>
      </w:pPr>
    </w:p>
    <w:p w:rsidR="006C17CB" w:rsidRDefault="0030091C">
      <w:pPr>
        <w:spacing w:before="135" w:line="196" w:lineRule="auto"/>
        <w:ind w:left="155" w:right="1219"/>
        <w:rPr>
          <w:rFonts w:ascii="Montserrat-SemiBold" w:hAnsi="Montserrat-SemiBold"/>
          <w:b/>
          <w:sz w:val="34"/>
        </w:rPr>
      </w:pPr>
      <w:bookmarkStart w:id="113" w:name="Appendix_18_–_Office_of_the_Legislative_"/>
      <w:bookmarkStart w:id="114" w:name="Management_Discussion_and_Analysis_2017-"/>
      <w:bookmarkStart w:id="115" w:name="Legislative_Overview"/>
      <w:bookmarkStart w:id="116" w:name="Risk_Management"/>
      <w:bookmarkStart w:id="117" w:name="Reporting_Entities"/>
      <w:bookmarkStart w:id="118" w:name="Controlled_financial_performance"/>
      <w:bookmarkStart w:id="119" w:name="_bookmark43"/>
      <w:bookmarkEnd w:id="113"/>
      <w:bookmarkEnd w:id="114"/>
      <w:bookmarkEnd w:id="115"/>
      <w:bookmarkEnd w:id="116"/>
      <w:bookmarkEnd w:id="117"/>
      <w:bookmarkEnd w:id="118"/>
      <w:bookmarkEnd w:id="119"/>
      <w:r>
        <w:rPr>
          <w:rFonts w:ascii="Montserrat-SemiBold" w:hAnsi="Montserrat-SemiBold"/>
          <w:b/>
          <w:color w:val="004289"/>
          <w:spacing w:val="3"/>
          <w:sz w:val="34"/>
        </w:rPr>
        <w:t xml:space="preserve">APPENDIX </w:t>
      </w:r>
      <w:r>
        <w:rPr>
          <w:rFonts w:ascii="Montserrat-SemiBold" w:hAnsi="Montserrat-SemiBold"/>
          <w:b/>
          <w:color w:val="004289"/>
          <w:sz w:val="34"/>
        </w:rPr>
        <w:t xml:space="preserve">18 – </w:t>
      </w:r>
      <w:r>
        <w:rPr>
          <w:rFonts w:ascii="Montserrat-SemiBold" w:hAnsi="Montserrat-SemiBold"/>
          <w:b/>
          <w:color w:val="004289"/>
          <w:spacing w:val="5"/>
          <w:sz w:val="34"/>
        </w:rPr>
        <w:t xml:space="preserve">OFFICE </w:t>
      </w:r>
      <w:r>
        <w:rPr>
          <w:rFonts w:ascii="Montserrat-SemiBold" w:hAnsi="Montserrat-SemiBold"/>
          <w:b/>
          <w:color w:val="004289"/>
          <w:spacing w:val="2"/>
          <w:sz w:val="34"/>
        </w:rPr>
        <w:t xml:space="preserve">OF </w:t>
      </w:r>
      <w:r>
        <w:rPr>
          <w:rFonts w:ascii="Montserrat-SemiBold" w:hAnsi="Montserrat-SemiBold"/>
          <w:b/>
          <w:color w:val="004289"/>
          <w:spacing w:val="1"/>
          <w:sz w:val="34"/>
        </w:rPr>
        <w:t xml:space="preserve">THE LEGISLATIVE </w:t>
      </w:r>
      <w:r>
        <w:rPr>
          <w:rFonts w:ascii="Montserrat-SemiBold" w:hAnsi="Montserrat-SemiBold"/>
          <w:b/>
          <w:color w:val="004289"/>
          <w:sz w:val="34"/>
        </w:rPr>
        <w:t xml:space="preserve">ASSEMBLY </w:t>
      </w:r>
      <w:r>
        <w:rPr>
          <w:rFonts w:ascii="Montserrat-SemiBold" w:hAnsi="Montserrat-SemiBold"/>
          <w:b/>
          <w:color w:val="004289"/>
          <w:spacing w:val="5"/>
          <w:w w:val="95"/>
          <w:sz w:val="34"/>
        </w:rPr>
        <w:t>FINANCIAL</w:t>
      </w:r>
      <w:r>
        <w:rPr>
          <w:rFonts w:ascii="Montserrat-SemiBold" w:hAnsi="Montserrat-SemiBold"/>
          <w:b/>
          <w:color w:val="004289"/>
          <w:spacing w:val="-46"/>
          <w:w w:val="95"/>
          <w:sz w:val="34"/>
        </w:rPr>
        <w:t xml:space="preserve"> </w:t>
      </w:r>
      <w:r>
        <w:rPr>
          <w:rFonts w:ascii="Montserrat-SemiBold" w:hAnsi="Montserrat-SemiBold"/>
          <w:b/>
          <w:color w:val="004289"/>
          <w:w w:val="95"/>
          <w:sz w:val="34"/>
        </w:rPr>
        <w:t>STATEMENTS</w:t>
      </w:r>
      <w:r>
        <w:rPr>
          <w:rFonts w:ascii="Montserrat-SemiBold" w:hAnsi="Montserrat-SemiBold"/>
          <w:b/>
          <w:color w:val="004289"/>
          <w:spacing w:val="-46"/>
          <w:w w:val="95"/>
          <w:sz w:val="34"/>
        </w:rPr>
        <w:t xml:space="preserve"> </w:t>
      </w:r>
      <w:r>
        <w:rPr>
          <w:rFonts w:ascii="Montserrat-SemiBold" w:hAnsi="Montserrat-SemiBold"/>
          <w:b/>
          <w:color w:val="004289"/>
          <w:spacing w:val="2"/>
          <w:w w:val="95"/>
          <w:sz w:val="34"/>
        </w:rPr>
        <w:t>AND</w:t>
      </w:r>
      <w:r>
        <w:rPr>
          <w:rFonts w:ascii="Montserrat-SemiBold" w:hAnsi="Montserrat-SemiBold"/>
          <w:b/>
          <w:color w:val="004289"/>
          <w:spacing w:val="-46"/>
          <w:w w:val="95"/>
          <w:sz w:val="34"/>
        </w:rPr>
        <w:t xml:space="preserve"> </w:t>
      </w:r>
      <w:r>
        <w:rPr>
          <w:rFonts w:ascii="Montserrat-SemiBold" w:hAnsi="Montserrat-SemiBold"/>
          <w:b/>
          <w:color w:val="004289"/>
          <w:spacing w:val="2"/>
          <w:w w:val="95"/>
          <w:sz w:val="34"/>
        </w:rPr>
        <w:t>MANAGEMENT</w:t>
      </w:r>
      <w:r>
        <w:rPr>
          <w:rFonts w:ascii="Montserrat-SemiBold" w:hAnsi="Montserrat-SemiBold"/>
          <w:b/>
          <w:color w:val="004289"/>
          <w:spacing w:val="-46"/>
          <w:w w:val="95"/>
          <w:sz w:val="34"/>
        </w:rPr>
        <w:t xml:space="preserve"> </w:t>
      </w:r>
      <w:r>
        <w:rPr>
          <w:rFonts w:ascii="Montserrat-SemiBold" w:hAnsi="Montserrat-SemiBold"/>
          <w:b/>
          <w:color w:val="004289"/>
          <w:spacing w:val="5"/>
          <w:w w:val="95"/>
          <w:sz w:val="34"/>
        </w:rPr>
        <w:t xml:space="preserve">DISCUSSION </w:t>
      </w:r>
      <w:r>
        <w:rPr>
          <w:rFonts w:ascii="Montserrat-SemiBold" w:hAnsi="Montserrat-SemiBold"/>
          <w:b/>
          <w:color w:val="004289"/>
          <w:spacing w:val="2"/>
          <w:sz w:val="34"/>
        </w:rPr>
        <w:t>AND</w:t>
      </w:r>
      <w:r>
        <w:rPr>
          <w:rFonts w:ascii="Montserrat-SemiBold" w:hAnsi="Montserrat-SemiBold"/>
          <w:b/>
          <w:color w:val="004289"/>
          <w:spacing w:val="5"/>
          <w:sz w:val="34"/>
        </w:rPr>
        <w:t xml:space="preserve"> </w:t>
      </w:r>
      <w:r>
        <w:rPr>
          <w:rFonts w:ascii="Montserrat-SemiBold" w:hAnsi="Montserrat-SemiBold"/>
          <w:b/>
          <w:color w:val="004289"/>
          <w:sz w:val="34"/>
        </w:rPr>
        <w:t>ANALYSIS</w:t>
      </w:r>
    </w:p>
    <w:p w:rsidR="006C17CB" w:rsidRDefault="0030091C">
      <w:pPr>
        <w:spacing w:before="261"/>
        <w:ind w:left="153"/>
        <w:rPr>
          <w:rFonts w:ascii="Montserrat"/>
          <w:b/>
          <w:sz w:val="24"/>
        </w:rPr>
      </w:pPr>
      <w:r>
        <w:rPr>
          <w:rFonts w:ascii="Montserrat"/>
          <w:b/>
          <w:color w:val="556EAA"/>
          <w:sz w:val="24"/>
        </w:rPr>
        <w:t>Management discussion and analysis 2017-2018</w:t>
      </w:r>
    </w:p>
    <w:p w:rsidR="006C17CB" w:rsidRDefault="0030091C">
      <w:pPr>
        <w:spacing w:before="270"/>
        <w:ind w:left="153"/>
        <w:rPr>
          <w:rFonts w:ascii="Montserrat-SemiBoldItalic"/>
          <w:b/>
          <w:i/>
          <w:sz w:val="20"/>
        </w:rPr>
      </w:pPr>
      <w:r>
        <w:rPr>
          <w:rFonts w:ascii="Montserrat-SemiBoldItalic"/>
          <w:b/>
          <w:i/>
          <w:sz w:val="20"/>
        </w:rPr>
        <w:t>Legislative overview</w:t>
      </w:r>
    </w:p>
    <w:p w:rsidR="006C17CB" w:rsidRDefault="0030091C">
      <w:pPr>
        <w:spacing w:before="55" w:line="284" w:lineRule="exact"/>
        <w:ind w:left="153"/>
        <w:rPr>
          <w:rFonts w:ascii="Calibri"/>
          <w:i/>
        </w:rPr>
      </w:pPr>
      <w:r>
        <w:t xml:space="preserve">The Office is established by section 5 of the </w:t>
      </w:r>
      <w:r>
        <w:rPr>
          <w:rFonts w:ascii="Calibri"/>
          <w:i/>
        </w:rPr>
        <w:t>Legislative Assembly (Office of the Legislative Assembly) Act 2012</w:t>
      </w:r>
    </w:p>
    <w:p w:rsidR="006C17CB" w:rsidRDefault="0030091C">
      <w:pPr>
        <w:pStyle w:val="BodyText"/>
        <w:spacing w:line="284" w:lineRule="exact"/>
        <w:ind w:left="153"/>
      </w:pPr>
      <w:r>
        <w:t>(the Act), which provides that the Office consists of the Clerk and staff of the Office.</w:t>
      </w:r>
    </w:p>
    <w:p w:rsidR="006C17CB" w:rsidRDefault="0030091C">
      <w:pPr>
        <w:pStyle w:val="BodyText"/>
        <w:spacing w:before="101" w:line="189" w:lineRule="auto"/>
        <w:ind w:left="153" w:right="1375"/>
        <w:jc w:val="both"/>
      </w:pPr>
      <w:r>
        <w:t>The</w:t>
      </w:r>
      <w:r>
        <w:rPr>
          <w:spacing w:val="-4"/>
        </w:rPr>
        <w:t xml:space="preserve"> </w:t>
      </w:r>
      <w:r>
        <w:t>functions</w:t>
      </w:r>
      <w:r>
        <w:rPr>
          <w:spacing w:val="-3"/>
        </w:rPr>
        <w:t xml:space="preserve"> </w:t>
      </w:r>
      <w:r>
        <w:t>of</w:t>
      </w:r>
      <w:r>
        <w:rPr>
          <w:spacing w:val="-3"/>
        </w:rPr>
        <w:t xml:space="preserve"> </w:t>
      </w:r>
      <w:r>
        <w:t>the</w:t>
      </w:r>
      <w:r>
        <w:rPr>
          <w:spacing w:val="-4"/>
        </w:rPr>
        <w:t xml:space="preserve"> </w:t>
      </w:r>
      <w:r>
        <w:t>Office</w:t>
      </w:r>
      <w:r>
        <w:rPr>
          <w:spacing w:val="-4"/>
        </w:rPr>
        <w:t xml:space="preserve"> </w:t>
      </w:r>
      <w:r>
        <w:t>are</w:t>
      </w:r>
      <w:r>
        <w:rPr>
          <w:spacing w:val="-4"/>
        </w:rPr>
        <w:t xml:space="preserve"> </w:t>
      </w:r>
      <w:r>
        <w:t>codified</w:t>
      </w:r>
      <w:r>
        <w:rPr>
          <w:spacing w:val="-4"/>
        </w:rPr>
        <w:t xml:space="preserve"> </w:t>
      </w:r>
      <w:r>
        <w:t>in</w:t>
      </w:r>
      <w:r>
        <w:rPr>
          <w:spacing w:val="-3"/>
        </w:rPr>
        <w:t xml:space="preserve"> </w:t>
      </w:r>
      <w:r>
        <w:t>section</w:t>
      </w:r>
      <w:r>
        <w:rPr>
          <w:spacing w:val="-3"/>
        </w:rPr>
        <w:t xml:space="preserve"> </w:t>
      </w:r>
      <w:r>
        <w:t>6</w:t>
      </w:r>
      <w:r>
        <w:rPr>
          <w:spacing w:val="-3"/>
        </w:rPr>
        <w:t xml:space="preserve"> </w:t>
      </w:r>
      <w:r>
        <w:t>of</w:t>
      </w:r>
      <w:r>
        <w:rPr>
          <w:spacing w:val="-3"/>
        </w:rPr>
        <w:t xml:space="preserve"> </w:t>
      </w:r>
      <w:r>
        <w:t>the</w:t>
      </w:r>
      <w:r>
        <w:rPr>
          <w:spacing w:val="-4"/>
        </w:rPr>
        <w:t xml:space="preserve"> </w:t>
      </w:r>
      <w:r>
        <w:t>Act.</w:t>
      </w:r>
      <w:r>
        <w:rPr>
          <w:spacing w:val="-3"/>
        </w:rPr>
        <w:t xml:space="preserve"> </w:t>
      </w:r>
      <w:r>
        <w:t>Section</w:t>
      </w:r>
      <w:r>
        <w:rPr>
          <w:spacing w:val="-3"/>
        </w:rPr>
        <w:t xml:space="preserve"> </w:t>
      </w:r>
      <w:r>
        <w:t>6</w:t>
      </w:r>
      <w:r>
        <w:rPr>
          <w:spacing w:val="-3"/>
        </w:rPr>
        <w:t xml:space="preserve"> </w:t>
      </w:r>
      <w:r>
        <w:t>provides</w:t>
      </w:r>
      <w:r>
        <w:rPr>
          <w:spacing w:val="-3"/>
        </w:rPr>
        <w:t xml:space="preserve"> </w:t>
      </w:r>
      <w:r>
        <w:t>that</w:t>
      </w:r>
      <w:r>
        <w:rPr>
          <w:spacing w:val="-3"/>
        </w:rPr>
        <w:t xml:space="preserve"> </w:t>
      </w:r>
      <w:r>
        <w:t>the</w:t>
      </w:r>
      <w:r>
        <w:rPr>
          <w:spacing w:val="-4"/>
        </w:rPr>
        <w:t xml:space="preserve"> </w:t>
      </w:r>
      <w:r>
        <w:t>Office’s</w:t>
      </w:r>
      <w:r>
        <w:rPr>
          <w:spacing w:val="-3"/>
        </w:rPr>
        <w:t xml:space="preserve"> </w:t>
      </w:r>
      <w:r>
        <w:t>function is to provide impartial advice and support to the Legislative Assembly, its committees and Members of the Assembly.</w:t>
      </w:r>
    </w:p>
    <w:p w:rsidR="006C17CB" w:rsidRDefault="0030091C">
      <w:pPr>
        <w:pStyle w:val="BodyText"/>
        <w:spacing w:before="111" w:line="189" w:lineRule="auto"/>
        <w:ind w:left="153" w:right="1394"/>
      </w:pPr>
      <w:r>
        <w:t>The Office also has the role of providing public education about the functions of the Assembly and its committees. The Office may exercise any other function given to it under the Act or another Territory law.</w:t>
      </w:r>
    </w:p>
    <w:p w:rsidR="006C17CB" w:rsidRDefault="0030091C">
      <w:pPr>
        <w:pStyle w:val="BodyText"/>
        <w:spacing w:before="113" w:line="189" w:lineRule="auto"/>
        <w:ind w:left="153" w:right="1177"/>
      </w:pPr>
      <w:r>
        <w:t>Pursuant to section 8 of the Act, the Clerk and the Office’s staff are not subject to direction by the Executive or any Minister in the exercise of their functions. The Clerk is responsible for the management of the Office pursuant to section 10 of the Act.</w:t>
      </w:r>
    </w:p>
    <w:p w:rsidR="006C17CB" w:rsidRDefault="006C17CB">
      <w:pPr>
        <w:pStyle w:val="BodyText"/>
        <w:spacing w:before="8"/>
        <w:rPr>
          <w:sz w:val="19"/>
        </w:rPr>
      </w:pPr>
    </w:p>
    <w:p w:rsidR="006C17CB" w:rsidRDefault="0030091C">
      <w:pPr>
        <w:ind w:left="153"/>
        <w:rPr>
          <w:rFonts w:ascii="Montserrat-SemiBoldItalic"/>
          <w:b/>
          <w:i/>
          <w:sz w:val="20"/>
        </w:rPr>
      </w:pPr>
      <w:r>
        <w:rPr>
          <w:rFonts w:ascii="Montserrat-SemiBoldItalic"/>
          <w:b/>
          <w:i/>
          <w:sz w:val="20"/>
        </w:rPr>
        <w:t>Risk management</w:t>
      </w:r>
    </w:p>
    <w:p w:rsidR="006C17CB" w:rsidRDefault="0030091C" w:rsidP="003D2C9F">
      <w:pPr>
        <w:pStyle w:val="BodyText"/>
        <w:spacing w:before="110" w:line="189" w:lineRule="auto"/>
        <w:ind w:left="153" w:right="1515"/>
      </w:pPr>
      <w:r>
        <w:t>The Office maintains an ongoing program of risk assessment, treatment and review in accordance with the principles embodied in AS/NZS ISO 31000. The Office’s internal audit committee continues to play an</w:t>
      </w:r>
      <w:r w:rsidR="003D2C9F">
        <w:t xml:space="preserve"> </w:t>
      </w:r>
      <w:r>
        <w:t>important role in regularly reviewing the risk management program of the organisation, providing assurance to the Clerk of the Assembly in relation to a number of governance functions and contributing to the maintenance of an effective internal control framework across the Office.</w:t>
      </w:r>
    </w:p>
    <w:p w:rsidR="006C17CB" w:rsidRDefault="006C17CB">
      <w:pPr>
        <w:pStyle w:val="BodyText"/>
        <w:spacing w:before="7"/>
        <w:rPr>
          <w:sz w:val="19"/>
        </w:rPr>
      </w:pPr>
    </w:p>
    <w:p w:rsidR="006C17CB" w:rsidRDefault="0030091C">
      <w:pPr>
        <w:ind w:left="153"/>
        <w:rPr>
          <w:rFonts w:ascii="Montserrat-SemiBoldItalic"/>
          <w:b/>
          <w:i/>
          <w:sz w:val="20"/>
        </w:rPr>
      </w:pPr>
      <w:r>
        <w:rPr>
          <w:rFonts w:ascii="Montserrat-SemiBoldItalic"/>
          <w:b/>
          <w:i/>
          <w:sz w:val="20"/>
        </w:rPr>
        <w:t>Reporting entities</w:t>
      </w:r>
    </w:p>
    <w:p w:rsidR="006C17CB" w:rsidRDefault="0030091C">
      <w:pPr>
        <w:pStyle w:val="BodyText"/>
        <w:spacing w:before="109" w:line="189" w:lineRule="auto"/>
        <w:ind w:left="153" w:right="1368"/>
      </w:pPr>
      <w:r>
        <w:t xml:space="preserve">The </w:t>
      </w:r>
      <w:r>
        <w:rPr>
          <w:spacing w:val="-6"/>
        </w:rPr>
        <w:t xml:space="preserve">2017-18 </w:t>
      </w:r>
      <w:r>
        <w:t xml:space="preserve">financial statements relate to the Controlled and </w:t>
      </w:r>
      <w:r>
        <w:rPr>
          <w:spacing w:val="-3"/>
        </w:rPr>
        <w:t xml:space="preserve">Territorial </w:t>
      </w:r>
      <w:r>
        <w:t>entities administered by the Office.</w:t>
      </w:r>
      <w:r>
        <w:rPr>
          <w:spacing w:val="-5"/>
        </w:rPr>
        <w:t xml:space="preserve"> </w:t>
      </w:r>
      <w:r>
        <w:t>The</w:t>
      </w:r>
      <w:r>
        <w:rPr>
          <w:spacing w:val="-6"/>
        </w:rPr>
        <w:t xml:space="preserve"> </w:t>
      </w:r>
      <w:r>
        <w:t>financial</w:t>
      </w:r>
      <w:r>
        <w:rPr>
          <w:spacing w:val="-5"/>
        </w:rPr>
        <w:t xml:space="preserve"> </w:t>
      </w:r>
      <w:r>
        <w:t>information</w:t>
      </w:r>
      <w:r>
        <w:rPr>
          <w:spacing w:val="-5"/>
        </w:rPr>
        <w:t xml:space="preserve"> </w:t>
      </w:r>
      <w:r>
        <w:t>is</w:t>
      </w:r>
      <w:r>
        <w:rPr>
          <w:spacing w:val="-5"/>
        </w:rPr>
        <w:t xml:space="preserve"> </w:t>
      </w:r>
      <w:r>
        <w:t>based</w:t>
      </w:r>
      <w:r>
        <w:rPr>
          <w:spacing w:val="-6"/>
        </w:rPr>
        <w:t xml:space="preserve"> </w:t>
      </w:r>
      <w:r>
        <w:t>on</w:t>
      </w:r>
      <w:r>
        <w:rPr>
          <w:spacing w:val="-6"/>
        </w:rPr>
        <w:t xml:space="preserve"> </w:t>
      </w:r>
      <w:r>
        <w:t>financial</w:t>
      </w:r>
      <w:r>
        <w:rPr>
          <w:spacing w:val="-5"/>
        </w:rPr>
        <w:t xml:space="preserve"> </w:t>
      </w:r>
      <w:r>
        <w:t>statements</w:t>
      </w:r>
      <w:r>
        <w:rPr>
          <w:spacing w:val="-5"/>
        </w:rPr>
        <w:t xml:space="preserve"> </w:t>
      </w:r>
      <w:r>
        <w:t>for</w:t>
      </w:r>
      <w:r>
        <w:rPr>
          <w:spacing w:val="-6"/>
        </w:rPr>
        <w:t xml:space="preserve"> </w:t>
      </w:r>
      <w:r>
        <w:rPr>
          <w:spacing w:val="-5"/>
        </w:rPr>
        <w:t xml:space="preserve">2016-17 </w:t>
      </w:r>
      <w:r>
        <w:t>and</w:t>
      </w:r>
      <w:r>
        <w:rPr>
          <w:spacing w:val="-5"/>
        </w:rPr>
        <w:t xml:space="preserve"> </w:t>
      </w:r>
      <w:r>
        <w:rPr>
          <w:spacing w:val="-6"/>
        </w:rPr>
        <w:t>2017-18,</w:t>
      </w:r>
      <w:r>
        <w:rPr>
          <w:spacing w:val="-5"/>
        </w:rPr>
        <w:t xml:space="preserve"> </w:t>
      </w:r>
      <w:r>
        <w:t>and</w:t>
      </w:r>
      <w:r>
        <w:rPr>
          <w:spacing w:val="-5"/>
        </w:rPr>
        <w:t xml:space="preserve"> </w:t>
      </w:r>
      <w:r>
        <w:t>the</w:t>
      </w:r>
      <w:r>
        <w:rPr>
          <w:spacing w:val="-6"/>
        </w:rPr>
        <w:t xml:space="preserve"> </w:t>
      </w:r>
      <w:r>
        <w:t>forward estimates contained in the Budget Papers for</w:t>
      </w:r>
      <w:r>
        <w:rPr>
          <w:spacing w:val="-6"/>
        </w:rPr>
        <w:t xml:space="preserve"> </w:t>
      </w:r>
      <w:r>
        <w:rPr>
          <w:spacing w:val="-4"/>
        </w:rPr>
        <w:t>2018-19.</w:t>
      </w:r>
    </w:p>
    <w:p w:rsidR="006C17CB" w:rsidRDefault="006C17CB">
      <w:pPr>
        <w:pStyle w:val="BodyText"/>
        <w:spacing w:before="8"/>
        <w:rPr>
          <w:sz w:val="19"/>
        </w:rPr>
      </w:pPr>
    </w:p>
    <w:p w:rsidR="006C17CB" w:rsidRDefault="0030091C">
      <w:pPr>
        <w:ind w:left="153"/>
        <w:rPr>
          <w:rFonts w:ascii="Montserrat-SemiBoldItalic"/>
          <w:b/>
          <w:i/>
          <w:sz w:val="20"/>
        </w:rPr>
      </w:pPr>
      <w:r>
        <w:rPr>
          <w:rFonts w:ascii="Montserrat-SemiBoldItalic"/>
          <w:b/>
          <w:i/>
          <w:sz w:val="20"/>
        </w:rPr>
        <w:t>Controlled financial performance</w:t>
      </w:r>
    </w:p>
    <w:p w:rsidR="006C17CB" w:rsidRDefault="0030091C">
      <w:pPr>
        <w:spacing w:before="213"/>
        <w:ind w:left="153"/>
        <w:rPr>
          <w:rFonts w:ascii="Montserrat"/>
          <w:sz w:val="19"/>
        </w:rPr>
      </w:pPr>
      <w:r>
        <w:rPr>
          <w:rFonts w:ascii="Montserrat"/>
          <w:sz w:val="19"/>
        </w:rPr>
        <w:t>NET COST OF SERVICES</w:t>
      </w:r>
    </w:p>
    <w:p w:rsidR="006C17CB" w:rsidRDefault="0030091C">
      <w:pPr>
        <w:pStyle w:val="BodyText"/>
        <w:spacing w:before="112" w:line="189" w:lineRule="auto"/>
        <w:ind w:left="153" w:right="1728"/>
      </w:pPr>
      <w:r>
        <w:t>The Net Cost of Services is the total expenditure of the Office less Total Own Source Revenue. It is summarised in the chart below. The majority of the Office’s Own Source Revenue relates to Resources Received Free of Charge.</w:t>
      </w:r>
    </w:p>
    <w:p w:rsidR="006C17CB" w:rsidRDefault="006C17CB">
      <w:pPr>
        <w:spacing w:line="189" w:lineRule="auto"/>
        <w:sectPr w:rsidR="006C17CB">
          <w:headerReference w:type="even" r:id="rId122"/>
          <w:pgSz w:w="11910" w:h="16840"/>
          <w:pgMar w:top="1040" w:right="0" w:bottom="720" w:left="980" w:header="0" w:footer="52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
        <w:rPr>
          <w:sz w:val="16"/>
        </w:rPr>
      </w:pPr>
    </w:p>
    <w:p w:rsidR="006C17CB" w:rsidRDefault="0030091C">
      <w:pPr>
        <w:pStyle w:val="Heading7"/>
        <w:spacing w:before="100"/>
      </w:pPr>
      <w:r>
        <w:rPr>
          <w:color w:val="6D6D6C"/>
        </w:rPr>
        <w:t>Comparison to Original Budget</w:t>
      </w:r>
    </w:p>
    <w:p w:rsidR="006C17CB" w:rsidRDefault="006C17CB">
      <w:pPr>
        <w:pStyle w:val="BodyText"/>
        <w:spacing w:before="5"/>
        <w:rPr>
          <w:rFonts w:ascii="Calibri-BoldItalic"/>
          <w:b/>
          <w:i/>
        </w:rPr>
      </w:pPr>
    </w:p>
    <w:p w:rsidR="006C17CB" w:rsidRDefault="0030091C">
      <w:pPr>
        <w:ind w:left="157"/>
        <w:rPr>
          <w:rFonts w:ascii="Calibri"/>
          <w:i/>
        </w:rPr>
      </w:pPr>
      <w:r>
        <w:rPr>
          <w:rFonts w:ascii="Calibri"/>
          <w:b/>
          <w:sz w:val="18"/>
        </w:rPr>
        <w:t xml:space="preserve">FIGURE 7. </w:t>
      </w:r>
      <w:r>
        <w:rPr>
          <w:rFonts w:ascii="Calibri"/>
          <w:i/>
        </w:rPr>
        <w:t>Net cost of services</w:t>
      </w:r>
    </w:p>
    <w:p w:rsidR="006C17CB" w:rsidRDefault="0030091C">
      <w:pPr>
        <w:pStyle w:val="BodyText"/>
        <w:spacing w:before="3"/>
        <w:rPr>
          <w:rFonts w:ascii="Calibri"/>
          <w:i/>
          <w:sz w:val="16"/>
        </w:rPr>
      </w:pPr>
      <w:r>
        <w:rPr>
          <w:noProof/>
          <w:lang w:val="en-AU" w:eastAsia="en-AU" w:bidi="ar-SA"/>
        </w:rPr>
        <w:drawing>
          <wp:anchor distT="0" distB="0" distL="0" distR="0" simplePos="0" relativeHeight="1672" behindDoc="0" locked="0" layoutInCell="1" allowOverlap="1">
            <wp:simplePos x="0" y="0"/>
            <wp:positionH relativeFrom="page">
              <wp:posOffset>759120</wp:posOffset>
            </wp:positionH>
            <wp:positionV relativeFrom="paragraph">
              <wp:posOffset>173140</wp:posOffset>
            </wp:positionV>
            <wp:extent cx="4051580" cy="2428875"/>
            <wp:effectExtent l="0" t="0" r="0" b="0"/>
            <wp:wrapTopAndBottom/>
            <wp:docPr id="17" name="image11.png" descr="Figure 7. Net cost of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23" cstate="print"/>
                    <a:stretch>
                      <a:fillRect/>
                    </a:stretch>
                  </pic:blipFill>
                  <pic:spPr>
                    <a:xfrm>
                      <a:off x="0" y="0"/>
                      <a:ext cx="4051580" cy="2428875"/>
                    </a:xfrm>
                    <a:prstGeom prst="rect">
                      <a:avLst/>
                    </a:prstGeom>
                  </pic:spPr>
                </pic:pic>
              </a:graphicData>
            </a:graphic>
          </wp:anchor>
        </w:drawing>
      </w:r>
    </w:p>
    <w:p w:rsidR="006C17CB" w:rsidRDefault="006C17CB">
      <w:pPr>
        <w:pStyle w:val="BodyText"/>
        <w:spacing w:before="4"/>
        <w:rPr>
          <w:rFonts w:ascii="Calibri"/>
          <w:i/>
          <w:sz w:val="25"/>
        </w:rPr>
      </w:pPr>
    </w:p>
    <w:p w:rsidR="006C17CB" w:rsidRDefault="0030091C">
      <w:pPr>
        <w:pStyle w:val="BodyText"/>
        <w:ind w:left="153"/>
      </w:pPr>
      <w:r>
        <w:t>The Net Cost of Services for 2017-18 of $9.158m was largely consistent with the budget of $9.267m.</w:t>
      </w:r>
    </w:p>
    <w:p w:rsidR="006C17CB" w:rsidRDefault="006C17CB">
      <w:pPr>
        <w:pStyle w:val="BodyText"/>
        <w:spacing w:before="2"/>
        <w:rPr>
          <w:sz w:val="15"/>
        </w:rPr>
      </w:pPr>
    </w:p>
    <w:p w:rsidR="006C17CB" w:rsidRDefault="0030091C">
      <w:pPr>
        <w:pStyle w:val="Heading7"/>
      </w:pPr>
      <w:r>
        <w:rPr>
          <w:color w:val="6D6D6C"/>
        </w:rPr>
        <w:t>Comparison to 2016-17 Net Cost of Services</w:t>
      </w:r>
    </w:p>
    <w:p w:rsidR="006C17CB" w:rsidRDefault="0030091C">
      <w:pPr>
        <w:pStyle w:val="BodyText"/>
        <w:spacing w:before="101" w:line="189" w:lineRule="auto"/>
        <w:ind w:left="153" w:right="1153"/>
      </w:pPr>
      <w:r>
        <w:t>The Net Cost of Services for 2017-18 of $9.158m was higher than the prior year of $8.335m largely reflecting the full year impact of increasing expenditure in running the expanded Assembly.</w:t>
      </w:r>
    </w:p>
    <w:p w:rsidR="006C17CB" w:rsidRDefault="006C17CB">
      <w:pPr>
        <w:pStyle w:val="BodyText"/>
        <w:spacing w:before="14"/>
        <w:rPr>
          <w:sz w:val="15"/>
        </w:rPr>
      </w:pPr>
    </w:p>
    <w:p w:rsidR="006C17CB" w:rsidRDefault="0030091C">
      <w:pPr>
        <w:pStyle w:val="Heading7"/>
      </w:pPr>
      <w:r>
        <w:rPr>
          <w:color w:val="6D6D6C"/>
        </w:rPr>
        <w:t>Future Trends</w:t>
      </w:r>
    </w:p>
    <w:p w:rsidR="006C17CB" w:rsidRDefault="0030091C">
      <w:pPr>
        <w:pStyle w:val="BodyText"/>
        <w:spacing w:before="100" w:line="189" w:lineRule="auto"/>
        <w:ind w:left="153" w:right="1024"/>
      </w:pPr>
      <w:r>
        <w:t>The Office’s expenditure is budgeted to increase in 2018-19 as additional funding has been provided to enable the Office to commence work associated with digitising the Assembly’s historical records and to investigate the digitisation of some of its existing work practices.</w:t>
      </w:r>
    </w:p>
    <w:p w:rsidR="006C17CB" w:rsidRDefault="006C17CB">
      <w:pPr>
        <w:pStyle w:val="BodyText"/>
        <w:spacing w:before="13"/>
        <w:rPr>
          <w:sz w:val="14"/>
        </w:rPr>
      </w:pPr>
    </w:p>
    <w:p w:rsidR="006C17CB" w:rsidRDefault="0030091C">
      <w:pPr>
        <w:spacing w:before="1"/>
        <w:ind w:left="153"/>
        <w:rPr>
          <w:rFonts w:ascii="Montserrat"/>
          <w:sz w:val="19"/>
        </w:rPr>
      </w:pPr>
      <w:r>
        <w:rPr>
          <w:rFonts w:ascii="Montserrat"/>
          <w:sz w:val="19"/>
        </w:rPr>
        <w:t>TOTAL EXPENDITURE</w:t>
      </w:r>
    </w:p>
    <w:p w:rsidR="006C17CB" w:rsidRDefault="0030091C">
      <w:pPr>
        <w:pStyle w:val="BodyText"/>
        <w:spacing w:before="57"/>
        <w:ind w:left="153"/>
      </w:pPr>
      <w:r>
        <w:t>The components of the 2017-18 expenditure are shown in the following chart.</w:t>
      </w:r>
    </w:p>
    <w:p w:rsidR="006C17CB" w:rsidRDefault="006C17CB">
      <w:pPr>
        <w:pStyle w:val="BodyText"/>
        <w:spacing w:before="12"/>
        <w:rPr>
          <w:sz w:val="26"/>
        </w:rPr>
      </w:pPr>
    </w:p>
    <w:p w:rsidR="006C17CB" w:rsidRDefault="0030091C">
      <w:pPr>
        <w:ind w:left="157"/>
        <w:rPr>
          <w:rFonts w:ascii="Calibri"/>
          <w:i/>
        </w:rPr>
      </w:pPr>
      <w:r>
        <w:rPr>
          <w:rFonts w:ascii="Calibri"/>
          <w:b/>
          <w:sz w:val="18"/>
        </w:rPr>
        <w:t xml:space="preserve">FIGURE 8. </w:t>
      </w:r>
      <w:r>
        <w:rPr>
          <w:rFonts w:ascii="Calibri"/>
          <w:i/>
        </w:rPr>
        <w:t>Components of 2017-18 expenditure</w:t>
      </w:r>
    </w:p>
    <w:p w:rsidR="006C17CB" w:rsidRDefault="0030091C">
      <w:pPr>
        <w:pStyle w:val="BodyText"/>
        <w:spacing w:before="8"/>
        <w:rPr>
          <w:rFonts w:ascii="Calibri"/>
          <w:i/>
          <w:sz w:val="10"/>
        </w:rPr>
      </w:pPr>
      <w:r>
        <w:rPr>
          <w:noProof/>
          <w:lang w:val="en-AU" w:eastAsia="en-AU" w:bidi="ar-SA"/>
        </w:rPr>
        <w:drawing>
          <wp:anchor distT="0" distB="0" distL="0" distR="0" simplePos="0" relativeHeight="1696" behindDoc="0" locked="0" layoutInCell="1" allowOverlap="1">
            <wp:simplePos x="0" y="0"/>
            <wp:positionH relativeFrom="page">
              <wp:posOffset>720001</wp:posOffset>
            </wp:positionH>
            <wp:positionV relativeFrom="paragraph">
              <wp:posOffset>121428</wp:posOffset>
            </wp:positionV>
            <wp:extent cx="4528572" cy="2050256"/>
            <wp:effectExtent l="0" t="0" r="0" b="0"/>
            <wp:wrapTopAndBottom/>
            <wp:docPr id="19" name="image12.png" descr="Figure 8. Components of 2017-18 expendi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24" cstate="print"/>
                    <a:stretch>
                      <a:fillRect/>
                    </a:stretch>
                  </pic:blipFill>
                  <pic:spPr>
                    <a:xfrm>
                      <a:off x="0" y="0"/>
                      <a:ext cx="4528572" cy="2050256"/>
                    </a:xfrm>
                    <a:prstGeom prst="rect">
                      <a:avLst/>
                    </a:prstGeom>
                  </pic:spPr>
                </pic:pic>
              </a:graphicData>
            </a:graphic>
          </wp:anchor>
        </w:drawing>
      </w:r>
    </w:p>
    <w:p w:rsidR="006C17CB" w:rsidRDefault="006C17CB">
      <w:pPr>
        <w:rPr>
          <w:rFonts w:ascii="Calibri"/>
          <w:sz w:val="10"/>
        </w:rPr>
        <w:sectPr w:rsidR="006C17CB">
          <w:headerReference w:type="default" r:id="rId125"/>
          <w:footerReference w:type="even" r:id="rId126"/>
          <w:footerReference w:type="default" r:id="rId127"/>
          <w:pgSz w:w="11910" w:h="16840"/>
          <w:pgMar w:top="1580" w:right="0" w:bottom="740" w:left="980" w:header="0" w:footer="551" w:gutter="0"/>
          <w:pgNumType w:start="81"/>
          <w:cols w:space="720"/>
        </w:sectPr>
      </w:pPr>
    </w:p>
    <w:p w:rsidR="006C17CB" w:rsidRDefault="006C17CB">
      <w:pPr>
        <w:pStyle w:val="BodyText"/>
        <w:rPr>
          <w:rFonts w:ascii="Calibri"/>
          <w:i/>
          <w:sz w:val="20"/>
        </w:rPr>
      </w:pPr>
    </w:p>
    <w:p w:rsidR="006C17CB" w:rsidRDefault="006C17CB">
      <w:pPr>
        <w:pStyle w:val="BodyText"/>
        <w:rPr>
          <w:rFonts w:ascii="Calibri"/>
          <w:i/>
          <w:sz w:val="20"/>
        </w:rPr>
      </w:pPr>
    </w:p>
    <w:p w:rsidR="006C17CB" w:rsidRDefault="006C17CB">
      <w:pPr>
        <w:pStyle w:val="BodyText"/>
        <w:spacing w:before="2"/>
        <w:rPr>
          <w:rFonts w:ascii="Calibri"/>
          <w:i/>
          <w:sz w:val="19"/>
        </w:rPr>
      </w:pPr>
    </w:p>
    <w:p w:rsidR="006C17CB" w:rsidRDefault="0030091C">
      <w:pPr>
        <w:pStyle w:val="BodyText"/>
        <w:spacing w:before="62" w:line="189" w:lineRule="auto"/>
        <w:ind w:left="153" w:right="1368"/>
      </w:pPr>
      <w:bookmarkStart w:id="120" w:name="Controlled_Financial_Position"/>
      <w:bookmarkStart w:id="121" w:name="_bookmark44"/>
      <w:bookmarkEnd w:id="120"/>
      <w:bookmarkEnd w:id="121"/>
      <w:r>
        <w:t>Employee expenses including superannuation expenses ($5.885m: 60.0 percent) and supplies and services expenses ($3.528m: 37.0 percent) represent 97.0 percent of the Office’s total expenditure.</w:t>
      </w:r>
    </w:p>
    <w:p w:rsidR="006C17CB" w:rsidRDefault="0030091C">
      <w:pPr>
        <w:pStyle w:val="BodyText"/>
        <w:spacing w:before="58"/>
        <w:ind w:left="153"/>
      </w:pPr>
      <w:r>
        <w:t>In line with previous results, the largest components of supplies and services expenditure were:</w:t>
      </w:r>
    </w:p>
    <w:p w:rsidR="006C17CB" w:rsidRDefault="0030091C">
      <w:pPr>
        <w:pStyle w:val="ListParagraph"/>
        <w:numPr>
          <w:ilvl w:val="0"/>
          <w:numId w:val="22"/>
        </w:numPr>
        <w:tabs>
          <w:tab w:val="left" w:pos="381"/>
        </w:tabs>
        <w:spacing w:before="46" w:line="306" w:lineRule="exact"/>
      </w:pPr>
      <w:r>
        <w:t xml:space="preserve">building management </w:t>
      </w:r>
      <w:r>
        <w:rPr>
          <w:spacing w:val="-3"/>
        </w:rPr>
        <w:t xml:space="preserve">($0.829m: </w:t>
      </w:r>
      <w:r>
        <w:t xml:space="preserve">23.5 </w:t>
      </w:r>
      <w:r>
        <w:rPr>
          <w:spacing w:val="-3"/>
        </w:rPr>
        <w:t>percent);</w:t>
      </w:r>
      <w:r>
        <w:t xml:space="preserve"> and</w:t>
      </w:r>
    </w:p>
    <w:p w:rsidR="006C17CB" w:rsidRDefault="0030091C">
      <w:pPr>
        <w:pStyle w:val="ListParagraph"/>
        <w:numPr>
          <w:ilvl w:val="0"/>
          <w:numId w:val="22"/>
        </w:numPr>
        <w:tabs>
          <w:tab w:val="left" w:pos="381"/>
        </w:tabs>
      </w:pPr>
      <w:r>
        <w:t xml:space="preserve">information technology running costs </w:t>
      </w:r>
      <w:r>
        <w:rPr>
          <w:spacing w:val="-4"/>
        </w:rPr>
        <w:t xml:space="preserve">($0.770m: </w:t>
      </w:r>
      <w:r>
        <w:t>21.8 percent)</w:t>
      </w:r>
    </w:p>
    <w:p w:rsidR="006C17CB" w:rsidRDefault="0030091C">
      <w:pPr>
        <w:pStyle w:val="ListParagraph"/>
        <w:numPr>
          <w:ilvl w:val="0"/>
          <w:numId w:val="22"/>
        </w:numPr>
        <w:tabs>
          <w:tab w:val="left" w:pos="381"/>
        </w:tabs>
        <w:spacing w:line="306" w:lineRule="exact"/>
      </w:pPr>
      <w:r>
        <w:t xml:space="preserve">accommodation rental ($0.509m: </w:t>
      </w:r>
      <w:r>
        <w:rPr>
          <w:spacing w:val="-4"/>
        </w:rPr>
        <w:t>14.4</w:t>
      </w:r>
      <w:r>
        <w:rPr>
          <w:spacing w:val="-1"/>
        </w:rPr>
        <w:t xml:space="preserve"> </w:t>
      </w:r>
      <w:r>
        <w:rPr>
          <w:spacing w:val="-3"/>
        </w:rPr>
        <w:t>percent).</w:t>
      </w:r>
    </w:p>
    <w:p w:rsidR="006C17CB" w:rsidRDefault="006C17CB">
      <w:pPr>
        <w:pStyle w:val="BodyText"/>
        <w:spacing w:before="1"/>
        <w:rPr>
          <w:sz w:val="21"/>
        </w:rPr>
      </w:pPr>
    </w:p>
    <w:p w:rsidR="006C17CB" w:rsidRDefault="0030091C">
      <w:pPr>
        <w:pStyle w:val="Heading7"/>
      </w:pPr>
      <w:r>
        <w:rPr>
          <w:color w:val="6D6D6C"/>
        </w:rPr>
        <w:t>Comparison to Original Budget</w:t>
      </w:r>
    </w:p>
    <w:p w:rsidR="006C17CB" w:rsidRDefault="0030091C">
      <w:pPr>
        <w:pStyle w:val="BodyText"/>
        <w:spacing w:before="100" w:line="189" w:lineRule="auto"/>
        <w:ind w:left="153" w:right="1177"/>
      </w:pPr>
      <w:r>
        <w:t>Total expenditure of $9.771m was $0.284m (2.8 per cent) lower than originally budgeted, with small underspends across the major expense line items of employee, superannuation and supplies and services.</w:t>
      </w:r>
    </w:p>
    <w:p w:rsidR="006C17CB" w:rsidRDefault="006C17CB">
      <w:pPr>
        <w:pStyle w:val="BodyText"/>
        <w:rPr>
          <w:sz w:val="16"/>
        </w:rPr>
      </w:pPr>
    </w:p>
    <w:p w:rsidR="006C17CB" w:rsidRDefault="0030091C">
      <w:pPr>
        <w:pStyle w:val="Heading7"/>
      </w:pPr>
      <w:r>
        <w:rPr>
          <w:color w:val="6D6D6C"/>
        </w:rPr>
        <w:t>Comparison to 2016-17 Expenditure</w:t>
      </w:r>
    </w:p>
    <w:p w:rsidR="006C17CB" w:rsidRDefault="0030091C">
      <w:pPr>
        <w:pStyle w:val="BodyText"/>
        <w:spacing w:before="100" w:line="189" w:lineRule="auto"/>
        <w:ind w:left="153" w:right="1521"/>
      </w:pPr>
      <w:r>
        <w:rPr>
          <w:spacing w:val="-4"/>
        </w:rPr>
        <w:t xml:space="preserve">Total </w:t>
      </w:r>
      <w:r>
        <w:t xml:space="preserve">expenditure of </w:t>
      </w:r>
      <w:r>
        <w:rPr>
          <w:spacing w:val="-5"/>
        </w:rPr>
        <w:t xml:space="preserve">$9.771m </w:t>
      </w:r>
      <w:r>
        <w:t xml:space="preserve">was $0.943m </w:t>
      </w:r>
      <w:r>
        <w:rPr>
          <w:spacing w:val="-4"/>
        </w:rPr>
        <w:t xml:space="preserve">(10.68 </w:t>
      </w:r>
      <w:r>
        <w:t xml:space="preserve">percent) higher than in </w:t>
      </w:r>
      <w:r>
        <w:rPr>
          <w:spacing w:val="-5"/>
        </w:rPr>
        <w:t xml:space="preserve">2016-17 </w:t>
      </w:r>
      <w:r>
        <w:t>mainly due to full year impact of running the expanded Assembly.</w:t>
      </w:r>
    </w:p>
    <w:p w:rsidR="006C17CB" w:rsidRDefault="006C17CB">
      <w:pPr>
        <w:pStyle w:val="BodyText"/>
        <w:rPr>
          <w:sz w:val="16"/>
        </w:rPr>
      </w:pPr>
    </w:p>
    <w:p w:rsidR="006C17CB" w:rsidRDefault="0030091C">
      <w:pPr>
        <w:pStyle w:val="Heading7"/>
      </w:pPr>
      <w:r>
        <w:rPr>
          <w:color w:val="6D6D6C"/>
        </w:rPr>
        <w:t>Future Trends</w:t>
      </w:r>
    </w:p>
    <w:p w:rsidR="006C17CB" w:rsidRDefault="0030091C">
      <w:pPr>
        <w:pStyle w:val="BodyText"/>
        <w:spacing w:before="46"/>
        <w:ind w:left="153"/>
      </w:pPr>
      <w:r>
        <w:t>This is discussed previously above in ‘2017-18 Net Cost of Services – Future Trends’.</w:t>
      </w:r>
    </w:p>
    <w:p w:rsidR="006C17CB" w:rsidRDefault="006C17CB">
      <w:pPr>
        <w:pStyle w:val="BodyText"/>
        <w:spacing w:before="2"/>
        <w:rPr>
          <w:sz w:val="14"/>
        </w:rPr>
      </w:pPr>
    </w:p>
    <w:p w:rsidR="006C17CB" w:rsidRDefault="0030091C">
      <w:pPr>
        <w:ind w:left="153"/>
        <w:rPr>
          <w:rFonts w:ascii="Montserrat"/>
          <w:sz w:val="19"/>
        </w:rPr>
      </w:pPr>
      <w:r>
        <w:rPr>
          <w:rFonts w:ascii="Montserrat"/>
          <w:sz w:val="19"/>
        </w:rPr>
        <w:t>TOTAL OWN SOURCE REVENUE</w:t>
      </w:r>
    </w:p>
    <w:p w:rsidR="006C17CB" w:rsidRDefault="0030091C">
      <w:pPr>
        <w:pStyle w:val="BodyText"/>
        <w:spacing w:before="58" w:line="284" w:lineRule="exact"/>
        <w:ind w:left="153"/>
      </w:pPr>
      <w:r>
        <w:t>The most significant component is Resources Received Free of Charge from other ACT entities ($0.513m:</w:t>
      </w:r>
    </w:p>
    <w:p w:rsidR="006C17CB" w:rsidRDefault="0030091C">
      <w:pPr>
        <w:pStyle w:val="BodyText"/>
        <w:spacing w:line="284" w:lineRule="exact"/>
        <w:ind w:left="153"/>
      </w:pPr>
      <w:r>
        <w:t>83.6 percent). In 2017-18, these were:</w:t>
      </w:r>
    </w:p>
    <w:p w:rsidR="006C17CB" w:rsidRDefault="0030091C">
      <w:pPr>
        <w:pStyle w:val="ListParagraph"/>
        <w:numPr>
          <w:ilvl w:val="0"/>
          <w:numId w:val="22"/>
        </w:numPr>
        <w:tabs>
          <w:tab w:val="left" w:pos="381"/>
        </w:tabs>
        <w:spacing w:before="100" w:line="189" w:lineRule="auto"/>
        <w:ind w:right="1421"/>
      </w:pPr>
      <w:r>
        <w:t>the</w:t>
      </w:r>
      <w:r>
        <w:rPr>
          <w:spacing w:val="-6"/>
        </w:rPr>
        <w:t xml:space="preserve"> </w:t>
      </w:r>
      <w:r>
        <w:t>value</w:t>
      </w:r>
      <w:r>
        <w:rPr>
          <w:spacing w:val="-6"/>
        </w:rPr>
        <w:t xml:space="preserve"> </w:t>
      </w:r>
      <w:r>
        <w:t>of</w:t>
      </w:r>
      <w:r>
        <w:rPr>
          <w:spacing w:val="-5"/>
        </w:rPr>
        <w:t xml:space="preserve"> </w:t>
      </w:r>
      <w:r>
        <w:t>accommodation</w:t>
      </w:r>
      <w:r>
        <w:rPr>
          <w:spacing w:val="-5"/>
        </w:rPr>
        <w:t xml:space="preserve"> </w:t>
      </w:r>
      <w:r>
        <w:t>rent</w:t>
      </w:r>
      <w:r>
        <w:rPr>
          <w:spacing w:val="-5"/>
        </w:rPr>
        <w:t xml:space="preserve"> </w:t>
      </w:r>
      <w:r>
        <w:rPr>
          <w:spacing w:val="-3"/>
        </w:rPr>
        <w:t>($0.255m:</w:t>
      </w:r>
      <w:r>
        <w:rPr>
          <w:spacing w:val="-5"/>
        </w:rPr>
        <w:t xml:space="preserve"> </w:t>
      </w:r>
      <w:r>
        <w:rPr>
          <w:spacing w:val="-6"/>
        </w:rPr>
        <w:t>49.7</w:t>
      </w:r>
      <w:r>
        <w:rPr>
          <w:spacing w:val="-5"/>
        </w:rPr>
        <w:t xml:space="preserve"> </w:t>
      </w:r>
      <w:r>
        <w:t>percent)</w:t>
      </w:r>
      <w:r>
        <w:rPr>
          <w:spacing w:val="-5"/>
        </w:rPr>
        <w:t xml:space="preserve"> </w:t>
      </w:r>
      <w:r>
        <w:t>relating</w:t>
      </w:r>
      <w:r>
        <w:rPr>
          <w:spacing w:val="-5"/>
        </w:rPr>
        <w:t xml:space="preserve"> </w:t>
      </w:r>
      <w:r>
        <w:t>to</w:t>
      </w:r>
      <w:r>
        <w:rPr>
          <w:spacing w:val="-6"/>
        </w:rPr>
        <w:t xml:space="preserve"> </w:t>
      </w:r>
      <w:r>
        <w:t>the</w:t>
      </w:r>
      <w:r>
        <w:rPr>
          <w:spacing w:val="-6"/>
        </w:rPr>
        <w:t xml:space="preserve"> </w:t>
      </w:r>
      <w:r>
        <w:t>proportion</w:t>
      </w:r>
      <w:r>
        <w:rPr>
          <w:spacing w:val="-5"/>
        </w:rPr>
        <w:t xml:space="preserve"> </w:t>
      </w:r>
      <w:r>
        <w:t>of</w:t>
      </w:r>
      <w:r>
        <w:rPr>
          <w:spacing w:val="-5"/>
        </w:rPr>
        <w:t xml:space="preserve"> </w:t>
      </w:r>
      <w:r>
        <w:t>space</w:t>
      </w:r>
      <w:r>
        <w:rPr>
          <w:spacing w:val="-6"/>
        </w:rPr>
        <w:t xml:space="preserve"> </w:t>
      </w:r>
      <w:r>
        <w:t>within</w:t>
      </w:r>
      <w:r>
        <w:rPr>
          <w:spacing w:val="-5"/>
        </w:rPr>
        <w:t xml:space="preserve"> </w:t>
      </w:r>
      <w:r>
        <w:t>the Legislative Assembly building occupied by Office</w:t>
      </w:r>
      <w:r>
        <w:rPr>
          <w:spacing w:val="-6"/>
        </w:rPr>
        <w:t xml:space="preserve"> </w:t>
      </w:r>
      <w:r>
        <w:t>staff;</w:t>
      </w:r>
    </w:p>
    <w:p w:rsidR="006C17CB" w:rsidRDefault="0030091C">
      <w:pPr>
        <w:pStyle w:val="ListParagraph"/>
        <w:numPr>
          <w:ilvl w:val="0"/>
          <w:numId w:val="22"/>
        </w:numPr>
        <w:tabs>
          <w:tab w:val="left" w:pos="381"/>
        </w:tabs>
        <w:spacing w:before="44" w:line="189" w:lineRule="auto"/>
        <w:ind w:right="3773"/>
      </w:pPr>
      <w:r>
        <w:t>legislative</w:t>
      </w:r>
      <w:r>
        <w:rPr>
          <w:spacing w:val="-6"/>
        </w:rPr>
        <w:t xml:space="preserve"> </w:t>
      </w:r>
      <w:r>
        <w:t>drafting</w:t>
      </w:r>
      <w:r>
        <w:rPr>
          <w:spacing w:val="-5"/>
        </w:rPr>
        <w:t xml:space="preserve"> </w:t>
      </w:r>
      <w:r>
        <w:t>services</w:t>
      </w:r>
      <w:r>
        <w:rPr>
          <w:spacing w:val="-5"/>
        </w:rPr>
        <w:t xml:space="preserve"> </w:t>
      </w:r>
      <w:r>
        <w:t>provided</w:t>
      </w:r>
      <w:r>
        <w:rPr>
          <w:spacing w:val="-6"/>
        </w:rPr>
        <w:t xml:space="preserve"> </w:t>
      </w:r>
      <w:r>
        <w:t>by</w:t>
      </w:r>
      <w:r>
        <w:rPr>
          <w:spacing w:val="-5"/>
        </w:rPr>
        <w:t xml:space="preserve"> </w:t>
      </w:r>
      <w:r>
        <w:t>the</w:t>
      </w:r>
      <w:r>
        <w:rPr>
          <w:spacing w:val="-6"/>
        </w:rPr>
        <w:t xml:space="preserve"> </w:t>
      </w:r>
      <w:r>
        <w:t>Parliamentary</w:t>
      </w:r>
      <w:r>
        <w:rPr>
          <w:spacing w:val="-5"/>
        </w:rPr>
        <w:t xml:space="preserve"> </w:t>
      </w:r>
      <w:r>
        <w:rPr>
          <w:spacing w:val="-3"/>
        </w:rPr>
        <w:t>Counsel’s</w:t>
      </w:r>
      <w:r>
        <w:rPr>
          <w:spacing w:val="-5"/>
        </w:rPr>
        <w:t xml:space="preserve"> </w:t>
      </w:r>
      <w:r>
        <w:t>Office</w:t>
      </w:r>
      <w:r>
        <w:rPr>
          <w:spacing w:val="-6"/>
        </w:rPr>
        <w:t xml:space="preserve"> </w:t>
      </w:r>
      <w:r>
        <w:t xml:space="preserve">to non-Executive </w:t>
      </w:r>
      <w:r>
        <w:rPr>
          <w:spacing w:val="1"/>
        </w:rPr>
        <w:t xml:space="preserve">MLAs </w:t>
      </w:r>
      <w:r>
        <w:t xml:space="preserve">and one Executive </w:t>
      </w:r>
      <w:r>
        <w:rPr>
          <w:spacing w:val="1"/>
        </w:rPr>
        <w:t xml:space="preserve">MLA </w:t>
      </w:r>
      <w:r>
        <w:rPr>
          <w:spacing w:val="-4"/>
        </w:rPr>
        <w:t xml:space="preserve">($0.232m: </w:t>
      </w:r>
      <w:r>
        <w:rPr>
          <w:spacing w:val="-3"/>
        </w:rPr>
        <w:t>45.2 percent);</w:t>
      </w:r>
      <w:r>
        <w:t xml:space="preserve"> and</w:t>
      </w:r>
    </w:p>
    <w:p w:rsidR="006C17CB" w:rsidRDefault="0030091C">
      <w:pPr>
        <w:pStyle w:val="ListParagraph"/>
        <w:numPr>
          <w:ilvl w:val="0"/>
          <w:numId w:val="22"/>
        </w:numPr>
        <w:tabs>
          <w:tab w:val="left" w:pos="381"/>
        </w:tabs>
        <w:spacing w:line="307" w:lineRule="exact"/>
      </w:pPr>
      <w:r>
        <w:t xml:space="preserve">legal services provided by the ACT Government Solicitor’s Office </w:t>
      </w:r>
      <w:r>
        <w:rPr>
          <w:spacing w:val="-4"/>
        </w:rPr>
        <w:t>($0.026m: 5.1</w:t>
      </w:r>
      <w:r>
        <w:rPr>
          <w:spacing w:val="-6"/>
        </w:rPr>
        <w:t xml:space="preserve"> </w:t>
      </w:r>
      <w:r>
        <w:rPr>
          <w:spacing w:val="-3"/>
        </w:rPr>
        <w:t>percent).</w:t>
      </w:r>
    </w:p>
    <w:p w:rsidR="006C17CB" w:rsidRDefault="006C17CB">
      <w:pPr>
        <w:pStyle w:val="BodyText"/>
        <w:spacing w:before="1"/>
        <w:rPr>
          <w:sz w:val="21"/>
        </w:rPr>
      </w:pPr>
    </w:p>
    <w:p w:rsidR="006C17CB" w:rsidRDefault="0030091C">
      <w:pPr>
        <w:pStyle w:val="Heading7"/>
      </w:pPr>
      <w:r>
        <w:rPr>
          <w:color w:val="6D6D6C"/>
        </w:rPr>
        <w:t>Comparison to Budget and 2016-17 Own Source Revenue</w:t>
      </w:r>
    </w:p>
    <w:p w:rsidR="006C17CB" w:rsidRDefault="0030091C">
      <w:pPr>
        <w:pStyle w:val="BodyText"/>
        <w:spacing w:before="100" w:line="189" w:lineRule="auto"/>
        <w:ind w:left="153" w:right="1412"/>
      </w:pPr>
      <w:r>
        <w:t>The Office’s ‘Own Source Revenue’ in</w:t>
      </w:r>
      <w:r>
        <w:rPr>
          <w:spacing w:val="-6"/>
        </w:rPr>
        <w:t xml:space="preserve"> 2017-18 </w:t>
      </w:r>
      <w:r>
        <w:t xml:space="preserve">was </w:t>
      </w:r>
      <w:r>
        <w:rPr>
          <w:spacing w:val="-4"/>
        </w:rPr>
        <w:t xml:space="preserve">$0.175m </w:t>
      </w:r>
      <w:r>
        <w:rPr>
          <w:spacing w:val="-3"/>
        </w:rPr>
        <w:t xml:space="preserve">(22.2 </w:t>
      </w:r>
      <w:r>
        <w:t xml:space="preserve">percent) less than budget but $0.125m </w:t>
      </w:r>
      <w:r>
        <w:rPr>
          <w:spacing w:val="-3"/>
        </w:rPr>
        <w:t xml:space="preserve">(25.6 </w:t>
      </w:r>
      <w:r>
        <w:t xml:space="preserve">percent) higher than the prior </w:t>
      </w:r>
      <w:r>
        <w:rPr>
          <w:spacing w:val="-5"/>
        </w:rPr>
        <w:t>year.</w:t>
      </w:r>
    </w:p>
    <w:p w:rsidR="006C17CB" w:rsidRDefault="0030091C">
      <w:pPr>
        <w:pStyle w:val="BodyText"/>
        <w:spacing w:before="113" w:line="189" w:lineRule="auto"/>
        <w:ind w:left="153" w:right="1999"/>
      </w:pPr>
      <w:r>
        <w:t>Accommodation rent was lower than budgeted as the majority of Office staff were moved to rental accommodation in the North Building for which the Office now pays rent.</w:t>
      </w:r>
    </w:p>
    <w:p w:rsidR="006C17CB" w:rsidRDefault="0030091C">
      <w:pPr>
        <w:pStyle w:val="BodyText"/>
        <w:spacing w:before="112" w:line="189" w:lineRule="auto"/>
        <w:ind w:left="153" w:right="1948"/>
      </w:pPr>
      <w:r>
        <w:t xml:space="preserve">The value of legislative drafting services in </w:t>
      </w:r>
      <w:r>
        <w:rPr>
          <w:spacing w:val="-7"/>
        </w:rPr>
        <w:t xml:space="preserve">2017-18 </w:t>
      </w:r>
      <w:r>
        <w:t xml:space="preserve">was considerably higher than the previous </w:t>
      </w:r>
      <w:r>
        <w:rPr>
          <w:spacing w:val="-5"/>
        </w:rPr>
        <w:t xml:space="preserve">year. </w:t>
      </w:r>
      <w:r>
        <w:t>This balance is not predictable and varies from year to year based on the need for these services.</w:t>
      </w:r>
    </w:p>
    <w:p w:rsidR="006C17CB" w:rsidRDefault="006C17CB">
      <w:pPr>
        <w:pStyle w:val="BodyText"/>
        <w:spacing w:before="9"/>
        <w:rPr>
          <w:sz w:val="19"/>
        </w:rPr>
      </w:pPr>
    </w:p>
    <w:p w:rsidR="006C17CB" w:rsidRDefault="0030091C">
      <w:pPr>
        <w:ind w:left="153"/>
        <w:rPr>
          <w:rFonts w:ascii="Montserrat-SemiBoldItalic"/>
          <w:b/>
          <w:i/>
          <w:sz w:val="20"/>
        </w:rPr>
      </w:pPr>
      <w:r>
        <w:rPr>
          <w:rFonts w:ascii="Montserrat-SemiBoldItalic"/>
          <w:b/>
          <w:i/>
          <w:sz w:val="20"/>
        </w:rPr>
        <w:t>Controlled financial position</w:t>
      </w:r>
    </w:p>
    <w:p w:rsidR="006C17CB" w:rsidRDefault="0030091C">
      <w:pPr>
        <w:spacing w:before="213"/>
        <w:ind w:left="153"/>
        <w:rPr>
          <w:rFonts w:ascii="Montserrat"/>
          <w:sz w:val="19"/>
        </w:rPr>
      </w:pPr>
      <w:r>
        <w:rPr>
          <w:rFonts w:ascii="Montserrat"/>
          <w:sz w:val="19"/>
        </w:rPr>
        <w:t>TOTAL ASSETS</w:t>
      </w:r>
    </w:p>
    <w:p w:rsidR="006C17CB" w:rsidRDefault="0030091C">
      <w:pPr>
        <w:pStyle w:val="BodyText"/>
        <w:spacing w:before="111" w:line="189" w:lineRule="auto"/>
        <w:ind w:left="153" w:right="1488"/>
      </w:pPr>
      <w:r>
        <w:t>Total assets at 30 June 2018 of $6.298m are shown in the following chart with the two main components being property, plant and equipment ($3.422m: 54.3 percent) and investments ($2.251m: 35.7 percent).</w:t>
      </w:r>
    </w:p>
    <w:p w:rsidR="006C17CB" w:rsidRDefault="006C17CB">
      <w:pPr>
        <w:spacing w:line="189" w:lineRule="auto"/>
        <w:sectPr w:rsidR="006C17CB">
          <w:headerReference w:type="even" r:id="rId128"/>
          <w:pgSz w:w="11910" w:h="16840"/>
          <w:pgMar w:top="1580" w:right="0" w:bottom="720" w:left="980" w:header="0" w:footer="523" w:gutter="0"/>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1"/>
        <w:rPr>
          <w:sz w:val="17"/>
        </w:rPr>
      </w:pPr>
    </w:p>
    <w:p w:rsidR="006C17CB" w:rsidRDefault="0030091C">
      <w:pPr>
        <w:spacing w:before="7"/>
        <w:ind w:left="157"/>
        <w:rPr>
          <w:rFonts w:ascii="Calibri"/>
          <w:i/>
        </w:rPr>
      </w:pPr>
      <w:r>
        <w:rPr>
          <w:rFonts w:ascii="Calibri"/>
          <w:b/>
          <w:sz w:val="18"/>
        </w:rPr>
        <w:t xml:space="preserve">FIGURE 9. </w:t>
      </w:r>
      <w:r>
        <w:rPr>
          <w:rFonts w:ascii="Calibri"/>
          <w:i/>
        </w:rPr>
        <w:t>Total assets at 30 June 2018</w:t>
      </w:r>
    </w:p>
    <w:p w:rsidR="006C17CB" w:rsidRDefault="0030091C">
      <w:pPr>
        <w:pStyle w:val="BodyText"/>
        <w:spacing w:before="4"/>
        <w:rPr>
          <w:rFonts w:ascii="Calibri"/>
          <w:i/>
          <w:sz w:val="12"/>
        </w:rPr>
      </w:pPr>
      <w:r>
        <w:rPr>
          <w:noProof/>
          <w:lang w:val="en-AU" w:eastAsia="en-AU" w:bidi="ar-SA"/>
        </w:rPr>
        <w:drawing>
          <wp:anchor distT="0" distB="0" distL="0" distR="0" simplePos="0" relativeHeight="1720" behindDoc="0" locked="0" layoutInCell="1" allowOverlap="1">
            <wp:simplePos x="0" y="0"/>
            <wp:positionH relativeFrom="page">
              <wp:posOffset>720001</wp:posOffset>
            </wp:positionH>
            <wp:positionV relativeFrom="paragraph">
              <wp:posOffset>137470</wp:posOffset>
            </wp:positionV>
            <wp:extent cx="4812453" cy="3026378"/>
            <wp:effectExtent l="0" t="0" r="0" b="0"/>
            <wp:wrapTopAndBottom/>
            <wp:docPr id="21" name="image13.png" descr="Figure 9. Total assets at 30 June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29" cstate="print"/>
                    <a:stretch>
                      <a:fillRect/>
                    </a:stretch>
                  </pic:blipFill>
                  <pic:spPr>
                    <a:xfrm>
                      <a:off x="0" y="0"/>
                      <a:ext cx="4812453" cy="3026378"/>
                    </a:xfrm>
                    <a:prstGeom prst="rect">
                      <a:avLst/>
                    </a:prstGeom>
                  </pic:spPr>
                </pic:pic>
              </a:graphicData>
            </a:graphic>
          </wp:anchor>
        </w:drawing>
      </w:r>
    </w:p>
    <w:p w:rsidR="006C17CB" w:rsidRDefault="006C17CB">
      <w:pPr>
        <w:pStyle w:val="BodyText"/>
        <w:rPr>
          <w:rFonts w:ascii="Calibri"/>
          <w:i/>
        </w:rPr>
      </w:pPr>
    </w:p>
    <w:p w:rsidR="006C17CB" w:rsidRDefault="0030091C">
      <w:pPr>
        <w:pStyle w:val="Heading7"/>
        <w:spacing w:before="195"/>
      </w:pPr>
      <w:r>
        <w:rPr>
          <w:color w:val="6D6D6C"/>
        </w:rPr>
        <w:t>Comparison to Budget</w:t>
      </w:r>
    </w:p>
    <w:p w:rsidR="006C17CB" w:rsidRDefault="0030091C">
      <w:pPr>
        <w:pStyle w:val="BodyText"/>
        <w:spacing w:before="101" w:line="189" w:lineRule="auto"/>
        <w:ind w:left="153" w:right="1148"/>
      </w:pPr>
      <w:r>
        <w:rPr>
          <w:spacing w:val="-4"/>
        </w:rPr>
        <w:t xml:space="preserve">Total </w:t>
      </w:r>
      <w:r>
        <w:t xml:space="preserve">assets of $6.298m at 30 June </w:t>
      </w:r>
      <w:r>
        <w:rPr>
          <w:spacing w:val="-3"/>
        </w:rPr>
        <w:t xml:space="preserve">2018 </w:t>
      </w:r>
      <w:r>
        <w:t xml:space="preserve">were </w:t>
      </w:r>
      <w:r>
        <w:rPr>
          <w:spacing w:val="-3"/>
        </w:rPr>
        <w:t xml:space="preserve">$0.953m </w:t>
      </w:r>
      <w:r>
        <w:rPr>
          <w:spacing w:val="-9"/>
        </w:rPr>
        <w:t xml:space="preserve">(17.8 </w:t>
      </w:r>
      <w:r>
        <w:t xml:space="preserve">percent) higher than budget mainly due a higher than anticipated investment balance </w:t>
      </w:r>
      <w:r>
        <w:rPr>
          <w:spacing w:val="-6"/>
        </w:rPr>
        <w:t xml:space="preserve">($1.037m: </w:t>
      </w:r>
      <w:r>
        <w:t>85.4 percent) and property, plant and equipment ($0.806m:</w:t>
      </w:r>
    </w:p>
    <w:p w:rsidR="006C17CB" w:rsidRDefault="0030091C">
      <w:pPr>
        <w:pStyle w:val="ListParagraph"/>
        <w:numPr>
          <w:ilvl w:val="1"/>
          <w:numId w:val="18"/>
        </w:numPr>
        <w:tabs>
          <w:tab w:val="left" w:pos="590"/>
        </w:tabs>
        <w:spacing w:line="262" w:lineRule="exact"/>
      </w:pPr>
      <w:r>
        <w:t>percent) both which were not anticipated in the</w:t>
      </w:r>
      <w:r>
        <w:rPr>
          <w:spacing w:val="-8"/>
        </w:rPr>
        <w:t xml:space="preserve"> </w:t>
      </w:r>
      <w:r>
        <w:t>budget.</w:t>
      </w:r>
    </w:p>
    <w:p w:rsidR="006C17CB" w:rsidRDefault="0030091C">
      <w:pPr>
        <w:pStyle w:val="BodyText"/>
        <w:spacing w:before="100" w:line="189" w:lineRule="auto"/>
        <w:ind w:left="153" w:right="1412"/>
      </w:pPr>
      <w:r>
        <w:t>The investment balance was higher throughout the year due to savings achieved by the Office in its expenditure budget. These savings were placed in the investment account to earn a higher rate of return rather than leaving them in the cash operating account.</w:t>
      </w:r>
    </w:p>
    <w:p w:rsidR="006C17CB" w:rsidRDefault="0030091C">
      <w:pPr>
        <w:pStyle w:val="BodyText"/>
        <w:spacing w:before="112" w:line="189" w:lineRule="auto"/>
        <w:ind w:left="153" w:right="1325"/>
      </w:pPr>
      <w:r>
        <w:t>The property, plant and equipment budget was prepared before the result of the 30 June 2017 revaluation increase of $0.313m was known.</w:t>
      </w:r>
    </w:p>
    <w:p w:rsidR="006C17CB" w:rsidRDefault="006C17CB">
      <w:pPr>
        <w:pStyle w:val="BodyText"/>
        <w:rPr>
          <w:sz w:val="16"/>
        </w:rPr>
      </w:pPr>
    </w:p>
    <w:p w:rsidR="006C17CB" w:rsidRDefault="0030091C">
      <w:pPr>
        <w:pStyle w:val="Heading7"/>
      </w:pPr>
      <w:r>
        <w:rPr>
          <w:color w:val="6D6D6C"/>
        </w:rPr>
        <w:t>Comparison to 30 June 2017</w:t>
      </w:r>
    </w:p>
    <w:p w:rsidR="006C17CB" w:rsidRDefault="0030091C">
      <w:pPr>
        <w:pStyle w:val="BodyText"/>
        <w:spacing w:before="46"/>
        <w:ind w:left="153"/>
      </w:pPr>
      <w:r>
        <w:t>Total assets of $6.298m at 30 June 2018 were largely consistent with the prior year of $6.417m.</w:t>
      </w:r>
    </w:p>
    <w:p w:rsidR="006C17CB" w:rsidRDefault="006C17CB">
      <w:pPr>
        <w:pStyle w:val="BodyText"/>
        <w:spacing w:before="2"/>
        <w:rPr>
          <w:sz w:val="15"/>
        </w:rPr>
      </w:pPr>
    </w:p>
    <w:p w:rsidR="006C17CB" w:rsidRDefault="0030091C">
      <w:pPr>
        <w:pStyle w:val="Heading7"/>
      </w:pPr>
      <w:r>
        <w:rPr>
          <w:color w:val="6D6D6C"/>
        </w:rPr>
        <w:t>Future Trends</w:t>
      </w:r>
    </w:p>
    <w:p w:rsidR="006C17CB" w:rsidRDefault="0030091C">
      <w:pPr>
        <w:pStyle w:val="BodyText"/>
        <w:spacing w:before="100" w:line="189" w:lineRule="auto"/>
        <w:ind w:left="153" w:right="1086"/>
      </w:pPr>
      <w:r>
        <w:t>The Office will continue to monitor its investment balance to ensure it has sufficient coverage of its employee benefit liabilities. Any funds over and above this liability coverage may be made available to undertake strategic projects across the Office.</w:t>
      </w:r>
    </w:p>
    <w:p w:rsidR="006C17CB" w:rsidRDefault="006C17CB">
      <w:pPr>
        <w:spacing w:line="189" w:lineRule="auto"/>
        <w:sectPr w:rsidR="006C17CB">
          <w:headerReference w:type="default" r:id="rId130"/>
          <w:footerReference w:type="even" r:id="rId131"/>
          <w:footerReference w:type="default" r:id="rId132"/>
          <w:pgSz w:w="11910" w:h="16840"/>
          <w:pgMar w:top="1580" w:right="0" w:bottom="740" w:left="980" w:header="0" w:footer="551" w:gutter="0"/>
          <w:pgNumType w:start="83"/>
          <w:cols w:space="720"/>
        </w:sect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3"/>
        <w:rPr>
          <w:sz w:val="17"/>
        </w:rPr>
      </w:pPr>
    </w:p>
    <w:p w:rsidR="006C17CB" w:rsidRDefault="0030091C">
      <w:pPr>
        <w:spacing w:before="128"/>
        <w:ind w:left="153"/>
        <w:rPr>
          <w:rFonts w:ascii="Montserrat"/>
          <w:sz w:val="19"/>
        </w:rPr>
      </w:pPr>
      <w:bookmarkStart w:id="122" w:name="Territorial_Statement_of_Income_and_Expe"/>
      <w:bookmarkStart w:id="123" w:name="Total_Expenditure"/>
      <w:bookmarkStart w:id="124" w:name="_bookmark45"/>
      <w:bookmarkEnd w:id="122"/>
      <w:bookmarkEnd w:id="123"/>
      <w:bookmarkEnd w:id="124"/>
      <w:r>
        <w:rPr>
          <w:rFonts w:ascii="Montserrat"/>
          <w:sz w:val="19"/>
        </w:rPr>
        <w:t>TOTAL LIABILITIES</w:t>
      </w:r>
    </w:p>
    <w:p w:rsidR="006C17CB" w:rsidRDefault="0030091C">
      <w:pPr>
        <w:pStyle w:val="BodyText"/>
        <w:spacing w:before="112" w:line="189" w:lineRule="auto"/>
        <w:ind w:left="153" w:right="1209"/>
      </w:pPr>
      <w:r>
        <w:t>The Office’s total liabilities of $2.390m at 30 June 2018 consist of current and non-current employee benefit liabilities ($2.102m: 87.9 percent) and payables ($0.288m: 12.1 percent).</w:t>
      </w:r>
    </w:p>
    <w:p w:rsidR="006C17CB" w:rsidRDefault="006C17CB">
      <w:pPr>
        <w:pStyle w:val="BodyText"/>
        <w:rPr>
          <w:sz w:val="16"/>
        </w:rPr>
      </w:pPr>
    </w:p>
    <w:p w:rsidR="006C17CB" w:rsidRDefault="0030091C">
      <w:pPr>
        <w:pStyle w:val="Heading7"/>
      </w:pPr>
      <w:r>
        <w:rPr>
          <w:color w:val="6D6D6C"/>
        </w:rPr>
        <w:t>Comparison to Budget and 30 June 2017</w:t>
      </w:r>
    </w:p>
    <w:p w:rsidR="006C17CB" w:rsidRDefault="0030091C">
      <w:pPr>
        <w:pStyle w:val="BodyText"/>
        <w:spacing w:before="46"/>
        <w:ind w:left="153"/>
      </w:pPr>
      <w:r>
        <w:t>Total liabilities at 30 June 2018 of $2.390m were consistent with the budget of $2.300m.</w:t>
      </w:r>
    </w:p>
    <w:p w:rsidR="006C17CB" w:rsidRDefault="0030091C">
      <w:pPr>
        <w:pStyle w:val="BodyText"/>
        <w:spacing w:before="101" w:line="189" w:lineRule="auto"/>
        <w:ind w:left="153" w:right="1267"/>
        <w:jc w:val="both"/>
      </w:pPr>
      <w:r>
        <w:rPr>
          <w:spacing w:val="-4"/>
        </w:rPr>
        <w:t xml:space="preserve">Total </w:t>
      </w:r>
      <w:r>
        <w:t>liabilities</w:t>
      </w:r>
      <w:r>
        <w:rPr>
          <w:spacing w:val="-4"/>
        </w:rPr>
        <w:t xml:space="preserve"> </w:t>
      </w:r>
      <w:r>
        <w:t>at</w:t>
      </w:r>
      <w:r>
        <w:rPr>
          <w:spacing w:val="-4"/>
        </w:rPr>
        <w:t xml:space="preserve"> </w:t>
      </w:r>
      <w:r>
        <w:t>30</w:t>
      </w:r>
      <w:r>
        <w:rPr>
          <w:spacing w:val="-4"/>
        </w:rPr>
        <w:t xml:space="preserve"> </w:t>
      </w:r>
      <w:r>
        <w:t>June</w:t>
      </w:r>
      <w:r>
        <w:rPr>
          <w:spacing w:val="-5"/>
        </w:rPr>
        <w:t xml:space="preserve"> </w:t>
      </w:r>
      <w:r>
        <w:rPr>
          <w:spacing w:val="-3"/>
        </w:rPr>
        <w:t>2018</w:t>
      </w:r>
      <w:r>
        <w:rPr>
          <w:spacing w:val="-4"/>
        </w:rPr>
        <w:t xml:space="preserve"> </w:t>
      </w:r>
      <w:r>
        <w:t>of</w:t>
      </w:r>
      <w:r>
        <w:rPr>
          <w:spacing w:val="-4"/>
        </w:rPr>
        <w:t xml:space="preserve"> </w:t>
      </w:r>
      <w:r>
        <w:t>$2.390m</w:t>
      </w:r>
      <w:r>
        <w:rPr>
          <w:spacing w:val="-5"/>
        </w:rPr>
        <w:t xml:space="preserve"> </w:t>
      </w:r>
      <w:r>
        <w:t>were</w:t>
      </w:r>
      <w:r>
        <w:rPr>
          <w:spacing w:val="-5"/>
        </w:rPr>
        <w:t xml:space="preserve"> </w:t>
      </w:r>
      <w:r>
        <w:t>slightly</w:t>
      </w:r>
      <w:r>
        <w:rPr>
          <w:spacing w:val="-4"/>
        </w:rPr>
        <w:t xml:space="preserve"> </w:t>
      </w:r>
      <w:r>
        <w:t>lower</w:t>
      </w:r>
      <w:r>
        <w:rPr>
          <w:spacing w:val="-4"/>
        </w:rPr>
        <w:t xml:space="preserve"> </w:t>
      </w:r>
      <w:r>
        <w:t>than</w:t>
      </w:r>
      <w:r>
        <w:rPr>
          <w:spacing w:val="-4"/>
        </w:rPr>
        <w:t xml:space="preserve"> </w:t>
      </w:r>
      <w:r>
        <w:t>the</w:t>
      </w:r>
      <w:r>
        <w:rPr>
          <w:spacing w:val="-5"/>
        </w:rPr>
        <w:t xml:space="preserve"> </w:t>
      </w:r>
      <w:r>
        <w:t>prior</w:t>
      </w:r>
      <w:r>
        <w:rPr>
          <w:spacing w:val="-5"/>
        </w:rPr>
        <w:t xml:space="preserve"> </w:t>
      </w:r>
      <w:r>
        <w:t>year</w:t>
      </w:r>
      <w:r>
        <w:rPr>
          <w:spacing w:val="-4"/>
        </w:rPr>
        <w:t xml:space="preserve"> ($2.579m) </w:t>
      </w:r>
      <w:r>
        <w:t>because</w:t>
      </w:r>
      <w:r>
        <w:rPr>
          <w:spacing w:val="-5"/>
        </w:rPr>
        <w:t xml:space="preserve"> </w:t>
      </w:r>
      <w:r>
        <w:t>a</w:t>
      </w:r>
      <w:r>
        <w:rPr>
          <w:spacing w:val="-4"/>
        </w:rPr>
        <w:t xml:space="preserve"> </w:t>
      </w:r>
      <w:r>
        <w:t>large value</w:t>
      </w:r>
      <w:r>
        <w:rPr>
          <w:spacing w:val="-5"/>
        </w:rPr>
        <w:t xml:space="preserve"> </w:t>
      </w:r>
      <w:r>
        <w:t>quarterly</w:t>
      </w:r>
      <w:r>
        <w:rPr>
          <w:spacing w:val="-4"/>
        </w:rPr>
        <w:t xml:space="preserve"> </w:t>
      </w:r>
      <w:r>
        <w:t>invoice</w:t>
      </w:r>
      <w:r>
        <w:rPr>
          <w:spacing w:val="-5"/>
        </w:rPr>
        <w:t xml:space="preserve"> </w:t>
      </w:r>
      <w:r>
        <w:t>for</w:t>
      </w:r>
      <w:r>
        <w:rPr>
          <w:spacing w:val="-5"/>
        </w:rPr>
        <w:t xml:space="preserve"> </w:t>
      </w:r>
      <w:r>
        <w:t>information</w:t>
      </w:r>
      <w:r>
        <w:rPr>
          <w:spacing w:val="-4"/>
        </w:rPr>
        <w:t xml:space="preserve"> </w:t>
      </w:r>
      <w:r>
        <w:t>technology</w:t>
      </w:r>
      <w:r>
        <w:rPr>
          <w:spacing w:val="-4"/>
        </w:rPr>
        <w:t xml:space="preserve"> </w:t>
      </w:r>
      <w:r>
        <w:t>running</w:t>
      </w:r>
      <w:r>
        <w:rPr>
          <w:spacing w:val="-4"/>
        </w:rPr>
        <w:t xml:space="preserve"> </w:t>
      </w:r>
      <w:r>
        <w:t>costs</w:t>
      </w:r>
      <w:r>
        <w:rPr>
          <w:spacing w:val="-4"/>
        </w:rPr>
        <w:t xml:space="preserve"> </w:t>
      </w:r>
      <w:r>
        <w:t>was</w:t>
      </w:r>
      <w:r>
        <w:rPr>
          <w:spacing w:val="-4"/>
        </w:rPr>
        <w:t xml:space="preserve"> </w:t>
      </w:r>
      <w:r>
        <w:t>paid</w:t>
      </w:r>
      <w:r>
        <w:rPr>
          <w:spacing w:val="-4"/>
        </w:rPr>
        <w:t xml:space="preserve"> </w:t>
      </w:r>
      <w:r>
        <w:t>prior</w:t>
      </w:r>
      <w:r>
        <w:rPr>
          <w:spacing w:val="-5"/>
        </w:rPr>
        <w:t xml:space="preserve"> </w:t>
      </w:r>
      <w:r>
        <w:t>to</w:t>
      </w:r>
      <w:r>
        <w:rPr>
          <w:spacing w:val="-5"/>
        </w:rPr>
        <w:t xml:space="preserve"> </w:t>
      </w:r>
      <w:r>
        <w:t>30</w:t>
      </w:r>
      <w:r>
        <w:rPr>
          <w:spacing w:val="-4"/>
        </w:rPr>
        <w:t xml:space="preserve"> </w:t>
      </w:r>
      <w:r>
        <w:t>June</w:t>
      </w:r>
      <w:r>
        <w:rPr>
          <w:spacing w:val="-5"/>
        </w:rPr>
        <w:t xml:space="preserve"> </w:t>
      </w:r>
      <w:r>
        <w:rPr>
          <w:spacing w:val="-3"/>
        </w:rPr>
        <w:t>2018</w:t>
      </w:r>
      <w:r>
        <w:rPr>
          <w:spacing w:val="-4"/>
        </w:rPr>
        <w:t xml:space="preserve"> </w:t>
      </w:r>
      <w:r>
        <w:t>when</w:t>
      </w:r>
      <w:r>
        <w:rPr>
          <w:spacing w:val="-4"/>
        </w:rPr>
        <w:t xml:space="preserve"> </w:t>
      </w:r>
      <w:r>
        <w:t>it</w:t>
      </w:r>
      <w:r>
        <w:rPr>
          <w:spacing w:val="-4"/>
        </w:rPr>
        <w:t xml:space="preserve"> </w:t>
      </w:r>
      <w:r>
        <w:t>was a payable in</w:t>
      </w:r>
      <w:r>
        <w:rPr>
          <w:spacing w:val="-2"/>
        </w:rPr>
        <w:t xml:space="preserve"> </w:t>
      </w:r>
      <w:r>
        <w:rPr>
          <w:spacing w:val="-7"/>
        </w:rPr>
        <w:t>2016-17.</w:t>
      </w:r>
    </w:p>
    <w:p w:rsidR="006C17CB" w:rsidRDefault="006C17CB">
      <w:pPr>
        <w:pStyle w:val="BodyText"/>
        <w:spacing w:before="13"/>
        <w:rPr>
          <w:sz w:val="15"/>
        </w:rPr>
      </w:pPr>
    </w:p>
    <w:p w:rsidR="006C17CB" w:rsidRDefault="0030091C">
      <w:pPr>
        <w:pStyle w:val="Heading7"/>
      </w:pPr>
      <w:r>
        <w:rPr>
          <w:color w:val="6D6D6C"/>
        </w:rPr>
        <w:t>Future Trends</w:t>
      </w:r>
    </w:p>
    <w:p w:rsidR="006C17CB" w:rsidRDefault="0030091C">
      <w:pPr>
        <w:pStyle w:val="BodyText"/>
        <w:spacing w:before="100" w:line="189" w:lineRule="auto"/>
        <w:ind w:left="153" w:right="1412"/>
      </w:pPr>
      <w:r>
        <w:t>The Office will continue to closely monitor and manage its employee benefits liabilities in the future to ensure that staff are not building and maintaining excessive leave balances.</w:t>
      </w:r>
    </w:p>
    <w:p w:rsidR="006C17CB" w:rsidRDefault="006C17CB">
      <w:pPr>
        <w:pStyle w:val="BodyText"/>
        <w:spacing w:before="9"/>
        <w:rPr>
          <w:sz w:val="19"/>
        </w:rPr>
      </w:pPr>
    </w:p>
    <w:p w:rsidR="006C17CB" w:rsidRDefault="0030091C">
      <w:pPr>
        <w:ind w:left="153"/>
        <w:rPr>
          <w:rFonts w:ascii="Montserrat-SemiBoldItalic"/>
          <w:b/>
          <w:i/>
          <w:sz w:val="20"/>
        </w:rPr>
      </w:pPr>
      <w:r>
        <w:rPr>
          <w:rFonts w:ascii="Montserrat-SemiBoldItalic"/>
          <w:b/>
          <w:i/>
          <w:sz w:val="20"/>
        </w:rPr>
        <w:t>Territorial statement of income and expenses</w:t>
      </w:r>
    </w:p>
    <w:p w:rsidR="006C17CB" w:rsidRDefault="0030091C">
      <w:pPr>
        <w:spacing w:before="213"/>
        <w:ind w:left="153"/>
        <w:rPr>
          <w:rFonts w:ascii="Montserrat"/>
          <w:sz w:val="19"/>
        </w:rPr>
      </w:pPr>
      <w:r>
        <w:rPr>
          <w:rFonts w:ascii="Montserrat"/>
          <w:sz w:val="19"/>
        </w:rPr>
        <w:t>TOTAL INCOME</w:t>
      </w:r>
    </w:p>
    <w:p w:rsidR="006C17CB" w:rsidRDefault="0030091C">
      <w:pPr>
        <w:pStyle w:val="BodyText"/>
        <w:spacing w:before="112" w:line="189" w:lineRule="auto"/>
        <w:ind w:left="153" w:right="1157"/>
      </w:pPr>
      <w:r>
        <w:t>Territorial income is almost entirely in the form of a Payment for Expenses on Behalf of the Territory to meet the cost of salaries and related employment entitlements for non-Executive members and their staff.</w:t>
      </w:r>
    </w:p>
    <w:p w:rsidR="006C17CB" w:rsidRDefault="0030091C">
      <w:pPr>
        <w:pStyle w:val="BodyText"/>
        <w:spacing w:before="112" w:line="189" w:lineRule="auto"/>
        <w:ind w:left="153" w:right="1114"/>
      </w:pPr>
      <w:r>
        <w:t>The Payment for Expenses on Behalf of the Territory in 2017-18 of $9.027m was $0.896m (9.0 percent) less than originally budgeted mainly due to non-Executive members not spending their full staff salary allocations as well as there being fewer leave payouts than expected.</w:t>
      </w:r>
    </w:p>
    <w:p w:rsidR="006C17CB" w:rsidRDefault="006C17CB">
      <w:pPr>
        <w:pStyle w:val="BodyText"/>
        <w:spacing w:before="8"/>
        <w:rPr>
          <w:sz w:val="19"/>
        </w:rPr>
      </w:pPr>
    </w:p>
    <w:p w:rsidR="006C17CB" w:rsidRDefault="0030091C">
      <w:pPr>
        <w:ind w:left="153"/>
        <w:rPr>
          <w:rFonts w:ascii="Montserrat-SemiBoldItalic"/>
          <w:b/>
          <w:i/>
          <w:sz w:val="20"/>
        </w:rPr>
      </w:pPr>
      <w:r>
        <w:rPr>
          <w:rFonts w:ascii="Montserrat-SemiBoldItalic"/>
          <w:b/>
          <w:i/>
          <w:sz w:val="20"/>
        </w:rPr>
        <w:t>Total expenditure</w:t>
      </w:r>
    </w:p>
    <w:p w:rsidR="006C17CB" w:rsidRDefault="0030091C">
      <w:pPr>
        <w:pStyle w:val="BodyText"/>
        <w:spacing w:before="56"/>
        <w:ind w:left="153"/>
      </w:pPr>
      <w:r>
        <w:t>Total Territorial expenditure for 2017-18 was $10.012m as shown in the chart below.</w:t>
      </w:r>
    </w:p>
    <w:p w:rsidR="006C17CB" w:rsidRDefault="006C17CB">
      <w:pPr>
        <w:pStyle w:val="BodyText"/>
        <w:spacing w:before="11"/>
        <w:rPr>
          <w:sz w:val="26"/>
        </w:rPr>
      </w:pPr>
    </w:p>
    <w:p w:rsidR="006C17CB" w:rsidRDefault="0030091C">
      <w:pPr>
        <w:ind w:left="157"/>
        <w:rPr>
          <w:rFonts w:ascii="Calibri"/>
          <w:i/>
        </w:rPr>
      </w:pPr>
      <w:r>
        <w:rPr>
          <w:rFonts w:ascii="Calibri"/>
          <w:b/>
          <w:sz w:val="18"/>
        </w:rPr>
        <w:t>FIGURE 10</w:t>
      </w:r>
      <w:r>
        <w:rPr>
          <w:rFonts w:ascii="Calibri"/>
          <w:i/>
        </w:rPr>
        <w:t>. Total Territorial expenditure 2017-18</w:t>
      </w:r>
    </w:p>
    <w:p w:rsidR="006C17CB" w:rsidRDefault="0030091C">
      <w:pPr>
        <w:pStyle w:val="BodyText"/>
        <w:spacing w:before="5"/>
        <w:rPr>
          <w:rFonts w:ascii="Calibri"/>
          <w:i/>
          <w:sz w:val="8"/>
        </w:rPr>
      </w:pPr>
      <w:r>
        <w:rPr>
          <w:noProof/>
          <w:lang w:val="en-AU" w:eastAsia="en-AU" w:bidi="ar-SA"/>
        </w:rPr>
        <w:drawing>
          <wp:anchor distT="0" distB="0" distL="0" distR="0" simplePos="0" relativeHeight="1744" behindDoc="0" locked="0" layoutInCell="1" allowOverlap="1">
            <wp:simplePos x="0" y="0"/>
            <wp:positionH relativeFrom="page">
              <wp:posOffset>720001</wp:posOffset>
            </wp:positionH>
            <wp:positionV relativeFrom="paragraph">
              <wp:posOffset>101249</wp:posOffset>
            </wp:positionV>
            <wp:extent cx="4987841" cy="2662237"/>
            <wp:effectExtent l="0" t="0" r="0" b="0"/>
            <wp:wrapTopAndBottom/>
            <wp:docPr id="23" name="image14.png" descr="Figure 10. Total Territorial expenditure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33" cstate="print"/>
                    <a:stretch>
                      <a:fillRect/>
                    </a:stretch>
                  </pic:blipFill>
                  <pic:spPr>
                    <a:xfrm>
                      <a:off x="0" y="0"/>
                      <a:ext cx="4987841" cy="2662237"/>
                    </a:xfrm>
                    <a:prstGeom prst="rect">
                      <a:avLst/>
                    </a:prstGeom>
                  </pic:spPr>
                </pic:pic>
              </a:graphicData>
            </a:graphic>
          </wp:anchor>
        </w:drawing>
      </w:r>
    </w:p>
    <w:p w:rsidR="006C17CB" w:rsidRDefault="006C17CB">
      <w:pPr>
        <w:rPr>
          <w:rFonts w:ascii="Calibri"/>
          <w:sz w:val="8"/>
        </w:rPr>
        <w:sectPr w:rsidR="006C17CB">
          <w:headerReference w:type="even" r:id="rId134"/>
          <w:pgSz w:w="11910" w:h="16840"/>
          <w:pgMar w:top="1580" w:right="0" w:bottom="720" w:left="980" w:header="0" w:footer="523" w:gutter="0"/>
          <w:cols w:space="720"/>
        </w:sectPr>
      </w:pPr>
    </w:p>
    <w:p w:rsidR="006C17CB" w:rsidRDefault="006C17CB">
      <w:pPr>
        <w:pStyle w:val="BodyText"/>
        <w:rPr>
          <w:rFonts w:ascii="Calibri"/>
          <w:i/>
          <w:sz w:val="20"/>
        </w:rPr>
      </w:pPr>
    </w:p>
    <w:p w:rsidR="006C17CB" w:rsidRDefault="006C17CB">
      <w:pPr>
        <w:pStyle w:val="BodyText"/>
        <w:rPr>
          <w:rFonts w:ascii="Calibri"/>
          <w:i/>
          <w:sz w:val="20"/>
        </w:rPr>
      </w:pPr>
    </w:p>
    <w:p w:rsidR="006C17CB" w:rsidRDefault="006C17CB">
      <w:pPr>
        <w:pStyle w:val="BodyText"/>
        <w:spacing w:before="1"/>
        <w:rPr>
          <w:rFonts w:ascii="Calibri"/>
          <w:i/>
          <w:sz w:val="16"/>
        </w:rPr>
      </w:pPr>
    </w:p>
    <w:p w:rsidR="006C17CB" w:rsidRDefault="0030091C">
      <w:pPr>
        <w:pStyle w:val="Heading7"/>
        <w:spacing w:before="100"/>
      </w:pPr>
      <w:bookmarkStart w:id="125" w:name="Territorial_Financial_Position"/>
      <w:bookmarkStart w:id="126" w:name="_bookmark46"/>
      <w:bookmarkEnd w:id="125"/>
      <w:bookmarkEnd w:id="126"/>
      <w:r>
        <w:rPr>
          <w:color w:val="6D6D6C"/>
        </w:rPr>
        <w:t>Comparison to 2017-18 Budget</w:t>
      </w:r>
    </w:p>
    <w:p w:rsidR="006C17CB" w:rsidRDefault="0030091C">
      <w:pPr>
        <w:pStyle w:val="BodyText"/>
        <w:spacing w:before="101" w:line="189" w:lineRule="auto"/>
        <w:ind w:left="153" w:right="1177"/>
      </w:pPr>
      <w:r>
        <w:rPr>
          <w:spacing w:val="-4"/>
        </w:rPr>
        <w:t xml:space="preserve">Total </w:t>
      </w:r>
      <w:r>
        <w:t xml:space="preserve">expenditure was </w:t>
      </w:r>
      <w:r>
        <w:rPr>
          <w:spacing w:val="-4"/>
        </w:rPr>
        <w:t xml:space="preserve">$1.681m </w:t>
      </w:r>
      <w:r>
        <w:rPr>
          <w:spacing w:val="-6"/>
        </w:rPr>
        <w:t xml:space="preserve">(14.4 </w:t>
      </w:r>
      <w:r>
        <w:t xml:space="preserve">percent) less than budgeted. Employee and superannuation expenses were lower than budget by </w:t>
      </w:r>
      <w:r>
        <w:rPr>
          <w:spacing w:val="-3"/>
        </w:rPr>
        <w:t xml:space="preserve">$1.138m </w:t>
      </w:r>
      <w:r>
        <w:rPr>
          <w:spacing w:val="-4"/>
        </w:rPr>
        <w:t xml:space="preserve">(11.2 </w:t>
      </w:r>
      <w:r>
        <w:t xml:space="preserve">percent) as discussed above in </w:t>
      </w:r>
      <w:r>
        <w:rPr>
          <w:spacing w:val="-3"/>
        </w:rPr>
        <w:t xml:space="preserve">‘Total </w:t>
      </w:r>
      <w:r>
        <w:rPr>
          <w:spacing w:val="-4"/>
        </w:rPr>
        <w:t xml:space="preserve">Income’. </w:t>
      </w:r>
      <w:r>
        <w:t xml:space="preserve">Depreciation expense was $0.549m </w:t>
      </w:r>
      <w:r>
        <w:rPr>
          <w:spacing w:val="-3"/>
        </w:rPr>
        <w:t xml:space="preserve">(50.6 </w:t>
      </w:r>
      <w:r>
        <w:t>percent) less than budget as the building asset was revalued downwards at</w:t>
      </w:r>
    </w:p>
    <w:p w:rsidR="006C17CB" w:rsidRDefault="0030091C">
      <w:pPr>
        <w:pStyle w:val="BodyText"/>
        <w:spacing w:line="261" w:lineRule="exact"/>
        <w:ind w:left="153"/>
      </w:pPr>
      <w:r>
        <w:t>30 June 2017 which was not known when the budget was prepared.</w:t>
      </w:r>
    </w:p>
    <w:p w:rsidR="006C17CB" w:rsidRDefault="006C17CB">
      <w:pPr>
        <w:pStyle w:val="BodyText"/>
        <w:spacing w:before="2"/>
        <w:rPr>
          <w:sz w:val="15"/>
        </w:rPr>
      </w:pPr>
    </w:p>
    <w:p w:rsidR="006C17CB" w:rsidRDefault="0030091C">
      <w:pPr>
        <w:pStyle w:val="Heading7"/>
      </w:pPr>
      <w:r>
        <w:rPr>
          <w:color w:val="6D6D6C"/>
        </w:rPr>
        <w:t>Comparison to 2016-17 Expenditure</w:t>
      </w:r>
    </w:p>
    <w:p w:rsidR="006C17CB" w:rsidRDefault="0030091C">
      <w:pPr>
        <w:pStyle w:val="BodyText"/>
        <w:spacing w:before="100" w:line="189" w:lineRule="auto"/>
        <w:ind w:left="153" w:right="1104"/>
      </w:pPr>
      <w:r>
        <w:t>Total expenditure of $10.012m was $0.587m (6.2 percent) higher than the previous financial year ($9.425m). The major factor was higher employee and superannuation expenses of $0.853m (10.5 percent) representing the full year impact of the enlargement of the Assembly to 25 members.</w:t>
      </w:r>
    </w:p>
    <w:p w:rsidR="006C17CB" w:rsidRDefault="006C17CB">
      <w:pPr>
        <w:pStyle w:val="BodyText"/>
        <w:spacing w:before="14"/>
        <w:rPr>
          <w:sz w:val="15"/>
        </w:rPr>
      </w:pPr>
    </w:p>
    <w:p w:rsidR="006C17CB" w:rsidRDefault="0030091C">
      <w:pPr>
        <w:pStyle w:val="Heading7"/>
      </w:pPr>
      <w:r>
        <w:rPr>
          <w:color w:val="6D6D6C"/>
        </w:rPr>
        <w:t>Future Trends</w:t>
      </w:r>
    </w:p>
    <w:p w:rsidR="006C17CB" w:rsidRDefault="0030091C">
      <w:pPr>
        <w:pStyle w:val="BodyText"/>
        <w:spacing w:before="100" w:line="189" w:lineRule="auto"/>
        <w:ind w:left="153" w:right="1427"/>
        <w:jc w:val="both"/>
      </w:pPr>
      <w:r>
        <w:t>Future</w:t>
      </w:r>
      <w:r>
        <w:rPr>
          <w:spacing w:val="-7"/>
        </w:rPr>
        <w:t xml:space="preserve"> </w:t>
      </w:r>
      <w:r>
        <w:t>appropriations</w:t>
      </w:r>
      <w:r>
        <w:rPr>
          <w:spacing w:val="-6"/>
        </w:rPr>
        <w:t xml:space="preserve"> </w:t>
      </w:r>
      <w:r>
        <w:t>are</w:t>
      </w:r>
      <w:r>
        <w:rPr>
          <w:spacing w:val="-7"/>
        </w:rPr>
        <w:t xml:space="preserve"> </w:t>
      </w:r>
      <w:r>
        <w:t>budgeted</w:t>
      </w:r>
      <w:r>
        <w:rPr>
          <w:spacing w:val="-7"/>
        </w:rPr>
        <w:t xml:space="preserve"> </w:t>
      </w:r>
      <w:r>
        <w:t>to</w:t>
      </w:r>
      <w:r>
        <w:rPr>
          <w:spacing w:val="-7"/>
        </w:rPr>
        <w:t xml:space="preserve"> </w:t>
      </w:r>
      <w:r>
        <w:t>increase</w:t>
      </w:r>
      <w:r>
        <w:rPr>
          <w:spacing w:val="-7"/>
        </w:rPr>
        <w:t xml:space="preserve"> </w:t>
      </w:r>
      <w:r>
        <w:t>in</w:t>
      </w:r>
      <w:r>
        <w:rPr>
          <w:spacing w:val="-6"/>
        </w:rPr>
        <w:t xml:space="preserve"> </w:t>
      </w:r>
      <w:r>
        <w:t>line</w:t>
      </w:r>
      <w:r>
        <w:rPr>
          <w:spacing w:val="-7"/>
        </w:rPr>
        <w:t xml:space="preserve"> </w:t>
      </w:r>
      <w:r>
        <w:t>with</w:t>
      </w:r>
      <w:r>
        <w:rPr>
          <w:spacing w:val="-6"/>
        </w:rPr>
        <w:t xml:space="preserve"> </w:t>
      </w:r>
      <w:r>
        <w:t>wage</w:t>
      </w:r>
      <w:r>
        <w:rPr>
          <w:spacing w:val="-7"/>
        </w:rPr>
        <w:t xml:space="preserve"> </w:t>
      </w:r>
      <w:r>
        <w:t>price</w:t>
      </w:r>
      <w:r>
        <w:rPr>
          <w:spacing w:val="-7"/>
        </w:rPr>
        <w:t xml:space="preserve"> </w:t>
      </w:r>
      <w:r>
        <w:t>indexation.</w:t>
      </w:r>
      <w:r>
        <w:rPr>
          <w:spacing w:val="-6"/>
        </w:rPr>
        <w:t xml:space="preserve"> </w:t>
      </w:r>
      <w:r>
        <w:t>The</w:t>
      </w:r>
      <w:r>
        <w:rPr>
          <w:spacing w:val="-7"/>
        </w:rPr>
        <w:t xml:space="preserve"> </w:t>
      </w:r>
      <w:r>
        <w:t>Office</w:t>
      </w:r>
      <w:r>
        <w:rPr>
          <w:spacing w:val="-7"/>
        </w:rPr>
        <w:t xml:space="preserve"> </w:t>
      </w:r>
      <w:r>
        <w:t>will</w:t>
      </w:r>
      <w:r>
        <w:rPr>
          <w:spacing w:val="-6"/>
        </w:rPr>
        <w:t xml:space="preserve"> </w:t>
      </w:r>
      <w:r>
        <w:t>continue to</w:t>
      </w:r>
      <w:r>
        <w:rPr>
          <w:spacing w:val="-7"/>
        </w:rPr>
        <w:t xml:space="preserve"> </w:t>
      </w:r>
      <w:r>
        <w:t>monitor</w:t>
      </w:r>
      <w:r>
        <w:rPr>
          <w:spacing w:val="-7"/>
        </w:rPr>
        <w:t xml:space="preserve"> </w:t>
      </w:r>
      <w:r>
        <w:t>these</w:t>
      </w:r>
      <w:r>
        <w:rPr>
          <w:spacing w:val="-7"/>
        </w:rPr>
        <w:t xml:space="preserve"> </w:t>
      </w:r>
      <w:r>
        <w:t>appropriations</w:t>
      </w:r>
      <w:r>
        <w:rPr>
          <w:spacing w:val="-7"/>
        </w:rPr>
        <w:t xml:space="preserve"> </w:t>
      </w:r>
      <w:r>
        <w:t>to</w:t>
      </w:r>
      <w:r>
        <w:rPr>
          <w:spacing w:val="-7"/>
        </w:rPr>
        <w:t xml:space="preserve"> </w:t>
      </w:r>
      <w:r>
        <w:t>assess</w:t>
      </w:r>
      <w:r>
        <w:rPr>
          <w:spacing w:val="-7"/>
        </w:rPr>
        <w:t xml:space="preserve"> </w:t>
      </w:r>
      <w:r>
        <w:t>whether</w:t>
      </w:r>
      <w:r>
        <w:rPr>
          <w:spacing w:val="-7"/>
        </w:rPr>
        <w:t xml:space="preserve"> </w:t>
      </w:r>
      <w:r>
        <w:t>they</w:t>
      </w:r>
      <w:r>
        <w:rPr>
          <w:spacing w:val="-7"/>
        </w:rPr>
        <w:t xml:space="preserve"> </w:t>
      </w:r>
      <w:r>
        <w:t>are</w:t>
      </w:r>
      <w:r>
        <w:rPr>
          <w:spacing w:val="-7"/>
        </w:rPr>
        <w:t xml:space="preserve"> </w:t>
      </w:r>
      <w:r>
        <w:t>sufficient</w:t>
      </w:r>
      <w:r>
        <w:rPr>
          <w:spacing w:val="-7"/>
        </w:rPr>
        <w:t xml:space="preserve"> </w:t>
      </w:r>
      <w:r>
        <w:t>to</w:t>
      </w:r>
      <w:r>
        <w:rPr>
          <w:spacing w:val="-7"/>
        </w:rPr>
        <w:t xml:space="preserve"> </w:t>
      </w:r>
      <w:r>
        <w:t>maintain</w:t>
      </w:r>
      <w:r>
        <w:rPr>
          <w:spacing w:val="-7"/>
        </w:rPr>
        <w:t xml:space="preserve"> </w:t>
      </w:r>
      <w:r>
        <w:t>the</w:t>
      </w:r>
      <w:r>
        <w:rPr>
          <w:spacing w:val="-7"/>
        </w:rPr>
        <w:t xml:space="preserve"> </w:t>
      </w:r>
      <w:r>
        <w:t>effective</w:t>
      </w:r>
      <w:r>
        <w:rPr>
          <w:spacing w:val="-7"/>
        </w:rPr>
        <w:t xml:space="preserve"> </w:t>
      </w:r>
      <w:r>
        <w:t>operations of the non-Executive members and their</w:t>
      </w:r>
      <w:r>
        <w:rPr>
          <w:spacing w:val="-5"/>
        </w:rPr>
        <w:t xml:space="preserve"> </w:t>
      </w:r>
      <w:r>
        <w:t>staff.</w:t>
      </w:r>
    </w:p>
    <w:p w:rsidR="006C17CB" w:rsidRDefault="006C17CB">
      <w:pPr>
        <w:pStyle w:val="BodyText"/>
        <w:spacing w:before="8"/>
        <w:rPr>
          <w:sz w:val="19"/>
        </w:rPr>
      </w:pPr>
    </w:p>
    <w:p w:rsidR="006C17CB" w:rsidRDefault="0030091C">
      <w:pPr>
        <w:ind w:left="153"/>
        <w:rPr>
          <w:rFonts w:ascii="Montserrat-SemiBoldItalic"/>
          <w:b/>
          <w:i/>
          <w:sz w:val="20"/>
        </w:rPr>
      </w:pPr>
      <w:r>
        <w:rPr>
          <w:rFonts w:ascii="Montserrat-SemiBoldItalic"/>
          <w:b/>
          <w:i/>
          <w:sz w:val="20"/>
        </w:rPr>
        <w:t>Territorial financial position</w:t>
      </w:r>
    </w:p>
    <w:p w:rsidR="006C17CB" w:rsidRDefault="0030091C">
      <w:pPr>
        <w:spacing w:before="213"/>
        <w:ind w:left="153"/>
        <w:rPr>
          <w:rFonts w:ascii="Montserrat"/>
          <w:sz w:val="19"/>
        </w:rPr>
      </w:pPr>
      <w:r>
        <w:rPr>
          <w:rFonts w:ascii="Montserrat"/>
          <w:sz w:val="19"/>
        </w:rPr>
        <w:t>TOTAL ASSETS</w:t>
      </w:r>
    </w:p>
    <w:p w:rsidR="006C17CB" w:rsidRDefault="0030091C">
      <w:pPr>
        <w:pStyle w:val="Heading7"/>
        <w:spacing w:before="116"/>
      </w:pPr>
      <w:r>
        <w:rPr>
          <w:color w:val="6D6D6C"/>
        </w:rPr>
        <w:t>Comparison to Budget and 30 June 2017</w:t>
      </w:r>
    </w:p>
    <w:p w:rsidR="006C17CB" w:rsidRDefault="0030091C">
      <w:pPr>
        <w:pStyle w:val="BodyText"/>
        <w:spacing w:before="101" w:line="189" w:lineRule="auto"/>
        <w:ind w:left="153" w:right="1112"/>
      </w:pPr>
      <w:r>
        <w:t>Total assets of $28.857m at 30 June 2018 were less than budget by $4.290m (12.94 percent) due to the revaluation decrement in the value of Assembly building at 30 June 2017 not being anticipated in the budget.</w:t>
      </w:r>
    </w:p>
    <w:p w:rsidR="006C17CB" w:rsidRDefault="0030091C">
      <w:pPr>
        <w:pStyle w:val="BodyText"/>
        <w:spacing w:before="58"/>
        <w:ind w:left="153"/>
      </w:pPr>
      <w:r>
        <w:t>Total assets of $28.857m at 30 June 2018 were consistent with the prior year of $28.545m.</w:t>
      </w:r>
    </w:p>
    <w:p w:rsidR="006C17CB" w:rsidRDefault="006C17CB">
      <w:pPr>
        <w:pStyle w:val="BodyText"/>
        <w:spacing w:before="2"/>
        <w:rPr>
          <w:sz w:val="15"/>
        </w:rPr>
      </w:pPr>
    </w:p>
    <w:p w:rsidR="006C17CB" w:rsidRDefault="0030091C">
      <w:pPr>
        <w:pStyle w:val="Heading7"/>
      </w:pPr>
      <w:r>
        <w:rPr>
          <w:color w:val="6D6D6C"/>
        </w:rPr>
        <w:t>Future trends</w:t>
      </w:r>
    </w:p>
    <w:p w:rsidR="006C17CB" w:rsidRDefault="0030091C">
      <w:pPr>
        <w:pStyle w:val="BodyText"/>
        <w:spacing w:before="100" w:line="189" w:lineRule="auto"/>
        <w:ind w:left="153" w:right="1177"/>
      </w:pPr>
      <w:r>
        <w:t>The value of Territorial assets are expected to increase with the capital funding for the double glazing of the windows in the Assembly building and annual capital expenditure from Better Infrastructure Funding.</w:t>
      </w:r>
    </w:p>
    <w:p w:rsidR="006C17CB" w:rsidRDefault="006C17CB">
      <w:pPr>
        <w:pStyle w:val="BodyText"/>
        <w:rPr>
          <w:sz w:val="15"/>
        </w:rPr>
      </w:pPr>
    </w:p>
    <w:p w:rsidR="006C17CB" w:rsidRDefault="0030091C">
      <w:pPr>
        <w:ind w:left="153"/>
        <w:rPr>
          <w:rFonts w:ascii="Montserrat"/>
          <w:sz w:val="19"/>
        </w:rPr>
      </w:pPr>
      <w:r>
        <w:rPr>
          <w:rFonts w:ascii="Montserrat"/>
          <w:sz w:val="19"/>
        </w:rPr>
        <w:t>TOTAL LIABILITIES</w:t>
      </w:r>
    </w:p>
    <w:p w:rsidR="006C17CB" w:rsidRDefault="0030091C">
      <w:pPr>
        <w:pStyle w:val="Heading7"/>
        <w:spacing w:before="116"/>
      </w:pPr>
      <w:r>
        <w:rPr>
          <w:color w:val="6D6D6C"/>
        </w:rPr>
        <w:t>Comparison to Budget and 30 June 2017</w:t>
      </w:r>
    </w:p>
    <w:p w:rsidR="006C17CB" w:rsidRDefault="0030091C">
      <w:pPr>
        <w:pStyle w:val="BodyText"/>
        <w:spacing w:before="101" w:line="189" w:lineRule="auto"/>
        <w:ind w:left="153" w:right="1254"/>
      </w:pPr>
      <w:r>
        <w:rPr>
          <w:spacing w:val="-4"/>
        </w:rPr>
        <w:t xml:space="preserve">Total </w:t>
      </w:r>
      <w:r>
        <w:t xml:space="preserve">liabilities of </w:t>
      </w:r>
      <w:r>
        <w:rPr>
          <w:spacing w:val="-3"/>
        </w:rPr>
        <w:t xml:space="preserve">$0.532m </w:t>
      </w:r>
      <w:r>
        <w:t xml:space="preserve">at 30 June </w:t>
      </w:r>
      <w:r>
        <w:rPr>
          <w:spacing w:val="-3"/>
        </w:rPr>
        <w:t xml:space="preserve">2018 </w:t>
      </w:r>
      <w:r>
        <w:t xml:space="preserve">were less than budget by </w:t>
      </w:r>
      <w:r>
        <w:rPr>
          <w:spacing w:val="-3"/>
        </w:rPr>
        <w:t xml:space="preserve">$0.331m (38.4 </w:t>
      </w:r>
      <w:r>
        <w:t>percent) mainly because employee benefit liabilities were lower than expected.</w:t>
      </w:r>
    </w:p>
    <w:p w:rsidR="006C17CB" w:rsidRDefault="0030091C">
      <w:pPr>
        <w:pStyle w:val="BodyText"/>
        <w:spacing w:before="112" w:line="189" w:lineRule="auto"/>
        <w:ind w:left="153" w:right="1177"/>
      </w:pPr>
      <w:r>
        <w:t>Total liabilities of $0.532m at 30 June 2018 were higher than prior year by $0.111m (26.4 percent) mainly due to higher employee entitlements representing the full year impact of the enlargement of the Assembly to 25 Members.</w:t>
      </w:r>
    </w:p>
    <w:p w:rsidR="006C17CB" w:rsidRDefault="006C17CB">
      <w:pPr>
        <w:pStyle w:val="BodyText"/>
        <w:spacing w:before="13"/>
        <w:rPr>
          <w:sz w:val="15"/>
        </w:rPr>
      </w:pPr>
    </w:p>
    <w:p w:rsidR="006C17CB" w:rsidRDefault="0030091C">
      <w:pPr>
        <w:pStyle w:val="Heading7"/>
      </w:pPr>
      <w:r>
        <w:rPr>
          <w:color w:val="6D6D6C"/>
        </w:rPr>
        <w:t>Future Trends</w:t>
      </w:r>
    </w:p>
    <w:p w:rsidR="006C17CB" w:rsidRDefault="0030091C">
      <w:pPr>
        <w:pStyle w:val="BodyText"/>
        <w:spacing w:before="101" w:line="189" w:lineRule="auto"/>
        <w:ind w:left="153" w:right="3034"/>
      </w:pPr>
      <w:r>
        <w:t>It is likely that there will be an increase in Territorial employee benefit liabilities once all non-Executive members recruit their full complement of staff for their offices.</w:t>
      </w:r>
    </w:p>
    <w:p w:rsidR="006C17CB" w:rsidRDefault="006C17CB">
      <w:pPr>
        <w:spacing w:line="189" w:lineRule="auto"/>
        <w:sectPr w:rsidR="006C17CB">
          <w:headerReference w:type="default" r:id="rId135"/>
          <w:footerReference w:type="even" r:id="rId136"/>
          <w:footerReference w:type="default" r:id="rId137"/>
          <w:pgSz w:w="11910" w:h="16840"/>
          <w:pgMar w:top="1580" w:right="0" w:bottom="740" w:left="980" w:header="0" w:footer="551" w:gutter="0"/>
          <w:pgNumType w:start="85"/>
          <w:cols w:space="720"/>
        </w:sectPr>
      </w:pPr>
    </w:p>
    <w:p w:rsidR="006C17CB" w:rsidRDefault="00FE24A7">
      <w:pPr>
        <w:pStyle w:val="BodyText"/>
        <w:rPr>
          <w:sz w:val="20"/>
        </w:rPr>
      </w:pPr>
      <w:r>
        <w:pict>
          <v:group id="_x0000_s1492" alt="" style="position:absolute;margin-left:56.2pt;margin-top:56.2pt;width:482.9pt;height:729.55pt;z-index:-476776;mso-position-horizontal-relative:page;mso-position-vertical-relative:page" coordorigin="1124,1124" coordsize="9658,14591">
            <v:shape id="_x0000_s1493" type="#_x0000_t75" alt="" style="position:absolute;left:2961;top:1775;width:5950;height:830">
              <v:imagedata r:id="rId138" o:title=""/>
            </v:shape>
            <v:shape id="_x0000_s1494" type="#_x0000_t75" alt="" style="position:absolute;left:2960;top:14536;width:5817;height:969">
              <v:imagedata r:id="rId139" o:title=""/>
            </v:shape>
            <v:rect id="_x0000_s1495" alt="" style="position:absolute;left:1133;top:1133;width:9638;height:14571" filled="f" strokecolor="#dadada" strokeweight="1pt"/>
            <w10:wrap anchorx="page" anchory="page"/>
          </v:group>
        </w:pict>
      </w: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rPr>
          <w:sz w:val="20"/>
        </w:rPr>
      </w:pPr>
    </w:p>
    <w:p w:rsidR="006C17CB" w:rsidRDefault="006C17CB">
      <w:pPr>
        <w:pStyle w:val="BodyText"/>
        <w:spacing w:before="9"/>
        <w:rPr>
          <w:sz w:val="25"/>
        </w:rPr>
      </w:pPr>
    </w:p>
    <w:p w:rsidR="006C17CB" w:rsidRDefault="0030091C">
      <w:pPr>
        <w:spacing w:before="16" w:line="350" w:lineRule="auto"/>
        <w:ind w:left="3233" w:right="4126" w:firstLine="397"/>
        <w:rPr>
          <w:rFonts w:ascii="Calibri"/>
          <w:b/>
          <w:sz w:val="21"/>
        </w:rPr>
      </w:pPr>
      <w:r>
        <w:rPr>
          <w:rFonts w:ascii="Calibri"/>
          <w:b/>
          <w:w w:val="105"/>
          <w:sz w:val="21"/>
        </w:rPr>
        <w:t>INDEPENDENT AUDIT REPORT OFFICE OF THE LEGISLATIVE ASSEMBLY</w:t>
      </w:r>
    </w:p>
    <w:p w:rsidR="006C17CB" w:rsidRDefault="0030091C">
      <w:pPr>
        <w:spacing w:before="3" w:line="350" w:lineRule="auto"/>
        <w:ind w:left="1022" w:right="5488"/>
        <w:rPr>
          <w:rFonts w:ascii="Calibri"/>
          <w:b/>
          <w:sz w:val="21"/>
        </w:rPr>
      </w:pPr>
      <w:r>
        <w:rPr>
          <w:rFonts w:ascii="Calibri"/>
          <w:b/>
          <w:w w:val="105"/>
          <w:sz w:val="21"/>
        </w:rPr>
        <w:t>To</w:t>
      </w:r>
      <w:r>
        <w:rPr>
          <w:rFonts w:ascii="Calibri"/>
          <w:b/>
          <w:spacing w:val="-14"/>
          <w:w w:val="105"/>
          <w:sz w:val="21"/>
        </w:rPr>
        <w:t xml:space="preserve"> </w:t>
      </w:r>
      <w:r>
        <w:rPr>
          <w:rFonts w:ascii="Calibri"/>
          <w:b/>
          <w:w w:val="105"/>
          <w:sz w:val="21"/>
        </w:rPr>
        <w:t>the</w:t>
      </w:r>
      <w:r>
        <w:rPr>
          <w:rFonts w:ascii="Calibri"/>
          <w:b/>
          <w:spacing w:val="-15"/>
          <w:w w:val="105"/>
          <w:sz w:val="21"/>
        </w:rPr>
        <w:t xml:space="preserve"> </w:t>
      </w:r>
      <w:r>
        <w:rPr>
          <w:rFonts w:ascii="Calibri"/>
          <w:b/>
          <w:w w:val="105"/>
          <w:sz w:val="21"/>
        </w:rPr>
        <w:t>Members</w:t>
      </w:r>
      <w:r>
        <w:rPr>
          <w:rFonts w:ascii="Calibri"/>
          <w:b/>
          <w:spacing w:val="-14"/>
          <w:w w:val="105"/>
          <w:sz w:val="21"/>
        </w:rPr>
        <w:t xml:space="preserve"> </w:t>
      </w:r>
      <w:r>
        <w:rPr>
          <w:rFonts w:ascii="Calibri"/>
          <w:b/>
          <w:w w:val="105"/>
          <w:sz w:val="21"/>
        </w:rPr>
        <w:t>of</w:t>
      </w:r>
      <w:r>
        <w:rPr>
          <w:rFonts w:ascii="Calibri"/>
          <w:b/>
          <w:spacing w:val="-16"/>
          <w:w w:val="105"/>
          <w:sz w:val="21"/>
        </w:rPr>
        <w:t xml:space="preserve"> </w:t>
      </w:r>
      <w:r>
        <w:rPr>
          <w:rFonts w:ascii="Calibri"/>
          <w:b/>
          <w:w w:val="105"/>
          <w:sz w:val="21"/>
        </w:rPr>
        <w:t>the</w:t>
      </w:r>
      <w:r>
        <w:rPr>
          <w:rFonts w:ascii="Calibri"/>
          <w:b/>
          <w:spacing w:val="-17"/>
          <w:w w:val="105"/>
          <w:sz w:val="21"/>
        </w:rPr>
        <w:t xml:space="preserve"> </w:t>
      </w:r>
      <w:r>
        <w:rPr>
          <w:rFonts w:ascii="Calibri"/>
          <w:b/>
          <w:w w:val="105"/>
          <w:sz w:val="21"/>
        </w:rPr>
        <w:t>ACT</w:t>
      </w:r>
      <w:r>
        <w:rPr>
          <w:rFonts w:ascii="Calibri"/>
          <w:b/>
          <w:spacing w:val="-14"/>
          <w:w w:val="105"/>
          <w:sz w:val="21"/>
        </w:rPr>
        <w:t xml:space="preserve"> </w:t>
      </w:r>
      <w:r>
        <w:rPr>
          <w:rFonts w:ascii="Calibri"/>
          <w:b/>
          <w:w w:val="105"/>
          <w:sz w:val="21"/>
        </w:rPr>
        <w:t>Legislative</w:t>
      </w:r>
      <w:r>
        <w:rPr>
          <w:rFonts w:ascii="Calibri"/>
          <w:b/>
          <w:spacing w:val="-15"/>
          <w:w w:val="105"/>
          <w:sz w:val="21"/>
        </w:rPr>
        <w:t xml:space="preserve"> </w:t>
      </w:r>
      <w:r>
        <w:rPr>
          <w:rFonts w:ascii="Calibri"/>
          <w:b/>
          <w:w w:val="105"/>
          <w:sz w:val="21"/>
        </w:rPr>
        <w:t>Assembly Audit</w:t>
      </w:r>
      <w:r>
        <w:rPr>
          <w:rFonts w:ascii="Calibri"/>
          <w:b/>
          <w:spacing w:val="-1"/>
          <w:w w:val="105"/>
          <w:sz w:val="21"/>
        </w:rPr>
        <w:t xml:space="preserve"> </w:t>
      </w:r>
      <w:r>
        <w:rPr>
          <w:rFonts w:ascii="Calibri"/>
          <w:b/>
          <w:w w:val="105"/>
          <w:sz w:val="21"/>
        </w:rPr>
        <w:t>opinion</w:t>
      </w:r>
    </w:p>
    <w:p w:rsidR="006C17CB" w:rsidRDefault="0030091C">
      <w:pPr>
        <w:spacing w:line="215" w:lineRule="exact"/>
        <w:ind w:left="1022"/>
        <w:rPr>
          <w:rFonts w:ascii="Calibri"/>
          <w:sz w:val="21"/>
        </w:rPr>
      </w:pPr>
      <w:r>
        <w:rPr>
          <w:rFonts w:ascii="Calibri"/>
          <w:w w:val="105"/>
          <w:sz w:val="21"/>
        </w:rPr>
        <w:t xml:space="preserve">I am providing an </w:t>
      </w:r>
      <w:r>
        <w:rPr>
          <w:rFonts w:ascii="Calibri"/>
          <w:b/>
          <w:w w:val="105"/>
          <w:sz w:val="21"/>
        </w:rPr>
        <w:t xml:space="preserve">unqualified audit opinion </w:t>
      </w:r>
      <w:r>
        <w:rPr>
          <w:rFonts w:ascii="Calibri"/>
          <w:w w:val="105"/>
          <w:sz w:val="21"/>
        </w:rPr>
        <w:t>on the financial statements of the Office of the</w:t>
      </w:r>
    </w:p>
    <w:p w:rsidR="006C17CB" w:rsidRDefault="0030091C">
      <w:pPr>
        <w:spacing w:before="14" w:line="208" w:lineRule="auto"/>
        <w:ind w:left="1022" w:right="1948"/>
        <w:rPr>
          <w:rFonts w:ascii="Calibri"/>
          <w:sz w:val="21"/>
        </w:rPr>
      </w:pPr>
      <w:r>
        <w:rPr>
          <w:rFonts w:ascii="Calibri"/>
          <w:w w:val="105"/>
          <w:sz w:val="21"/>
        </w:rPr>
        <w:t>Legislative Assembly for the year ended 30 June 2018. These comprise the following financial statements and accompanying notes:</w:t>
      </w:r>
    </w:p>
    <w:p w:rsidR="006C17CB" w:rsidRDefault="006C17CB">
      <w:pPr>
        <w:pStyle w:val="BodyText"/>
        <w:spacing w:before="11"/>
        <w:rPr>
          <w:rFonts w:ascii="Calibri"/>
          <w:sz w:val="15"/>
        </w:rPr>
      </w:pPr>
    </w:p>
    <w:p w:rsidR="006C17CB" w:rsidRDefault="0030091C">
      <w:pPr>
        <w:pStyle w:val="ListParagraph"/>
        <w:numPr>
          <w:ilvl w:val="2"/>
          <w:numId w:val="18"/>
        </w:numPr>
        <w:tabs>
          <w:tab w:val="left" w:pos="1532"/>
        </w:tabs>
        <w:spacing w:line="208" w:lineRule="auto"/>
        <w:ind w:right="1996" w:hanging="509"/>
        <w:jc w:val="both"/>
        <w:rPr>
          <w:rFonts w:ascii="Arial" w:hAnsi="Arial"/>
          <w:sz w:val="21"/>
        </w:rPr>
      </w:pPr>
      <w:r>
        <w:rPr>
          <w:rFonts w:ascii="Calibri" w:hAnsi="Calibri"/>
          <w:w w:val="105"/>
          <w:sz w:val="21"/>
        </w:rPr>
        <w:t>Controlled</w:t>
      </w:r>
      <w:r>
        <w:rPr>
          <w:rFonts w:ascii="Calibri" w:hAnsi="Calibri"/>
          <w:spacing w:val="-11"/>
          <w:w w:val="105"/>
          <w:sz w:val="21"/>
        </w:rPr>
        <w:t xml:space="preserve"> </w:t>
      </w:r>
      <w:r>
        <w:rPr>
          <w:rFonts w:ascii="Calibri" w:hAnsi="Calibri"/>
          <w:w w:val="105"/>
          <w:sz w:val="21"/>
        </w:rPr>
        <w:t>financial</w:t>
      </w:r>
      <w:r>
        <w:rPr>
          <w:rFonts w:ascii="Calibri" w:hAnsi="Calibri"/>
          <w:spacing w:val="-12"/>
          <w:w w:val="105"/>
          <w:sz w:val="21"/>
        </w:rPr>
        <w:t xml:space="preserve"> </w:t>
      </w:r>
      <w:r>
        <w:rPr>
          <w:rFonts w:ascii="Calibri" w:hAnsi="Calibri"/>
          <w:w w:val="105"/>
          <w:sz w:val="21"/>
        </w:rPr>
        <w:t>statements</w:t>
      </w:r>
      <w:r>
        <w:rPr>
          <w:rFonts w:ascii="Calibri" w:hAnsi="Calibri"/>
          <w:spacing w:val="-11"/>
          <w:w w:val="105"/>
          <w:sz w:val="21"/>
        </w:rPr>
        <w:t xml:space="preserve"> </w:t>
      </w:r>
      <w:r>
        <w:rPr>
          <w:rFonts w:ascii="Calibri" w:hAnsi="Calibri"/>
          <w:w w:val="105"/>
          <w:sz w:val="21"/>
        </w:rPr>
        <w:t>–</w:t>
      </w:r>
      <w:r>
        <w:rPr>
          <w:rFonts w:ascii="Calibri" w:hAnsi="Calibri"/>
          <w:spacing w:val="-11"/>
          <w:w w:val="105"/>
          <w:sz w:val="21"/>
        </w:rPr>
        <w:t xml:space="preserve"> </w:t>
      </w:r>
      <w:r>
        <w:rPr>
          <w:rFonts w:ascii="Calibri" w:hAnsi="Calibri"/>
          <w:w w:val="105"/>
          <w:sz w:val="21"/>
        </w:rPr>
        <w:t>operating</w:t>
      </w:r>
      <w:r>
        <w:rPr>
          <w:rFonts w:ascii="Calibri" w:hAnsi="Calibri"/>
          <w:spacing w:val="-11"/>
          <w:w w:val="105"/>
          <w:sz w:val="21"/>
        </w:rPr>
        <w:t xml:space="preserve"> </w:t>
      </w:r>
      <w:r>
        <w:rPr>
          <w:rFonts w:ascii="Calibri" w:hAnsi="Calibri"/>
          <w:w w:val="105"/>
          <w:sz w:val="21"/>
        </w:rPr>
        <w:t>statement,</w:t>
      </w:r>
      <w:r>
        <w:rPr>
          <w:rFonts w:ascii="Calibri" w:hAnsi="Calibri"/>
          <w:spacing w:val="-12"/>
          <w:w w:val="105"/>
          <w:sz w:val="21"/>
        </w:rPr>
        <w:t xml:space="preserve"> </w:t>
      </w:r>
      <w:r>
        <w:rPr>
          <w:rFonts w:ascii="Calibri" w:hAnsi="Calibri"/>
          <w:w w:val="105"/>
          <w:sz w:val="21"/>
        </w:rPr>
        <w:t>balance</w:t>
      </w:r>
      <w:r>
        <w:rPr>
          <w:rFonts w:ascii="Calibri" w:hAnsi="Calibri"/>
          <w:spacing w:val="-11"/>
          <w:w w:val="105"/>
          <w:sz w:val="21"/>
        </w:rPr>
        <w:t xml:space="preserve"> </w:t>
      </w:r>
      <w:r>
        <w:rPr>
          <w:rFonts w:ascii="Calibri" w:hAnsi="Calibri"/>
          <w:w w:val="105"/>
          <w:sz w:val="21"/>
        </w:rPr>
        <w:t>sheet,</w:t>
      </w:r>
      <w:r>
        <w:rPr>
          <w:rFonts w:ascii="Calibri" w:hAnsi="Calibri"/>
          <w:spacing w:val="-12"/>
          <w:w w:val="105"/>
          <w:sz w:val="21"/>
        </w:rPr>
        <w:t xml:space="preserve"> </w:t>
      </w:r>
      <w:r>
        <w:rPr>
          <w:rFonts w:ascii="Calibri" w:hAnsi="Calibri"/>
          <w:w w:val="105"/>
          <w:sz w:val="21"/>
        </w:rPr>
        <w:t>statement</w:t>
      </w:r>
      <w:r>
        <w:rPr>
          <w:rFonts w:ascii="Calibri" w:hAnsi="Calibri"/>
          <w:spacing w:val="-11"/>
          <w:w w:val="105"/>
          <w:sz w:val="21"/>
        </w:rPr>
        <w:t xml:space="preserve"> </w:t>
      </w:r>
      <w:r>
        <w:rPr>
          <w:rFonts w:ascii="Calibri" w:hAnsi="Calibri"/>
          <w:w w:val="105"/>
          <w:sz w:val="21"/>
        </w:rPr>
        <w:t>of changes</w:t>
      </w:r>
      <w:r>
        <w:rPr>
          <w:rFonts w:ascii="Calibri" w:hAnsi="Calibri"/>
          <w:spacing w:val="-14"/>
          <w:w w:val="105"/>
          <w:sz w:val="21"/>
        </w:rPr>
        <w:t xml:space="preserve"> </w:t>
      </w:r>
      <w:r>
        <w:rPr>
          <w:rFonts w:ascii="Calibri" w:hAnsi="Calibri"/>
          <w:w w:val="105"/>
          <w:sz w:val="21"/>
        </w:rPr>
        <w:t>in</w:t>
      </w:r>
      <w:r>
        <w:rPr>
          <w:rFonts w:ascii="Calibri" w:hAnsi="Calibri"/>
          <w:spacing w:val="-13"/>
          <w:w w:val="105"/>
          <w:sz w:val="21"/>
        </w:rPr>
        <w:t xml:space="preserve"> </w:t>
      </w:r>
      <w:r>
        <w:rPr>
          <w:rFonts w:ascii="Calibri" w:hAnsi="Calibri"/>
          <w:w w:val="105"/>
          <w:sz w:val="21"/>
        </w:rPr>
        <w:t>equity,</w:t>
      </w:r>
      <w:r>
        <w:rPr>
          <w:rFonts w:ascii="Calibri" w:hAnsi="Calibri"/>
          <w:spacing w:val="-14"/>
          <w:w w:val="105"/>
          <w:sz w:val="21"/>
        </w:rPr>
        <w:t xml:space="preserve"> </w:t>
      </w:r>
      <w:r>
        <w:rPr>
          <w:rFonts w:ascii="Calibri" w:hAnsi="Calibri"/>
          <w:w w:val="105"/>
          <w:sz w:val="21"/>
        </w:rPr>
        <w:t>cash</w:t>
      </w:r>
      <w:r>
        <w:rPr>
          <w:rFonts w:ascii="Calibri" w:hAnsi="Calibri"/>
          <w:spacing w:val="-15"/>
          <w:w w:val="105"/>
          <w:sz w:val="21"/>
        </w:rPr>
        <w:t xml:space="preserve"> </w:t>
      </w:r>
      <w:r>
        <w:rPr>
          <w:rFonts w:ascii="Calibri" w:hAnsi="Calibri"/>
          <w:w w:val="105"/>
          <w:sz w:val="21"/>
        </w:rPr>
        <w:t>flow</w:t>
      </w:r>
      <w:r>
        <w:rPr>
          <w:rFonts w:ascii="Calibri" w:hAnsi="Calibri"/>
          <w:spacing w:val="-14"/>
          <w:w w:val="105"/>
          <w:sz w:val="21"/>
        </w:rPr>
        <w:t xml:space="preserve"> </w:t>
      </w:r>
      <w:r>
        <w:rPr>
          <w:rFonts w:ascii="Calibri" w:hAnsi="Calibri"/>
          <w:w w:val="105"/>
          <w:sz w:val="21"/>
        </w:rPr>
        <w:t>statement</w:t>
      </w:r>
      <w:r>
        <w:rPr>
          <w:rFonts w:ascii="Calibri" w:hAnsi="Calibri"/>
          <w:spacing w:val="-13"/>
          <w:w w:val="105"/>
          <w:sz w:val="21"/>
        </w:rPr>
        <w:t xml:space="preserve"> </w:t>
      </w:r>
      <w:r>
        <w:rPr>
          <w:rFonts w:ascii="Calibri" w:hAnsi="Calibri"/>
          <w:w w:val="105"/>
          <w:sz w:val="21"/>
        </w:rPr>
        <w:t>and</w:t>
      </w:r>
      <w:r>
        <w:rPr>
          <w:rFonts w:ascii="Calibri" w:hAnsi="Calibri"/>
          <w:spacing w:val="-13"/>
          <w:w w:val="105"/>
          <w:sz w:val="21"/>
        </w:rPr>
        <w:t xml:space="preserve"> </w:t>
      </w:r>
      <w:r>
        <w:rPr>
          <w:rFonts w:ascii="Calibri" w:hAnsi="Calibri"/>
          <w:w w:val="105"/>
          <w:sz w:val="21"/>
        </w:rPr>
        <w:t>controlled</w:t>
      </w:r>
      <w:r>
        <w:rPr>
          <w:rFonts w:ascii="Calibri" w:hAnsi="Calibri"/>
          <w:spacing w:val="-12"/>
          <w:w w:val="105"/>
          <w:sz w:val="21"/>
        </w:rPr>
        <w:t xml:space="preserve"> </w:t>
      </w:r>
      <w:r>
        <w:rPr>
          <w:rFonts w:ascii="Calibri" w:hAnsi="Calibri"/>
          <w:w w:val="105"/>
          <w:sz w:val="21"/>
        </w:rPr>
        <w:t>statement</w:t>
      </w:r>
      <w:r>
        <w:rPr>
          <w:rFonts w:ascii="Calibri" w:hAnsi="Calibri"/>
          <w:spacing w:val="-14"/>
          <w:w w:val="105"/>
          <w:sz w:val="21"/>
        </w:rPr>
        <w:t xml:space="preserve"> </w:t>
      </w:r>
      <w:r>
        <w:rPr>
          <w:rFonts w:ascii="Calibri" w:hAnsi="Calibri"/>
          <w:w w:val="105"/>
          <w:sz w:val="21"/>
        </w:rPr>
        <w:t>of</w:t>
      </w:r>
      <w:r>
        <w:rPr>
          <w:rFonts w:ascii="Calibri" w:hAnsi="Calibri"/>
          <w:spacing w:val="-14"/>
          <w:w w:val="105"/>
          <w:sz w:val="21"/>
        </w:rPr>
        <w:t xml:space="preserve"> </w:t>
      </w:r>
      <w:r>
        <w:rPr>
          <w:rFonts w:ascii="Calibri" w:hAnsi="Calibri"/>
          <w:w w:val="105"/>
          <w:sz w:val="21"/>
        </w:rPr>
        <w:t>appropriation.</w:t>
      </w:r>
    </w:p>
    <w:p w:rsidR="006C17CB" w:rsidRDefault="0030091C">
      <w:pPr>
        <w:pStyle w:val="ListParagraph"/>
        <w:numPr>
          <w:ilvl w:val="2"/>
          <w:numId w:val="18"/>
        </w:numPr>
        <w:tabs>
          <w:tab w:val="left" w:pos="1532"/>
        </w:tabs>
        <w:spacing w:before="119" w:line="208" w:lineRule="auto"/>
        <w:ind w:right="1996" w:hanging="509"/>
        <w:jc w:val="both"/>
        <w:rPr>
          <w:rFonts w:ascii="Arial" w:hAnsi="Arial"/>
          <w:sz w:val="21"/>
        </w:rPr>
      </w:pPr>
      <w:r>
        <w:rPr>
          <w:rFonts w:ascii="Calibri" w:hAnsi="Calibri"/>
          <w:w w:val="105"/>
          <w:sz w:val="21"/>
        </w:rPr>
        <w:t>Territorial</w:t>
      </w:r>
      <w:r>
        <w:rPr>
          <w:rFonts w:ascii="Calibri" w:hAnsi="Calibri"/>
          <w:spacing w:val="-18"/>
          <w:w w:val="105"/>
          <w:sz w:val="21"/>
        </w:rPr>
        <w:t xml:space="preserve"> </w:t>
      </w:r>
      <w:r>
        <w:rPr>
          <w:rFonts w:ascii="Calibri" w:hAnsi="Calibri"/>
          <w:w w:val="105"/>
          <w:sz w:val="21"/>
        </w:rPr>
        <w:t>financial</w:t>
      </w:r>
      <w:r>
        <w:rPr>
          <w:rFonts w:ascii="Calibri" w:hAnsi="Calibri"/>
          <w:spacing w:val="-19"/>
          <w:w w:val="105"/>
          <w:sz w:val="21"/>
        </w:rPr>
        <w:t xml:space="preserve"> </w:t>
      </w:r>
      <w:r>
        <w:rPr>
          <w:rFonts w:ascii="Calibri" w:hAnsi="Calibri"/>
          <w:w w:val="105"/>
          <w:sz w:val="21"/>
        </w:rPr>
        <w:t>statements</w:t>
      </w:r>
      <w:r>
        <w:rPr>
          <w:rFonts w:ascii="Calibri" w:hAnsi="Calibri"/>
          <w:spacing w:val="-19"/>
          <w:w w:val="105"/>
          <w:sz w:val="21"/>
        </w:rPr>
        <w:t xml:space="preserve"> </w:t>
      </w:r>
      <w:r>
        <w:rPr>
          <w:rFonts w:ascii="Calibri" w:hAnsi="Calibri"/>
          <w:w w:val="105"/>
          <w:sz w:val="21"/>
        </w:rPr>
        <w:t>–</w:t>
      </w:r>
      <w:r>
        <w:rPr>
          <w:rFonts w:ascii="Calibri" w:hAnsi="Calibri"/>
          <w:spacing w:val="-19"/>
          <w:w w:val="105"/>
          <w:sz w:val="21"/>
        </w:rPr>
        <w:t xml:space="preserve"> </w:t>
      </w:r>
      <w:r>
        <w:rPr>
          <w:rFonts w:ascii="Calibri" w:hAnsi="Calibri"/>
          <w:w w:val="105"/>
          <w:sz w:val="21"/>
        </w:rPr>
        <w:t>statement</w:t>
      </w:r>
      <w:r>
        <w:rPr>
          <w:rFonts w:ascii="Calibri" w:hAnsi="Calibri"/>
          <w:spacing w:val="-18"/>
          <w:w w:val="105"/>
          <w:sz w:val="21"/>
        </w:rPr>
        <w:t xml:space="preserve"> </w:t>
      </w:r>
      <w:r>
        <w:rPr>
          <w:rFonts w:ascii="Calibri" w:hAnsi="Calibri"/>
          <w:w w:val="105"/>
          <w:sz w:val="21"/>
        </w:rPr>
        <w:t>of</w:t>
      </w:r>
      <w:r>
        <w:rPr>
          <w:rFonts w:ascii="Calibri" w:hAnsi="Calibri"/>
          <w:spacing w:val="-18"/>
          <w:w w:val="105"/>
          <w:sz w:val="21"/>
        </w:rPr>
        <w:t xml:space="preserve"> </w:t>
      </w:r>
      <w:r>
        <w:rPr>
          <w:rFonts w:ascii="Calibri" w:hAnsi="Calibri"/>
          <w:w w:val="105"/>
          <w:sz w:val="21"/>
        </w:rPr>
        <w:t>income</w:t>
      </w:r>
      <w:r>
        <w:rPr>
          <w:rFonts w:ascii="Calibri" w:hAnsi="Calibri"/>
          <w:spacing w:val="-18"/>
          <w:w w:val="105"/>
          <w:sz w:val="21"/>
        </w:rPr>
        <w:t xml:space="preserve"> </w:t>
      </w:r>
      <w:r>
        <w:rPr>
          <w:rFonts w:ascii="Calibri" w:hAnsi="Calibri"/>
          <w:w w:val="105"/>
          <w:sz w:val="21"/>
        </w:rPr>
        <w:t>and</w:t>
      </w:r>
      <w:r>
        <w:rPr>
          <w:rFonts w:ascii="Calibri" w:hAnsi="Calibri"/>
          <w:spacing w:val="-20"/>
          <w:w w:val="105"/>
          <w:sz w:val="21"/>
        </w:rPr>
        <w:t xml:space="preserve"> </w:t>
      </w:r>
      <w:r>
        <w:rPr>
          <w:rFonts w:ascii="Calibri" w:hAnsi="Calibri"/>
          <w:w w:val="105"/>
          <w:sz w:val="21"/>
        </w:rPr>
        <w:t>expenses</w:t>
      </w:r>
      <w:r>
        <w:rPr>
          <w:rFonts w:ascii="Calibri" w:hAnsi="Calibri"/>
          <w:spacing w:val="-19"/>
          <w:w w:val="105"/>
          <w:sz w:val="21"/>
        </w:rPr>
        <w:t xml:space="preserve"> </w:t>
      </w:r>
      <w:r>
        <w:rPr>
          <w:rFonts w:ascii="Calibri" w:hAnsi="Calibri"/>
          <w:w w:val="105"/>
          <w:sz w:val="21"/>
        </w:rPr>
        <w:t>on</w:t>
      </w:r>
      <w:r>
        <w:rPr>
          <w:rFonts w:ascii="Calibri" w:hAnsi="Calibri"/>
          <w:spacing w:val="-18"/>
          <w:w w:val="105"/>
          <w:sz w:val="21"/>
        </w:rPr>
        <w:t xml:space="preserve"> </w:t>
      </w:r>
      <w:r>
        <w:rPr>
          <w:rFonts w:ascii="Calibri" w:hAnsi="Calibri"/>
          <w:w w:val="105"/>
          <w:sz w:val="21"/>
        </w:rPr>
        <w:t>behalf</w:t>
      </w:r>
      <w:r>
        <w:rPr>
          <w:rFonts w:ascii="Calibri" w:hAnsi="Calibri"/>
          <w:spacing w:val="-18"/>
          <w:w w:val="105"/>
          <w:sz w:val="21"/>
        </w:rPr>
        <w:t xml:space="preserve"> </w:t>
      </w:r>
      <w:r>
        <w:rPr>
          <w:rFonts w:ascii="Calibri" w:hAnsi="Calibri"/>
          <w:w w:val="105"/>
          <w:sz w:val="21"/>
        </w:rPr>
        <w:t>of</w:t>
      </w:r>
      <w:r>
        <w:rPr>
          <w:rFonts w:ascii="Calibri" w:hAnsi="Calibri"/>
          <w:spacing w:val="-18"/>
          <w:w w:val="105"/>
          <w:sz w:val="21"/>
        </w:rPr>
        <w:t xml:space="preserve"> </w:t>
      </w:r>
      <w:r>
        <w:rPr>
          <w:rFonts w:ascii="Calibri" w:hAnsi="Calibri"/>
          <w:w w:val="105"/>
          <w:sz w:val="21"/>
        </w:rPr>
        <w:t>the Territory,</w:t>
      </w:r>
      <w:r>
        <w:rPr>
          <w:rFonts w:ascii="Calibri" w:hAnsi="Calibri"/>
          <w:spacing w:val="-8"/>
          <w:w w:val="105"/>
          <w:sz w:val="21"/>
        </w:rPr>
        <w:t xml:space="preserve"> </w:t>
      </w:r>
      <w:r>
        <w:rPr>
          <w:rFonts w:ascii="Calibri" w:hAnsi="Calibri"/>
          <w:w w:val="105"/>
          <w:sz w:val="21"/>
        </w:rPr>
        <w:t>statement</w:t>
      </w:r>
      <w:r>
        <w:rPr>
          <w:rFonts w:ascii="Calibri" w:hAnsi="Calibri"/>
          <w:spacing w:val="-9"/>
          <w:w w:val="105"/>
          <w:sz w:val="21"/>
        </w:rPr>
        <w:t xml:space="preserve"> </w:t>
      </w:r>
      <w:r>
        <w:rPr>
          <w:rFonts w:ascii="Calibri" w:hAnsi="Calibri"/>
          <w:w w:val="105"/>
          <w:sz w:val="21"/>
        </w:rPr>
        <w:t>of</w:t>
      </w:r>
      <w:r>
        <w:rPr>
          <w:rFonts w:ascii="Calibri" w:hAnsi="Calibri"/>
          <w:spacing w:val="-7"/>
          <w:w w:val="105"/>
          <w:sz w:val="21"/>
        </w:rPr>
        <w:t xml:space="preserve"> </w:t>
      </w:r>
      <w:r>
        <w:rPr>
          <w:rFonts w:ascii="Calibri" w:hAnsi="Calibri"/>
          <w:w w:val="105"/>
          <w:sz w:val="21"/>
        </w:rPr>
        <w:t>assets</w:t>
      </w:r>
      <w:r>
        <w:rPr>
          <w:rFonts w:ascii="Calibri" w:hAnsi="Calibri"/>
          <w:spacing w:val="-8"/>
          <w:w w:val="105"/>
          <w:sz w:val="21"/>
        </w:rPr>
        <w:t xml:space="preserve"> </w:t>
      </w:r>
      <w:r>
        <w:rPr>
          <w:rFonts w:ascii="Calibri" w:hAnsi="Calibri"/>
          <w:w w:val="105"/>
          <w:sz w:val="21"/>
        </w:rPr>
        <w:t>and</w:t>
      </w:r>
      <w:r>
        <w:rPr>
          <w:rFonts w:ascii="Calibri" w:hAnsi="Calibri"/>
          <w:spacing w:val="-7"/>
          <w:w w:val="105"/>
          <w:sz w:val="21"/>
        </w:rPr>
        <w:t xml:space="preserve"> </w:t>
      </w:r>
      <w:r>
        <w:rPr>
          <w:rFonts w:ascii="Calibri" w:hAnsi="Calibri"/>
          <w:w w:val="105"/>
          <w:sz w:val="21"/>
        </w:rPr>
        <w:t>liabilities</w:t>
      </w:r>
      <w:r>
        <w:rPr>
          <w:rFonts w:ascii="Calibri" w:hAnsi="Calibri"/>
          <w:spacing w:val="-9"/>
          <w:w w:val="105"/>
          <w:sz w:val="21"/>
        </w:rPr>
        <w:t xml:space="preserve"> </w:t>
      </w:r>
      <w:r>
        <w:rPr>
          <w:rFonts w:ascii="Calibri" w:hAnsi="Calibri"/>
          <w:w w:val="105"/>
          <w:sz w:val="21"/>
        </w:rPr>
        <w:t>on</w:t>
      </w:r>
      <w:r>
        <w:rPr>
          <w:rFonts w:ascii="Calibri" w:hAnsi="Calibri"/>
          <w:spacing w:val="-9"/>
          <w:w w:val="105"/>
          <w:sz w:val="21"/>
        </w:rPr>
        <w:t xml:space="preserve"> </w:t>
      </w:r>
      <w:r>
        <w:rPr>
          <w:rFonts w:ascii="Calibri" w:hAnsi="Calibri"/>
          <w:w w:val="105"/>
          <w:sz w:val="21"/>
        </w:rPr>
        <w:t>behalf</w:t>
      </w:r>
      <w:r>
        <w:rPr>
          <w:rFonts w:ascii="Calibri" w:hAnsi="Calibri"/>
          <w:spacing w:val="-9"/>
          <w:w w:val="105"/>
          <w:sz w:val="21"/>
        </w:rPr>
        <w:t xml:space="preserve"> </w:t>
      </w:r>
      <w:r>
        <w:rPr>
          <w:rFonts w:ascii="Calibri" w:hAnsi="Calibri"/>
          <w:w w:val="105"/>
          <w:sz w:val="21"/>
        </w:rPr>
        <w:t>of</w:t>
      </w:r>
      <w:r>
        <w:rPr>
          <w:rFonts w:ascii="Calibri" w:hAnsi="Calibri"/>
          <w:spacing w:val="-9"/>
          <w:w w:val="105"/>
          <w:sz w:val="21"/>
        </w:rPr>
        <w:t xml:space="preserve"> </w:t>
      </w:r>
      <w:r>
        <w:rPr>
          <w:rFonts w:ascii="Calibri" w:hAnsi="Calibri"/>
          <w:w w:val="105"/>
          <w:sz w:val="21"/>
        </w:rPr>
        <w:t>the</w:t>
      </w:r>
      <w:r>
        <w:rPr>
          <w:rFonts w:ascii="Calibri" w:hAnsi="Calibri"/>
          <w:spacing w:val="-7"/>
          <w:w w:val="105"/>
          <w:sz w:val="21"/>
        </w:rPr>
        <w:t xml:space="preserve"> </w:t>
      </w:r>
      <w:r>
        <w:rPr>
          <w:rFonts w:ascii="Calibri" w:hAnsi="Calibri"/>
          <w:w w:val="105"/>
          <w:sz w:val="21"/>
        </w:rPr>
        <w:t>Territory,</w:t>
      </w:r>
      <w:r>
        <w:rPr>
          <w:rFonts w:ascii="Calibri" w:hAnsi="Calibri"/>
          <w:spacing w:val="-8"/>
          <w:w w:val="105"/>
          <w:sz w:val="21"/>
        </w:rPr>
        <w:t xml:space="preserve"> </w:t>
      </w:r>
      <w:r>
        <w:rPr>
          <w:rFonts w:ascii="Calibri" w:hAnsi="Calibri"/>
          <w:w w:val="105"/>
          <w:sz w:val="21"/>
        </w:rPr>
        <w:t>statement</w:t>
      </w:r>
      <w:r>
        <w:rPr>
          <w:rFonts w:ascii="Calibri" w:hAnsi="Calibri"/>
          <w:spacing w:val="-8"/>
          <w:w w:val="105"/>
          <w:sz w:val="21"/>
        </w:rPr>
        <w:t xml:space="preserve"> </w:t>
      </w:r>
      <w:r>
        <w:rPr>
          <w:rFonts w:ascii="Calibri" w:hAnsi="Calibri"/>
          <w:w w:val="105"/>
          <w:sz w:val="21"/>
        </w:rPr>
        <w:t>of changes in equity on behalf of the Territory, cash flow statement on behalf of the Territory and territorial statement of</w:t>
      </w:r>
      <w:r>
        <w:rPr>
          <w:rFonts w:ascii="Calibri" w:hAnsi="Calibri"/>
          <w:spacing w:val="-14"/>
          <w:w w:val="105"/>
          <w:sz w:val="21"/>
        </w:rPr>
        <w:t xml:space="preserve"> </w:t>
      </w:r>
      <w:r>
        <w:rPr>
          <w:rFonts w:ascii="Calibri" w:hAnsi="Calibri"/>
          <w:w w:val="105"/>
          <w:sz w:val="21"/>
        </w:rPr>
        <w:t>appropriation.</w:t>
      </w:r>
    </w:p>
    <w:p w:rsidR="006C17CB" w:rsidRDefault="0030091C">
      <w:pPr>
        <w:spacing w:before="79"/>
        <w:ind w:left="1022"/>
        <w:rPr>
          <w:rFonts w:ascii="Calibri"/>
          <w:sz w:val="21"/>
        </w:rPr>
      </w:pPr>
      <w:r>
        <w:rPr>
          <w:rFonts w:ascii="Calibri"/>
          <w:w w:val="105"/>
          <w:sz w:val="21"/>
        </w:rPr>
        <w:t>In my opinion, the financial statements:</w:t>
      </w:r>
    </w:p>
    <w:p w:rsidR="006C17CB" w:rsidRDefault="006C17CB">
      <w:pPr>
        <w:pStyle w:val="BodyText"/>
        <w:spacing w:before="7"/>
        <w:rPr>
          <w:rFonts w:ascii="Calibri"/>
          <w:sz w:val="14"/>
        </w:rPr>
      </w:pPr>
    </w:p>
    <w:p w:rsidR="006C17CB" w:rsidRDefault="0030091C">
      <w:pPr>
        <w:pStyle w:val="ListParagraph"/>
        <w:numPr>
          <w:ilvl w:val="0"/>
          <w:numId w:val="17"/>
        </w:numPr>
        <w:tabs>
          <w:tab w:val="left" w:pos="1532"/>
        </w:tabs>
        <w:spacing w:line="208" w:lineRule="auto"/>
        <w:ind w:right="1996" w:hanging="509"/>
        <w:jc w:val="both"/>
        <w:rPr>
          <w:rFonts w:ascii="Calibri"/>
          <w:sz w:val="21"/>
        </w:rPr>
      </w:pPr>
      <w:r>
        <w:rPr>
          <w:rFonts w:ascii="Calibri"/>
          <w:w w:val="105"/>
          <w:sz w:val="21"/>
        </w:rPr>
        <w:t xml:space="preserve">are presented in accordance with the </w:t>
      </w:r>
      <w:r>
        <w:rPr>
          <w:rFonts w:ascii="Calibri"/>
          <w:i/>
          <w:w w:val="105"/>
          <w:sz w:val="21"/>
        </w:rPr>
        <w:t>Financial Management Act 1996</w:t>
      </w:r>
      <w:r>
        <w:rPr>
          <w:rFonts w:ascii="Calibri"/>
          <w:w w:val="105"/>
          <w:sz w:val="21"/>
        </w:rPr>
        <w:t>, Australian Accounting Standards and other mandatory financial reporting requirements in Australia;</w:t>
      </w:r>
      <w:r>
        <w:rPr>
          <w:rFonts w:ascii="Calibri"/>
          <w:spacing w:val="-1"/>
          <w:w w:val="105"/>
          <w:sz w:val="21"/>
        </w:rPr>
        <w:t xml:space="preserve"> </w:t>
      </w:r>
      <w:r>
        <w:rPr>
          <w:rFonts w:ascii="Calibri"/>
          <w:w w:val="105"/>
          <w:sz w:val="21"/>
        </w:rPr>
        <w:t>and</w:t>
      </w:r>
    </w:p>
    <w:p w:rsidR="006C17CB" w:rsidRDefault="0030091C">
      <w:pPr>
        <w:pStyle w:val="ListParagraph"/>
        <w:numPr>
          <w:ilvl w:val="0"/>
          <w:numId w:val="17"/>
        </w:numPr>
        <w:tabs>
          <w:tab w:val="left" w:pos="1532"/>
        </w:tabs>
        <w:spacing w:before="108" w:line="208" w:lineRule="auto"/>
        <w:ind w:right="2000" w:hanging="509"/>
        <w:jc w:val="both"/>
        <w:rPr>
          <w:rFonts w:ascii="Calibri"/>
          <w:sz w:val="21"/>
        </w:rPr>
      </w:pPr>
      <w:r>
        <w:rPr>
          <w:rFonts w:ascii="Calibri"/>
          <w:w w:val="105"/>
          <w:sz w:val="21"/>
        </w:rPr>
        <w:t>present fairly the financial position of the Office of the Legislative Assembly and results of its operations and cash</w:t>
      </w:r>
      <w:r>
        <w:rPr>
          <w:rFonts w:ascii="Calibri"/>
          <w:spacing w:val="-16"/>
          <w:w w:val="105"/>
          <w:sz w:val="21"/>
        </w:rPr>
        <w:t xml:space="preserve"> </w:t>
      </w:r>
      <w:r>
        <w:rPr>
          <w:rFonts w:ascii="Calibri"/>
          <w:w w:val="105"/>
          <w:sz w:val="21"/>
        </w:rPr>
        <w:t>flows.</w:t>
      </w:r>
    </w:p>
    <w:p w:rsidR="006C17CB" w:rsidRDefault="0030091C">
      <w:pPr>
        <w:spacing w:before="148"/>
        <w:ind w:left="1022"/>
        <w:rPr>
          <w:rFonts w:ascii="Calibri"/>
          <w:b/>
          <w:sz w:val="21"/>
        </w:rPr>
      </w:pPr>
      <w:r>
        <w:rPr>
          <w:rFonts w:ascii="Calibri"/>
          <w:b/>
          <w:w w:val="105"/>
          <w:sz w:val="21"/>
        </w:rPr>
        <w:t>Basis for the audit opinion</w:t>
      </w:r>
    </w:p>
    <w:p w:rsidR="006C17CB" w:rsidRDefault="0030091C">
      <w:pPr>
        <w:spacing w:before="103" w:line="208" w:lineRule="auto"/>
        <w:ind w:left="1022" w:right="1996"/>
        <w:jc w:val="both"/>
        <w:rPr>
          <w:rFonts w:ascii="Calibri"/>
          <w:sz w:val="21"/>
        </w:rPr>
      </w:pPr>
      <w:r>
        <w:rPr>
          <w:rFonts w:ascii="Calibri"/>
          <w:w w:val="105"/>
          <w:sz w:val="21"/>
        </w:rPr>
        <w:t>The audit was conducted in accordance with the Australian Auditing Standards. I have complied</w:t>
      </w:r>
      <w:r>
        <w:rPr>
          <w:rFonts w:ascii="Calibri"/>
          <w:spacing w:val="-16"/>
          <w:w w:val="105"/>
          <w:sz w:val="21"/>
        </w:rPr>
        <w:t xml:space="preserve"> </w:t>
      </w:r>
      <w:r>
        <w:rPr>
          <w:rFonts w:ascii="Calibri"/>
          <w:w w:val="105"/>
          <w:sz w:val="21"/>
        </w:rPr>
        <w:t>with</w:t>
      </w:r>
      <w:r>
        <w:rPr>
          <w:rFonts w:ascii="Calibri"/>
          <w:spacing w:val="-16"/>
          <w:w w:val="105"/>
          <w:sz w:val="21"/>
        </w:rPr>
        <w:t xml:space="preserve"> </w:t>
      </w:r>
      <w:r>
        <w:rPr>
          <w:rFonts w:ascii="Calibri"/>
          <w:w w:val="105"/>
          <w:sz w:val="21"/>
        </w:rPr>
        <w:t>the</w:t>
      </w:r>
      <w:r>
        <w:rPr>
          <w:rFonts w:ascii="Calibri"/>
          <w:spacing w:val="-15"/>
          <w:w w:val="105"/>
          <w:sz w:val="21"/>
        </w:rPr>
        <w:t xml:space="preserve"> </w:t>
      </w:r>
      <w:r>
        <w:rPr>
          <w:rFonts w:ascii="Calibri"/>
          <w:w w:val="105"/>
          <w:sz w:val="21"/>
        </w:rPr>
        <w:t>requirements</w:t>
      </w:r>
      <w:r>
        <w:rPr>
          <w:rFonts w:ascii="Calibri"/>
          <w:spacing w:val="-15"/>
          <w:w w:val="105"/>
          <w:sz w:val="21"/>
        </w:rPr>
        <w:t xml:space="preserve"> </w:t>
      </w:r>
      <w:r>
        <w:rPr>
          <w:rFonts w:ascii="Calibri"/>
          <w:w w:val="105"/>
          <w:sz w:val="21"/>
        </w:rPr>
        <w:t>of</w:t>
      </w:r>
      <w:r>
        <w:rPr>
          <w:rFonts w:ascii="Calibri"/>
          <w:spacing w:val="-14"/>
          <w:w w:val="105"/>
          <w:sz w:val="21"/>
        </w:rPr>
        <w:t xml:space="preserve"> </w:t>
      </w:r>
      <w:r>
        <w:rPr>
          <w:rFonts w:ascii="Calibri"/>
          <w:w w:val="105"/>
          <w:sz w:val="21"/>
        </w:rPr>
        <w:t>the</w:t>
      </w:r>
      <w:r>
        <w:rPr>
          <w:rFonts w:ascii="Calibri"/>
          <w:spacing w:val="-16"/>
          <w:w w:val="105"/>
          <w:sz w:val="21"/>
        </w:rPr>
        <w:t xml:space="preserve"> </w:t>
      </w:r>
      <w:r>
        <w:rPr>
          <w:rFonts w:ascii="Calibri"/>
          <w:w w:val="105"/>
          <w:sz w:val="21"/>
        </w:rPr>
        <w:t>Accounting</w:t>
      </w:r>
      <w:r>
        <w:rPr>
          <w:rFonts w:ascii="Calibri"/>
          <w:spacing w:val="-15"/>
          <w:w w:val="105"/>
          <w:sz w:val="21"/>
        </w:rPr>
        <w:t xml:space="preserve"> </w:t>
      </w:r>
      <w:r>
        <w:rPr>
          <w:rFonts w:ascii="Calibri"/>
          <w:w w:val="105"/>
          <w:sz w:val="21"/>
        </w:rPr>
        <w:t>Professional</w:t>
      </w:r>
      <w:r>
        <w:rPr>
          <w:rFonts w:ascii="Calibri"/>
          <w:spacing w:val="-16"/>
          <w:w w:val="105"/>
          <w:sz w:val="21"/>
        </w:rPr>
        <w:t xml:space="preserve"> </w:t>
      </w:r>
      <w:r>
        <w:rPr>
          <w:rFonts w:ascii="Calibri"/>
          <w:w w:val="105"/>
          <w:sz w:val="21"/>
        </w:rPr>
        <w:t>and</w:t>
      </w:r>
      <w:r>
        <w:rPr>
          <w:rFonts w:ascii="Calibri"/>
          <w:spacing w:val="-14"/>
          <w:w w:val="105"/>
          <w:sz w:val="21"/>
        </w:rPr>
        <w:t xml:space="preserve"> </w:t>
      </w:r>
      <w:r>
        <w:rPr>
          <w:rFonts w:ascii="Calibri"/>
          <w:w w:val="105"/>
          <w:sz w:val="21"/>
        </w:rPr>
        <w:t>Ethical</w:t>
      </w:r>
      <w:r>
        <w:rPr>
          <w:rFonts w:ascii="Calibri"/>
          <w:spacing w:val="-15"/>
          <w:w w:val="105"/>
          <w:sz w:val="21"/>
        </w:rPr>
        <w:t xml:space="preserve"> </w:t>
      </w:r>
      <w:r>
        <w:rPr>
          <w:rFonts w:ascii="Calibri"/>
          <w:w w:val="105"/>
          <w:sz w:val="21"/>
        </w:rPr>
        <w:t>Standards</w:t>
      </w:r>
      <w:r>
        <w:rPr>
          <w:rFonts w:ascii="Calibri"/>
          <w:spacing w:val="-15"/>
          <w:w w:val="105"/>
          <w:sz w:val="21"/>
        </w:rPr>
        <w:t xml:space="preserve"> </w:t>
      </w:r>
      <w:r>
        <w:rPr>
          <w:rFonts w:ascii="Calibri"/>
          <w:w w:val="105"/>
          <w:sz w:val="21"/>
        </w:rPr>
        <w:t xml:space="preserve">110 </w:t>
      </w:r>
      <w:r>
        <w:rPr>
          <w:rFonts w:ascii="Calibri"/>
          <w:i/>
          <w:w w:val="105"/>
          <w:sz w:val="21"/>
        </w:rPr>
        <w:t>Code of Ethics for Professional</w:t>
      </w:r>
      <w:r>
        <w:rPr>
          <w:rFonts w:ascii="Calibri"/>
          <w:i/>
          <w:spacing w:val="-9"/>
          <w:w w:val="105"/>
          <w:sz w:val="21"/>
        </w:rPr>
        <w:t xml:space="preserve"> </w:t>
      </w:r>
      <w:r>
        <w:rPr>
          <w:rFonts w:ascii="Calibri"/>
          <w:i/>
          <w:w w:val="105"/>
          <w:sz w:val="21"/>
        </w:rPr>
        <w:t>Accountants</w:t>
      </w:r>
      <w:r>
        <w:rPr>
          <w:rFonts w:ascii="Calibri"/>
          <w:w w:val="105"/>
          <w:sz w:val="21"/>
        </w:rPr>
        <w:t>.</w:t>
      </w:r>
    </w:p>
    <w:p w:rsidR="006C17CB" w:rsidRDefault="006C17CB">
      <w:pPr>
        <w:pStyle w:val="BodyText"/>
        <w:rPr>
          <w:rFonts w:ascii="Calibri"/>
          <w:sz w:val="15"/>
        </w:rPr>
      </w:pPr>
    </w:p>
    <w:p w:rsidR="006C17CB" w:rsidRDefault="0030091C">
      <w:pPr>
        <w:spacing w:line="208" w:lineRule="auto"/>
        <w:ind w:left="1022" w:right="1541"/>
        <w:rPr>
          <w:rFonts w:ascii="Calibri"/>
          <w:sz w:val="21"/>
        </w:rPr>
      </w:pPr>
      <w:r>
        <w:rPr>
          <w:rFonts w:ascii="Calibri"/>
          <w:w w:val="105"/>
          <w:sz w:val="21"/>
        </w:rPr>
        <w:t>I believe that sufficient evidence was obtained during the audit to provide a basis for the audit opinion.</w:t>
      </w:r>
    </w:p>
    <w:p w:rsidR="006C17CB" w:rsidRDefault="0030091C">
      <w:pPr>
        <w:spacing w:before="185"/>
        <w:ind w:left="1022"/>
        <w:rPr>
          <w:rFonts w:ascii="Calibri"/>
          <w:b/>
          <w:sz w:val="21"/>
        </w:rPr>
      </w:pPr>
      <w:r>
        <w:rPr>
          <w:rFonts w:ascii="Calibri"/>
          <w:b/>
          <w:w w:val="105"/>
          <w:sz w:val="21"/>
        </w:rPr>
        <w:t>Responsibility for preparing and fairly presenting the financial statements</w:t>
      </w:r>
    </w:p>
    <w:p w:rsidR="006C17CB" w:rsidRDefault="0030091C">
      <w:pPr>
        <w:spacing w:before="69"/>
        <w:ind w:left="1022"/>
        <w:rPr>
          <w:rFonts w:ascii="Calibri"/>
          <w:sz w:val="21"/>
        </w:rPr>
      </w:pPr>
      <w:r>
        <w:rPr>
          <w:rFonts w:ascii="Calibri"/>
          <w:w w:val="105"/>
          <w:sz w:val="21"/>
        </w:rPr>
        <w:t>The Clerk of the Legislative Assembly is responsible for:</w:t>
      </w:r>
    </w:p>
    <w:p w:rsidR="006C17CB" w:rsidRDefault="0030091C">
      <w:pPr>
        <w:pStyle w:val="ListParagraph"/>
        <w:numPr>
          <w:ilvl w:val="2"/>
          <w:numId w:val="18"/>
        </w:numPr>
        <w:tabs>
          <w:tab w:val="left" w:pos="1531"/>
          <w:tab w:val="left" w:pos="1532"/>
        </w:tabs>
        <w:spacing w:before="187" w:line="283" w:lineRule="exact"/>
        <w:ind w:hanging="509"/>
        <w:rPr>
          <w:rFonts w:ascii="Arial"/>
          <w:sz w:val="21"/>
        </w:rPr>
      </w:pPr>
      <w:r>
        <w:rPr>
          <w:rFonts w:ascii="Calibri"/>
          <w:w w:val="105"/>
          <w:sz w:val="21"/>
        </w:rPr>
        <w:t>preparing</w:t>
      </w:r>
      <w:r>
        <w:rPr>
          <w:rFonts w:ascii="Calibri"/>
          <w:spacing w:val="38"/>
          <w:w w:val="105"/>
          <w:sz w:val="21"/>
        </w:rPr>
        <w:t xml:space="preserve"> </w:t>
      </w:r>
      <w:r>
        <w:rPr>
          <w:rFonts w:ascii="Calibri"/>
          <w:w w:val="105"/>
          <w:sz w:val="21"/>
        </w:rPr>
        <w:t>and</w:t>
      </w:r>
      <w:r>
        <w:rPr>
          <w:rFonts w:ascii="Calibri"/>
          <w:spacing w:val="40"/>
          <w:w w:val="105"/>
          <w:sz w:val="21"/>
        </w:rPr>
        <w:t xml:space="preserve"> </w:t>
      </w:r>
      <w:r>
        <w:rPr>
          <w:rFonts w:ascii="Calibri"/>
          <w:w w:val="105"/>
          <w:sz w:val="21"/>
        </w:rPr>
        <w:t>fairly</w:t>
      </w:r>
      <w:r>
        <w:rPr>
          <w:rFonts w:ascii="Calibri"/>
          <w:spacing w:val="38"/>
          <w:w w:val="105"/>
          <w:sz w:val="21"/>
        </w:rPr>
        <w:t xml:space="preserve"> </w:t>
      </w:r>
      <w:r>
        <w:rPr>
          <w:rFonts w:ascii="Calibri"/>
          <w:w w:val="105"/>
          <w:sz w:val="21"/>
        </w:rPr>
        <w:t>presenting</w:t>
      </w:r>
      <w:r>
        <w:rPr>
          <w:rFonts w:ascii="Calibri"/>
          <w:spacing w:val="38"/>
          <w:w w:val="105"/>
          <w:sz w:val="21"/>
        </w:rPr>
        <w:t xml:space="preserve"> </w:t>
      </w:r>
      <w:r>
        <w:rPr>
          <w:rFonts w:ascii="Calibri"/>
          <w:w w:val="105"/>
          <w:sz w:val="21"/>
        </w:rPr>
        <w:t>the</w:t>
      </w:r>
      <w:r>
        <w:rPr>
          <w:rFonts w:ascii="Calibri"/>
          <w:spacing w:val="37"/>
          <w:w w:val="105"/>
          <w:sz w:val="21"/>
        </w:rPr>
        <w:t xml:space="preserve"> </w:t>
      </w:r>
      <w:r>
        <w:rPr>
          <w:rFonts w:ascii="Calibri"/>
          <w:w w:val="105"/>
          <w:sz w:val="21"/>
        </w:rPr>
        <w:t>financial</w:t>
      </w:r>
      <w:r>
        <w:rPr>
          <w:rFonts w:ascii="Calibri"/>
          <w:spacing w:val="40"/>
          <w:w w:val="105"/>
          <w:sz w:val="21"/>
        </w:rPr>
        <w:t xml:space="preserve"> </w:t>
      </w:r>
      <w:r>
        <w:rPr>
          <w:rFonts w:ascii="Calibri"/>
          <w:w w:val="105"/>
          <w:sz w:val="21"/>
        </w:rPr>
        <w:t>statements</w:t>
      </w:r>
      <w:r>
        <w:rPr>
          <w:rFonts w:ascii="Calibri"/>
          <w:spacing w:val="38"/>
          <w:w w:val="105"/>
          <w:sz w:val="21"/>
        </w:rPr>
        <w:t xml:space="preserve"> </w:t>
      </w:r>
      <w:r>
        <w:rPr>
          <w:rFonts w:ascii="Calibri"/>
          <w:w w:val="105"/>
          <w:sz w:val="21"/>
        </w:rPr>
        <w:t>in</w:t>
      </w:r>
      <w:r>
        <w:rPr>
          <w:rFonts w:ascii="Calibri"/>
          <w:spacing w:val="40"/>
          <w:w w:val="105"/>
          <w:sz w:val="21"/>
        </w:rPr>
        <w:t xml:space="preserve"> </w:t>
      </w:r>
      <w:r>
        <w:rPr>
          <w:rFonts w:ascii="Calibri"/>
          <w:w w:val="105"/>
          <w:sz w:val="21"/>
        </w:rPr>
        <w:t>accordance</w:t>
      </w:r>
      <w:r>
        <w:rPr>
          <w:rFonts w:ascii="Calibri"/>
          <w:spacing w:val="40"/>
          <w:w w:val="105"/>
          <w:sz w:val="21"/>
        </w:rPr>
        <w:t xml:space="preserve"> </w:t>
      </w:r>
      <w:r>
        <w:rPr>
          <w:rFonts w:ascii="Calibri"/>
          <w:w w:val="105"/>
          <w:sz w:val="21"/>
        </w:rPr>
        <w:t>with</w:t>
      </w:r>
      <w:r>
        <w:rPr>
          <w:rFonts w:ascii="Calibri"/>
          <w:spacing w:val="38"/>
          <w:w w:val="105"/>
          <w:sz w:val="21"/>
        </w:rPr>
        <w:t xml:space="preserve"> </w:t>
      </w:r>
      <w:r>
        <w:rPr>
          <w:rFonts w:ascii="Calibri"/>
          <w:w w:val="105"/>
          <w:sz w:val="21"/>
        </w:rPr>
        <w:t>the</w:t>
      </w:r>
    </w:p>
    <w:p w:rsidR="006C17CB" w:rsidRDefault="0030091C">
      <w:pPr>
        <w:spacing w:line="283" w:lineRule="exact"/>
        <w:ind w:left="829" w:right="1729"/>
        <w:jc w:val="center"/>
        <w:rPr>
          <w:rFonts w:ascii="Calibri"/>
          <w:sz w:val="21"/>
        </w:rPr>
      </w:pPr>
      <w:r>
        <w:rPr>
          <w:rFonts w:ascii="Calibri"/>
          <w:i/>
          <w:w w:val="105"/>
          <w:sz w:val="21"/>
        </w:rPr>
        <w:t xml:space="preserve">Financial Management Act 1996 </w:t>
      </w:r>
      <w:r>
        <w:rPr>
          <w:rFonts w:ascii="Calibri"/>
          <w:w w:val="105"/>
          <w:sz w:val="21"/>
        </w:rPr>
        <w:t>and relevant Australian Accounting Standards;</w:t>
      </w:r>
    </w:p>
    <w:p w:rsidR="006C17CB" w:rsidRDefault="0030091C">
      <w:pPr>
        <w:pStyle w:val="ListParagraph"/>
        <w:numPr>
          <w:ilvl w:val="2"/>
          <w:numId w:val="18"/>
        </w:numPr>
        <w:tabs>
          <w:tab w:val="left" w:pos="1532"/>
        </w:tabs>
        <w:spacing w:before="60" w:line="208" w:lineRule="auto"/>
        <w:ind w:right="1995" w:hanging="509"/>
        <w:jc w:val="both"/>
        <w:rPr>
          <w:rFonts w:ascii="Arial"/>
          <w:sz w:val="21"/>
        </w:rPr>
      </w:pPr>
      <w:r>
        <w:rPr>
          <w:rFonts w:ascii="Calibri"/>
          <w:w w:val="105"/>
          <w:sz w:val="21"/>
        </w:rPr>
        <w:t>determining</w:t>
      </w:r>
      <w:r>
        <w:rPr>
          <w:rFonts w:ascii="Calibri"/>
          <w:spacing w:val="-25"/>
          <w:w w:val="105"/>
          <w:sz w:val="21"/>
        </w:rPr>
        <w:t xml:space="preserve"> </w:t>
      </w:r>
      <w:r>
        <w:rPr>
          <w:rFonts w:ascii="Calibri"/>
          <w:w w:val="105"/>
          <w:sz w:val="21"/>
        </w:rPr>
        <w:t>the</w:t>
      </w:r>
      <w:r>
        <w:rPr>
          <w:rFonts w:ascii="Calibri"/>
          <w:spacing w:val="-25"/>
          <w:w w:val="105"/>
          <w:sz w:val="21"/>
        </w:rPr>
        <w:t xml:space="preserve"> </w:t>
      </w:r>
      <w:r>
        <w:rPr>
          <w:rFonts w:ascii="Calibri"/>
          <w:w w:val="105"/>
          <w:sz w:val="21"/>
        </w:rPr>
        <w:t>internal</w:t>
      </w:r>
      <w:r>
        <w:rPr>
          <w:rFonts w:ascii="Calibri"/>
          <w:spacing w:val="-27"/>
          <w:w w:val="105"/>
          <w:sz w:val="21"/>
        </w:rPr>
        <w:t xml:space="preserve"> </w:t>
      </w:r>
      <w:r>
        <w:rPr>
          <w:rFonts w:ascii="Calibri"/>
          <w:w w:val="105"/>
          <w:sz w:val="21"/>
        </w:rPr>
        <w:t>controls</w:t>
      </w:r>
      <w:r>
        <w:rPr>
          <w:rFonts w:ascii="Calibri"/>
          <w:spacing w:val="-25"/>
          <w:w w:val="105"/>
          <w:sz w:val="21"/>
        </w:rPr>
        <w:t xml:space="preserve"> </w:t>
      </w:r>
      <w:r>
        <w:rPr>
          <w:rFonts w:ascii="Calibri"/>
          <w:w w:val="105"/>
          <w:sz w:val="21"/>
        </w:rPr>
        <w:t>necessary</w:t>
      </w:r>
      <w:r>
        <w:rPr>
          <w:rFonts w:ascii="Calibri"/>
          <w:spacing w:val="-24"/>
          <w:w w:val="105"/>
          <w:sz w:val="21"/>
        </w:rPr>
        <w:t xml:space="preserve"> </w:t>
      </w:r>
      <w:r>
        <w:rPr>
          <w:rFonts w:ascii="Calibri"/>
          <w:w w:val="105"/>
          <w:sz w:val="21"/>
        </w:rPr>
        <w:t>for</w:t>
      </w:r>
      <w:r>
        <w:rPr>
          <w:rFonts w:ascii="Calibri"/>
          <w:spacing w:val="-25"/>
          <w:w w:val="105"/>
          <w:sz w:val="21"/>
        </w:rPr>
        <w:t xml:space="preserve"> </w:t>
      </w:r>
      <w:r>
        <w:rPr>
          <w:rFonts w:ascii="Calibri"/>
          <w:w w:val="105"/>
          <w:sz w:val="21"/>
        </w:rPr>
        <w:t>the</w:t>
      </w:r>
      <w:r>
        <w:rPr>
          <w:rFonts w:ascii="Calibri"/>
          <w:spacing w:val="-24"/>
          <w:w w:val="105"/>
          <w:sz w:val="21"/>
        </w:rPr>
        <w:t xml:space="preserve"> </w:t>
      </w:r>
      <w:r>
        <w:rPr>
          <w:rFonts w:ascii="Calibri"/>
          <w:w w:val="105"/>
          <w:sz w:val="21"/>
        </w:rPr>
        <w:t>preparation</w:t>
      </w:r>
      <w:r>
        <w:rPr>
          <w:rFonts w:ascii="Calibri"/>
          <w:spacing w:val="-24"/>
          <w:w w:val="105"/>
          <w:sz w:val="21"/>
        </w:rPr>
        <w:t xml:space="preserve"> </w:t>
      </w:r>
      <w:r>
        <w:rPr>
          <w:rFonts w:ascii="Calibri"/>
          <w:w w:val="105"/>
          <w:sz w:val="21"/>
        </w:rPr>
        <w:t>and</w:t>
      </w:r>
      <w:r>
        <w:rPr>
          <w:rFonts w:ascii="Calibri"/>
          <w:spacing w:val="-26"/>
          <w:w w:val="105"/>
          <w:sz w:val="21"/>
        </w:rPr>
        <w:t xml:space="preserve"> </w:t>
      </w:r>
      <w:r>
        <w:rPr>
          <w:rFonts w:ascii="Calibri"/>
          <w:w w:val="105"/>
          <w:sz w:val="21"/>
        </w:rPr>
        <w:t>fair</w:t>
      </w:r>
      <w:r>
        <w:rPr>
          <w:rFonts w:ascii="Calibri"/>
          <w:spacing w:val="-25"/>
          <w:w w:val="105"/>
          <w:sz w:val="21"/>
        </w:rPr>
        <w:t xml:space="preserve"> </w:t>
      </w:r>
      <w:r>
        <w:rPr>
          <w:rFonts w:ascii="Calibri"/>
          <w:w w:val="105"/>
          <w:sz w:val="21"/>
        </w:rPr>
        <w:t>presentation of</w:t>
      </w:r>
      <w:r>
        <w:rPr>
          <w:rFonts w:ascii="Calibri"/>
          <w:spacing w:val="-8"/>
          <w:w w:val="105"/>
          <w:sz w:val="21"/>
        </w:rPr>
        <w:t xml:space="preserve"> </w:t>
      </w:r>
      <w:r>
        <w:rPr>
          <w:rFonts w:ascii="Calibri"/>
          <w:w w:val="105"/>
          <w:sz w:val="21"/>
        </w:rPr>
        <w:t>financial</w:t>
      </w:r>
      <w:r>
        <w:rPr>
          <w:rFonts w:ascii="Calibri"/>
          <w:spacing w:val="-7"/>
          <w:w w:val="105"/>
          <w:sz w:val="21"/>
        </w:rPr>
        <w:t xml:space="preserve"> </w:t>
      </w:r>
      <w:r>
        <w:rPr>
          <w:rFonts w:ascii="Calibri"/>
          <w:w w:val="105"/>
          <w:sz w:val="21"/>
        </w:rPr>
        <w:t>statements</w:t>
      </w:r>
      <w:r>
        <w:rPr>
          <w:rFonts w:ascii="Calibri"/>
          <w:spacing w:val="-9"/>
          <w:w w:val="105"/>
          <w:sz w:val="21"/>
        </w:rPr>
        <w:t xml:space="preserve"> </w:t>
      </w:r>
      <w:r>
        <w:rPr>
          <w:rFonts w:ascii="Calibri"/>
          <w:w w:val="105"/>
          <w:sz w:val="21"/>
        </w:rPr>
        <w:t>so</w:t>
      </w:r>
      <w:r>
        <w:rPr>
          <w:rFonts w:ascii="Calibri"/>
          <w:spacing w:val="-6"/>
          <w:w w:val="105"/>
          <w:sz w:val="21"/>
        </w:rPr>
        <w:t xml:space="preserve"> </w:t>
      </w:r>
      <w:r>
        <w:rPr>
          <w:rFonts w:ascii="Calibri"/>
          <w:w w:val="105"/>
          <w:sz w:val="21"/>
        </w:rPr>
        <w:t>that</w:t>
      </w:r>
      <w:r>
        <w:rPr>
          <w:rFonts w:ascii="Calibri"/>
          <w:spacing w:val="-8"/>
          <w:w w:val="105"/>
          <w:sz w:val="21"/>
        </w:rPr>
        <w:t xml:space="preserve"> </w:t>
      </w:r>
      <w:r>
        <w:rPr>
          <w:rFonts w:ascii="Calibri"/>
          <w:w w:val="105"/>
          <w:sz w:val="21"/>
        </w:rPr>
        <w:t>they</w:t>
      </w:r>
      <w:r>
        <w:rPr>
          <w:rFonts w:ascii="Calibri"/>
          <w:spacing w:val="-7"/>
          <w:w w:val="105"/>
          <w:sz w:val="21"/>
        </w:rPr>
        <w:t xml:space="preserve"> </w:t>
      </w:r>
      <w:r>
        <w:rPr>
          <w:rFonts w:ascii="Calibri"/>
          <w:w w:val="105"/>
          <w:sz w:val="21"/>
        </w:rPr>
        <w:t>are</w:t>
      </w:r>
      <w:r>
        <w:rPr>
          <w:rFonts w:ascii="Calibri"/>
          <w:spacing w:val="-8"/>
          <w:w w:val="105"/>
          <w:sz w:val="21"/>
        </w:rPr>
        <w:t xml:space="preserve"> </w:t>
      </w:r>
      <w:r>
        <w:rPr>
          <w:rFonts w:ascii="Calibri"/>
          <w:w w:val="105"/>
          <w:sz w:val="21"/>
        </w:rPr>
        <w:t>free</w:t>
      </w:r>
      <w:r>
        <w:rPr>
          <w:rFonts w:ascii="Calibri"/>
          <w:spacing w:val="-6"/>
          <w:w w:val="105"/>
          <w:sz w:val="21"/>
        </w:rPr>
        <w:t xml:space="preserve"> </w:t>
      </w:r>
      <w:r>
        <w:rPr>
          <w:rFonts w:ascii="Calibri"/>
          <w:w w:val="105"/>
          <w:sz w:val="21"/>
        </w:rPr>
        <w:t>from</w:t>
      </w:r>
      <w:r>
        <w:rPr>
          <w:rFonts w:ascii="Calibri"/>
          <w:spacing w:val="-6"/>
          <w:w w:val="105"/>
          <w:sz w:val="21"/>
        </w:rPr>
        <w:t xml:space="preserve"> </w:t>
      </w:r>
      <w:r>
        <w:rPr>
          <w:rFonts w:ascii="Calibri"/>
          <w:w w:val="105"/>
          <w:sz w:val="21"/>
        </w:rPr>
        <w:t>material</w:t>
      </w:r>
      <w:r>
        <w:rPr>
          <w:rFonts w:ascii="Calibri"/>
          <w:spacing w:val="-6"/>
          <w:w w:val="105"/>
          <w:sz w:val="21"/>
        </w:rPr>
        <w:t xml:space="preserve"> </w:t>
      </w:r>
      <w:r>
        <w:rPr>
          <w:rFonts w:ascii="Calibri"/>
          <w:w w:val="105"/>
          <w:sz w:val="21"/>
        </w:rPr>
        <w:t>misstatements,</w:t>
      </w:r>
      <w:r>
        <w:rPr>
          <w:rFonts w:ascii="Calibri"/>
          <w:spacing w:val="-7"/>
          <w:w w:val="105"/>
          <w:sz w:val="21"/>
        </w:rPr>
        <w:t xml:space="preserve"> </w:t>
      </w:r>
      <w:r>
        <w:rPr>
          <w:rFonts w:ascii="Calibri"/>
          <w:w w:val="105"/>
          <w:sz w:val="21"/>
        </w:rPr>
        <w:t>whether due to error or fraud;</w:t>
      </w:r>
      <w:r>
        <w:rPr>
          <w:rFonts w:ascii="Calibri"/>
          <w:spacing w:val="-11"/>
          <w:w w:val="105"/>
          <w:sz w:val="21"/>
        </w:rPr>
        <w:t xml:space="preserve"> </w:t>
      </w:r>
      <w:r>
        <w:rPr>
          <w:rFonts w:ascii="Calibri"/>
          <w:w w:val="105"/>
          <w:sz w:val="21"/>
        </w:rPr>
        <w:t>and</w:t>
      </w:r>
    </w:p>
    <w:p w:rsidR="006C17CB" w:rsidRDefault="006C17CB">
      <w:pPr>
        <w:spacing w:line="208" w:lineRule="auto"/>
        <w:jc w:val="both"/>
        <w:rPr>
          <w:rFonts w:ascii="Arial"/>
          <w:sz w:val="21"/>
        </w:rPr>
        <w:sectPr w:rsidR="006C17CB">
          <w:headerReference w:type="even" r:id="rId140"/>
          <w:pgSz w:w="11910" w:h="16840"/>
          <w:pgMar w:top="1100" w:right="0" w:bottom="720" w:left="980" w:header="0" w:footer="523" w:gutter="0"/>
          <w:cols w:space="720"/>
        </w:sectPr>
      </w:pPr>
    </w:p>
    <w:p w:rsidR="006C17CB" w:rsidRDefault="00FE24A7">
      <w:pPr>
        <w:pStyle w:val="BodyText"/>
        <w:rPr>
          <w:rFonts w:ascii="Calibri"/>
          <w:sz w:val="20"/>
        </w:rPr>
      </w:pPr>
      <w:r>
        <w:pict>
          <v:rect id="_x0000_s1491" alt="" style="position:absolute;margin-left:57.2pt;margin-top:57.2pt;width:480.9pt;height:727.5pt;z-index:-476752;mso-wrap-edited:f;mso-width-percent:0;mso-height-percent:0;mso-position-horizontal-relative:page;mso-position-vertical-relative:page;mso-width-percent:0;mso-height-percent:0" filled="f" strokecolor="#dadada" strokeweight="1pt">
            <w10:wrap anchorx="page" anchory="page"/>
          </v:rect>
        </w:pict>
      </w:r>
    </w:p>
    <w:p w:rsidR="006C17CB" w:rsidRDefault="006C17CB">
      <w:pPr>
        <w:pStyle w:val="BodyText"/>
        <w:rPr>
          <w:rFonts w:ascii="Calibri"/>
          <w:sz w:val="20"/>
        </w:rPr>
      </w:pPr>
    </w:p>
    <w:p w:rsidR="006C17CB" w:rsidRDefault="006C17CB">
      <w:pPr>
        <w:pStyle w:val="BodyText"/>
        <w:spacing w:before="11"/>
        <w:rPr>
          <w:rFonts w:ascii="Calibri"/>
          <w:sz w:val="27"/>
        </w:rPr>
      </w:pPr>
    </w:p>
    <w:p w:rsidR="006C17CB" w:rsidRDefault="0030091C">
      <w:pPr>
        <w:pStyle w:val="ListParagraph"/>
        <w:numPr>
          <w:ilvl w:val="2"/>
          <w:numId w:val="18"/>
        </w:numPr>
        <w:tabs>
          <w:tab w:val="left" w:pos="1532"/>
        </w:tabs>
        <w:spacing w:before="104" w:line="208" w:lineRule="auto"/>
        <w:ind w:right="1996" w:hanging="509"/>
        <w:jc w:val="both"/>
        <w:rPr>
          <w:rFonts w:ascii="Arial"/>
          <w:sz w:val="21"/>
        </w:rPr>
      </w:pPr>
      <w:r>
        <w:rPr>
          <w:rFonts w:ascii="Calibri"/>
          <w:w w:val="105"/>
          <w:sz w:val="21"/>
        </w:rPr>
        <w:t>assessing</w:t>
      </w:r>
      <w:r>
        <w:rPr>
          <w:rFonts w:ascii="Calibri"/>
          <w:spacing w:val="-4"/>
          <w:w w:val="105"/>
          <w:sz w:val="21"/>
        </w:rPr>
        <w:t xml:space="preserve"> </w:t>
      </w:r>
      <w:r>
        <w:rPr>
          <w:rFonts w:ascii="Calibri"/>
          <w:w w:val="105"/>
          <w:sz w:val="21"/>
        </w:rPr>
        <w:t>the</w:t>
      </w:r>
      <w:r>
        <w:rPr>
          <w:rFonts w:ascii="Calibri"/>
          <w:spacing w:val="-5"/>
          <w:w w:val="105"/>
          <w:sz w:val="21"/>
        </w:rPr>
        <w:t xml:space="preserve"> </w:t>
      </w:r>
      <w:r>
        <w:rPr>
          <w:rFonts w:ascii="Calibri"/>
          <w:w w:val="105"/>
          <w:sz w:val="21"/>
        </w:rPr>
        <w:t>ability</w:t>
      </w:r>
      <w:r>
        <w:rPr>
          <w:rFonts w:ascii="Calibri"/>
          <w:spacing w:val="-4"/>
          <w:w w:val="105"/>
          <w:sz w:val="21"/>
        </w:rPr>
        <w:t xml:space="preserve"> </w:t>
      </w:r>
      <w:r>
        <w:rPr>
          <w:rFonts w:ascii="Calibri"/>
          <w:w w:val="105"/>
          <w:sz w:val="21"/>
        </w:rPr>
        <w:t>of</w:t>
      </w:r>
      <w:r>
        <w:rPr>
          <w:rFonts w:ascii="Calibri"/>
          <w:spacing w:val="-5"/>
          <w:w w:val="105"/>
          <w:sz w:val="21"/>
        </w:rPr>
        <w:t xml:space="preserve"> </w:t>
      </w:r>
      <w:r>
        <w:rPr>
          <w:rFonts w:ascii="Calibri"/>
          <w:w w:val="105"/>
          <w:sz w:val="21"/>
        </w:rPr>
        <w:t>the</w:t>
      </w:r>
      <w:r>
        <w:rPr>
          <w:rFonts w:ascii="Calibri"/>
          <w:spacing w:val="-3"/>
          <w:w w:val="105"/>
          <w:sz w:val="21"/>
        </w:rPr>
        <w:t xml:space="preserve"> </w:t>
      </w:r>
      <w:r>
        <w:rPr>
          <w:rFonts w:ascii="Calibri"/>
          <w:w w:val="105"/>
          <w:sz w:val="21"/>
        </w:rPr>
        <w:t>Office</w:t>
      </w:r>
      <w:r>
        <w:rPr>
          <w:rFonts w:ascii="Calibri"/>
          <w:spacing w:val="-5"/>
          <w:w w:val="105"/>
          <w:sz w:val="21"/>
        </w:rPr>
        <w:t xml:space="preserve"> </w:t>
      </w:r>
      <w:r>
        <w:rPr>
          <w:rFonts w:ascii="Calibri"/>
          <w:w w:val="105"/>
          <w:sz w:val="21"/>
        </w:rPr>
        <w:t>of</w:t>
      </w:r>
      <w:r>
        <w:rPr>
          <w:rFonts w:ascii="Calibri"/>
          <w:spacing w:val="-5"/>
          <w:w w:val="105"/>
          <w:sz w:val="21"/>
        </w:rPr>
        <w:t xml:space="preserve"> </w:t>
      </w:r>
      <w:r>
        <w:rPr>
          <w:rFonts w:ascii="Calibri"/>
          <w:w w:val="105"/>
          <w:sz w:val="21"/>
        </w:rPr>
        <w:t>the</w:t>
      </w:r>
      <w:r>
        <w:rPr>
          <w:rFonts w:ascii="Calibri"/>
          <w:spacing w:val="-5"/>
          <w:w w:val="105"/>
          <w:sz w:val="21"/>
        </w:rPr>
        <w:t xml:space="preserve"> </w:t>
      </w:r>
      <w:r>
        <w:rPr>
          <w:rFonts w:ascii="Calibri"/>
          <w:w w:val="105"/>
          <w:sz w:val="21"/>
        </w:rPr>
        <w:t>Legislative</w:t>
      </w:r>
      <w:r>
        <w:rPr>
          <w:rFonts w:ascii="Calibri"/>
          <w:spacing w:val="-3"/>
          <w:w w:val="105"/>
          <w:sz w:val="21"/>
        </w:rPr>
        <w:t xml:space="preserve"> </w:t>
      </w:r>
      <w:r>
        <w:rPr>
          <w:rFonts w:ascii="Calibri"/>
          <w:w w:val="105"/>
          <w:sz w:val="21"/>
        </w:rPr>
        <w:t>Assembly</w:t>
      </w:r>
      <w:r>
        <w:rPr>
          <w:rFonts w:ascii="Calibri"/>
          <w:spacing w:val="-7"/>
          <w:w w:val="105"/>
          <w:sz w:val="21"/>
        </w:rPr>
        <w:t xml:space="preserve"> </w:t>
      </w:r>
      <w:r>
        <w:rPr>
          <w:rFonts w:ascii="Calibri"/>
          <w:w w:val="105"/>
          <w:sz w:val="21"/>
        </w:rPr>
        <w:t>to</w:t>
      </w:r>
      <w:r>
        <w:rPr>
          <w:rFonts w:ascii="Calibri"/>
          <w:spacing w:val="-5"/>
          <w:w w:val="105"/>
          <w:sz w:val="21"/>
        </w:rPr>
        <w:t xml:space="preserve"> </w:t>
      </w:r>
      <w:r>
        <w:rPr>
          <w:rFonts w:ascii="Calibri"/>
          <w:w w:val="105"/>
          <w:sz w:val="21"/>
        </w:rPr>
        <w:t>continue</w:t>
      </w:r>
      <w:r>
        <w:rPr>
          <w:rFonts w:ascii="Calibri"/>
          <w:spacing w:val="-5"/>
          <w:w w:val="105"/>
          <w:sz w:val="21"/>
        </w:rPr>
        <w:t xml:space="preserve"> </w:t>
      </w:r>
      <w:r>
        <w:rPr>
          <w:rFonts w:ascii="Calibri"/>
          <w:w w:val="105"/>
          <w:sz w:val="21"/>
        </w:rPr>
        <w:t>as</w:t>
      </w:r>
      <w:r>
        <w:rPr>
          <w:rFonts w:ascii="Calibri"/>
          <w:spacing w:val="-4"/>
          <w:w w:val="105"/>
          <w:sz w:val="21"/>
        </w:rPr>
        <w:t xml:space="preserve"> </w:t>
      </w:r>
      <w:r>
        <w:rPr>
          <w:rFonts w:ascii="Calibri"/>
          <w:w w:val="105"/>
          <w:sz w:val="21"/>
        </w:rPr>
        <w:t>a</w:t>
      </w:r>
      <w:r>
        <w:rPr>
          <w:rFonts w:ascii="Calibri"/>
          <w:spacing w:val="-6"/>
          <w:w w:val="105"/>
          <w:sz w:val="21"/>
        </w:rPr>
        <w:t xml:space="preserve"> </w:t>
      </w:r>
      <w:r>
        <w:rPr>
          <w:rFonts w:ascii="Calibri"/>
          <w:w w:val="105"/>
          <w:sz w:val="21"/>
        </w:rPr>
        <w:t>going concern</w:t>
      </w:r>
      <w:r>
        <w:rPr>
          <w:rFonts w:ascii="Calibri"/>
          <w:spacing w:val="-22"/>
          <w:w w:val="105"/>
          <w:sz w:val="21"/>
        </w:rPr>
        <w:t xml:space="preserve"> </w:t>
      </w:r>
      <w:r>
        <w:rPr>
          <w:rFonts w:ascii="Calibri"/>
          <w:w w:val="105"/>
          <w:sz w:val="21"/>
        </w:rPr>
        <w:t>and</w:t>
      </w:r>
      <w:r>
        <w:rPr>
          <w:rFonts w:ascii="Calibri"/>
          <w:spacing w:val="-22"/>
          <w:w w:val="105"/>
          <w:sz w:val="21"/>
        </w:rPr>
        <w:t xml:space="preserve"> </w:t>
      </w:r>
      <w:r>
        <w:rPr>
          <w:rFonts w:ascii="Calibri"/>
          <w:w w:val="105"/>
          <w:sz w:val="21"/>
        </w:rPr>
        <w:t>disclosing,</w:t>
      </w:r>
      <w:r>
        <w:rPr>
          <w:rFonts w:ascii="Calibri"/>
          <w:spacing w:val="-23"/>
          <w:w w:val="105"/>
          <w:sz w:val="21"/>
        </w:rPr>
        <w:t xml:space="preserve"> </w:t>
      </w:r>
      <w:r>
        <w:rPr>
          <w:rFonts w:ascii="Calibri"/>
          <w:w w:val="105"/>
          <w:sz w:val="21"/>
        </w:rPr>
        <w:t>as</w:t>
      </w:r>
      <w:r>
        <w:rPr>
          <w:rFonts w:ascii="Calibri"/>
          <w:spacing w:val="-23"/>
          <w:w w:val="105"/>
          <w:sz w:val="21"/>
        </w:rPr>
        <w:t xml:space="preserve"> </w:t>
      </w:r>
      <w:r>
        <w:rPr>
          <w:rFonts w:ascii="Calibri"/>
          <w:w w:val="105"/>
          <w:sz w:val="21"/>
        </w:rPr>
        <w:t>applicable,</w:t>
      </w:r>
      <w:r>
        <w:rPr>
          <w:rFonts w:ascii="Calibri"/>
          <w:spacing w:val="-23"/>
          <w:w w:val="105"/>
          <w:sz w:val="21"/>
        </w:rPr>
        <w:t xml:space="preserve"> </w:t>
      </w:r>
      <w:r>
        <w:rPr>
          <w:rFonts w:ascii="Calibri"/>
          <w:w w:val="105"/>
          <w:sz w:val="21"/>
        </w:rPr>
        <w:t>matters</w:t>
      </w:r>
      <w:r>
        <w:rPr>
          <w:rFonts w:ascii="Calibri"/>
          <w:spacing w:val="-23"/>
          <w:w w:val="105"/>
          <w:sz w:val="21"/>
        </w:rPr>
        <w:t xml:space="preserve"> </w:t>
      </w:r>
      <w:r>
        <w:rPr>
          <w:rFonts w:ascii="Calibri"/>
          <w:w w:val="105"/>
          <w:sz w:val="21"/>
        </w:rPr>
        <w:t>relating</w:t>
      </w:r>
      <w:r>
        <w:rPr>
          <w:rFonts w:ascii="Calibri"/>
          <w:spacing w:val="-23"/>
          <w:w w:val="105"/>
          <w:sz w:val="21"/>
        </w:rPr>
        <w:t xml:space="preserve"> </w:t>
      </w:r>
      <w:r>
        <w:rPr>
          <w:rFonts w:ascii="Calibri"/>
          <w:w w:val="105"/>
          <w:sz w:val="21"/>
        </w:rPr>
        <w:t>to</w:t>
      </w:r>
      <w:r>
        <w:rPr>
          <w:rFonts w:ascii="Calibri"/>
          <w:spacing w:val="-22"/>
          <w:w w:val="105"/>
          <w:sz w:val="21"/>
        </w:rPr>
        <w:t xml:space="preserve"> </w:t>
      </w:r>
      <w:r>
        <w:rPr>
          <w:rFonts w:ascii="Calibri"/>
          <w:w w:val="105"/>
          <w:sz w:val="21"/>
        </w:rPr>
        <w:t>going</w:t>
      </w:r>
      <w:r>
        <w:rPr>
          <w:rFonts w:ascii="Calibri"/>
          <w:spacing w:val="-23"/>
          <w:w w:val="105"/>
          <w:sz w:val="21"/>
        </w:rPr>
        <w:t xml:space="preserve"> </w:t>
      </w:r>
      <w:r>
        <w:rPr>
          <w:rFonts w:ascii="Calibri"/>
          <w:w w:val="105"/>
          <w:sz w:val="21"/>
        </w:rPr>
        <w:t>concern</w:t>
      </w:r>
      <w:r>
        <w:rPr>
          <w:rFonts w:ascii="Calibri"/>
          <w:spacing w:val="-22"/>
          <w:w w:val="105"/>
          <w:sz w:val="21"/>
        </w:rPr>
        <w:t xml:space="preserve"> </w:t>
      </w:r>
      <w:r>
        <w:rPr>
          <w:rFonts w:ascii="Calibri"/>
          <w:w w:val="105"/>
          <w:sz w:val="21"/>
        </w:rPr>
        <w:t>and</w:t>
      </w:r>
      <w:r>
        <w:rPr>
          <w:rFonts w:ascii="Calibri"/>
          <w:spacing w:val="-24"/>
          <w:w w:val="105"/>
          <w:sz w:val="21"/>
        </w:rPr>
        <w:t xml:space="preserve"> </w:t>
      </w:r>
      <w:r>
        <w:rPr>
          <w:rFonts w:ascii="Calibri"/>
          <w:w w:val="105"/>
          <w:sz w:val="21"/>
        </w:rPr>
        <w:t>using</w:t>
      </w:r>
      <w:r>
        <w:rPr>
          <w:rFonts w:ascii="Calibri"/>
          <w:spacing w:val="-23"/>
          <w:w w:val="105"/>
          <w:sz w:val="21"/>
        </w:rPr>
        <w:t xml:space="preserve"> </w:t>
      </w:r>
      <w:r>
        <w:rPr>
          <w:rFonts w:ascii="Calibri"/>
          <w:w w:val="105"/>
          <w:sz w:val="21"/>
        </w:rPr>
        <w:t>the going</w:t>
      </w:r>
      <w:r>
        <w:rPr>
          <w:rFonts w:ascii="Calibri"/>
          <w:spacing w:val="-6"/>
          <w:w w:val="105"/>
          <w:sz w:val="21"/>
        </w:rPr>
        <w:t xml:space="preserve"> </w:t>
      </w:r>
      <w:r>
        <w:rPr>
          <w:rFonts w:ascii="Calibri"/>
          <w:w w:val="105"/>
          <w:sz w:val="21"/>
        </w:rPr>
        <w:t>concern</w:t>
      </w:r>
      <w:r>
        <w:rPr>
          <w:rFonts w:ascii="Calibri"/>
          <w:spacing w:val="-7"/>
          <w:w w:val="105"/>
          <w:sz w:val="21"/>
        </w:rPr>
        <w:t xml:space="preserve"> </w:t>
      </w:r>
      <w:r>
        <w:rPr>
          <w:rFonts w:ascii="Calibri"/>
          <w:w w:val="105"/>
          <w:sz w:val="21"/>
        </w:rPr>
        <w:t>basis</w:t>
      </w:r>
      <w:r>
        <w:rPr>
          <w:rFonts w:ascii="Calibri"/>
          <w:spacing w:val="-6"/>
          <w:w w:val="105"/>
          <w:sz w:val="21"/>
        </w:rPr>
        <w:t xml:space="preserve"> </w:t>
      </w:r>
      <w:r>
        <w:rPr>
          <w:rFonts w:ascii="Calibri"/>
          <w:w w:val="105"/>
          <w:sz w:val="21"/>
        </w:rPr>
        <w:t>of</w:t>
      </w:r>
      <w:r>
        <w:rPr>
          <w:rFonts w:ascii="Calibri"/>
          <w:spacing w:val="-5"/>
          <w:w w:val="105"/>
          <w:sz w:val="21"/>
        </w:rPr>
        <w:t xml:space="preserve"> </w:t>
      </w:r>
      <w:r>
        <w:rPr>
          <w:rFonts w:ascii="Calibri"/>
          <w:w w:val="105"/>
          <w:sz w:val="21"/>
        </w:rPr>
        <w:t>accounting</w:t>
      </w:r>
      <w:r>
        <w:rPr>
          <w:rFonts w:ascii="Calibri"/>
          <w:spacing w:val="-6"/>
          <w:w w:val="105"/>
          <w:sz w:val="21"/>
        </w:rPr>
        <w:t xml:space="preserve"> </w:t>
      </w:r>
      <w:r>
        <w:rPr>
          <w:rFonts w:ascii="Calibri"/>
          <w:w w:val="105"/>
          <w:sz w:val="21"/>
        </w:rPr>
        <w:t>in</w:t>
      </w:r>
      <w:r>
        <w:rPr>
          <w:rFonts w:ascii="Calibri"/>
          <w:spacing w:val="-7"/>
          <w:w w:val="105"/>
          <w:sz w:val="21"/>
        </w:rPr>
        <w:t xml:space="preserve"> </w:t>
      </w:r>
      <w:r>
        <w:rPr>
          <w:rFonts w:ascii="Calibri"/>
          <w:w w:val="105"/>
          <w:sz w:val="21"/>
        </w:rPr>
        <w:t>preparing</w:t>
      </w:r>
      <w:r>
        <w:rPr>
          <w:rFonts w:ascii="Calibri"/>
          <w:spacing w:val="-8"/>
          <w:w w:val="105"/>
          <w:sz w:val="21"/>
        </w:rPr>
        <w:t xml:space="preserve"> </w:t>
      </w:r>
      <w:r>
        <w:rPr>
          <w:rFonts w:ascii="Calibri"/>
          <w:w w:val="105"/>
          <w:sz w:val="21"/>
        </w:rPr>
        <w:t>the</w:t>
      </w:r>
      <w:r>
        <w:rPr>
          <w:rFonts w:ascii="Calibri"/>
          <w:spacing w:val="-6"/>
          <w:w w:val="105"/>
          <w:sz w:val="21"/>
        </w:rPr>
        <w:t xml:space="preserve"> </w:t>
      </w:r>
      <w:r>
        <w:rPr>
          <w:rFonts w:ascii="Calibri"/>
          <w:w w:val="105"/>
          <w:sz w:val="21"/>
        </w:rPr>
        <w:t>financial</w:t>
      </w:r>
      <w:r>
        <w:rPr>
          <w:rFonts w:ascii="Calibri"/>
          <w:spacing w:val="-6"/>
          <w:w w:val="105"/>
          <w:sz w:val="21"/>
        </w:rPr>
        <w:t xml:space="preserve"> </w:t>
      </w:r>
      <w:r>
        <w:rPr>
          <w:rFonts w:ascii="Calibri"/>
          <w:w w:val="105"/>
          <w:sz w:val="21"/>
        </w:rPr>
        <w:t>statements.</w:t>
      </w:r>
    </w:p>
    <w:p w:rsidR="006C17CB" w:rsidRDefault="0030091C">
      <w:pPr>
        <w:spacing w:before="22"/>
        <w:ind w:left="1022"/>
        <w:rPr>
          <w:rFonts w:ascii="Calibri"/>
          <w:b/>
          <w:sz w:val="21"/>
        </w:rPr>
      </w:pPr>
      <w:r>
        <w:rPr>
          <w:rFonts w:ascii="Calibri"/>
          <w:b/>
          <w:w w:val="105"/>
          <w:sz w:val="21"/>
        </w:rPr>
        <w:t>Responsibility for the audit of the financial statements</w:t>
      </w:r>
    </w:p>
    <w:p w:rsidR="006C17CB" w:rsidRDefault="0030091C">
      <w:pPr>
        <w:spacing w:before="101" w:line="208" w:lineRule="auto"/>
        <w:ind w:left="1022" w:right="1995"/>
        <w:jc w:val="both"/>
        <w:rPr>
          <w:rFonts w:ascii="Calibri"/>
          <w:sz w:val="21"/>
        </w:rPr>
      </w:pPr>
      <w:r>
        <w:rPr>
          <w:rFonts w:ascii="Calibri"/>
          <w:w w:val="105"/>
          <w:sz w:val="21"/>
        </w:rPr>
        <w:t>Under</w:t>
      </w:r>
      <w:r>
        <w:rPr>
          <w:rFonts w:ascii="Calibri"/>
          <w:spacing w:val="-12"/>
          <w:w w:val="105"/>
          <w:sz w:val="21"/>
        </w:rPr>
        <w:t xml:space="preserve"> </w:t>
      </w:r>
      <w:r>
        <w:rPr>
          <w:rFonts w:ascii="Calibri"/>
          <w:w w:val="105"/>
          <w:sz w:val="21"/>
        </w:rPr>
        <w:t>the</w:t>
      </w:r>
      <w:r>
        <w:rPr>
          <w:rFonts w:ascii="Calibri"/>
          <w:spacing w:val="-12"/>
          <w:w w:val="105"/>
          <w:sz w:val="21"/>
        </w:rPr>
        <w:t xml:space="preserve"> </w:t>
      </w:r>
      <w:r>
        <w:rPr>
          <w:rFonts w:ascii="Calibri"/>
          <w:i/>
          <w:w w:val="105"/>
          <w:sz w:val="21"/>
        </w:rPr>
        <w:t>Financial</w:t>
      </w:r>
      <w:r>
        <w:rPr>
          <w:rFonts w:ascii="Calibri"/>
          <w:i/>
          <w:spacing w:val="-11"/>
          <w:w w:val="105"/>
          <w:sz w:val="21"/>
        </w:rPr>
        <w:t xml:space="preserve"> </w:t>
      </w:r>
      <w:r>
        <w:rPr>
          <w:rFonts w:ascii="Calibri"/>
          <w:i/>
          <w:w w:val="105"/>
          <w:sz w:val="21"/>
        </w:rPr>
        <w:t>Management</w:t>
      </w:r>
      <w:r>
        <w:rPr>
          <w:rFonts w:ascii="Calibri"/>
          <w:i/>
          <w:spacing w:val="-10"/>
          <w:w w:val="105"/>
          <w:sz w:val="21"/>
        </w:rPr>
        <w:t xml:space="preserve"> </w:t>
      </w:r>
      <w:r>
        <w:rPr>
          <w:rFonts w:ascii="Calibri"/>
          <w:i/>
          <w:w w:val="105"/>
          <w:sz w:val="21"/>
        </w:rPr>
        <w:t>Act</w:t>
      </w:r>
      <w:r>
        <w:rPr>
          <w:rFonts w:ascii="Calibri"/>
          <w:i/>
          <w:spacing w:val="-12"/>
          <w:w w:val="105"/>
          <w:sz w:val="21"/>
        </w:rPr>
        <w:t xml:space="preserve"> </w:t>
      </w:r>
      <w:r>
        <w:rPr>
          <w:rFonts w:ascii="Calibri"/>
          <w:i/>
          <w:w w:val="105"/>
          <w:sz w:val="21"/>
        </w:rPr>
        <w:t>1996</w:t>
      </w:r>
      <w:r>
        <w:rPr>
          <w:rFonts w:ascii="Calibri"/>
          <w:w w:val="105"/>
          <w:sz w:val="21"/>
        </w:rPr>
        <w:t>,</w:t>
      </w:r>
      <w:r>
        <w:rPr>
          <w:rFonts w:ascii="Calibri"/>
          <w:spacing w:val="-12"/>
          <w:w w:val="105"/>
          <w:sz w:val="21"/>
        </w:rPr>
        <w:t xml:space="preserve"> </w:t>
      </w:r>
      <w:r>
        <w:rPr>
          <w:rFonts w:ascii="Calibri"/>
          <w:w w:val="105"/>
          <w:sz w:val="21"/>
        </w:rPr>
        <w:t>the</w:t>
      </w:r>
      <w:r>
        <w:rPr>
          <w:rFonts w:ascii="Calibri"/>
          <w:spacing w:val="-12"/>
          <w:w w:val="105"/>
          <w:sz w:val="21"/>
        </w:rPr>
        <w:t xml:space="preserve"> </w:t>
      </w:r>
      <w:r>
        <w:rPr>
          <w:rFonts w:ascii="Calibri"/>
          <w:w w:val="105"/>
          <w:sz w:val="21"/>
        </w:rPr>
        <w:t>Auditor-General</w:t>
      </w:r>
      <w:r>
        <w:rPr>
          <w:rFonts w:ascii="Calibri"/>
          <w:spacing w:val="-12"/>
          <w:w w:val="105"/>
          <w:sz w:val="21"/>
        </w:rPr>
        <w:t xml:space="preserve"> </w:t>
      </w:r>
      <w:r>
        <w:rPr>
          <w:rFonts w:ascii="Calibri"/>
          <w:w w:val="105"/>
          <w:sz w:val="21"/>
        </w:rPr>
        <w:t>is</w:t>
      </w:r>
      <w:r>
        <w:rPr>
          <w:rFonts w:ascii="Calibri"/>
          <w:spacing w:val="-12"/>
          <w:w w:val="105"/>
          <w:sz w:val="21"/>
        </w:rPr>
        <w:t xml:space="preserve"> </w:t>
      </w:r>
      <w:r>
        <w:rPr>
          <w:rFonts w:ascii="Calibri"/>
          <w:w w:val="105"/>
          <w:sz w:val="21"/>
        </w:rPr>
        <w:t>responsible</w:t>
      </w:r>
      <w:r>
        <w:rPr>
          <w:rFonts w:ascii="Calibri"/>
          <w:spacing w:val="-12"/>
          <w:w w:val="105"/>
          <w:sz w:val="21"/>
        </w:rPr>
        <w:t xml:space="preserve"> </w:t>
      </w:r>
      <w:r>
        <w:rPr>
          <w:rFonts w:ascii="Calibri"/>
          <w:w w:val="105"/>
          <w:sz w:val="21"/>
        </w:rPr>
        <w:t>for</w:t>
      </w:r>
      <w:r>
        <w:rPr>
          <w:rFonts w:ascii="Calibri"/>
          <w:spacing w:val="-12"/>
          <w:w w:val="105"/>
          <w:sz w:val="21"/>
        </w:rPr>
        <w:t xml:space="preserve"> </w:t>
      </w:r>
      <w:r>
        <w:rPr>
          <w:rFonts w:ascii="Calibri"/>
          <w:w w:val="105"/>
          <w:sz w:val="21"/>
        </w:rPr>
        <w:t>issuing an</w:t>
      </w:r>
      <w:r>
        <w:rPr>
          <w:rFonts w:ascii="Calibri"/>
          <w:spacing w:val="-10"/>
          <w:w w:val="105"/>
          <w:sz w:val="21"/>
        </w:rPr>
        <w:t xml:space="preserve"> </w:t>
      </w:r>
      <w:r>
        <w:rPr>
          <w:rFonts w:ascii="Calibri"/>
          <w:w w:val="105"/>
          <w:sz w:val="21"/>
        </w:rPr>
        <w:t>audit</w:t>
      </w:r>
      <w:r>
        <w:rPr>
          <w:rFonts w:ascii="Calibri"/>
          <w:spacing w:val="-10"/>
          <w:w w:val="105"/>
          <w:sz w:val="21"/>
        </w:rPr>
        <w:t xml:space="preserve"> </w:t>
      </w:r>
      <w:r>
        <w:rPr>
          <w:rFonts w:ascii="Calibri"/>
          <w:w w:val="105"/>
          <w:sz w:val="21"/>
        </w:rPr>
        <w:t>report</w:t>
      </w:r>
      <w:r>
        <w:rPr>
          <w:rFonts w:ascii="Calibri"/>
          <w:spacing w:val="-11"/>
          <w:w w:val="105"/>
          <w:sz w:val="21"/>
        </w:rPr>
        <w:t xml:space="preserve"> </w:t>
      </w:r>
      <w:r>
        <w:rPr>
          <w:rFonts w:ascii="Calibri"/>
          <w:w w:val="105"/>
          <w:sz w:val="21"/>
        </w:rPr>
        <w:t>that</w:t>
      </w:r>
      <w:r>
        <w:rPr>
          <w:rFonts w:ascii="Calibri"/>
          <w:spacing w:val="-10"/>
          <w:w w:val="105"/>
          <w:sz w:val="21"/>
        </w:rPr>
        <w:t xml:space="preserve"> </w:t>
      </w:r>
      <w:r>
        <w:rPr>
          <w:rFonts w:ascii="Calibri"/>
          <w:w w:val="105"/>
          <w:sz w:val="21"/>
        </w:rPr>
        <w:t>includes</w:t>
      </w:r>
      <w:r>
        <w:rPr>
          <w:rFonts w:ascii="Calibri"/>
          <w:spacing w:val="-10"/>
          <w:w w:val="105"/>
          <w:sz w:val="21"/>
        </w:rPr>
        <w:t xml:space="preserve"> </w:t>
      </w:r>
      <w:r>
        <w:rPr>
          <w:rFonts w:ascii="Calibri"/>
          <w:w w:val="105"/>
          <w:sz w:val="21"/>
        </w:rPr>
        <w:t>an</w:t>
      </w:r>
      <w:r>
        <w:rPr>
          <w:rFonts w:ascii="Calibri"/>
          <w:spacing w:val="-10"/>
          <w:w w:val="105"/>
          <w:sz w:val="21"/>
        </w:rPr>
        <w:t xml:space="preserve"> </w:t>
      </w:r>
      <w:r>
        <w:rPr>
          <w:rFonts w:ascii="Calibri"/>
          <w:w w:val="105"/>
          <w:sz w:val="21"/>
        </w:rPr>
        <w:t>independent</w:t>
      </w:r>
      <w:r>
        <w:rPr>
          <w:rFonts w:ascii="Calibri"/>
          <w:spacing w:val="-10"/>
          <w:w w:val="105"/>
          <w:sz w:val="21"/>
        </w:rPr>
        <w:t xml:space="preserve"> </w:t>
      </w:r>
      <w:r>
        <w:rPr>
          <w:rFonts w:ascii="Calibri"/>
          <w:w w:val="105"/>
          <w:sz w:val="21"/>
        </w:rPr>
        <w:t>audit</w:t>
      </w:r>
      <w:r>
        <w:rPr>
          <w:rFonts w:ascii="Calibri"/>
          <w:spacing w:val="-10"/>
          <w:w w:val="105"/>
          <w:sz w:val="21"/>
        </w:rPr>
        <w:t xml:space="preserve"> </w:t>
      </w:r>
      <w:r>
        <w:rPr>
          <w:rFonts w:ascii="Calibri"/>
          <w:w w:val="105"/>
          <w:sz w:val="21"/>
        </w:rPr>
        <w:t>opinion</w:t>
      </w:r>
      <w:r>
        <w:rPr>
          <w:rFonts w:ascii="Calibri"/>
          <w:spacing w:val="-10"/>
          <w:w w:val="105"/>
          <w:sz w:val="21"/>
        </w:rPr>
        <w:t xml:space="preserve"> </w:t>
      </w:r>
      <w:r>
        <w:rPr>
          <w:rFonts w:ascii="Calibri"/>
          <w:w w:val="105"/>
          <w:sz w:val="21"/>
        </w:rPr>
        <w:t>on</w:t>
      </w:r>
      <w:r>
        <w:rPr>
          <w:rFonts w:ascii="Calibri"/>
          <w:spacing w:val="-10"/>
          <w:w w:val="105"/>
          <w:sz w:val="21"/>
        </w:rPr>
        <w:t xml:space="preserve"> </w:t>
      </w:r>
      <w:r>
        <w:rPr>
          <w:rFonts w:ascii="Calibri"/>
          <w:w w:val="105"/>
          <w:sz w:val="21"/>
        </w:rPr>
        <w:t>the</w:t>
      </w:r>
      <w:r>
        <w:rPr>
          <w:rFonts w:ascii="Calibri"/>
          <w:spacing w:val="-12"/>
          <w:w w:val="105"/>
          <w:sz w:val="21"/>
        </w:rPr>
        <w:t xml:space="preserve"> </w:t>
      </w:r>
      <w:r>
        <w:rPr>
          <w:rFonts w:ascii="Calibri"/>
          <w:w w:val="105"/>
          <w:sz w:val="21"/>
        </w:rPr>
        <w:t>financial</w:t>
      </w:r>
      <w:r>
        <w:rPr>
          <w:rFonts w:ascii="Calibri"/>
          <w:spacing w:val="-10"/>
          <w:w w:val="105"/>
          <w:sz w:val="21"/>
        </w:rPr>
        <w:t xml:space="preserve"> </w:t>
      </w:r>
      <w:r>
        <w:rPr>
          <w:rFonts w:ascii="Calibri"/>
          <w:w w:val="105"/>
          <w:sz w:val="21"/>
        </w:rPr>
        <w:t>statements</w:t>
      </w:r>
      <w:r>
        <w:rPr>
          <w:rFonts w:ascii="Calibri"/>
          <w:spacing w:val="-10"/>
          <w:w w:val="105"/>
          <w:sz w:val="21"/>
        </w:rPr>
        <w:t xml:space="preserve"> </w:t>
      </w:r>
      <w:r>
        <w:rPr>
          <w:rFonts w:ascii="Calibri"/>
          <w:w w:val="105"/>
          <w:sz w:val="21"/>
        </w:rPr>
        <w:t>of the Office of the Legislative</w:t>
      </w:r>
      <w:r>
        <w:rPr>
          <w:rFonts w:ascii="Calibri"/>
          <w:spacing w:val="-11"/>
          <w:w w:val="105"/>
          <w:sz w:val="21"/>
        </w:rPr>
        <w:t xml:space="preserve"> </w:t>
      </w:r>
      <w:r>
        <w:rPr>
          <w:rFonts w:ascii="Calibri"/>
          <w:w w:val="105"/>
          <w:sz w:val="21"/>
        </w:rPr>
        <w:t>Assembly.</w:t>
      </w:r>
    </w:p>
    <w:p w:rsidR="006C17CB" w:rsidRDefault="0030091C">
      <w:pPr>
        <w:spacing w:before="187"/>
        <w:ind w:left="1022"/>
        <w:rPr>
          <w:rFonts w:ascii="Calibri"/>
          <w:sz w:val="21"/>
        </w:rPr>
      </w:pPr>
      <w:r>
        <w:rPr>
          <w:rFonts w:ascii="Calibri"/>
          <w:w w:val="105"/>
          <w:sz w:val="21"/>
        </w:rPr>
        <w:t>As required by Australian Auditing Standards, the auditors:</w:t>
      </w:r>
    </w:p>
    <w:p w:rsidR="006C17CB" w:rsidRDefault="0030091C">
      <w:pPr>
        <w:pStyle w:val="ListParagraph"/>
        <w:numPr>
          <w:ilvl w:val="2"/>
          <w:numId w:val="18"/>
        </w:numPr>
        <w:tabs>
          <w:tab w:val="left" w:pos="1531"/>
          <w:tab w:val="left" w:pos="1532"/>
        </w:tabs>
        <w:spacing w:before="187" w:line="240" w:lineRule="auto"/>
        <w:ind w:hanging="509"/>
        <w:rPr>
          <w:rFonts w:ascii="Arial"/>
          <w:sz w:val="21"/>
        </w:rPr>
      </w:pPr>
      <w:r>
        <w:rPr>
          <w:rFonts w:ascii="Calibri"/>
          <w:w w:val="105"/>
          <w:sz w:val="21"/>
        </w:rPr>
        <w:t>applied professional judgement and maintained</w:t>
      </w:r>
      <w:r>
        <w:rPr>
          <w:rFonts w:ascii="Calibri"/>
          <w:spacing w:val="-10"/>
          <w:w w:val="105"/>
          <w:sz w:val="21"/>
        </w:rPr>
        <w:t xml:space="preserve"> </w:t>
      </w:r>
      <w:r>
        <w:rPr>
          <w:rFonts w:ascii="Calibri"/>
          <w:w w:val="105"/>
          <w:sz w:val="21"/>
        </w:rPr>
        <w:t>scepticism;</w:t>
      </w:r>
    </w:p>
    <w:p w:rsidR="006C17CB" w:rsidRDefault="0030091C">
      <w:pPr>
        <w:pStyle w:val="ListParagraph"/>
        <w:numPr>
          <w:ilvl w:val="2"/>
          <w:numId w:val="18"/>
        </w:numPr>
        <w:tabs>
          <w:tab w:val="left" w:pos="1532"/>
        </w:tabs>
        <w:spacing w:before="112" w:line="208" w:lineRule="auto"/>
        <w:ind w:right="1994" w:hanging="509"/>
        <w:jc w:val="both"/>
        <w:rPr>
          <w:rFonts w:ascii="Arial"/>
          <w:sz w:val="21"/>
        </w:rPr>
      </w:pPr>
      <w:r>
        <w:rPr>
          <w:rFonts w:ascii="Calibri"/>
          <w:w w:val="105"/>
          <w:sz w:val="21"/>
        </w:rPr>
        <w:t>identified</w:t>
      </w:r>
      <w:r>
        <w:rPr>
          <w:rFonts w:ascii="Calibri"/>
          <w:spacing w:val="-17"/>
          <w:w w:val="105"/>
          <w:sz w:val="21"/>
        </w:rPr>
        <w:t xml:space="preserve"> </w:t>
      </w:r>
      <w:r>
        <w:rPr>
          <w:rFonts w:ascii="Calibri"/>
          <w:w w:val="105"/>
          <w:sz w:val="21"/>
        </w:rPr>
        <w:t>and</w:t>
      </w:r>
      <w:r>
        <w:rPr>
          <w:rFonts w:ascii="Calibri"/>
          <w:spacing w:val="-17"/>
          <w:w w:val="105"/>
          <w:sz w:val="21"/>
        </w:rPr>
        <w:t xml:space="preserve"> </w:t>
      </w:r>
      <w:r>
        <w:rPr>
          <w:rFonts w:ascii="Calibri"/>
          <w:w w:val="105"/>
          <w:sz w:val="21"/>
        </w:rPr>
        <w:t>assessed</w:t>
      </w:r>
      <w:r>
        <w:rPr>
          <w:rFonts w:ascii="Calibri"/>
          <w:spacing w:val="-17"/>
          <w:w w:val="105"/>
          <w:sz w:val="21"/>
        </w:rPr>
        <w:t xml:space="preserve"> </w:t>
      </w:r>
      <w:r>
        <w:rPr>
          <w:rFonts w:ascii="Calibri"/>
          <w:w w:val="105"/>
          <w:sz w:val="21"/>
        </w:rPr>
        <w:t>the</w:t>
      </w:r>
      <w:r>
        <w:rPr>
          <w:rFonts w:ascii="Calibri"/>
          <w:spacing w:val="-17"/>
          <w:w w:val="105"/>
          <w:sz w:val="21"/>
        </w:rPr>
        <w:t xml:space="preserve"> </w:t>
      </w:r>
      <w:r>
        <w:rPr>
          <w:rFonts w:ascii="Calibri"/>
          <w:w w:val="105"/>
          <w:sz w:val="21"/>
        </w:rPr>
        <w:t>risks</w:t>
      </w:r>
      <w:r>
        <w:rPr>
          <w:rFonts w:ascii="Calibri"/>
          <w:spacing w:val="-17"/>
          <w:w w:val="105"/>
          <w:sz w:val="21"/>
        </w:rPr>
        <w:t xml:space="preserve"> </w:t>
      </w:r>
      <w:r>
        <w:rPr>
          <w:rFonts w:ascii="Calibri"/>
          <w:w w:val="105"/>
          <w:sz w:val="21"/>
        </w:rPr>
        <w:t>of</w:t>
      </w:r>
      <w:r>
        <w:rPr>
          <w:rFonts w:ascii="Calibri"/>
          <w:spacing w:val="-15"/>
          <w:w w:val="105"/>
          <w:sz w:val="21"/>
        </w:rPr>
        <w:t xml:space="preserve"> </w:t>
      </w:r>
      <w:r>
        <w:rPr>
          <w:rFonts w:ascii="Calibri"/>
          <w:w w:val="105"/>
          <w:sz w:val="21"/>
        </w:rPr>
        <w:t>material</w:t>
      </w:r>
      <w:r>
        <w:rPr>
          <w:rFonts w:ascii="Calibri"/>
          <w:spacing w:val="-16"/>
          <w:w w:val="105"/>
          <w:sz w:val="21"/>
        </w:rPr>
        <w:t xml:space="preserve"> </w:t>
      </w:r>
      <w:r>
        <w:rPr>
          <w:rFonts w:ascii="Calibri"/>
          <w:w w:val="105"/>
          <w:sz w:val="21"/>
        </w:rPr>
        <w:t>misstatements</w:t>
      </w:r>
      <w:r>
        <w:rPr>
          <w:rFonts w:ascii="Calibri"/>
          <w:spacing w:val="-18"/>
          <w:w w:val="105"/>
          <w:sz w:val="21"/>
        </w:rPr>
        <w:t xml:space="preserve"> </w:t>
      </w:r>
      <w:r>
        <w:rPr>
          <w:rFonts w:ascii="Calibri"/>
          <w:w w:val="105"/>
          <w:sz w:val="21"/>
        </w:rPr>
        <w:t>due</w:t>
      </w:r>
      <w:r>
        <w:rPr>
          <w:rFonts w:ascii="Calibri"/>
          <w:spacing w:val="-17"/>
          <w:w w:val="105"/>
          <w:sz w:val="21"/>
        </w:rPr>
        <w:t xml:space="preserve"> </w:t>
      </w:r>
      <w:r>
        <w:rPr>
          <w:rFonts w:ascii="Calibri"/>
          <w:w w:val="105"/>
          <w:sz w:val="21"/>
        </w:rPr>
        <w:t>to</w:t>
      </w:r>
      <w:r>
        <w:rPr>
          <w:rFonts w:ascii="Calibri"/>
          <w:spacing w:val="-17"/>
          <w:w w:val="105"/>
          <w:sz w:val="21"/>
        </w:rPr>
        <w:t xml:space="preserve"> </w:t>
      </w:r>
      <w:r>
        <w:rPr>
          <w:rFonts w:ascii="Calibri"/>
          <w:w w:val="105"/>
          <w:sz w:val="21"/>
        </w:rPr>
        <w:t>error</w:t>
      </w:r>
      <w:r>
        <w:rPr>
          <w:rFonts w:ascii="Calibri"/>
          <w:spacing w:val="-17"/>
          <w:w w:val="105"/>
          <w:sz w:val="21"/>
        </w:rPr>
        <w:t xml:space="preserve"> </w:t>
      </w:r>
      <w:r>
        <w:rPr>
          <w:rFonts w:ascii="Calibri"/>
          <w:w w:val="105"/>
          <w:sz w:val="21"/>
        </w:rPr>
        <w:t>or</w:t>
      </w:r>
      <w:r>
        <w:rPr>
          <w:rFonts w:ascii="Calibri"/>
          <w:spacing w:val="-17"/>
          <w:w w:val="105"/>
          <w:sz w:val="21"/>
        </w:rPr>
        <w:t xml:space="preserve"> </w:t>
      </w:r>
      <w:r>
        <w:rPr>
          <w:rFonts w:ascii="Calibri"/>
          <w:w w:val="105"/>
          <w:sz w:val="21"/>
        </w:rPr>
        <w:t>fraud</w:t>
      </w:r>
      <w:r>
        <w:rPr>
          <w:rFonts w:ascii="Calibri"/>
          <w:spacing w:val="-17"/>
          <w:w w:val="105"/>
          <w:sz w:val="21"/>
        </w:rPr>
        <w:t xml:space="preserve"> </w:t>
      </w:r>
      <w:r>
        <w:rPr>
          <w:rFonts w:ascii="Calibri"/>
          <w:w w:val="105"/>
          <w:sz w:val="21"/>
        </w:rPr>
        <w:t>and implemented procedures to address these risks so that sufficient evidence was obtained</w:t>
      </w:r>
      <w:r>
        <w:rPr>
          <w:rFonts w:ascii="Calibri"/>
          <w:spacing w:val="-11"/>
          <w:w w:val="105"/>
          <w:sz w:val="21"/>
        </w:rPr>
        <w:t xml:space="preserve"> </w:t>
      </w:r>
      <w:r>
        <w:rPr>
          <w:rFonts w:ascii="Calibri"/>
          <w:w w:val="105"/>
          <w:sz w:val="21"/>
        </w:rPr>
        <w:t>to</w:t>
      </w:r>
      <w:r>
        <w:rPr>
          <w:rFonts w:ascii="Calibri"/>
          <w:spacing w:val="-11"/>
          <w:w w:val="105"/>
          <w:sz w:val="21"/>
        </w:rPr>
        <w:t xml:space="preserve"> </w:t>
      </w:r>
      <w:r>
        <w:rPr>
          <w:rFonts w:ascii="Calibri"/>
          <w:w w:val="105"/>
          <w:sz w:val="21"/>
        </w:rPr>
        <w:t>form</w:t>
      </w:r>
      <w:r>
        <w:rPr>
          <w:rFonts w:ascii="Calibri"/>
          <w:spacing w:val="-12"/>
          <w:w w:val="105"/>
          <w:sz w:val="21"/>
        </w:rPr>
        <w:t xml:space="preserve"> </w:t>
      </w:r>
      <w:r>
        <w:rPr>
          <w:rFonts w:ascii="Calibri"/>
          <w:w w:val="105"/>
          <w:sz w:val="21"/>
        </w:rPr>
        <w:t>an</w:t>
      </w:r>
      <w:r>
        <w:rPr>
          <w:rFonts w:ascii="Calibri"/>
          <w:spacing w:val="-11"/>
          <w:w w:val="105"/>
          <w:sz w:val="21"/>
        </w:rPr>
        <w:t xml:space="preserve"> </w:t>
      </w:r>
      <w:r>
        <w:rPr>
          <w:rFonts w:ascii="Calibri"/>
          <w:w w:val="105"/>
          <w:sz w:val="21"/>
        </w:rPr>
        <w:t>audit</w:t>
      </w:r>
      <w:r>
        <w:rPr>
          <w:rFonts w:ascii="Calibri"/>
          <w:spacing w:val="-11"/>
          <w:w w:val="105"/>
          <w:sz w:val="21"/>
        </w:rPr>
        <w:t xml:space="preserve"> </w:t>
      </w:r>
      <w:r>
        <w:rPr>
          <w:rFonts w:ascii="Calibri"/>
          <w:w w:val="105"/>
          <w:sz w:val="21"/>
        </w:rPr>
        <w:t>opinion.</w:t>
      </w:r>
      <w:r>
        <w:rPr>
          <w:rFonts w:ascii="Calibri"/>
          <w:spacing w:val="-13"/>
          <w:w w:val="105"/>
          <w:sz w:val="21"/>
        </w:rPr>
        <w:t xml:space="preserve"> </w:t>
      </w:r>
      <w:r>
        <w:rPr>
          <w:rFonts w:ascii="Calibri"/>
          <w:w w:val="105"/>
          <w:sz w:val="21"/>
        </w:rPr>
        <w:t>The</w:t>
      </w:r>
      <w:r>
        <w:rPr>
          <w:rFonts w:ascii="Calibri"/>
          <w:spacing w:val="-12"/>
          <w:w w:val="105"/>
          <w:sz w:val="21"/>
        </w:rPr>
        <w:t xml:space="preserve"> </w:t>
      </w:r>
      <w:r>
        <w:rPr>
          <w:rFonts w:ascii="Calibri"/>
          <w:w w:val="105"/>
          <w:sz w:val="21"/>
        </w:rPr>
        <w:t>risk</w:t>
      </w:r>
      <w:r>
        <w:rPr>
          <w:rFonts w:ascii="Calibri"/>
          <w:spacing w:val="-11"/>
          <w:w w:val="105"/>
          <w:sz w:val="21"/>
        </w:rPr>
        <w:t xml:space="preserve"> </w:t>
      </w:r>
      <w:r>
        <w:rPr>
          <w:rFonts w:ascii="Calibri"/>
          <w:w w:val="105"/>
          <w:sz w:val="21"/>
        </w:rPr>
        <w:t>of</w:t>
      </w:r>
      <w:r>
        <w:rPr>
          <w:rFonts w:ascii="Calibri"/>
          <w:spacing w:val="-11"/>
          <w:w w:val="105"/>
          <w:sz w:val="21"/>
        </w:rPr>
        <w:t xml:space="preserve"> </w:t>
      </w:r>
      <w:r>
        <w:rPr>
          <w:rFonts w:ascii="Calibri"/>
          <w:w w:val="105"/>
          <w:sz w:val="21"/>
        </w:rPr>
        <w:t>not</w:t>
      </w:r>
      <w:r>
        <w:rPr>
          <w:rFonts w:ascii="Calibri"/>
          <w:spacing w:val="-11"/>
          <w:w w:val="105"/>
          <w:sz w:val="21"/>
        </w:rPr>
        <w:t xml:space="preserve"> </w:t>
      </w:r>
      <w:r>
        <w:rPr>
          <w:rFonts w:ascii="Calibri"/>
          <w:w w:val="105"/>
          <w:sz w:val="21"/>
        </w:rPr>
        <w:t>detecting</w:t>
      </w:r>
      <w:r>
        <w:rPr>
          <w:rFonts w:ascii="Calibri"/>
          <w:spacing w:val="-12"/>
          <w:w w:val="105"/>
          <w:sz w:val="21"/>
        </w:rPr>
        <w:t xml:space="preserve"> </w:t>
      </w:r>
      <w:r>
        <w:rPr>
          <w:rFonts w:ascii="Calibri"/>
          <w:w w:val="105"/>
          <w:sz w:val="21"/>
        </w:rPr>
        <w:t>material</w:t>
      </w:r>
      <w:r>
        <w:rPr>
          <w:rFonts w:ascii="Calibri"/>
          <w:spacing w:val="-12"/>
          <w:w w:val="105"/>
          <w:sz w:val="21"/>
        </w:rPr>
        <w:t xml:space="preserve"> </w:t>
      </w:r>
      <w:r>
        <w:rPr>
          <w:rFonts w:ascii="Calibri"/>
          <w:w w:val="105"/>
          <w:sz w:val="21"/>
        </w:rPr>
        <w:t>misstatements due to fraud is higher than the risk due to error, as fraud may involve collusion, forgery, intentional omissions or misrepresentations or the override of internal controls;</w:t>
      </w:r>
    </w:p>
    <w:p w:rsidR="006C17CB" w:rsidRDefault="0030091C">
      <w:pPr>
        <w:pStyle w:val="ListParagraph"/>
        <w:numPr>
          <w:ilvl w:val="2"/>
          <w:numId w:val="18"/>
        </w:numPr>
        <w:tabs>
          <w:tab w:val="left" w:pos="1532"/>
        </w:tabs>
        <w:spacing w:before="122" w:line="208" w:lineRule="auto"/>
        <w:ind w:right="1997" w:hanging="509"/>
        <w:jc w:val="both"/>
        <w:rPr>
          <w:rFonts w:ascii="Arial"/>
          <w:sz w:val="21"/>
        </w:rPr>
      </w:pPr>
      <w:r>
        <w:rPr>
          <w:rFonts w:ascii="Calibri"/>
          <w:w w:val="105"/>
          <w:sz w:val="21"/>
        </w:rPr>
        <w:t>obtained an understanding of internal controls to design audit procedures for forming an audit</w:t>
      </w:r>
      <w:r>
        <w:rPr>
          <w:rFonts w:ascii="Calibri"/>
          <w:spacing w:val="-8"/>
          <w:w w:val="105"/>
          <w:sz w:val="21"/>
        </w:rPr>
        <w:t xml:space="preserve"> </w:t>
      </w:r>
      <w:r>
        <w:rPr>
          <w:rFonts w:ascii="Calibri"/>
          <w:w w:val="105"/>
          <w:sz w:val="21"/>
        </w:rPr>
        <w:t>opinion;</w:t>
      </w:r>
    </w:p>
    <w:p w:rsidR="006C17CB" w:rsidRDefault="0030091C">
      <w:pPr>
        <w:pStyle w:val="ListParagraph"/>
        <w:numPr>
          <w:ilvl w:val="2"/>
          <w:numId w:val="18"/>
        </w:numPr>
        <w:tabs>
          <w:tab w:val="left" w:pos="1532"/>
        </w:tabs>
        <w:spacing w:before="117" w:line="211" w:lineRule="auto"/>
        <w:ind w:right="1994" w:hanging="509"/>
        <w:jc w:val="both"/>
        <w:rPr>
          <w:rFonts w:ascii="Arial"/>
          <w:sz w:val="21"/>
        </w:rPr>
      </w:pPr>
      <w:r>
        <w:rPr>
          <w:rFonts w:ascii="Calibri"/>
          <w:w w:val="105"/>
          <w:sz w:val="21"/>
        </w:rPr>
        <w:t>evaluated</w:t>
      </w:r>
      <w:r>
        <w:rPr>
          <w:rFonts w:ascii="Calibri"/>
          <w:spacing w:val="-26"/>
          <w:w w:val="105"/>
          <w:sz w:val="21"/>
        </w:rPr>
        <w:t xml:space="preserve"> </w:t>
      </w:r>
      <w:r>
        <w:rPr>
          <w:rFonts w:ascii="Calibri"/>
          <w:w w:val="105"/>
          <w:sz w:val="21"/>
        </w:rPr>
        <w:t>accounting</w:t>
      </w:r>
      <w:r>
        <w:rPr>
          <w:rFonts w:ascii="Calibri"/>
          <w:spacing w:val="-27"/>
          <w:w w:val="105"/>
          <w:sz w:val="21"/>
        </w:rPr>
        <w:t xml:space="preserve"> </w:t>
      </w:r>
      <w:r>
        <w:rPr>
          <w:rFonts w:ascii="Calibri"/>
          <w:w w:val="105"/>
          <w:sz w:val="21"/>
        </w:rPr>
        <w:t>policies</w:t>
      </w:r>
      <w:r>
        <w:rPr>
          <w:rFonts w:ascii="Calibri"/>
          <w:spacing w:val="-26"/>
          <w:w w:val="105"/>
          <w:sz w:val="21"/>
        </w:rPr>
        <w:t xml:space="preserve"> </w:t>
      </w:r>
      <w:r>
        <w:rPr>
          <w:rFonts w:ascii="Calibri"/>
          <w:w w:val="105"/>
          <w:sz w:val="21"/>
        </w:rPr>
        <w:t>and</w:t>
      </w:r>
      <w:r>
        <w:rPr>
          <w:rFonts w:ascii="Calibri"/>
          <w:spacing w:val="-26"/>
          <w:w w:val="105"/>
          <w:sz w:val="21"/>
        </w:rPr>
        <w:t xml:space="preserve"> </w:t>
      </w:r>
      <w:r>
        <w:rPr>
          <w:rFonts w:ascii="Calibri"/>
          <w:w w:val="105"/>
          <w:sz w:val="21"/>
        </w:rPr>
        <w:t>estimates</w:t>
      </w:r>
      <w:r>
        <w:rPr>
          <w:rFonts w:ascii="Calibri"/>
          <w:spacing w:val="-27"/>
          <w:w w:val="105"/>
          <w:sz w:val="21"/>
        </w:rPr>
        <w:t xml:space="preserve"> </w:t>
      </w:r>
      <w:r>
        <w:rPr>
          <w:rFonts w:ascii="Calibri"/>
          <w:w w:val="105"/>
          <w:sz w:val="21"/>
        </w:rPr>
        <w:t>used</w:t>
      </w:r>
      <w:r>
        <w:rPr>
          <w:rFonts w:ascii="Calibri"/>
          <w:spacing w:val="-28"/>
          <w:w w:val="105"/>
          <w:sz w:val="21"/>
        </w:rPr>
        <w:t xml:space="preserve"> </w:t>
      </w:r>
      <w:r>
        <w:rPr>
          <w:rFonts w:ascii="Calibri"/>
          <w:w w:val="105"/>
          <w:sz w:val="21"/>
        </w:rPr>
        <w:t>to</w:t>
      </w:r>
      <w:r>
        <w:rPr>
          <w:rFonts w:ascii="Calibri"/>
          <w:spacing w:val="-26"/>
          <w:w w:val="105"/>
          <w:sz w:val="21"/>
        </w:rPr>
        <w:t xml:space="preserve"> </w:t>
      </w:r>
      <w:r>
        <w:rPr>
          <w:rFonts w:ascii="Calibri"/>
          <w:w w:val="105"/>
          <w:sz w:val="21"/>
        </w:rPr>
        <w:t>prepare</w:t>
      </w:r>
      <w:r>
        <w:rPr>
          <w:rFonts w:ascii="Calibri"/>
          <w:spacing w:val="-28"/>
          <w:w w:val="105"/>
          <w:sz w:val="21"/>
        </w:rPr>
        <w:t xml:space="preserve"> </w:t>
      </w:r>
      <w:r>
        <w:rPr>
          <w:rFonts w:ascii="Calibri"/>
          <w:w w:val="105"/>
          <w:sz w:val="21"/>
        </w:rPr>
        <w:t>the</w:t>
      </w:r>
      <w:r>
        <w:rPr>
          <w:rFonts w:ascii="Calibri"/>
          <w:spacing w:val="-28"/>
          <w:w w:val="105"/>
          <w:sz w:val="21"/>
        </w:rPr>
        <w:t xml:space="preserve"> </w:t>
      </w:r>
      <w:r>
        <w:rPr>
          <w:rFonts w:ascii="Calibri"/>
          <w:w w:val="105"/>
          <w:sz w:val="21"/>
        </w:rPr>
        <w:t>financial</w:t>
      </w:r>
      <w:r>
        <w:rPr>
          <w:rFonts w:ascii="Calibri"/>
          <w:spacing w:val="-27"/>
          <w:w w:val="105"/>
          <w:sz w:val="21"/>
        </w:rPr>
        <w:t xml:space="preserve"> </w:t>
      </w:r>
      <w:r>
        <w:rPr>
          <w:rFonts w:ascii="Calibri"/>
          <w:w w:val="105"/>
          <w:sz w:val="21"/>
        </w:rPr>
        <w:t>statements and disclosures made in the financial</w:t>
      </w:r>
      <w:r>
        <w:rPr>
          <w:rFonts w:ascii="Calibri"/>
          <w:spacing w:val="-18"/>
          <w:w w:val="105"/>
          <w:sz w:val="21"/>
        </w:rPr>
        <w:t xml:space="preserve"> </w:t>
      </w:r>
      <w:r>
        <w:rPr>
          <w:rFonts w:ascii="Calibri"/>
          <w:w w:val="105"/>
          <w:sz w:val="21"/>
        </w:rPr>
        <w:t>statements;</w:t>
      </w:r>
    </w:p>
    <w:p w:rsidR="006C17CB" w:rsidRDefault="0030091C">
      <w:pPr>
        <w:pStyle w:val="ListParagraph"/>
        <w:numPr>
          <w:ilvl w:val="2"/>
          <w:numId w:val="18"/>
        </w:numPr>
        <w:tabs>
          <w:tab w:val="left" w:pos="1532"/>
        </w:tabs>
        <w:spacing w:before="117" w:line="208" w:lineRule="auto"/>
        <w:ind w:right="1995" w:hanging="509"/>
        <w:jc w:val="both"/>
        <w:rPr>
          <w:rFonts w:ascii="Arial"/>
          <w:sz w:val="21"/>
        </w:rPr>
      </w:pPr>
      <w:r>
        <w:rPr>
          <w:rFonts w:ascii="Calibri"/>
          <w:w w:val="105"/>
          <w:sz w:val="21"/>
        </w:rPr>
        <w:t>evaluated</w:t>
      </w:r>
      <w:r>
        <w:rPr>
          <w:rFonts w:ascii="Calibri"/>
          <w:spacing w:val="-22"/>
          <w:w w:val="105"/>
          <w:sz w:val="21"/>
        </w:rPr>
        <w:t xml:space="preserve"> </w:t>
      </w:r>
      <w:r>
        <w:rPr>
          <w:rFonts w:ascii="Calibri"/>
          <w:w w:val="105"/>
          <w:sz w:val="21"/>
        </w:rPr>
        <w:t>the</w:t>
      </w:r>
      <w:r>
        <w:rPr>
          <w:rFonts w:ascii="Calibri"/>
          <w:spacing w:val="-22"/>
          <w:w w:val="105"/>
          <w:sz w:val="21"/>
        </w:rPr>
        <w:t xml:space="preserve"> </w:t>
      </w:r>
      <w:r>
        <w:rPr>
          <w:rFonts w:ascii="Calibri"/>
          <w:w w:val="105"/>
          <w:sz w:val="21"/>
        </w:rPr>
        <w:t>overall</w:t>
      </w:r>
      <w:r>
        <w:rPr>
          <w:rFonts w:ascii="Calibri"/>
          <w:spacing w:val="-23"/>
          <w:w w:val="105"/>
          <w:sz w:val="21"/>
        </w:rPr>
        <w:t xml:space="preserve"> </w:t>
      </w:r>
      <w:r>
        <w:rPr>
          <w:rFonts w:ascii="Calibri"/>
          <w:w w:val="105"/>
          <w:sz w:val="21"/>
        </w:rPr>
        <w:t>presentation</w:t>
      </w:r>
      <w:r>
        <w:rPr>
          <w:rFonts w:ascii="Calibri"/>
          <w:spacing w:val="-22"/>
          <w:w w:val="105"/>
          <w:sz w:val="21"/>
        </w:rPr>
        <w:t xml:space="preserve"> </w:t>
      </w:r>
      <w:r>
        <w:rPr>
          <w:rFonts w:ascii="Calibri"/>
          <w:w w:val="105"/>
          <w:sz w:val="21"/>
        </w:rPr>
        <w:t>and</w:t>
      </w:r>
      <w:r>
        <w:rPr>
          <w:rFonts w:ascii="Calibri"/>
          <w:spacing w:val="-22"/>
          <w:w w:val="105"/>
          <w:sz w:val="21"/>
        </w:rPr>
        <w:t xml:space="preserve"> </w:t>
      </w:r>
      <w:r>
        <w:rPr>
          <w:rFonts w:ascii="Calibri"/>
          <w:w w:val="105"/>
          <w:sz w:val="21"/>
        </w:rPr>
        <w:t>content</w:t>
      </w:r>
      <w:r>
        <w:rPr>
          <w:rFonts w:ascii="Calibri"/>
          <w:spacing w:val="-22"/>
          <w:w w:val="105"/>
          <w:sz w:val="21"/>
        </w:rPr>
        <w:t xml:space="preserve"> </w:t>
      </w:r>
      <w:r>
        <w:rPr>
          <w:rFonts w:ascii="Calibri"/>
          <w:w w:val="105"/>
          <w:sz w:val="21"/>
        </w:rPr>
        <w:t>of</w:t>
      </w:r>
      <w:r>
        <w:rPr>
          <w:rFonts w:ascii="Calibri"/>
          <w:spacing w:val="-24"/>
          <w:w w:val="105"/>
          <w:sz w:val="21"/>
        </w:rPr>
        <w:t xml:space="preserve"> </w:t>
      </w:r>
      <w:r>
        <w:rPr>
          <w:rFonts w:ascii="Calibri"/>
          <w:w w:val="105"/>
          <w:sz w:val="21"/>
        </w:rPr>
        <w:t>the</w:t>
      </w:r>
      <w:r>
        <w:rPr>
          <w:rFonts w:ascii="Calibri"/>
          <w:spacing w:val="-22"/>
          <w:w w:val="105"/>
          <w:sz w:val="21"/>
        </w:rPr>
        <w:t xml:space="preserve"> </w:t>
      </w:r>
      <w:r>
        <w:rPr>
          <w:rFonts w:ascii="Calibri"/>
          <w:w w:val="105"/>
          <w:sz w:val="21"/>
        </w:rPr>
        <w:t>financial</w:t>
      </w:r>
      <w:r>
        <w:rPr>
          <w:rFonts w:ascii="Calibri"/>
          <w:spacing w:val="-23"/>
          <w:w w:val="105"/>
          <w:sz w:val="21"/>
        </w:rPr>
        <w:t xml:space="preserve"> </w:t>
      </w:r>
      <w:r>
        <w:rPr>
          <w:rFonts w:ascii="Calibri"/>
          <w:w w:val="105"/>
          <w:sz w:val="21"/>
        </w:rPr>
        <w:t>statements,</w:t>
      </w:r>
      <w:r>
        <w:rPr>
          <w:rFonts w:ascii="Calibri"/>
          <w:spacing w:val="-24"/>
          <w:w w:val="105"/>
          <w:sz w:val="21"/>
        </w:rPr>
        <w:t xml:space="preserve"> </w:t>
      </w:r>
      <w:r>
        <w:rPr>
          <w:rFonts w:ascii="Calibri"/>
          <w:w w:val="105"/>
          <w:sz w:val="21"/>
        </w:rPr>
        <w:t>including whether they present the underlying transactions and events in a manner that achieves fair</w:t>
      </w:r>
      <w:r>
        <w:rPr>
          <w:rFonts w:ascii="Calibri"/>
          <w:spacing w:val="-5"/>
          <w:w w:val="105"/>
          <w:sz w:val="21"/>
        </w:rPr>
        <w:t xml:space="preserve"> </w:t>
      </w:r>
      <w:r>
        <w:rPr>
          <w:rFonts w:ascii="Calibri"/>
          <w:w w:val="105"/>
          <w:sz w:val="21"/>
        </w:rPr>
        <w:t>presentation;</w:t>
      </w:r>
    </w:p>
    <w:p w:rsidR="006C17CB" w:rsidRDefault="0030091C">
      <w:pPr>
        <w:pStyle w:val="ListParagraph"/>
        <w:numPr>
          <w:ilvl w:val="2"/>
          <w:numId w:val="18"/>
        </w:numPr>
        <w:tabs>
          <w:tab w:val="left" w:pos="1532"/>
        </w:tabs>
        <w:spacing w:before="117" w:line="211" w:lineRule="auto"/>
        <w:ind w:right="1997" w:hanging="509"/>
        <w:jc w:val="both"/>
        <w:rPr>
          <w:rFonts w:ascii="Arial"/>
          <w:sz w:val="21"/>
        </w:rPr>
      </w:pPr>
      <w:r>
        <w:rPr>
          <w:rFonts w:ascii="Calibri"/>
          <w:w w:val="105"/>
          <w:sz w:val="21"/>
        </w:rPr>
        <w:t>reported</w:t>
      </w:r>
      <w:r>
        <w:rPr>
          <w:rFonts w:ascii="Calibri"/>
          <w:spacing w:val="-19"/>
          <w:w w:val="105"/>
          <w:sz w:val="21"/>
        </w:rPr>
        <w:t xml:space="preserve"> </w:t>
      </w:r>
      <w:r>
        <w:rPr>
          <w:rFonts w:ascii="Calibri"/>
          <w:w w:val="105"/>
          <w:sz w:val="21"/>
        </w:rPr>
        <w:t>the</w:t>
      </w:r>
      <w:r>
        <w:rPr>
          <w:rFonts w:ascii="Calibri"/>
          <w:spacing w:val="-19"/>
          <w:w w:val="105"/>
          <w:sz w:val="21"/>
        </w:rPr>
        <w:t xml:space="preserve"> </w:t>
      </w:r>
      <w:r>
        <w:rPr>
          <w:rFonts w:ascii="Calibri"/>
          <w:w w:val="105"/>
          <w:sz w:val="21"/>
        </w:rPr>
        <w:t>scope</w:t>
      </w:r>
      <w:r>
        <w:rPr>
          <w:rFonts w:ascii="Calibri"/>
          <w:spacing w:val="-19"/>
          <w:w w:val="105"/>
          <w:sz w:val="21"/>
        </w:rPr>
        <w:t xml:space="preserve"> </w:t>
      </w:r>
      <w:r>
        <w:rPr>
          <w:rFonts w:ascii="Calibri"/>
          <w:w w:val="105"/>
          <w:sz w:val="21"/>
        </w:rPr>
        <w:t>and</w:t>
      </w:r>
      <w:r>
        <w:rPr>
          <w:rFonts w:ascii="Calibri"/>
          <w:spacing w:val="-19"/>
          <w:w w:val="105"/>
          <w:sz w:val="21"/>
        </w:rPr>
        <w:t xml:space="preserve"> </w:t>
      </w:r>
      <w:r>
        <w:rPr>
          <w:rFonts w:ascii="Calibri"/>
          <w:w w:val="105"/>
          <w:sz w:val="21"/>
        </w:rPr>
        <w:t>timing</w:t>
      </w:r>
      <w:r>
        <w:rPr>
          <w:rFonts w:ascii="Calibri"/>
          <w:spacing w:val="-18"/>
          <w:w w:val="105"/>
          <w:sz w:val="21"/>
        </w:rPr>
        <w:t xml:space="preserve"> </w:t>
      </w:r>
      <w:r>
        <w:rPr>
          <w:rFonts w:ascii="Calibri"/>
          <w:w w:val="105"/>
          <w:sz w:val="21"/>
        </w:rPr>
        <w:t>of</w:t>
      </w:r>
      <w:r>
        <w:rPr>
          <w:rFonts w:ascii="Calibri"/>
          <w:spacing w:val="-19"/>
          <w:w w:val="105"/>
          <w:sz w:val="21"/>
        </w:rPr>
        <w:t xml:space="preserve"> </w:t>
      </w:r>
      <w:r>
        <w:rPr>
          <w:rFonts w:ascii="Calibri"/>
          <w:w w:val="105"/>
          <w:sz w:val="21"/>
        </w:rPr>
        <w:t>the</w:t>
      </w:r>
      <w:r>
        <w:rPr>
          <w:rFonts w:ascii="Calibri"/>
          <w:spacing w:val="-19"/>
          <w:w w:val="105"/>
          <w:sz w:val="21"/>
        </w:rPr>
        <w:t xml:space="preserve"> </w:t>
      </w:r>
      <w:r>
        <w:rPr>
          <w:rFonts w:ascii="Calibri"/>
          <w:w w:val="105"/>
          <w:sz w:val="21"/>
        </w:rPr>
        <w:t>audit</w:t>
      </w:r>
      <w:r>
        <w:rPr>
          <w:rFonts w:ascii="Calibri"/>
          <w:spacing w:val="-19"/>
          <w:w w:val="105"/>
          <w:sz w:val="21"/>
        </w:rPr>
        <w:t xml:space="preserve"> </w:t>
      </w:r>
      <w:r>
        <w:rPr>
          <w:rFonts w:ascii="Calibri"/>
          <w:w w:val="105"/>
          <w:sz w:val="21"/>
        </w:rPr>
        <w:t>and</w:t>
      </w:r>
      <w:r>
        <w:rPr>
          <w:rFonts w:ascii="Calibri"/>
          <w:spacing w:val="-19"/>
          <w:w w:val="105"/>
          <w:sz w:val="21"/>
        </w:rPr>
        <w:t xml:space="preserve"> </w:t>
      </w:r>
      <w:r>
        <w:rPr>
          <w:rFonts w:ascii="Calibri"/>
          <w:w w:val="105"/>
          <w:sz w:val="21"/>
        </w:rPr>
        <w:t>any</w:t>
      </w:r>
      <w:r>
        <w:rPr>
          <w:rFonts w:ascii="Calibri"/>
          <w:spacing w:val="-18"/>
          <w:w w:val="105"/>
          <w:sz w:val="21"/>
        </w:rPr>
        <w:t xml:space="preserve"> </w:t>
      </w:r>
      <w:r>
        <w:rPr>
          <w:rFonts w:ascii="Calibri"/>
          <w:w w:val="105"/>
          <w:sz w:val="21"/>
        </w:rPr>
        <w:t>significant</w:t>
      </w:r>
      <w:r>
        <w:rPr>
          <w:rFonts w:ascii="Calibri"/>
          <w:spacing w:val="-19"/>
          <w:w w:val="105"/>
          <w:sz w:val="21"/>
        </w:rPr>
        <w:t xml:space="preserve"> </w:t>
      </w:r>
      <w:r>
        <w:rPr>
          <w:rFonts w:ascii="Calibri"/>
          <w:w w:val="105"/>
          <w:sz w:val="21"/>
        </w:rPr>
        <w:t>deficiencies</w:t>
      </w:r>
      <w:r>
        <w:rPr>
          <w:rFonts w:ascii="Calibri"/>
          <w:spacing w:val="-18"/>
          <w:w w:val="105"/>
          <w:sz w:val="21"/>
        </w:rPr>
        <w:t xml:space="preserve"> </w:t>
      </w:r>
      <w:r>
        <w:rPr>
          <w:rFonts w:ascii="Calibri"/>
          <w:w w:val="105"/>
          <w:sz w:val="21"/>
        </w:rPr>
        <w:t>in</w:t>
      </w:r>
      <w:r>
        <w:rPr>
          <w:rFonts w:ascii="Calibri"/>
          <w:spacing w:val="-18"/>
          <w:w w:val="105"/>
          <w:sz w:val="21"/>
        </w:rPr>
        <w:t xml:space="preserve"> </w:t>
      </w:r>
      <w:r>
        <w:rPr>
          <w:rFonts w:ascii="Calibri"/>
          <w:w w:val="105"/>
          <w:sz w:val="21"/>
        </w:rPr>
        <w:t>internal controls</w:t>
      </w:r>
      <w:r>
        <w:rPr>
          <w:rFonts w:ascii="Calibri"/>
          <w:spacing w:val="-11"/>
          <w:w w:val="105"/>
          <w:sz w:val="21"/>
        </w:rPr>
        <w:t xml:space="preserve"> </w:t>
      </w:r>
      <w:r>
        <w:rPr>
          <w:rFonts w:ascii="Calibri"/>
          <w:w w:val="105"/>
          <w:sz w:val="21"/>
        </w:rPr>
        <w:t>identified</w:t>
      </w:r>
      <w:r>
        <w:rPr>
          <w:rFonts w:ascii="Calibri"/>
          <w:spacing w:val="-8"/>
          <w:w w:val="105"/>
          <w:sz w:val="21"/>
        </w:rPr>
        <w:t xml:space="preserve"> </w:t>
      </w:r>
      <w:r>
        <w:rPr>
          <w:rFonts w:ascii="Calibri"/>
          <w:w w:val="105"/>
          <w:sz w:val="21"/>
        </w:rPr>
        <w:t>during</w:t>
      </w:r>
      <w:r>
        <w:rPr>
          <w:rFonts w:ascii="Calibri"/>
          <w:spacing w:val="-9"/>
          <w:w w:val="105"/>
          <w:sz w:val="21"/>
        </w:rPr>
        <w:t xml:space="preserve"> </w:t>
      </w:r>
      <w:r>
        <w:rPr>
          <w:rFonts w:ascii="Calibri"/>
          <w:w w:val="105"/>
          <w:sz w:val="21"/>
        </w:rPr>
        <w:t>the</w:t>
      </w:r>
      <w:r>
        <w:rPr>
          <w:rFonts w:ascii="Calibri"/>
          <w:spacing w:val="-9"/>
          <w:w w:val="105"/>
          <w:sz w:val="21"/>
        </w:rPr>
        <w:t xml:space="preserve"> </w:t>
      </w:r>
      <w:r>
        <w:rPr>
          <w:rFonts w:ascii="Calibri"/>
          <w:w w:val="105"/>
          <w:sz w:val="21"/>
        </w:rPr>
        <w:t>audit</w:t>
      </w:r>
      <w:r>
        <w:rPr>
          <w:rFonts w:ascii="Calibri"/>
          <w:spacing w:val="-10"/>
          <w:w w:val="105"/>
          <w:sz w:val="21"/>
        </w:rPr>
        <w:t xml:space="preserve"> </w:t>
      </w:r>
      <w:r>
        <w:rPr>
          <w:rFonts w:ascii="Calibri"/>
          <w:w w:val="105"/>
          <w:sz w:val="21"/>
        </w:rPr>
        <w:t>to</w:t>
      </w:r>
      <w:r>
        <w:rPr>
          <w:rFonts w:ascii="Calibri"/>
          <w:spacing w:val="-10"/>
          <w:w w:val="105"/>
          <w:sz w:val="21"/>
        </w:rPr>
        <w:t xml:space="preserve"> </w:t>
      </w:r>
      <w:r>
        <w:rPr>
          <w:rFonts w:ascii="Calibri"/>
          <w:w w:val="105"/>
          <w:sz w:val="21"/>
        </w:rPr>
        <w:t>the</w:t>
      </w:r>
      <w:r>
        <w:rPr>
          <w:rFonts w:ascii="Calibri"/>
          <w:spacing w:val="-10"/>
          <w:w w:val="105"/>
          <w:sz w:val="21"/>
        </w:rPr>
        <w:t xml:space="preserve"> </w:t>
      </w:r>
      <w:r>
        <w:rPr>
          <w:rFonts w:ascii="Calibri"/>
          <w:w w:val="105"/>
          <w:sz w:val="21"/>
        </w:rPr>
        <w:t>Clerk</w:t>
      </w:r>
      <w:r>
        <w:rPr>
          <w:rFonts w:ascii="Calibri"/>
          <w:spacing w:val="-10"/>
          <w:w w:val="105"/>
          <w:sz w:val="21"/>
        </w:rPr>
        <w:t xml:space="preserve"> </w:t>
      </w:r>
      <w:r>
        <w:rPr>
          <w:rFonts w:ascii="Calibri"/>
          <w:w w:val="105"/>
          <w:sz w:val="21"/>
        </w:rPr>
        <w:t>of</w:t>
      </w:r>
      <w:r>
        <w:rPr>
          <w:rFonts w:ascii="Calibri"/>
          <w:spacing w:val="-8"/>
          <w:w w:val="105"/>
          <w:sz w:val="21"/>
        </w:rPr>
        <w:t xml:space="preserve"> </w:t>
      </w:r>
      <w:r>
        <w:rPr>
          <w:rFonts w:ascii="Calibri"/>
          <w:w w:val="105"/>
          <w:sz w:val="21"/>
        </w:rPr>
        <w:t>the</w:t>
      </w:r>
      <w:r>
        <w:rPr>
          <w:rFonts w:ascii="Calibri"/>
          <w:spacing w:val="-9"/>
          <w:w w:val="105"/>
          <w:sz w:val="21"/>
        </w:rPr>
        <w:t xml:space="preserve"> </w:t>
      </w:r>
      <w:r>
        <w:rPr>
          <w:rFonts w:ascii="Calibri"/>
          <w:w w:val="105"/>
          <w:sz w:val="21"/>
        </w:rPr>
        <w:t>Legislative</w:t>
      </w:r>
      <w:r>
        <w:rPr>
          <w:rFonts w:ascii="Calibri"/>
          <w:spacing w:val="-10"/>
          <w:w w:val="105"/>
          <w:sz w:val="21"/>
        </w:rPr>
        <w:t xml:space="preserve"> </w:t>
      </w:r>
      <w:r>
        <w:rPr>
          <w:rFonts w:ascii="Calibri"/>
          <w:w w:val="105"/>
          <w:sz w:val="21"/>
        </w:rPr>
        <w:t>Assembly;</w:t>
      </w:r>
      <w:r>
        <w:rPr>
          <w:rFonts w:ascii="Calibri"/>
          <w:spacing w:val="-9"/>
          <w:w w:val="105"/>
          <w:sz w:val="21"/>
        </w:rPr>
        <w:t xml:space="preserve"> </w:t>
      </w:r>
      <w:r>
        <w:rPr>
          <w:rFonts w:ascii="Calibri"/>
          <w:w w:val="105"/>
          <w:sz w:val="21"/>
        </w:rPr>
        <w:t>and</w:t>
      </w:r>
    </w:p>
    <w:p w:rsidR="006C17CB" w:rsidRDefault="0030091C">
      <w:pPr>
        <w:pStyle w:val="ListParagraph"/>
        <w:numPr>
          <w:ilvl w:val="2"/>
          <w:numId w:val="18"/>
        </w:numPr>
        <w:tabs>
          <w:tab w:val="left" w:pos="1532"/>
        </w:tabs>
        <w:spacing w:before="118" w:line="208" w:lineRule="auto"/>
        <w:ind w:right="1995" w:hanging="509"/>
        <w:jc w:val="both"/>
        <w:rPr>
          <w:rFonts w:ascii="Arial"/>
          <w:sz w:val="21"/>
        </w:rPr>
      </w:pPr>
      <w:r>
        <w:rPr>
          <w:rFonts w:ascii="Calibri"/>
          <w:w w:val="105"/>
          <w:sz w:val="21"/>
        </w:rPr>
        <w:t>assessed the going concern* basis of accounting used in the preparation of the financial</w:t>
      </w:r>
      <w:r>
        <w:rPr>
          <w:rFonts w:ascii="Calibri"/>
          <w:spacing w:val="-1"/>
          <w:w w:val="105"/>
          <w:sz w:val="21"/>
        </w:rPr>
        <w:t xml:space="preserve"> </w:t>
      </w:r>
      <w:r>
        <w:rPr>
          <w:rFonts w:ascii="Calibri"/>
          <w:w w:val="105"/>
          <w:sz w:val="21"/>
        </w:rPr>
        <w:t>statements.</w:t>
      </w:r>
    </w:p>
    <w:p w:rsidR="006C17CB" w:rsidRDefault="0030091C">
      <w:pPr>
        <w:spacing w:before="108" w:line="208" w:lineRule="auto"/>
        <w:ind w:left="1531" w:right="1996"/>
        <w:jc w:val="both"/>
        <w:rPr>
          <w:rFonts w:ascii="Calibri" w:hAnsi="Calibri"/>
          <w:sz w:val="21"/>
        </w:rPr>
      </w:pPr>
      <w:r>
        <w:rPr>
          <w:rFonts w:ascii="Calibri" w:hAnsi="Calibri"/>
          <w:w w:val="105"/>
          <w:sz w:val="21"/>
        </w:rPr>
        <w:t>(*Where the auditor concludes that a material uncertainty exists which cast significant doubt on the appropriateness of using the going concern basis of accounting, the auditor is required to draw attention in the audit report to the relevant</w:t>
      </w:r>
      <w:r>
        <w:rPr>
          <w:rFonts w:ascii="Calibri" w:hAnsi="Calibri"/>
          <w:spacing w:val="-24"/>
          <w:w w:val="105"/>
          <w:sz w:val="21"/>
        </w:rPr>
        <w:t xml:space="preserve"> </w:t>
      </w:r>
      <w:r>
        <w:rPr>
          <w:rFonts w:ascii="Calibri" w:hAnsi="Calibri"/>
          <w:w w:val="105"/>
          <w:sz w:val="21"/>
        </w:rPr>
        <w:t>disclosures</w:t>
      </w:r>
      <w:r>
        <w:rPr>
          <w:rFonts w:ascii="Calibri" w:hAnsi="Calibri"/>
          <w:spacing w:val="-25"/>
          <w:w w:val="105"/>
          <w:sz w:val="21"/>
        </w:rPr>
        <w:t xml:space="preserve"> </w:t>
      </w:r>
      <w:r>
        <w:rPr>
          <w:rFonts w:ascii="Calibri" w:hAnsi="Calibri"/>
          <w:w w:val="105"/>
          <w:sz w:val="21"/>
        </w:rPr>
        <w:t>in</w:t>
      </w:r>
      <w:r>
        <w:rPr>
          <w:rFonts w:ascii="Calibri" w:hAnsi="Calibri"/>
          <w:spacing w:val="-24"/>
          <w:w w:val="105"/>
          <w:sz w:val="21"/>
        </w:rPr>
        <w:t xml:space="preserve"> </w:t>
      </w:r>
      <w:r>
        <w:rPr>
          <w:rFonts w:ascii="Calibri" w:hAnsi="Calibri"/>
          <w:w w:val="105"/>
          <w:sz w:val="21"/>
        </w:rPr>
        <w:t>the</w:t>
      </w:r>
      <w:r>
        <w:rPr>
          <w:rFonts w:ascii="Calibri" w:hAnsi="Calibri"/>
          <w:spacing w:val="-24"/>
          <w:w w:val="105"/>
          <w:sz w:val="21"/>
        </w:rPr>
        <w:t xml:space="preserve"> </w:t>
      </w:r>
      <w:r>
        <w:rPr>
          <w:rFonts w:ascii="Calibri" w:hAnsi="Calibri"/>
          <w:w w:val="105"/>
          <w:sz w:val="21"/>
        </w:rPr>
        <w:t>financial</w:t>
      </w:r>
      <w:r>
        <w:rPr>
          <w:rFonts w:ascii="Calibri" w:hAnsi="Calibri"/>
          <w:spacing w:val="-25"/>
          <w:w w:val="105"/>
          <w:sz w:val="21"/>
        </w:rPr>
        <w:t xml:space="preserve"> </w:t>
      </w:r>
      <w:r>
        <w:rPr>
          <w:rFonts w:ascii="Calibri" w:hAnsi="Calibri"/>
          <w:w w:val="105"/>
          <w:sz w:val="21"/>
        </w:rPr>
        <w:t>statements</w:t>
      </w:r>
      <w:r>
        <w:rPr>
          <w:rFonts w:ascii="Calibri" w:hAnsi="Calibri"/>
          <w:spacing w:val="-25"/>
          <w:w w:val="105"/>
          <w:sz w:val="21"/>
        </w:rPr>
        <w:t xml:space="preserve"> </w:t>
      </w:r>
      <w:r>
        <w:rPr>
          <w:rFonts w:ascii="Calibri" w:hAnsi="Calibri"/>
          <w:w w:val="105"/>
          <w:sz w:val="21"/>
        </w:rPr>
        <w:t>or,</w:t>
      </w:r>
      <w:r>
        <w:rPr>
          <w:rFonts w:ascii="Calibri" w:hAnsi="Calibri"/>
          <w:spacing w:val="-26"/>
          <w:w w:val="105"/>
          <w:sz w:val="21"/>
        </w:rPr>
        <w:t xml:space="preserve"> </w:t>
      </w:r>
      <w:r>
        <w:rPr>
          <w:rFonts w:ascii="Calibri" w:hAnsi="Calibri"/>
          <w:w w:val="105"/>
          <w:sz w:val="21"/>
        </w:rPr>
        <w:t>if</w:t>
      </w:r>
      <w:r>
        <w:rPr>
          <w:rFonts w:ascii="Calibri" w:hAnsi="Calibri"/>
          <w:spacing w:val="-24"/>
          <w:w w:val="105"/>
          <w:sz w:val="21"/>
        </w:rPr>
        <w:t xml:space="preserve"> </w:t>
      </w:r>
      <w:r>
        <w:rPr>
          <w:rFonts w:ascii="Calibri" w:hAnsi="Calibri"/>
          <w:w w:val="105"/>
          <w:sz w:val="21"/>
        </w:rPr>
        <w:t>such</w:t>
      </w:r>
      <w:r>
        <w:rPr>
          <w:rFonts w:ascii="Calibri" w:hAnsi="Calibri"/>
          <w:spacing w:val="-24"/>
          <w:w w:val="105"/>
          <w:sz w:val="21"/>
        </w:rPr>
        <w:t xml:space="preserve"> </w:t>
      </w:r>
      <w:r>
        <w:rPr>
          <w:rFonts w:ascii="Calibri" w:hAnsi="Calibri"/>
          <w:w w:val="105"/>
          <w:sz w:val="21"/>
        </w:rPr>
        <w:t>disclosures</w:t>
      </w:r>
      <w:r>
        <w:rPr>
          <w:rFonts w:ascii="Calibri" w:hAnsi="Calibri"/>
          <w:spacing w:val="-25"/>
          <w:w w:val="105"/>
          <w:sz w:val="21"/>
        </w:rPr>
        <w:t xml:space="preserve"> </w:t>
      </w:r>
      <w:r>
        <w:rPr>
          <w:rFonts w:ascii="Calibri" w:hAnsi="Calibri"/>
          <w:w w:val="105"/>
          <w:sz w:val="21"/>
        </w:rPr>
        <w:t>are</w:t>
      </w:r>
      <w:r>
        <w:rPr>
          <w:rFonts w:ascii="Calibri" w:hAnsi="Calibri"/>
          <w:spacing w:val="-26"/>
          <w:w w:val="105"/>
          <w:sz w:val="21"/>
        </w:rPr>
        <w:t xml:space="preserve"> </w:t>
      </w:r>
      <w:r>
        <w:rPr>
          <w:rFonts w:ascii="Calibri" w:hAnsi="Calibri"/>
          <w:w w:val="105"/>
          <w:sz w:val="21"/>
        </w:rPr>
        <w:t>inadequate, the</w:t>
      </w:r>
      <w:r>
        <w:rPr>
          <w:rFonts w:ascii="Calibri" w:hAnsi="Calibri"/>
          <w:spacing w:val="-4"/>
          <w:w w:val="105"/>
          <w:sz w:val="21"/>
        </w:rPr>
        <w:t xml:space="preserve"> </w:t>
      </w:r>
      <w:r>
        <w:rPr>
          <w:rFonts w:ascii="Calibri" w:hAnsi="Calibri"/>
          <w:w w:val="105"/>
          <w:sz w:val="21"/>
        </w:rPr>
        <w:t>audit</w:t>
      </w:r>
      <w:r>
        <w:rPr>
          <w:rFonts w:ascii="Calibri" w:hAnsi="Calibri"/>
          <w:spacing w:val="-4"/>
          <w:w w:val="105"/>
          <w:sz w:val="21"/>
        </w:rPr>
        <w:t xml:space="preserve"> </w:t>
      </w:r>
      <w:r>
        <w:rPr>
          <w:rFonts w:ascii="Calibri" w:hAnsi="Calibri"/>
          <w:w w:val="105"/>
          <w:sz w:val="21"/>
        </w:rPr>
        <w:t>opinion</w:t>
      </w:r>
      <w:r>
        <w:rPr>
          <w:rFonts w:ascii="Calibri" w:hAnsi="Calibri"/>
          <w:spacing w:val="-4"/>
          <w:w w:val="105"/>
          <w:sz w:val="21"/>
        </w:rPr>
        <w:t xml:space="preserve"> </w:t>
      </w:r>
      <w:r>
        <w:rPr>
          <w:rFonts w:ascii="Calibri" w:hAnsi="Calibri"/>
          <w:w w:val="105"/>
          <w:sz w:val="21"/>
        </w:rPr>
        <w:t>is</w:t>
      </w:r>
      <w:r>
        <w:rPr>
          <w:rFonts w:ascii="Calibri" w:hAnsi="Calibri"/>
          <w:spacing w:val="-5"/>
          <w:w w:val="105"/>
          <w:sz w:val="21"/>
        </w:rPr>
        <w:t xml:space="preserve"> </w:t>
      </w:r>
      <w:r>
        <w:rPr>
          <w:rFonts w:ascii="Calibri" w:hAnsi="Calibri"/>
          <w:w w:val="105"/>
          <w:sz w:val="21"/>
        </w:rPr>
        <w:t>to</w:t>
      </w:r>
      <w:r>
        <w:rPr>
          <w:rFonts w:ascii="Calibri" w:hAnsi="Calibri"/>
          <w:spacing w:val="-4"/>
          <w:w w:val="105"/>
          <w:sz w:val="21"/>
        </w:rPr>
        <w:t xml:space="preserve"> </w:t>
      </w:r>
      <w:r>
        <w:rPr>
          <w:rFonts w:ascii="Calibri" w:hAnsi="Calibri"/>
          <w:w w:val="105"/>
          <w:sz w:val="21"/>
        </w:rPr>
        <w:t>be</w:t>
      </w:r>
      <w:r>
        <w:rPr>
          <w:rFonts w:ascii="Calibri" w:hAnsi="Calibri"/>
          <w:spacing w:val="-3"/>
          <w:w w:val="105"/>
          <w:sz w:val="21"/>
        </w:rPr>
        <w:t xml:space="preserve"> </w:t>
      </w:r>
      <w:r>
        <w:rPr>
          <w:rFonts w:ascii="Calibri" w:hAnsi="Calibri"/>
          <w:w w:val="105"/>
          <w:sz w:val="21"/>
        </w:rPr>
        <w:t>modified.</w:t>
      </w:r>
      <w:r>
        <w:rPr>
          <w:rFonts w:ascii="Calibri" w:hAnsi="Calibri"/>
          <w:spacing w:val="-5"/>
          <w:w w:val="105"/>
          <w:sz w:val="21"/>
        </w:rPr>
        <w:t xml:space="preserve"> </w:t>
      </w:r>
      <w:r>
        <w:rPr>
          <w:rFonts w:ascii="Calibri" w:hAnsi="Calibri"/>
          <w:w w:val="105"/>
          <w:sz w:val="21"/>
        </w:rPr>
        <w:t>The</w:t>
      </w:r>
      <w:r>
        <w:rPr>
          <w:rFonts w:ascii="Calibri" w:hAnsi="Calibri"/>
          <w:spacing w:val="-4"/>
          <w:w w:val="105"/>
          <w:sz w:val="21"/>
        </w:rPr>
        <w:t xml:space="preserve"> </w:t>
      </w:r>
      <w:r>
        <w:rPr>
          <w:rFonts w:ascii="Calibri" w:hAnsi="Calibri"/>
          <w:w w:val="105"/>
          <w:sz w:val="21"/>
        </w:rPr>
        <w:t>auditor’s</w:t>
      </w:r>
      <w:r>
        <w:rPr>
          <w:rFonts w:ascii="Calibri" w:hAnsi="Calibri"/>
          <w:spacing w:val="-3"/>
          <w:w w:val="105"/>
          <w:sz w:val="21"/>
        </w:rPr>
        <w:t xml:space="preserve"> </w:t>
      </w:r>
      <w:r>
        <w:rPr>
          <w:rFonts w:ascii="Calibri" w:hAnsi="Calibri"/>
          <w:w w:val="105"/>
          <w:sz w:val="21"/>
        </w:rPr>
        <w:t>conclusions</w:t>
      </w:r>
      <w:r>
        <w:rPr>
          <w:rFonts w:ascii="Calibri" w:hAnsi="Calibri"/>
          <w:spacing w:val="-5"/>
          <w:w w:val="105"/>
          <w:sz w:val="21"/>
        </w:rPr>
        <w:t xml:space="preserve"> </w:t>
      </w:r>
      <w:r>
        <w:rPr>
          <w:rFonts w:ascii="Calibri" w:hAnsi="Calibri"/>
          <w:w w:val="105"/>
          <w:sz w:val="21"/>
        </w:rPr>
        <w:t>on</w:t>
      </w:r>
      <w:r>
        <w:rPr>
          <w:rFonts w:ascii="Calibri" w:hAnsi="Calibri"/>
          <w:spacing w:val="-4"/>
          <w:w w:val="105"/>
          <w:sz w:val="21"/>
        </w:rPr>
        <w:t xml:space="preserve"> </w:t>
      </w:r>
      <w:r>
        <w:rPr>
          <w:rFonts w:ascii="Calibri" w:hAnsi="Calibri"/>
          <w:w w:val="105"/>
          <w:sz w:val="21"/>
        </w:rPr>
        <w:t>the</w:t>
      </w:r>
      <w:r>
        <w:rPr>
          <w:rFonts w:ascii="Calibri" w:hAnsi="Calibri"/>
          <w:spacing w:val="-4"/>
          <w:w w:val="105"/>
          <w:sz w:val="21"/>
        </w:rPr>
        <w:t xml:space="preserve"> </w:t>
      </w:r>
      <w:r>
        <w:rPr>
          <w:rFonts w:ascii="Calibri" w:hAnsi="Calibri"/>
          <w:w w:val="105"/>
          <w:sz w:val="21"/>
        </w:rPr>
        <w:t>going</w:t>
      </w:r>
      <w:r>
        <w:rPr>
          <w:rFonts w:ascii="Calibri" w:hAnsi="Calibri"/>
          <w:spacing w:val="-3"/>
          <w:w w:val="105"/>
          <w:sz w:val="21"/>
        </w:rPr>
        <w:t xml:space="preserve"> </w:t>
      </w:r>
      <w:r>
        <w:rPr>
          <w:rFonts w:ascii="Calibri" w:hAnsi="Calibri"/>
          <w:w w:val="105"/>
          <w:sz w:val="21"/>
        </w:rPr>
        <w:t>concern basis</w:t>
      </w:r>
      <w:r>
        <w:rPr>
          <w:rFonts w:ascii="Calibri" w:hAnsi="Calibri"/>
          <w:spacing w:val="-4"/>
          <w:w w:val="105"/>
          <w:sz w:val="21"/>
        </w:rPr>
        <w:t xml:space="preserve"> </w:t>
      </w:r>
      <w:r>
        <w:rPr>
          <w:rFonts w:ascii="Calibri" w:hAnsi="Calibri"/>
          <w:w w:val="105"/>
          <w:sz w:val="21"/>
        </w:rPr>
        <w:t>of</w:t>
      </w:r>
      <w:r>
        <w:rPr>
          <w:rFonts w:ascii="Calibri" w:hAnsi="Calibri"/>
          <w:spacing w:val="-3"/>
          <w:w w:val="105"/>
          <w:sz w:val="21"/>
        </w:rPr>
        <w:t xml:space="preserve"> </w:t>
      </w:r>
      <w:r>
        <w:rPr>
          <w:rFonts w:ascii="Calibri" w:hAnsi="Calibri"/>
          <w:w w:val="105"/>
          <w:sz w:val="21"/>
        </w:rPr>
        <w:t>accounting</w:t>
      </w:r>
      <w:r>
        <w:rPr>
          <w:rFonts w:ascii="Calibri" w:hAnsi="Calibri"/>
          <w:spacing w:val="-5"/>
          <w:w w:val="105"/>
          <w:sz w:val="21"/>
        </w:rPr>
        <w:t xml:space="preserve"> </w:t>
      </w:r>
      <w:r>
        <w:rPr>
          <w:rFonts w:ascii="Calibri" w:hAnsi="Calibri"/>
          <w:w w:val="105"/>
          <w:sz w:val="21"/>
        </w:rPr>
        <w:t>are</w:t>
      </w:r>
      <w:r>
        <w:rPr>
          <w:rFonts w:ascii="Calibri" w:hAnsi="Calibri"/>
          <w:spacing w:val="-4"/>
          <w:w w:val="105"/>
          <w:sz w:val="21"/>
        </w:rPr>
        <w:t xml:space="preserve"> </w:t>
      </w:r>
      <w:r>
        <w:rPr>
          <w:rFonts w:ascii="Calibri" w:hAnsi="Calibri"/>
          <w:w w:val="105"/>
          <w:sz w:val="21"/>
        </w:rPr>
        <w:t>based</w:t>
      </w:r>
      <w:r>
        <w:rPr>
          <w:rFonts w:ascii="Calibri" w:hAnsi="Calibri"/>
          <w:spacing w:val="-4"/>
          <w:w w:val="105"/>
          <w:sz w:val="21"/>
        </w:rPr>
        <w:t xml:space="preserve"> </w:t>
      </w:r>
      <w:r>
        <w:rPr>
          <w:rFonts w:ascii="Calibri" w:hAnsi="Calibri"/>
          <w:w w:val="105"/>
          <w:sz w:val="21"/>
        </w:rPr>
        <w:t>on</w:t>
      </w:r>
      <w:r>
        <w:rPr>
          <w:rFonts w:ascii="Calibri" w:hAnsi="Calibri"/>
          <w:spacing w:val="-4"/>
          <w:w w:val="105"/>
          <w:sz w:val="21"/>
        </w:rPr>
        <w:t xml:space="preserve"> </w:t>
      </w:r>
      <w:r>
        <w:rPr>
          <w:rFonts w:ascii="Calibri" w:hAnsi="Calibri"/>
          <w:w w:val="105"/>
          <w:sz w:val="21"/>
        </w:rPr>
        <w:t>the</w:t>
      </w:r>
      <w:r>
        <w:rPr>
          <w:rFonts w:ascii="Calibri" w:hAnsi="Calibri"/>
          <w:spacing w:val="-4"/>
          <w:w w:val="105"/>
          <w:sz w:val="21"/>
        </w:rPr>
        <w:t xml:space="preserve"> </w:t>
      </w:r>
      <w:r>
        <w:rPr>
          <w:rFonts w:ascii="Calibri" w:hAnsi="Calibri"/>
          <w:w w:val="105"/>
          <w:sz w:val="21"/>
        </w:rPr>
        <w:t>audit</w:t>
      </w:r>
      <w:r>
        <w:rPr>
          <w:rFonts w:ascii="Calibri" w:hAnsi="Calibri"/>
          <w:spacing w:val="-4"/>
          <w:w w:val="105"/>
          <w:sz w:val="21"/>
        </w:rPr>
        <w:t xml:space="preserve"> </w:t>
      </w:r>
      <w:r>
        <w:rPr>
          <w:rFonts w:ascii="Calibri" w:hAnsi="Calibri"/>
          <w:w w:val="105"/>
          <w:sz w:val="21"/>
        </w:rPr>
        <w:t>evidence</w:t>
      </w:r>
      <w:r>
        <w:rPr>
          <w:rFonts w:ascii="Calibri" w:hAnsi="Calibri"/>
          <w:spacing w:val="-3"/>
          <w:w w:val="105"/>
          <w:sz w:val="21"/>
        </w:rPr>
        <w:t xml:space="preserve"> </w:t>
      </w:r>
      <w:r>
        <w:rPr>
          <w:rFonts w:ascii="Calibri" w:hAnsi="Calibri"/>
          <w:w w:val="105"/>
          <w:sz w:val="21"/>
        </w:rPr>
        <w:t>obtained</w:t>
      </w:r>
      <w:r>
        <w:rPr>
          <w:rFonts w:ascii="Calibri" w:hAnsi="Calibri"/>
          <w:spacing w:val="-4"/>
          <w:w w:val="105"/>
          <w:sz w:val="21"/>
        </w:rPr>
        <w:t xml:space="preserve"> </w:t>
      </w:r>
      <w:r>
        <w:rPr>
          <w:rFonts w:ascii="Calibri" w:hAnsi="Calibri"/>
          <w:w w:val="105"/>
          <w:sz w:val="21"/>
        </w:rPr>
        <w:t>up</w:t>
      </w:r>
      <w:r>
        <w:rPr>
          <w:rFonts w:ascii="Calibri" w:hAnsi="Calibri"/>
          <w:spacing w:val="-4"/>
          <w:w w:val="105"/>
          <w:sz w:val="21"/>
        </w:rPr>
        <w:t xml:space="preserve"> </w:t>
      </w:r>
      <w:r>
        <w:rPr>
          <w:rFonts w:ascii="Calibri" w:hAnsi="Calibri"/>
          <w:w w:val="105"/>
          <w:sz w:val="21"/>
        </w:rPr>
        <w:t>to</w:t>
      </w:r>
      <w:r>
        <w:rPr>
          <w:rFonts w:ascii="Calibri" w:hAnsi="Calibri"/>
          <w:spacing w:val="-4"/>
          <w:w w:val="105"/>
          <w:sz w:val="21"/>
        </w:rPr>
        <w:t xml:space="preserve"> </w:t>
      </w:r>
      <w:r>
        <w:rPr>
          <w:rFonts w:ascii="Calibri" w:hAnsi="Calibri"/>
          <w:w w:val="105"/>
          <w:sz w:val="21"/>
        </w:rPr>
        <w:t>the</w:t>
      </w:r>
      <w:r>
        <w:rPr>
          <w:rFonts w:ascii="Calibri" w:hAnsi="Calibri"/>
          <w:spacing w:val="-4"/>
          <w:w w:val="105"/>
          <w:sz w:val="21"/>
        </w:rPr>
        <w:t xml:space="preserve"> </w:t>
      </w:r>
      <w:r>
        <w:rPr>
          <w:rFonts w:ascii="Calibri" w:hAnsi="Calibri"/>
          <w:w w:val="105"/>
          <w:sz w:val="21"/>
        </w:rPr>
        <w:t>date</w:t>
      </w:r>
      <w:r>
        <w:rPr>
          <w:rFonts w:ascii="Calibri" w:hAnsi="Calibri"/>
          <w:spacing w:val="-4"/>
          <w:w w:val="105"/>
          <w:sz w:val="21"/>
        </w:rPr>
        <w:t xml:space="preserve"> </w:t>
      </w:r>
      <w:r>
        <w:rPr>
          <w:rFonts w:ascii="Calibri" w:hAnsi="Calibri"/>
          <w:w w:val="105"/>
          <w:sz w:val="21"/>
        </w:rPr>
        <w:t>of</w:t>
      </w:r>
      <w:r>
        <w:rPr>
          <w:rFonts w:ascii="Calibri" w:hAnsi="Calibri"/>
          <w:spacing w:val="-4"/>
          <w:w w:val="105"/>
          <w:sz w:val="21"/>
        </w:rPr>
        <w:t xml:space="preserve"> </w:t>
      </w:r>
      <w:r>
        <w:rPr>
          <w:rFonts w:ascii="Calibri" w:hAnsi="Calibri"/>
          <w:w w:val="105"/>
          <w:sz w:val="21"/>
        </w:rPr>
        <w:t>this audit</w:t>
      </w:r>
      <w:r>
        <w:rPr>
          <w:rFonts w:ascii="Calibri" w:hAnsi="Calibri"/>
          <w:spacing w:val="-8"/>
          <w:w w:val="105"/>
          <w:sz w:val="21"/>
        </w:rPr>
        <w:t xml:space="preserve"> </w:t>
      </w:r>
      <w:r>
        <w:rPr>
          <w:rFonts w:ascii="Calibri" w:hAnsi="Calibri"/>
          <w:w w:val="105"/>
          <w:sz w:val="21"/>
        </w:rPr>
        <w:t>report.</w:t>
      </w:r>
      <w:r>
        <w:rPr>
          <w:rFonts w:ascii="Calibri" w:hAnsi="Calibri"/>
          <w:spacing w:val="-10"/>
          <w:w w:val="105"/>
          <w:sz w:val="21"/>
        </w:rPr>
        <w:t xml:space="preserve"> </w:t>
      </w:r>
      <w:r>
        <w:rPr>
          <w:rFonts w:ascii="Calibri" w:hAnsi="Calibri"/>
          <w:w w:val="105"/>
          <w:sz w:val="21"/>
        </w:rPr>
        <w:t>However,</w:t>
      </w:r>
      <w:r>
        <w:rPr>
          <w:rFonts w:ascii="Calibri" w:hAnsi="Calibri"/>
          <w:spacing w:val="-11"/>
          <w:w w:val="105"/>
          <w:sz w:val="21"/>
        </w:rPr>
        <w:t xml:space="preserve"> </w:t>
      </w:r>
      <w:r>
        <w:rPr>
          <w:rFonts w:ascii="Calibri" w:hAnsi="Calibri"/>
          <w:w w:val="105"/>
          <w:sz w:val="21"/>
        </w:rPr>
        <w:t>future</w:t>
      </w:r>
      <w:r>
        <w:rPr>
          <w:rFonts w:ascii="Calibri" w:hAnsi="Calibri"/>
          <w:spacing w:val="-8"/>
          <w:w w:val="105"/>
          <w:sz w:val="21"/>
        </w:rPr>
        <w:t xml:space="preserve"> </w:t>
      </w:r>
      <w:r>
        <w:rPr>
          <w:rFonts w:ascii="Calibri" w:hAnsi="Calibri"/>
          <w:w w:val="105"/>
          <w:sz w:val="21"/>
        </w:rPr>
        <w:t>events</w:t>
      </w:r>
      <w:r>
        <w:rPr>
          <w:rFonts w:ascii="Calibri" w:hAnsi="Calibri"/>
          <w:spacing w:val="-9"/>
          <w:w w:val="105"/>
          <w:sz w:val="21"/>
        </w:rPr>
        <w:t xml:space="preserve"> </w:t>
      </w:r>
      <w:r>
        <w:rPr>
          <w:rFonts w:ascii="Calibri" w:hAnsi="Calibri"/>
          <w:w w:val="105"/>
          <w:sz w:val="21"/>
        </w:rPr>
        <w:t>or</w:t>
      </w:r>
      <w:r>
        <w:rPr>
          <w:rFonts w:ascii="Calibri" w:hAnsi="Calibri"/>
          <w:spacing w:val="-9"/>
          <w:w w:val="105"/>
          <w:sz w:val="21"/>
        </w:rPr>
        <w:t xml:space="preserve"> </w:t>
      </w:r>
      <w:r>
        <w:rPr>
          <w:rFonts w:ascii="Calibri" w:hAnsi="Calibri"/>
          <w:w w:val="105"/>
          <w:sz w:val="21"/>
        </w:rPr>
        <w:t>conditions</w:t>
      </w:r>
      <w:r>
        <w:rPr>
          <w:rFonts w:ascii="Calibri" w:hAnsi="Calibri"/>
          <w:spacing w:val="-9"/>
          <w:w w:val="105"/>
          <w:sz w:val="21"/>
        </w:rPr>
        <w:t xml:space="preserve"> </w:t>
      </w:r>
      <w:r>
        <w:rPr>
          <w:rFonts w:ascii="Calibri" w:hAnsi="Calibri"/>
          <w:w w:val="105"/>
          <w:sz w:val="21"/>
        </w:rPr>
        <w:t>may</w:t>
      </w:r>
      <w:r>
        <w:rPr>
          <w:rFonts w:ascii="Calibri" w:hAnsi="Calibri"/>
          <w:spacing w:val="-10"/>
          <w:w w:val="105"/>
          <w:sz w:val="21"/>
        </w:rPr>
        <w:t xml:space="preserve"> </w:t>
      </w:r>
      <w:r>
        <w:rPr>
          <w:rFonts w:ascii="Calibri" w:hAnsi="Calibri"/>
          <w:w w:val="105"/>
          <w:sz w:val="21"/>
        </w:rPr>
        <w:t>cause</w:t>
      </w:r>
      <w:r>
        <w:rPr>
          <w:rFonts w:ascii="Calibri" w:hAnsi="Calibri"/>
          <w:spacing w:val="-8"/>
          <w:w w:val="105"/>
          <w:sz w:val="21"/>
        </w:rPr>
        <w:t xml:space="preserve"> </w:t>
      </w:r>
      <w:r>
        <w:rPr>
          <w:rFonts w:ascii="Calibri" w:hAnsi="Calibri"/>
          <w:w w:val="105"/>
          <w:sz w:val="21"/>
        </w:rPr>
        <w:t>the</w:t>
      </w:r>
      <w:r>
        <w:rPr>
          <w:rFonts w:ascii="Calibri" w:hAnsi="Calibri"/>
          <w:spacing w:val="-9"/>
          <w:w w:val="105"/>
          <w:sz w:val="21"/>
        </w:rPr>
        <w:t xml:space="preserve"> </w:t>
      </w:r>
      <w:r>
        <w:rPr>
          <w:rFonts w:ascii="Calibri" w:hAnsi="Calibri"/>
          <w:w w:val="105"/>
          <w:sz w:val="21"/>
        </w:rPr>
        <w:t>entity</w:t>
      </w:r>
      <w:r>
        <w:rPr>
          <w:rFonts w:ascii="Calibri" w:hAnsi="Calibri"/>
          <w:spacing w:val="-9"/>
          <w:w w:val="105"/>
          <w:sz w:val="21"/>
        </w:rPr>
        <w:t xml:space="preserve"> </w:t>
      </w:r>
      <w:r>
        <w:rPr>
          <w:rFonts w:ascii="Calibri" w:hAnsi="Calibri"/>
          <w:w w:val="105"/>
          <w:sz w:val="21"/>
        </w:rPr>
        <w:t>to</w:t>
      </w:r>
      <w:r>
        <w:rPr>
          <w:rFonts w:ascii="Calibri" w:hAnsi="Calibri"/>
          <w:spacing w:val="-8"/>
          <w:w w:val="105"/>
          <w:sz w:val="21"/>
        </w:rPr>
        <w:t xml:space="preserve"> </w:t>
      </w:r>
      <w:r>
        <w:rPr>
          <w:rFonts w:ascii="Calibri" w:hAnsi="Calibri"/>
          <w:w w:val="105"/>
          <w:sz w:val="21"/>
        </w:rPr>
        <w:t>cease</w:t>
      </w:r>
      <w:r>
        <w:rPr>
          <w:rFonts w:ascii="Calibri" w:hAnsi="Calibri"/>
          <w:spacing w:val="-8"/>
          <w:w w:val="105"/>
          <w:sz w:val="21"/>
        </w:rPr>
        <w:t xml:space="preserve"> </w:t>
      </w:r>
      <w:r>
        <w:rPr>
          <w:rFonts w:ascii="Calibri" w:hAnsi="Calibri"/>
          <w:w w:val="105"/>
          <w:sz w:val="21"/>
        </w:rPr>
        <w:t>to continue as a going</w:t>
      </w:r>
      <w:r>
        <w:rPr>
          <w:rFonts w:ascii="Calibri" w:hAnsi="Calibri"/>
          <w:spacing w:val="-8"/>
          <w:w w:val="105"/>
          <w:sz w:val="21"/>
        </w:rPr>
        <w:t xml:space="preserve"> </w:t>
      </w:r>
      <w:r>
        <w:rPr>
          <w:rFonts w:ascii="Calibri" w:hAnsi="Calibri"/>
          <w:w w:val="105"/>
          <w:sz w:val="21"/>
        </w:rPr>
        <w:t>concern.)</w:t>
      </w:r>
    </w:p>
    <w:p w:rsidR="006C17CB" w:rsidRDefault="0030091C">
      <w:pPr>
        <w:spacing w:before="6"/>
        <w:ind w:left="1022"/>
        <w:rPr>
          <w:rFonts w:ascii="Calibri"/>
          <w:b/>
          <w:sz w:val="21"/>
        </w:rPr>
      </w:pPr>
      <w:r>
        <w:rPr>
          <w:rFonts w:ascii="Calibri"/>
          <w:b/>
          <w:color w:val="272727"/>
          <w:w w:val="105"/>
          <w:sz w:val="21"/>
        </w:rPr>
        <w:t>Limitations on the scope of the audit</w:t>
      </w:r>
    </w:p>
    <w:p w:rsidR="006C17CB" w:rsidRDefault="0030091C">
      <w:pPr>
        <w:spacing w:before="101" w:line="208" w:lineRule="auto"/>
        <w:ind w:left="1022" w:right="1942"/>
        <w:jc w:val="both"/>
        <w:rPr>
          <w:rFonts w:ascii="Calibri"/>
          <w:sz w:val="21"/>
        </w:rPr>
      </w:pPr>
      <w:r>
        <w:rPr>
          <w:rFonts w:ascii="Calibri"/>
          <w:w w:val="105"/>
          <w:sz w:val="21"/>
        </w:rPr>
        <w:t>An</w:t>
      </w:r>
      <w:r>
        <w:rPr>
          <w:rFonts w:ascii="Calibri"/>
          <w:spacing w:val="-19"/>
          <w:w w:val="105"/>
          <w:sz w:val="21"/>
        </w:rPr>
        <w:t xml:space="preserve"> </w:t>
      </w:r>
      <w:r>
        <w:rPr>
          <w:rFonts w:ascii="Calibri"/>
          <w:w w:val="105"/>
          <w:sz w:val="21"/>
        </w:rPr>
        <w:t>audit</w:t>
      </w:r>
      <w:r>
        <w:rPr>
          <w:rFonts w:ascii="Calibri"/>
          <w:spacing w:val="-20"/>
          <w:w w:val="105"/>
          <w:sz w:val="21"/>
        </w:rPr>
        <w:t xml:space="preserve"> </w:t>
      </w:r>
      <w:r>
        <w:rPr>
          <w:rFonts w:ascii="Calibri"/>
          <w:w w:val="105"/>
          <w:sz w:val="21"/>
        </w:rPr>
        <w:t>provides</w:t>
      </w:r>
      <w:r>
        <w:rPr>
          <w:rFonts w:ascii="Calibri"/>
          <w:spacing w:val="-21"/>
          <w:w w:val="105"/>
          <w:sz w:val="21"/>
        </w:rPr>
        <w:t xml:space="preserve"> </w:t>
      </w:r>
      <w:r>
        <w:rPr>
          <w:rFonts w:ascii="Calibri"/>
          <w:w w:val="105"/>
          <w:sz w:val="21"/>
        </w:rPr>
        <w:t>a</w:t>
      </w:r>
      <w:r>
        <w:rPr>
          <w:rFonts w:ascii="Calibri"/>
          <w:spacing w:val="-21"/>
          <w:w w:val="105"/>
          <w:sz w:val="21"/>
        </w:rPr>
        <w:t xml:space="preserve"> </w:t>
      </w:r>
      <w:r>
        <w:rPr>
          <w:rFonts w:ascii="Calibri"/>
          <w:w w:val="105"/>
          <w:sz w:val="21"/>
        </w:rPr>
        <w:t>high</w:t>
      </w:r>
      <w:r>
        <w:rPr>
          <w:rFonts w:ascii="Calibri"/>
          <w:spacing w:val="-19"/>
          <w:w w:val="105"/>
          <w:sz w:val="21"/>
        </w:rPr>
        <w:t xml:space="preserve"> </w:t>
      </w:r>
      <w:r>
        <w:rPr>
          <w:rFonts w:ascii="Calibri"/>
          <w:w w:val="105"/>
          <w:sz w:val="21"/>
        </w:rPr>
        <w:t>level</w:t>
      </w:r>
      <w:r>
        <w:rPr>
          <w:rFonts w:ascii="Calibri"/>
          <w:spacing w:val="-20"/>
          <w:w w:val="105"/>
          <w:sz w:val="21"/>
        </w:rPr>
        <w:t xml:space="preserve"> </w:t>
      </w:r>
      <w:r>
        <w:rPr>
          <w:rFonts w:ascii="Calibri"/>
          <w:w w:val="105"/>
          <w:sz w:val="21"/>
        </w:rPr>
        <w:t>of</w:t>
      </w:r>
      <w:r>
        <w:rPr>
          <w:rFonts w:ascii="Calibri"/>
          <w:spacing w:val="-20"/>
          <w:w w:val="105"/>
          <w:sz w:val="21"/>
        </w:rPr>
        <w:t xml:space="preserve"> </w:t>
      </w:r>
      <w:r>
        <w:rPr>
          <w:rFonts w:ascii="Calibri"/>
          <w:w w:val="105"/>
          <w:sz w:val="21"/>
        </w:rPr>
        <w:t>assurance</w:t>
      </w:r>
      <w:r>
        <w:rPr>
          <w:rFonts w:ascii="Calibri"/>
          <w:spacing w:val="-20"/>
          <w:w w:val="105"/>
          <w:sz w:val="21"/>
        </w:rPr>
        <w:t xml:space="preserve"> </w:t>
      </w:r>
      <w:r>
        <w:rPr>
          <w:rFonts w:ascii="Calibri"/>
          <w:w w:val="105"/>
          <w:sz w:val="21"/>
        </w:rPr>
        <w:t>about</w:t>
      </w:r>
      <w:r>
        <w:rPr>
          <w:rFonts w:ascii="Calibri"/>
          <w:spacing w:val="-22"/>
          <w:w w:val="105"/>
          <w:sz w:val="21"/>
        </w:rPr>
        <w:t xml:space="preserve"> </w:t>
      </w:r>
      <w:r>
        <w:rPr>
          <w:rFonts w:ascii="Calibri"/>
          <w:w w:val="105"/>
          <w:sz w:val="21"/>
        </w:rPr>
        <w:t>whether</w:t>
      </w:r>
      <w:r>
        <w:rPr>
          <w:rFonts w:ascii="Calibri"/>
          <w:spacing w:val="-21"/>
          <w:w w:val="105"/>
          <w:sz w:val="21"/>
        </w:rPr>
        <w:t xml:space="preserve"> </w:t>
      </w:r>
      <w:r>
        <w:rPr>
          <w:rFonts w:ascii="Calibri"/>
          <w:w w:val="105"/>
          <w:sz w:val="21"/>
        </w:rPr>
        <w:t>the</w:t>
      </w:r>
      <w:r>
        <w:rPr>
          <w:rFonts w:ascii="Calibri"/>
          <w:spacing w:val="-20"/>
          <w:w w:val="105"/>
          <w:sz w:val="21"/>
        </w:rPr>
        <w:t xml:space="preserve"> </w:t>
      </w:r>
      <w:r>
        <w:rPr>
          <w:rFonts w:ascii="Calibri"/>
          <w:w w:val="105"/>
          <w:sz w:val="21"/>
        </w:rPr>
        <w:t>financial</w:t>
      </w:r>
      <w:r>
        <w:rPr>
          <w:rFonts w:ascii="Calibri"/>
          <w:spacing w:val="-21"/>
          <w:w w:val="105"/>
          <w:sz w:val="21"/>
        </w:rPr>
        <w:t xml:space="preserve"> </w:t>
      </w:r>
      <w:r>
        <w:rPr>
          <w:rFonts w:ascii="Calibri"/>
          <w:w w:val="105"/>
          <w:sz w:val="21"/>
        </w:rPr>
        <w:t>statements</w:t>
      </w:r>
      <w:r>
        <w:rPr>
          <w:rFonts w:ascii="Calibri"/>
          <w:spacing w:val="-21"/>
          <w:w w:val="105"/>
          <w:sz w:val="21"/>
        </w:rPr>
        <w:t xml:space="preserve"> </w:t>
      </w:r>
      <w:r>
        <w:rPr>
          <w:rFonts w:ascii="Calibri"/>
          <w:w w:val="105"/>
          <w:sz w:val="21"/>
        </w:rPr>
        <w:t>are</w:t>
      </w:r>
      <w:r>
        <w:rPr>
          <w:rFonts w:ascii="Calibri"/>
          <w:spacing w:val="-20"/>
          <w:w w:val="105"/>
          <w:sz w:val="21"/>
        </w:rPr>
        <w:t xml:space="preserve"> </w:t>
      </w:r>
      <w:r>
        <w:rPr>
          <w:rFonts w:ascii="Calibri"/>
          <w:w w:val="105"/>
          <w:sz w:val="21"/>
        </w:rPr>
        <w:t>free from material misstatements, whether due to fraud or error. However, an audit cannot provide</w:t>
      </w:r>
      <w:r>
        <w:rPr>
          <w:rFonts w:ascii="Calibri"/>
          <w:spacing w:val="-25"/>
          <w:w w:val="105"/>
          <w:sz w:val="21"/>
        </w:rPr>
        <w:t xml:space="preserve"> </w:t>
      </w:r>
      <w:r>
        <w:rPr>
          <w:rFonts w:ascii="Calibri"/>
          <w:w w:val="105"/>
          <w:sz w:val="21"/>
        </w:rPr>
        <w:t>a</w:t>
      </w:r>
      <w:r>
        <w:rPr>
          <w:rFonts w:ascii="Calibri"/>
          <w:spacing w:val="-24"/>
          <w:w w:val="105"/>
          <w:sz w:val="21"/>
        </w:rPr>
        <w:t xml:space="preserve"> </w:t>
      </w:r>
      <w:r>
        <w:rPr>
          <w:rFonts w:ascii="Calibri"/>
          <w:w w:val="105"/>
          <w:sz w:val="21"/>
        </w:rPr>
        <w:t>guarantee</w:t>
      </w:r>
      <w:r>
        <w:rPr>
          <w:rFonts w:ascii="Calibri"/>
          <w:spacing w:val="-25"/>
          <w:w w:val="105"/>
          <w:sz w:val="21"/>
        </w:rPr>
        <w:t xml:space="preserve"> </w:t>
      </w:r>
      <w:r>
        <w:rPr>
          <w:rFonts w:ascii="Calibri"/>
          <w:w w:val="105"/>
          <w:sz w:val="21"/>
        </w:rPr>
        <w:t>that</w:t>
      </w:r>
      <w:r>
        <w:rPr>
          <w:rFonts w:ascii="Calibri"/>
          <w:spacing w:val="-25"/>
          <w:w w:val="105"/>
          <w:sz w:val="21"/>
        </w:rPr>
        <w:t xml:space="preserve"> </w:t>
      </w:r>
      <w:r>
        <w:rPr>
          <w:rFonts w:ascii="Calibri"/>
          <w:w w:val="105"/>
          <w:sz w:val="21"/>
        </w:rPr>
        <w:t>no</w:t>
      </w:r>
      <w:r>
        <w:rPr>
          <w:rFonts w:ascii="Calibri"/>
          <w:spacing w:val="-24"/>
          <w:w w:val="105"/>
          <w:sz w:val="21"/>
        </w:rPr>
        <w:t xml:space="preserve"> </w:t>
      </w:r>
      <w:r>
        <w:rPr>
          <w:rFonts w:ascii="Calibri"/>
          <w:w w:val="105"/>
          <w:sz w:val="21"/>
        </w:rPr>
        <w:t>material</w:t>
      </w:r>
      <w:r>
        <w:rPr>
          <w:rFonts w:ascii="Calibri"/>
          <w:spacing w:val="-25"/>
          <w:w w:val="105"/>
          <w:sz w:val="21"/>
        </w:rPr>
        <w:t xml:space="preserve"> </w:t>
      </w:r>
      <w:r>
        <w:rPr>
          <w:rFonts w:ascii="Calibri"/>
          <w:w w:val="105"/>
          <w:sz w:val="21"/>
        </w:rPr>
        <w:t>misstatements</w:t>
      </w:r>
      <w:r>
        <w:rPr>
          <w:rFonts w:ascii="Calibri"/>
          <w:spacing w:val="-24"/>
          <w:w w:val="105"/>
          <w:sz w:val="21"/>
        </w:rPr>
        <w:t xml:space="preserve"> </w:t>
      </w:r>
      <w:r>
        <w:rPr>
          <w:rFonts w:ascii="Calibri"/>
          <w:w w:val="105"/>
          <w:sz w:val="21"/>
        </w:rPr>
        <w:t>exist</w:t>
      </w:r>
      <w:r>
        <w:rPr>
          <w:rFonts w:ascii="Calibri"/>
          <w:spacing w:val="-25"/>
          <w:w w:val="105"/>
          <w:sz w:val="21"/>
        </w:rPr>
        <w:t xml:space="preserve"> </w:t>
      </w:r>
      <w:r>
        <w:rPr>
          <w:rFonts w:ascii="Calibri"/>
          <w:w w:val="105"/>
          <w:sz w:val="21"/>
        </w:rPr>
        <w:t>due</w:t>
      </w:r>
      <w:r>
        <w:rPr>
          <w:rFonts w:ascii="Calibri"/>
          <w:spacing w:val="-25"/>
          <w:w w:val="105"/>
          <w:sz w:val="21"/>
        </w:rPr>
        <w:t xml:space="preserve"> </w:t>
      </w:r>
      <w:r>
        <w:rPr>
          <w:rFonts w:ascii="Calibri"/>
          <w:w w:val="105"/>
          <w:sz w:val="21"/>
        </w:rPr>
        <w:t>to</w:t>
      </w:r>
      <w:r>
        <w:rPr>
          <w:rFonts w:ascii="Calibri"/>
          <w:spacing w:val="-25"/>
          <w:w w:val="105"/>
          <w:sz w:val="21"/>
        </w:rPr>
        <w:t xml:space="preserve"> </w:t>
      </w:r>
      <w:r>
        <w:rPr>
          <w:rFonts w:ascii="Calibri"/>
          <w:w w:val="105"/>
          <w:sz w:val="21"/>
        </w:rPr>
        <w:t>the</w:t>
      </w:r>
      <w:r>
        <w:rPr>
          <w:rFonts w:ascii="Calibri"/>
          <w:spacing w:val="-25"/>
          <w:w w:val="105"/>
          <w:sz w:val="21"/>
        </w:rPr>
        <w:t xml:space="preserve"> </w:t>
      </w:r>
      <w:r>
        <w:rPr>
          <w:rFonts w:ascii="Calibri"/>
          <w:w w:val="105"/>
          <w:sz w:val="21"/>
        </w:rPr>
        <w:t>use</w:t>
      </w:r>
      <w:r>
        <w:rPr>
          <w:rFonts w:ascii="Calibri"/>
          <w:spacing w:val="-24"/>
          <w:w w:val="105"/>
          <w:sz w:val="21"/>
        </w:rPr>
        <w:t xml:space="preserve"> </w:t>
      </w:r>
      <w:r>
        <w:rPr>
          <w:rFonts w:ascii="Calibri"/>
          <w:w w:val="105"/>
          <w:sz w:val="21"/>
        </w:rPr>
        <w:t>of</w:t>
      </w:r>
      <w:r>
        <w:rPr>
          <w:rFonts w:ascii="Calibri"/>
          <w:spacing w:val="-25"/>
          <w:w w:val="105"/>
          <w:sz w:val="21"/>
        </w:rPr>
        <w:t xml:space="preserve"> </w:t>
      </w:r>
      <w:r>
        <w:rPr>
          <w:rFonts w:ascii="Calibri"/>
          <w:w w:val="105"/>
          <w:sz w:val="21"/>
        </w:rPr>
        <w:t>selective</w:t>
      </w:r>
      <w:r>
        <w:rPr>
          <w:rFonts w:ascii="Calibri"/>
          <w:spacing w:val="-25"/>
          <w:w w:val="105"/>
          <w:sz w:val="21"/>
        </w:rPr>
        <w:t xml:space="preserve"> </w:t>
      </w:r>
      <w:r>
        <w:rPr>
          <w:rFonts w:ascii="Calibri"/>
          <w:w w:val="105"/>
          <w:sz w:val="21"/>
        </w:rPr>
        <w:t>testing, limitations</w:t>
      </w:r>
      <w:r>
        <w:rPr>
          <w:rFonts w:ascii="Calibri"/>
          <w:spacing w:val="-9"/>
          <w:w w:val="105"/>
          <w:sz w:val="21"/>
        </w:rPr>
        <w:t xml:space="preserve"> </w:t>
      </w:r>
      <w:r>
        <w:rPr>
          <w:rFonts w:ascii="Calibri"/>
          <w:w w:val="105"/>
          <w:sz w:val="21"/>
        </w:rPr>
        <w:t>of</w:t>
      </w:r>
      <w:r>
        <w:rPr>
          <w:rFonts w:ascii="Calibri"/>
          <w:spacing w:val="-8"/>
          <w:w w:val="105"/>
          <w:sz w:val="21"/>
        </w:rPr>
        <w:t xml:space="preserve"> </w:t>
      </w:r>
      <w:r>
        <w:rPr>
          <w:rFonts w:ascii="Calibri"/>
          <w:w w:val="105"/>
          <w:sz w:val="21"/>
        </w:rPr>
        <w:t>internal</w:t>
      </w:r>
      <w:r>
        <w:rPr>
          <w:rFonts w:ascii="Calibri"/>
          <w:spacing w:val="-9"/>
          <w:w w:val="105"/>
          <w:sz w:val="21"/>
        </w:rPr>
        <w:t xml:space="preserve"> </w:t>
      </w:r>
      <w:r>
        <w:rPr>
          <w:rFonts w:ascii="Calibri"/>
          <w:w w:val="105"/>
          <w:sz w:val="21"/>
        </w:rPr>
        <w:t>control,</w:t>
      </w:r>
      <w:r>
        <w:rPr>
          <w:rFonts w:ascii="Calibri"/>
          <w:spacing w:val="-10"/>
          <w:w w:val="105"/>
          <w:sz w:val="21"/>
        </w:rPr>
        <w:t xml:space="preserve"> </w:t>
      </w:r>
      <w:r>
        <w:rPr>
          <w:rFonts w:ascii="Calibri"/>
          <w:w w:val="105"/>
          <w:sz w:val="21"/>
        </w:rPr>
        <w:t>persuasive</w:t>
      </w:r>
      <w:r>
        <w:rPr>
          <w:rFonts w:ascii="Calibri"/>
          <w:spacing w:val="-8"/>
          <w:w w:val="105"/>
          <w:sz w:val="21"/>
        </w:rPr>
        <w:t xml:space="preserve"> </w:t>
      </w:r>
      <w:r>
        <w:rPr>
          <w:rFonts w:ascii="Calibri"/>
          <w:w w:val="105"/>
          <w:sz w:val="21"/>
        </w:rPr>
        <w:t>rather</w:t>
      </w:r>
      <w:r>
        <w:rPr>
          <w:rFonts w:ascii="Calibri"/>
          <w:spacing w:val="-10"/>
          <w:w w:val="105"/>
          <w:sz w:val="21"/>
        </w:rPr>
        <w:t xml:space="preserve"> </w:t>
      </w:r>
      <w:r>
        <w:rPr>
          <w:rFonts w:ascii="Calibri"/>
          <w:w w:val="105"/>
          <w:sz w:val="21"/>
        </w:rPr>
        <w:t>than</w:t>
      </w:r>
      <w:r>
        <w:rPr>
          <w:rFonts w:ascii="Calibri"/>
          <w:spacing w:val="-8"/>
          <w:w w:val="105"/>
          <w:sz w:val="21"/>
        </w:rPr>
        <w:t xml:space="preserve"> </w:t>
      </w:r>
      <w:r>
        <w:rPr>
          <w:rFonts w:ascii="Calibri"/>
          <w:w w:val="105"/>
          <w:sz w:val="21"/>
        </w:rPr>
        <w:t>conclusive</w:t>
      </w:r>
      <w:r>
        <w:rPr>
          <w:rFonts w:ascii="Calibri"/>
          <w:spacing w:val="-8"/>
          <w:w w:val="105"/>
          <w:sz w:val="21"/>
        </w:rPr>
        <w:t xml:space="preserve"> </w:t>
      </w:r>
      <w:r>
        <w:rPr>
          <w:rFonts w:ascii="Calibri"/>
          <w:w w:val="105"/>
          <w:sz w:val="21"/>
        </w:rPr>
        <w:t>nature</w:t>
      </w:r>
      <w:r>
        <w:rPr>
          <w:rFonts w:ascii="Calibri"/>
          <w:spacing w:val="-10"/>
          <w:w w:val="105"/>
          <w:sz w:val="21"/>
        </w:rPr>
        <w:t xml:space="preserve"> </w:t>
      </w:r>
      <w:r>
        <w:rPr>
          <w:rFonts w:ascii="Calibri"/>
          <w:w w:val="105"/>
          <w:sz w:val="21"/>
        </w:rPr>
        <w:t>of</w:t>
      </w:r>
      <w:r>
        <w:rPr>
          <w:rFonts w:ascii="Calibri"/>
          <w:spacing w:val="-10"/>
          <w:w w:val="105"/>
          <w:sz w:val="21"/>
        </w:rPr>
        <w:t xml:space="preserve"> </w:t>
      </w:r>
      <w:r>
        <w:rPr>
          <w:rFonts w:ascii="Calibri"/>
          <w:w w:val="105"/>
          <w:sz w:val="21"/>
        </w:rPr>
        <w:t>audit</w:t>
      </w:r>
      <w:r>
        <w:rPr>
          <w:rFonts w:ascii="Calibri"/>
          <w:spacing w:val="-10"/>
          <w:w w:val="105"/>
          <w:sz w:val="21"/>
        </w:rPr>
        <w:t xml:space="preserve"> </w:t>
      </w:r>
      <w:r>
        <w:rPr>
          <w:rFonts w:ascii="Calibri"/>
          <w:w w:val="105"/>
          <w:sz w:val="21"/>
        </w:rPr>
        <w:t>evidence and</w:t>
      </w:r>
      <w:r>
        <w:rPr>
          <w:rFonts w:ascii="Calibri"/>
          <w:spacing w:val="-6"/>
          <w:w w:val="105"/>
          <w:sz w:val="21"/>
        </w:rPr>
        <w:t xml:space="preserve"> </w:t>
      </w:r>
      <w:r>
        <w:rPr>
          <w:rFonts w:ascii="Calibri"/>
          <w:w w:val="105"/>
          <w:sz w:val="21"/>
        </w:rPr>
        <w:t>use</w:t>
      </w:r>
      <w:r>
        <w:rPr>
          <w:rFonts w:ascii="Calibri"/>
          <w:spacing w:val="-6"/>
          <w:w w:val="105"/>
          <w:sz w:val="21"/>
        </w:rPr>
        <w:t xml:space="preserve"> </w:t>
      </w:r>
      <w:r>
        <w:rPr>
          <w:rFonts w:ascii="Calibri"/>
          <w:w w:val="105"/>
          <w:sz w:val="21"/>
        </w:rPr>
        <w:t>of</w:t>
      </w:r>
      <w:r>
        <w:rPr>
          <w:rFonts w:ascii="Calibri"/>
          <w:spacing w:val="-5"/>
          <w:w w:val="105"/>
          <w:sz w:val="21"/>
        </w:rPr>
        <w:t xml:space="preserve"> </w:t>
      </w:r>
      <w:r>
        <w:rPr>
          <w:rFonts w:ascii="Calibri"/>
          <w:w w:val="105"/>
          <w:sz w:val="21"/>
        </w:rPr>
        <w:t>professional</w:t>
      </w:r>
      <w:r>
        <w:rPr>
          <w:rFonts w:ascii="Calibri"/>
          <w:spacing w:val="-4"/>
          <w:w w:val="105"/>
          <w:sz w:val="21"/>
        </w:rPr>
        <w:t xml:space="preserve"> </w:t>
      </w:r>
      <w:r>
        <w:rPr>
          <w:rFonts w:ascii="Calibri"/>
          <w:w w:val="105"/>
          <w:sz w:val="21"/>
        </w:rPr>
        <w:t>judgement</w:t>
      </w:r>
      <w:r>
        <w:rPr>
          <w:rFonts w:ascii="Calibri"/>
          <w:spacing w:val="-5"/>
          <w:w w:val="105"/>
          <w:sz w:val="21"/>
        </w:rPr>
        <w:t xml:space="preserve"> </w:t>
      </w:r>
      <w:r>
        <w:rPr>
          <w:rFonts w:ascii="Calibri"/>
          <w:w w:val="105"/>
          <w:sz w:val="21"/>
        </w:rPr>
        <w:t>in</w:t>
      </w:r>
      <w:r>
        <w:rPr>
          <w:rFonts w:ascii="Calibri"/>
          <w:spacing w:val="-5"/>
          <w:w w:val="105"/>
          <w:sz w:val="21"/>
        </w:rPr>
        <w:t xml:space="preserve"> </w:t>
      </w:r>
      <w:r>
        <w:rPr>
          <w:rFonts w:ascii="Calibri"/>
          <w:w w:val="105"/>
          <w:sz w:val="21"/>
        </w:rPr>
        <w:t>gathering</w:t>
      </w:r>
      <w:r>
        <w:rPr>
          <w:rFonts w:ascii="Calibri"/>
          <w:spacing w:val="-5"/>
          <w:w w:val="105"/>
          <w:sz w:val="21"/>
        </w:rPr>
        <w:t xml:space="preserve"> </w:t>
      </w:r>
      <w:r>
        <w:rPr>
          <w:rFonts w:ascii="Calibri"/>
          <w:w w:val="105"/>
          <w:sz w:val="21"/>
        </w:rPr>
        <w:t>and</w:t>
      </w:r>
      <w:r>
        <w:rPr>
          <w:rFonts w:ascii="Calibri"/>
          <w:spacing w:val="-6"/>
          <w:w w:val="105"/>
          <w:sz w:val="21"/>
        </w:rPr>
        <w:t xml:space="preserve"> </w:t>
      </w:r>
      <w:r>
        <w:rPr>
          <w:rFonts w:ascii="Calibri"/>
          <w:w w:val="105"/>
          <w:sz w:val="21"/>
        </w:rPr>
        <w:t>evaluating</w:t>
      </w:r>
      <w:r>
        <w:rPr>
          <w:rFonts w:ascii="Calibri"/>
          <w:spacing w:val="-7"/>
          <w:w w:val="105"/>
          <w:sz w:val="21"/>
        </w:rPr>
        <w:t xml:space="preserve"> </w:t>
      </w:r>
      <w:r>
        <w:rPr>
          <w:rFonts w:ascii="Calibri"/>
          <w:w w:val="105"/>
          <w:sz w:val="21"/>
        </w:rPr>
        <w:t>evidence.</w:t>
      </w:r>
    </w:p>
    <w:p w:rsidR="006C17CB" w:rsidRDefault="0030091C">
      <w:pPr>
        <w:spacing w:before="187"/>
        <w:ind w:left="1022"/>
        <w:rPr>
          <w:rFonts w:ascii="Calibri"/>
          <w:sz w:val="21"/>
        </w:rPr>
      </w:pPr>
      <w:r>
        <w:rPr>
          <w:rFonts w:ascii="Calibri"/>
          <w:w w:val="105"/>
          <w:sz w:val="21"/>
        </w:rPr>
        <w:t>An audit does not provide assurance on the:</w:t>
      </w:r>
    </w:p>
    <w:p w:rsidR="006C17CB" w:rsidRDefault="006C17CB">
      <w:pPr>
        <w:rPr>
          <w:rFonts w:ascii="Calibri"/>
          <w:sz w:val="21"/>
        </w:rPr>
        <w:sectPr w:rsidR="006C17CB">
          <w:headerReference w:type="default" r:id="rId141"/>
          <w:footerReference w:type="even" r:id="rId142"/>
          <w:footerReference w:type="default" r:id="rId143"/>
          <w:pgSz w:w="11910" w:h="16840"/>
          <w:pgMar w:top="1120" w:right="0" w:bottom="740" w:left="980" w:header="0" w:footer="551" w:gutter="0"/>
          <w:pgNumType w:start="87"/>
          <w:cols w:space="720"/>
        </w:sectPr>
      </w:pPr>
    </w:p>
    <w:p w:rsidR="006C17CB" w:rsidRDefault="00FE24A7">
      <w:pPr>
        <w:pStyle w:val="BodyText"/>
        <w:rPr>
          <w:rFonts w:ascii="Calibri"/>
          <w:sz w:val="20"/>
        </w:rPr>
      </w:pPr>
      <w:r>
        <w:pict>
          <v:group id="_x0000_s1488" alt="" style="position:absolute;margin-left:56.7pt;margin-top:56.7pt;width:481.9pt;height:728.55pt;z-index:-476728;mso-position-horizontal-relative:page;mso-position-vertical-relative:page" coordorigin="1134,1134" coordsize="9638,14571">
            <v:shape id="_x0000_s1489" type="#_x0000_t75" alt="" style="position:absolute;left:2001;top:4583;width:2000;height:1312">
              <v:imagedata r:id="rId144" o:title=""/>
            </v:shape>
            <v:rect id="_x0000_s1490" alt="" style="position:absolute;left:1143;top:1143;width:9618;height:14551" filled="f" strokecolor="#dadada" strokeweight="1pt"/>
            <w10:wrap anchorx="page" anchory="page"/>
          </v:group>
        </w:pict>
      </w:r>
    </w:p>
    <w:p w:rsidR="006C17CB" w:rsidRDefault="006C17CB">
      <w:pPr>
        <w:pStyle w:val="BodyText"/>
        <w:rPr>
          <w:rFonts w:ascii="Calibri"/>
          <w:sz w:val="20"/>
        </w:rPr>
      </w:pPr>
    </w:p>
    <w:p w:rsidR="006C17CB" w:rsidRDefault="006C17CB">
      <w:pPr>
        <w:pStyle w:val="BodyText"/>
        <w:spacing w:before="12"/>
        <w:rPr>
          <w:rFonts w:ascii="Calibri"/>
          <w:sz w:val="25"/>
        </w:rPr>
      </w:pPr>
    </w:p>
    <w:p w:rsidR="006C17CB" w:rsidRDefault="0030091C">
      <w:pPr>
        <w:pStyle w:val="ListParagraph"/>
        <w:numPr>
          <w:ilvl w:val="2"/>
          <w:numId w:val="18"/>
        </w:numPr>
        <w:tabs>
          <w:tab w:val="left" w:pos="1531"/>
          <w:tab w:val="left" w:pos="1532"/>
        </w:tabs>
        <w:spacing w:before="71" w:line="240" w:lineRule="auto"/>
        <w:ind w:hanging="509"/>
        <w:rPr>
          <w:rFonts w:ascii="Arial"/>
          <w:sz w:val="21"/>
        </w:rPr>
      </w:pPr>
      <w:r>
        <w:rPr>
          <w:rFonts w:ascii="Calibri"/>
          <w:w w:val="105"/>
          <w:sz w:val="21"/>
        </w:rPr>
        <w:t>reasonableness of budget information included in the financial</w:t>
      </w:r>
      <w:r>
        <w:rPr>
          <w:rFonts w:ascii="Calibri"/>
          <w:spacing w:val="-22"/>
          <w:w w:val="105"/>
          <w:sz w:val="21"/>
        </w:rPr>
        <w:t xml:space="preserve"> </w:t>
      </w:r>
      <w:r>
        <w:rPr>
          <w:rFonts w:ascii="Calibri"/>
          <w:w w:val="105"/>
          <w:sz w:val="21"/>
        </w:rPr>
        <w:t>statements;</w:t>
      </w:r>
    </w:p>
    <w:p w:rsidR="006C17CB" w:rsidRDefault="0030091C">
      <w:pPr>
        <w:pStyle w:val="ListParagraph"/>
        <w:numPr>
          <w:ilvl w:val="2"/>
          <w:numId w:val="18"/>
        </w:numPr>
        <w:tabs>
          <w:tab w:val="left" w:pos="1531"/>
          <w:tab w:val="left" w:pos="1532"/>
        </w:tabs>
        <w:spacing w:before="80" w:line="240" w:lineRule="auto"/>
        <w:ind w:hanging="509"/>
        <w:rPr>
          <w:rFonts w:ascii="Arial"/>
          <w:sz w:val="21"/>
        </w:rPr>
      </w:pPr>
      <w:r>
        <w:rPr>
          <w:rFonts w:ascii="Calibri"/>
          <w:w w:val="105"/>
          <w:sz w:val="21"/>
        </w:rPr>
        <w:t>prudence of decisions made by the Office of the Legislative</w:t>
      </w:r>
      <w:r>
        <w:rPr>
          <w:rFonts w:ascii="Calibri"/>
          <w:spacing w:val="-31"/>
          <w:w w:val="105"/>
          <w:sz w:val="21"/>
        </w:rPr>
        <w:t xml:space="preserve"> </w:t>
      </w:r>
      <w:r>
        <w:rPr>
          <w:rFonts w:ascii="Calibri"/>
          <w:w w:val="105"/>
          <w:sz w:val="21"/>
        </w:rPr>
        <w:t>Assembly;</w:t>
      </w:r>
    </w:p>
    <w:p w:rsidR="006C17CB" w:rsidRDefault="0030091C">
      <w:pPr>
        <w:pStyle w:val="ListParagraph"/>
        <w:numPr>
          <w:ilvl w:val="2"/>
          <w:numId w:val="18"/>
        </w:numPr>
        <w:tabs>
          <w:tab w:val="left" w:pos="1531"/>
          <w:tab w:val="left" w:pos="1532"/>
        </w:tabs>
        <w:spacing w:before="81" w:line="240" w:lineRule="auto"/>
        <w:ind w:hanging="509"/>
        <w:rPr>
          <w:rFonts w:ascii="Arial"/>
          <w:sz w:val="21"/>
        </w:rPr>
      </w:pPr>
      <w:r>
        <w:rPr>
          <w:rFonts w:ascii="Calibri"/>
          <w:w w:val="105"/>
          <w:sz w:val="21"/>
        </w:rPr>
        <w:t>adequacy</w:t>
      </w:r>
      <w:r>
        <w:rPr>
          <w:rFonts w:ascii="Calibri"/>
          <w:spacing w:val="-4"/>
          <w:w w:val="105"/>
          <w:sz w:val="21"/>
        </w:rPr>
        <w:t xml:space="preserve"> </w:t>
      </w:r>
      <w:r>
        <w:rPr>
          <w:rFonts w:ascii="Calibri"/>
          <w:w w:val="105"/>
          <w:sz w:val="21"/>
        </w:rPr>
        <w:t>of</w:t>
      </w:r>
      <w:r>
        <w:rPr>
          <w:rFonts w:ascii="Calibri"/>
          <w:spacing w:val="-4"/>
          <w:w w:val="105"/>
          <w:sz w:val="21"/>
        </w:rPr>
        <w:t xml:space="preserve"> </w:t>
      </w:r>
      <w:r>
        <w:rPr>
          <w:rFonts w:ascii="Calibri"/>
          <w:w w:val="105"/>
          <w:sz w:val="21"/>
        </w:rPr>
        <w:t>controls</w:t>
      </w:r>
      <w:r>
        <w:rPr>
          <w:rFonts w:ascii="Calibri"/>
          <w:spacing w:val="-4"/>
          <w:w w:val="105"/>
          <w:sz w:val="21"/>
        </w:rPr>
        <w:t xml:space="preserve"> </w:t>
      </w:r>
      <w:r>
        <w:rPr>
          <w:rFonts w:ascii="Calibri"/>
          <w:w w:val="105"/>
          <w:sz w:val="21"/>
        </w:rPr>
        <w:t>implemented</w:t>
      </w:r>
      <w:r>
        <w:rPr>
          <w:rFonts w:ascii="Calibri"/>
          <w:spacing w:val="-4"/>
          <w:w w:val="105"/>
          <w:sz w:val="21"/>
        </w:rPr>
        <w:t xml:space="preserve"> </w:t>
      </w:r>
      <w:r>
        <w:rPr>
          <w:rFonts w:ascii="Calibri"/>
          <w:w w:val="105"/>
          <w:sz w:val="21"/>
        </w:rPr>
        <w:t>by</w:t>
      </w:r>
      <w:r>
        <w:rPr>
          <w:rFonts w:ascii="Calibri"/>
          <w:spacing w:val="-4"/>
          <w:w w:val="105"/>
          <w:sz w:val="21"/>
        </w:rPr>
        <w:t xml:space="preserve"> </w:t>
      </w:r>
      <w:r>
        <w:rPr>
          <w:rFonts w:ascii="Calibri"/>
          <w:w w:val="105"/>
          <w:sz w:val="21"/>
        </w:rPr>
        <w:t>the</w:t>
      </w:r>
      <w:r>
        <w:rPr>
          <w:rFonts w:ascii="Calibri"/>
          <w:spacing w:val="-3"/>
          <w:w w:val="105"/>
          <w:sz w:val="21"/>
        </w:rPr>
        <w:t xml:space="preserve"> </w:t>
      </w:r>
      <w:r>
        <w:rPr>
          <w:rFonts w:ascii="Calibri"/>
          <w:w w:val="105"/>
          <w:sz w:val="21"/>
        </w:rPr>
        <w:t>Office</w:t>
      </w:r>
      <w:r>
        <w:rPr>
          <w:rFonts w:ascii="Calibri"/>
          <w:spacing w:val="-5"/>
          <w:w w:val="105"/>
          <w:sz w:val="21"/>
        </w:rPr>
        <w:t xml:space="preserve"> </w:t>
      </w:r>
      <w:r>
        <w:rPr>
          <w:rFonts w:ascii="Calibri"/>
          <w:w w:val="105"/>
          <w:sz w:val="21"/>
        </w:rPr>
        <w:t>of</w:t>
      </w:r>
      <w:r>
        <w:rPr>
          <w:rFonts w:ascii="Calibri"/>
          <w:spacing w:val="-4"/>
          <w:w w:val="105"/>
          <w:sz w:val="21"/>
        </w:rPr>
        <w:t xml:space="preserve"> </w:t>
      </w:r>
      <w:r>
        <w:rPr>
          <w:rFonts w:ascii="Calibri"/>
          <w:w w:val="105"/>
          <w:sz w:val="21"/>
        </w:rPr>
        <w:t>the</w:t>
      </w:r>
      <w:r>
        <w:rPr>
          <w:rFonts w:ascii="Calibri"/>
          <w:spacing w:val="-5"/>
          <w:w w:val="105"/>
          <w:sz w:val="21"/>
        </w:rPr>
        <w:t xml:space="preserve"> </w:t>
      </w:r>
      <w:r>
        <w:rPr>
          <w:rFonts w:ascii="Calibri"/>
          <w:w w:val="105"/>
          <w:sz w:val="21"/>
        </w:rPr>
        <w:t>Legislative</w:t>
      </w:r>
      <w:r>
        <w:rPr>
          <w:rFonts w:ascii="Calibri"/>
          <w:spacing w:val="-3"/>
          <w:w w:val="105"/>
          <w:sz w:val="21"/>
        </w:rPr>
        <w:t xml:space="preserve"> </w:t>
      </w:r>
      <w:r>
        <w:rPr>
          <w:rFonts w:ascii="Calibri"/>
          <w:w w:val="105"/>
          <w:sz w:val="21"/>
        </w:rPr>
        <w:t>Assembly;</w:t>
      </w:r>
      <w:r>
        <w:rPr>
          <w:rFonts w:ascii="Calibri"/>
          <w:spacing w:val="-3"/>
          <w:w w:val="105"/>
          <w:sz w:val="21"/>
        </w:rPr>
        <w:t xml:space="preserve"> </w:t>
      </w:r>
      <w:r>
        <w:rPr>
          <w:rFonts w:ascii="Calibri"/>
          <w:w w:val="105"/>
          <w:sz w:val="21"/>
        </w:rPr>
        <w:t>or</w:t>
      </w:r>
    </w:p>
    <w:p w:rsidR="006C17CB" w:rsidRDefault="0030091C">
      <w:pPr>
        <w:pStyle w:val="ListParagraph"/>
        <w:numPr>
          <w:ilvl w:val="2"/>
          <w:numId w:val="18"/>
        </w:numPr>
        <w:tabs>
          <w:tab w:val="left" w:pos="1532"/>
        </w:tabs>
        <w:spacing w:before="101" w:line="208" w:lineRule="auto"/>
        <w:ind w:right="1997" w:hanging="509"/>
        <w:jc w:val="both"/>
        <w:rPr>
          <w:rFonts w:ascii="Arial"/>
          <w:sz w:val="20"/>
        </w:rPr>
      </w:pPr>
      <w:r>
        <w:rPr>
          <w:rFonts w:ascii="Calibri"/>
          <w:w w:val="105"/>
          <w:sz w:val="21"/>
        </w:rPr>
        <w:t>integrity of audited financial statements presented electronically or information hyperlinked</w:t>
      </w:r>
      <w:r>
        <w:rPr>
          <w:rFonts w:ascii="Calibri"/>
          <w:spacing w:val="-11"/>
          <w:w w:val="105"/>
          <w:sz w:val="21"/>
        </w:rPr>
        <w:t xml:space="preserve"> </w:t>
      </w:r>
      <w:r>
        <w:rPr>
          <w:rFonts w:ascii="Calibri"/>
          <w:w w:val="105"/>
          <w:sz w:val="21"/>
        </w:rPr>
        <w:t>to</w:t>
      </w:r>
      <w:r>
        <w:rPr>
          <w:rFonts w:ascii="Calibri"/>
          <w:spacing w:val="-11"/>
          <w:w w:val="105"/>
          <w:sz w:val="21"/>
        </w:rPr>
        <w:t xml:space="preserve"> </w:t>
      </w:r>
      <w:r>
        <w:rPr>
          <w:rFonts w:ascii="Calibri"/>
          <w:w w:val="105"/>
          <w:sz w:val="21"/>
        </w:rPr>
        <w:t>or</w:t>
      </w:r>
      <w:r>
        <w:rPr>
          <w:rFonts w:ascii="Calibri"/>
          <w:spacing w:val="-12"/>
          <w:w w:val="105"/>
          <w:sz w:val="21"/>
        </w:rPr>
        <w:t xml:space="preserve"> </w:t>
      </w:r>
      <w:r>
        <w:rPr>
          <w:rFonts w:ascii="Calibri"/>
          <w:w w:val="105"/>
          <w:sz w:val="21"/>
        </w:rPr>
        <w:t>from</w:t>
      </w:r>
      <w:r>
        <w:rPr>
          <w:rFonts w:ascii="Calibri"/>
          <w:spacing w:val="-12"/>
          <w:w w:val="105"/>
          <w:sz w:val="21"/>
        </w:rPr>
        <w:t xml:space="preserve"> </w:t>
      </w:r>
      <w:r>
        <w:rPr>
          <w:rFonts w:ascii="Calibri"/>
          <w:w w:val="105"/>
          <w:sz w:val="21"/>
        </w:rPr>
        <w:t>the</w:t>
      </w:r>
      <w:r>
        <w:rPr>
          <w:rFonts w:ascii="Calibri"/>
          <w:spacing w:val="-12"/>
          <w:w w:val="105"/>
          <w:sz w:val="21"/>
        </w:rPr>
        <w:t xml:space="preserve"> </w:t>
      </w:r>
      <w:r>
        <w:rPr>
          <w:rFonts w:ascii="Calibri"/>
          <w:w w:val="105"/>
          <w:sz w:val="21"/>
        </w:rPr>
        <w:t>financial</w:t>
      </w:r>
      <w:r>
        <w:rPr>
          <w:rFonts w:ascii="Calibri"/>
          <w:spacing w:val="-10"/>
          <w:w w:val="105"/>
          <w:sz w:val="21"/>
        </w:rPr>
        <w:t xml:space="preserve"> </w:t>
      </w:r>
      <w:r>
        <w:rPr>
          <w:rFonts w:ascii="Calibri"/>
          <w:w w:val="105"/>
          <w:sz w:val="21"/>
        </w:rPr>
        <w:t>statements.</w:t>
      </w:r>
      <w:r>
        <w:rPr>
          <w:rFonts w:ascii="Calibri"/>
          <w:spacing w:val="-13"/>
          <w:w w:val="105"/>
          <w:sz w:val="21"/>
        </w:rPr>
        <w:t xml:space="preserve"> </w:t>
      </w:r>
      <w:r>
        <w:rPr>
          <w:rFonts w:ascii="Calibri"/>
          <w:w w:val="105"/>
          <w:sz w:val="21"/>
        </w:rPr>
        <w:t>Assurance</w:t>
      </w:r>
      <w:r>
        <w:rPr>
          <w:rFonts w:ascii="Calibri"/>
          <w:spacing w:val="-12"/>
          <w:w w:val="105"/>
          <w:sz w:val="21"/>
        </w:rPr>
        <w:t xml:space="preserve"> </w:t>
      </w:r>
      <w:r>
        <w:rPr>
          <w:rFonts w:ascii="Calibri"/>
          <w:w w:val="105"/>
          <w:sz w:val="21"/>
        </w:rPr>
        <w:t>can</w:t>
      </w:r>
      <w:r>
        <w:rPr>
          <w:rFonts w:ascii="Calibri"/>
          <w:spacing w:val="-11"/>
          <w:w w:val="105"/>
          <w:sz w:val="21"/>
        </w:rPr>
        <w:t xml:space="preserve"> </w:t>
      </w:r>
      <w:r>
        <w:rPr>
          <w:rFonts w:ascii="Calibri"/>
          <w:w w:val="105"/>
          <w:sz w:val="21"/>
        </w:rPr>
        <w:t>only</w:t>
      </w:r>
      <w:r>
        <w:rPr>
          <w:rFonts w:ascii="Calibri"/>
          <w:spacing w:val="-13"/>
          <w:w w:val="105"/>
          <w:sz w:val="21"/>
        </w:rPr>
        <w:t xml:space="preserve"> </w:t>
      </w:r>
      <w:r>
        <w:rPr>
          <w:rFonts w:ascii="Calibri"/>
          <w:w w:val="105"/>
          <w:sz w:val="21"/>
        </w:rPr>
        <w:t>be</w:t>
      </w:r>
      <w:r>
        <w:rPr>
          <w:rFonts w:ascii="Calibri"/>
          <w:spacing w:val="-13"/>
          <w:w w:val="105"/>
          <w:sz w:val="21"/>
        </w:rPr>
        <w:t xml:space="preserve"> </w:t>
      </w:r>
      <w:r>
        <w:rPr>
          <w:rFonts w:ascii="Calibri"/>
          <w:w w:val="105"/>
          <w:sz w:val="21"/>
        </w:rPr>
        <w:t>provided</w:t>
      </w:r>
      <w:r>
        <w:rPr>
          <w:rFonts w:ascii="Calibri"/>
          <w:spacing w:val="-11"/>
          <w:w w:val="105"/>
          <w:sz w:val="21"/>
        </w:rPr>
        <w:t xml:space="preserve"> </w:t>
      </w:r>
      <w:r>
        <w:rPr>
          <w:rFonts w:ascii="Calibri"/>
          <w:w w:val="105"/>
          <w:sz w:val="21"/>
        </w:rPr>
        <w:t>for the printed copy of the audited financial</w:t>
      </w:r>
      <w:r>
        <w:rPr>
          <w:rFonts w:ascii="Calibri"/>
          <w:spacing w:val="-19"/>
          <w:w w:val="105"/>
          <w:sz w:val="21"/>
        </w:rPr>
        <w:t xml:space="preserve"> </w:t>
      </w:r>
      <w:r>
        <w:rPr>
          <w:rFonts w:ascii="Calibri"/>
          <w:w w:val="105"/>
          <w:sz w:val="21"/>
        </w:rPr>
        <w:t>statements.</w:t>
      </w:r>
    </w:p>
    <w:p w:rsidR="006C17CB" w:rsidRDefault="006C17CB">
      <w:pPr>
        <w:pStyle w:val="BodyText"/>
        <w:rPr>
          <w:rFonts w:ascii="Calibri"/>
        </w:rPr>
      </w:pPr>
    </w:p>
    <w:p w:rsidR="006C17CB" w:rsidRDefault="006C17CB">
      <w:pPr>
        <w:pStyle w:val="BodyText"/>
        <w:rPr>
          <w:rFonts w:ascii="Calibri"/>
        </w:rPr>
      </w:pPr>
    </w:p>
    <w:p w:rsidR="006C17CB" w:rsidRDefault="006C17CB">
      <w:pPr>
        <w:pStyle w:val="BodyText"/>
        <w:rPr>
          <w:rFonts w:ascii="Calibri"/>
        </w:rPr>
      </w:pPr>
    </w:p>
    <w:p w:rsidR="006C17CB" w:rsidRDefault="006C17CB">
      <w:pPr>
        <w:pStyle w:val="BodyText"/>
        <w:rPr>
          <w:rFonts w:ascii="Calibri"/>
        </w:rPr>
      </w:pPr>
    </w:p>
    <w:p w:rsidR="006C17CB" w:rsidRDefault="006C17CB">
      <w:pPr>
        <w:pStyle w:val="BodyText"/>
        <w:rPr>
          <w:rFonts w:ascii="Calibri"/>
        </w:rPr>
      </w:pPr>
    </w:p>
    <w:p w:rsidR="006C17CB" w:rsidRDefault="006C17CB">
      <w:pPr>
        <w:pStyle w:val="BodyText"/>
        <w:rPr>
          <w:rFonts w:ascii="Calibri"/>
          <w:sz w:val="27"/>
        </w:rPr>
      </w:pPr>
    </w:p>
    <w:p w:rsidR="006C17CB" w:rsidRDefault="0030091C">
      <w:pPr>
        <w:spacing w:before="1" w:line="283" w:lineRule="exact"/>
        <w:ind w:left="1022"/>
        <w:rPr>
          <w:rFonts w:ascii="Calibri"/>
          <w:sz w:val="21"/>
        </w:rPr>
      </w:pPr>
      <w:r>
        <w:rPr>
          <w:rFonts w:ascii="Calibri"/>
          <w:w w:val="105"/>
          <w:sz w:val="21"/>
        </w:rPr>
        <w:t>Ajay Sharma</w:t>
      </w:r>
    </w:p>
    <w:p w:rsidR="006C17CB" w:rsidRDefault="0030091C">
      <w:pPr>
        <w:spacing w:before="12" w:line="208" w:lineRule="auto"/>
        <w:ind w:left="1022" w:right="7736"/>
        <w:rPr>
          <w:rFonts w:ascii="Calibri"/>
          <w:sz w:val="21"/>
        </w:rPr>
      </w:pPr>
      <w:r>
        <w:rPr>
          <w:rFonts w:ascii="Calibri"/>
          <w:sz w:val="21"/>
        </w:rPr>
        <w:t xml:space="preserve">Acting Auditor-General </w:t>
      </w:r>
      <w:r>
        <w:rPr>
          <w:rFonts w:ascii="Calibri"/>
          <w:w w:val="105"/>
          <w:sz w:val="21"/>
        </w:rPr>
        <w:t>13 August 2018</w:t>
      </w:r>
    </w:p>
    <w:p w:rsidR="006C17CB" w:rsidRDefault="006C17CB">
      <w:pPr>
        <w:spacing w:line="208" w:lineRule="auto"/>
        <w:rPr>
          <w:rFonts w:ascii="Calibri"/>
          <w:sz w:val="21"/>
        </w:rPr>
        <w:sectPr w:rsidR="006C17CB">
          <w:headerReference w:type="even" r:id="rId145"/>
          <w:pgSz w:w="11910" w:h="16840"/>
          <w:pgMar w:top="1120" w:right="0" w:bottom="720" w:left="980" w:header="0" w:footer="523" w:gutter="0"/>
          <w:cols w:space="720"/>
        </w:sect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spacing w:before="11"/>
        <w:rPr>
          <w:rFonts w:ascii="Calibri"/>
          <w:sz w:val="13"/>
        </w:rPr>
      </w:pPr>
    </w:p>
    <w:p w:rsidR="006C17CB" w:rsidRDefault="0030091C">
      <w:pPr>
        <w:pStyle w:val="Heading1"/>
        <w:spacing w:line="589" w:lineRule="exact"/>
        <w:ind w:left="505"/>
      </w:pPr>
      <w:r>
        <w:rPr>
          <w:color w:val="003366"/>
        </w:rPr>
        <w:t>OFFICE OF THE LEGISLATIVE ASSEMBLY</w:t>
      </w:r>
    </w:p>
    <w:p w:rsidR="006C17CB" w:rsidRDefault="006C17CB">
      <w:pPr>
        <w:pStyle w:val="BodyText"/>
        <w:rPr>
          <w:rFonts w:ascii="Calibri"/>
          <w:b/>
          <w:sz w:val="48"/>
        </w:rPr>
      </w:pPr>
    </w:p>
    <w:p w:rsidR="006C17CB" w:rsidRDefault="006C17CB">
      <w:pPr>
        <w:pStyle w:val="BodyText"/>
        <w:rPr>
          <w:rFonts w:ascii="Calibri"/>
          <w:b/>
          <w:sz w:val="48"/>
        </w:rPr>
      </w:pPr>
    </w:p>
    <w:p w:rsidR="006C17CB" w:rsidRDefault="006C17CB">
      <w:pPr>
        <w:pStyle w:val="BodyText"/>
        <w:rPr>
          <w:rFonts w:ascii="Calibri"/>
          <w:b/>
          <w:sz w:val="48"/>
        </w:rPr>
      </w:pPr>
    </w:p>
    <w:p w:rsidR="006C17CB" w:rsidRDefault="0030091C">
      <w:pPr>
        <w:spacing w:before="352"/>
        <w:ind w:left="502" w:right="1729"/>
        <w:jc w:val="center"/>
        <w:rPr>
          <w:rFonts w:ascii="Calibri"/>
          <w:b/>
          <w:sz w:val="48"/>
        </w:rPr>
      </w:pPr>
      <w:r>
        <w:rPr>
          <w:rFonts w:ascii="Calibri"/>
          <w:b/>
          <w:color w:val="003366"/>
          <w:sz w:val="48"/>
        </w:rPr>
        <w:t>CONTROLLED FINANCIAL STATEMENTS</w:t>
      </w:r>
    </w:p>
    <w:p w:rsidR="006C17CB" w:rsidRDefault="006C17CB">
      <w:pPr>
        <w:pStyle w:val="BodyText"/>
        <w:rPr>
          <w:rFonts w:ascii="Calibri"/>
          <w:b/>
          <w:sz w:val="48"/>
        </w:rPr>
      </w:pPr>
    </w:p>
    <w:p w:rsidR="006C17CB" w:rsidRDefault="006C17CB">
      <w:pPr>
        <w:pStyle w:val="BodyText"/>
        <w:rPr>
          <w:rFonts w:ascii="Calibri"/>
          <w:b/>
          <w:sz w:val="48"/>
        </w:rPr>
      </w:pPr>
    </w:p>
    <w:p w:rsidR="006C17CB" w:rsidRDefault="006C17CB">
      <w:pPr>
        <w:pStyle w:val="BodyText"/>
        <w:rPr>
          <w:rFonts w:ascii="Calibri"/>
          <w:b/>
          <w:sz w:val="48"/>
        </w:rPr>
      </w:pPr>
    </w:p>
    <w:p w:rsidR="006C17CB" w:rsidRDefault="006C17CB">
      <w:pPr>
        <w:pStyle w:val="BodyText"/>
        <w:spacing w:before="2"/>
        <w:rPr>
          <w:rFonts w:ascii="Calibri"/>
          <w:b/>
          <w:sz w:val="32"/>
        </w:rPr>
      </w:pPr>
    </w:p>
    <w:p w:rsidR="006C17CB" w:rsidRDefault="0030091C">
      <w:pPr>
        <w:pStyle w:val="Heading2"/>
        <w:ind w:right="1729"/>
        <w:jc w:val="center"/>
      </w:pPr>
      <w:r>
        <w:rPr>
          <w:color w:val="003366"/>
        </w:rPr>
        <w:t>FOR THE YEAR ENDED 30 JUNE 2018</w:t>
      </w:r>
    </w:p>
    <w:p w:rsidR="006C17CB" w:rsidRDefault="006C17CB">
      <w:pPr>
        <w:jc w:val="center"/>
        <w:sectPr w:rsidR="006C17CB">
          <w:headerReference w:type="default" r:id="rId146"/>
          <w:footerReference w:type="even" r:id="rId147"/>
          <w:footerReference w:type="default" r:id="rId148"/>
          <w:pgSz w:w="11910" w:h="16840"/>
          <w:pgMar w:top="1580" w:right="0" w:bottom="740" w:left="980" w:header="0" w:footer="551" w:gutter="0"/>
          <w:pgNumType w:start="89"/>
          <w:cols w:space="720"/>
        </w:sectPr>
      </w:pPr>
    </w:p>
    <w:p w:rsidR="006C17CB" w:rsidRDefault="006C17CB">
      <w:pPr>
        <w:pStyle w:val="BodyText"/>
        <w:rPr>
          <w:rFonts w:ascii="Calibri"/>
          <w:b/>
          <w:sz w:val="20"/>
        </w:rPr>
      </w:pPr>
    </w:p>
    <w:p w:rsidR="006C17CB" w:rsidRDefault="006C17CB">
      <w:pPr>
        <w:pStyle w:val="BodyText"/>
        <w:rPr>
          <w:rFonts w:ascii="Calibri"/>
          <w:b/>
          <w:sz w:val="20"/>
        </w:rPr>
      </w:pPr>
    </w:p>
    <w:p w:rsidR="006C17CB" w:rsidRDefault="006C17CB">
      <w:pPr>
        <w:pStyle w:val="BodyText"/>
        <w:spacing w:before="7"/>
        <w:rPr>
          <w:rFonts w:ascii="Calibri"/>
          <w:b/>
        </w:rPr>
      </w:pPr>
    </w:p>
    <w:p w:rsidR="006C17CB" w:rsidRDefault="0030091C">
      <w:pPr>
        <w:spacing w:before="2" w:line="204" w:lineRule="auto"/>
        <w:ind w:left="3419" w:right="2969" w:hanging="1059"/>
        <w:rPr>
          <w:rFonts w:ascii="Calibri"/>
          <w:b/>
          <w:sz w:val="40"/>
        </w:rPr>
      </w:pPr>
      <w:r>
        <w:rPr>
          <w:rFonts w:ascii="Calibri"/>
          <w:b/>
          <w:color w:val="17365D"/>
          <w:sz w:val="40"/>
        </w:rPr>
        <w:t>Office of the Legislative Assembly Financial Statements</w:t>
      </w:r>
    </w:p>
    <w:p w:rsidR="006C17CB" w:rsidRDefault="0030091C">
      <w:pPr>
        <w:spacing w:line="503" w:lineRule="exact"/>
        <w:ind w:left="2449"/>
        <w:rPr>
          <w:rFonts w:ascii="Calibri"/>
          <w:b/>
          <w:sz w:val="40"/>
        </w:rPr>
      </w:pPr>
      <w:r>
        <w:rPr>
          <w:rFonts w:ascii="Calibri"/>
          <w:b/>
          <w:color w:val="17365D"/>
          <w:sz w:val="40"/>
        </w:rPr>
        <w:t>For the Year Ended 30 June 2018</w:t>
      </w:r>
    </w:p>
    <w:p w:rsidR="006C17CB" w:rsidRDefault="00FE24A7">
      <w:pPr>
        <w:pStyle w:val="BodyText"/>
        <w:spacing w:before="11"/>
        <w:rPr>
          <w:rFonts w:ascii="Calibri"/>
          <w:b/>
          <w:sz w:val="17"/>
        </w:rPr>
      </w:pPr>
      <w:r>
        <w:pict>
          <v:line id="_x0000_s1487" alt="" style="position:absolute;z-index:1840;mso-wrap-edited:f;mso-width-percent:0;mso-height-percent:0;mso-wrap-distance-left:0;mso-wrap-distance-right:0;mso-position-horizontal-relative:page;mso-width-percent:0;mso-height-percent:0" from="96.85pt,15pt" to="515.75pt,15pt" strokecolor="#036" strokeweight=".17003mm">
            <w10:wrap type="topAndBottom" anchorx="page"/>
          </v:line>
        </w:pict>
      </w:r>
    </w:p>
    <w:p w:rsidR="006C17CB" w:rsidRDefault="006C17CB">
      <w:pPr>
        <w:pStyle w:val="BodyText"/>
        <w:rPr>
          <w:rFonts w:ascii="Calibri"/>
          <w:b/>
          <w:sz w:val="20"/>
        </w:rPr>
      </w:pPr>
    </w:p>
    <w:p w:rsidR="006C17CB" w:rsidRDefault="006C17CB">
      <w:pPr>
        <w:pStyle w:val="BodyText"/>
        <w:rPr>
          <w:rFonts w:ascii="Calibri"/>
          <w:b/>
          <w:sz w:val="20"/>
        </w:rPr>
      </w:pPr>
    </w:p>
    <w:p w:rsidR="006C17CB" w:rsidRDefault="006C17CB">
      <w:pPr>
        <w:pStyle w:val="BodyText"/>
        <w:rPr>
          <w:rFonts w:ascii="Calibri"/>
          <w:b/>
          <w:sz w:val="20"/>
        </w:rPr>
      </w:pPr>
    </w:p>
    <w:p w:rsidR="006C17CB" w:rsidRDefault="006C17CB">
      <w:pPr>
        <w:pStyle w:val="BodyText"/>
        <w:rPr>
          <w:rFonts w:ascii="Calibri"/>
          <w:b/>
          <w:sz w:val="20"/>
        </w:rPr>
      </w:pPr>
    </w:p>
    <w:p w:rsidR="006C17CB" w:rsidRDefault="006C17CB">
      <w:pPr>
        <w:pStyle w:val="BodyText"/>
        <w:spacing w:before="1"/>
        <w:rPr>
          <w:rFonts w:ascii="Calibri"/>
          <w:b/>
          <w:sz w:val="18"/>
        </w:rPr>
      </w:pPr>
    </w:p>
    <w:p w:rsidR="006C17CB" w:rsidRDefault="0030091C">
      <w:pPr>
        <w:spacing w:line="508" w:lineRule="exact"/>
        <w:ind w:left="2605"/>
        <w:rPr>
          <w:rFonts w:ascii="Calibri"/>
          <w:b/>
          <w:sz w:val="40"/>
        </w:rPr>
      </w:pPr>
      <w:r>
        <w:rPr>
          <w:rFonts w:ascii="Calibri"/>
          <w:b/>
          <w:color w:val="17365D"/>
          <w:sz w:val="40"/>
        </w:rPr>
        <w:t>Statement of Responsibility</w:t>
      </w:r>
    </w:p>
    <w:p w:rsidR="006C17CB" w:rsidRDefault="006C17CB">
      <w:pPr>
        <w:pStyle w:val="BodyText"/>
        <w:rPr>
          <w:rFonts w:ascii="Calibri"/>
          <w:b/>
          <w:sz w:val="40"/>
        </w:rPr>
      </w:pPr>
    </w:p>
    <w:p w:rsidR="006C17CB" w:rsidRDefault="006C17CB">
      <w:pPr>
        <w:pStyle w:val="BodyText"/>
        <w:spacing w:before="14"/>
        <w:rPr>
          <w:rFonts w:ascii="Calibri"/>
          <w:b/>
          <w:sz w:val="43"/>
        </w:rPr>
      </w:pPr>
    </w:p>
    <w:p w:rsidR="006C17CB" w:rsidRDefault="0030091C">
      <w:pPr>
        <w:spacing w:line="204" w:lineRule="auto"/>
        <w:ind w:left="863" w:right="1977"/>
        <w:jc w:val="both"/>
        <w:rPr>
          <w:rFonts w:ascii="Calibri" w:hAnsi="Calibri"/>
          <w:sz w:val="24"/>
        </w:rPr>
      </w:pPr>
      <w:r>
        <w:rPr>
          <w:rFonts w:ascii="Calibri" w:hAnsi="Calibri"/>
          <w:color w:val="17365D"/>
          <w:sz w:val="24"/>
        </w:rPr>
        <w:t>In my opinion, the financial statements are in agreement with the Office of the Legislative Assembly’s accounts and records and fairly reflect the financial operations</w:t>
      </w:r>
      <w:r>
        <w:rPr>
          <w:rFonts w:ascii="Calibri" w:hAnsi="Calibri"/>
          <w:color w:val="17365D"/>
          <w:spacing w:val="-16"/>
          <w:sz w:val="24"/>
        </w:rPr>
        <w:t xml:space="preserve"> </w:t>
      </w:r>
      <w:r>
        <w:rPr>
          <w:rFonts w:ascii="Calibri" w:hAnsi="Calibri"/>
          <w:color w:val="17365D"/>
          <w:sz w:val="24"/>
        </w:rPr>
        <w:t>of</w:t>
      </w:r>
      <w:r>
        <w:rPr>
          <w:rFonts w:ascii="Calibri" w:hAnsi="Calibri"/>
          <w:color w:val="17365D"/>
          <w:spacing w:val="-15"/>
          <w:sz w:val="24"/>
        </w:rPr>
        <w:t xml:space="preserve"> </w:t>
      </w:r>
      <w:r>
        <w:rPr>
          <w:rFonts w:ascii="Calibri" w:hAnsi="Calibri"/>
          <w:color w:val="17365D"/>
          <w:sz w:val="24"/>
        </w:rPr>
        <w:t>the</w:t>
      </w:r>
      <w:r>
        <w:rPr>
          <w:rFonts w:ascii="Calibri" w:hAnsi="Calibri"/>
          <w:color w:val="17365D"/>
          <w:spacing w:val="-13"/>
          <w:sz w:val="24"/>
        </w:rPr>
        <w:t xml:space="preserve"> </w:t>
      </w:r>
      <w:r>
        <w:rPr>
          <w:rFonts w:ascii="Calibri" w:hAnsi="Calibri"/>
          <w:color w:val="17365D"/>
          <w:sz w:val="24"/>
        </w:rPr>
        <w:t>Office</w:t>
      </w:r>
      <w:r>
        <w:rPr>
          <w:rFonts w:ascii="Calibri" w:hAnsi="Calibri"/>
          <w:color w:val="17365D"/>
          <w:spacing w:val="-15"/>
          <w:sz w:val="24"/>
        </w:rPr>
        <w:t xml:space="preserve"> </w:t>
      </w:r>
      <w:r>
        <w:rPr>
          <w:rFonts w:ascii="Calibri" w:hAnsi="Calibri"/>
          <w:color w:val="17365D"/>
          <w:sz w:val="24"/>
        </w:rPr>
        <w:t>of</w:t>
      </w:r>
      <w:r>
        <w:rPr>
          <w:rFonts w:ascii="Calibri" w:hAnsi="Calibri"/>
          <w:color w:val="17365D"/>
          <w:spacing w:val="-12"/>
          <w:sz w:val="24"/>
        </w:rPr>
        <w:t xml:space="preserve"> </w:t>
      </w:r>
      <w:r>
        <w:rPr>
          <w:rFonts w:ascii="Calibri" w:hAnsi="Calibri"/>
          <w:color w:val="17365D"/>
          <w:sz w:val="24"/>
        </w:rPr>
        <w:t>the</w:t>
      </w:r>
      <w:r>
        <w:rPr>
          <w:rFonts w:ascii="Calibri" w:hAnsi="Calibri"/>
          <w:color w:val="17365D"/>
          <w:spacing w:val="-13"/>
          <w:sz w:val="24"/>
        </w:rPr>
        <w:t xml:space="preserve"> </w:t>
      </w:r>
      <w:r>
        <w:rPr>
          <w:rFonts w:ascii="Calibri" w:hAnsi="Calibri"/>
          <w:color w:val="17365D"/>
          <w:sz w:val="24"/>
        </w:rPr>
        <w:t>Legislative</w:t>
      </w:r>
      <w:r>
        <w:rPr>
          <w:rFonts w:ascii="Calibri" w:hAnsi="Calibri"/>
          <w:color w:val="17365D"/>
          <w:spacing w:val="-15"/>
          <w:sz w:val="24"/>
        </w:rPr>
        <w:t xml:space="preserve"> </w:t>
      </w:r>
      <w:r>
        <w:rPr>
          <w:rFonts w:ascii="Calibri" w:hAnsi="Calibri"/>
          <w:color w:val="17365D"/>
          <w:sz w:val="24"/>
        </w:rPr>
        <w:t>Assembly</w:t>
      </w:r>
      <w:r>
        <w:rPr>
          <w:rFonts w:ascii="Calibri" w:hAnsi="Calibri"/>
          <w:color w:val="17365D"/>
          <w:spacing w:val="-14"/>
          <w:sz w:val="24"/>
        </w:rPr>
        <w:t xml:space="preserve"> </w:t>
      </w:r>
      <w:r>
        <w:rPr>
          <w:rFonts w:ascii="Calibri" w:hAnsi="Calibri"/>
          <w:color w:val="17365D"/>
          <w:sz w:val="24"/>
        </w:rPr>
        <w:t>for</w:t>
      </w:r>
      <w:r>
        <w:rPr>
          <w:rFonts w:ascii="Calibri" w:hAnsi="Calibri"/>
          <w:color w:val="17365D"/>
          <w:spacing w:val="-16"/>
          <w:sz w:val="24"/>
        </w:rPr>
        <w:t xml:space="preserve"> </w:t>
      </w:r>
      <w:r>
        <w:rPr>
          <w:rFonts w:ascii="Calibri" w:hAnsi="Calibri"/>
          <w:color w:val="17365D"/>
          <w:sz w:val="24"/>
        </w:rPr>
        <w:t>the</w:t>
      </w:r>
      <w:r>
        <w:rPr>
          <w:rFonts w:ascii="Calibri" w:hAnsi="Calibri"/>
          <w:color w:val="17365D"/>
          <w:spacing w:val="-15"/>
          <w:sz w:val="24"/>
        </w:rPr>
        <w:t xml:space="preserve"> </w:t>
      </w:r>
      <w:r>
        <w:rPr>
          <w:rFonts w:ascii="Calibri" w:hAnsi="Calibri"/>
          <w:color w:val="17365D"/>
          <w:sz w:val="24"/>
        </w:rPr>
        <w:t>year</w:t>
      </w:r>
      <w:r>
        <w:rPr>
          <w:rFonts w:ascii="Calibri" w:hAnsi="Calibri"/>
          <w:color w:val="17365D"/>
          <w:spacing w:val="-13"/>
          <w:sz w:val="24"/>
        </w:rPr>
        <w:t xml:space="preserve"> </w:t>
      </w:r>
      <w:r>
        <w:rPr>
          <w:rFonts w:ascii="Calibri" w:hAnsi="Calibri"/>
          <w:color w:val="17365D"/>
          <w:sz w:val="24"/>
        </w:rPr>
        <w:t>ended</w:t>
      </w:r>
      <w:r>
        <w:rPr>
          <w:rFonts w:ascii="Calibri" w:hAnsi="Calibri"/>
          <w:color w:val="17365D"/>
          <w:spacing w:val="-13"/>
          <w:sz w:val="24"/>
        </w:rPr>
        <w:t xml:space="preserve"> </w:t>
      </w:r>
      <w:r>
        <w:rPr>
          <w:rFonts w:ascii="Calibri" w:hAnsi="Calibri"/>
          <w:color w:val="17365D"/>
          <w:sz w:val="24"/>
        </w:rPr>
        <w:t>30</w:t>
      </w:r>
      <w:r>
        <w:rPr>
          <w:rFonts w:ascii="Calibri" w:hAnsi="Calibri"/>
          <w:color w:val="17365D"/>
          <w:spacing w:val="-1"/>
          <w:sz w:val="24"/>
        </w:rPr>
        <w:t xml:space="preserve"> </w:t>
      </w:r>
      <w:r>
        <w:rPr>
          <w:rFonts w:ascii="Calibri" w:hAnsi="Calibri"/>
          <w:color w:val="17365D"/>
          <w:sz w:val="24"/>
        </w:rPr>
        <w:t>June</w:t>
      </w:r>
      <w:r>
        <w:rPr>
          <w:rFonts w:ascii="Calibri" w:hAnsi="Calibri"/>
          <w:color w:val="17365D"/>
          <w:spacing w:val="-3"/>
          <w:sz w:val="24"/>
        </w:rPr>
        <w:t xml:space="preserve"> </w:t>
      </w:r>
      <w:r>
        <w:rPr>
          <w:rFonts w:ascii="Calibri" w:hAnsi="Calibri"/>
          <w:color w:val="17365D"/>
          <w:sz w:val="24"/>
        </w:rPr>
        <w:t>2018 and the financial position on that</w:t>
      </w:r>
      <w:r>
        <w:rPr>
          <w:rFonts w:ascii="Calibri" w:hAnsi="Calibri"/>
          <w:color w:val="17365D"/>
          <w:spacing w:val="2"/>
          <w:sz w:val="24"/>
        </w:rPr>
        <w:t xml:space="preserve"> </w:t>
      </w:r>
      <w:r>
        <w:rPr>
          <w:rFonts w:ascii="Calibri" w:hAnsi="Calibri"/>
          <w:color w:val="17365D"/>
          <w:sz w:val="24"/>
        </w:rPr>
        <w:t>date.</w:t>
      </w: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30091C">
      <w:pPr>
        <w:pStyle w:val="BodyText"/>
        <w:rPr>
          <w:rFonts w:ascii="Calibri"/>
          <w:sz w:val="16"/>
        </w:rPr>
      </w:pPr>
      <w:r>
        <w:rPr>
          <w:noProof/>
          <w:lang w:val="en-AU" w:eastAsia="en-AU" w:bidi="ar-SA"/>
        </w:rPr>
        <w:drawing>
          <wp:anchor distT="0" distB="0" distL="0" distR="0" simplePos="0" relativeHeight="1864" behindDoc="0" locked="0" layoutInCell="1" allowOverlap="1">
            <wp:simplePos x="0" y="0"/>
            <wp:positionH relativeFrom="page">
              <wp:posOffset>1246539</wp:posOffset>
            </wp:positionH>
            <wp:positionV relativeFrom="paragraph">
              <wp:posOffset>171636</wp:posOffset>
            </wp:positionV>
            <wp:extent cx="1276968" cy="514350"/>
            <wp:effectExtent l="0" t="0" r="0" b="0"/>
            <wp:wrapTopAndBottom/>
            <wp:docPr id="25" name="image18.png" descr="Office of the Legislative Assembly Controlled Financial Statements for the year ended 3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149" cstate="print"/>
                    <a:stretch>
                      <a:fillRect/>
                    </a:stretch>
                  </pic:blipFill>
                  <pic:spPr>
                    <a:xfrm>
                      <a:off x="0" y="0"/>
                      <a:ext cx="1276968" cy="514350"/>
                    </a:xfrm>
                    <a:prstGeom prst="rect">
                      <a:avLst/>
                    </a:prstGeom>
                  </pic:spPr>
                </pic:pic>
              </a:graphicData>
            </a:graphic>
          </wp:anchor>
        </w:drawing>
      </w:r>
    </w:p>
    <w:p w:rsidR="006C17CB" w:rsidRDefault="0030091C">
      <w:pPr>
        <w:spacing w:before="210" w:line="319" w:lineRule="exact"/>
        <w:ind w:left="908"/>
        <w:rPr>
          <w:rFonts w:ascii="Calibri"/>
          <w:sz w:val="24"/>
        </w:rPr>
      </w:pPr>
      <w:r>
        <w:rPr>
          <w:rFonts w:ascii="Calibri"/>
          <w:color w:val="17365D"/>
          <w:sz w:val="24"/>
        </w:rPr>
        <w:t>Tom Duncan</w:t>
      </w:r>
    </w:p>
    <w:p w:rsidR="006C17CB" w:rsidRDefault="0030091C">
      <w:pPr>
        <w:spacing w:before="15" w:line="204" w:lineRule="auto"/>
        <w:ind w:left="908" w:right="6820"/>
        <w:rPr>
          <w:rFonts w:ascii="Calibri"/>
          <w:sz w:val="24"/>
        </w:rPr>
      </w:pPr>
      <w:r>
        <w:rPr>
          <w:rFonts w:ascii="Calibri"/>
          <w:color w:val="17365D"/>
          <w:sz w:val="24"/>
        </w:rPr>
        <w:t>Clerk of the Legislative Assembly 10 August 2018</w:t>
      </w:r>
    </w:p>
    <w:p w:rsidR="006C17CB" w:rsidRDefault="006C17CB">
      <w:pPr>
        <w:spacing w:line="204" w:lineRule="auto"/>
        <w:rPr>
          <w:rFonts w:ascii="Calibri"/>
          <w:sz w:val="24"/>
        </w:rPr>
        <w:sectPr w:rsidR="006C17CB">
          <w:headerReference w:type="even" r:id="rId150"/>
          <w:pgSz w:w="11910" w:h="16840"/>
          <w:pgMar w:top="1580" w:right="0" w:bottom="720" w:left="980" w:header="0" w:footer="523" w:gutter="0"/>
          <w:cols w:space="720"/>
        </w:sect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spacing w:before="7"/>
        <w:rPr>
          <w:rFonts w:ascii="Calibri"/>
        </w:rPr>
      </w:pPr>
    </w:p>
    <w:p w:rsidR="006C17CB" w:rsidRDefault="0030091C">
      <w:pPr>
        <w:spacing w:before="2" w:line="204" w:lineRule="auto"/>
        <w:ind w:left="3328" w:right="3060" w:hanging="1059"/>
        <w:rPr>
          <w:rFonts w:ascii="Calibri"/>
          <w:b/>
          <w:sz w:val="40"/>
        </w:rPr>
      </w:pPr>
      <w:r>
        <w:rPr>
          <w:rFonts w:ascii="Calibri"/>
          <w:b/>
          <w:color w:val="17365D"/>
          <w:sz w:val="40"/>
        </w:rPr>
        <w:t>Office of the Legislative Assembly Financial Statements</w:t>
      </w:r>
    </w:p>
    <w:p w:rsidR="006C17CB" w:rsidRDefault="0030091C">
      <w:pPr>
        <w:spacing w:line="503" w:lineRule="exact"/>
        <w:ind w:left="2356"/>
        <w:rPr>
          <w:rFonts w:ascii="Calibri"/>
          <w:b/>
          <w:sz w:val="40"/>
        </w:rPr>
      </w:pPr>
      <w:r>
        <w:rPr>
          <w:rFonts w:ascii="Calibri"/>
          <w:b/>
          <w:color w:val="17365D"/>
          <w:sz w:val="40"/>
        </w:rPr>
        <w:t>For the Year Ended 30 June 2018</w:t>
      </w:r>
    </w:p>
    <w:p w:rsidR="006C17CB" w:rsidRDefault="00FE24A7">
      <w:pPr>
        <w:pStyle w:val="BodyText"/>
        <w:spacing w:before="11"/>
        <w:rPr>
          <w:rFonts w:ascii="Calibri"/>
          <w:b/>
          <w:sz w:val="17"/>
        </w:rPr>
      </w:pPr>
      <w:r>
        <w:pict>
          <v:line id="_x0000_s1486" alt="" style="position:absolute;z-index:1888;mso-wrap-edited:f;mso-width-percent:0;mso-height-percent:0;mso-wrap-distance-left:0;mso-wrap-distance-right:0;mso-position-horizontal-relative:page;mso-width-percent:0;mso-height-percent:0" from="98.5pt,15pt" to="504.95pt,15pt" strokecolor="#036" strokeweight=".17003mm">
            <w10:wrap type="topAndBottom" anchorx="page"/>
          </v:line>
        </w:pict>
      </w:r>
    </w:p>
    <w:p w:rsidR="006C17CB" w:rsidRDefault="006C17CB">
      <w:pPr>
        <w:pStyle w:val="BodyText"/>
        <w:rPr>
          <w:rFonts w:ascii="Calibri"/>
          <w:b/>
          <w:sz w:val="20"/>
        </w:rPr>
      </w:pPr>
    </w:p>
    <w:p w:rsidR="006C17CB" w:rsidRDefault="006C17CB">
      <w:pPr>
        <w:pStyle w:val="BodyText"/>
        <w:rPr>
          <w:rFonts w:ascii="Calibri"/>
          <w:b/>
          <w:sz w:val="20"/>
        </w:rPr>
      </w:pPr>
    </w:p>
    <w:p w:rsidR="006C17CB" w:rsidRDefault="006C17CB">
      <w:pPr>
        <w:pStyle w:val="BodyText"/>
        <w:rPr>
          <w:rFonts w:ascii="Calibri"/>
          <w:b/>
          <w:sz w:val="20"/>
        </w:rPr>
      </w:pPr>
    </w:p>
    <w:p w:rsidR="006C17CB" w:rsidRDefault="006C17CB">
      <w:pPr>
        <w:pStyle w:val="BodyText"/>
        <w:rPr>
          <w:rFonts w:ascii="Calibri"/>
          <w:b/>
          <w:sz w:val="20"/>
        </w:rPr>
      </w:pPr>
    </w:p>
    <w:p w:rsidR="006C17CB" w:rsidRDefault="006C17CB">
      <w:pPr>
        <w:pStyle w:val="BodyText"/>
        <w:spacing w:before="1"/>
        <w:rPr>
          <w:rFonts w:ascii="Calibri"/>
          <w:b/>
          <w:sz w:val="18"/>
        </w:rPr>
      </w:pPr>
    </w:p>
    <w:p w:rsidR="006C17CB" w:rsidRDefault="0030091C">
      <w:pPr>
        <w:spacing w:line="508" w:lineRule="exact"/>
        <w:ind w:left="1693"/>
        <w:rPr>
          <w:rFonts w:ascii="Calibri"/>
          <w:b/>
          <w:sz w:val="40"/>
        </w:rPr>
      </w:pPr>
      <w:r>
        <w:rPr>
          <w:rFonts w:ascii="Calibri"/>
          <w:b/>
          <w:color w:val="17365D"/>
          <w:sz w:val="40"/>
        </w:rPr>
        <w:t>Statement by the Chief Finance Officer</w:t>
      </w:r>
    </w:p>
    <w:p w:rsidR="006C17CB" w:rsidRDefault="006C17CB">
      <w:pPr>
        <w:pStyle w:val="BodyText"/>
        <w:rPr>
          <w:rFonts w:ascii="Calibri"/>
          <w:b/>
          <w:sz w:val="40"/>
        </w:rPr>
      </w:pPr>
    </w:p>
    <w:p w:rsidR="006C17CB" w:rsidRDefault="006C17CB">
      <w:pPr>
        <w:pStyle w:val="BodyText"/>
        <w:spacing w:before="14"/>
        <w:rPr>
          <w:rFonts w:ascii="Calibri"/>
          <w:b/>
          <w:sz w:val="43"/>
        </w:rPr>
      </w:pPr>
    </w:p>
    <w:p w:rsidR="006C17CB" w:rsidRDefault="0030091C">
      <w:pPr>
        <w:spacing w:line="204" w:lineRule="auto"/>
        <w:ind w:left="863" w:right="1976"/>
        <w:jc w:val="both"/>
        <w:rPr>
          <w:rFonts w:ascii="Calibri" w:hAnsi="Calibri"/>
          <w:sz w:val="24"/>
        </w:rPr>
      </w:pPr>
      <w:r>
        <w:rPr>
          <w:rFonts w:ascii="Calibri" w:hAnsi="Calibri"/>
          <w:color w:val="17365D"/>
          <w:sz w:val="24"/>
        </w:rPr>
        <w:t>In</w:t>
      </w:r>
      <w:r>
        <w:rPr>
          <w:rFonts w:ascii="Calibri" w:hAnsi="Calibri"/>
          <w:color w:val="17365D"/>
          <w:spacing w:val="-3"/>
          <w:sz w:val="24"/>
        </w:rPr>
        <w:t xml:space="preserve"> </w:t>
      </w:r>
      <w:r>
        <w:rPr>
          <w:rFonts w:ascii="Calibri" w:hAnsi="Calibri"/>
          <w:color w:val="17365D"/>
          <w:sz w:val="24"/>
        </w:rPr>
        <w:t>my</w:t>
      </w:r>
      <w:r>
        <w:rPr>
          <w:rFonts w:ascii="Calibri" w:hAnsi="Calibri"/>
          <w:color w:val="17365D"/>
          <w:spacing w:val="-5"/>
          <w:sz w:val="24"/>
        </w:rPr>
        <w:t xml:space="preserve"> </w:t>
      </w:r>
      <w:r>
        <w:rPr>
          <w:rFonts w:ascii="Calibri" w:hAnsi="Calibri"/>
          <w:color w:val="17365D"/>
          <w:sz w:val="24"/>
        </w:rPr>
        <w:t>opinion,</w:t>
      </w:r>
      <w:r>
        <w:rPr>
          <w:rFonts w:ascii="Calibri" w:hAnsi="Calibri"/>
          <w:color w:val="17365D"/>
          <w:spacing w:val="-4"/>
          <w:sz w:val="24"/>
        </w:rPr>
        <w:t xml:space="preserve"> </w:t>
      </w:r>
      <w:r>
        <w:rPr>
          <w:rFonts w:ascii="Calibri" w:hAnsi="Calibri"/>
          <w:color w:val="17365D"/>
          <w:sz w:val="24"/>
        </w:rPr>
        <w:t>the</w:t>
      </w:r>
      <w:r>
        <w:rPr>
          <w:rFonts w:ascii="Calibri" w:hAnsi="Calibri"/>
          <w:color w:val="17365D"/>
          <w:spacing w:val="-6"/>
          <w:sz w:val="24"/>
        </w:rPr>
        <w:t xml:space="preserve"> </w:t>
      </w:r>
      <w:r>
        <w:rPr>
          <w:rFonts w:ascii="Calibri" w:hAnsi="Calibri"/>
          <w:color w:val="17365D"/>
          <w:sz w:val="24"/>
        </w:rPr>
        <w:t>financial</w:t>
      </w:r>
      <w:r>
        <w:rPr>
          <w:rFonts w:ascii="Calibri" w:hAnsi="Calibri"/>
          <w:color w:val="17365D"/>
          <w:spacing w:val="-4"/>
          <w:sz w:val="24"/>
        </w:rPr>
        <w:t xml:space="preserve"> </w:t>
      </w:r>
      <w:r>
        <w:rPr>
          <w:rFonts w:ascii="Calibri" w:hAnsi="Calibri"/>
          <w:color w:val="17365D"/>
          <w:sz w:val="24"/>
        </w:rPr>
        <w:t>statements</w:t>
      </w:r>
      <w:r>
        <w:rPr>
          <w:rFonts w:ascii="Calibri" w:hAnsi="Calibri"/>
          <w:color w:val="17365D"/>
          <w:spacing w:val="-4"/>
          <w:sz w:val="24"/>
        </w:rPr>
        <w:t xml:space="preserve"> </w:t>
      </w:r>
      <w:r>
        <w:rPr>
          <w:rFonts w:ascii="Calibri" w:hAnsi="Calibri"/>
          <w:color w:val="17365D"/>
          <w:sz w:val="24"/>
        </w:rPr>
        <w:t>have</w:t>
      </w:r>
      <w:r>
        <w:rPr>
          <w:rFonts w:ascii="Calibri" w:hAnsi="Calibri"/>
          <w:color w:val="17365D"/>
          <w:spacing w:val="-3"/>
          <w:sz w:val="24"/>
        </w:rPr>
        <w:t xml:space="preserve"> </w:t>
      </w:r>
      <w:r>
        <w:rPr>
          <w:rFonts w:ascii="Calibri" w:hAnsi="Calibri"/>
          <w:color w:val="17365D"/>
          <w:sz w:val="24"/>
        </w:rPr>
        <w:t>been</w:t>
      </w:r>
      <w:r>
        <w:rPr>
          <w:rFonts w:ascii="Calibri" w:hAnsi="Calibri"/>
          <w:color w:val="17365D"/>
          <w:spacing w:val="-5"/>
          <w:sz w:val="24"/>
        </w:rPr>
        <w:t xml:space="preserve"> </w:t>
      </w:r>
      <w:r>
        <w:rPr>
          <w:rFonts w:ascii="Calibri" w:hAnsi="Calibri"/>
          <w:color w:val="17365D"/>
          <w:sz w:val="24"/>
        </w:rPr>
        <w:t>prepared</w:t>
      </w:r>
      <w:r>
        <w:rPr>
          <w:rFonts w:ascii="Calibri" w:hAnsi="Calibri"/>
          <w:color w:val="17365D"/>
          <w:spacing w:val="-5"/>
          <w:sz w:val="24"/>
        </w:rPr>
        <w:t xml:space="preserve"> </w:t>
      </w:r>
      <w:r>
        <w:rPr>
          <w:rFonts w:ascii="Calibri" w:hAnsi="Calibri"/>
          <w:color w:val="17365D"/>
          <w:sz w:val="24"/>
        </w:rPr>
        <w:t>in</w:t>
      </w:r>
      <w:r>
        <w:rPr>
          <w:rFonts w:ascii="Calibri" w:hAnsi="Calibri"/>
          <w:color w:val="17365D"/>
          <w:spacing w:val="-3"/>
          <w:sz w:val="24"/>
        </w:rPr>
        <w:t xml:space="preserve"> </w:t>
      </w:r>
      <w:r>
        <w:rPr>
          <w:rFonts w:ascii="Calibri" w:hAnsi="Calibri"/>
          <w:color w:val="17365D"/>
          <w:sz w:val="24"/>
        </w:rPr>
        <w:t>accordance</w:t>
      </w:r>
      <w:r>
        <w:rPr>
          <w:rFonts w:ascii="Calibri" w:hAnsi="Calibri"/>
          <w:color w:val="17365D"/>
          <w:spacing w:val="-6"/>
          <w:sz w:val="24"/>
        </w:rPr>
        <w:t xml:space="preserve"> </w:t>
      </w:r>
      <w:r>
        <w:rPr>
          <w:rFonts w:ascii="Calibri" w:hAnsi="Calibri"/>
          <w:color w:val="17365D"/>
          <w:sz w:val="24"/>
        </w:rPr>
        <w:t>with</w:t>
      </w:r>
      <w:r>
        <w:rPr>
          <w:rFonts w:ascii="Calibri" w:hAnsi="Calibri"/>
          <w:color w:val="17365D"/>
          <w:spacing w:val="-3"/>
          <w:sz w:val="24"/>
        </w:rPr>
        <w:t xml:space="preserve"> </w:t>
      </w:r>
      <w:r>
        <w:rPr>
          <w:rFonts w:ascii="Calibri" w:hAnsi="Calibri"/>
          <w:color w:val="17365D"/>
          <w:spacing w:val="-2"/>
          <w:sz w:val="24"/>
        </w:rPr>
        <w:t xml:space="preserve">the </w:t>
      </w:r>
      <w:r>
        <w:rPr>
          <w:rFonts w:ascii="Calibri" w:hAnsi="Calibri"/>
          <w:color w:val="17365D"/>
          <w:sz w:val="24"/>
        </w:rPr>
        <w:t>Australian Accounting Standards, and are in agreement with the Office of the Legislative Assembly’s accounts and records and fairly reflect the financial operations</w:t>
      </w:r>
      <w:r>
        <w:rPr>
          <w:rFonts w:ascii="Calibri" w:hAnsi="Calibri"/>
          <w:color w:val="17365D"/>
          <w:spacing w:val="-16"/>
          <w:sz w:val="24"/>
        </w:rPr>
        <w:t xml:space="preserve"> </w:t>
      </w:r>
      <w:r>
        <w:rPr>
          <w:rFonts w:ascii="Calibri" w:hAnsi="Calibri"/>
          <w:color w:val="17365D"/>
          <w:sz w:val="24"/>
        </w:rPr>
        <w:t>of</w:t>
      </w:r>
      <w:r>
        <w:rPr>
          <w:rFonts w:ascii="Calibri" w:hAnsi="Calibri"/>
          <w:color w:val="17365D"/>
          <w:spacing w:val="-15"/>
          <w:sz w:val="24"/>
        </w:rPr>
        <w:t xml:space="preserve"> </w:t>
      </w:r>
      <w:r>
        <w:rPr>
          <w:rFonts w:ascii="Calibri" w:hAnsi="Calibri"/>
          <w:color w:val="17365D"/>
          <w:sz w:val="24"/>
        </w:rPr>
        <w:t>the</w:t>
      </w:r>
      <w:r>
        <w:rPr>
          <w:rFonts w:ascii="Calibri" w:hAnsi="Calibri"/>
          <w:color w:val="17365D"/>
          <w:spacing w:val="-13"/>
          <w:sz w:val="24"/>
        </w:rPr>
        <w:t xml:space="preserve"> </w:t>
      </w:r>
      <w:r>
        <w:rPr>
          <w:rFonts w:ascii="Calibri" w:hAnsi="Calibri"/>
          <w:color w:val="17365D"/>
          <w:sz w:val="24"/>
        </w:rPr>
        <w:t>Office</w:t>
      </w:r>
      <w:r>
        <w:rPr>
          <w:rFonts w:ascii="Calibri" w:hAnsi="Calibri"/>
          <w:color w:val="17365D"/>
          <w:spacing w:val="-15"/>
          <w:sz w:val="24"/>
        </w:rPr>
        <w:t xml:space="preserve"> </w:t>
      </w:r>
      <w:r>
        <w:rPr>
          <w:rFonts w:ascii="Calibri" w:hAnsi="Calibri"/>
          <w:color w:val="17365D"/>
          <w:sz w:val="24"/>
        </w:rPr>
        <w:t>of</w:t>
      </w:r>
      <w:r>
        <w:rPr>
          <w:rFonts w:ascii="Calibri" w:hAnsi="Calibri"/>
          <w:color w:val="17365D"/>
          <w:spacing w:val="-12"/>
          <w:sz w:val="24"/>
        </w:rPr>
        <w:t xml:space="preserve"> </w:t>
      </w:r>
      <w:r>
        <w:rPr>
          <w:rFonts w:ascii="Calibri" w:hAnsi="Calibri"/>
          <w:color w:val="17365D"/>
          <w:sz w:val="24"/>
        </w:rPr>
        <w:t>the</w:t>
      </w:r>
      <w:r>
        <w:rPr>
          <w:rFonts w:ascii="Calibri" w:hAnsi="Calibri"/>
          <w:color w:val="17365D"/>
          <w:spacing w:val="-13"/>
          <w:sz w:val="24"/>
        </w:rPr>
        <w:t xml:space="preserve"> </w:t>
      </w:r>
      <w:r>
        <w:rPr>
          <w:rFonts w:ascii="Calibri" w:hAnsi="Calibri"/>
          <w:color w:val="17365D"/>
          <w:sz w:val="24"/>
        </w:rPr>
        <w:t>Legislative</w:t>
      </w:r>
      <w:r>
        <w:rPr>
          <w:rFonts w:ascii="Calibri" w:hAnsi="Calibri"/>
          <w:color w:val="17365D"/>
          <w:spacing w:val="-15"/>
          <w:sz w:val="24"/>
        </w:rPr>
        <w:t xml:space="preserve"> </w:t>
      </w:r>
      <w:r>
        <w:rPr>
          <w:rFonts w:ascii="Calibri" w:hAnsi="Calibri"/>
          <w:color w:val="17365D"/>
          <w:sz w:val="24"/>
        </w:rPr>
        <w:t>Assembly</w:t>
      </w:r>
      <w:r>
        <w:rPr>
          <w:rFonts w:ascii="Calibri" w:hAnsi="Calibri"/>
          <w:color w:val="17365D"/>
          <w:spacing w:val="-14"/>
          <w:sz w:val="24"/>
        </w:rPr>
        <w:t xml:space="preserve"> </w:t>
      </w:r>
      <w:r>
        <w:rPr>
          <w:rFonts w:ascii="Calibri" w:hAnsi="Calibri"/>
          <w:color w:val="17365D"/>
          <w:sz w:val="24"/>
        </w:rPr>
        <w:t>for</w:t>
      </w:r>
      <w:r>
        <w:rPr>
          <w:rFonts w:ascii="Calibri" w:hAnsi="Calibri"/>
          <w:color w:val="17365D"/>
          <w:spacing w:val="-16"/>
          <w:sz w:val="24"/>
        </w:rPr>
        <w:t xml:space="preserve"> </w:t>
      </w:r>
      <w:r>
        <w:rPr>
          <w:rFonts w:ascii="Calibri" w:hAnsi="Calibri"/>
          <w:color w:val="17365D"/>
          <w:sz w:val="24"/>
        </w:rPr>
        <w:t>the</w:t>
      </w:r>
      <w:r>
        <w:rPr>
          <w:rFonts w:ascii="Calibri" w:hAnsi="Calibri"/>
          <w:color w:val="17365D"/>
          <w:spacing w:val="-15"/>
          <w:sz w:val="24"/>
        </w:rPr>
        <w:t xml:space="preserve"> </w:t>
      </w:r>
      <w:r>
        <w:rPr>
          <w:rFonts w:ascii="Calibri" w:hAnsi="Calibri"/>
          <w:color w:val="17365D"/>
          <w:sz w:val="24"/>
        </w:rPr>
        <w:t>year</w:t>
      </w:r>
      <w:r>
        <w:rPr>
          <w:rFonts w:ascii="Calibri" w:hAnsi="Calibri"/>
          <w:color w:val="17365D"/>
          <w:spacing w:val="-13"/>
          <w:sz w:val="24"/>
        </w:rPr>
        <w:t xml:space="preserve"> </w:t>
      </w:r>
      <w:r>
        <w:rPr>
          <w:rFonts w:ascii="Calibri" w:hAnsi="Calibri"/>
          <w:color w:val="17365D"/>
          <w:sz w:val="24"/>
        </w:rPr>
        <w:t>ended</w:t>
      </w:r>
      <w:r>
        <w:rPr>
          <w:rFonts w:ascii="Calibri" w:hAnsi="Calibri"/>
          <w:color w:val="17365D"/>
          <w:spacing w:val="-13"/>
          <w:sz w:val="24"/>
        </w:rPr>
        <w:t xml:space="preserve"> </w:t>
      </w:r>
      <w:r>
        <w:rPr>
          <w:rFonts w:ascii="Calibri" w:hAnsi="Calibri"/>
          <w:color w:val="17365D"/>
          <w:sz w:val="24"/>
        </w:rPr>
        <w:t>30</w:t>
      </w:r>
      <w:r>
        <w:rPr>
          <w:rFonts w:ascii="Calibri" w:hAnsi="Calibri"/>
          <w:color w:val="17365D"/>
          <w:spacing w:val="-1"/>
          <w:sz w:val="24"/>
        </w:rPr>
        <w:t xml:space="preserve"> </w:t>
      </w:r>
      <w:r>
        <w:rPr>
          <w:rFonts w:ascii="Calibri" w:hAnsi="Calibri"/>
          <w:color w:val="17365D"/>
          <w:sz w:val="24"/>
        </w:rPr>
        <w:t>June</w:t>
      </w:r>
      <w:r>
        <w:rPr>
          <w:rFonts w:ascii="Calibri" w:hAnsi="Calibri"/>
          <w:color w:val="17365D"/>
          <w:spacing w:val="-3"/>
          <w:sz w:val="24"/>
        </w:rPr>
        <w:t xml:space="preserve"> </w:t>
      </w:r>
      <w:r>
        <w:rPr>
          <w:rFonts w:ascii="Calibri" w:hAnsi="Calibri"/>
          <w:color w:val="17365D"/>
          <w:sz w:val="24"/>
        </w:rPr>
        <w:t>2018 and the financial position on that</w:t>
      </w:r>
      <w:r>
        <w:rPr>
          <w:rFonts w:ascii="Calibri" w:hAnsi="Calibri"/>
          <w:color w:val="17365D"/>
          <w:spacing w:val="2"/>
          <w:sz w:val="24"/>
        </w:rPr>
        <w:t xml:space="preserve"> </w:t>
      </w:r>
      <w:r>
        <w:rPr>
          <w:rFonts w:ascii="Calibri" w:hAnsi="Calibri"/>
          <w:color w:val="17365D"/>
          <w:sz w:val="24"/>
        </w:rPr>
        <w:t>date.</w:t>
      </w: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30091C">
      <w:pPr>
        <w:pStyle w:val="BodyText"/>
        <w:spacing w:before="4"/>
        <w:rPr>
          <w:rFonts w:ascii="Calibri"/>
        </w:rPr>
      </w:pPr>
      <w:r>
        <w:rPr>
          <w:noProof/>
          <w:lang w:val="en-AU" w:eastAsia="en-AU" w:bidi="ar-SA"/>
        </w:rPr>
        <w:drawing>
          <wp:anchor distT="0" distB="0" distL="0" distR="0" simplePos="0" relativeHeight="1912" behindDoc="0" locked="0" layoutInCell="1" allowOverlap="1">
            <wp:simplePos x="0" y="0"/>
            <wp:positionH relativeFrom="page">
              <wp:posOffset>1032403</wp:posOffset>
            </wp:positionH>
            <wp:positionV relativeFrom="paragraph">
              <wp:posOffset>228707</wp:posOffset>
            </wp:positionV>
            <wp:extent cx="1779708" cy="726948"/>
            <wp:effectExtent l="0" t="0" r="0" b="0"/>
            <wp:wrapTopAndBottom/>
            <wp:docPr id="27" name="image19.jpeg" descr="Office of the Legislative Assembly Controlled Financial Statements for the year ended 3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151" cstate="print"/>
                    <a:stretch>
                      <a:fillRect/>
                    </a:stretch>
                  </pic:blipFill>
                  <pic:spPr>
                    <a:xfrm>
                      <a:off x="0" y="0"/>
                      <a:ext cx="1779708" cy="726948"/>
                    </a:xfrm>
                    <a:prstGeom prst="rect">
                      <a:avLst/>
                    </a:prstGeom>
                  </pic:spPr>
                </pic:pic>
              </a:graphicData>
            </a:graphic>
          </wp:anchor>
        </w:drawing>
      </w:r>
    </w:p>
    <w:p w:rsidR="006C17CB" w:rsidRDefault="0030091C">
      <w:pPr>
        <w:spacing w:line="204" w:lineRule="auto"/>
        <w:ind w:left="908" w:right="7973"/>
        <w:rPr>
          <w:rFonts w:ascii="Calibri"/>
          <w:sz w:val="24"/>
        </w:rPr>
      </w:pPr>
      <w:r>
        <w:rPr>
          <w:rFonts w:ascii="Calibri"/>
          <w:color w:val="17365D"/>
          <w:sz w:val="24"/>
        </w:rPr>
        <w:t>Malcolm Prentice Chief Finance Officer</w:t>
      </w:r>
    </w:p>
    <w:p w:rsidR="006C17CB" w:rsidRDefault="0030091C">
      <w:pPr>
        <w:spacing w:line="289" w:lineRule="exact"/>
        <w:ind w:left="908"/>
        <w:jc w:val="both"/>
        <w:rPr>
          <w:rFonts w:ascii="Calibri"/>
          <w:sz w:val="24"/>
        </w:rPr>
      </w:pPr>
      <w:r>
        <w:rPr>
          <w:rFonts w:ascii="Calibri"/>
          <w:color w:val="17365D"/>
          <w:sz w:val="24"/>
        </w:rPr>
        <w:t>Office of the Legislative Assembly</w:t>
      </w:r>
    </w:p>
    <w:p w:rsidR="006C17CB" w:rsidRDefault="0030091C">
      <w:pPr>
        <w:spacing w:line="334" w:lineRule="exact"/>
        <w:ind w:left="908"/>
        <w:jc w:val="both"/>
        <w:rPr>
          <w:rFonts w:ascii="Calibri"/>
          <w:sz w:val="24"/>
        </w:rPr>
      </w:pPr>
      <w:r>
        <w:rPr>
          <w:rFonts w:ascii="Calibri"/>
          <w:color w:val="17365D"/>
          <w:sz w:val="24"/>
        </w:rPr>
        <w:t>10 August 2018</w:t>
      </w:r>
    </w:p>
    <w:p w:rsidR="006C17CB" w:rsidRDefault="006C17CB">
      <w:pPr>
        <w:spacing w:line="334" w:lineRule="exact"/>
        <w:jc w:val="both"/>
        <w:rPr>
          <w:rFonts w:ascii="Calibri"/>
          <w:sz w:val="24"/>
        </w:rPr>
        <w:sectPr w:rsidR="006C17CB">
          <w:headerReference w:type="default" r:id="rId152"/>
          <w:footerReference w:type="even" r:id="rId153"/>
          <w:footerReference w:type="default" r:id="rId154"/>
          <w:pgSz w:w="11910" w:h="16840"/>
          <w:pgMar w:top="1580" w:right="0" w:bottom="740" w:left="980" w:header="0" w:footer="551" w:gutter="0"/>
          <w:pgNumType w:start="91"/>
          <w:cols w:space="720"/>
        </w:sectPr>
      </w:pPr>
    </w:p>
    <w:p w:rsidR="006C17CB" w:rsidRDefault="0030091C">
      <w:pPr>
        <w:spacing w:line="335" w:lineRule="exact"/>
        <w:ind w:left="968" w:right="1657"/>
        <w:jc w:val="center"/>
        <w:rPr>
          <w:rFonts w:ascii="Calibri"/>
          <w:b/>
          <w:sz w:val="28"/>
        </w:rPr>
      </w:pPr>
      <w:r>
        <w:rPr>
          <w:rFonts w:ascii="Calibri"/>
          <w:b/>
          <w:color w:val="003366"/>
          <w:sz w:val="28"/>
        </w:rPr>
        <w:t>Operating Statement</w:t>
      </w:r>
    </w:p>
    <w:p w:rsidR="006C17CB" w:rsidRDefault="0030091C">
      <w:pPr>
        <w:spacing w:line="372" w:lineRule="exact"/>
        <w:ind w:left="968" w:right="1662"/>
        <w:jc w:val="center"/>
        <w:rPr>
          <w:rFonts w:ascii="Calibri"/>
          <w:b/>
          <w:sz w:val="28"/>
        </w:rPr>
      </w:pPr>
      <w:r>
        <w:rPr>
          <w:rFonts w:ascii="Calibri"/>
          <w:b/>
          <w:color w:val="003366"/>
          <w:sz w:val="28"/>
        </w:rPr>
        <w:t>For the Year Ended 30 June 2018</w:t>
      </w:r>
    </w:p>
    <w:p w:rsidR="006C17CB" w:rsidRDefault="006C17CB">
      <w:pPr>
        <w:pStyle w:val="BodyText"/>
        <w:spacing w:before="7" w:after="1"/>
        <w:rPr>
          <w:rFonts w:ascii="Calibri"/>
          <w:b/>
          <w:sz w:val="19"/>
        </w:rPr>
      </w:pPr>
    </w:p>
    <w:tbl>
      <w:tblPr>
        <w:tblW w:w="0" w:type="auto"/>
        <w:tblInd w:w="705" w:type="dxa"/>
        <w:tblLayout w:type="fixed"/>
        <w:tblCellMar>
          <w:left w:w="0" w:type="dxa"/>
          <w:right w:w="0" w:type="dxa"/>
        </w:tblCellMar>
        <w:tblLook w:val="01E0" w:firstRow="1" w:lastRow="1" w:firstColumn="1" w:lastColumn="1" w:noHBand="0" w:noVBand="0"/>
      </w:tblPr>
      <w:tblGrid>
        <w:gridCol w:w="4557"/>
        <w:gridCol w:w="757"/>
        <w:gridCol w:w="1349"/>
        <w:gridCol w:w="1251"/>
        <w:gridCol w:w="1017"/>
      </w:tblGrid>
      <w:tr w:rsidR="006C17CB">
        <w:trPr>
          <w:trHeight w:val="464"/>
        </w:trPr>
        <w:tc>
          <w:tcPr>
            <w:tcW w:w="4557" w:type="dxa"/>
            <w:vMerge w:val="restart"/>
          </w:tcPr>
          <w:p w:rsidR="006C17CB" w:rsidRDefault="006C17CB">
            <w:pPr>
              <w:pStyle w:val="TableParagraph"/>
              <w:jc w:val="left"/>
              <w:rPr>
                <w:rFonts w:ascii="Times New Roman"/>
                <w:sz w:val="18"/>
              </w:rPr>
            </w:pPr>
          </w:p>
        </w:tc>
        <w:tc>
          <w:tcPr>
            <w:tcW w:w="757" w:type="dxa"/>
          </w:tcPr>
          <w:p w:rsidR="006C17CB" w:rsidRDefault="006C17CB">
            <w:pPr>
              <w:pStyle w:val="TableParagraph"/>
              <w:jc w:val="left"/>
              <w:rPr>
                <w:rFonts w:ascii="Times New Roman"/>
                <w:sz w:val="18"/>
              </w:rPr>
            </w:pPr>
          </w:p>
        </w:tc>
        <w:tc>
          <w:tcPr>
            <w:tcW w:w="1349" w:type="dxa"/>
          </w:tcPr>
          <w:p w:rsidR="006C17CB" w:rsidRDefault="0030091C">
            <w:pPr>
              <w:pStyle w:val="TableParagraph"/>
              <w:spacing w:before="157" w:line="287" w:lineRule="exact"/>
              <w:ind w:right="269"/>
              <w:rPr>
                <w:b/>
                <w:sz w:val="20"/>
              </w:rPr>
            </w:pPr>
            <w:r>
              <w:rPr>
                <w:b/>
                <w:color w:val="003366"/>
                <w:w w:val="95"/>
                <w:sz w:val="20"/>
              </w:rPr>
              <w:t>Actual</w:t>
            </w:r>
          </w:p>
        </w:tc>
        <w:tc>
          <w:tcPr>
            <w:tcW w:w="1251" w:type="dxa"/>
          </w:tcPr>
          <w:p w:rsidR="006C17CB" w:rsidRDefault="0030091C">
            <w:pPr>
              <w:pStyle w:val="TableParagraph"/>
              <w:spacing w:line="180" w:lineRule="exact"/>
              <w:ind w:left="267"/>
              <w:jc w:val="left"/>
              <w:rPr>
                <w:b/>
                <w:sz w:val="20"/>
              </w:rPr>
            </w:pPr>
            <w:r>
              <w:rPr>
                <w:b/>
                <w:color w:val="003366"/>
                <w:sz w:val="20"/>
              </w:rPr>
              <w:t>Original</w:t>
            </w:r>
          </w:p>
          <w:p w:rsidR="006C17CB" w:rsidRDefault="0030091C">
            <w:pPr>
              <w:pStyle w:val="TableParagraph"/>
              <w:spacing w:line="264" w:lineRule="exact"/>
              <w:ind w:left="327"/>
              <w:jc w:val="left"/>
              <w:rPr>
                <w:b/>
                <w:sz w:val="20"/>
              </w:rPr>
            </w:pPr>
            <w:r>
              <w:rPr>
                <w:b/>
                <w:color w:val="003366"/>
                <w:sz w:val="20"/>
              </w:rPr>
              <w:t>Budget</w:t>
            </w:r>
          </w:p>
        </w:tc>
        <w:tc>
          <w:tcPr>
            <w:tcW w:w="1017" w:type="dxa"/>
          </w:tcPr>
          <w:p w:rsidR="006C17CB" w:rsidRDefault="0030091C">
            <w:pPr>
              <w:pStyle w:val="TableParagraph"/>
              <w:spacing w:before="157" w:line="287" w:lineRule="exact"/>
              <w:ind w:right="158"/>
              <w:rPr>
                <w:b/>
                <w:sz w:val="20"/>
              </w:rPr>
            </w:pPr>
            <w:r>
              <w:rPr>
                <w:b/>
                <w:color w:val="003366"/>
                <w:w w:val="95"/>
                <w:sz w:val="20"/>
              </w:rPr>
              <w:t>Actual</w:t>
            </w:r>
          </w:p>
        </w:tc>
      </w:tr>
      <w:tr w:rsidR="006C17CB">
        <w:trPr>
          <w:trHeight w:val="509"/>
        </w:trPr>
        <w:tc>
          <w:tcPr>
            <w:tcW w:w="4557" w:type="dxa"/>
            <w:vMerge/>
            <w:tcBorders>
              <w:top w:val="nil"/>
            </w:tcBorders>
          </w:tcPr>
          <w:p w:rsidR="006C17CB" w:rsidRDefault="006C17CB">
            <w:pPr>
              <w:rPr>
                <w:sz w:val="2"/>
                <w:szCs w:val="2"/>
              </w:rPr>
            </w:pPr>
          </w:p>
        </w:tc>
        <w:tc>
          <w:tcPr>
            <w:tcW w:w="757" w:type="dxa"/>
          </w:tcPr>
          <w:p w:rsidR="006C17CB" w:rsidRDefault="0030091C">
            <w:pPr>
              <w:pStyle w:val="TableParagraph"/>
              <w:spacing w:line="205" w:lineRule="exact"/>
              <w:ind w:left="223"/>
              <w:jc w:val="left"/>
              <w:rPr>
                <w:b/>
                <w:sz w:val="20"/>
              </w:rPr>
            </w:pPr>
            <w:r>
              <w:rPr>
                <w:b/>
                <w:color w:val="003366"/>
                <w:sz w:val="20"/>
              </w:rPr>
              <w:t>Note</w:t>
            </w:r>
          </w:p>
          <w:p w:rsidR="006C17CB" w:rsidRDefault="0030091C">
            <w:pPr>
              <w:pStyle w:val="TableParagraph"/>
              <w:spacing w:line="265" w:lineRule="exact"/>
              <w:ind w:left="281"/>
              <w:jc w:val="left"/>
              <w:rPr>
                <w:b/>
                <w:sz w:val="20"/>
              </w:rPr>
            </w:pPr>
            <w:r>
              <w:rPr>
                <w:b/>
                <w:color w:val="003366"/>
                <w:sz w:val="20"/>
              </w:rPr>
              <w:t>No.</w:t>
            </w:r>
          </w:p>
        </w:tc>
        <w:tc>
          <w:tcPr>
            <w:tcW w:w="1349" w:type="dxa"/>
          </w:tcPr>
          <w:p w:rsidR="006C17CB" w:rsidRDefault="0030091C">
            <w:pPr>
              <w:pStyle w:val="TableParagraph"/>
              <w:spacing w:line="204" w:lineRule="exact"/>
              <w:ind w:left="673"/>
              <w:jc w:val="left"/>
              <w:rPr>
                <w:b/>
                <w:sz w:val="20"/>
              </w:rPr>
            </w:pPr>
            <w:r>
              <w:rPr>
                <w:b/>
                <w:color w:val="003366"/>
                <w:sz w:val="20"/>
              </w:rPr>
              <w:t>2018</w:t>
            </w:r>
          </w:p>
          <w:p w:rsidR="006C17CB" w:rsidRDefault="0030091C">
            <w:pPr>
              <w:pStyle w:val="TableParagraph"/>
              <w:spacing w:line="267" w:lineRule="exact"/>
              <w:ind w:left="623"/>
              <w:jc w:val="left"/>
              <w:rPr>
                <w:b/>
                <w:sz w:val="20"/>
              </w:rPr>
            </w:pPr>
            <w:r>
              <w:rPr>
                <w:b/>
                <w:color w:val="003366"/>
                <w:sz w:val="20"/>
              </w:rPr>
              <w:t>$’000</w:t>
            </w:r>
          </w:p>
        </w:tc>
        <w:tc>
          <w:tcPr>
            <w:tcW w:w="1251" w:type="dxa"/>
          </w:tcPr>
          <w:p w:rsidR="006C17CB" w:rsidRDefault="0030091C">
            <w:pPr>
              <w:pStyle w:val="TableParagraph"/>
              <w:spacing w:line="204" w:lineRule="exact"/>
              <w:ind w:left="515"/>
              <w:jc w:val="left"/>
              <w:rPr>
                <w:b/>
                <w:sz w:val="20"/>
              </w:rPr>
            </w:pPr>
            <w:r>
              <w:rPr>
                <w:b/>
                <w:color w:val="003366"/>
                <w:sz w:val="20"/>
              </w:rPr>
              <w:t>2018</w:t>
            </w:r>
          </w:p>
          <w:p w:rsidR="006C17CB" w:rsidRDefault="0030091C">
            <w:pPr>
              <w:pStyle w:val="TableParagraph"/>
              <w:spacing w:line="267" w:lineRule="exact"/>
              <w:ind w:left="464"/>
              <w:jc w:val="left"/>
              <w:rPr>
                <w:b/>
                <w:sz w:val="20"/>
              </w:rPr>
            </w:pPr>
            <w:r>
              <w:rPr>
                <w:b/>
                <w:color w:val="003366"/>
                <w:sz w:val="20"/>
              </w:rPr>
              <w:t>$’000</w:t>
            </w:r>
          </w:p>
        </w:tc>
        <w:tc>
          <w:tcPr>
            <w:tcW w:w="1017" w:type="dxa"/>
          </w:tcPr>
          <w:p w:rsidR="006C17CB" w:rsidRDefault="0030091C">
            <w:pPr>
              <w:pStyle w:val="TableParagraph"/>
              <w:spacing w:line="204" w:lineRule="exact"/>
              <w:ind w:left="452"/>
              <w:jc w:val="left"/>
              <w:rPr>
                <w:b/>
                <w:sz w:val="20"/>
              </w:rPr>
            </w:pPr>
            <w:r>
              <w:rPr>
                <w:b/>
                <w:color w:val="003366"/>
                <w:sz w:val="20"/>
              </w:rPr>
              <w:t>2017</w:t>
            </w:r>
          </w:p>
          <w:p w:rsidR="006C17CB" w:rsidRDefault="0030091C">
            <w:pPr>
              <w:pStyle w:val="TableParagraph"/>
              <w:spacing w:line="267" w:lineRule="exact"/>
              <w:ind w:left="401"/>
              <w:jc w:val="left"/>
              <w:rPr>
                <w:b/>
                <w:sz w:val="20"/>
              </w:rPr>
            </w:pPr>
            <w:r>
              <w:rPr>
                <w:b/>
                <w:color w:val="003366"/>
                <w:sz w:val="20"/>
              </w:rPr>
              <w:t>$’000</w:t>
            </w:r>
          </w:p>
        </w:tc>
      </w:tr>
      <w:tr w:rsidR="006C17CB">
        <w:trPr>
          <w:trHeight w:val="426"/>
        </w:trPr>
        <w:tc>
          <w:tcPr>
            <w:tcW w:w="4557" w:type="dxa"/>
          </w:tcPr>
          <w:p w:rsidR="006C17CB" w:rsidRDefault="0030091C">
            <w:pPr>
              <w:pStyle w:val="TableParagraph"/>
              <w:spacing w:line="246" w:lineRule="exact"/>
              <w:ind w:left="50"/>
              <w:jc w:val="left"/>
              <w:rPr>
                <w:b/>
                <w:sz w:val="20"/>
              </w:rPr>
            </w:pPr>
            <w:r>
              <w:rPr>
                <w:b/>
                <w:color w:val="003366"/>
                <w:sz w:val="20"/>
              </w:rPr>
              <w:t>Income</w:t>
            </w:r>
          </w:p>
        </w:tc>
        <w:tc>
          <w:tcPr>
            <w:tcW w:w="757" w:type="dxa"/>
          </w:tcPr>
          <w:p w:rsidR="006C17CB" w:rsidRDefault="006C17CB">
            <w:pPr>
              <w:pStyle w:val="TableParagraph"/>
              <w:jc w:val="left"/>
              <w:rPr>
                <w:rFonts w:ascii="Times New Roman"/>
                <w:sz w:val="18"/>
              </w:rPr>
            </w:pPr>
          </w:p>
        </w:tc>
        <w:tc>
          <w:tcPr>
            <w:tcW w:w="1349" w:type="dxa"/>
          </w:tcPr>
          <w:p w:rsidR="006C17CB" w:rsidRDefault="006C17CB">
            <w:pPr>
              <w:pStyle w:val="TableParagraph"/>
              <w:jc w:val="left"/>
              <w:rPr>
                <w:rFonts w:ascii="Times New Roman"/>
                <w:sz w:val="18"/>
              </w:rPr>
            </w:pPr>
          </w:p>
        </w:tc>
        <w:tc>
          <w:tcPr>
            <w:tcW w:w="1251" w:type="dxa"/>
          </w:tcPr>
          <w:p w:rsidR="006C17CB" w:rsidRDefault="006C17CB">
            <w:pPr>
              <w:pStyle w:val="TableParagraph"/>
              <w:jc w:val="left"/>
              <w:rPr>
                <w:rFonts w:ascii="Times New Roman"/>
                <w:sz w:val="18"/>
              </w:rPr>
            </w:pPr>
          </w:p>
        </w:tc>
        <w:tc>
          <w:tcPr>
            <w:tcW w:w="1017" w:type="dxa"/>
          </w:tcPr>
          <w:p w:rsidR="006C17CB" w:rsidRDefault="006C17CB">
            <w:pPr>
              <w:pStyle w:val="TableParagraph"/>
              <w:jc w:val="left"/>
              <w:rPr>
                <w:rFonts w:ascii="Times New Roman"/>
                <w:sz w:val="18"/>
              </w:rPr>
            </w:pPr>
          </w:p>
        </w:tc>
      </w:tr>
      <w:tr w:rsidR="006C17CB">
        <w:trPr>
          <w:trHeight w:val="433"/>
        </w:trPr>
        <w:tc>
          <w:tcPr>
            <w:tcW w:w="4557" w:type="dxa"/>
          </w:tcPr>
          <w:p w:rsidR="006C17CB" w:rsidRDefault="0030091C">
            <w:pPr>
              <w:pStyle w:val="TableParagraph"/>
              <w:spacing w:before="98"/>
              <w:ind w:left="50"/>
              <w:jc w:val="left"/>
              <w:rPr>
                <w:i/>
                <w:sz w:val="20"/>
              </w:rPr>
            </w:pPr>
            <w:r>
              <w:rPr>
                <w:i/>
                <w:color w:val="003366"/>
                <w:sz w:val="20"/>
              </w:rPr>
              <w:t>Revenue</w:t>
            </w:r>
          </w:p>
        </w:tc>
        <w:tc>
          <w:tcPr>
            <w:tcW w:w="757" w:type="dxa"/>
          </w:tcPr>
          <w:p w:rsidR="006C17CB" w:rsidRDefault="006C17CB">
            <w:pPr>
              <w:pStyle w:val="TableParagraph"/>
              <w:jc w:val="left"/>
              <w:rPr>
                <w:rFonts w:ascii="Times New Roman"/>
                <w:sz w:val="18"/>
              </w:rPr>
            </w:pPr>
          </w:p>
        </w:tc>
        <w:tc>
          <w:tcPr>
            <w:tcW w:w="1349" w:type="dxa"/>
          </w:tcPr>
          <w:p w:rsidR="006C17CB" w:rsidRDefault="006C17CB">
            <w:pPr>
              <w:pStyle w:val="TableParagraph"/>
              <w:jc w:val="left"/>
              <w:rPr>
                <w:rFonts w:ascii="Times New Roman"/>
                <w:sz w:val="18"/>
              </w:rPr>
            </w:pPr>
          </w:p>
        </w:tc>
        <w:tc>
          <w:tcPr>
            <w:tcW w:w="1251" w:type="dxa"/>
          </w:tcPr>
          <w:p w:rsidR="006C17CB" w:rsidRDefault="006C17CB">
            <w:pPr>
              <w:pStyle w:val="TableParagraph"/>
              <w:jc w:val="left"/>
              <w:rPr>
                <w:rFonts w:ascii="Times New Roman"/>
                <w:sz w:val="18"/>
              </w:rPr>
            </w:pPr>
          </w:p>
        </w:tc>
        <w:tc>
          <w:tcPr>
            <w:tcW w:w="1017" w:type="dxa"/>
          </w:tcPr>
          <w:p w:rsidR="006C17CB" w:rsidRDefault="006C17CB">
            <w:pPr>
              <w:pStyle w:val="TableParagraph"/>
              <w:jc w:val="left"/>
              <w:rPr>
                <w:rFonts w:ascii="Times New Roman"/>
                <w:sz w:val="18"/>
              </w:rPr>
            </w:pPr>
          </w:p>
        </w:tc>
      </w:tr>
      <w:tr w:rsidR="006C17CB">
        <w:trPr>
          <w:trHeight w:val="300"/>
        </w:trPr>
        <w:tc>
          <w:tcPr>
            <w:tcW w:w="4557" w:type="dxa"/>
          </w:tcPr>
          <w:p w:rsidR="006C17CB" w:rsidRDefault="0030091C">
            <w:pPr>
              <w:pStyle w:val="TableParagraph"/>
              <w:spacing w:line="254" w:lineRule="exact"/>
              <w:ind w:left="50"/>
              <w:jc w:val="left"/>
              <w:rPr>
                <w:sz w:val="20"/>
              </w:rPr>
            </w:pPr>
            <w:r>
              <w:rPr>
                <w:color w:val="003366"/>
                <w:sz w:val="20"/>
              </w:rPr>
              <w:t>Controlled Recurrent Payments</w:t>
            </w:r>
          </w:p>
        </w:tc>
        <w:tc>
          <w:tcPr>
            <w:tcW w:w="757" w:type="dxa"/>
          </w:tcPr>
          <w:p w:rsidR="006C17CB" w:rsidRDefault="0030091C">
            <w:pPr>
              <w:pStyle w:val="TableParagraph"/>
              <w:spacing w:line="254" w:lineRule="exact"/>
              <w:ind w:right="277"/>
              <w:rPr>
                <w:sz w:val="20"/>
              </w:rPr>
            </w:pPr>
            <w:r>
              <w:rPr>
                <w:color w:val="003366"/>
                <w:w w:val="99"/>
                <w:sz w:val="20"/>
              </w:rPr>
              <w:t>3</w:t>
            </w:r>
          </w:p>
        </w:tc>
        <w:tc>
          <w:tcPr>
            <w:tcW w:w="1349" w:type="dxa"/>
          </w:tcPr>
          <w:p w:rsidR="006C17CB" w:rsidRDefault="0030091C">
            <w:pPr>
              <w:pStyle w:val="TableParagraph"/>
              <w:spacing w:line="254" w:lineRule="exact"/>
              <w:ind w:right="270"/>
              <w:rPr>
                <w:sz w:val="20"/>
              </w:rPr>
            </w:pPr>
            <w:r>
              <w:rPr>
                <w:color w:val="003366"/>
                <w:w w:val="95"/>
                <w:sz w:val="20"/>
              </w:rPr>
              <w:t>9,090</w:t>
            </w:r>
          </w:p>
        </w:tc>
        <w:tc>
          <w:tcPr>
            <w:tcW w:w="1251" w:type="dxa"/>
          </w:tcPr>
          <w:p w:rsidR="006C17CB" w:rsidRDefault="0030091C">
            <w:pPr>
              <w:pStyle w:val="TableParagraph"/>
              <w:spacing w:line="254" w:lineRule="exact"/>
              <w:ind w:right="330"/>
              <w:rPr>
                <w:sz w:val="20"/>
              </w:rPr>
            </w:pPr>
            <w:r>
              <w:rPr>
                <w:color w:val="003366"/>
                <w:w w:val="95"/>
                <w:sz w:val="20"/>
              </w:rPr>
              <w:t>8,900</w:t>
            </w:r>
          </w:p>
        </w:tc>
        <w:tc>
          <w:tcPr>
            <w:tcW w:w="1017" w:type="dxa"/>
          </w:tcPr>
          <w:p w:rsidR="006C17CB" w:rsidRDefault="0030091C">
            <w:pPr>
              <w:pStyle w:val="TableParagraph"/>
              <w:spacing w:line="254" w:lineRule="exact"/>
              <w:ind w:right="159"/>
              <w:rPr>
                <w:sz w:val="20"/>
              </w:rPr>
            </w:pPr>
            <w:r>
              <w:rPr>
                <w:color w:val="003366"/>
                <w:w w:val="95"/>
                <w:sz w:val="20"/>
              </w:rPr>
              <w:t>8,649</w:t>
            </w:r>
          </w:p>
        </w:tc>
      </w:tr>
      <w:tr w:rsidR="006C17CB">
        <w:trPr>
          <w:trHeight w:val="292"/>
        </w:trPr>
        <w:tc>
          <w:tcPr>
            <w:tcW w:w="4557" w:type="dxa"/>
          </w:tcPr>
          <w:p w:rsidR="006C17CB" w:rsidRDefault="0030091C">
            <w:pPr>
              <w:pStyle w:val="TableParagraph"/>
              <w:spacing w:line="254" w:lineRule="exact"/>
              <w:ind w:left="50"/>
              <w:jc w:val="left"/>
              <w:rPr>
                <w:sz w:val="20"/>
              </w:rPr>
            </w:pPr>
            <w:r>
              <w:rPr>
                <w:color w:val="003366"/>
                <w:sz w:val="20"/>
              </w:rPr>
              <w:t>Interest</w:t>
            </w:r>
          </w:p>
        </w:tc>
        <w:tc>
          <w:tcPr>
            <w:tcW w:w="757" w:type="dxa"/>
          </w:tcPr>
          <w:p w:rsidR="006C17CB" w:rsidRDefault="006C17CB">
            <w:pPr>
              <w:pStyle w:val="TableParagraph"/>
              <w:jc w:val="left"/>
              <w:rPr>
                <w:rFonts w:ascii="Times New Roman"/>
                <w:sz w:val="18"/>
              </w:rPr>
            </w:pPr>
          </w:p>
        </w:tc>
        <w:tc>
          <w:tcPr>
            <w:tcW w:w="1349" w:type="dxa"/>
          </w:tcPr>
          <w:p w:rsidR="006C17CB" w:rsidRDefault="0030091C">
            <w:pPr>
              <w:pStyle w:val="TableParagraph"/>
              <w:spacing w:line="254" w:lineRule="exact"/>
              <w:ind w:right="267"/>
              <w:rPr>
                <w:sz w:val="20"/>
              </w:rPr>
            </w:pPr>
            <w:r>
              <w:rPr>
                <w:color w:val="003366"/>
                <w:w w:val="99"/>
                <w:sz w:val="20"/>
              </w:rPr>
              <w:t>2</w:t>
            </w:r>
          </w:p>
        </w:tc>
        <w:tc>
          <w:tcPr>
            <w:tcW w:w="1251" w:type="dxa"/>
          </w:tcPr>
          <w:p w:rsidR="006C17CB" w:rsidRDefault="0030091C">
            <w:pPr>
              <w:pStyle w:val="TableParagraph"/>
              <w:spacing w:line="254" w:lineRule="exact"/>
              <w:ind w:right="328"/>
              <w:rPr>
                <w:sz w:val="20"/>
              </w:rPr>
            </w:pPr>
            <w:r>
              <w:rPr>
                <w:color w:val="003366"/>
                <w:w w:val="99"/>
                <w:sz w:val="20"/>
              </w:rPr>
              <w:t>2</w:t>
            </w:r>
          </w:p>
        </w:tc>
        <w:tc>
          <w:tcPr>
            <w:tcW w:w="1017" w:type="dxa"/>
          </w:tcPr>
          <w:p w:rsidR="006C17CB" w:rsidRDefault="0030091C">
            <w:pPr>
              <w:pStyle w:val="TableParagraph"/>
              <w:spacing w:line="254" w:lineRule="exact"/>
              <w:ind w:right="157"/>
              <w:rPr>
                <w:sz w:val="20"/>
              </w:rPr>
            </w:pPr>
            <w:r>
              <w:rPr>
                <w:color w:val="003366"/>
                <w:w w:val="99"/>
                <w:sz w:val="20"/>
              </w:rPr>
              <w:t>2</w:t>
            </w:r>
          </w:p>
        </w:tc>
      </w:tr>
      <w:tr w:rsidR="006C17CB">
        <w:trPr>
          <w:trHeight w:val="537"/>
        </w:trPr>
        <w:tc>
          <w:tcPr>
            <w:tcW w:w="4557" w:type="dxa"/>
          </w:tcPr>
          <w:p w:rsidR="006C17CB" w:rsidRDefault="0030091C">
            <w:pPr>
              <w:pStyle w:val="TableParagraph"/>
              <w:spacing w:line="201" w:lineRule="auto"/>
              <w:ind w:left="333" w:right="554" w:hanging="284"/>
              <w:jc w:val="left"/>
              <w:rPr>
                <w:sz w:val="20"/>
              </w:rPr>
            </w:pPr>
            <w:r>
              <w:rPr>
                <w:color w:val="003366"/>
                <w:sz w:val="20"/>
              </w:rPr>
              <w:t>Distribution from Investments with the Territory Banking Account</w:t>
            </w:r>
          </w:p>
        </w:tc>
        <w:tc>
          <w:tcPr>
            <w:tcW w:w="757" w:type="dxa"/>
          </w:tcPr>
          <w:p w:rsidR="006C17CB" w:rsidRDefault="006C17CB">
            <w:pPr>
              <w:pStyle w:val="TableParagraph"/>
              <w:jc w:val="left"/>
              <w:rPr>
                <w:rFonts w:ascii="Times New Roman"/>
                <w:sz w:val="18"/>
              </w:rPr>
            </w:pPr>
          </w:p>
        </w:tc>
        <w:tc>
          <w:tcPr>
            <w:tcW w:w="1349" w:type="dxa"/>
          </w:tcPr>
          <w:p w:rsidR="006C17CB" w:rsidRDefault="006C17CB">
            <w:pPr>
              <w:pStyle w:val="TableParagraph"/>
              <w:spacing w:before="1"/>
              <w:jc w:val="left"/>
              <w:rPr>
                <w:b/>
                <w:sz w:val="14"/>
              </w:rPr>
            </w:pPr>
          </w:p>
          <w:p w:rsidR="006C17CB" w:rsidRDefault="0030091C">
            <w:pPr>
              <w:pStyle w:val="TableParagraph"/>
              <w:ind w:right="267"/>
              <w:rPr>
                <w:sz w:val="20"/>
              </w:rPr>
            </w:pPr>
            <w:r>
              <w:rPr>
                <w:color w:val="003366"/>
                <w:w w:val="95"/>
                <w:sz w:val="20"/>
              </w:rPr>
              <w:t>54</w:t>
            </w:r>
          </w:p>
        </w:tc>
        <w:tc>
          <w:tcPr>
            <w:tcW w:w="1251" w:type="dxa"/>
          </w:tcPr>
          <w:p w:rsidR="006C17CB" w:rsidRDefault="006C17CB">
            <w:pPr>
              <w:pStyle w:val="TableParagraph"/>
              <w:spacing w:before="1"/>
              <w:jc w:val="left"/>
              <w:rPr>
                <w:b/>
                <w:sz w:val="14"/>
              </w:rPr>
            </w:pPr>
          </w:p>
          <w:p w:rsidR="006C17CB" w:rsidRDefault="0030091C">
            <w:pPr>
              <w:pStyle w:val="TableParagraph"/>
              <w:ind w:right="328"/>
              <w:rPr>
                <w:sz w:val="20"/>
              </w:rPr>
            </w:pPr>
            <w:r>
              <w:rPr>
                <w:color w:val="003366"/>
                <w:w w:val="95"/>
                <w:sz w:val="20"/>
              </w:rPr>
              <w:t>38</w:t>
            </w:r>
          </w:p>
        </w:tc>
        <w:tc>
          <w:tcPr>
            <w:tcW w:w="1017" w:type="dxa"/>
          </w:tcPr>
          <w:p w:rsidR="006C17CB" w:rsidRDefault="006C17CB">
            <w:pPr>
              <w:pStyle w:val="TableParagraph"/>
              <w:spacing w:before="1"/>
              <w:jc w:val="left"/>
              <w:rPr>
                <w:b/>
                <w:sz w:val="14"/>
              </w:rPr>
            </w:pPr>
          </w:p>
          <w:p w:rsidR="006C17CB" w:rsidRDefault="0030091C">
            <w:pPr>
              <w:pStyle w:val="TableParagraph"/>
              <w:ind w:right="157"/>
              <w:rPr>
                <w:sz w:val="20"/>
              </w:rPr>
            </w:pPr>
            <w:r>
              <w:rPr>
                <w:color w:val="003366"/>
                <w:w w:val="95"/>
                <w:sz w:val="20"/>
              </w:rPr>
              <w:t>53</w:t>
            </w:r>
          </w:p>
        </w:tc>
      </w:tr>
      <w:tr w:rsidR="006C17CB">
        <w:trPr>
          <w:trHeight w:val="300"/>
        </w:trPr>
        <w:tc>
          <w:tcPr>
            <w:tcW w:w="4557" w:type="dxa"/>
          </w:tcPr>
          <w:p w:rsidR="006C17CB" w:rsidRDefault="0030091C">
            <w:pPr>
              <w:pStyle w:val="TableParagraph"/>
              <w:spacing w:line="254" w:lineRule="exact"/>
              <w:ind w:left="50"/>
              <w:jc w:val="left"/>
              <w:rPr>
                <w:sz w:val="20"/>
              </w:rPr>
            </w:pPr>
            <w:r>
              <w:rPr>
                <w:color w:val="003366"/>
                <w:sz w:val="20"/>
              </w:rPr>
              <w:t>Resources Received Free of Charge</w:t>
            </w:r>
          </w:p>
        </w:tc>
        <w:tc>
          <w:tcPr>
            <w:tcW w:w="757" w:type="dxa"/>
          </w:tcPr>
          <w:p w:rsidR="006C17CB" w:rsidRDefault="0030091C">
            <w:pPr>
              <w:pStyle w:val="TableParagraph"/>
              <w:spacing w:line="254" w:lineRule="exact"/>
              <w:ind w:right="277"/>
              <w:rPr>
                <w:sz w:val="20"/>
              </w:rPr>
            </w:pPr>
            <w:r>
              <w:rPr>
                <w:color w:val="003366"/>
                <w:w w:val="99"/>
                <w:sz w:val="20"/>
              </w:rPr>
              <w:t>4</w:t>
            </w:r>
          </w:p>
        </w:tc>
        <w:tc>
          <w:tcPr>
            <w:tcW w:w="1349" w:type="dxa"/>
          </w:tcPr>
          <w:p w:rsidR="006C17CB" w:rsidRDefault="0030091C">
            <w:pPr>
              <w:pStyle w:val="TableParagraph"/>
              <w:spacing w:line="254" w:lineRule="exact"/>
              <w:ind w:right="270"/>
              <w:rPr>
                <w:sz w:val="20"/>
              </w:rPr>
            </w:pPr>
            <w:r>
              <w:rPr>
                <w:color w:val="003366"/>
                <w:w w:val="95"/>
                <w:sz w:val="20"/>
              </w:rPr>
              <w:t>513</w:t>
            </w:r>
          </w:p>
        </w:tc>
        <w:tc>
          <w:tcPr>
            <w:tcW w:w="1251" w:type="dxa"/>
          </w:tcPr>
          <w:p w:rsidR="006C17CB" w:rsidRDefault="0030091C">
            <w:pPr>
              <w:pStyle w:val="TableParagraph"/>
              <w:spacing w:line="254" w:lineRule="exact"/>
              <w:ind w:right="330"/>
              <w:rPr>
                <w:sz w:val="20"/>
              </w:rPr>
            </w:pPr>
            <w:r>
              <w:rPr>
                <w:color w:val="003366"/>
                <w:w w:val="95"/>
                <w:sz w:val="20"/>
              </w:rPr>
              <w:t>704</w:t>
            </w:r>
          </w:p>
        </w:tc>
        <w:tc>
          <w:tcPr>
            <w:tcW w:w="1017" w:type="dxa"/>
          </w:tcPr>
          <w:p w:rsidR="006C17CB" w:rsidRDefault="0030091C">
            <w:pPr>
              <w:pStyle w:val="TableParagraph"/>
              <w:spacing w:line="254" w:lineRule="exact"/>
              <w:ind w:right="159"/>
              <w:rPr>
                <w:sz w:val="20"/>
              </w:rPr>
            </w:pPr>
            <w:r>
              <w:rPr>
                <w:color w:val="003366"/>
                <w:w w:val="95"/>
                <w:sz w:val="20"/>
              </w:rPr>
              <w:t>402</w:t>
            </w:r>
          </w:p>
        </w:tc>
      </w:tr>
      <w:tr w:rsidR="006C17CB">
        <w:trPr>
          <w:trHeight w:val="296"/>
        </w:trPr>
        <w:tc>
          <w:tcPr>
            <w:tcW w:w="5314" w:type="dxa"/>
            <w:gridSpan w:val="2"/>
          </w:tcPr>
          <w:p w:rsidR="006C17CB" w:rsidRDefault="0030091C">
            <w:pPr>
              <w:pStyle w:val="TableParagraph"/>
              <w:spacing w:line="254" w:lineRule="exact"/>
              <w:ind w:left="50"/>
              <w:jc w:val="left"/>
              <w:rPr>
                <w:sz w:val="20"/>
              </w:rPr>
            </w:pPr>
            <w:r>
              <w:rPr>
                <w:color w:val="003366"/>
                <w:sz w:val="20"/>
              </w:rPr>
              <w:t>Other Revenue</w:t>
            </w:r>
          </w:p>
        </w:tc>
        <w:tc>
          <w:tcPr>
            <w:tcW w:w="3617" w:type="dxa"/>
            <w:gridSpan w:val="3"/>
          </w:tcPr>
          <w:p w:rsidR="006C17CB" w:rsidRDefault="0030091C">
            <w:pPr>
              <w:pStyle w:val="TableParagraph"/>
              <w:tabs>
                <w:tab w:val="left" w:pos="877"/>
                <w:tab w:val="left" w:pos="2067"/>
                <w:tab w:val="left" w:pos="3255"/>
              </w:tabs>
              <w:spacing w:line="254" w:lineRule="exact"/>
              <w:ind w:left="-1"/>
              <w:jc w:val="left"/>
              <w:rPr>
                <w:sz w:val="20"/>
              </w:rPr>
            </w:pPr>
            <w:r>
              <w:rPr>
                <w:color w:val="003366"/>
                <w:w w:val="99"/>
                <w:sz w:val="20"/>
                <w:u w:val="single" w:color="003366"/>
              </w:rPr>
              <w:t xml:space="preserve"> </w:t>
            </w:r>
            <w:r>
              <w:rPr>
                <w:color w:val="003366"/>
                <w:sz w:val="20"/>
                <w:u w:val="single" w:color="003366"/>
              </w:rPr>
              <w:tab/>
              <w:t>44</w:t>
            </w:r>
            <w:r>
              <w:rPr>
                <w:color w:val="003366"/>
                <w:sz w:val="20"/>
                <w:u w:val="single" w:color="003366"/>
              </w:rPr>
              <w:tab/>
              <w:t>44</w:t>
            </w:r>
            <w:r>
              <w:rPr>
                <w:color w:val="003366"/>
                <w:sz w:val="20"/>
                <w:u w:val="single" w:color="003366"/>
              </w:rPr>
              <w:tab/>
              <w:t>31</w:t>
            </w:r>
            <w:r>
              <w:rPr>
                <w:color w:val="003366"/>
                <w:spacing w:val="16"/>
                <w:sz w:val="20"/>
                <w:u w:val="single" w:color="003366"/>
              </w:rPr>
              <w:t xml:space="preserve"> </w:t>
            </w:r>
          </w:p>
        </w:tc>
      </w:tr>
      <w:tr w:rsidR="006C17CB">
        <w:trPr>
          <w:trHeight w:val="418"/>
        </w:trPr>
        <w:tc>
          <w:tcPr>
            <w:tcW w:w="5314" w:type="dxa"/>
            <w:gridSpan w:val="2"/>
          </w:tcPr>
          <w:p w:rsidR="006C17CB" w:rsidRDefault="0030091C">
            <w:pPr>
              <w:pStyle w:val="TableParagraph"/>
              <w:spacing w:line="250" w:lineRule="exact"/>
              <w:ind w:left="50"/>
              <w:jc w:val="left"/>
              <w:rPr>
                <w:i/>
                <w:sz w:val="20"/>
              </w:rPr>
            </w:pPr>
            <w:r>
              <w:rPr>
                <w:i/>
                <w:color w:val="003366"/>
                <w:sz w:val="20"/>
              </w:rPr>
              <w:t>Total Revenue</w:t>
            </w:r>
          </w:p>
        </w:tc>
        <w:tc>
          <w:tcPr>
            <w:tcW w:w="3617" w:type="dxa"/>
            <w:gridSpan w:val="3"/>
          </w:tcPr>
          <w:p w:rsidR="006C17CB" w:rsidRDefault="0030091C">
            <w:pPr>
              <w:pStyle w:val="TableParagraph"/>
              <w:tabs>
                <w:tab w:val="left" w:pos="1813"/>
                <w:tab w:val="left" w:pos="3001"/>
              </w:tabs>
              <w:spacing w:line="250" w:lineRule="exact"/>
              <w:ind w:left="623"/>
              <w:jc w:val="left"/>
              <w:rPr>
                <w:b/>
                <w:sz w:val="20"/>
              </w:rPr>
            </w:pPr>
            <w:r>
              <w:rPr>
                <w:b/>
                <w:color w:val="003366"/>
                <w:sz w:val="20"/>
              </w:rPr>
              <w:t>9,703</w:t>
            </w:r>
            <w:r>
              <w:rPr>
                <w:b/>
                <w:color w:val="003366"/>
                <w:sz w:val="20"/>
              </w:rPr>
              <w:tab/>
              <w:t>9,688</w:t>
            </w:r>
            <w:r>
              <w:rPr>
                <w:b/>
                <w:color w:val="003366"/>
                <w:sz w:val="20"/>
              </w:rPr>
              <w:tab/>
              <w:t>9,137</w:t>
            </w:r>
          </w:p>
        </w:tc>
      </w:tr>
      <w:tr w:rsidR="006C17CB">
        <w:trPr>
          <w:trHeight w:val="421"/>
        </w:trPr>
        <w:tc>
          <w:tcPr>
            <w:tcW w:w="5314" w:type="dxa"/>
            <w:gridSpan w:val="2"/>
          </w:tcPr>
          <w:p w:rsidR="006C17CB" w:rsidRDefault="0030091C">
            <w:pPr>
              <w:pStyle w:val="TableParagraph"/>
              <w:spacing w:before="87"/>
              <w:ind w:left="50"/>
              <w:jc w:val="left"/>
              <w:rPr>
                <w:i/>
                <w:sz w:val="20"/>
              </w:rPr>
            </w:pPr>
            <w:r>
              <w:rPr>
                <w:i/>
                <w:color w:val="003366"/>
                <w:sz w:val="20"/>
              </w:rPr>
              <w:t>Gains</w:t>
            </w:r>
          </w:p>
        </w:tc>
        <w:tc>
          <w:tcPr>
            <w:tcW w:w="3617" w:type="dxa"/>
            <w:gridSpan w:val="3"/>
          </w:tcPr>
          <w:p w:rsidR="006C17CB" w:rsidRDefault="006C17CB">
            <w:pPr>
              <w:pStyle w:val="TableParagraph"/>
              <w:jc w:val="left"/>
              <w:rPr>
                <w:rFonts w:ascii="Times New Roman"/>
                <w:sz w:val="18"/>
              </w:rPr>
            </w:pPr>
          </w:p>
        </w:tc>
      </w:tr>
      <w:tr w:rsidR="006C17CB">
        <w:trPr>
          <w:trHeight w:val="297"/>
        </w:trPr>
        <w:tc>
          <w:tcPr>
            <w:tcW w:w="5314" w:type="dxa"/>
            <w:gridSpan w:val="2"/>
          </w:tcPr>
          <w:p w:rsidR="006C17CB" w:rsidRDefault="0030091C">
            <w:pPr>
              <w:pStyle w:val="TableParagraph"/>
              <w:spacing w:line="252" w:lineRule="exact"/>
              <w:ind w:left="50"/>
              <w:jc w:val="left"/>
              <w:rPr>
                <w:sz w:val="20"/>
              </w:rPr>
            </w:pPr>
            <w:r>
              <w:rPr>
                <w:color w:val="003366"/>
                <w:sz w:val="20"/>
              </w:rPr>
              <w:t>Other Gains</w:t>
            </w:r>
          </w:p>
        </w:tc>
        <w:tc>
          <w:tcPr>
            <w:tcW w:w="3617" w:type="dxa"/>
            <w:gridSpan w:val="3"/>
          </w:tcPr>
          <w:p w:rsidR="006C17CB" w:rsidRDefault="0030091C">
            <w:pPr>
              <w:pStyle w:val="TableParagraph"/>
              <w:tabs>
                <w:tab w:val="left" w:pos="1016"/>
                <w:tab w:val="left" w:pos="2207"/>
                <w:tab w:val="left" w:pos="3356"/>
              </w:tabs>
              <w:spacing w:line="255" w:lineRule="exact"/>
              <w:ind w:left="-1"/>
              <w:jc w:val="left"/>
              <w:rPr>
                <w:sz w:val="20"/>
              </w:rPr>
            </w:pPr>
            <w:r>
              <w:rPr>
                <w:color w:val="003366"/>
                <w:w w:val="99"/>
                <w:sz w:val="20"/>
                <w:u w:val="single" w:color="003366"/>
              </w:rPr>
              <w:t xml:space="preserve"> </w:t>
            </w:r>
            <w:r>
              <w:rPr>
                <w:color w:val="003366"/>
                <w:sz w:val="20"/>
                <w:u w:val="single" w:color="003366"/>
              </w:rPr>
              <w:tab/>
              <w:t>-</w:t>
            </w:r>
            <w:r>
              <w:rPr>
                <w:color w:val="003366"/>
                <w:sz w:val="20"/>
                <w:u w:val="single" w:color="003366"/>
              </w:rPr>
              <w:tab/>
              <w:t>-</w:t>
            </w:r>
            <w:r>
              <w:rPr>
                <w:color w:val="003366"/>
                <w:sz w:val="20"/>
                <w:u w:val="single" w:color="003366"/>
              </w:rPr>
              <w:tab/>
              <w:t>5</w:t>
            </w:r>
            <w:r>
              <w:rPr>
                <w:color w:val="003366"/>
                <w:spacing w:val="16"/>
                <w:sz w:val="20"/>
                <w:u w:val="single" w:color="003366"/>
              </w:rPr>
              <w:t xml:space="preserve"> </w:t>
            </w:r>
          </w:p>
        </w:tc>
      </w:tr>
      <w:tr w:rsidR="006C17CB">
        <w:trPr>
          <w:trHeight w:val="534"/>
        </w:trPr>
        <w:tc>
          <w:tcPr>
            <w:tcW w:w="5314" w:type="dxa"/>
            <w:gridSpan w:val="2"/>
          </w:tcPr>
          <w:p w:rsidR="006C17CB" w:rsidRDefault="0030091C">
            <w:pPr>
              <w:pStyle w:val="TableParagraph"/>
              <w:spacing w:line="250" w:lineRule="exact"/>
              <w:ind w:left="50"/>
              <w:jc w:val="left"/>
              <w:rPr>
                <w:i/>
                <w:sz w:val="20"/>
              </w:rPr>
            </w:pPr>
            <w:r>
              <w:rPr>
                <w:i/>
                <w:color w:val="003366"/>
                <w:sz w:val="20"/>
              </w:rPr>
              <w:t>Total Gains</w:t>
            </w:r>
          </w:p>
        </w:tc>
        <w:tc>
          <w:tcPr>
            <w:tcW w:w="3617" w:type="dxa"/>
            <w:gridSpan w:val="3"/>
            <w:tcBorders>
              <w:bottom w:val="single" w:sz="8" w:space="0" w:color="003366"/>
            </w:tcBorders>
          </w:tcPr>
          <w:p w:rsidR="006C17CB" w:rsidRDefault="0030091C">
            <w:pPr>
              <w:pStyle w:val="TableParagraph"/>
              <w:tabs>
                <w:tab w:val="left" w:pos="2207"/>
                <w:tab w:val="left" w:pos="3356"/>
              </w:tabs>
              <w:spacing w:line="250" w:lineRule="exact"/>
              <w:ind w:left="1016"/>
              <w:jc w:val="left"/>
              <w:rPr>
                <w:b/>
                <w:sz w:val="20"/>
              </w:rPr>
            </w:pPr>
            <w:r>
              <w:rPr>
                <w:b/>
                <w:color w:val="003366"/>
                <w:sz w:val="20"/>
              </w:rPr>
              <w:t>-</w:t>
            </w:r>
            <w:r>
              <w:rPr>
                <w:b/>
                <w:color w:val="003366"/>
                <w:sz w:val="20"/>
              </w:rPr>
              <w:tab/>
              <w:t>-</w:t>
            </w:r>
            <w:r>
              <w:rPr>
                <w:b/>
                <w:color w:val="003366"/>
                <w:sz w:val="20"/>
              </w:rPr>
              <w:tab/>
              <w:t>5</w:t>
            </w:r>
          </w:p>
        </w:tc>
      </w:tr>
      <w:tr w:rsidR="006C17CB">
        <w:trPr>
          <w:trHeight w:val="499"/>
        </w:trPr>
        <w:tc>
          <w:tcPr>
            <w:tcW w:w="5314" w:type="dxa"/>
            <w:gridSpan w:val="2"/>
          </w:tcPr>
          <w:p w:rsidR="006C17CB" w:rsidRDefault="0030091C">
            <w:pPr>
              <w:pStyle w:val="TableParagraph"/>
              <w:spacing w:line="284" w:lineRule="exact"/>
              <w:ind w:left="50"/>
              <w:jc w:val="left"/>
              <w:rPr>
                <w:b/>
                <w:sz w:val="20"/>
              </w:rPr>
            </w:pPr>
            <w:r>
              <w:rPr>
                <w:b/>
                <w:color w:val="003366"/>
                <w:sz w:val="20"/>
              </w:rPr>
              <w:t>Total Income</w:t>
            </w:r>
          </w:p>
        </w:tc>
        <w:tc>
          <w:tcPr>
            <w:tcW w:w="3617" w:type="dxa"/>
            <w:gridSpan w:val="3"/>
            <w:tcBorders>
              <w:top w:val="single" w:sz="8" w:space="0" w:color="003366"/>
            </w:tcBorders>
          </w:tcPr>
          <w:p w:rsidR="006C17CB" w:rsidRDefault="0030091C">
            <w:pPr>
              <w:pStyle w:val="TableParagraph"/>
              <w:tabs>
                <w:tab w:val="left" w:pos="623"/>
                <w:tab w:val="left" w:pos="1813"/>
                <w:tab w:val="left" w:pos="3001"/>
              </w:tabs>
              <w:spacing w:line="284" w:lineRule="exact"/>
              <w:ind w:left="-1"/>
              <w:jc w:val="left"/>
              <w:rPr>
                <w:b/>
                <w:sz w:val="20"/>
              </w:rPr>
            </w:pPr>
            <w:r>
              <w:rPr>
                <w:b/>
                <w:color w:val="003366"/>
                <w:w w:val="99"/>
                <w:sz w:val="20"/>
                <w:u w:val="single" w:color="003366"/>
              </w:rPr>
              <w:t xml:space="preserve"> </w:t>
            </w:r>
            <w:r>
              <w:rPr>
                <w:b/>
                <w:color w:val="003366"/>
                <w:sz w:val="20"/>
                <w:u w:val="single" w:color="003366"/>
              </w:rPr>
              <w:tab/>
              <w:t>9,703</w:t>
            </w:r>
            <w:r>
              <w:rPr>
                <w:b/>
                <w:color w:val="003366"/>
                <w:sz w:val="20"/>
                <w:u w:val="single" w:color="003366"/>
              </w:rPr>
              <w:tab/>
              <w:t>9,688</w:t>
            </w:r>
            <w:r>
              <w:rPr>
                <w:b/>
                <w:color w:val="003366"/>
                <w:sz w:val="20"/>
                <w:u w:val="single" w:color="003366"/>
              </w:rPr>
              <w:tab/>
              <w:t>9,142</w:t>
            </w:r>
            <w:r>
              <w:rPr>
                <w:b/>
                <w:color w:val="003366"/>
                <w:spacing w:val="18"/>
                <w:sz w:val="20"/>
                <w:u w:val="single" w:color="003366"/>
              </w:rPr>
              <w:t xml:space="preserve"> </w:t>
            </w:r>
          </w:p>
        </w:tc>
      </w:tr>
      <w:tr w:rsidR="006C17CB">
        <w:trPr>
          <w:trHeight w:val="469"/>
        </w:trPr>
        <w:tc>
          <w:tcPr>
            <w:tcW w:w="4557" w:type="dxa"/>
          </w:tcPr>
          <w:p w:rsidR="006C17CB" w:rsidRDefault="0030091C">
            <w:pPr>
              <w:pStyle w:val="TableParagraph"/>
              <w:spacing w:before="134"/>
              <w:ind w:left="50"/>
              <w:jc w:val="left"/>
              <w:rPr>
                <w:b/>
                <w:sz w:val="20"/>
              </w:rPr>
            </w:pPr>
            <w:r>
              <w:rPr>
                <w:b/>
                <w:color w:val="003366"/>
                <w:sz w:val="20"/>
              </w:rPr>
              <w:t>Expenses</w:t>
            </w:r>
          </w:p>
        </w:tc>
        <w:tc>
          <w:tcPr>
            <w:tcW w:w="757" w:type="dxa"/>
          </w:tcPr>
          <w:p w:rsidR="006C17CB" w:rsidRDefault="006C17CB">
            <w:pPr>
              <w:pStyle w:val="TableParagraph"/>
              <w:jc w:val="left"/>
              <w:rPr>
                <w:rFonts w:ascii="Times New Roman"/>
                <w:sz w:val="18"/>
              </w:rPr>
            </w:pPr>
          </w:p>
        </w:tc>
        <w:tc>
          <w:tcPr>
            <w:tcW w:w="1349" w:type="dxa"/>
          </w:tcPr>
          <w:p w:rsidR="006C17CB" w:rsidRDefault="006C17CB">
            <w:pPr>
              <w:pStyle w:val="TableParagraph"/>
              <w:jc w:val="left"/>
              <w:rPr>
                <w:rFonts w:ascii="Times New Roman"/>
                <w:sz w:val="18"/>
              </w:rPr>
            </w:pPr>
          </w:p>
        </w:tc>
        <w:tc>
          <w:tcPr>
            <w:tcW w:w="1251" w:type="dxa"/>
          </w:tcPr>
          <w:p w:rsidR="006C17CB" w:rsidRDefault="006C17CB">
            <w:pPr>
              <w:pStyle w:val="TableParagraph"/>
              <w:jc w:val="left"/>
              <w:rPr>
                <w:rFonts w:ascii="Times New Roman"/>
                <w:sz w:val="18"/>
              </w:rPr>
            </w:pPr>
          </w:p>
        </w:tc>
        <w:tc>
          <w:tcPr>
            <w:tcW w:w="1017" w:type="dxa"/>
          </w:tcPr>
          <w:p w:rsidR="006C17CB" w:rsidRDefault="006C17CB">
            <w:pPr>
              <w:pStyle w:val="TableParagraph"/>
              <w:jc w:val="left"/>
              <w:rPr>
                <w:rFonts w:ascii="Times New Roman"/>
                <w:sz w:val="18"/>
              </w:rPr>
            </w:pPr>
          </w:p>
        </w:tc>
      </w:tr>
      <w:tr w:rsidR="006C17CB">
        <w:trPr>
          <w:trHeight w:val="300"/>
        </w:trPr>
        <w:tc>
          <w:tcPr>
            <w:tcW w:w="4557" w:type="dxa"/>
          </w:tcPr>
          <w:p w:rsidR="006C17CB" w:rsidRDefault="0030091C">
            <w:pPr>
              <w:pStyle w:val="TableParagraph"/>
              <w:spacing w:line="254" w:lineRule="exact"/>
              <w:ind w:left="50"/>
              <w:jc w:val="left"/>
              <w:rPr>
                <w:sz w:val="20"/>
              </w:rPr>
            </w:pPr>
            <w:r>
              <w:rPr>
                <w:color w:val="003366"/>
                <w:sz w:val="20"/>
              </w:rPr>
              <w:t>Employee Expenses</w:t>
            </w:r>
          </w:p>
        </w:tc>
        <w:tc>
          <w:tcPr>
            <w:tcW w:w="757" w:type="dxa"/>
          </w:tcPr>
          <w:p w:rsidR="006C17CB" w:rsidRDefault="0030091C">
            <w:pPr>
              <w:pStyle w:val="TableParagraph"/>
              <w:spacing w:line="254" w:lineRule="exact"/>
              <w:ind w:right="277"/>
              <w:rPr>
                <w:sz w:val="20"/>
              </w:rPr>
            </w:pPr>
            <w:r>
              <w:rPr>
                <w:color w:val="003366"/>
                <w:w w:val="99"/>
                <w:sz w:val="20"/>
              </w:rPr>
              <w:t>5</w:t>
            </w:r>
          </w:p>
        </w:tc>
        <w:tc>
          <w:tcPr>
            <w:tcW w:w="1349" w:type="dxa"/>
          </w:tcPr>
          <w:p w:rsidR="006C17CB" w:rsidRDefault="0030091C">
            <w:pPr>
              <w:pStyle w:val="TableParagraph"/>
              <w:spacing w:line="254" w:lineRule="exact"/>
              <w:ind w:right="270"/>
              <w:rPr>
                <w:sz w:val="20"/>
              </w:rPr>
            </w:pPr>
            <w:r>
              <w:rPr>
                <w:color w:val="003366"/>
                <w:w w:val="95"/>
                <w:sz w:val="20"/>
              </w:rPr>
              <w:t>5,114</w:t>
            </w:r>
          </w:p>
        </w:tc>
        <w:tc>
          <w:tcPr>
            <w:tcW w:w="1251" w:type="dxa"/>
          </w:tcPr>
          <w:p w:rsidR="006C17CB" w:rsidRDefault="0030091C">
            <w:pPr>
              <w:pStyle w:val="TableParagraph"/>
              <w:spacing w:line="254" w:lineRule="exact"/>
              <w:ind w:right="330"/>
              <w:rPr>
                <w:sz w:val="20"/>
              </w:rPr>
            </w:pPr>
            <w:r>
              <w:rPr>
                <w:color w:val="003366"/>
                <w:w w:val="95"/>
                <w:sz w:val="20"/>
              </w:rPr>
              <w:t>5,230</w:t>
            </w:r>
          </w:p>
        </w:tc>
        <w:tc>
          <w:tcPr>
            <w:tcW w:w="1017" w:type="dxa"/>
          </w:tcPr>
          <w:p w:rsidR="006C17CB" w:rsidRDefault="0030091C">
            <w:pPr>
              <w:pStyle w:val="TableParagraph"/>
              <w:spacing w:line="254" w:lineRule="exact"/>
              <w:ind w:right="159"/>
              <w:rPr>
                <w:sz w:val="20"/>
              </w:rPr>
            </w:pPr>
            <w:r>
              <w:rPr>
                <w:color w:val="003366"/>
                <w:w w:val="95"/>
                <w:sz w:val="20"/>
              </w:rPr>
              <w:t>4,695</w:t>
            </w:r>
          </w:p>
        </w:tc>
      </w:tr>
      <w:tr w:rsidR="006C17CB">
        <w:trPr>
          <w:trHeight w:val="300"/>
        </w:trPr>
        <w:tc>
          <w:tcPr>
            <w:tcW w:w="4557" w:type="dxa"/>
          </w:tcPr>
          <w:p w:rsidR="006C17CB" w:rsidRDefault="0030091C">
            <w:pPr>
              <w:pStyle w:val="TableParagraph"/>
              <w:spacing w:line="254" w:lineRule="exact"/>
              <w:ind w:left="50"/>
              <w:jc w:val="left"/>
              <w:rPr>
                <w:sz w:val="20"/>
              </w:rPr>
            </w:pPr>
            <w:r>
              <w:rPr>
                <w:color w:val="003366"/>
                <w:sz w:val="20"/>
              </w:rPr>
              <w:t>Superannuation Expenses</w:t>
            </w:r>
          </w:p>
        </w:tc>
        <w:tc>
          <w:tcPr>
            <w:tcW w:w="757" w:type="dxa"/>
          </w:tcPr>
          <w:p w:rsidR="006C17CB" w:rsidRDefault="0030091C">
            <w:pPr>
              <w:pStyle w:val="TableParagraph"/>
              <w:spacing w:line="254" w:lineRule="exact"/>
              <w:ind w:right="277"/>
              <w:rPr>
                <w:sz w:val="20"/>
              </w:rPr>
            </w:pPr>
            <w:r>
              <w:rPr>
                <w:color w:val="003366"/>
                <w:w w:val="99"/>
                <w:sz w:val="20"/>
              </w:rPr>
              <w:t>6</w:t>
            </w:r>
          </w:p>
        </w:tc>
        <w:tc>
          <w:tcPr>
            <w:tcW w:w="1349" w:type="dxa"/>
          </w:tcPr>
          <w:p w:rsidR="006C17CB" w:rsidRDefault="0030091C">
            <w:pPr>
              <w:pStyle w:val="TableParagraph"/>
              <w:spacing w:line="254" w:lineRule="exact"/>
              <w:ind w:right="270"/>
              <w:rPr>
                <w:sz w:val="20"/>
              </w:rPr>
            </w:pPr>
            <w:r>
              <w:rPr>
                <w:color w:val="003366"/>
                <w:w w:val="95"/>
                <w:sz w:val="20"/>
              </w:rPr>
              <w:t>771</w:t>
            </w:r>
          </w:p>
        </w:tc>
        <w:tc>
          <w:tcPr>
            <w:tcW w:w="1251" w:type="dxa"/>
          </w:tcPr>
          <w:p w:rsidR="006C17CB" w:rsidRDefault="0030091C">
            <w:pPr>
              <w:pStyle w:val="TableParagraph"/>
              <w:spacing w:line="254" w:lineRule="exact"/>
              <w:ind w:right="330"/>
              <w:rPr>
                <w:sz w:val="20"/>
              </w:rPr>
            </w:pPr>
            <w:r>
              <w:rPr>
                <w:color w:val="003366"/>
                <w:w w:val="95"/>
                <w:sz w:val="20"/>
              </w:rPr>
              <w:t>844</w:t>
            </w:r>
          </w:p>
        </w:tc>
        <w:tc>
          <w:tcPr>
            <w:tcW w:w="1017" w:type="dxa"/>
          </w:tcPr>
          <w:p w:rsidR="006C17CB" w:rsidRDefault="0030091C">
            <w:pPr>
              <w:pStyle w:val="TableParagraph"/>
              <w:spacing w:line="254" w:lineRule="exact"/>
              <w:ind w:right="159"/>
              <w:rPr>
                <w:sz w:val="20"/>
              </w:rPr>
            </w:pPr>
            <w:r>
              <w:rPr>
                <w:color w:val="003366"/>
                <w:w w:val="95"/>
                <w:sz w:val="20"/>
              </w:rPr>
              <w:t>695</w:t>
            </w:r>
          </w:p>
        </w:tc>
      </w:tr>
      <w:tr w:rsidR="006C17CB">
        <w:trPr>
          <w:trHeight w:val="300"/>
        </w:trPr>
        <w:tc>
          <w:tcPr>
            <w:tcW w:w="4557" w:type="dxa"/>
          </w:tcPr>
          <w:p w:rsidR="006C17CB" w:rsidRDefault="0030091C">
            <w:pPr>
              <w:pStyle w:val="TableParagraph"/>
              <w:spacing w:line="254" w:lineRule="exact"/>
              <w:ind w:left="50"/>
              <w:jc w:val="left"/>
              <w:rPr>
                <w:sz w:val="20"/>
              </w:rPr>
            </w:pPr>
            <w:r>
              <w:rPr>
                <w:color w:val="003366"/>
                <w:sz w:val="20"/>
              </w:rPr>
              <w:t>Supplies and Services</w:t>
            </w:r>
          </w:p>
        </w:tc>
        <w:tc>
          <w:tcPr>
            <w:tcW w:w="757" w:type="dxa"/>
          </w:tcPr>
          <w:p w:rsidR="006C17CB" w:rsidRDefault="0030091C">
            <w:pPr>
              <w:pStyle w:val="TableParagraph"/>
              <w:spacing w:line="254" w:lineRule="exact"/>
              <w:ind w:right="277"/>
              <w:rPr>
                <w:sz w:val="20"/>
              </w:rPr>
            </w:pPr>
            <w:r>
              <w:rPr>
                <w:color w:val="003366"/>
                <w:w w:val="99"/>
                <w:sz w:val="20"/>
              </w:rPr>
              <w:t>7</w:t>
            </w:r>
          </w:p>
        </w:tc>
        <w:tc>
          <w:tcPr>
            <w:tcW w:w="1349" w:type="dxa"/>
          </w:tcPr>
          <w:p w:rsidR="006C17CB" w:rsidRDefault="0030091C">
            <w:pPr>
              <w:pStyle w:val="TableParagraph"/>
              <w:spacing w:line="254" w:lineRule="exact"/>
              <w:ind w:right="270"/>
              <w:rPr>
                <w:sz w:val="20"/>
              </w:rPr>
            </w:pPr>
            <w:r>
              <w:rPr>
                <w:color w:val="003366"/>
                <w:w w:val="95"/>
                <w:sz w:val="20"/>
              </w:rPr>
              <w:t>3,528</w:t>
            </w:r>
          </w:p>
        </w:tc>
        <w:tc>
          <w:tcPr>
            <w:tcW w:w="1251" w:type="dxa"/>
          </w:tcPr>
          <w:p w:rsidR="006C17CB" w:rsidRDefault="0030091C">
            <w:pPr>
              <w:pStyle w:val="TableParagraph"/>
              <w:spacing w:line="254" w:lineRule="exact"/>
              <w:ind w:right="330"/>
              <w:rPr>
                <w:sz w:val="20"/>
              </w:rPr>
            </w:pPr>
            <w:r>
              <w:rPr>
                <w:color w:val="003366"/>
                <w:w w:val="95"/>
                <w:sz w:val="20"/>
              </w:rPr>
              <w:t>3,648</w:t>
            </w:r>
          </w:p>
        </w:tc>
        <w:tc>
          <w:tcPr>
            <w:tcW w:w="1017" w:type="dxa"/>
          </w:tcPr>
          <w:p w:rsidR="006C17CB" w:rsidRDefault="0030091C">
            <w:pPr>
              <w:pStyle w:val="TableParagraph"/>
              <w:spacing w:line="254" w:lineRule="exact"/>
              <w:ind w:right="159"/>
              <w:rPr>
                <w:sz w:val="20"/>
              </w:rPr>
            </w:pPr>
            <w:r>
              <w:rPr>
                <w:color w:val="003366"/>
                <w:w w:val="95"/>
                <w:sz w:val="20"/>
              </w:rPr>
              <w:t>3,216</w:t>
            </w:r>
          </w:p>
        </w:tc>
      </w:tr>
      <w:tr w:rsidR="006C17CB">
        <w:trPr>
          <w:trHeight w:val="300"/>
        </w:trPr>
        <w:tc>
          <w:tcPr>
            <w:tcW w:w="4557" w:type="dxa"/>
          </w:tcPr>
          <w:p w:rsidR="006C17CB" w:rsidRDefault="0030091C">
            <w:pPr>
              <w:pStyle w:val="TableParagraph"/>
              <w:spacing w:line="254" w:lineRule="exact"/>
              <w:ind w:left="50"/>
              <w:jc w:val="left"/>
              <w:rPr>
                <w:sz w:val="20"/>
              </w:rPr>
            </w:pPr>
            <w:r>
              <w:rPr>
                <w:color w:val="003366"/>
                <w:sz w:val="20"/>
              </w:rPr>
              <w:t>Depreciation and Amortisation</w:t>
            </w:r>
          </w:p>
        </w:tc>
        <w:tc>
          <w:tcPr>
            <w:tcW w:w="757" w:type="dxa"/>
          </w:tcPr>
          <w:p w:rsidR="006C17CB" w:rsidRDefault="0030091C">
            <w:pPr>
              <w:pStyle w:val="TableParagraph"/>
              <w:spacing w:line="254" w:lineRule="exact"/>
              <w:ind w:right="277"/>
              <w:rPr>
                <w:sz w:val="20"/>
              </w:rPr>
            </w:pPr>
            <w:r>
              <w:rPr>
                <w:color w:val="003366"/>
                <w:w w:val="99"/>
                <w:sz w:val="20"/>
              </w:rPr>
              <w:t>8</w:t>
            </w:r>
          </w:p>
        </w:tc>
        <w:tc>
          <w:tcPr>
            <w:tcW w:w="1349" w:type="dxa"/>
          </w:tcPr>
          <w:p w:rsidR="006C17CB" w:rsidRDefault="0030091C">
            <w:pPr>
              <w:pStyle w:val="TableParagraph"/>
              <w:spacing w:line="254" w:lineRule="exact"/>
              <w:ind w:right="270"/>
              <w:rPr>
                <w:sz w:val="20"/>
              </w:rPr>
            </w:pPr>
            <w:r>
              <w:rPr>
                <w:color w:val="003366"/>
                <w:w w:val="95"/>
                <w:sz w:val="20"/>
              </w:rPr>
              <w:t>348</w:t>
            </w:r>
          </w:p>
        </w:tc>
        <w:tc>
          <w:tcPr>
            <w:tcW w:w="1251" w:type="dxa"/>
          </w:tcPr>
          <w:p w:rsidR="006C17CB" w:rsidRDefault="0030091C">
            <w:pPr>
              <w:pStyle w:val="TableParagraph"/>
              <w:spacing w:line="254" w:lineRule="exact"/>
              <w:ind w:right="330"/>
              <w:rPr>
                <w:sz w:val="20"/>
              </w:rPr>
            </w:pPr>
            <w:r>
              <w:rPr>
                <w:color w:val="003366"/>
                <w:w w:val="95"/>
                <w:sz w:val="20"/>
              </w:rPr>
              <w:t>326</w:t>
            </w:r>
          </w:p>
        </w:tc>
        <w:tc>
          <w:tcPr>
            <w:tcW w:w="1017" w:type="dxa"/>
          </w:tcPr>
          <w:p w:rsidR="006C17CB" w:rsidRDefault="0030091C">
            <w:pPr>
              <w:pStyle w:val="TableParagraph"/>
              <w:spacing w:line="254" w:lineRule="exact"/>
              <w:ind w:right="159"/>
              <w:rPr>
                <w:sz w:val="20"/>
              </w:rPr>
            </w:pPr>
            <w:r>
              <w:rPr>
                <w:color w:val="003366"/>
                <w:w w:val="95"/>
                <w:sz w:val="20"/>
              </w:rPr>
              <w:t>212</w:t>
            </w:r>
          </w:p>
        </w:tc>
      </w:tr>
      <w:tr w:rsidR="006C17CB">
        <w:trPr>
          <w:trHeight w:val="561"/>
        </w:trPr>
        <w:tc>
          <w:tcPr>
            <w:tcW w:w="4557" w:type="dxa"/>
          </w:tcPr>
          <w:p w:rsidR="006C17CB" w:rsidRDefault="0030091C">
            <w:pPr>
              <w:pStyle w:val="TableParagraph"/>
              <w:spacing w:line="254" w:lineRule="exact"/>
              <w:ind w:left="50"/>
              <w:jc w:val="left"/>
              <w:rPr>
                <w:sz w:val="20"/>
              </w:rPr>
            </w:pPr>
            <w:r>
              <w:rPr>
                <w:color w:val="003366"/>
                <w:sz w:val="20"/>
              </w:rPr>
              <w:t>Other Expenses</w:t>
            </w:r>
          </w:p>
        </w:tc>
        <w:tc>
          <w:tcPr>
            <w:tcW w:w="757" w:type="dxa"/>
          </w:tcPr>
          <w:p w:rsidR="006C17CB" w:rsidRDefault="006C17CB">
            <w:pPr>
              <w:pStyle w:val="TableParagraph"/>
              <w:jc w:val="left"/>
              <w:rPr>
                <w:rFonts w:ascii="Times New Roman"/>
                <w:sz w:val="18"/>
              </w:rPr>
            </w:pPr>
          </w:p>
        </w:tc>
        <w:tc>
          <w:tcPr>
            <w:tcW w:w="1349" w:type="dxa"/>
          </w:tcPr>
          <w:p w:rsidR="006C17CB" w:rsidRDefault="0030091C">
            <w:pPr>
              <w:pStyle w:val="TableParagraph"/>
              <w:spacing w:line="254" w:lineRule="exact"/>
              <w:ind w:right="267"/>
              <w:rPr>
                <w:sz w:val="20"/>
              </w:rPr>
            </w:pPr>
            <w:r>
              <w:rPr>
                <w:color w:val="003366"/>
                <w:w w:val="95"/>
                <w:sz w:val="20"/>
              </w:rPr>
              <w:t>10</w:t>
            </w:r>
          </w:p>
        </w:tc>
        <w:tc>
          <w:tcPr>
            <w:tcW w:w="1251" w:type="dxa"/>
          </w:tcPr>
          <w:p w:rsidR="006C17CB" w:rsidRDefault="0030091C">
            <w:pPr>
              <w:pStyle w:val="TableParagraph"/>
              <w:spacing w:line="254" w:lineRule="exact"/>
              <w:ind w:right="328"/>
              <w:rPr>
                <w:sz w:val="20"/>
              </w:rPr>
            </w:pPr>
            <w:r>
              <w:rPr>
                <w:color w:val="003366"/>
                <w:w w:val="99"/>
                <w:sz w:val="20"/>
              </w:rPr>
              <w:t>7</w:t>
            </w:r>
          </w:p>
        </w:tc>
        <w:tc>
          <w:tcPr>
            <w:tcW w:w="1017" w:type="dxa"/>
          </w:tcPr>
          <w:p w:rsidR="006C17CB" w:rsidRDefault="0030091C">
            <w:pPr>
              <w:pStyle w:val="TableParagraph"/>
              <w:spacing w:line="254" w:lineRule="exact"/>
              <w:ind w:right="157"/>
              <w:rPr>
                <w:sz w:val="20"/>
              </w:rPr>
            </w:pPr>
            <w:r>
              <w:rPr>
                <w:color w:val="003366"/>
                <w:w w:val="95"/>
                <w:sz w:val="20"/>
              </w:rPr>
              <w:t>10</w:t>
            </w:r>
          </w:p>
        </w:tc>
      </w:tr>
      <w:tr w:rsidR="006C17CB">
        <w:trPr>
          <w:trHeight w:val="587"/>
        </w:trPr>
        <w:tc>
          <w:tcPr>
            <w:tcW w:w="5314" w:type="dxa"/>
            <w:gridSpan w:val="2"/>
          </w:tcPr>
          <w:p w:rsidR="006C17CB" w:rsidRDefault="0030091C">
            <w:pPr>
              <w:pStyle w:val="TableParagraph"/>
              <w:spacing w:line="284" w:lineRule="exact"/>
              <w:ind w:left="50"/>
              <w:jc w:val="left"/>
              <w:rPr>
                <w:b/>
                <w:sz w:val="20"/>
              </w:rPr>
            </w:pPr>
            <w:r>
              <w:rPr>
                <w:b/>
                <w:color w:val="003366"/>
                <w:sz w:val="20"/>
              </w:rPr>
              <w:t>Total Expenses</w:t>
            </w:r>
          </w:p>
        </w:tc>
        <w:tc>
          <w:tcPr>
            <w:tcW w:w="3617" w:type="dxa"/>
            <w:gridSpan w:val="3"/>
            <w:tcBorders>
              <w:top w:val="single" w:sz="8" w:space="0" w:color="003366"/>
              <w:bottom w:val="single" w:sz="8" w:space="0" w:color="003366"/>
            </w:tcBorders>
          </w:tcPr>
          <w:p w:rsidR="006C17CB" w:rsidRDefault="0030091C">
            <w:pPr>
              <w:pStyle w:val="TableParagraph"/>
              <w:tabs>
                <w:tab w:val="left" w:pos="623"/>
                <w:tab w:val="left" w:pos="1710"/>
                <w:tab w:val="left" w:pos="3001"/>
              </w:tabs>
              <w:spacing w:line="284" w:lineRule="exact"/>
              <w:ind w:left="-1"/>
              <w:jc w:val="left"/>
              <w:rPr>
                <w:b/>
                <w:sz w:val="20"/>
              </w:rPr>
            </w:pPr>
            <w:r>
              <w:rPr>
                <w:b/>
                <w:color w:val="003366"/>
                <w:w w:val="99"/>
                <w:sz w:val="20"/>
                <w:u w:val="single" w:color="003366"/>
              </w:rPr>
              <w:t xml:space="preserve"> </w:t>
            </w:r>
            <w:r>
              <w:rPr>
                <w:b/>
                <w:color w:val="003366"/>
                <w:sz w:val="20"/>
                <w:u w:val="single" w:color="003366"/>
              </w:rPr>
              <w:tab/>
              <w:t>9,771</w:t>
            </w:r>
            <w:r>
              <w:rPr>
                <w:b/>
                <w:color w:val="003366"/>
                <w:sz w:val="20"/>
                <w:u w:val="single" w:color="003366"/>
              </w:rPr>
              <w:tab/>
              <w:t>10,055</w:t>
            </w:r>
            <w:r>
              <w:rPr>
                <w:b/>
                <w:color w:val="003366"/>
                <w:sz w:val="20"/>
                <w:u w:val="single" w:color="003366"/>
              </w:rPr>
              <w:tab/>
              <w:t>8,828</w:t>
            </w:r>
            <w:r>
              <w:rPr>
                <w:b/>
                <w:color w:val="003366"/>
                <w:spacing w:val="18"/>
                <w:sz w:val="20"/>
                <w:u w:val="single" w:color="003366"/>
              </w:rPr>
              <w:t xml:space="preserve"> </w:t>
            </w:r>
          </w:p>
        </w:tc>
      </w:tr>
      <w:tr w:rsidR="006C17CB">
        <w:trPr>
          <w:trHeight w:val="488"/>
        </w:trPr>
        <w:tc>
          <w:tcPr>
            <w:tcW w:w="5314" w:type="dxa"/>
            <w:gridSpan w:val="2"/>
          </w:tcPr>
          <w:p w:rsidR="006C17CB" w:rsidRDefault="0030091C">
            <w:pPr>
              <w:pStyle w:val="TableParagraph"/>
              <w:spacing w:line="286" w:lineRule="exact"/>
              <w:ind w:left="50"/>
              <w:jc w:val="left"/>
              <w:rPr>
                <w:b/>
                <w:sz w:val="20"/>
              </w:rPr>
            </w:pPr>
            <w:r>
              <w:rPr>
                <w:b/>
                <w:color w:val="003366"/>
                <w:sz w:val="20"/>
              </w:rPr>
              <w:t>Operating (Deficit)/Surplus</w:t>
            </w:r>
          </w:p>
        </w:tc>
        <w:tc>
          <w:tcPr>
            <w:tcW w:w="3617" w:type="dxa"/>
            <w:gridSpan w:val="3"/>
            <w:tcBorders>
              <w:top w:val="single" w:sz="8" w:space="0" w:color="003366"/>
            </w:tcBorders>
          </w:tcPr>
          <w:p w:rsidR="006C17CB" w:rsidRDefault="0030091C">
            <w:pPr>
              <w:pStyle w:val="TableParagraph"/>
              <w:tabs>
                <w:tab w:val="left" w:pos="752"/>
                <w:tab w:val="left" w:pos="1839"/>
                <w:tab w:val="left" w:pos="3152"/>
              </w:tabs>
              <w:spacing w:line="286" w:lineRule="exact"/>
              <w:ind w:left="-1"/>
              <w:jc w:val="left"/>
              <w:rPr>
                <w:b/>
                <w:sz w:val="20"/>
              </w:rPr>
            </w:pPr>
            <w:r>
              <w:rPr>
                <w:b/>
                <w:color w:val="003366"/>
                <w:w w:val="99"/>
                <w:sz w:val="20"/>
                <w:u w:val="single" w:color="003366"/>
              </w:rPr>
              <w:t xml:space="preserve"> </w:t>
            </w:r>
            <w:r>
              <w:rPr>
                <w:b/>
                <w:color w:val="003366"/>
                <w:sz w:val="20"/>
                <w:u w:val="single" w:color="003366"/>
              </w:rPr>
              <w:tab/>
              <w:t>(68)</w:t>
            </w:r>
            <w:r>
              <w:rPr>
                <w:b/>
                <w:color w:val="003366"/>
                <w:sz w:val="20"/>
                <w:u w:val="single" w:color="003366"/>
              </w:rPr>
              <w:tab/>
              <w:t>(367)</w:t>
            </w:r>
            <w:r>
              <w:rPr>
                <w:b/>
                <w:color w:val="003366"/>
                <w:sz w:val="20"/>
                <w:u w:val="single" w:color="003366"/>
              </w:rPr>
              <w:tab/>
              <w:t>314</w:t>
            </w:r>
            <w:r>
              <w:rPr>
                <w:b/>
                <w:color w:val="003366"/>
                <w:spacing w:val="18"/>
                <w:sz w:val="20"/>
                <w:u w:val="single" w:color="003366"/>
              </w:rPr>
              <w:t xml:space="preserve"> </w:t>
            </w:r>
          </w:p>
        </w:tc>
      </w:tr>
      <w:tr w:rsidR="006C17CB">
        <w:trPr>
          <w:trHeight w:val="447"/>
        </w:trPr>
        <w:tc>
          <w:tcPr>
            <w:tcW w:w="5314" w:type="dxa"/>
            <w:gridSpan w:val="2"/>
          </w:tcPr>
          <w:p w:rsidR="006C17CB" w:rsidRDefault="0030091C">
            <w:pPr>
              <w:pStyle w:val="TableParagraph"/>
              <w:spacing w:before="121"/>
              <w:ind w:left="50"/>
              <w:jc w:val="left"/>
              <w:rPr>
                <w:b/>
                <w:sz w:val="20"/>
              </w:rPr>
            </w:pPr>
            <w:r>
              <w:rPr>
                <w:b/>
                <w:color w:val="003366"/>
                <w:sz w:val="20"/>
              </w:rPr>
              <w:t>Other Comprehensive (Deficit)/Income</w:t>
            </w:r>
          </w:p>
        </w:tc>
        <w:tc>
          <w:tcPr>
            <w:tcW w:w="3617" w:type="dxa"/>
            <w:gridSpan w:val="3"/>
          </w:tcPr>
          <w:p w:rsidR="006C17CB" w:rsidRDefault="006C17CB">
            <w:pPr>
              <w:pStyle w:val="TableParagraph"/>
              <w:jc w:val="left"/>
              <w:rPr>
                <w:rFonts w:ascii="Times New Roman"/>
                <w:sz w:val="18"/>
              </w:rPr>
            </w:pPr>
          </w:p>
        </w:tc>
      </w:tr>
      <w:tr w:rsidR="006C17CB">
        <w:trPr>
          <w:trHeight w:val="405"/>
        </w:trPr>
        <w:tc>
          <w:tcPr>
            <w:tcW w:w="5314" w:type="dxa"/>
            <w:gridSpan w:val="2"/>
          </w:tcPr>
          <w:p w:rsidR="006C17CB" w:rsidRDefault="0030091C">
            <w:pPr>
              <w:pStyle w:val="TableParagraph"/>
              <w:spacing w:line="223" w:lineRule="exact"/>
              <w:ind w:left="50"/>
              <w:jc w:val="left"/>
              <w:rPr>
                <w:i/>
                <w:sz w:val="20"/>
              </w:rPr>
            </w:pPr>
            <w:r>
              <w:rPr>
                <w:i/>
                <w:color w:val="003366"/>
                <w:sz w:val="20"/>
              </w:rPr>
              <w:t>Items that will not be reclassified subsequently to profit</w:t>
            </w:r>
          </w:p>
          <w:p w:rsidR="006C17CB" w:rsidRDefault="0030091C">
            <w:pPr>
              <w:pStyle w:val="TableParagraph"/>
              <w:spacing w:line="162" w:lineRule="exact"/>
              <w:ind w:left="333"/>
              <w:jc w:val="left"/>
              <w:rPr>
                <w:i/>
                <w:sz w:val="20"/>
              </w:rPr>
            </w:pPr>
            <w:r>
              <w:rPr>
                <w:i/>
                <w:color w:val="003366"/>
                <w:sz w:val="20"/>
              </w:rPr>
              <w:t>or loss</w:t>
            </w:r>
          </w:p>
        </w:tc>
        <w:tc>
          <w:tcPr>
            <w:tcW w:w="3617" w:type="dxa"/>
            <w:gridSpan w:val="3"/>
          </w:tcPr>
          <w:p w:rsidR="006C17CB" w:rsidRDefault="006C17CB">
            <w:pPr>
              <w:pStyle w:val="TableParagraph"/>
              <w:jc w:val="left"/>
              <w:rPr>
                <w:rFonts w:ascii="Times New Roman"/>
                <w:sz w:val="18"/>
              </w:rPr>
            </w:pPr>
          </w:p>
        </w:tc>
      </w:tr>
      <w:tr w:rsidR="006C17CB">
        <w:trPr>
          <w:trHeight w:val="405"/>
        </w:trPr>
        <w:tc>
          <w:tcPr>
            <w:tcW w:w="4557" w:type="dxa"/>
          </w:tcPr>
          <w:p w:rsidR="006C17CB" w:rsidRDefault="0030091C">
            <w:pPr>
              <w:pStyle w:val="TableParagraph"/>
              <w:spacing w:before="79"/>
              <w:ind w:left="50"/>
              <w:jc w:val="left"/>
              <w:rPr>
                <w:sz w:val="20"/>
              </w:rPr>
            </w:pPr>
            <w:r>
              <w:rPr>
                <w:color w:val="003366"/>
                <w:sz w:val="20"/>
              </w:rPr>
              <w:t>(Decrease)/Increase in the Asset Revaluation Surplus</w:t>
            </w:r>
          </w:p>
        </w:tc>
        <w:tc>
          <w:tcPr>
            <w:tcW w:w="4374" w:type="dxa"/>
            <w:gridSpan w:val="4"/>
          </w:tcPr>
          <w:p w:rsidR="006C17CB" w:rsidRDefault="0030091C">
            <w:pPr>
              <w:pStyle w:val="TableParagraph"/>
              <w:tabs>
                <w:tab w:val="left" w:pos="2964"/>
                <w:tab w:val="left" w:pos="3909"/>
              </w:tabs>
              <w:spacing w:before="79"/>
              <w:ind w:left="1512"/>
              <w:jc w:val="left"/>
              <w:rPr>
                <w:sz w:val="20"/>
              </w:rPr>
            </w:pPr>
            <w:r>
              <w:rPr>
                <w:color w:val="003366"/>
                <w:sz w:val="20"/>
              </w:rPr>
              <w:t>(11)</w:t>
            </w:r>
            <w:r>
              <w:rPr>
                <w:color w:val="003366"/>
                <w:sz w:val="20"/>
              </w:rPr>
              <w:tab/>
              <w:t>-</w:t>
            </w:r>
            <w:r>
              <w:rPr>
                <w:color w:val="003366"/>
                <w:sz w:val="20"/>
              </w:rPr>
              <w:tab/>
              <w:t>313</w:t>
            </w:r>
          </w:p>
        </w:tc>
      </w:tr>
      <w:tr w:rsidR="006C17CB">
        <w:trPr>
          <w:trHeight w:val="290"/>
        </w:trPr>
        <w:tc>
          <w:tcPr>
            <w:tcW w:w="4557" w:type="dxa"/>
          </w:tcPr>
          <w:p w:rsidR="006C17CB" w:rsidRDefault="0030091C">
            <w:pPr>
              <w:pStyle w:val="TableParagraph"/>
              <w:spacing w:line="245" w:lineRule="exact"/>
              <w:ind w:left="50"/>
              <w:jc w:val="left"/>
              <w:rPr>
                <w:sz w:val="20"/>
              </w:rPr>
            </w:pPr>
            <w:r>
              <w:rPr>
                <w:color w:val="003366"/>
                <w:sz w:val="20"/>
              </w:rPr>
              <w:t>Other Comprehensive Income</w:t>
            </w:r>
          </w:p>
        </w:tc>
        <w:tc>
          <w:tcPr>
            <w:tcW w:w="4374" w:type="dxa"/>
            <w:gridSpan w:val="4"/>
          </w:tcPr>
          <w:p w:rsidR="006C17CB" w:rsidRDefault="0030091C">
            <w:pPr>
              <w:pStyle w:val="TableParagraph"/>
              <w:tabs>
                <w:tab w:val="left" w:pos="1773"/>
                <w:tab w:val="left" w:pos="2824"/>
                <w:tab w:val="left" w:pos="4152"/>
              </w:tabs>
              <w:spacing w:line="248" w:lineRule="exact"/>
              <w:ind w:left="756"/>
              <w:jc w:val="left"/>
              <w:rPr>
                <w:sz w:val="20"/>
              </w:rPr>
            </w:pPr>
            <w:r>
              <w:rPr>
                <w:color w:val="003366"/>
                <w:w w:val="99"/>
                <w:sz w:val="20"/>
                <w:u w:val="single" w:color="003366"/>
              </w:rPr>
              <w:t xml:space="preserve"> </w:t>
            </w:r>
            <w:r>
              <w:rPr>
                <w:color w:val="003366"/>
                <w:sz w:val="20"/>
                <w:u w:val="single" w:color="003366"/>
              </w:rPr>
              <w:tab/>
              <w:t>-</w:t>
            </w:r>
            <w:r>
              <w:rPr>
                <w:color w:val="003366"/>
                <w:sz w:val="20"/>
                <w:u w:val="single" w:color="003366"/>
              </w:rPr>
              <w:tab/>
              <w:t>46</w:t>
            </w:r>
            <w:r>
              <w:rPr>
                <w:color w:val="003366"/>
                <w:sz w:val="20"/>
                <w:u w:val="single" w:color="003366"/>
              </w:rPr>
              <w:tab/>
              <w:t>-</w:t>
            </w:r>
            <w:r>
              <w:rPr>
                <w:color w:val="003366"/>
                <w:spacing w:val="17"/>
                <w:sz w:val="20"/>
                <w:u w:val="single" w:color="003366"/>
              </w:rPr>
              <w:t xml:space="preserve"> </w:t>
            </w:r>
          </w:p>
        </w:tc>
      </w:tr>
      <w:tr w:rsidR="006C17CB">
        <w:trPr>
          <w:trHeight w:val="567"/>
        </w:trPr>
        <w:tc>
          <w:tcPr>
            <w:tcW w:w="4557" w:type="dxa"/>
          </w:tcPr>
          <w:p w:rsidR="006C17CB" w:rsidRDefault="0030091C">
            <w:pPr>
              <w:pStyle w:val="TableParagraph"/>
              <w:spacing w:line="250" w:lineRule="exact"/>
              <w:ind w:left="50"/>
              <w:jc w:val="left"/>
              <w:rPr>
                <w:b/>
                <w:sz w:val="20"/>
              </w:rPr>
            </w:pPr>
            <w:r>
              <w:rPr>
                <w:b/>
                <w:color w:val="003366"/>
                <w:sz w:val="20"/>
              </w:rPr>
              <w:t>Total Other Comprehensive (Deficit)/Income</w:t>
            </w:r>
          </w:p>
        </w:tc>
        <w:tc>
          <w:tcPr>
            <w:tcW w:w="4374" w:type="dxa"/>
            <w:gridSpan w:val="4"/>
          </w:tcPr>
          <w:p w:rsidR="006C17CB" w:rsidRDefault="0030091C">
            <w:pPr>
              <w:pStyle w:val="TableParagraph"/>
              <w:tabs>
                <w:tab w:val="left" w:pos="1509"/>
                <w:tab w:val="left" w:pos="2824"/>
                <w:tab w:val="left" w:pos="3909"/>
              </w:tabs>
              <w:spacing w:line="250" w:lineRule="exact"/>
              <w:ind w:left="756"/>
              <w:jc w:val="left"/>
              <w:rPr>
                <w:b/>
                <w:sz w:val="20"/>
              </w:rPr>
            </w:pPr>
            <w:r>
              <w:rPr>
                <w:b/>
                <w:color w:val="003366"/>
                <w:w w:val="99"/>
                <w:sz w:val="20"/>
                <w:u w:val="single" w:color="003366"/>
              </w:rPr>
              <w:t xml:space="preserve"> </w:t>
            </w:r>
            <w:r>
              <w:rPr>
                <w:b/>
                <w:color w:val="003366"/>
                <w:sz w:val="20"/>
                <w:u w:val="single" w:color="003366"/>
              </w:rPr>
              <w:tab/>
              <w:t>(11)</w:t>
            </w:r>
            <w:r>
              <w:rPr>
                <w:b/>
                <w:color w:val="003366"/>
                <w:sz w:val="20"/>
                <w:u w:val="single" w:color="003366"/>
              </w:rPr>
              <w:tab/>
              <w:t>46</w:t>
            </w:r>
            <w:r>
              <w:rPr>
                <w:b/>
                <w:color w:val="003366"/>
                <w:sz w:val="20"/>
                <w:u w:val="single" w:color="003366"/>
              </w:rPr>
              <w:tab/>
              <w:t>313</w:t>
            </w:r>
            <w:r>
              <w:rPr>
                <w:b/>
                <w:color w:val="003366"/>
                <w:spacing w:val="18"/>
                <w:sz w:val="20"/>
                <w:u w:val="single" w:color="003366"/>
              </w:rPr>
              <w:t xml:space="preserve"> </w:t>
            </w:r>
          </w:p>
        </w:tc>
      </w:tr>
      <w:tr w:rsidR="006C17CB">
        <w:trPr>
          <w:trHeight w:val="284"/>
        </w:trPr>
        <w:tc>
          <w:tcPr>
            <w:tcW w:w="5314" w:type="dxa"/>
            <w:gridSpan w:val="2"/>
          </w:tcPr>
          <w:p w:rsidR="006C17CB" w:rsidRDefault="0030091C">
            <w:pPr>
              <w:pStyle w:val="TableParagraph"/>
              <w:spacing w:line="265" w:lineRule="exact"/>
              <w:ind w:left="50"/>
              <w:jc w:val="left"/>
              <w:rPr>
                <w:b/>
                <w:sz w:val="20"/>
              </w:rPr>
            </w:pPr>
            <w:r>
              <w:rPr>
                <w:b/>
                <w:color w:val="003366"/>
                <w:sz w:val="20"/>
              </w:rPr>
              <w:t>Total Comprehensive (Deficit)/Surplus</w:t>
            </w:r>
          </w:p>
        </w:tc>
        <w:tc>
          <w:tcPr>
            <w:tcW w:w="1349" w:type="dxa"/>
            <w:tcBorders>
              <w:top w:val="single" w:sz="4" w:space="0" w:color="003366"/>
              <w:bottom w:val="double" w:sz="1" w:space="0" w:color="003366"/>
            </w:tcBorders>
          </w:tcPr>
          <w:p w:rsidR="006C17CB" w:rsidRDefault="0030091C">
            <w:pPr>
              <w:pStyle w:val="TableParagraph"/>
              <w:spacing w:line="265" w:lineRule="exact"/>
              <w:ind w:right="268"/>
              <w:rPr>
                <w:b/>
                <w:sz w:val="20"/>
              </w:rPr>
            </w:pPr>
            <w:r>
              <w:rPr>
                <w:b/>
                <w:color w:val="003366"/>
                <w:w w:val="95"/>
                <w:sz w:val="20"/>
              </w:rPr>
              <w:t>(79)</w:t>
            </w:r>
          </w:p>
        </w:tc>
        <w:tc>
          <w:tcPr>
            <w:tcW w:w="1251" w:type="dxa"/>
            <w:tcBorders>
              <w:top w:val="single" w:sz="4" w:space="0" w:color="003366"/>
              <w:bottom w:val="double" w:sz="1" w:space="0" w:color="003366"/>
            </w:tcBorders>
          </w:tcPr>
          <w:p w:rsidR="006C17CB" w:rsidRDefault="0030091C">
            <w:pPr>
              <w:pStyle w:val="TableParagraph"/>
              <w:spacing w:line="265" w:lineRule="exact"/>
              <w:ind w:right="331"/>
              <w:rPr>
                <w:b/>
                <w:sz w:val="20"/>
              </w:rPr>
            </w:pPr>
            <w:r>
              <w:rPr>
                <w:b/>
                <w:color w:val="003366"/>
                <w:w w:val="95"/>
                <w:sz w:val="20"/>
              </w:rPr>
              <w:t>(321)</w:t>
            </w:r>
          </w:p>
        </w:tc>
        <w:tc>
          <w:tcPr>
            <w:tcW w:w="1017" w:type="dxa"/>
            <w:tcBorders>
              <w:top w:val="single" w:sz="4" w:space="0" w:color="003366"/>
              <w:bottom w:val="double" w:sz="1" w:space="0" w:color="003366"/>
            </w:tcBorders>
          </w:tcPr>
          <w:p w:rsidR="006C17CB" w:rsidRDefault="0030091C">
            <w:pPr>
              <w:pStyle w:val="TableParagraph"/>
              <w:spacing w:line="265" w:lineRule="exact"/>
              <w:ind w:right="159"/>
              <w:rPr>
                <w:b/>
                <w:sz w:val="20"/>
              </w:rPr>
            </w:pPr>
            <w:r>
              <w:rPr>
                <w:b/>
                <w:color w:val="003366"/>
                <w:w w:val="95"/>
                <w:sz w:val="20"/>
              </w:rPr>
              <w:t>627</w:t>
            </w:r>
          </w:p>
        </w:tc>
      </w:tr>
    </w:tbl>
    <w:p w:rsidR="006C17CB" w:rsidRDefault="006C17CB">
      <w:pPr>
        <w:pStyle w:val="BodyText"/>
        <w:spacing w:before="6"/>
        <w:rPr>
          <w:rFonts w:ascii="Calibri"/>
          <w:b/>
          <w:sz w:val="36"/>
        </w:rPr>
      </w:pPr>
    </w:p>
    <w:p w:rsidR="006C17CB" w:rsidRDefault="0030091C">
      <w:pPr>
        <w:ind w:left="755"/>
        <w:rPr>
          <w:rFonts w:ascii="Calibri"/>
          <w:sz w:val="16"/>
        </w:rPr>
      </w:pPr>
      <w:r>
        <w:rPr>
          <w:rFonts w:ascii="Calibri"/>
          <w:color w:val="1F497D"/>
          <w:sz w:val="16"/>
        </w:rPr>
        <w:t>The above Operating Statement should be read in conjunction with the accompanying notes.</w:t>
      </w:r>
    </w:p>
    <w:p w:rsidR="006C17CB" w:rsidRDefault="006C17CB">
      <w:pPr>
        <w:rPr>
          <w:rFonts w:ascii="Calibri"/>
          <w:sz w:val="16"/>
        </w:rPr>
        <w:sectPr w:rsidR="006C17CB">
          <w:headerReference w:type="even" r:id="rId155"/>
          <w:headerReference w:type="default" r:id="rId156"/>
          <w:pgSz w:w="11910" w:h="16840"/>
          <w:pgMar w:top="1440" w:right="0" w:bottom="720" w:left="980" w:header="1189" w:footer="523" w:gutter="0"/>
          <w:cols w:space="720"/>
        </w:sectPr>
      </w:pPr>
    </w:p>
    <w:p w:rsidR="006C17CB" w:rsidRDefault="0030091C">
      <w:pPr>
        <w:spacing w:before="1" w:line="201" w:lineRule="auto"/>
        <w:ind w:left="4038" w:right="4716" w:firstLine="259"/>
        <w:rPr>
          <w:rFonts w:ascii="Calibri"/>
          <w:b/>
          <w:sz w:val="28"/>
        </w:rPr>
      </w:pPr>
      <w:r>
        <w:rPr>
          <w:rFonts w:ascii="Calibri"/>
          <w:b/>
          <w:color w:val="003366"/>
          <w:sz w:val="28"/>
        </w:rPr>
        <w:t>Balance Sheet As at 30 June 2018</w:t>
      </w:r>
    </w:p>
    <w:p w:rsidR="006C17CB" w:rsidRDefault="006C17CB">
      <w:pPr>
        <w:pStyle w:val="BodyText"/>
        <w:spacing w:before="7"/>
        <w:rPr>
          <w:rFonts w:ascii="Calibri"/>
          <w:b/>
          <w:sz w:val="20"/>
        </w:rPr>
      </w:pPr>
    </w:p>
    <w:tbl>
      <w:tblPr>
        <w:tblW w:w="0" w:type="auto"/>
        <w:tblInd w:w="772" w:type="dxa"/>
        <w:tblLayout w:type="fixed"/>
        <w:tblCellMar>
          <w:left w:w="0" w:type="dxa"/>
          <w:right w:w="0" w:type="dxa"/>
        </w:tblCellMar>
        <w:tblLook w:val="01E0" w:firstRow="1" w:lastRow="1" w:firstColumn="1" w:lastColumn="1" w:noHBand="0" w:noVBand="0"/>
      </w:tblPr>
      <w:tblGrid>
        <w:gridCol w:w="3620"/>
        <w:gridCol w:w="1578"/>
        <w:gridCol w:w="3516"/>
      </w:tblGrid>
      <w:tr w:rsidR="006C17CB">
        <w:trPr>
          <w:trHeight w:val="466"/>
        </w:trPr>
        <w:tc>
          <w:tcPr>
            <w:tcW w:w="3620" w:type="dxa"/>
            <w:vMerge w:val="restart"/>
          </w:tcPr>
          <w:p w:rsidR="006C17CB" w:rsidRDefault="006C17CB">
            <w:pPr>
              <w:pStyle w:val="TableParagraph"/>
              <w:jc w:val="left"/>
              <w:rPr>
                <w:rFonts w:ascii="Times New Roman"/>
                <w:sz w:val="18"/>
              </w:rPr>
            </w:pPr>
          </w:p>
        </w:tc>
        <w:tc>
          <w:tcPr>
            <w:tcW w:w="1578" w:type="dxa"/>
          </w:tcPr>
          <w:p w:rsidR="006C17CB" w:rsidRDefault="006C17CB">
            <w:pPr>
              <w:pStyle w:val="TableParagraph"/>
              <w:jc w:val="left"/>
              <w:rPr>
                <w:rFonts w:ascii="Times New Roman"/>
                <w:sz w:val="18"/>
              </w:rPr>
            </w:pPr>
          </w:p>
        </w:tc>
        <w:tc>
          <w:tcPr>
            <w:tcW w:w="3516" w:type="dxa"/>
          </w:tcPr>
          <w:p w:rsidR="006C17CB" w:rsidRDefault="0030091C">
            <w:pPr>
              <w:pStyle w:val="TableParagraph"/>
              <w:spacing w:line="181" w:lineRule="exact"/>
              <w:ind w:left="296"/>
              <w:jc w:val="center"/>
              <w:rPr>
                <w:b/>
                <w:sz w:val="20"/>
              </w:rPr>
            </w:pPr>
            <w:r>
              <w:rPr>
                <w:b/>
                <w:color w:val="003366"/>
                <w:sz w:val="20"/>
              </w:rPr>
              <w:t>Original</w:t>
            </w:r>
          </w:p>
          <w:p w:rsidR="006C17CB" w:rsidRDefault="0030091C">
            <w:pPr>
              <w:pStyle w:val="TableParagraph"/>
              <w:tabs>
                <w:tab w:val="left" w:pos="1532"/>
                <w:tab w:val="left" w:pos="2768"/>
              </w:tabs>
              <w:spacing w:line="265" w:lineRule="exact"/>
              <w:ind w:left="423"/>
              <w:jc w:val="center"/>
              <w:rPr>
                <w:b/>
                <w:sz w:val="20"/>
              </w:rPr>
            </w:pPr>
            <w:r>
              <w:rPr>
                <w:b/>
                <w:color w:val="003366"/>
                <w:sz w:val="20"/>
              </w:rPr>
              <w:t>Actual</w:t>
            </w:r>
            <w:r>
              <w:rPr>
                <w:b/>
                <w:color w:val="003366"/>
                <w:sz w:val="20"/>
              </w:rPr>
              <w:tab/>
              <w:t>Budget</w:t>
            </w:r>
            <w:r>
              <w:rPr>
                <w:b/>
                <w:color w:val="003366"/>
                <w:sz w:val="20"/>
              </w:rPr>
              <w:tab/>
              <w:t>Actual</w:t>
            </w:r>
          </w:p>
        </w:tc>
      </w:tr>
      <w:tr w:rsidR="006C17CB">
        <w:trPr>
          <w:trHeight w:val="507"/>
        </w:trPr>
        <w:tc>
          <w:tcPr>
            <w:tcW w:w="3620" w:type="dxa"/>
            <w:vMerge/>
            <w:tcBorders>
              <w:top w:val="nil"/>
            </w:tcBorders>
          </w:tcPr>
          <w:p w:rsidR="006C17CB" w:rsidRDefault="006C17CB">
            <w:pPr>
              <w:rPr>
                <w:sz w:val="2"/>
                <w:szCs w:val="2"/>
              </w:rPr>
            </w:pPr>
          </w:p>
        </w:tc>
        <w:tc>
          <w:tcPr>
            <w:tcW w:w="1578" w:type="dxa"/>
          </w:tcPr>
          <w:p w:rsidR="006C17CB" w:rsidRDefault="0030091C">
            <w:pPr>
              <w:pStyle w:val="TableParagraph"/>
              <w:spacing w:line="203" w:lineRule="exact"/>
              <w:ind w:right="106"/>
              <w:rPr>
                <w:b/>
                <w:sz w:val="20"/>
              </w:rPr>
            </w:pPr>
            <w:r>
              <w:rPr>
                <w:b/>
                <w:color w:val="003366"/>
                <w:w w:val="95"/>
                <w:sz w:val="20"/>
              </w:rPr>
              <w:t>Note</w:t>
            </w:r>
          </w:p>
          <w:p w:rsidR="006C17CB" w:rsidRDefault="0030091C">
            <w:pPr>
              <w:pStyle w:val="TableParagraph"/>
              <w:spacing w:line="265" w:lineRule="exact"/>
              <w:ind w:right="164"/>
              <w:rPr>
                <w:b/>
                <w:sz w:val="20"/>
              </w:rPr>
            </w:pPr>
            <w:r>
              <w:rPr>
                <w:b/>
                <w:color w:val="003366"/>
                <w:w w:val="95"/>
                <w:sz w:val="20"/>
              </w:rPr>
              <w:t>No.</w:t>
            </w:r>
          </w:p>
        </w:tc>
        <w:tc>
          <w:tcPr>
            <w:tcW w:w="3516" w:type="dxa"/>
          </w:tcPr>
          <w:p w:rsidR="006C17CB" w:rsidRDefault="0030091C">
            <w:pPr>
              <w:pStyle w:val="TableParagraph"/>
              <w:tabs>
                <w:tab w:val="left" w:pos="1828"/>
                <w:tab w:val="left" w:pos="3002"/>
              </w:tabs>
              <w:spacing w:line="203" w:lineRule="exact"/>
              <w:ind w:left="657"/>
              <w:jc w:val="left"/>
              <w:rPr>
                <w:b/>
                <w:sz w:val="20"/>
              </w:rPr>
            </w:pPr>
            <w:r>
              <w:rPr>
                <w:b/>
                <w:color w:val="003366"/>
                <w:sz w:val="20"/>
              </w:rPr>
              <w:t>2018</w:t>
            </w:r>
            <w:r>
              <w:rPr>
                <w:b/>
                <w:color w:val="003366"/>
                <w:sz w:val="20"/>
              </w:rPr>
              <w:tab/>
              <w:t>2018</w:t>
            </w:r>
            <w:r>
              <w:rPr>
                <w:b/>
                <w:color w:val="003366"/>
                <w:sz w:val="20"/>
              </w:rPr>
              <w:tab/>
              <w:t>2017</w:t>
            </w:r>
          </w:p>
          <w:p w:rsidR="006C17CB" w:rsidRDefault="0030091C">
            <w:pPr>
              <w:pStyle w:val="TableParagraph"/>
              <w:tabs>
                <w:tab w:val="left" w:pos="1778"/>
                <w:tab w:val="left" w:pos="2951"/>
              </w:tabs>
              <w:spacing w:line="265" w:lineRule="exact"/>
              <w:ind w:left="607"/>
              <w:jc w:val="left"/>
              <w:rPr>
                <w:b/>
                <w:sz w:val="20"/>
              </w:rPr>
            </w:pPr>
            <w:r>
              <w:rPr>
                <w:b/>
                <w:color w:val="003366"/>
                <w:sz w:val="20"/>
              </w:rPr>
              <w:t>$’000</w:t>
            </w:r>
            <w:r>
              <w:rPr>
                <w:b/>
                <w:color w:val="003366"/>
                <w:sz w:val="20"/>
              </w:rPr>
              <w:tab/>
              <w:t>$’000</w:t>
            </w:r>
            <w:r>
              <w:rPr>
                <w:b/>
                <w:color w:val="003366"/>
                <w:sz w:val="20"/>
              </w:rPr>
              <w:tab/>
              <w:t>$’000</w:t>
            </w:r>
          </w:p>
        </w:tc>
      </w:tr>
      <w:tr w:rsidR="006C17CB">
        <w:trPr>
          <w:trHeight w:val="284"/>
        </w:trPr>
        <w:tc>
          <w:tcPr>
            <w:tcW w:w="3620" w:type="dxa"/>
          </w:tcPr>
          <w:p w:rsidR="006C17CB" w:rsidRDefault="0030091C">
            <w:pPr>
              <w:pStyle w:val="TableParagraph"/>
              <w:spacing w:line="246" w:lineRule="exact"/>
              <w:ind w:left="50"/>
              <w:jc w:val="left"/>
              <w:rPr>
                <w:b/>
                <w:sz w:val="20"/>
              </w:rPr>
            </w:pPr>
            <w:r>
              <w:rPr>
                <w:b/>
                <w:color w:val="003366"/>
                <w:sz w:val="20"/>
              </w:rPr>
              <w:t>Current Assets</w:t>
            </w:r>
          </w:p>
        </w:tc>
        <w:tc>
          <w:tcPr>
            <w:tcW w:w="1578" w:type="dxa"/>
          </w:tcPr>
          <w:p w:rsidR="006C17CB" w:rsidRDefault="006C17CB">
            <w:pPr>
              <w:pStyle w:val="TableParagraph"/>
              <w:jc w:val="left"/>
              <w:rPr>
                <w:rFonts w:ascii="Times New Roman"/>
                <w:sz w:val="18"/>
              </w:rPr>
            </w:pPr>
          </w:p>
        </w:tc>
        <w:tc>
          <w:tcPr>
            <w:tcW w:w="3516" w:type="dxa"/>
          </w:tcPr>
          <w:p w:rsidR="006C17CB" w:rsidRDefault="006C17CB">
            <w:pPr>
              <w:pStyle w:val="TableParagraph"/>
              <w:jc w:val="left"/>
              <w:rPr>
                <w:rFonts w:ascii="Times New Roman"/>
                <w:sz w:val="18"/>
              </w:rPr>
            </w:pPr>
          </w:p>
        </w:tc>
      </w:tr>
      <w:tr w:rsidR="006C17CB">
        <w:trPr>
          <w:trHeight w:val="284"/>
        </w:trPr>
        <w:tc>
          <w:tcPr>
            <w:tcW w:w="3620" w:type="dxa"/>
          </w:tcPr>
          <w:p w:rsidR="006C17CB" w:rsidRDefault="0030091C">
            <w:pPr>
              <w:pStyle w:val="TableParagraph"/>
              <w:spacing w:line="245" w:lineRule="exact"/>
              <w:ind w:left="50"/>
              <w:jc w:val="left"/>
              <w:rPr>
                <w:sz w:val="20"/>
              </w:rPr>
            </w:pPr>
            <w:r>
              <w:rPr>
                <w:color w:val="003366"/>
                <w:sz w:val="20"/>
              </w:rPr>
              <w:t>Cash and Cash Equivalents</w:t>
            </w:r>
          </w:p>
        </w:tc>
        <w:tc>
          <w:tcPr>
            <w:tcW w:w="1578" w:type="dxa"/>
          </w:tcPr>
          <w:p w:rsidR="006C17CB" w:rsidRDefault="0030091C">
            <w:pPr>
              <w:pStyle w:val="TableParagraph"/>
              <w:spacing w:line="245" w:lineRule="exact"/>
              <w:ind w:right="211"/>
              <w:rPr>
                <w:sz w:val="20"/>
              </w:rPr>
            </w:pPr>
            <w:r>
              <w:rPr>
                <w:color w:val="003366"/>
                <w:w w:val="95"/>
                <w:sz w:val="20"/>
              </w:rPr>
              <w:t>10</w:t>
            </w:r>
          </w:p>
        </w:tc>
        <w:tc>
          <w:tcPr>
            <w:tcW w:w="3516" w:type="dxa"/>
          </w:tcPr>
          <w:p w:rsidR="006C17CB" w:rsidRDefault="0030091C">
            <w:pPr>
              <w:pStyle w:val="TableParagraph"/>
              <w:tabs>
                <w:tab w:val="left" w:pos="1929"/>
                <w:tab w:val="left" w:pos="3206"/>
              </w:tabs>
              <w:spacing w:line="245" w:lineRule="exact"/>
              <w:ind w:left="861"/>
              <w:jc w:val="left"/>
              <w:rPr>
                <w:sz w:val="20"/>
              </w:rPr>
            </w:pPr>
            <w:r>
              <w:rPr>
                <w:color w:val="003366"/>
                <w:sz w:val="20"/>
              </w:rPr>
              <w:t>24</w:t>
            </w:r>
            <w:r>
              <w:rPr>
                <w:color w:val="003366"/>
                <w:sz w:val="20"/>
              </w:rPr>
              <w:tab/>
              <w:t>232</w:t>
            </w:r>
            <w:r>
              <w:rPr>
                <w:color w:val="003366"/>
                <w:sz w:val="20"/>
              </w:rPr>
              <w:tab/>
              <w:t>85</w:t>
            </w:r>
          </w:p>
        </w:tc>
      </w:tr>
      <w:tr w:rsidR="006C17CB">
        <w:trPr>
          <w:trHeight w:val="284"/>
        </w:trPr>
        <w:tc>
          <w:tcPr>
            <w:tcW w:w="3620" w:type="dxa"/>
          </w:tcPr>
          <w:p w:rsidR="006C17CB" w:rsidRDefault="0030091C">
            <w:pPr>
              <w:pStyle w:val="TableParagraph"/>
              <w:spacing w:line="246" w:lineRule="exact"/>
              <w:ind w:left="50"/>
              <w:jc w:val="left"/>
              <w:rPr>
                <w:sz w:val="20"/>
              </w:rPr>
            </w:pPr>
            <w:r>
              <w:rPr>
                <w:color w:val="003366"/>
                <w:sz w:val="20"/>
              </w:rPr>
              <w:t>Investments</w:t>
            </w:r>
          </w:p>
        </w:tc>
        <w:tc>
          <w:tcPr>
            <w:tcW w:w="1578" w:type="dxa"/>
          </w:tcPr>
          <w:p w:rsidR="006C17CB" w:rsidRDefault="0030091C">
            <w:pPr>
              <w:pStyle w:val="TableParagraph"/>
              <w:spacing w:line="246" w:lineRule="exact"/>
              <w:ind w:right="211"/>
              <w:rPr>
                <w:sz w:val="20"/>
              </w:rPr>
            </w:pPr>
            <w:r>
              <w:rPr>
                <w:color w:val="003366"/>
                <w:w w:val="95"/>
                <w:sz w:val="20"/>
              </w:rPr>
              <w:t>11</w:t>
            </w:r>
          </w:p>
        </w:tc>
        <w:tc>
          <w:tcPr>
            <w:tcW w:w="3516" w:type="dxa"/>
          </w:tcPr>
          <w:p w:rsidR="006C17CB" w:rsidRDefault="0030091C">
            <w:pPr>
              <w:pStyle w:val="TableParagraph"/>
              <w:tabs>
                <w:tab w:val="left" w:pos="1778"/>
                <w:tab w:val="left" w:pos="2951"/>
              </w:tabs>
              <w:spacing w:line="246" w:lineRule="exact"/>
              <w:ind w:left="607"/>
              <w:jc w:val="left"/>
              <w:rPr>
                <w:sz w:val="20"/>
              </w:rPr>
            </w:pPr>
            <w:r>
              <w:rPr>
                <w:color w:val="003366"/>
                <w:sz w:val="20"/>
              </w:rPr>
              <w:t>2,251</w:t>
            </w:r>
            <w:r>
              <w:rPr>
                <w:color w:val="003366"/>
                <w:sz w:val="20"/>
              </w:rPr>
              <w:tab/>
              <w:t>1,214</w:t>
            </w:r>
            <w:r>
              <w:rPr>
                <w:color w:val="003366"/>
                <w:sz w:val="20"/>
              </w:rPr>
              <w:tab/>
              <w:t>2,058</w:t>
            </w:r>
          </w:p>
        </w:tc>
      </w:tr>
      <w:tr w:rsidR="006C17CB">
        <w:trPr>
          <w:trHeight w:val="284"/>
        </w:trPr>
        <w:tc>
          <w:tcPr>
            <w:tcW w:w="3620" w:type="dxa"/>
          </w:tcPr>
          <w:p w:rsidR="006C17CB" w:rsidRDefault="0030091C">
            <w:pPr>
              <w:pStyle w:val="TableParagraph"/>
              <w:spacing w:line="245" w:lineRule="exact"/>
              <w:ind w:left="50"/>
              <w:jc w:val="left"/>
              <w:rPr>
                <w:sz w:val="20"/>
              </w:rPr>
            </w:pPr>
            <w:r>
              <w:rPr>
                <w:color w:val="003366"/>
                <w:sz w:val="20"/>
              </w:rPr>
              <w:t>Receivables</w:t>
            </w:r>
          </w:p>
        </w:tc>
        <w:tc>
          <w:tcPr>
            <w:tcW w:w="1578" w:type="dxa"/>
          </w:tcPr>
          <w:p w:rsidR="006C17CB" w:rsidRDefault="0030091C">
            <w:pPr>
              <w:pStyle w:val="TableParagraph"/>
              <w:spacing w:line="245" w:lineRule="exact"/>
              <w:ind w:right="211"/>
              <w:rPr>
                <w:sz w:val="20"/>
              </w:rPr>
            </w:pPr>
            <w:r>
              <w:rPr>
                <w:color w:val="003366"/>
                <w:sz w:val="20"/>
              </w:rPr>
              <w:t>12</w:t>
            </w:r>
          </w:p>
        </w:tc>
        <w:tc>
          <w:tcPr>
            <w:tcW w:w="3516" w:type="dxa"/>
          </w:tcPr>
          <w:p w:rsidR="006C17CB" w:rsidRDefault="0030091C">
            <w:pPr>
              <w:pStyle w:val="TableParagraph"/>
              <w:tabs>
                <w:tab w:val="left" w:pos="2032"/>
                <w:tab w:val="left" w:pos="3206"/>
              </w:tabs>
              <w:spacing w:line="245" w:lineRule="exact"/>
              <w:ind w:left="861"/>
              <w:jc w:val="left"/>
              <w:rPr>
                <w:sz w:val="20"/>
              </w:rPr>
            </w:pPr>
            <w:r>
              <w:rPr>
                <w:color w:val="003366"/>
                <w:sz w:val="20"/>
              </w:rPr>
              <w:t>27</w:t>
            </w:r>
            <w:r>
              <w:rPr>
                <w:color w:val="003366"/>
                <w:sz w:val="20"/>
              </w:rPr>
              <w:tab/>
              <w:t>78</w:t>
            </w:r>
            <w:r>
              <w:rPr>
                <w:color w:val="003366"/>
                <w:sz w:val="20"/>
              </w:rPr>
              <w:tab/>
              <w:t>69</w:t>
            </w:r>
          </w:p>
        </w:tc>
      </w:tr>
      <w:tr w:rsidR="006C17CB">
        <w:trPr>
          <w:trHeight w:val="284"/>
        </w:trPr>
        <w:tc>
          <w:tcPr>
            <w:tcW w:w="3620" w:type="dxa"/>
          </w:tcPr>
          <w:p w:rsidR="006C17CB" w:rsidRDefault="0030091C">
            <w:pPr>
              <w:pStyle w:val="TableParagraph"/>
              <w:spacing w:line="246" w:lineRule="exact"/>
              <w:ind w:left="50"/>
              <w:jc w:val="left"/>
              <w:rPr>
                <w:sz w:val="20"/>
              </w:rPr>
            </w:pPr>
            <w:r>
              <w:rPr>
                <w:color w:val="003366"/>
                <w:sz w:val="20"/>
              </w:rPr>
              <w:t>Capital Works in Progress</w:t>
            </w:r>
          </w:p>
        </w:tc>
        <w:tc>
          <w:tcPr>
            <w:tcW w:w="1578" w:type="dxa"/>
          </w:tcPr>
          <w:p w:rsidR="006C17CB" w:rsidRDefault="0030091C">
            <w:pPr>
              <w:pStyle w:val="TableParagraph"/>
              <w:spacing w:line="246" w:lineRule="exact"/>
              <w:ind w:right="211"/>
              <w:rPr>
                <w:sz w:val="20"/>
              </w:rPr>
            </w:pPr>
            <w:r>
              <w:rPr>
                <w:color w:val="003366"/>
                <w:w w:val="95"/>
                <w:sz w:val="20"/>
              </w:rPr>
              <w:t>15</w:t>
            </w:r>
          </w:p>
        </w:tc>
        <w:tc>
          <w:tcPr>
            <w:tcW w:w="3516" w:type="dxa"/>
          </w:tcPr>
          <w:p w:rsidR="006C17CB" w:rsidRDefault="0030091C">
            <w:pPr>
              <w:pStyle w:val="TableParagraph"/>
              <w:tabs>
                <w:tab w:val="left" w:pos="1929"/>
                <w:tab w:val="left" w:pos="3345"/>
              </w:tabs>
              <w:spacing w:line="246" w:lineRule="exact"/>
              <w:ind w:left="1000"/>
              <w:jc w:val="left"/>
              <w:rPr>
                <w:sz w:val="20"/>
              </w:rPr>
            </w:pPr>
            <w:r>
              <w:rPr>
                <w:color w:val="003366"/>
                <w:sz w:val="20"/>
              </w:rPr>
              <w:t>-</w:t>
            </w:r>
            <w:r>
              <w:rPr>
                <w:color w:val="003366"/>
                <w:sz w:val="20"/>
              </w:rPr>
              <w:tab/>
              <w:t>473</w:t>
            </w:r>
            <w:r>
              <w:rPr>
                <w:color w:val="003366"/>
                <w:sz w:val="20"/>
              </w:rPr>
              <w:tab/>
              <w:t>-</w:t>
            </w:r>
          </w:p>
        </w:tc>
      </w:tr>
      <w:tr w:rsidR="006C17CB">
        <w:trPr>
          <w:trHeight w:val="289"/>
        </w:trPr>
        <w:tc>
          <w:tcPr>
            <w:tcW w:w="3620" w:type="dxa"/>
          </w:tcPr>
          <w:p w:rsidR="006C17CB" w:rsidRDefault="0030091C">
            <w:pPr>
              <w:pStyle w:val="TableParagraph"/>
              <w:spacing w:line="245" w:lineRule="exact"/>
              <w:ind w:left="50"/>
              <w:jc w:val="left"/>
              <w:rPr>
                <w:sz w:val="20"/>
              </w:rPr>
            </w:pPr>
            <w:r>
              <w:rPr>
                <w:color w:val="003366"/>
                <w:sz w:val="20"/>
              </w:rPr>
              <w:t>Other Assets</w:t>
            </w:r>
          </w:p>
        </w:tc>
        <w:tc>
          <w:tcPr>
            <w:tcW w:w="1578" w:type="dxa"/>
          </w:tcPr>
          <w:p w:rsidR="006C17CB" w:rsidRDefault="006C17CB">
            <w:pPr>
              <w:pStyle w:val="TableParagraph"/>
              <w:jc w:val="left"/>
              <w:rPr>
                <w:rFonts w:ascii="Times New Roman"/>
                <w:sz w:val="18"/>
              </w:rPr>
            </w:pPr>
          </w:p>
        </w:tc>
        <w:tc>
          <w:tcPr>
            <w:tcW w:w="3516" w:type="dxa"/>
          </w:tcPr>
          <w:p w:rsidR="006C17CB" w:rsidRDefault="0030091C">
            <w:pPr>
              <w:pStyle w:val="TableParagraph"/>
              <w:tabs>
                <w:tab w:val="left" w:pos="861"/>
                <w:tab w:val="left" w:pos="2032"/>
                <w:tab w:val="left" w:pos="3206"/>
              </w:tabs>
              <w:spacing w:line="245" w:lineRule="exact"/>
              <w:ind w:right="-15"/>
              <w:jc w:val="left"/>
              <w:rPr>
                <w:sz w:val="20"/>
              </w:rPr>
            </w:pPr>
            <w:r>
              <w:rPr>
                <w:color w:val="003366"/>
                <w:w w:val="99"/>
                <w:sz w:val="20"/>
                <w:u w:val="single" w:color="003366"/>
              </w:rPr>
              <w:t xml:space="preserve"> </w:t>
            </w:r>
            <w:r>
              <w:rPr>
                <w:color w:val="003366"/>
                <w:sz w:val="20"/>
                <w:u w:val="single" w:color="003366"/>
              </w:rPr>
              <w:tab/>
              <w:t>48</w:t>
            </w:r>
            <w:r>
              <w:rPr>
                <w:color w:val="003366"/>
                <w:sz w:val="20"/>
                <w:u w:val="single" w:color="003366"/>
              </w:rPr>
              <w:tab/>
              <w:t>70</w:t>
            </w:r>
            <w:r>
              <w:rPr>
                <w:color w:val="003366"/>
                <w:sz w:val="20"/>
                <w:u w:val="single" w:color="003366"/>
              </w:rPr>
              <w:tab/>
              <w:t>92</w:t>
            </w:r>
            <w:r>
              <w:rPr>
                <w:color w:val="003366"/>
                <w:spacing w:val="16"/>
                <w:sz w:val="20"/>
                <w:u w:val="single" w:color="003366"/>
              </w:rPr>
              <w:t xml:space="preserve"> </w:t>
            </w:r>
          </w:p>
        </w:tc>
      </w:tr>
      <w:tr w:rsidR="006C17CB">
        <w:trPr>
          <w:trHeight w:val="374"/>
        </w:trPr>
        <w:tc>
          <w:tcPr>
            <w:tcW w:w="3620" w:type="dxa"/>
          </w:tcPr>
          <w:p w:rsidR="006C17CB" w:rsidRDefault="0030091C">
            <w:pPr>
              <w:pStyle w:val="TableParagraph"/>
              <w:spacing w:line="251" w:lineRule="exact"/>
              <w:ind w:left="50"/>
              <w:jc w:val="left"/>
              <w:rPr>
                <w:b/>
                <w:sz w:val="20"/>
              </w:rPr>
            </w:pPr>
            <w:r>
              <w:rPr>
                <w:b/>
                <w:color w:val="003366"/>
                <w:sz w:val="20"/>
              </w:rPr>
              <w:t>Total Current Assets</w:t>
            </w:r>
          </w:p>
        </w:tc>
        <w:tc>
          <w:tcPr>
            <w:tcW w:w="1578" w:type="dxa"/>
          </w:tcPr>
          <w:p w:rsidR="006C17CB" w:rsidRDefault="006C17CB">
            <w:pPr>
              <w:pStyle w:val="TableParagraph"/>
              <w:jc w:val="left"/>
              <w:rPr>
                <w:rFonts w:ascii="Times New Roman"/>
                <w:sz w:val="18"/>
              </w:rPr>
            </w:pPr>
          </w:p>
        </w:tc>
        <w:tc>
          <w:tcPr>
            <w:tcW w:w="3516" w:type="dxa"/>
          </w:tcPr>
          <w:p w:rsidR="006C17CB" w:rsidRDefault="0030091C">
            <w:pPr>
              <w:pStyle w:val="TableParagraph"/>
              <w:tabs>
                <w:tab w:val="left" w:pos="1778"/>
                <w:tab w:val="left" w:pos="2951"/>
              </w:tabs>
              <w:spacing w:line="251" w:lineRule="exact"/>
              <w:ind w:left="607"/>
              <w:jc w:val="left"/>
              <w:rPr>
                <w:b/>
                <w:sz w:val="20"/>
              </w:rPr>
            </w:pPr>
            <w:r>
              <w:rPr>
                <w:b/>
                <w:color w:val="003366"/>
                <w:sz w:val="20"/>
              </w:rPr>
              <w:t>2,350</w:t>
            </w:r>
            <w:r>
              <w:rPr>
                <w:b/>
                <w:color w:val="003366"/>
                <w:sz w:val="20"/>
              </w:rPr>
              <w:tab/>
              <w:t>2,067</w:t>
            </w:r>
            <w:r>
              <w:rPr>
                <w:b/>
                <w:color w:val="003366"/>
                <w:sz w:val="20"/>
              </w:rPr>
              <w:tab/>
              <w:t>2,304</w:t>
            </w:r>
          </w:p>
        </w:tc>
      </w:tr>
      <w:tr w:rsidR="006C17CB">
        <w:trPr>
          <w:trHeight w:val="369"/>
        </w:trPr>
        <w:tc>
          <w:tcPr>
            <w:tcW w:w="3620" w:type="dxa"/>
          </w:tcPr>
          <w:p w:rsidR="006C17CB" w:rsidRDefault="0030091C">
            <w:pPr>
              <w:pStyle w:val="TableParagraph"/>
              <w:spacing w:before="42"/>
              <w:ind w:left="50"/>
              <w:jc w:val="left"/>
              <w:rPr>
                <w:b/>
                <w:sz w:val="20"/>
              </w:rPr>
            </w:pPr>
            <w:r>
              <w:rPr>
                <w:b/>
                <w:color w:val="003366"/>
                <w:sz w:val="20"/>
              </w:rPr>
              <w:t>Non-Current Assets</w:t>
            </w:r>
          </w:p>
        </w:tc>
        <w:tc>
          <w:tcPr>
            <w:tcW w:w="1578" w:type="dxa"/>
          </w:tcPr>
          <w:p w:rsidR="006C17CB" w:rsidRDefault="006C17CB">
            <w:pPr>
              <w:pStyle w:val="TableParagraph"/>
              <w:jc w:val="left"/>
              <w:rPr>
                <w:rFonts w:ascii="Times New Roman"/>
                <w:sz w:val="18"/>
              </w:rPr>
            </w:pPr>
          </w:p>
        </w:tc>
        <w:tc>
          <w:tcPr>
            <w:tcW w:w="3516" w:type="dxa"/>
          </w:tcPr>
          <w:p w:rsidR="006C17CB" w:rsidRDefault="006C17CB">
            <w:pPr>
              <w:pStyle w:val="TableParagraph"/>
              <w:jc w:val="left"/>
              <w:rPr>
                <w:rFonts w:ascii="Times New Roman"/>
                <w:sz w:val="18"/>
              </w:rPr>
            </w:pPr>
          </w:p>
        </w:tc>
      </w:tr>
      <w:tr w:rsidR="006C17CB">
        <w:trPr>
          <w:trHeight w:val="284"/>
        </w:trPr>
        <w:tc>
          <w:tcPr>
            <w:tcW w:w="3620" w:type="dxa"/>
          </w:tcPr>
          <w:p w:rsidR="006C17CB" w:rsidRDefault="0030091C">
            <w:pPr>
              <w:pStyle w:val="TableParagraph"/>
              <w:spacing w:line="246" w:lineRule="exact"/>
              <w:ind w:left="50"/>
              <w:jc w:val="left"/>
              <w:rPr>
                <w:sz w:val="20"/>
              </w:rPr>
            </w:pPr>
            <w:r>
              <w:rPr>
                <w:color w:val="003366"/>
                <w:sz w:val="20"/>
              </w:rPr>
              <w:t>Property, Plant and Equipment</w:t>
            </w:r>
          </w:p>
        </w:tc>
        <w:tc>
          <w:tcPr>
            <w:tcW w:w="1578" w:type="dxa"/>
          </w:tcPr>
          <w:p w:rsidR="006C17CB" w:rsidRDefault="0030091C">
            <w:pPr>
              <w:pStyle w:val="TableParagraph"/>
              <w:spacing w:line="246" w:lineRule="exact"/>
              <w:ind w:right="211"/>
              <w:rPr>
                <w:sz w:val="20"/>
              </w:rPr>
            </w:pPr>
            <w:r>
              <w:rPr>
                <w:color w:val="003366"/>
                <w:w w:val="95"/>
                <w:sz w:val="20"/>
              </w:rPr>
              <w:t>13</w:t>
            </w:r>
          </w:p>
        </w:tc>
        <w:tc>
          <w:tcPr>
            <w:tcW w:w="3516" w:type="dxa"/>
          </w:tcPr>
          <w:p w:rsidR="006C17CB" w:rsidRDefault="0030091C">
            <w:pPr>
              <w:pStyle w:val="TableParagraph"/>
              <w:tabs>
                <w:tab w:val="left" w:pos="1778"/>
                <w:tab w:val="left" w:pos="2951"/>
              </w:tabs>
              <w:spacing w:line="246" w:lineRule="exact"/>
              <w:ind w:left="607"/>
              <w:jc w:val="left"/>
              <w:rPr>
                <w:sz w:val="20"/>
              </w:rPr>
            </w:pPr>
            <w:r>
              <w:rPr>
                <w:color w:val="003366"/>
                <w:sz w:val="20"/>
              </w:rPr>
              <w:t>3,422</w:t>
            </w:r>
            <w:r>
              <w:rPr>
                <w:color w:val="003366"/>
                <w:sz w:val="20"/>
              </w:rPr>
              <w:tab/>
              <w:t>2,616</w:t>
            </w:r>
            <w:r>
              <w:rPr>
                <w:color w:val="003366"/>
                <w:sz w:val="20"/>
              </w:rPr>
              <w:tab/>
              <w:t>3,564</w:t>
            </w:r>
          </w:p>
        </w:tc>
      </w:tr>
      <w:tr w:rsidR="006C17CB">
        <w:trPr>
          <w:trHeight w:val="283"/>
        </w:trPr>
        <w:tc>
          <w:tcPr>
            <w:tcW w:w="3620" w:type="dxa"/>
          </w:tcPr>
          <w:p w:rsidR="006C17CB" w:rsidRDefault="0030091C">
            <w:pPr>
              <w:pStyle w:val="TableParagraph"/>
              <w:spacing w:line="245" w:lineRule="exact"/>
              <w:ind w:left="50"/>
              <w:jc w:val="left"/>
              <w:rPr>
                <w:sz w:val="20"/>
              </w:rPr>
            </w:pPr>
            <w:r>
              <w:rPr>
                <w:color w:val="003366"/>
                <w:sz w:val="20"/>
              </w:rPr>
              <w:t>Intangible Assets</w:t>
            </w:r>
          </w:p>
        </w:tc>
        <w:tc>
          <w:tcPr>
            <w:tcW w:w="1578" w:type="dxa"/>
          </w:tcPr>
          <w:p w:rsidR="006C17CB" w:rsidRDefault="0030091C">
            <w:pPr>
              <w:pStyle w:val="TableParagraph"/>
              <w:spacing w:line="245" w:lineRule="exact"/>
              <w:ind w:right="211"/>
              <w:rPr>
                <w:sz w:val="20"/>
              </w:rPr>
            </w:pPr>
            <w:r>
              <w:rPr>
                <w:color w:val="003366"/>
                <w:w w:val="95"/>
                <w:sz w:val="20"/>
              </w:rPr>
              <w:t>14</w:t>
            </w:r>
          </w:p>
        </w:tc>
        <w:tc>
          <w:tcPr>
            <w:tcW w:w="3516" w:type="dxa"/>
          </w:tcPr>
          <w:p w:rsidR="006C17CB" w:rsidRDefault="0030091C">
            <w:pPr>
              <w:pStyle w:val="TableParagraph"/>
              <w:tabs>
                <w:tab w:val="left" w:pos="1929"/>
                <w:tab w:val="left" w:pos="3103"/>
              </w:tabs>
              <w:spacing w:line="245" w:lineRule="exact"/>
              <w:ind w:left="758"/>
              <w:jc w:val="left"/>
              <w:rPr>
                <w:sz w:val="20"/>
              </w:rPr>
            </w:pPr>
            <w:r>
              <w:rPr>
                <w:color w:val="003366"/>
                <w:sz w:val="20"/>
              </w:rPr>
              <w:t>231</w:t>
            </w:r>
            <w:r>
              <w:rPr>
                <w:color w:val="003366"/>
                <w:sz w:val="20"/>
              </w:rPr>
              <w:tab/>
              <w:t>662</w:t>
            </w:r>
            <w:r>
              <w:rPr>
                <w:color w:val="003366"/>
                <w:sz w:val="20"/>
              </w:rPr>
              <w:tab/>
              <w:t>269</w:t>
            </w:r>
          </w:p>
        </w:tc>
      </w:tr>
      <w:tr w:rsidR="006C17CB">
        <w:trPr>
          <w:trHeight w:val="289"/>
        </w:trPr>
        <w:tc>
          <w:tcPr>
            <w:tcW w:w="3620" w:type="dxa"/>
          </w:tcPr>
          <w:p w:rsidR="006C17CB" w:rsidRDefault="0030091C">
            <w:pPr>
              <w:pStyle w:val="TableParagraph"/>
              <w:spacing w:line="245" w:lineRule="exact"/>
              <w:ind w:left="50"/>
              <w:jc w:val="left"/>
              <w:rPr>
                <w:sz w:val="20"/>
              </w:rPr>
            </w:pPr>
            <w:r>
              <w:rPr>
                <w:color w:val="003366"/>
                <w:sz w:val="20"/>
              </w:rPr>
              <w:t>Capital Works in Progress</w:t>
            </w:r>
          </w:p>
        </w:tc>
        <w:tc>
          <w:tcPr>
            <w:tcW w:w="1578" w:type="dxa"/>
          </w:tcPr>
          <w:p w:rsidR="006C17CB" w:rsidRDefault="0030091C">
            <w:pPr>
              <w:pStyle w:val="TableParagraph"/>
              <w:spacing w:line="245" w:lineRule="exact"/>
              <w:ind w:right="211"/>
              <w:rPr>
                <w:sz w:val="20"/>
              </w:rPr>
            </w:pPr>
            <w:r>
              <w:rPr>
                <w:color w:val="003366"/>
                <w:w w:val="95"/>
                <w:sz w:val="20"/>
              </w:rPr>
              <w:t>15</w:t>
            </w:r>
          </w:p>
        </w:tc>
        <w:tc>
          <w:tcPr>
            <w:tcW w:w="3516" w:type="dxa"/>
          </w:tcPr>
          <w:p w:rsidR="006C17CB" w:rsidRDefault="0030091C">
            <w:pPr>
              <w:pStyle w:val="TableParagraph"/>
              <w:tabs>
                <w:tab w:val="left" w:pos="758"/>
                <w:tab w:val="left" w:pos="2171"/>
                <w:tab w:val="left" w:pos="3103"/>
              </w:tabs>
              <w:spacing w:line="245" w:lineRule="exact"/>
              <w:ind w:right="-15"/>
              <w:jc w:val="left"/>
              <w:rPr>
                <w:sz w:val="20"/>
              </w:rPr>
            </w:pPr>
            <w:r>
              <w:rPr>
                <w:color w:val="003366"/>
                <w:w w:val="99"/>
                <w:sz w:val="20"/>
                <w:u w:val="single" w:color="000000"/>
              </w:rPr>
              <w:t xml:space="preserve"> </w:t>
            </w:r>
            <w:r>
              <w:rPr>
                <w:color w:val="003366"/>
                <w:sz w:val="20"/>
                <w:u w:val="single" w:color="000000"/>
              </w:rPr>
              <w:tab/>
              <w:t>295</w:t>
            </w:r>
            <w:r>
              <w:rPr>
                <w:color w:val="003366"/>
                <w:sz w:val="20"/>
                <w:u w:val="single" w:color="000000"/>
              </w:rPr>
              <w:tab/>
              <w:t>-</w:t>
            </w:r>
            <w:r>
              <w:rPr>
                <w:color w:val="003366"/>
                <w:sz w:val="20"/>
                <w:u w:val="single" w:color="000000"/>
              </w:rPr>
              <w:tab/>
              <w:t>280</w:t>
            </w:r>
            <w:r>
              <w:rPr>
                <w:color w:val="003366"/>
                <w:spacing w:val="18"/>
                <w:sz w:val="20"/>
                <w:u w:val="single" w:color="000000"/>
              </w:rPr>
              <w:t xml:space="preserve"> </w:t>
            </w:r>
          </w:p>
        </w:tc>
      </w:tr>
      <w:tr w:rsidR="006C17CB">
        <w:trPr>
          <w:trHeight w:val="494"/>
        </w:trPr>
        <w:tc>
          <w:tcPr>
            <w:tcW w:w="3620" w:type="dxa"/>
          </w:tcPr>
          <w:p w:rsidR="006C17CB" w:rsidRDefault="0030091C">
            <w:pPr>
              <w:pStyle w:val="TableParagraph"/>
              <w:spacing w:line="251" w:lineRule="exact"/>
              <w:ind w:left="50"/>
              <w:jc w:val="left"/>
              <w:rPr>
                <w:b/>
                <w:sz w:val="20"/>
              </w:rPr>
            </w:pPr>
            <w:r>
              <w:rPr>
                <w:b/>
                <w:color w:val="003366"/>
                <w:sz w:val="20"/>
              </w:rPr>
              <w:t>Total Non-Current Assets</w:t>
            </w:r>
          </w:p>
        </w:tc>
        <w:tc>
          <w:tcPr>
            <w:tcW w:w="1578" w:type="dxa"/>
          </w:tcPr>
          <w:p w:rsidR="006C17CB" w:rsidRDefault="006C17CB">
            <w:pPr>
              <w:pStyle w:val="TableParagraph"/>
              <w:jc w:val="left"/>
              <w:rPr>
                <w:rFonts w:ascii="Times New Roman"/>
                <w:sz w:val="18"/>
              </w:rPr>
            </w:pPr>
          </w:p>
        </w:tc>
        <w:tc>
          <w:tcPr>
            <w:tcW w:w="3516" w:type="dxa"/>
            <w:tcBorders>
              <w:bottom w:val="single" w:sz="2" w:space="0" w:color="003366"/>
            </w:tcBorders>
          </w:tcPr>
          <w:p w:rsidR="006C17CB" w:rsidRDefault="0030091C">
            <w:pPr>
              <w:pStyle w:val="TableParagraph"/>
              <w:tabs>
                <w:tab w:val="left" w:pos="1778"/>
                <w:tab w:val="left" w:pos="2951"/>
              </w:tabs>
              <w:spacing w:line="251" w:lineRule="exact"/>
              <w:ind w:left="607"/>
              <w:jc w:val="left"/>
              <w:rPr>
                <w:b/>
                <w:sz w:val="20"/>
              </w:rPr>
            </w:pPr>
            <w:r>
              <w:rPr>
                <w:b/>
                <w:color w:val="003366"/>
                <w:sz w:val="20"/>
              </w:rPr>
              <w:t>3,948</w:t>
            </w:r>
            <w:r>
              <w:rPr>
                <w:b/>
                <w:color w:val="003366"/>
                <w:sz w:val="20"/>
              </w:rPr>
              <w:tab/>
              <w:t>3,278</w:t>
            </w:r>
            <w:r>
              <w:rPr>
                <w:b/>
                <w:color w:val="003366"/>
                <w:sz w:val="20"/>
              </w:rPr>
              <w:tab/>
              <w:t>4,113</w:t>
            </w:r>
          </w:p>
        </w:tc>
      </w:tr>
      <w:tr w:rsidR="006C17CB">
        <w:trPr>
          <w:trHeight w:val="446"/>
        </w:trPr>
        <w:tc>
          <w:tcPr>
            <w:tcW w:w="3620" w:type="dxa"/>
          </w:tcPr>
          <w:p w:rsidR="006C17CB" w:rsidRDefault="0030091C">
            <w:pPr>
              <w:pStyle w:val="TableParagraph"/>
              <w:spacing w:line="284" w:lineRule="exact"/>
              <w:ind w:left="50"/>
              <w:jc w:val="left"/>
              <w:rPr>
                <w:b/>
                <w:sz w:val="20"/>
              </w:rPr>
            </w:pPr>
            <w:r>
              <w:rPr>
                <w:b/>
                <w:color w:val="003366"/>
                <w:sz w:val="20"/>
              </w:rPr>
              <w:t>Total Assets</w:t>
            </w:r>
          </w:p>
        </w:tc>
        <w:tc>
          <w:tcPr>
            <w:tcW w:w="1578" w:type="dxa"/>
          </w:tcPr>
          <w:p w:rsidR="006C17CB" w:rsidRDefault="006C17CB">
            <w:pPr>
              <w:pStyle w:val="TableParagraph"/>
              <w:jc w:val="left"/>
              <w:rPr>
                <w:rFonts w:ascii="Times New Roman"/>
                <w:sz w:val="18"/>
              </w:rPr>
            </w:pPr>
          </w:p>
        </w:tc>
        <w:tc>
          <w:tcPr>
            <w:tcW w:w="3516" w:type="dxa"/>
            <w:tcBorders>
              <w:top w:val="single" w:sz="2" w:space="0" w:color="003366"/>
            </w:tcBorders>
          </w:tcPr>
          <w:p w:rsidR="006C17CB" w:rsidRDefault="0030091C">
            <w:pPr>
              <w:pStyle w:val="TableParagraph"/>
              <w:tabs>
                <w:tab w:val="left" w:pos="607"/>
                <w:tab w:val="left" w:pos="1778"/>
                <w:tab w:val="left" w:pos="2951"/>
              </w:tabs>
              <w:spacing w:line="284" w:lineRule="exact"/>
              <w:ind w:right="-15"/>
              <w:jc w:val="left"/>
              <w:rPr>
                <w:b/>
                <w:sz w:val="20"/>
              </w:rPr>
            </w:pPr>
            <w:r>
              <w:rPr>
                <w:b/>
                <w:color w:val="003366"/>
                <w:w w:val="99"/>
                <w:sz w:val="20"/>
                <w:u w:val="single" w:color="003366"/>
              </w:rPr>
              <w:t xml:space="preserve"> </w:t>
            </w:r>
            <w:r>
              <w:rPr>
                <w:b/>
                <w:color w:val="003366"/>
                <w:sz w:val="20"/>
                <w:u w:val="single" w:color="003366"/>
              </w:rPr>
              <w:tab/>
              <w:t>6,298</w:t>
            </w:r>
            <w:r>
              <w:rPr>
                <w:b/>
                <w:color w:val="003366"/>
                <w:sz w:val="20"/>
                <w:u w:val="single" w:color="003366"/>
              </w:rPr>
              <w:tab/>
              <w:t>5,345</w:t>
            </w:r>
            <w:r>
              <w:rPr>
                <w:b/>
                <w:color w:val="003366"/>
                <w:sz w:val="20"/>
                <w:u w:val="single" w:color="003366"/>
              </w:rPr>
              <w:tab/>
              <w:t>6,417</w:t>
            </w:r>
            <w:r>
              <w:rPr>
                <w:b/>
                <w:color w:val="003366"/>
                <w:spacing w:val="18"/>
                <w:sz w:val="20"/>
                <w:u w:val="single" w:color="003366"/>
              </w:rPr>
              <w:t xml:space="preserve"> </w:t>
            </w:r>
          </w:p>
        </w:tc>
      </w:tr>
      <w:tr w:rsidR="006C17CB">
        <w:trPr>
          <w:trHeight w:val="409"/>
        </w:trPr>
        <w:tc>
          <w:tcPr>
            <w:tcW w:w="3620" w:type="dxa"/>
          </w:tcPr>
          <w:p w:rsidR="006C17CB" w:rsidRDefault="0030091C">
            <w:pPr>
              <w:pStyle w:val="TableParagraph"/>
              <w:spacing w:before="81"/>
              <w:ind w:left="50"/>
              <w:jc w:val="left"/>
              <w:rPr>
                <w:b/>
                <w:sz w:val="20"/>
              </w:rPr>
            </w:pPr>
            <w:r>
              <w:rPr>
                <w:b/>
                <w:color w:val="003366"/>
                <w:sz w:val="20"/>
              </w:rPr>
              <w:t>Current Liabilities</w:t>
            </w:r>
          </w:p>
        </w:tc>
        <w:tc>
          <w:tcPr>
            <w:tcW w:w="1578" w:type="dxa"/>
          </w:tcPr>
          <w:p w:rsidR="006C17CB" w:rsidRDefault="006C17CB">
            <w:pPr>
              <w:pStyle w:val="TableParagraph"/>
              <w:jc w:val="left"/>
              <w:rPr>
                <w:rFonts w:ascii="Times New Roman"/>
                <w:sz w:val="18"/>
              </w:rPr>
            </w:pPr>
          </w:p>
        </w:tc>
        <w:tc>
          <w:tcPr>
            <w:tcW w:w="3516" w:type="dxa"/>
          </w:tcPr>
          <w:p w:rsidR="006C17CB" w:rsidRDefault="006C17CB">
            <w:pPr>
              <w:pStyle w:val="TableParagraph"/>
              <w:jc w:val="left"/>
              <w:rPr>
                <w:rFonts w:ascii="Times New Roman"/>
                <w:sz w:val="18"/>
              </w:rPr>
            </w:pPr>
          </w:p>
        </w:tc>
      </w:tr>
      <w:tr w:rsidR="006C17CB">
        <w:trPr>
          <w:trHeight w:val="284"/>
        </w:trPr>
        <w:tc>
          <w:tcPr>
            <w:tcW w:w="3620" w:type="dxa"/>
          </w:tcPr>
          <w:p w:rsidR="006C17CB" w:rsidRDefault="0030091C">
            <w:pPr>
              <w:pStyle w:val="TableParagraph"/>
              <w:spacing w:line="246" w:lineRule="exact"/>
              <w:ind w:left="50"/>
              <w:jc w:val="left"/>
              <w:rPr>
                <w:sz w:val="20"/>
              </w:rPr>
            </w:pPr>
            <w:r>
              <w:rPr>
                <w:color w:val="003366"/>
                <w:sz w:val="20"/>
              </w:rPr>
              <w:t>Payables</w:t>
            </w:r>
          </w:p>
        </w:tc>
        <w:tc>
          <w:tcPr>
            <w:tcW w:w="1578" w:type="dxa"/>
          </w:tcPr>
          <w:p w:rsidR="006C17CB" w:rsidRDefault="0030091C">
            <w:pPr>
              <w:pStyle w:val="TableParagraph"/>
              <w:spacing w:line="246" w:lineRule="exact"/>
              <w:ind w:right="211"/>
              <w:rPr>
                <w:sz w:val="20"/>
              </w:rPr>
            </w:pPr>
            <w:r>
              <w:rPr>
                <w:color w:val="003366"/>
                <w:w w:val="95"/>
                <w:sz w:val="20"/>
              </w:rPr>
              <w:t>16</w:t>
            </w:r>
          </w:p>
        </w:tc>
        <w:tc>
          <w:tcPr>
            <w:tcW w:w="3516" w:type="dxa"/>
          </w:tcPr>
          <w:p w:rsidR="006C17CB" w:rsidRDefault="0030091C">
            <w:pPr>
              <w:pStyle w:val="TableParagraph"/>
              <w:tabs>
                <w:tab w:val="left" w:pos="1929"/>
                <w:tab w:val="left" w:pos="3103"/>
              </w:tabs>
              <w:spacing w:line="246" w:lineRule="exact"/>
              <w:ind w:left="758"/>
              <w:jc w:val="left"/>
              <w:rPr>
                <w:sz w:val="20"/>
              </w:rPr>
            </w:pPr>
            <w:r>
              <w:rPr>
                <w:color w:val="003366"/>
                <w:sz w:val="20"/>
              </w:rPr>
              <w:t>288</w:t>
            </w:r>
            <w:r>
              <w:rPr>
                <w:color w:val="003366"/>
                <w:sz w:val="20"/>
              </w:rPr>
              <w:tab/>
              <w:t>341</w:t>
            </w:r>
            <w:r>
              <w:rPr>
                <w:color w:val="003366"/>
                <w:sz w:val="20"/>
              </w:rPr>
              <w:tab/>
              <w:t>546</w:t>
            </w:r>
          </w:p>
        </w:tc>
      </w:tr>
      <w:tr w:rsidR="006C17CB">
        <w:trPr>
          <w:trHeight w:val="283"/>
        </w:trPr>
        <w:tc>
          <w:tcPr>
            <w:tcW w:w="3620" w:type="dxa"/>
          </w:tcPr>
          <w:p w:rsidR="006C17CB" w:rsidRDefault="0030091C">
            <w:pPr>
              <w:pStyle w:val="TableParagraph"/>
              <w:spacing w:line="245" w:lineRule="exact"/>
              <w:ind w:left="50"/>
              <w:jc w:val="left"/>
              <w:rPr>
                <w:sz w:val="20"/>
              </w:rPr>
            </w:pPr>
            <w:r>
              <w:rPr>
                <w:color w:val="003366"/>
                <w:sz w:val="20"/>
              </w:rPr>
              <w:t>Employee Benefits</w:t>
            </w:r>
          </w:p>
        </w:tc>
        <w:tc>
          <w:tcPr>
            <w:tcW w:w="1578" w:type="dxa"/>
          </w:tcPr>
          <w:p w:rsidR="006C17CB" w:rsidRDefault="0030091C">
            <w:pPr>
              <w:pStyle w:val="TableParagraph"/>
              <w:spacing w:line="245" w:lineRule="exact"/>
              <w:ind w:right="211"/>
              <w:rPr>
                <w:sz w:val="20"/>
              </w:rPr>
            </w:pPr>
            <w:r>
              <w:rPr>
                <w:color w:val="003366"/>
                <w:w w:val="95"/>
                <w:sz w:val="20"/>
              </w:rPr>
              <w:t>17</w:t>
            </w:r>
          </w:p>
        </w:tc>
        <w:tc>
          <w:tcPr>
            <w:tcW w:w="3516" w:type="dxa"/>
          </w:tcPr>
          <w:p w:rsidR="006C17CB" w:rsidRDefault="0030091C">
            <w:pPr>
              <w:pStyle w:val="TableParagraph"/>
              <w:tabs>
                <w:tab w:val="left" w:pos="1778"/>
                <w:tab w:val="left" w:pos="2951"/>
              </w:tabs>
              <w:spacing w:line="245" w:lineRule="exact"/>
              <w:ind w:left="607"/>
              <w:jc w:val="left"/>
              <w:rPr>
                <w:sz w:val="20"/>
              </w:rPr>
            </w:pPr>
            <w:r>
              <w:rPr>
                <w:color w:val="003366"/>
                <w:sz w:val="20"/>
              </w:rPr>
              <w:t>2,012</w:t>
            </w:r>
            <w:r>
              <w:rPr>
                <w:color w:val="003366"/>
                <w:sz w:val="20"/>
              </w:rPr>
              <w:tab/>
              <w:t>1,570</w:t>
            </w:r>
            <w:r>
              <w:rPr>
                <w:color w:val="003366"/>
                <w:sz w:val="20"/>
              </w:rPr>
              <w:tab/>
              <w:t>1,946</w:t>
            </w:r>
          </w:p>
        </w:tc>
      </w:tr>
      <w:tr w:rsidR="006C17CB">
        <w:trPr>
          <w:trHeight w:val="289"/>
        </w:trPr>
        <w:tc>
          <w:tcPr>
            <w:tcW w:w="3620" w:type="dxa"/>
          </w:tcPr>
          <w:p w:rsidR="006C17CB" w:rsidRDefault="0030091C">
            <w:pPr>
              <w:pStyle w:val="TableParagraph"/>
              <w:spacing w:line="245" w:lineRule="exact"/>
              <w:ind w:left="50"/>
              <w:jc w:val="left"/>
              <w:rPr>
                <w:sz w:val="20"/>
              </w:rPr>
            </w:pPr>
            <w:r>
              <w:rPr>
                <w:color w:val="003366"/>
                <w:sz w:val="20"/>
              </w:rPr>
              <w:t>Other Liabilities</w:t>
            </w:r>
          </w:p>
        </w:tc>
        <w:tc>
          <w:tcPr>
            <w:tcW w:w="1578" w:type="dxa"/>
          </w:tcPr>
          <w:p w:rsidR="006C17CB" w:rsidRDefault="006C17CB">
            <w:pPr>
              <w:pStyle w:val="TableParagraph"/>
              <w:jc w:val="left"/>
              <w:rPr>
                <w:rFonts w:ascii="Times New Roman"/>
                <w:sz w:val="18"/>
              </w:rPr>
            </w:pPr>
          </w:p>
        </w:tc>
        <w:tc>
          <w:tcPr>
            <w:tcW w:w="3516" w:type="dxa"/>
          </w:tcPr>
          <w:p w:rsidR="006C17CB" w:rsidRDefault="0030091C">
            <w:pPr>
              <w:pStyle w:val="TableParagraph"/>
              <w:tabs>
                <w:tab w:val="left" w:pos="1000"/>
                <w:tab w:val="left" w:pos="1929"/>
                <w:tab w:val="left" w:pos="3345"/>
              </w:tabs>
              <w:spacing w:line="245" w:lineRule="exact"/>
              <w:ind w:right="-15"/>
              <w:jc w:val="left"/>
              <w:rPr>
                <w:sz w:val="20"/>
              </w:rPr>
            </w:pPr>
            <w:r>
              <w:rPr>
                <w:color w:val="003366"/>
                <w:w w:val="99"/>
                <w:sz w:val="20"/>
                <w:u w:val="single" w:color="000000"/>
              </w:rPr>
              <w:t xml:space="preserve"> </w:t>
            </w:r>
            <w:r>
              <w:rPr>
                <w:color w:val="003366"/>
                <w:sz w:val="20"/>
                <w:u w:val="single" w:color="000000"/>
              </w:rPr>
              <w:tab/>
              <w:t>-</w:t>
            </w:r>
            <w:r>
              <w:rPr>
                <w:color w:val="003366"/>
                <w:sz w:val="20"/>
                <w:u w:val="single" w:color="000000"/>
              </w:rPr>
              <w:tab/>
              <w:t>112</w:t>
            </w:r>
            <w:r>
              <w:rPr>
                <w:color w:val="003366"/>
                <w:sz w:val="20"/>
                <w:u w:val="single" w:color="000000"/>
              </w:rPr>
              <w:tab/>
              <w:t>-</w:t>
            </w:r>
            <w:r>
              <w:rPr>
                <w:color w:val="003366"/>
                <w:spacing w:val="18"/>
                <w:sz w:val="20"/>
                <w:u w:val="single" w:color="000000"/>
              </w:rPr>
              <w:t xml:space="preserve"> </w:t>
            </w:r>
          </w:p>
        </w:tc>
      </w:tr>
      <w:tr w:rsidR="006C17CB">
        <w:trPr>
          <w:trHeight w:val="411"/>
        </w:trPr>
        <w:tc>
          <w:tcPr>
            <w:tcW w:w="3620" w:type="dxa"/>
          </w:tcPr>
          <w:p w:rsidR="006C17CB" w:rsidRDefault="0030091C">
            <w:pPr>
              <w:pStyle w:val="TableParagraph"/>
              <w:spacing w:line="251" w:lineRule="exact"/>
              <w:ind w:left="50"/>
              <w:jc w:val="left"/>
              <w:rPr>
                <w:b/>
                <w:sz w:val="20"/>
              </w:rPr>
            </w:pPr>
            <w:r>
              <w:rPr>
                <w:b/>
                <w:color w:val="003366"/>
                <w:sz w:val="20"/>
              </w:rPr>
              <w:t>Total Current Liabilities</w:t>
            </w:r>
          </w:p>
        </w:tc>
        <w:tc>
          <w:tcPr>
            <w:tcW w:w="1578" w:type="dxa"/>
          </w:tcPr>
          <w:p w:rsidR="006C17CB" w:rsidRDefault="006C17CB">
            <w:pPr>
              <w:pStyle w:val="TableParagraph"/>
              <w:jc w:val="left"/>
              <w:rPr>
                <w:rFonts w:ascii="Times New Roman"/>
                <w:sz w:val="18"/>
              </w:rPr>
            </w:pPr>
          </w:p>
        </w:tc>
        <w:tc>
          <w:tcPr>
            <w:tcW w:w="3516" w:type="dxa"/>
          </w:tcPr>
          <w:p w:rsidR="006C17CB" w:rsidRDefault="0030091C">
            <w:pPr>
              <w:pStyle w:val="TableParagraph"/>
              <w:tabs>
                <w:tab w:val="left" w:pos="1778"/>
                <w:tab w:val="left" w:pos="2951"/>
              </w:tabs>
              <w:spacing w:line="251" w:lineRule="exact"/>
              <w:ind w:left="607"/>
              <w:jc w:val="left"/>
              <w:rPr>
                <w:b/>
                <w:sz w:val="20"/>
              </w:rPr>
            </w:pPr>
            <w:r>
              <w:rPr>
                <w:b/>
                <w:color w:val="003366"/>
                <w:sz w:val="20"/>
              </w:rPr>
              <w:t>2,300</w:t>
            </w:r>
            <w:r>
              <w:rPr>
                <w:b/>
                <w:color w:val="003366"/>
                <w:sz w:val="20"/>
              </w:rPr>
              <w:tab/>
              <w:t>2,023</w:t>
            </w:r>
            <w:r>
              <w:rPr>
                <w:b/>
                <w:color w:val="003366"/>
                <w:sz w:val="20"/>
              </w:rPr>
              <w:tab/>
              <w:t>2,492</w:t>
            </w:r>
          </w:p>
        </w:tc>
      </w:tr>
      <w:tr w:rsidR="006C17CB">
        <w:trPr>
          <w:trHeight w:val="406"/>
        </w:trPr>
        <w:tc>
          <w:tcPr>
            <w:tcW w:w="3620" w:type="dxa"/>
          </w:tcPr>
          <w:p w:rsidR="006C17CB" w:rsidRDefault="0030091C">
            <w:pPr>
              <w:pStyle w:val="TableParagraph"/>
              <w:spacing w:before="79"/>
              <w:ind w:left="50"/>
              <w:jc w:val="left"/>
              <w:rPr>
                <w:b/>
                <w:sz w:val="20"/>
              </w:rPr>
            </w:pPr>
            <w:r>
              <w:rPr>
                <w:b/>
                <w:color w:val="003366"/>
                <w:sz w:val="20"/>
              </w:rPr>
              <w:t>Non-Current Liabilities</w:t>
            </w:r>
          </w:p>
        </w:tc>
        <w:tc>
          <w:tcPr>
            <w:tcW w:w="1578" w:type="dxa"/>
          </w:tcPr>
          <w:p w:rsidR="006C17CB" w:rsidRDefault="006C17CB">
            <w:pPr>
              <w:pStyle w:val="TableParagraph"/>
              <w:jc w:val="left"/>
              <w:rPr>
                <w:rFonts w:ascii="Times New Roman"/>
                <w:sz w:val="18"/>
              </w:rPr>
            </w:pPr>
          </w:p>
        </w:tc>
        <w:tc>
          <w:tcPr>
            <w:tcW w:w="3516" w:type="dxa"/>
          </w:tcPr>
          <w:p w:rsidR="006C17CB" w:rsidRDefault="006C17CB">
            <w:pPr>
              <w:pStyle w:val="TableParagraph"/>
              <w:jc w:val="left"/>
              <w:rPr>
                <w:rFonts w:ascii="Times New Roman"/>
                <w:sz w:val="18"/>
              </w:rPr>
            </w:pPr>
          </w:p>
        </w:tc>
      </w:tr>
      <w:tr w:rsidR="006C17CB">
        <w:trPr>
          <w:trHeight w:val="286"/>
        </w:trPr>
        <w:tc>
          <w:tcPr>
            <w:tcW w:w="3620" w:type="dxa"/>
          </w:tcPr>
          <w:p w:rsidR="006C17CB" w:rsidRDefault="0030091C">
            <w:pPr>
              <w:pStyle w:val="TableParagraph"/>
              <w:spacing w:line="246" w:lineRule="exact"/>
              <w:ind w:left="50"/>
              <w:jc w:val="left"/>
              <w:rPr>
                <w:sz w:val="20"/>
              </w:rPr>
            </w:pPr>
            <w:r>
              <w:rPr>
                <w:color w:val="003366"/>
                <w:sz w:val="20"/>
              </w:rPr>
              <w:t>Employee Benefits</w:t>
            </w:r>
          </w:p>
        </w:tc>
        <w:tc>
          <w:tcPr>
            <w:tcW w:w="1578" w:type="dxa"/>
          </w:tcPr>
          <w:p w:rsidR="006C17CB" w:rsidRDefault="0030091C">
            <w:pPr>
              <w:pStyle w:val="TableParagraph"/>
              <w:spacing w:line="246" w:lineRule="exact"/>
              <w:ind w:right="211"/>
              <w:rPr>
                <w:sz w:val="20"/>
              </w:rPr>
            </w:pPr>
            <w:r>
              <w:rPr>
                <w:color w:val="003366"/>
                <w:sz w:val="20"/>
              </w:rPr>
              <w:t>17</w:t>
            </w:r>
          </w:p>
        </w:tc>
        <w:tc>
          <w:tcPr>
            <w:tcW w:w="3516" w:type="dxa"/>
          </w:tcPr>
          <w:p w:rsidR="006C17CB" w:rsidRDefault="0030091C">
            <w:pPr>
              <w:pStyle w:val="TableParagraph"/>
              <w:tabs>
                <w:tab w:val="left" w:pos="861"/>
                <w:tab w:val="left" w:pos="1929"/>
                <w:tab w:val="left" w:pos="3206"/>
              </w:tabs>
              <w:spacing w:line="246" w:lineRule="exact"/>
              <w:jc w:val="left"/>
              <w:rPr>
                <w:sz w:val="20"/>
              </w:rPr>
            </w:pPr>
            <w:r>
              <w:rPr>
                <w:color w:val="003366"/>
                <w:w w:val="99"/>
                <w:sz w:val="20"/>
                <w:u w:val="single" w:color="003366"/>
              </w:rPr>
              <w:t xml:space="preserve"> </w:t>
            </w:r>
            <w:r>
              <w:rPr>
                <w:color w:val="003366"/>
                <w:sz w:val="20"/>
                <w:u w:val="single" w:color="003366"/>
              </w:rPr>
              <w:tab/>
              <w:t>90</w:t>
            </w:r>
            <w:r>
              <w:rPr>
                <w:color w:val="003366"/>
                <w:sz w:val="20"/>
                <w:u w:val="single" w:color="003366"/>
              </w:rPr>
              <w:tab/>
              <w:t>277</w:t>
            </w:r>
            <w:r>
              <w:rPr>
                <w:color w:val="003366"/>
                <w:sz w:val="20"/>
                <w:u w:val="single" w:color="003366"/>
              </w:rPr>
              <w:tab/>
              <w:t>87</w:t>
            </w:r>
            <w:r>
              <w:rPr>
                <w:color w:val="003366"/>
                <w:spacing w:val="16"/>
                <w:sz w:val="20"/>
                <w:u w:val="single" w:color="003366"/>
              </w:rPr>
              <w:t xml:space="preserve"> </w:t>
            </w:r>
          </w:p>
        </w:tc>
      </w:tr>
      <w:tr w:rsidR="006C17CB">
        <w:trPr>
          <w:trHeight w:val="536"/>
        </w:trPr>
        <w:tc>
          <w:tcPr>
            <w:tcW w:w="3620" w:type="dxa"/>
          </w:tcPr>
          <w:p w:rsidR="006C17CB" w:rsidRDefault="0030091C">
            <w:pPr>
              <w:pStyle w:val="TableParagraph"/>
              <w:spacing w:line="248" w:lineRule="exact"/>
              <w:ind w:left="50"/>
              <w:jc w:val="left"/>
              <w:rPr>
                <w:b/>
                <w:sz w:val="20"/>
              </w:rPr>
            </w:pPr>
            <w:r>
              <w:rPr>
                <w:b/>
                <w:color w:val="003366"/>
                <w:sz w:val="20"/>
              </w:rPr>
              <w:t>Total Non-Current Liabilities</w:t>
            </w:r>
          </w:p>
        </w:tc>
        <w:tc>
          <w:tcPr>
            <w:tcW w:w="1578" w:type="dxa"/>
          </w:tcPr>
          <w:p w:rsidR="006C17CB" w:rsidRDefault="006C17CB">
            <w:pPr>
              <w:pStyle w:val="TableParagraph"/>
              <w:jc w:val="left"/>
              <w:rPr>
                <w:rFonts w:ascii="Times New Roman"/>
                <w:sz w:val="18"/>
              </w:rPr>
            </w:pPr>
          </w:p>
        </w:tc>
        <w:tc>
          <w:tcPr>
            <w:tcW w:w="3516" w:type="dxa"/>
            <w:tcBorders>
              <w:bottom w:val="single" w:sz="2" w:space="0" w:color="003366"/>
            </w:tcBorders>
          </w:tcPr>
          <w:p w:rsidR="006C17CB" w:rsidRDefault="0030091C">
            <w:pPr>
              <w:pStyle w:val="TableParagraph"/>
              <w:tabs>
                <w:tab w:val="left" w:pos="861"/>
                <w:tab w:val="left" w:pos="1929"/>
                <w:tab w:val="left" w:pos="3206"/>
              </w:tabs>
              <w:spacing w:line="248" w:lineRule="exact"/>
              <w:jc w:val="left"/>
              <w:rPr>
                <w:b/>
                <w:sz w:val="20"/>
              </w:rPr>
            </w:pPr>
            <w:r>
              <w:rPr>
                <w:b/>
                <w:color w:val="003366"/>
                <w:w w:val="99"/>
                <w:sz w:val="20"/>
                <w:u w:val="single" w:color="003366"/>
              </w:rPr>
              <w:t xml:space="preserve"> </w:t>
            </w:r>
            <w:r>
              <w:rPr>
                <w:b/>
                <w:color w:val="003366"/>
                <w:sz w:val="20"/>
                <w:u w:val="single" w:color="003366"/>
              </w:rPr>
              <w:tab/>
              <w:t>90</w:t>
            </w:r>
            <w:r>
              <w:rPr>
                <w:b/>
                <w:color w:val="003366"/>
                <w:sz w:val="20"/>
                <w:u w:val="single" w:color="003366"/>
              </w:rPr>
              <w:tab/>
              <w:t>277</w:t>
            </w:r>
            <w:r>
              <w:rPr>
                <w:b/>
                <w:color w:val="003366"/>
                <w:sz w:val="20"/>
                <w:u w:val="single" w:color="003366"/>
              </w:rPr>
              <w:tab/>
              <w:t>87</w:t>
            </w:r>
            <w:r>
              <w:rPr>
                <w:b/>
                <w:color w:val="003366"/>
                <w:spacing w:val="16"/>
                <w:sz w:val="20"/>
                <w:u w:val="single" w:color="003366"/>
              </w:rPr>
              <w:t xml:space="preserve"> </w:t>
            </w:r>
          </w:p>
        </w:tc>
      </w:tr>
      <w:tr w:rsidR="006C17CB">
        <w:trPr>
          <w:trHeight w:val="532"/>
        </w:trPr>
        <w:tc>
          <w:tcPr>
            <w:tcW w:w="3620" w:type="dxa"/>
          </w:tcPr>
          <w:p w:rsidR="006C17CB" w:rsidRDefault="0030091C">
            <w:pPr>
              <w:pStyle w:val="TableParagraph"/>
              <w:spacing w:line="284" w:lineRule="exact"/>
              <w:ind w:left="50"/>
              <w:jc w:val="left"/>
              <w:rPr>
                <w:b/>
                <w:sz w:val="20"/>
              </w:rPr>
            </w:pPr>
            <w:r>
              <w:rPr>
                <w:b/>
                <w:color w:val="003366"/>
                <w:sz w:val="20"/>
              </w:rPr>
              <w:t>Total Liabilities</w:t>
            </w:r>
          </w:p>
        </w:tc>
        <w:tc>
          <w:tcPr>
            <w:tcW w:w="1578" w:type="dxa"/>
          </w:tcPr>
          <w:p w:rsidR="006C17CB" w:rsidRDefault="006C17CB">
            <w:pPr>
              <w:pStyle w:val="TableParagraph"/>
              <w:jc w:val="left"/>
              <w:rPr>
                <w:rFonts w:ascii="Times New Roman"/>
                <w:sz w:val="18"/>
              </w:rPr>
            </w:pPr>
          </w:p>
        </w:tc>
        <w:tc>
          <w:tcPr>
            <w:tcW w:w="3516" w:type="dxa"/>
            <w:tcBorders>
              <w:top w:val="single" w:sz="2" w:space="0" w:color="003366"/>
              <w:bottom w:val="single" w:sz="4" w:space="0" w:color="003366"/>
            </w:tcBorders>
          </w:tcPr>
          <w:p w:rsidR="006C17CB" w:rsidRDefault="0030091C">
            <w:pPr>
              <w:pStyle w:val="TableParagraph"/>
              <w:tabs>
                <w:tab w:val="left" w:pos="607"/>
                <w:tab w:val="left" w:pos="1778"/>
                <w:tab w:val="left" w:pos="2951"/>
              </w:tabs>
              <w:spacing w:line="284" w:lineRule="exact"/>
              <w:ind w:right="-15"/>
              <w:jc w:val="left"/>
              <w:rPr>
                <w:b/>
                <w:sz w:val="20"/>
              </w:rPr>
            </w:pPr>
            <w:r>
              <w:rPr>
                <w:b/>
                <w:color w:val="003366"/>
                <w:w w:val="99"/>
                <w:sz w:val="20"/>
                <w:u w:val="single" w:color="003366"/>
              </w:rPr>
              <w:t xml:space="preserve"> </w:t>
            </w:r>
            <w:r>
              <w:rPr>
                <w:b/>
                <w:color w:val="003366"/>
                <w:sz w:val="20"/>
                <w:u w:val="single" w:color="003366"/>
              </w:rPr>
              <w:tab/>
              <w:t>2,390</w:t>
            </w:r>
            <w:r>
              <w:rPr>
                <w:b/>
                <w:color w:val="003366"/>
                <w:sz w:val="20"/>
                <w:u w:val="single" w:color="003366"/>
              </w:rPr>
              <w:tab/>
              <w:t>2,300</w:t>
            </w:r>
            <w:r>
              <w:rPr>
                <w:b/>
                <w:color w:val="003366"/>
                <w:sz w:val="20"/>
                <w:u w:val="single" w:color="003366"/>
              </w:rPr>
              <w:tab/>
              <w:t>2,579</w:t>
            </w:r>
            <w:r>
              <w:rPr>
                <w:b/>
                <w:color w:val="003366"/>
                <w:spacing w:val="18"/>
                <w:sz w:val="20"/>
                <w:u w:val="single" w:color="003366"/>
              </w:rPr>
              <w:t xml:space="preserve"> </w:t>
            </w:r>
          </w:p>
        </w:tc>
      </w:tr>
      <w:tr w:rsidR="006C17CB">
        <w:trPr>
          <w:trHeight w:val="284"/>
        </w:trPr>
        <w:tc>
          <w:tcPr>
            <w:tcW w:w="3620" w:type="dxa"/>
          </w:tcPr>
          <w:p w:rsidR="006C17CB" w:rsidRDefault="0030091C">
            <w:pPr>
              <w:pStyle w:val="TableParagraph"/>
              <w:spacing w:line="265" w:lineRule="exact"/>
              <w:ind w:left="50"/>
              <w:jc w:val="left"/>
              <w:rPr>
                <w:b/>
                <w:sz w:val="20"/>
              </w:rPr>
            </w:pPr>
            <w:r>
              <w:rPr>
                <w:b/>
                <w:color w:val="003366"/>
                <w:sz w:val="20"/>
              </w:rPr>
              <w:t>Net Assets</w:t>
            </w:r>
          </w:p>
        </w:tc>
        <w:tc>
          <w:tcPr>
            <w:tcW w:w="1578" w:type="dxa"/>
          </w:tcPr>
          <w:p w:rsidR="006C17CB" w:rsidRDefault="006C17CB">
            <w:pPr>
              <w:pStyle w:val="TableParagraph"/>
              <w:jc w:val="left"/>
              <w:rPr>
                <w:rFonts w:ascii="Times New Roman"/>
                <w:sz w:val="18"/>
              </w:rPr>
            </w:pPr>
          </w:p>
        </w:tc>
        <w:tc>
          <w:tcPr>
            <w:tcW w:w="3516" w:type="dxa"/>
            <w:tcBorders>
              <w:top w:val="single" w:sz="4" w:space="0" w:color="003366"/>
              <w:bottom w:val="double" w:sz="1" w:space="0" w:color="003366"/>
            </w:tcBorders>
          </w:tcPr>
          <w:p w:rsidR="006C17CB" w:rsidRDefault="0030091C">
            <w:pPr>
              <w:pStyle w:val="TableParagraph"/>
              <w:tabs>
                <w:tab w:val="left" w:pos="1778"/>
                <w:tab w:val="left" w:pos="2951"/>
              </w:tabs>
              <w:spacing w:line="265" w:lineRule="exact"/>
              <w:ind w:left="607"/>
              <w:jc w:val="left"/>
              <w:rPr>
                <w:b/>
                <w:sz w:val="20"/>
              </w:rPr>
            </w:pPr>
            <w:r>
              <w:rPr>
                <w:b/>
                <w:color w:val="003366"/>
                <w:sz w:val="20"/>
              </w:rPr>
              <w:t>3,908</w:t>
            </w:r>
            <w:r>
              <w:rPr>
                <w:b/>
                <w:color w:val="003366"/>
                <w:sz w:val="20"/>
              </w:rPr>
              <w:tab/>
              <w:t>3,045</w:t>
            </w:r>
            <w:r>
              <w:rPr>
                <w:b/>
                <w:color w:val="003366"/>
                <w:sz w:val="20"/>
              </w:rPr>
              <w:tab/>
              <w:t>3,838</w:t>
            </w:r>
          </w:p>
        </w:tc>
      </w:tr>
      <w:tr w:rsidR="006C17CB">
        <w:trPr>
          <w:trHeight w:val="607"/>
        </w:trPr>
        <w:tc>
          <w:tcPr>
            <w:tcW w:w="3620" w:type="dxa"/>
          </w:tcPr>
          <w:p w:rsidR="006C17CB" w:rsidRDefault="006C17CB">
            <w:pPr>
              <w:pStyle w:val="TableParagraph"/>
              <w:spacing w:before="6"/>
              <w:jc w:val="left"/>
              <w:rPr>
                <w:b/>
                <w:sz w:val="19"/>
              </w:rPr>
            </w:pPr>
          </w:p>
          <w:p w:rsidR="006C17CB" w:rsidRDefault="0030091C">
            <w:pPr>
              <w:pStyle w:val="TableParagraph"/>
              <w:spacing w:before="1"/>
              <w:ind w:left="50"/>
              <w:jc w:val="left"/>
              <w:rPr>
                <w:b/>
                <w:sz w:val="20"/>
              </w:rPr>
            </w:pPr>
            <w:r>
              <w:rPr>
                <w:b/>
                <w:color w:val="003366"/>
                <w:sz w:val="20"/>
              </w:rPr>
              <w:t>Equity</w:t>
            </w:r>
          </w:p>
        </w:tc>
        <w:tc>
          <w:tcPr>
            <w:tcW w:w="1578" w:type="dxa"/>
          </w:tcPr>
          <w:p w:rsidR="006C17CB" w:rsidRDefault="006C17CB">
            <w:pPr>
              <w:pStyle w:val="TableParagraph"/>
              <w:jc w:val="left"/>
              <w:rPr>
                <w:rFonts w:ascii="Times New Roman"/>
                <w:sz w:val="18"/>
              </w:rPr>
            </w:pPr>
          </w:p>
        </w:tc>
        <w:tc>
          <w:tcPr>
            <w:tcW w:w="3516" w:type="dxa"/>
            <w:tcBorders>
              <w:top w:val="double" w:sz="1" w:space="0" w:color="003366"/>
            </w:tcBorders>
          </w:tcPr>
          <w:p w:rsidR="006C17CB" w:rsidRDefault="006C17CB">
            <w:pPr>
              <w:pStyle w:val="TableParagraph"/>
              <w:jc w:val="left"/>
              <w:rPr>
                <w:rFonts w:ascii="Times New Roman"/>
                <w:sz w:val="18"/>
              </w:rPr>
            </w:pPr>
          </w:p>
        </w:tc>
      </w:tr>
      <w:tr w:rsidR="006C17CB">
        <w:trPr>
          <w:trHeight w:val="283"/>
        </w:trPr>
        <w:tc>
          <w:tcPr>
            <w:tcW w:w="3620" w:type="dxa"/>
          </w:tcPr>
          <w:p w:rsidR="006C17CB" w:rsidRDefault="0030091C">
            <w:pPr>
              <w:pStyle w:val="TableParagraph"/>
              <w:spacing w:line="245" w:lineRule="exact"/>
              <w:ind w:left="50"/>
              <w:jc w:val="left"/>
              <w:rPr>
                <w:sz w:val="20"/>
              </w:rPr>
            </w:pPr>
            <w:r>
              <w:rPr>
                <w:color w:val="003366"/>
                <w:sz w:val="20"/>
              </w:rPr>
              <w:t>Accumulated Funds</w:t>
            </w:r>
          </w:p>
        </w:tc>
        <w:tc>
          <w:tcPr>
            <w:tcW w:w="1578" w:type="dxa"/>
          </w:tcPr>
          <w:p w:rsidR="006C17CB" w:rsidRDefault="006C17CB">
            <w:pPr>
              <w:pStyle w:val="TableParagraph"/>
              <w:jc w:val="left"/>
              <w:rPr>
                <w:rFonts w:ascii="Times New Roman"/>
                <w:sz w:val="18"/>
              </w:rPr>
            </w:pPr>
          </w:p>
        </w:tc>
        <w:tc>
          <w:tcPr>
            <w:tcW w:w="3516" w:type="dxa"/>
          </w:tcPr>
          <w:p w:rsidR="006C17CB" w:rsidRDefault="0030091C">
            <w:pPr>
              <w:pStyle w:val="TableParagraph"/>
              <w:tabs>
                <w:tab w:val="left" w:pos="1778"/>
                <w:tab w:val="left" w:pos="2951"/>
              </w:tabs>
              <w:spacing w:line="245" w:lineRule="exact"/>
              <w:ind w:left="607"/>
              <w:jc w:val="left"/>
              <w:rPr>
                <w:sz w:val="20"/>
              </w:rPr>
            </w:pPr>
            <w:r>
              <w:rPr>
                <w:color w:val="003366"/>
                <w:sz w:val="20"/>
              </w:rPr>
              <w:t>2,674</w:t>
            </w:r>
            <w:r>
              <w:rPr>
                <w:color w:val="003366"/>
                <w:sz w:val="20"/>
              </w:rPr>
              <w:tab/>
              <w:t>2,113</w:t>
            </w:r>
            <w:r>
              <w:rPr>
                <w:color w:val="003366"/>
                <w:sz w:val="20"/>
              </w:rPr>
              <w:tab/>
              <w:t>2,593</w:t>
            </w:r>
          </w:p>
        </w:tc>
      </w:tr>
      <w:tr w:rsidR="006C17CB">
        <w:trPr>
          <w:trHeight w:val="286"/>
        </w:trPr>
        <w:tc>
          <w:tcPr>
            <w:tcW w:w="3620" w:type="dxa"/>
          </w:tcPr>
          <w:p w:rsidR="006C17CB" w:rsidRDefault="0030091C">
            <w:pPr>
              <w:pStyle w:val="TableParagraph"/>
              <w:spacing w:line="245" w:lineRule="exact"/>
              <w:ind w:left="50"/>
              <w:jc w:val="left"/>
              <w:rPr>
                <w:sz w:val="20"/>
              </w:rPr>
            </w:pPr>
            <w:r>
              <w:rPr>
                <w:color w:val="003366"/>
                <w:sz w:val="20"/>
              </w:rPr>
              <w:t>Asset Revaluation Surplus</w:t>
            </w:r>
          </w:p>
        </w:tc>
        <w:tc>
          <w:tcPr>
            <w:tcW w:w="1578" w:type="dxa"/>
          </w:tcPr>
          <w:p w:rsidR="006C17CB" w:rsidRDefault="006C17CB">
            <w:pPr>
              <w:pStyle w:val="TableParagraph"/>
              <w:jc w:val="left"/>
              <w:rPr>
                <w:rFonts w:ascii="Times New Roman"/>
                <w:sz w:val="18"/>
              </w:rPr>
            </w:pPr>
          </w:p>
        </w:tc>
        <w:tc>
          <w:tcPr>
            <w:tcW w:w="3516" w:type="dxa"/>
          </w:tcPr>
          <w:p w:rsidR="006C17CB" w:rsidRDefault="0030091C">
            <w:pPr>
              <w:pStyle w:val="TableParagraph"/>
              <w:tabs>
                <w:tab w:val="left" w:pos="607"/>
                <w:tab w:val="left" w:pos="1929"/>
                <w:tab w:val="left" w:pos="2951"/>
              </w:tabs>
              <w:spacing w:line="245" w:lineRule="exact"/>
              <w:ind w:right="-15"/>
              <w:jc w:val="left"/>
              <w:rPr>
                <w:sz w:val="20"/>
              </w:rPr>
            </w:pPr>
            <w:r>
              <w:rPr>
                <w:color w:val="003366"/>
                <w:w w:val="99"/>
                <w:sz w:val="20"/>
                <w:u w:val="single" w:color="003366"/>
              </w:rPr>
              <w:t xml:space="preserve"> </w:t>
            </w:r>
            <w:r>
              <w:rPr>
                <w:color w:val="003366"/>
                <w:sz w:val="20"/>
                <w:u w:val="single" w:color="003366"/>
              </w:rPr>
              <w:tab/>
              <w:t>1,234</w:t>
            </w:r>
            <w:r>
              <w:rPr>
                <w:color w:val="003366"/>
                <w:sz w:val="20"/>
                <w:u w:val="single" w:color="003366"/>
              </w:rPr>
              <w:tab/>
              <w:t>932</w:t>
            </w:r>
            <w:r>
              <w:rPr>
                <w:color w:val="003366"/>
                <w:sz w:val="20"/>
                <w:u w:val="single" w:color="003366"/>
              </w:rPr>
              <w:tab/>
              <w:t>1,245</w:t>
            </w:r>
            <w:r>
              <w:rPr>
                <w:color w:val="003366"/>
                <w:spacing w:val="18"/>
                <w:sz w:val="20"/>
                <w:u w:val="single" w:color="003366"/>
              </w:rPr>
              <w:t xml:space="preserve"> </w:t>
            </w:r>
          </w:p>
        </w:tc>
      </w:tr>
      <w:tr w:rsidR="006C17CB">
        <w:trPr>
          <w:trHeight w:val="247"/>
        </w:trPr>
        <w:tc>
          <w:tcPr>
            <w:tcW w:w="3620" w:type="dxa"/>
          </w:tcPr>
          <w:p w:rsidR="006C17CB" w:rsidRDefault="0030091C">
            <w:pPr>
              <w:pStyle w:val="TableParagraph"/>
              <w:spacing w:line="227" w:lineRule="exact"/>
              <w:ind w:left="50"/>
              <w:jc w:val="left"/>
              <w:rPr>
                <w:b/>
                <w:sz w:val="20"/>
              </w:rPr>
            </w:pPr>
            <w:r>
              <w:rPr>
                <w:b/>
                <w:color w:val="003366"/>
                <w:sz w:val="20"/>
              </w:rPr>
              <w:t>Total Equity</w:t>
            </w:r>
          </w:p>
        </w:tc>
        <w:tc>
          <w:tcPr>
            <w:tcW w:w="1578" w:type="dxa"/>
          </w:tcPr>
          <w:p w:rsidR="006C17CB" w:rsidRDefault="006C17CB">
            <w:pPr>
              <w:pStyle w:val="TableParagraph"/>
              <w:jc w:val="left"/>
              <w:rPr>
                <w:rFonts w:ascii="Times New Roman"/>
                <w:sz w:val="18"/>
              </w:rPr>
            </w:pPr>
          </w:p>
        </w:tc>
        <w:tc>
          <w:tcPr>
            <w:tcW w:w="3516" w:type="dxa"/>
            <w:tcBorders>
              <w:bottom w:val="double" w:sz="1" w:space="0" w:color="003366"/>
            </w:tcBorders>
          </w:tcPr>
          <w:p w:rsidR="006C17CB" w:rsidRDefault="0030091C">
            <w:pPr>
              <w:pStyle w:val="TableParagraph"/>
              <w:tabs>
                <w:tab w:val="left" w:pos="1778"/>
                <w:tab w:val="left" w:pos="2951"/>
              </w:tabs>
              <w:spacing w:line="227" w:lineRule="exact"/>
              <w:ind w:left="607"/>
              <w:jc w:val="left"/>
              <w:rPr>
                <w:b/>
                <w:sz w:val="20"/>
              </w:rPr>
            </w:pPr>
            <w:r>
              <w:rPr>
                <w:b/>
                <w:color w:val="003366"/>
                <w:sz w:val="20"/>
              </w:rPr>
              <w:t>3,908</w:t>
            </w:r>
            <w:r>
              <w:rPr>
                <w:b/>
                <w:color w:val="003366"/>
                <w:sz w:val="20"/>
              </w:rPr>
              <w:tab/>
              <w:t>3,045</w:t>
            </w:r>
            <w:r>
              <w:rPr>
                <w:b/>
                <w:color w:val="003366"/>
                <w:sz w:val="20"/>
              </w:rPr>
              <w:tab/>
              <w:t>3,838</w:t>
            </w:r>
          </w:p>
        </w:tc>
      </w:tr>
    </w:tbl>
    <w:p w:rsidR="006C17CB" w:rsidRDefault="006C17CB">
      <w:pPr>
        <w:pStyle w:val="BodyText"/>
        <w:spacing w:before="6"/>
        <w:rPr>
          <w:rFonts w:ascii="Calibri"/>
          <w:b/>
          <w:sz w:val="36"/>
        </w:rPr>
      </w:pPr>
    </w:p>
    <w:p w:rsidR="006C17CB" w:rsidRDefault="0030091C">
      <w:pPr>
        <w:ind w:left="822"/>
        <w:rPr>
          <w:rFonts w:ascii="Calibri"/>
          <w:sz w:val="16"/>
        </w:rPr>
      </w:pPr>
      <w:r>
        <w:rPr>
          <w:rFonts w:ascii="Calibri"/>
          <w:color w:val="003366"/>
          <w:sz w:val="16"/>
        </w:rPr>
        <w:t>The above Balance Sheet should be read in conjunction with the accompanying notes.</w:t>
      </w:r>
    </w:p>
    <w:p w:rsidR="006C17CB" w:rsidRDefault="006C17CB">
      <w:pPr>
        <w:rPr>
          <w:rFonts w:ascii="Calibri"/>
          <w:sz w:val="16"/>
        </w:rPr>
        <w:sectPr w:rsidR="006C17CB">
          <w:pgSz w:w="11910" w:h="16840"/>
          <w:pgMar w:top="1460" w:right="0" w:bottom="740" w:left="980" w:header="1189" w:footer="551" w:gutter="0"/>
          <w:cols w:space="720"/>
        </w:sectPr>
      </w:pPr>
    </w:p>
    <w:p w:rsidR="006C17CB" w:rsidRDefault="0030091C">
      <w:pPr>
        <w:pStyle w:val="Heading5"/>
        <w:spacing w:line="201" w:lineRule="auto"/>
        <w:ind w:left="3222" w:right="3917" w:firstLine="4"/>
        <w:jc w:val="center"/>
      </w:pPr>
      <w:r>
        <w:rPr>
          <w:color w:val="003366"/>
        </w:rPr>
        <w:t>Statement of Changes in Equity For the Year Ended 30 June 2018</w:t>
      </w:r>
    </w:p>
    <w:p w:rsidR="006C17CB" w:rsidRDefault="006C17CB">
      <w:pPr>
        <w:pStyle w:val="BodyText"/>
        <w:spacing w:before="4"/>
        <w:rPr>
          <w:rFonts w:ascii="Calibri"/>
          <w:b/>
          <w:sz w:val="20"/>
        </w:rPr>
      </w:pPr>
    </w:p>
    <w:tbl>
      <w:tblPr>
        <w:tblW w:w="0" w:type="auto"/>
        <w:tblInd w:w="707" w:type="dxa"/>
        <w:tblLayout w:type="fixed"/>
        <w:tblCellMar>
          <w:left w:w="0" w:type="dxa"/>
          <w:right w:w="0" w:type="dxa"/>
        </w:tblCellMar>
        <w:tblLook w:val="01E0" w:firstRow="1" w:lastRow="1" w:firstColumn="1" w:lastColumn="1" w:noHBand="0" w:noVBand="0"/>
      </w:tblPr>
      <w:tblGrid>
        <w:gridCol w:w="3562"/>
        <w:gridCol w:w="1947"/>
        <w:gridCol w:w="1434"/>
        <w:gridCol w:w="999"/>
        <w:gridCol w:w="981"/>
      </w:tblGrid>
      <w:tr w:rsidR="006C17CB">
        <w:trPr>
          <w:trHeight w:val="954"/>
        </w:trPr>
        <w:tc>
          <w:tcPr>
            <w:tcW w:w="5509" w:type="dxa"/>
            <w:gridSpan w:val="2"/>
          </w:tcPr>
          <w:p w:rsidR="006C17CB" w:rsidRDefault="0030091C">
            <w:pPr>
              <w:pStyle w:val="TableParagraph"/>
              <w:spacing w:before="157" w:line="267" w:lineRule="exact"/>
              <w:ind w:right="136"/>
              <w:rPr>
                <w:b/>
                <w:sz w:val="20"/>
              </w:rPr>
            </w:pPr>
            <w:r>
              <w:rPr>
                <w:b/>
                <w:color w:val="003366"/>
                <w:sz w:val="20"/>
              </w:rPr>
              <w:t>Accumulated</w:t>
            </w:r>
          </w:p>
          <w:p w:rsidR="006C17CB" w:rsidRDefault="0030091C">
            <w:pPr>
              <w:pStyle w:val="TableParagraph"/>
              <w:spacing w:before="13" w:line="204" w:lineRule="auto"/>
              <w:ind w:left="4840" w:right="135" w:firstLine="36"/>
              <w:rPr>
                <w:b/>
                <w:sz w:val="20"/>
              </w:rPr>
            </w:pPr>
            <w:r>
              <w:rPr>
                <w:b/>
                <w:color w:val="003366"/>
                <w:sz w:val="20"/>
              </w:rPr>
              <w:t>Funds</w:t>
            </w:r>
            <w:r>
              <w:rPr>
                <w:b/>
                <w:color w:val="003366"/>
                <w:w w:val="99"/>
                <w:sz w:val="20"/>
              </w:rPr>
              <w:t xml:space="preserve"> </w:t>
            </w:r>
            <w:r>
              <w:rPr>
                <w:b/>
                <w:color w:val="003366"/>
                <w:sz w:val="20"/>
              </w:rPr>
              <w:t>Actual</w:t>
            </w:r>
          </w:p>
        </w:tc>
        <w:tc>
          <w:tcPr>
            <w:tcW w:w="1434" w:type="dxa"/>
          </w:tcPr>
          <w:p w:rsidR="006C17CB" w:rsidRDefault="0030091C">
            <w:pPr>
              <w:pStyle w:val="TableParagraph"/>
              <w:spacing w:line="180" w:lineRule="exact"/>
              <w:ind w:left="682"/>
              <w:jc w:val="left"/>
              <w:rPr>
                <w:b/>
                <w:sz w:val="20"/>
              </w:rPr>
            </w:pPr>
            <w:r>
              <w:rPr>
                <w:b/>
                <w:color w:val="003366"/>
                <w:sz w:val="20"/>
              </w:rPr>
              <w:t>Asset</w:t>
            </w:r>
          </w:p>
          <w:p w:rsidR="006C17CB" w:rsidRDefault="0030091C">
            <w:pPr>
              <w:pStyle w:val="TableParagraph"/>
              <w:spacing w:line="244" w:lineRule="exact"/>
              <w:ind w:left="137"/>
              <w:jc w:val="left"/>
              <w:rPr>
                <w:b/>
                <w:sz w:val="20"/>
              </w:rPr>
            </w:pPr>
            <w:r>
              <w:rPr>
                <w:b/>
                <w:color w:val="003366"/>
                <w:sz w:val="20"/>
              </w:rPr>
              <w:t>Revaluation</w:t>
            </w:r>
          </w:p>
          <w:p w:rsidR="006C17CB" w:rsidRDefault="0030091C">
            <w:pPr>
              <w:pStyle w:val="TableParagraph"/>
              <w:spacing w:before="13" w:line="204" w:lineRule="auto"/>
              <w:ind w:left="517" w:right="298"/>
              <w:jc w:val="center"/>
              <w:rPr>
                <w:b/>
                <w:sz w:val="20"/>
              </w:rPr>
            </w:pPr>
            <w:r>
              <w:rPr>
                <w:b/>
                <w:color w:val="003366"/>
                <w:w w:val="95"/>
                <w:sz w:val="20"/>
              </w:rPr>
              <w:t xml:space="preserve">Surplus </w:t>
            </w:r>
            <w:r>
              <w:rPr>
                <w:b/>
                <w:color w:val="003366"/>
                <w:sz w:val="20"/>
              </w:rPr>
              <w:t>Actual</w:t>
            </w:r>
          </w:p>
        </w:tc>
        <w:tc>
          <w:tcPr>
            <w:tcW w:w="999" w:type="dxa"/>
          </w:tcPr>
          <w:p w:rsidR="006C17CB" w:rsidRDefault="006C17CB">
            <w:pPr>
              <w:pStyle w:val="TableParagraph"/>
              <w:spacing w:before="5"/>
              <w:jc w:val="left"/>
              <w:rPr>
                <w:b/>
                <w:sz w:val="13"/>
              </w:rPr>
            </w:pPr>
          </w:p>
          <w:p w:rsidR="006C17CB" w:rsidRDefault="0030091C">
            <w:pPr>
              <w:pStyle w:val="TableParagraph"/>
              <w:spacing w:line="204" w:lineRule="auto"/>
              <w:ind w:left="299" w:right="168" w:firstLine="105"/>
              <w:jc w:val="both"/>
              <w:rPr>
                <w:b/>
                <w:sz w:val="20"/>
              </w:rPr>
            </w:pPr>
            <w:r>
              <w:rPr>
                <w:b/>
                <w:color w:val="003366"/>
                <w:sz w:val="20"/>
              </w:rPr>
              <w:t>Total Equity Actual</w:t>
            </w:r>
          </w:p>
        </w:tc>
        <w:tc>
          <w:tcPr>
            <w:tcW w:w="981" w:type="dxa"/>
          </w:tcPr>
          <w:p w:rsidR="006C17CB" w:rsidRDefault="006C17CB">
            <w:pPr>
              <w:pStyle w:val="TableParagraph"/>
              <w:jc w:val="left"/>
              <w:rPr>
                <w:b/>
                <w:sz w:val="20"/>
              </w:rPr>
            </w:pPr>
          </w:p>
          <w:p w:rsidR="006C17CB" w:rsidRDefault="0030091C">
            <w:pPr>
              <w:pStyle w:val="TableParagraph"/>
              <w:spacing w:before="149" w:line="204" w:lineRule="auto"/>
              <w:ind w:left="229" w:right="137" w:hanging="60"/>
              <w:jc w:val="left"/>
              <w:rPr>
                <w:b/>
                <w:sz w:val="20"/>
              </w:rPr>
            </w:pPr>
            <w:r>
              <w:rPr>
                <w:b/>
                <w:color w:val="003366"/>
                <w:sz w:val="20"/>
              </w:rPr>
              <w:t>Original Budget</w:t>
            </w:r>
          </w:p>
        </w:tc>
      </w:tr>
      <w:tr w:rsidR="006C17CB">
        <w:trPr>
          <w:trHeight w:val="243"/>
        </w:trPr>
        <w:tc>
          <w:tcPr>
            <w:tcW w:w="5509" w:type="dxa"/>
            <w:gridSpan w:val="2"/>
          </w:tcPr>
          <w:p w:rsidR="006C17CB" w:rsidRDefault="0030091C">
            <w:pPr>
              <w:pStyle w:val="TableParagraph"/>
              <w:spacing w:line="224" w:lineRule="exact"/>
              <w:ind w:right="138"/>
              <w:rPr>
                <w:b/>
                <w:sz w:val="20"/>
              </w:rPr>
            </w:pPr>
            <w:r>
              <w:rPr>
                <w:b/>
                <w:color w:val="003366"/>
                <w:w w:val="95"/>
                <w:sz w:val="20"/>
              </w:rPr>
              <w:t>2018</w:t>
            </w:r>
          </w:p>
        </w:tc>
        <w:tc>
          <w:tcPr>
            <w:tcW w:w="1434" w:type="dxa"/>
          </w:tcPr>
          <w:p w:rsidR="006C17CB" w:rsidRDefault="0030091C">
            <w:pPr>
              <w:pStyle w:val="TableParagraph"/>
              <w:spacing w:line="224" w:lineRule="exact"/>
              <w:ind w:right="300"/>
              <w:rPr>
                <w:b/>
                <w:sz w:val="20"/>
              </w:rPr>
            </w:pPr>
            <w:r>
              <w:rPr>
                <w:b/>
                <w:color w:val="003366"/>
                <w:w w:val="95"/>
                <w:sz w:val="20"/>
              </w:rPr>
              <w:t>2018</w:t>
            </w:r>
          </w:p>
        </w:tc>
        <w:tc>
          <w:tcPr>
            <w:tcW w:w="999" w:type="dxa"/>
          </w:tcPr>
          <w:p w:rsidR="006C17CB" w:rsidRDefault="0030091C">
            <w:pPr>
              <w:pStyle w:val="TableParagraph"/>
              <w:spacing w:line="224" w:lineRule="exact"/>
              <w:ind w:right="169"/>
              <w:rPr>
                <w:b/>
                <w:sz w:val="20"/>
              </w:rPr>
            </w:pPr>
            <w:r>
              <w:rPr>
                <w:b/>
                <w:color w:val="003366"/>
                <w:w w:val="95"/>
                <w:sz w:val="20"/>
              </w:rPr>
              <w:t>2018</w:t>
            </w:r>
          </w:p>
        </w:tc>
        <w:tc>
          <w:tcPr>
            <w:tcW w:w="981" w:type="dxa"/>
          </w:tcPr>
          <w:p w:rsidR="006C17CB" w:rsidRDefault="0030091C">
            <w:pPr>
              <w:pStyle w:val="TableParagraph"/>
              <w:spacing w:line="224" w:lineRule="exact"/>
              <w:ind w:right="159"/>
              <w:rPr>
                <w:b/>
                <w:sz w:val="20"/>
              </w:rPr>
            </w:pPr>
            <w:r>
              <w:rPr>
                <w:b/>
                <w:color w:val="003366"/>
                <w:w w:val="95"/>
                <w:sz w:val="20"/>
              </w:rPr>
              <w:t>2018</w:t>
            </w:r>
          </w:p>
        </w:tc>
      </w:tr>
      <w:tr w:rsidR="006C17CB">
        <w:trPr>
          <w:trHeight w:val="405"/>
        </w:trPr>
        <w:tc>
          <w:tcPr>
            <w:tcW w:w="5509" w:type="dxa"/>
            <w:gridSpan w:val="2"/>
          </w:tcPr>
          <w:p w:rsidR="006C17CB" w:rsidRDefault="0030091C">
            <w:pPr>
              <w:pStyle w:val="TableParagraph"/>
              <w:spacing w:line="225" w:lineRule="exact"/>
              <w:ind w:right="138"/>
              <w:rPr>
                <w:b/>
                <w:sz w:val="20"/>
              </w:rPr>
            </w:pPr>
            <w:r>
              <w:rPr>
                <w:b/>
                <w:color w:val="003366"/>
                <w:w w:val="95"/>
                <w:sz w:val="20"/>
              </w:rPr>
              <w:t>$’000</w:t>
            </w:r>
          </w:p>
        </w:tc>
        <w:tc>
          <w:tcPr>
            <w:tcW w:w="1434" w:type="dxa"/>
          </w:tcPr>
          <w:p w:rsidR="006C17CB" w:rsidRDefault="0030091C">
            <w:pPr>
              <w:pStyle w:val="TableParagraph"/>
              <w:spacing w:line="225" w:lineRule="exact"/>
              <w:ind w:right="300"/>
              <w:rPr>
                <w:b/>
                <w:sz w:val="20"/>
              </w:rPr>
            </w:pPr>
            <w:r>
              <w:rPr>
                <w:b/>
                <w:color w:val="003366"/>
                <w:w w:val="95"/>
                <w:sz w:val="20"/>
              </w:rPr>
              <w:t>$’000</w:t>
            </w:r>
          </w:p>
        </w:tc>
        <w:tc>
          <w:tcPr>
            <w:tcW w:w="999" w:type="dxa"/>
          </w:tcPr>
          <w:p w:rsidR="006C17CB" w:rsidRDefault="0030091C">
            <w:pPr>
              <w:pStyle w:val="TableParagraph"/>
              <w:spacing w:line="225" w:lineRule="exact"/>
              <w:ind w:right="169"/>
              <w:rPr>
                <w:b/>
                <w:sz w:val="20"/>
              </w:rPr>
            </w:pPr>
            <w:r>
              <w:rPr>
                <w:b/>
                <w:color w:val="003366"/>
                <w:w w:val="95"/>
                <w:sz w:val="20"/>
              </w:rPr>
              <w:t>$’000</w:t>
            </w:r>
          </w:p>
        </w:tc>
        <w:tc>
          <w:tcPr>
            <w:tcW w:w="981" w:type="dxa"/>
          </w:tcPr>
          <w:p w:rsidR="006C17CB" w:rsidRDefault="0030091C">
            <w:pPr>
              <w:pStyle w:val="TableParagraph"/>
              <w:spacing w:line="225" w:lineRule="exact"/>
              <w:ind w:right="159"/>
              <w:rPr>
                <w:b/>
                <w:sz w:val="20"/>
              </w:rPr>
            </w:pPr>
            <w:r>
              <w:rPr>
                <w:b/>
                <w:color w:val="003366"/>
                <w:w w:val="95"/>
                <w:sz w:val="20"/>
              </w:rPr>
              <w:t>$’000</w:t>
            </w:r>
          </w:p>
        </w:tc>
      </w:tr>
      <w:tr w:rsidR="006C17CB">
        <w:trPr>
          <w:trHeight w:val="573"/>
        </w:trPr>
        <w:tc>
          <w:tcPr>
            <w:tcW w:w="3562" w:type="dxa"/>
          </w:tcPr>
          <w:p w:rsidR="006C17CB" w:rsidRDefault="0030091C">
            <w:pPr>
              <w:pStyle w:val="TableParagraph"/>
              <w:spacing w:before="99"/>
              <w:ind w:left="50"/>
              <w:jc w:val="left"/>
              <w:rPr>
                <w:b/>
                <w:sz w:val="20"/>
              </w:rPr>
            </w:pPr>
            <w:r>
              <w:rPr>
                <w:b/>
                <w:color w:val="003366"/>
                <w:sz w:val="20"/>
              </w:rPr>
              <w:t>Balance at 1 July 2017</w:t>
            </w:r>
          </w:p>
        </w:tc>
        <w:tc>
          <w:tcPr>
            <w:tcW w:w="5361" w:type="dxa"/>
            <w:gridSpan w:val="4"/>
          </w:tcPr>
          <w:p w:rsidR="006C17CB" w:rsidRDefault="0030091C">
            <w:pPr>
              <w:pStyle w:val="TableParagraph"/>
              <w:tabs>
                <w:tab w:val="left" w:pos="1352"/>
                <w:tab w:val="left" w:pos="2624"/>
                <w:tab w:val="left" w:pos="3755"/>
                <w:tab w:val="left" w:pos="4746"/>
              </w:tabs>
              <w:spacing w:before="99"/>
              <w:ind w:left="303"/>
              <w:jc w:val="left"/>
              <w:rPr>
                <w:b/>
                <w:sz w:val="20"/>
              </w:rPr>
            </w:pPr>
            <w:r>
              <w:rPr>
                <w:b/>
                <w:color w:val="003366"/>
                <w:w w:val="99"/>
                <w:sz w:val="20"/>
                <w:u w:val="single" w:color="003366"/>
              </w:rPr>
              <w:t xml:space="preserve"> </w:t>
            </w:r>
            <w:r>
              <w:rPr>
                <w:b/>
                <w:color w:val="003366"/>
                <w:sz w:val="20"/>
                <w:u w:val="single" w:color="003366"/>
              </w:rPr>
              <w:tab/>
              <w:t>2,593</w:t>
            </w:r>
            <w:r>
              <w:rPr>
                <w:b/>
                <w:color w:val="003366"/>
                <w:sz w:val="20"/>
                <w:u w:val="single" w:color="003366"/>
              </w:rPr>
              <w:tab/>
              <w:t>1,245</w:t>
            </w:r>
            <w:r>
              <w:rPr>
                <w:b/>
                <w:color w:val="003366"/>
                <w:sz w:val="20"/>
                <w:u w:val="single" w:color="003366"/>
              </w:rPr>
              <w:tab/>
              <w:t>3,838</w:t>
            </w:r>
            <w:r>
              <w:rPr>
                <w:b/>
                <w:color w:val="003366"/>
                <w:sz w:val="20"/>
                <w:u w:val="single" w:color="003366"/>
              </w:rPr>
              <w:tab/>
              <w:t>3,361</w:t>
            </w:r>
            <w:r>
              <w:rPr>
                <w:b/>
                <w:color w:val="003366"/>
                <w:spacing w:val="18"/>
                <w:sz w:val="20"/>
                <w:u w:val="single" w:color="003366"/>
              </w:rPr>
              <w:t xml:space="preserve"> </w:t>
            </w:r>
          </w:p>
        </w:tc>
      </w:tr>
      <w:tr w:rsidR="006C17CB">
        <w:trPr>
          <w:trHeight w:val="432"/>
        </w:trPr>
        <w:tc>
          <w:tcPr>
            <w:tcW w:w="3562" w:type="dxa"/>
          </w:tcPr>
          <w:p w:rsidR="006C17CB" w:rsidRDefault="0030091C">
            <w:pPr>
              <w:pStyle w:val="TableParagraph"/>
              <w:spacing w:before="104"/>
              <w:ind w:left="50"/>
              <w:jc w:val="left"/>
              <w:rPr>
                <w:b/>
                <w:sz w:val="20"/>
              </w:rPr>
            </w:pPr>
            <w:r>
              <w:rPr>
                <w:b/>
                <w:color w:val="003366"/>
                <w:sz w:val="20"/>
              </w:rPr>
              <w:t>Comprehensive Income</w:t>
            </w:r>
          </w:p>
        </w:tc>
        <w:tc>
          <w:tcPr>
            <w:tcW w:w="5361" w:type="dxa"/>
            <w:gridSpan w:val="4"/>
          </w:tcPr>
          <w:p w:rsidR="006C17CB" w:rsidRDefault="006C17CB">
            <w:pPr>
              <w:pStyle w:val="TableParagraph"/>
              <w:jc w:val="left"/>
              <w:rPr>
                <w:rFonts w:ascii="Times New Roman"/>
                <w:sz w:val="18"/>
              </w:rPr>
            </w:pPr>
          </w:p>
        </w:tc>
      </w:tr>
      <w:tr w:rsidR="006C17CB">
        <w:trPr>
          <w:trHeight w:val="284"/>
        </w:trPr>
        <w:tc>
          <w:tcPr>
            <w:tcW w:w="3562" w:type="dxa"/>
          </w:tcPr>
          <w:p w:rsidR="006C17CB" w:rsidRDefault="0030091C">
            <w:pPr>
              <w:pStyle w:val="TableParagraph"/>
              <w:spacing w:line="246" w:lineRule="exact"/>
              <w:ind w:left="50"/>
              <w:jc w:val="left"/>
              <w:rPr>
                <w:sz w:val="20"/>
              </w:rPr>
            </w:pPr>
            <w:r>
              <w:rPr>
                <w:color w:val="003366"/>
                <w:sz w:val="20"/>
              </w:rPr>
              <w:t>Operating (Deficit)</w:t>
            </w:r>
          </w:p>
        </w:tc>
        <w:tc>
          <w:tcPr>
            <w:tcW w:w="5361" w:type="dxa"/>
            <w:gridSpan w:val="4"/>
          </w:tcPr>
          <w:p w:rsidR="006C17CB" w:rsidRDefault="0030091C">
            <w:pPr>
              <w:pStyle w:val="TableParagraph"/>
              <w:tabs>
                <w:tab w:val="left" w:pos="3018"/>
                <w:tab w:val="left" w:pos="3887"/>
                <w:tab w:val="left" w:pos="4777"/>
              </w:tabs>
              <w:spacing w:line="246" w:lineRule="exact"/>
              <w:ind w:left="1484"/>
              <w:jc w:val="left"/>
              <w:rPr>
                <w:sz w:val="20"/>
              </w:rPr>
            </w:pPr>
            <w:r>
              <w:rPr>
                <w:color w:val="003366"/>
                <w:sz w:val="20"/>
              </w:rPr>
              <w:t>(68)</w:t>
            </w:r>
            <w:r>
              <w:rPr>
                <w:color w:val="003366"/>
                <w:sz w:val="20"/>
              </w:rPr>
              <w:tab/>
              <w:t>-</w:t>
            </w:r>
            <w:r>
              <w:rPr>
                <w:color w:val="003366"/>
                <w:sz w:val="20"/>
              </w:rPr>
              <w:tab/>
              <w:t>(68)</w:t>
            </w:r>
            <w:r>
              <w:rPr>
                <w:color w:val="003366"/>
                <w:sz w:val="20"/>
              </w:rPr>
              <w:tab/>
              <w:t>(367)</w:t>
            </w:r>
          </w:p>
        </w:tc>
      </w:tr>
      <w:tr w:rsidR="006C17CB">
        <w:trPr>
          <w:trHeight w:val="284"/>
        </w:trPr>
        <w:tc>
          <w:tcPr>
            <w:tcW w:w="3562" w:type="dxa"/>
          </w:tcPr>
          <w:p w:rsidR="006C17CB" w:rsidRDefault="0030091C">
            <w:pPr>
              <w:pStyle w:val="TableParagraph"/>
              <w:spacing w:line="245" w:lineRule="exact"/>
              <w:ind w:left="50"/>
              <w:jc w:val="left"/>
              <w:rPr>
                <w:sz w:val="20"/>
              </w:rPr>
            </w:pPr>
            <w:r>
              <w:rPr>
                <w:color w:val="003366"/>
                <w:sz w:val="20"/>
              </w:rPr>
              <w:t>(Decrease) in Asset Revaluation Surplus</w:t>
            </w:r>
          </w:p>
        </w:tc>
        <w:tc>
          <w:tcPr>
            <w:tcW w:w="5361" w:type="dxa"/>
            <w:gridSpan w:val="4"/>
          </w:tcPr>
          <w:p w:rsidR="006C17CB" w:rsidRDefault="0030091C">
            <w:pPr>
              <w:pStyle w:val="TableParagraph"/>
              <w:tabs>
                <w:tab w:val="left" w:pos="2756"/>
                <w:tab w:val="left" w:pos="3887"/>
                <w:tab w:val="left" w:pos="5139"/>
              </w:tabs>
              <w:spacing w:line="245" w:lineRule="exact"/>
              <w:ind w:left="1746"/>
              <w:jc w:val="left"/>
              <w:rPr>
                <w:sz w:val="20"/>
              </w:rPr>
            </w:pPr>
            <w:r>
              <w:rPr>
                <w:color w:val="003366"/>
                <w:sz w:val="20"/>
              </w:rPr>
              <w:t>-</w:t>
            </w:r>
            <w:r>
              <w:rPr>
                <w:color w:val="003366"/>
                <w:sz w:val="20"/>
              </w:rPr>
              <w:tab/>
              <w:t>(11)</w:t>
            </w:r>
            <w:r>
              <w:rPr>
                <w:color w:val="003366"/>
                <w:sz w:val="20"/>
              </w:rPr>
              <w:tab/>
              <w:t>(11)</w:t>
            </w:r>
            <w:r>
              <w:rPr>
                <w:color w:val="003366"/>
                <w:sz w:val="20"/>
              </w:rPr>
              <w:tab/>
              <w:t>-</w:t>
            </w:r>
          </w:p>
        </w:tc>
      </w:tr>
      <w:tr w:rsidR="006C17CB">
        <w:trPr>
          <w:trHeight w:val="289"/>
        </w:trPr>
        <w:tc>
          <w:tcPr>
            <w:tcW w:w="3562" w:type="dxa"/>
          </w:tcPr>
          <w:p w:rsidR="006C17CB" w:rsidRDefault="0030091C">
            <w:pPr>
              <w:pStyle w:val="TableParagraph"/>
              <w:spacing w:line="246" w:lineRule="exact"/>
              <w:ind w:left="50"/>
              <w:jc w:val="left"/>
              <w:rPr>
                <w:sz w:val="20"/>
              </w:rPr>
            </w:pPr>
            <w:r>
              <w:rPr>
                <w:color w:val="003366"/>
                <w:sz w:val="20"/>
              </w:rPr>
              <w:t>Other Comprehensive Income</w:t>
            </w:r>
          </w:p>
        </w:tc>
        <w:tc>
          <w:tcPr>
            <w:tcW w:w="5361" w:type="dxa"/>
            <w:gridSpan w:val="4"/>
          </w:tcPr>
          <w:p w:rsidR="006C17CB" w:rsidRDefault="0030091C">
            <w:pPr>
              <w:pStyle w:val="TableParagraph"/>
              <w:tabs>
                <w:tab w:val="left" w:pos="1746"/>
                <w:tab w:val="left" w:pos="3018"/>
                <w:tab w:val="left" w:pos="4148"/>
                <w:tab w:val="left" w:pos="5000"/>
              </w:tabs>
              <w:spacing w:line="246" w:lineRule="exact"/>
              <w:ind w:left="303"/>
              <w:jc w:val="left"/>
              <w:rPr>
                <w:sz w:val="20"/>
              </w:rPr>
            </w:pPr>
            <w:r>
              <w:rPr>
                <w:color w:val="003366"/>
                <w:w w:val="99"/>
                <w:sz w:val="20"/>
                <w:u w:val="single" w:color="003366"/>
              </w:rPr>
              <w:t xml:space="preserve"> </w:t>
            </w:r>
            <w:r>
              <w:rPr>
                <w:color w:val="003366"/>
                <w:sz w:val="20"/>
                <w:u w:val="single" w:color="003366"/>
              </w:rPr>
              <w:tab/>
              <w:t>-</w:t>
            </w:r>
            <w:r>
              <w:rPr>
                <w:color w:val="003366"/>
                <w:sz w:val="20"/>
                <w:u w:val="single" w:color="003366"/>
              </w:rPr>
              <w:tab/>
              <w:t>-</w:t>
            </w:r>
            <w:r>
              <w:rPr>
                <w:color w:val="003366"/>
                <w:sz w:val="20"/>
                <w:u w:val="single" w:color="003366"/>
              </w:rPr>
              <w:tab/>
              <w:t>-</w:t>
            </w:r>
            <w:r>
              <w:rPr>
                <w:color w:val="003366"/>
                <w:sz w:val="20"/>
                <w:u w:val="single" w:color="003366"/>
              </w:rPr>
              <w:tab/>
              <w:t>46</w:t>
            </w:r>
            <w:r>
              <w:rPr>
                <w:color w:val="003366"/>
                <w:spacing w:val="16"/>
                <w:sz w:val="20"/>
                <w:u w:val="single" w:color="003366"/>
              </w:rPr>
              <w:t xml:space="preserve"> </w:t>
            </w:r>
          </w:p>
        </w:tc>
      </w:tr>
      <w:tr w:rsidR="006C17CB">
        <w:trPr>
          <w:trHeight w:val="423"/>
        </w:trPr>
        <w:tc>
          <w:tcPr>
            <w:tcW w:w="3562" w:type="dxa"/>
          </w:tcPr>
          <w:p w:rsidR="006C17CB" w:rsidRDefault="0030091C">
            <w:pPr>
              <w:pStyle w:val="TableParagraph"/>
              <w:spacing w:line="250" w:lineRule="exact"/>
              <w:ind w:left="50"/>
              <w:jc w:val="left"/>
              <w:rPr>
                <w:b/>
                <w:sz w:val="20"/>
              </w:rPr>
            </w:pPr>
            <w:r>
              <w:rPr>
                <w:b/>
                <w:color w:val="003366"/>
                <w:sz w:val="20"/>
              </w:rPr>
              <w:t>Total Comprehensive (Deficit)</w:t>
            </w:r>
          </w:p>
        </w:tc>
        <w:tc>
          <w:tcPr>
            <w:tcW w:w="5361" w:type="dxa"/>
            <w:gridSpan w:val="4"/>
          </w:tcPr>
          <w:p w:rsidR="006C17CB" w:rsidRDefault="0030091C">
            <w:pPr>
              <w:pStyle w:val="TableParagraph"/>
              <w:tabs>
                <w:tab w:val="left" w:pos="1482"/>
                <w:tab w:val="left" w:pos="2754"/>
                <w:tab w:val="left" w:pos="3884"/>
                <w:tab w:val="left" w:pos="4772"/>
              </w:tabs>
              <w:spacing w:line="250" w:lineRule="exact"/>
              <w:ind w:left="303"/>
              <w:jc w:val="left"/>
              <w:rPr>
                <w:b/>
                <w:sz w:val="20"/>
              </w:rPr>
            </w:pPr>
            <w:r>
              <w:rPr>
                <w:b/>
                <w:color w:val="003366"/>
                <w:w w:val="99"/>
                <w:sz w:val="20"/>
                <w:u w:val="single" w:color="003366"/>
              </w:rPr>
              <w:t xml:space="preserve"> </w:t>
            </w:r>
            <w:r>
              <w:rPr>
                <w:b/>
                <w:color w:val="003366"/>
                <w:sz w:val="20"/>
                <w:u w:val="single" w:color="003366"/>
              </w:rPr>
              <w:tab/>
              <w:t>(68)</w:t>
            </w:r>
            <w:r>
              <w:rPr>
                <w:b/>
                <w:color w:val="003366"/>
                <w:sz w:val="20"/>
                <w:u w:val="single" w:color="003366"/>
              </w:rPr>
              <w:tab/>
              <w:t>(11)</w:t>
            </w:r>
            <w:r>
              <w:rPr>
                <w:b/>
                <w:color w:val="003366"/>
                <w:sz w:val="20"/>
                <w:u w:val="single" w:color="003366"/>
              </w:rPr>
              <w:tab/>
              <w:t>(79)</w:t>
            </w:r>
            <w:r>
              <w:rPr>
                <w:b/>
                <w:color w:val="003366"/>
                <w:sz w:val="20"/>
                <w:u w:val="single" w:color="003366"/>
              </w:rPr>
              <w:tab/>
              <w:t>(321)</w:t>
            </w:r>
            <w:r>
              <w:rPr>
                <w:b/>
                <w:color w:val="003366"/>
                <w:spacing w:val="20"/>
                <w:sz w:val="20"/>
                <w:u w:val="single" w:color="003366"/>
              </w:rPr>
              <w:t xml:space="preserve"> </w:t>
            </w:r>
          </w:p>
        </w:tc>
      </w:tr>
      <w:tr w:rsidR="006C17CB">
        <w:trPr>
          <w:trHeight w:val="376"/>
        </w:trPr>
        <w:tc>
          <w:tcPr>
            <w:tcW w:w="3562" w:type="dxa"/>
          </w:tcPr>
          <w:p w:rsidR="006C17CB" w:rsidRDefault="0030091C">
            <w:pPr>
              <w:pStyle w:val="TableParagraph"/>
              <w:spacing w:before="92" w:line="264" w:lineRule="exact"/>
              <w:ind w:left="50"/>
              <w:jc w:val="left"/>
              <w:rPr>
                <w:b/>
                <w:sz w:val="20"/>
              </w:rPr>
            </w:pPr>
            <w:r>
              <w:rPr>
                <w:b/>
                <w:color w:val="003366"/>
                <w:sz w:val="20"/>
              </w:rPr>
              <w:t>Transactions Involving Owners</w:t>
            </w:r>
          </w:p>
        </w:tc>
        <w:tc>
          <w:tcPr>
            <w:tcW w:w="5361" w:type="dxa"/>
            <w:gridSpan w:val="4"/>
          </w:tcPr>
          <w:p w:rsidR="006C17CB" w:rsidRDefault="006C17CB">
            <w:pPr>
              <w:pStyle w:val="TableParagraph"/>
              <w:jc w:val="left"/>
              <w:rPr>
                <w:rFonts w:ascii="Times New Roman"/>
                <w:sz w:val="18"/>
              </w:rPr>
            </w:pPr>
          </w:p>
        </w:tc>
      </w:tr>
    </w:tbl>
    <w:p w:rsidR="006C17CB" w:rsidRDefault="0030091C">
      <w:pPr>
        <w:spacing w:line="245" w:lineRule="exact"/>
        <w:ind w:left="1040"/>
        <w:rPr>
          <w:rFonts w:ascii="Calibri"/>
          <w:b/>
          <w:sz w:val="20"/>
        </w:rPr>
      </w:pPr>
      <w:r>
        <w:rPr>
          <w:rFonts w:ascii="Calibri"/>
          <w:b/>
          <w:color w:val="003366"/>
          <w:sz w:val="20"/>
        </w:rPr>
        <w:t>Affecting Accumulated Funds</w:t>
      </w:r>
    </w:p>
    <w:p w:rsidR="006C17CB" w:rsidRDefault="0030091C">
      <w:pPr>
        <w:tabs>
          <w:tab w:val="left" w:pos="4573"/>
          <w:tab w:val="left" w:pos="5773"/>
          <w:tab w:val="left" w:pos="7287"/>
          <w:tab w:val="left" w:pos="8175"/>
          <w:tab w:val="left" w:pos="9371"/>
        </w:tabs>
        <w:spacing w:line="287" w:lineRule="exact"/>
        <w:ind w:left="757"/>
        <w:rPr>
          <w:rFonts w:ascii="Calibri"/>
          <w:sz w:val="20"/>
        </w:rPr>
      </w:pPr>
      <w:r>
        <w:rPr>
          <w:rFonts w:ascii="Calibri"/>
          <w:color w:val="003366"/>
          <w:sz w:val="20"/>
        </w:rPr>
        <w:t>Capital</w:t>
      </w:r>
      <w:r>
        <w:rPr>
          <w:rFonts w:ascii="Calibri"/>
          <w:color w:val="003366"/>
          <w:spacing w:val="-3"/>
          <w:sz w:val="20"/>
        </w:rPr>
        <w:t xml:space="preserve"> </w:t>
      </w:r>
      <w:r>
        <w:rPr>
          <w:rFonts w:ascii="Calibri"/>
          <w:color w:val="003366"/>
          <w:sz w:val="20"/>
        </w:rPr>
        <w:t>Injections</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149</w:t>
      </w:r>
      <w:r>
        <w:rPr>
          <w:rFonts w:ascii="Calibri"/>
          <w:color w:val="003366"/>
          <w:sz w:val="20"/>
          <w:u w:val="single" w:color="003366"/>
        </w:rPr>
        <w:tab/>
        <w:t>-</w:t>
      </w:r>
      <w:r>
        <w:rPr>
          <w:rFonts w:ascii="Calibri"/>
          <w:color w:val="003366"/>
          <w:sz w:val="20"/>
          <w:u w:val="single" w:color="003366"/>
        </w:rPr>
        <w:tab/>
        <w:t>149</w:t>
      </w:r>
      <w:r>
        <w:rPr>
          <w:rFonts w:ascii="Calibri"/>
          <w:color w:val="003366"/>
          <w:sz w:val="20"/>
          <w:u w:val="single" w:color="003366"/>
        </w:rPr>
        <w:tab/>
        <w:t>5</w:t>
      </w:r>
      <w:r>
        <w:rPr>
          <w:rFonts w:ascii="Calibri"/>
          <w:color w:val="003366"/>
          <w:spacing w:val="16"/>
          <w:sz w:val="20"/>
          <w:u w:val="single" w:color="003366"/>
        </w:rPr>
        <w:t xml:space="preserve"> </w:t>
      </w:r>
    </w:p>
    <w:p w:rsidR="006C17CB" w:rsidRDefault="0030091C">
      <w:pPr>
        <w:spacing w:before="7" w:line="265" w:lineRule="exact"/>
        <w:ind w:left="757"/>
        <w:rPr>
          <w:rFonts w:ascii="Calibri"/>
          <w:b/>
          <w:sz w:val="20"/>
        </w:rPr>
      </w:pPr>
      <w:r>
        <w:rPr>
          <w:rFonts w:ascii="Calibri"/>
          <w:b/>
          <w:color w:val="003366"/>
          <w:sz w:val="20"/>
        </w:rPr>
        <w:t>Total Transactions Involving Owners</w:t>
      </w:r>
    </w:p>
    <w:p w:rsidR="006C17CB" w:rsidRDefault="0030091C">
      <w:pPr>
        <w:tabs>
          <w:tab w:val="left" w:pos="4573"/>
          <w:tab w:val="left" w:pos="5773"/>
          <w:tab w:val="left" w:pos="7287"/>
          <w:tab w:val="left" w:pos="8175"/>
          <w:tab w:val="left" w:pos="9371"/>
        </w:tabs>
        <w:spacing w:line="265" w:lineRule="exact"/>
        <w:ind w:left="1040"/>
        <w:rPr>
          <w:rFonts w:ascii="Calibri"/>
          <w:b/>
          <w:sz w:val="20"/>
        </w:rPr>
      </w:pPr>
      <w:r>
        <w:rPr>
          <w:rFonts w:ascii="Calibri"/>
          <w:b/>
          <w:color w:val="003366"/>
          <w:sz w:val="20"/>
        </w:rPr>
        <w:t>Affecting</w:t>
      </w:r>
      <w:r>
        <w:rPr>
          <w:rFonts w:ascii="Calibri"/>
          <w:b/>
          <w:color w:val="003366"/>
          <w:spacing w:val="-3"/>
          <w:sz w:val="20"/>
        </w:rPr>
        <w:t xml:space="preserve"> </w:t>
      </w:r>
      <w:r>
        <w:rPr>
          <w:rFonts w:ascii="Calibri"/>
          <w:b/>
          <w:color w:val="003366"/>
          <w:sz w:val="20"/>
        </w:rPr>
        <w:t>Accumulated</w:t>
      </w:r>
      <w:r>
        <w:rPr>
          <w:rFonts w:ascii="Calibri"/>
          <w:b/>
          <w:color w:val="003366"/>
          <w:spacing w:val="-1"/>
          <w:sz w:val="20"/>
        </w:rPr>
        <w:t xml:space="preserve"> </w:t>
      </w:r>
      <w:r>
        <w:rPr>
          <w:rFonts w:ascii="Calibri"/>
          <w:b/>
          <w:color w:val="003366"/>
          <w:sz w:val="20"/>
        </w:rPr>
        <w:t>Funds</w:t>
      </w:r>
      <w:r>
        <w:rPr>
          <w:rFonts w:ascii="Calibri"/>
          <w:b/>
          <w:color w:val="003366"/>
          <w:sz w:val="20"/>
        </w:rPr>
        <w:tab/>
      </w:r>
      <w:r>
        <w:rPr>
          <w:rFonts w:ascii="Calibri"/>
          <w:b/>
          <w:color w:val="003366"/>
          <w:sz w:val="20"/>
          <w:u w:val="single" w:color="003366"/>
        </w:rPr>
        <w:t xml:space="preserve"> </w:t>
      </w:r>
      <w:r>
        <w:rPr>
          <w:rFonts w:ascii="Calibri"/>
          <w:b/>
          <w:color w:val="003366"/>
          <w:sz w:val="20"/>
          <w:u w:val="single" w:color="003366"/>
        </w:rPr>
        <w:tab/>
        <w:t>149</w:t>
      </w:r>
      <w:r>
        <w:rPr>
          <w:rFonts w:ascii="Calibri"/>
          <w:b/>
          <w:color w:val="003366"/>
          <w:sz w:val="20"/>
          <w:u w:val="single" w:color="003366"/>
        </w:rPr>
        <w:tab/>
        <w:t>-</w:t>
      </w:r>
      <w:r>
        <w:rPr>
          <w:rFonts w:ascii="Calibri"/>
          <w:b/>
          <w:color w:val="003366"/>
          <w:sz w:val="20"/>
          <w:u w:val="single" w:color="003366"/>
        </w:rPr>
        <w:tab/>
        <w:t>149</w:t>
      </w:r>
      <w:r>
        <w:rPr>
          <w:rFonts w:ascii="Calibri"/>
          <w:b/>
          <w:color w:val="003366"/>
          <w:sz w:val="20"/>
          <w:u w:val="single" w:color="003366"/>
        </w:rPr>
        <w:tab/>
        <w:t>5</w:t>
      </w:r>
      <w:r>
        <w:rPr>
          <w:rFonts w:ascii="Calibri"/>
          <w:b/>
          <w:color w:val="003366"/>
          <w:spacing w:val="16"/>
          <w:sz w:val="20"/>
          <w:u w:val="single" w:color="003366"/>
        </w:rPr>
        <w:t xml:space="preserve"> </w:t>
      </w:r>
    </w:p>
    <w:p w:rsidR="006C17CB" w:rsidRDefault="00FE24A7">
      <w:pPr>
        <w:pStyle w:val="BodyText"/>
        <w:spacing w:before="9"/>
        <w:rPr>
          <w:rFonts w:ascii="Calibri"/>
          <w:b/>
          <w:sz w:val="17"/>
        </w:rPr>
      </w:pPr>
      <w:r>
        <w:pict>
          <v:group id="_x0000_s1478" alt="" style="position:absolute;margin-left:277.7pt;margin-top:14.7pt;width:250.35pt;height:.5pt;z-index:1936;mso-wrap-distance-left:0;mso-wrap-distance-right:0;mso-position-horizontal-relative:page" coordorigin="5554,294" coordsize="5007,10">
            <v:line id="_x0000_s1479" alt="" style="position:absolute" from="5554,299" to="7166,299" strokecolor="#036" strokeweight=".48pt"/>
            <v:rect id="_x0000_s1480" alt="" style="position:absolute;left:7166;top:294;width:10;height:10" fillcolor="#036" stroked="f"/>
            <v:line id="_x0000_s1481" alt="" style="position:absolute" from="7176,299" to="8438,299" strokecolor="#036" strokeweight=".48pt"/>
            <v:rect id="_x0000_s1482" alt="" style="position:absolute;left:8438;top:294;width:10;height:10" fillcolor="#036" stroked="f"/>
            <v:line id="_x0000_s1483" alt="" style="position:absolute" from="8448,299" to="9569,299" strokecolor="#036" strokeweight=".48pt"/>
            <v:rect id="_x0000_s1484" alt="" style="position:absolute;left:9568;top:294;width:10;height:10" fillcolor="#036" stroked="f"/>
            <v:line id="_x0000_s1485" alt="" style="position:absolute" from="9578,299" to="10560,299" strokecolor="#036" strokeweight=".48pt"/>
            <w10:wrap type="topAndBottom" anchorx="page"/>
          </v:group>
        </w:pict>
      </w:r>
    </w:p>
    <w:p w:rsidR="006C17CB" w:rsidRDefault="0030091C">
      <w:pPr>
        <w:tabs>
          <w:tab w:val="left" w:pos="5622"/>
          <w:tab w:val="left" w:pos="6894"/>
          <w:tab w:val="left" w:pos="8024"/>
          <w:tab w:val="left" w:pos="9015"/>
        </w:tabs>
        <w:spacing w:line="255" w:lineRule="exact"/>
        <w:ind w:left="757"/>
        <w:rPr>
          <w:rFonts w:ascii="Calibri"/>
          <w:b/>
          <w:sz w:val="20"/>
        </w:rPr>
      </w:pPr>
      <w:r>
        <w:rPr>
          <w:rFonts w:ascii="Calibri"/>
          <w:b/>
          <w:color w:val="003366"/>
          <w:sz w:val="20"/>
        </w:rPr>
        <w:t>Balance at 30</w:t>
      </w:r>
      <w:r>
        <w:rPr>
          <w:rFonts w:ascii="Calibri"/>
          <w:b/>
          <w:color w:val="003366"/>
          <w:spacing w:val="-5"/>
          <w:sz w:val="20"/>
        </w:rPr>
        <w:t xml:space="preserve"> </w:t>
      </w:r>
      <w:r>
        <w:rPr>
          <w:rFonts w:ascii="Calibri"/>
          <w:b/>
          <w:color w:val="003366"/>
          <w:sz w:val="20"/>
        </w:rPr>
        <w:t>June</w:t>
      </w:r>
      <w:r>
        <w:rPr>
          <w:rFonts w:ascii="Calibri"/>
          <w:b/>
          <w:color w:val="003366"/>
          <w:spacing w:val="-2"/>
          <w:sz w:val="20"/>
        </w:rPr>
        <w:t xml:space="preserve"> </w:t>
      </w:r>
      <w:r>
        <w:rPr>
          <w:rFonts w:ascii="Calibri"/>
          <w:b/>
          <w:color w:val="003366"/>
          <w:sz w:val="20"/>
        </w:rPr>
        <w:t>2018</w:t>
      </w:r>
      <w:r>
        <w:rPr>
          <w:rFonts w:ascii="Calibri"/>
          <w:b/>
          <w:color w:val="003366"/>
          <w:sz w:val="20"/>
        </w:rPr>
        <w:tab/>
        <w:t>2,674</w:t>
      </w:r>
      <w:r>
        <w:rPr>
          <w:rFonts w:ascii="Calibri"/>
          <w:b/>
          <w:color w:val="003366"/>
          <w:sz w:val="20"/>
        </w:rPr>
        <w:tab/>
        <w:t>1,234</w:t>
      </w:r>
      <w:r>
        <w:rPr>
          <w:rFonts w:ascii="Calibri"/>
          <w:b/>
          <w:color w:val="003366"/>
          <w:sz w:val="20"/>
        </w:rPr>
        <w:tab/>
        <w:t>3,908</w:t>
      </w:r>
      <w:r>
        <w:rPr>
          <w:rFonts w:ascii="Calibri"/>
          <w:b/>
          <w:color w:val="003366"/>
          <w:sz w:val="20"/>
        </w:rPr>
        <w:tab/>
        <w:t>3,045</w:t>
      </w:r>
    </w:p>
    <w:p w:rsidR="006C17CB" w:rsidRDefault="00FE24A7">
      <w:pPr>
        <w:pStyle w:val="BodyText"/>
        <w:spacing w:line="29" w:lineRule="exact"/>
        <w:ind w:left="4568"/>
        <w:rPr>
          <w:rFonts w:ascii="Calibri"/>
          <w:sz w:val="2"/>
        </w:rPr>
      </w:pPr>
      <w:r>
        <w:rPr>
          <w:rFonts w:ascii="Calibri"/>
          <w:sz w:val="2"/>
        </w:rPr>
      </w:r>
      <w:r>
        <w:rPr>
          <w:rFonts w:ascii="Calibri"/>
          <w:sz w:val="2"/>
        </w:rPr>
        <w:pict>
          <v:group id="_x0000_s1463" alt="" style="width:250.35pt;height:1.45pt;mso-position-horizontal-relative:char;mso-position-vertical-relative:line" coordsize="5007,29">
            <v:line id="_x0000_s1464" alt="" style="position:absolute" from="0,5" to="1613,5" strokecolor="#036" strokeweight=".48pt"/>
            <v:line id="_x0000_s1465" alt="" style="position:absolute" from="0,24" to="1613,24" strokecolor="#036" strokeweight=".48pt"/>
            <v:rect id="_x0000_s1466" alt="" style="position:absolute;left:1612;width:29;height:10" fillcolor="#036" stroked="f"/>
            <v:rect id="_x0000_s1467" alt="" style="position:absolute;left:1612;top:19;width:29;height:10" fillcolor="#036" stroked="f"/>
            <v:line id="_x0000_s1468" alt="" style="position:absolute" from="1642,5" to="2885,5" strokecolor="#036" strokeweight=".48pt"/>
            <v:line id="_x0000_s1469" alt="" style="position:absolute" from="1642,24" to="2885,24" strokecolor="#036" strokeweight=".48pt"/>
            <v:rect id="_x0000_s1470" alt="" style="position:absolute;left:2884;width:29;height:10" fillcolor="#036" stroked="f"/>
            <v:rect id="_x0000_s1471" alt="" style="position:absolute;left:2884;top:19;width:29;height:10" fillcolor="#036" stroked="f"/>
            <v:line id="_x0000_s1472" alt="" style="position:absolute" from="2914,5" to="4015,5" strokecolor="#036" strokeweight=".48pt"/>
            <v:line id="_x0000_s1473" alt="" style="position:absolute" from="2914,24" to="4015,24" strokecolor="#036" strokeweight=".48pt"/>
            <v:rect id="_x0000_s1474" alt="" style="position:absolute;left:4015;width:29;height:10" fillcolor="#036" stroked="f"/>
            <v:rect id="_x0000_s1475" alt="" style="position:absolute;left:4015;top:19;width:29;height:10" fillcolor="#036" stroked="f"/>
            <v:line id="_x0000_s1476" alt="" style="position:absolute" from="4044,5" to="5006,5" strokecolor="#036" strokeweight=".48pt"/>
            <v:line id="_x0000_s1477" alt="" style="position:absolute" from="4044,24" to="5006,24" strokecolor="#036" strokeweight=".48pt"/>
            <w10:anchorlock/>
          </v:group>
        </w:pict>
      </w:r>
    </w:p>
    <w:p w:rsidR="006C17CB" w:rsidRDefault="006C17CB">
      <w:pPr>
        <w:pStyle w:val="BodyText"/>
        <w:spacing w:before="4"/>
        <w:rPr>
          <w:rFonts w:ascii="Calibri"/>
          <w:b/>
          <w:sz w:val="23"/>
        </w:rPr>
      </w:pPr>
    </w:p>
    <w:p w:rsidR="006C17CB" w:rsidRDefault="006C17CB">
      <w:pPr>
        <w:rPr>
          <w:rFonts w:ascii="Calibri"/>
          <w:sz w:val="23"/>
        </w:rPr>
        <w:sectPr w:rsidR="006C17CB">
          <w:pgSz w:w="11910" w:h="16840"/>
          <w:pgMar w:top="1460" w:right="0" w:bottom="720" w:left="980" w:header="1189" w:footer="523" w:gutter="0"/>
          <w:cols w:space="720"/>
        </w:sectPr>
      </w:pPr>
    </w:p>
    <w:p w:rsidR="006C17CB" w:rsidRDefault="006C17CB">
      <w:pPr>
        <w:pStyle w:val="BodyText"/>
        <w:spacing w:before="12"/>
        <w:rPr>
          <w:rFonts w:ascii="Calibri"/>
          <w:b/>
          <w:sz w:val="17"/>
        </w:rPr>
      </w:pPr>
    </w:p>
    <w:p w:rsidR="006C17CB" w:rsidRDefault="0030091C">
      <w:pPr>
        <w:spacing w:before="1" w:line="267" w:lineRule="exact"/>
        <w:jc w:val="right"/>
        <w:rPr>
          <w:rFonts w:ascii="Calibri"/>
          <w:b/>
          <w:sz w:val="20"/>
        </w:rPr>
      </w:pPr>
      <w:r>
        <w:rPr>
          <w:rFonts w:ascii="Calibri"/>
          <w:b/>
          <w:color w:val="003366"/>
          <w:w w:val="95"/>
          <w:sz w:val="20"/>
        </w:rPr>
        <w:t>Accumulated</w:t>
      </w:r>
    </w:p>
    <w:p w:rsidR="006C17CB" w:rsidRDefault="0030091C">
      <w:pPr>
        <w:spacing w:before="13" w:line="204" w:lineRule="auto"/>
        <w:ind w:left="5548" w:firstLine="36"/>
        <w:jc w:val="both"/>
        <w:rPr>
          <w:rFonts w:ascii="Calibri"/>
          <w:b/>
          <w:sz w:val="20"/>
        </w:rPr>
      </w:pPr>
      <w:r>
        <w:rPr>
          <w:rFonts w:ascii="Calibri"/>
          <w:b/>
          <w:color w:val="003366"/>
          <w:sz w:val="20"/>
        </w:rPr>
        <w:t>Funds</w:t>
      </w:r>
      <w:r>
        <w:rPr>
          <w:rFonts w:ascii="Calibri"/>
          <w:b/>
          <w:color w:val="003366"/>
          <w:w w:val="99"/>
          <w:sz w:val="20"/>
        </w:rPr>
        <w:t xml:space="preserve"> </w:t>
      </w:r>
      <w:r>
        <w:rPr>
          <w:rFonts w:ascii="Calibri"/>
          <w:b/>
          <w:color w:val="003366"/>
          <w:sz w:val="20"/>
        </w:rPr>
        <w:t>Actual</w:t>
      </w:r>
      <w:r>
        <w:rPr>
          <w:rFonts w:ascii="Calibri"/>
          <w:b/>
          <w:color w:val="003366"/>
          <w:w w:val="99"/>
          <w:sz w:val="20"/>
        </w:rPr>
        <w:t xml:space="preserve"> </w:t>
      </w:r>
      <w:r>
        <w:rPr>
          <w:rFonts w:ascii="Calibri"/>
          <w:b/>
          <w:color w:val="003366"/>
          <w:sz w:val="20"/>
        </w:rPr>
        <w:t>2017</w:t>
      </w:r>
    </w:p>
    <w:p w:rsidR="006C17CB" w:rsidRDefault="0030091C">
      <w:pPr>
        <w:spacing w:line="250" w:lineRule="exact"/>
        <w:jc w:val="right"/>
        <w:rPr>
          <w:rFonts w:ascii="Calibri" w:hAnsi="Calibri"/>
          <w:b/>
          <w:sz w:val="20"/>
        </w:rPr>
      </w:pPr>
      <w:r>
        <w:rPr>
          <w:rFonts w:ascii="Calibri" w:hAnsi="Calibri"/>
          <w:b/>
          <w:color w:val="003366"/>
          <w:w w:val="95"/>
          <w:sz w:val="20"/>
        </w:rPr>
        <w:t>$’000</w:t>
      </w:r>
    </w:p>
    <w:p w:rsidR="006C17CB" w:rsidRDefault="0030091C">
      <w:pPr>
        <w:spacing w:before="53" w:line="201" w:lineRule="auto"/>
        <w:ind w:left="235" w:firstLine="544"/>
        <w:rPr>
          <w:rFonts w:ascii="Calibri"/>
          <w:b/>
          <w:sz w:val="20"/>
        </w:rPr>
      </w:pPr>
      <w:r>
        <w:br w:type="column"/>
      </w:r>
      <w:r>
        <w:rPr>
          <w:rFonts w:ascii="Calibri"/>
          <w:b/>
          <w:color w:val="003366"/>
          <w:w w:val="95"/>
          <w:sz w:val="20"/>
        </w:rPr>
        <w:t>Asset Revaluation</w:t>
      </w:r>
    </w:p>
    <w:p w:rsidR="006C17CB" w:rsidRDefault="0030091C">
      <w:pPr>
        <w:spacing w:line="204" w:lineRule="auto"/>
        <w:ind w:left="701" w:hanging="87"/>
        <w:jc w:val="both"/>
        <w:rPr>
          <w:rFonts w:ascii="Calibri"/>
          <w:b/>
          <w:sz w:val="20"/>
        </w:rPr>
      </w:pPr>
      <w:r>
        <w:rPr>
          <w:rFonts w:ascii="Calibri"/>
          <w:b/>
          <w:color w:val="003366"/>
          <w:sz w:val="20"/>
        </w:rPr>
        <w:t>Surplus</w:t>
      </w:r>
      <w:r>
        <w:rPr>
          <w:rFonts w:ascii="Calibri"/>
          <w:b/>
          <w:color w:val="003366"/>
          <w:w w:val="99"/>
          <w:sz w:val="20"/>
        </w:rPr>
        <w:t xml:space="preserve"> </w:t>
      </w:r>
      <w:r>
        <w:rPr>
          <w:rFonts w:ascii="Calibri"/>
          <w:b/>
          <w:color w:val="003366"/>
          <w:sz w:val="20"/>
        </w:rPr>
        <w:t>Actual</w:t>
      </w:r>
      <w:r>
        <w:rPr>
          <w:rFonts w:ascii="Calibri"/>
          <w:b/>
          <w:color w:val="003366"/>
          <w:w w:val="99"/>
          <w:sz w:val="20"/>
        </w:rPr>
        <w:t xml:space="preserve"> </w:t>
      </w:r>
      <w:r>
        <w:rPr>
          <w:rFonts w:ascii="Calibri"/>
          <w:b/>
          <w:color w:val="003366"/>
          <w:sz w:val="20"/>
        </w:rPr>
        <w:t>2017</w:t>
      </w:r>
    </w:p>
    <w:p w:rsidR="006C17CB" w:rsidRDefault="0030091C">
      <w:pPr>
        <w:spacing w:line="250" w:lineRule="exact"/>
        <w:ind w:left="775"/>
        <w:rPr>
          <w:rFonts w:ascii="Calibri" w:hAnsi="Calibri"/>
          <w:b/>
          <w:sz w:val="20"/>
        </w:rPr>
      </w:pPr>
      <w:r>
        <w:rPr>
          <w:rFonts w:ascii="Calibri" w:hAnsi="Calibri"/>
          <w:b/>
          <w:color w:val="003366"/>
          <w:spacing w:val="-1"/>
          <w:sz w:val="20"/>
        </w:rPr>
        <w:t>$’000</w:t>
      </w:r>
    </w:p>
    <w:p w:rsidR="006C17CB" w:rsidRDefault="0030091C">
      <w:pPr>
        <w:pStyle w:val="BodyText"/>
        <w:spacing w:before="4"/>
        <w:rPr>
          <w:rFonts w:ascii="Calibri"/>
          <w:b/>
          <w:sz w:val="20"/>
        </w:rPr>
      </w:pPr>
      <w:r>
        <w:br w:type="column"/>
      </w:r>
    </w:p>
    <w:p w:rsidR="006C17CB" w:rsidRDefault="0030091C">
      <w:pPr>
        <w:spacing w:before="1" w:line="204" w:lineRule="auto"/>
        <w:ind w:left="559" w:right="2444" w:firstLine="105"/>
        <w:jc w:val="both"/>
        <w:rPr>
          <w:rFonts w:ascii="Calibri"/>
          <w:b/>
          <w:sz w:val="20"/>
        </w:rPr>
      </w:pPr>
      <w:r>
        <w:rPr>
          <w:rFonts w:ascii="Calibri"/>
          <w:b/>
          <w:color w:val="003366"/>
          <w:sz w:val="20"/>
        </w:rPr>
        <w:t>Total Equity Actual 2017</w:t>
      </w:r>
    </w:p>
    <w:p w:rsidR="006C17CB" w:rsidRDefault="0030091C">
      <w:pPr>
        <w:spacing w:line="250" w:lineRule="exact"/>
        <w:ind w:left="634"/>
        <w:jc w:val="both"/>
        <w:rPr>
          <w:rFonts w:ascii="Calibri" w:hAnsi="Calibri"/>
          <w:b/>
          <w:sz w:val="20"/>
        </w:rPr>
      </w:pPr>
      <w:r>
        <w:rPr>
          <w:rFonts w:ascii="Calibri" w:hAnsi="Calibri"/>
          <w:b/>
          <w:color w:val="003366"/>
          <w:sz w:val="20"/>
        </w:rPr>
        <w:t>$’000</w:t>
      </w:r>
    </w:p>
    <w:p w:rsidR="006C17CB" w:rsidRDefault="006C17CB">
      <w:pPr>
        <w:spacing w:line="250" w:lineRule="exact"/>
        <w:jc w:val="both"/>
        <w:rPr>
          <w:rFonts w:ascii="Calibri" w:hAnsi="Calibri"/>
          <w:sz w:val="20"/>
        </w:rPr>
        <w:sectPr w:rsidR="006C17CB">
          <w:type w:val="continuous"/>
          <w:pgSz w:w="11910" w:h="16840"/>
          <w:pgMar w:top="1580" w:right="0" w:bottom="280" w:left="980" w:header="720" w:footer="720" w:gutter="0"/>
          <w:cols w:num="3" w:space="720" w:equalWidth="0">
            <w:col w:w="6079" w:space="40"/>
            <w:col w:w="1232" w:space="39"/>
            <w:col w:w="3540"/>
          </w:cols>
        </w:sectPr>
      </w:pPr>
    </w:p>
    <w:p w:rsidR="006C17CB" w:rsidRDefault="006C17CB">
      <w:pPr>
        <w:pStyle w:val="BodyText"/>
        <w:spacing w:before="6"/>
        <w:rPr>
          <w:rFonts w:ascii="Calibri"/>
          <w:b/>
          <w:sz w:val="18"/>
        </w:rPr>
      </w:pPr>
    </w:p>
    <w:p w:rsidR="006C17CB" w:rsidRDefault="0030091C">
      <w:pPr>
        <w:tabs>
          <w:tab w:val="left" w:pos="4573"/>
          <w:tab w:val="left" w:pos="5622"/>
          <w:tab w:val="left" w:pos="7045"/>
          <w:tab w:val="left" w:pos="7935"/>
        </w:tabs>
        <w:spacing w:before="15"/>
        <w:ind w:left="757"/>
        <w:rPr>
          <w:rFonts w:ascii="Calibri"/>
          <w:b/>
          <w:sz w:val="20"/>
        </w:rPr>
      </w:pPr>
      <w:r>
        <w:rPr>
          <w:rFonts w:ascii="Calibri"/>
          <w:b/>
          <w:color w:val="003366"/>
          <w:sz w:val="20"/>
        </w:rPr>
        <w:t>Balance at 1</w:t>
      </w:r>
      <w:r>
        <w:rPr>
          <w:rFonts w:ascii="Calibri"/>
          <w:b/>
          <w:color w:val="003366"/>
          <w:spacing w:val="-4"/>
          <w:sz w:val="20"/>
        </w:rPr>
        <w:t xml:space="preserve"> </w:t>
      </w:r>
      <w:r>
        <w:rPr>
          <w:rFonts w:ascii="Calibri"/>
          <w:b/>
          <w:color w:val="003366"/>
          <w:sz w:val="20"/>
        </w:rPr>
        <w:t>July</w:t>
      </w:r>
      <w:r>
        <w:rPr>
          <w:rFonts w:ascii="Calibri"/>
          <w:b/>
          <w:color w:val="003366"/>
          <w:spacing w:val="-3"/>
          <w:sz w:val="20"/>
        </w:rPr>
        <w:t xml:space="preserve"> </w:t>
      </w:r>
      <w:r>
        <w:rPr>
          <w:rFonts w:ascii="Calibri"/>
          <w:b/>
          <w:color w:val="003366"/>
          <w:sz w:val="20"/>
        </w:rPr>
        <w:t>2016</w:t>
      </w:r>
      <w:r>
        <w:rPr>
          <w:rFonts w:ascii="Calibri"/>
          <w:b/>
          <w:color w:val="003366"/>
          <w:sz w:val="20"/>
        </w:rPr>
        <w:tab/>
      </w:r>
      <w:r>
        <w:rPr>
          <w:rFonts w:ascii="Calibri"/>
          <w:b/>
          <w:color w:val="003366"/>
          <w:sz w:val="20"/>
          <w:u w:val="single" w:color="003366"/>
        </w:rPr>
        <w:t xml:space="preserve"> </w:t>
      </w:r>
      <w:r>
        <w:rPr>
          <w:rFonts w:ascii="Calibri"/>
          <w:b/>
          <w:color w:val="003366"/>
          <w:sz w:val="20"/>
          <w:u w:val="single" w:color="003366"/>
        </w:rPr>
        <w:tab/>
        <w:t>1,638</w:t>
      </w:r>
      <w:r>
        <w:rPr>
          <w:rFonts w:ascii="Calibri"/>
          <w:b/>
          <w:color w:val="003366"/>
          <w:sz w:val="20"/>
          <w:u w:val="single" w:color="003366"/>
        </w:rPr>
        <w:tab/>
        <w:t>932</w:t>
      </w:r>
      <w:r>
        <w:rPr>
          <w:rFonts w:ascii="Calibri"/>
          <w:b/>
          <w:color w:val="003366"/>
          <w:sz w:val="20"/>
          <w:u w:val="single" w:color="003366"/>
        </w:rPr>
        <w:tab/>
        <w:t>2,570</w:t>
      </w:r>
      <w:r>
        <w:rPr>
          <w:rFonts w:ascii="Calibri"/>
          <w:b/>
          <w:color w:val="003366"/>
          <w:spacing w:val="18"/>
          <w:sz w:val="20"/>
          <w:u w:val="single" w:color="003366"/>
        </w:rPr>
        <w:t xml:space="preserve"> </w:t>
      </w:r>
    </w:p>
    <w:p w:rsidR="006C17CB" w:rsidRDefault="006C17CB">
      <w:pPr>
        <w:pStyle w:val="BodyText"/>
        <w:spacing w:before="1"/>
        <w:rPr>
          <w:rFonts w:ascii="Calibri"/>
          <w:b/>
          <w:sz w:val="19"/>
        </w:rPr>
      </w:pPr>
    </w:p>
    <w:p w:rsidR="006C17CB" w:rsidRDefault="0030091C">
      <w:pPr>
        <w:spacing w:before="15" w:line="287" w:lineRule="exact"/>
        <w:ind w:left="757"/>
        <w:rPr>
          <w:rFonts w:ascii="Calibri"/>
          <w:b/>
          <w:sz w:val="20"/>
        </w:rPr>
      </w:pPr>
      <w:r>
        <w:rPr>
          <w:rFonts w:ascii="Calibri"/>
          <w:b/>
          <w:color w:val="003366"/>
          <w:sz w:val="20"/>
        </w:rPr>
        <w:t>Comprehensive Income</w:t>
      </w:r>
    </w:p>
    <w:p w:rsidR="006C17CB" w:rsidRDefault="0030091C">
      <w:pPr>
        <w:tabs>
          <w:tab w:val="left" w:pos="5773"/>
          <w:tab w:val="left" w:pos="7287"/>
          <w:tab w:val="right" w:pos="8389"/>
        </w:tabs>
        <w:spacing w:line="284" w:lineRule="exact"/>
        <w:ind w:left="757"/>
        <w:rPr>
          <w:rFonts w:ascii="Calibri"/>
          <w:sz w:val="20"/>
        </w:rPr>
      </w:pPr>
      <w:r>
        <w:rPr>
          <w:rFonts w:ascii="Calibri"/>
          <w:color w:val="003366"/>
          <w:sz w:val="20"/>
        </w:rPr>
        <w:t>Operating</w:t>
      </w:r>
      <w:r>
        <w:rPr>
          <w:rFonts w:ascii="Calibri"/>
          <w:color w:val="003366"/>
          <w:spacing w:val="-3"/>
          <w:sz w:val="20"/>
        </w:rPr>
        <w:t xml:space="preserve"> </w:t>
      </w:r>
      <w:r>
        <w:rPr>
          <w:rFonts w:ascii="Calibri"/>
          <w:color w:val="003366"/>
          <w:sz w:val="20"/>
        </w:rPr>
        <w:t>Surplus</w:t>
      </w:r>
      <w:r>
        <w:rPr>
          <w:rFonts w:ascii="Calibri"/>
          <w:color w:val="003366"/>
          <w:sz w:val="20"/>
        </w:rPr>
        <w:tab/>
        <w:t>314</w:t>
      </w:r>
      <w:r>
        <w:rPr>
          <w:rFonts w:ascii="Calibri"/>
          <w:color w:val="003366"/>
          <w:sz w:val="20"/>
        </w:rPr>
        <w:tab/>
        <w:t>-</w:t>
      </w:r>
      <w:r>
        <w:rPr>
          <w:rFonts w:ascii="Calibri"/>
          <w:color w:val="003366"/>
          <w:sz w:val="20"/>
        </w:rPr>
        <w:tab/>
        <w:t>314</w:t>
      </w:r>
    </w:p>
    <w:p w:rsidR="006C17CB" w:rsidRDefault="0030091C">
      <w:pPr>
        <w:tabs>
          <w:tab w:val="left" w:pos="4573"/>
          <w:tab w:val="left" w:pos="6015"/>
          <w:tab w:val="left" w:pos="7045"/>
          <w:tab w:val="left" w:pos="8087"/>
        </w:tabs>
        <w:spacing w:line="286" w:lineRule="exact"/>
        <w:ind w:left="757"/>
        <w:rPr>
          <w:rFonts w:ascii="Calibri"/>
          <w:sz w:val="20"/>
        </w:rPr>
      </w:pPr>
      <w:r>
        <w:rPr>
          <w:rFonts w:ascii="Calibri"/>
          <w:color w:val="003366"/>
          <w:sz w:val="20"/>
        </w:rPr>
        <w:t>Increase in Asset</w:t>
      </w:r>
      <w:r>
        <w:rPr>
          <w:rFonts w:ascii="Calibri"/>
          <w:color w:val="003366"/>
          <w:spacing w:val="-10"/>
          <w:sz w:val="20"/>
        </w:rPr>
        <w:t xml:space="preserve"> </w:t>
      </w:r>
      <w:r>
        <w:rPr>
          <w:rFonts w:ascii="Calibri"/>
          <w:color w:val="003366"/>
          <w:sz w:val="20"/>
        </w:rPr>
        <w:t>Revaluation</w:t>
      </w:r>
      <w:r>
        <w:rPr>
          <w:rFonts w:ascii="Calibri"/>
          <w:color w:val="003366"/>
          <w:spacing w:val="-3"/>
          <w:sz w:val="20"/>
        </w:rPr>
        <w:t xml:space="preserve"> </w:t>
      </w:r>
      <w:r>
        <w:rPr>
          <w:rFonts w:ascii="Calibri"/>
          <w:color w:val="003366"/>
          <w:sz w:val="20"/>
        </w:rPr>
        <w:t>Surplus</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w:t>
      </w:r>
      <w:r>
        <w:rPr>
          <w:rFonts w:ascii="Calibri"/>
          <w:color w:val="003366"/>
          <w:sz w:val="20"/>
          <w:u w:val="single" w:color="003366"/>
        </w:rPr>
        <w:tab/>
        <w:t>313</w:t>
      </w:r>
      <w:r>
        <w:rPr>
          <w:rFonts w:ascii="Calibri"/>
          <w:color w:val="003366"/>
          <w:sz w:val="20"/>
          <w:u w:val="single" w:color="003366"/>
        </w:rPr>
        <w:tab/>
        <w:t>313</w:t>
      </w:r>
      <w:r>
        <w:rPr>
          <w:rFonts w:ascii="Calibri"/>
          <w:color w:val="003366"/>
          <w:spacing w:val="18"/>
          <w:sz w:val="20"/>
          <w:u w:val="single" w:color="003366"/>
        </w:rPr>
        <w:t xml:space="preserve"> </w:t>
      </w:r>
    </w:p>
    <w:p w:rsidR="006C17CB" w:rsidRDefault="0030091C">
      <w:pPr>
        <w:tabs>
          <w:tab w:val="left" w:pos="4573"/>
          <w:tab w:val="left" w:pos="5773"/>
          <w:tab w:val="left" w:pos="7045"/>
          <w:tab w:val="left" w:pos="8087"/>
        </w:tabs>
        <w:spacing w:before="7"/>
        <w:ind w:left="757"/>
        <w:rPr>
          <w:rFonts w:ascii="Calibri"/>
          <w:b/>
          <w:sz w:val="20"/>
        </w:rPr>
      </w:pPr>
      <w:r>
        <w:rPr>
          <w:rFonts w:ascii="Calibri"/>
          <w:b/>
          <w:color w:val="003366"/>
          <w:sz w:val="20"/>
        </w:rPr>
        <w:t>Total</w:t>
      </w:r>
      <w:r>
        <w:rPr>
          <w:rFonts w:ascii="Calibri"/>
          <w:b/>
          <w:color w:val="003366"/>
          <w:spacing w:val="-3"/>
          <w:sz w:val="20"/>
        </w:rPr>
        <w:t xml:space="preserve"> </w:t>
      </w:r>
      <w:r>
        <w:rPr>
          <w:rFonts w:ascii="Calibri"/>
          <w:b/>
          <w:color w:val="003366"/>
          <w:sz w:val="20"/>
        </w:rPr>
        <w:t>Comprehensive</w:t>
      </w:r>
      <w:r>
        <w:rPr>
          <w:rFonts w:ascii="Calibri"/>
          <w:b/>
          <w:color w:val="003366"/>
          <w:spacing w:val="-1"/>
          <w:sz w:val="20"/>
        </w:rPr>
        <w:t xml:space="preserve"> </w:t>
      </w:r>
      <w:r>
        <w:rPr>
          <w:rFonts w:ascii="Calibri"/>
          <w:b/>
          <w:color w:val="003366"/>
          <w:sz w:val="20"/>
        </w:rPr>
        <w:t>Surplus</w:t>
      </w:r>
      <w:r>
        <w:rPr>
          <w:rFonts w:ascii="Calibri"/>
          <w:b/>
          <w:color w:val="003366"/>
          <w:sz w:val="20"/>
        </w:rPr>
        <w:tab/>
      </w:r>
      <w:r>
        <w:rPr>
          <w:rFonts w:ascii="Calibri"/>
          <w:b/>
          <w:color w:val="003366"/>
          <w:sz w:val="20"/>
          <w:u w:val="single" w:color="000000"/>
        </w:rPr>
        <w:t xml:space="preserve"> </w:t>
      </w:r>
      <w:r>
        <w:rPr>
          <w:rFonts w:ascii="Calibri"/>
          <w:b/>
          <w:color w:val="003366"/>
          <w:sz w:val="20"/>
          <w:u w:val="single" w:color="000000"/>
        </w:rPr>
        <w:tab/>
        <w:t>314</w:t>
      </w:r>
      <w:r>
        <w:rPr>
          <w:rFonts w:ascii="Calibri"/>
          <w:b/>
          <w:color w:val="003366"/>
          <w:sz w:val="20"/>
          <w:u w:val="single" w:color="000000"/>
        </w:rPr>
        <w:tab/>
        <w:t>313</w:t>
      </w:r>
      <w:r>
        <w:rPr>
          <w:rFonts w:ascii="Calibri"/>
          <w:b/>
          <w:color w:val="003366"/>
          <w:sz w:val="20"/>
          <w:u w:val="single" w:color="000000"/>
        </w:rPr>
        <w:tab/>
        <w:t>627</w:t>
      </w:r>
      <w:r>
        <w:rPr>
          <w:rFonts w:ascii="Calibri"/>
          <w:b/>
          <w:color w:val="003366"/>
          <w:spacing w:val="18"/>
          <w:sz w:val="20"/>
          <w:u w:val="single" w:color="000000"/>
        </w:rPr>
        <w:t xml:space="preserve"> </w:t>
      </w:r>
    </w:p>
    <w:p w:rsidR="006C17CB" w:rsidRDefault="0030091C">
      <w:pPr>
        <w:spacing w:before="327" w:line="201" w:lineRule="auto"/>
        <w:ind w:left="1040" w:right="7442" w:hanging="284"/>
        <w:rPr>
          <w:rFonts w:ascii="Calibri"/>
          <w:b/>
          <w:sz w:val="20"/>
        </w:rPr>
      </w:pPr>
      <w:r>
        <w:rPr>
          <w:rFonts w:ascii="Calibri"/>
          <w:b/>
          <w:color w:val="003366"/>
          <w:sz w:val="20"/>
        </w:rPr>
        <w:t>Transactions Involving Owners Affecting Accumulated Funds</w:t>
      </w:r>
    </w:p>
    <w:p w:rsidR="006C17CB" w:rsidRDefault="006C17CB">
      <w:pPr>
        <w:pStyle w:val="BodyText"/>
        <w:spacing w:before="5"/>
        <w:rPr>
          <w:rFonts w:ascii="Calibri"/>
          <w:b/>
          <w:sz w:val="6"/>
        </w:rPr>
      </w:pPr>
    </w:p>
    <w:tbl>
      <w:tblPr>
        <w:tblW w:w="0" w:type="auto"/>
        <w:tblInd w:w="707" w:type="dxa"/>
        <w:tblLayout w:type="fixed"/>
        <w:tblCellMar>
          <w:left w:w="0" w:type="dxa"/>
          <w:right w:w="0" w:type="dxa"/>
        </w:tblCellMar>
        <w:tblLook w:val="01E0" w:firstRow="1" w:lastRow="1" w:firstColumn="1" w:lastColumn="1" w:noHBand="0" w:noVBand="0"/>
      </w:tblPr>
      <w:tblGrid>
        <w:gridCol w:w="3465"/>
        <w:gridCol w:w="4378"/>
      </w:tblGrid>
      <w:tr w:rsidR="006C17CB">
        <w:trPr>
          <w:trHeight w:val="246"/>
        </w:trPr>
        <w:tc>
          <w:tcPr>
            <w:tcW w:w="3465" w:type="dxa"/>
          </w:tcPr>
          <w:p w:rsidR="006C17CB" w:rsidRDefault="0030091C">
            <w:pPr>
              <w:pStyle w:val="TableParagraph"/>
              <w:spacing w:line="203" w:lineRule="exact"/>
              <w:ind w:left="50"/>
              <w:jc w:val="left"/>
              <w:rPr>
                <w:sz w:val="20"/>
              </w:rPr>
            </w:pPr>
            <w:r>
              <w:rPr>
                <w:color w:val="003366"/>
                <w:sz w:val="20"/>
              </w:rPr>
              <w:t>Capital Injections</w:t>
            </w:r>
          </w:p>
        </w:tc>
        <w:tc>
          <w:tcPr>
            <w:tcW w:w="4378" w:type="dxa"/>
          </w:tcPr>
          <w:p w:rsidR="006C17CB" w:rsidRDefault="0030091C">
            <w:pPr>
              <w:pStyle w:val="TableParagraph"/>
              <w:tabs>
                <w:tab w:val="left" w:pos="1199"/>
                <w:tab w:val="left" w:pos="2714"/>
                <w:tab w:val="left" w:pos="3513"/>
              </w:tabs>
              <w:spacing w:line="203" w:lineRule="exact"/>
              <w:ind w:right="48"/>
              <w:rPr>
                <w:sz w:val="20"/>
              </w:rPr>
            </w:pPr>
            <w:r>
              <w:rPr>
                <w:color w:val="003366"/>
                <w:w w:val="99"/>
                <w:sz w:val="20"/>
                <w:u w:val="single" w:color="003366"/>
              </w:rPr>
              <w:t xml:space="preserve"> </w:t>
            </w:r>
            <w:r>
              <w:rPr>
                <w:color w:val="003366"/>
                <w:sz w:val="20"/>
                <w:u w:val="single" w:color="003366"/>
              </w:rPr>
              <w:tab/>
              <w:t>641</w:t>
            </w:r>
            <w:r>
              <w:rPr>
                <w:color w:val="003366"/>
                <w:sz w:val="20"/>
                <w:u w:val="single" w:color="003366"/>
              </w:rPr>
              <w:tab/>
              <w:t>-</w:t>
            </w:r>
            <w:r>
              <w:rPr>
                <w:color w:val="003366"/>
                <w:sz w:val="20"/>
                <w:u w:val="single" w:color="003366"/>
              </w:rPr>
              <w:tab/>
            </w:r>
            <w:r>
              <w:rPr>
                <w:color w:val="003366"/>
                <w:spacing w:val="-1"/>
                <w:w w:val="95"/>
                <w:sz w:val="20"/>
                <w:u w:val="single" w:color="003366"/>
              </w:rPr>
              <w:t>641</w:t>
            </w:r>
            <w:r>
              <w:rPr>
                <w:color w:val="003366"/>
                <w:spacing w:val="18"/>
                <w:sz w:val="20"/>
                <w:u w:val="single" w:color="003366"/>
              </w:rPr>
              <w:t xml:space="preserve"> </w:t>
            </w:r>
          </w:p>
        </w:tc>
      </w:tr>
      <w:tr w:rsidR="006C17CB">
        <w:trPr>
          <w:trHeight w:val="490"/>
        </w:trPr>
        <w:tc>
          <w:tcPr>
            <w:tcW w:w="3465" w:type="dxa"/>
          </w:tcPr>
          <w:p w:rsidR="006C17CB" w:rsidRDefault="0030091C">
            <w:pPr>
              <w:pStyle w:val="TableParagraph"/>
              <w:spacing w:before="1" w:line="244" w:lineRule="exact"/>
              <w:ind w:left="333" w:right="384" w:hanging="284"/>
              <w:jc w:val="left"/>
              <w:rPr>
                <w:b/>
                <w:sz w:val="20"/>
              </w:rPr>
            </w:pPr>
            <w:r>
              <w:rPr>
                <w:b/>
                <w:color w:val="003366"/>
                <w:sz w:val="20"/>
              </w:rPr>
              <w:t>Total Transactions Involving Owners Affecting Accumulated Funds</w:t>
            </w:r>
          </w:p>
        </w:tc>
        <w:tc>
          <w:tcPr>
            <w:tcW w:w="4378" w:type="dxa"/>
          </w:tcPr>
          <w:p w:rsidR="006C17CB" w:rsidRDefault="006C17CB">
            <w:pPr>
              <w:pStyle w:val="TableParagraph"/>
              <w:spacing w:before="4"/>
              <w:jc w:val="left"/>
              <w:rPr>
                <w:b/>
                <w:sz w:val="14"/>
              </w:rPr>
            </w:pPr>
          </w:p>
          <w:p w:rsidR="006C17CB" w:rsidRDefault="0030091C">
            <w:pPr>
              <w:pStyle w:val="TableParagraph"/>
              <w:tabs>
                <w:tab w:val="left" w:pos="1199"/>
                <w:tab w:val="left" w:pos="2714"/>
                <w:tab w:val="left" w:pos="3513"/>
              </w:tabs>
              <w:spacing w:line="264" w:lineRule="exact"/>
              <w:ind w:right="48"/>
              <w:rPr>
                <w:b/>
                <w:sz w:val="20"/>
              </w:rPr>
            </w:pPr>
            <w:r>
              <w:rPr>
                <w:b/>
                <w:color w:val="003366"/>
                <w:w w:val="99"/>
                <w:sz w:val="20"/>
                <w:u w:val="single" w:color="003366"/>
              </w:rPr>
              <w:t xml:space="preserve"> </w:t>
            </w:r>
            <w:r>
              <w:rPr>
                <w:b/>
                <w:color w:val="003366"/>
                <w:sz w:val="20"/>
                <w:u w:val="single" w:color="003366"/>
              </w:rPr>
              <w:tab/>
              <w:t>641</w:t>
            </w:r>
            <w:r>
              <w:rPr>
                <w:b/>
                <w:color w:val="003366"/>
                <w:sz w:val="20"/>
                <w:u w:val="single" w:color="003366"/>
              </w:rPr>
              <w:tab/>
              <w:t>-</w:t>
            </w:r>
            <w:r>
              <w:rPr>
                <w:b/>
                <w:color w:val="003366"/>
                <w:sz w:val="20"/>
                <w:u w:val="single" w:color="003366"/>
              </w:rPr>
              <w:tab/>
            </w:r>
            <w:r>
              <w:rPr>
                <w:b/>
                <w:color w:val="003366"/>
                <w:spacing w:val="-1"/>
                <w:w w:val="95"/>
                <w:sz w:val="20"/>
                <w:u w:val="single" w:color="003366"/>
              </w:rPr>
              <w:t>641</w:t>
            </w:r>
            <w:r>
              <w:rPr>
                <w:b/>
                <w:color w:val="003366"/>
                <w:spacing w:val="18"/>
                <w:sz w:val="20"/>
                <w:u w:val="single" w:color="003366"/>
              </w:rPr>
              <w:t xml:space="preserve"> </w:t>
            </w:r>
          </w:p>
        </w:tc>
      </w:tr>
    </w:tbl>
    <w:p w:rsidR="006C17CB" w:rsidRDefault="00FE24A7">
      <w:pPr>
        <w:pStyle w:val="BodyText"/>
        <w:rPr>
          <w:rFonts w:ascii="Calibri"/>
          <w:b/>
          <w:sz w:val="18"/>
        </w:rPr>
      </w:pPr>
      <w:r>
        <w:pict>
          <v:group id="_x0000_s1457" alt="" style="position:absolute;margin-left:277.7pt;margin-top:14.95pt;width:196.35pt;height:.5pt;z-index:1984;mso-wrap-distance-left:0;mso-wrap-distance-right:0;mso-position-horizontal-relative:page;mso-position-vertical-relative:text" coordorigin="5554,299" coordsize="3927,10">
            <v:line id="_x0000_s1458" alt="" style="position:absolute" from="5554,304" to="7166,304" strokecolor="#036" strokeweight=".48pt"/>
            <v:rect id="_x0000_s1459" alt="" style="position:absolute;left:7166;top:298;width:10;height:10" fillcolor="#036" stroked="f"/>
            <v:line id="_x0000_s1460" alt="" style="position:absolute" from="7176,304" to="8438,304" strokecolor="#036" strokeweight=".48pt"/>
            <v:rect id="_x0000_s1461" alt="" style="position:absolute;left:8438;top:298;width:10;height:10" fillcolor="#036" stroked="f"/>
            <v:line id="_x0000_s1462" alt="" style="position:absolute" from="8448,304" to="9480,304" strokecolor="#036" strokeweight=".48pt"/>
            <w10:wrap type="topAndBottom" anchorx="page"/>
          </v:group>
        </w:pict>
      </w:r>
    </w:p>
    <w:p w:rsidR="006C17CB" w:rsidRDefault="0030091C">
      <w:pPr>
        <w:tabs>
          <w:tab w:val="left" w:pos="5622"/>
          <w:tab w:val="left" w:pos="6894"/>
          <w:tab w:val="left" w:pos="7935"/>
        </w:tabs>
        <w:ind w:left="757"/>
        <w:rPr>
          <w:rFonts w:ascii="Calibri"/>
          <w:b/>
          <w:sz w:val="20"/>
        </w:rPr>
      </w:pPr>
      <w:r>
        <w:rPr>
          <w:rFonts w:ascii="Calibri"/>
          <w:b/>
          <w:color w:val="003366"/>
          <w:sz w:val="20"/>
        </w:rPr>
        <w:t>Balance at 30</w:t>
      </w:r>
      <w:r>
        <w:rPr>
          <w:rFonts w:ascii="Calibri"/>
          <w:b/>
          <w:color w:val="003366"/>
          <w:spacing w:val="-5"/>
          <w:sz w:val="20"/>
        </w:rPr>
        <w:t xml:space="preserve"> </w:t>
      </w:r>
      <w:r>
        <w:rPr>
          <w:rFonts w:ascii="Calibri"/>
          <w:b/>
          <w:color w:val="003366"/>
          <w:sz w:val="20"/>
        </w:rPr>
        <w:t>June</w:t>
      </w:r>
      <w:r>
        <w:rPr>
          <w:rFonts w:ascii="Calibri"/>
          <w:b/>
          <w:color w:val="003366"/>
          <w:spacing w:val="-2"/>
          <w:sz w:val="20"/>
        </w:rPr>
        <w:t xml:space="preserve"> </w:t>
      </w:r>
      <w:r>
        <w:rPr>
          <w:rFonts w:ascii="Calibri"/>
          <w:b/>
          <w:color w:val="003366"/>
          <w:sz w:val="20"/>
        </w:rPr>
        <w:t>2017</w:t>
      </w:r>
      <w:r>
        <w:rPr>
          <w:rFonts w:ascii="Calibri"/>
          <w:b/>
          <w:color w:val="003366"/>
          <w:sz w:val="20"/>
        </w:rPr>
        <w:tab/>
        <w:t>2,593</w:t>
      </w:r>
      <w:r>
        <w:rPr>
          <w:rFonts w:ascii="Calibri"/>
          <w:b/>
          <w:color w:val="003366"/>
          <w:sz w:val="20"/>
        </w:rPr>
        <w:tab/>
        <w:t>1,245</w:t>
      </w:r>
      <w:r>
        <w:rPr>
          <w:rFonts w:ascii="Calibri"/>
          <w:b/>
          <w:color w:val="003366"/>
          <w:sz w:val="20"/>
        </w:rPr>
        <w:tab/>
        <w:t>3,838</w:t>
      </w:r>
    </w:p>
    <w:p w:rsidR="006C17CB" w:rsidRDefault="00FE24A7">
      <w:pPr>
        <w:pStyle w:val="BodyText"/>
        <w:spacing w:line="29" w:lineRule="exact"/>
        <w:ind w:left="4568"/>
        <w:rPr>
          <w:rFonts w:ascii="Calibri"/>
          <w:sz w:val="2"/>
        </w:rPr>
      </w:pPr>
      <w:r>
        <w:rPr>
          <w:rFonts w:ascii="Calibri"/>
          <w:sz w:val="2"/>
        </w:rPr>
      </w:r>
      <w:r>
        <w:rPr>
          <w:rFonts w:ascii="Calibri"/>
          <w:sz w:val="2"/>
        </w:rPr>
        <w:pict>
          <v:group id="_x0000_s1446" alt="" style="width:196.35pt;height:1.45pt;mso-position-horizontal-relative:char;mso-position-vertical-relative:line" coordsize="3927,29">
            <v:line id="_x0000_s1447" alt="" style="position:absolute" from="0,5" to="1613,5" strokecolor="#036" strokeweight=".17003mm"/>
            <v:line id="_x0000_s1448" alt="" style="position:absolute" from="0,24" to="1613,24" strokecolor="#036" strokeweight=".48pt"/>
            <v:rect id="_x0000_s1449" alt="" style="position:absolute;left:1612;width:29;height:10" fillcolor="#036" stroked="f"/>
            <v:rect id="_x0000_s1450" alt="" style="position:absolute;left:1612;top:19;width:29;height:10" fillcolor="#036" stroked="f"/>
            <v:line id="_x0000_s1451" alt="" style="position:absolute" from="1642,5" to="2885,5" strokecolor="#036" strokeweight=".17003mm"/>
            <v:line id="_x0000_s1452" alt="" style="position:absolute" from="1642,24" to="2885,24" strokecolor="#036" strokeweight=".48pt"/>
            <v:rect id="_x0000_s1453" alt="" style="position:absolute;left:2884;width:29;height:10" fillcolor="#036" stroked="f"/>
            <v:rect id="_x0000_s1454" alt="" style="position:absolute;left:2884;top:19;width:29;height:10" fillcolor="#036" stroked="f"/>
            <v:line id="_x0000_s1455" alt="" style="position:absolute" from="2914,5" to="3926,5" strokecolor="#036" strokeweight=".17003mm"/>
            <v:line id="_x0000_s1456" alt="" style="position:absolute" from="2914,24" to="3926,24" strokecolor="#036" strokeweight=".48pt"/>
            <w10:anchorlock/>
          </v:group>
        </w:pict>
      </w:r>
    </w:p>
    <w:p w:rsidR="006C17CB" w:rsidRDefault="006C17CB">
      <w:pPr>
        <w:pStyle w:val="BodyText"/>
        <w:spacing w:before="13"/>
        <w:rPr>
          <w:rFonts w:ascii="Calibri"/>
          <w:b/>
          <w:sz w:val="11"/>
        </w:rPr>
      </w:pPr>
    </w:p>
    <w:p w:rsidR="006C17CB" w:rsidRDefault="0030091C">
      <w:pPr>
        <w:spacing w:before="33"/>
        <w:ind w:left="757"/>
        <w:rPr>
          <w:rFonts w:ascii="Calibri"/>
          <w:sz w:val="16"/>
        </w:rPr>
      </w:pPr>
      <w:r>
        <w:rPr>
          <w:rFonts w:ascii="Calibri"/>
          <w:color w:val="003366"/>
          <w:sz w:val="16"/>
        </w:rPr>
        <w:t>The above Statement of Changes in Equity should be read in conjunction with the accompanying notes.</w:t>
      </w:r>
    </w:p>
    <w:p w:rsidR="006C17CB" w:rsidRDefault="006C17CB">
      <w:pPr>
        <w:rPr>
          <w:rFonts w:ascii="Calibri"/>
          <w:sz w:val="16"/>
        </w:rPr>
        <w:sectPr w:rsidR="006C17CB">
          <w:type w:val="continuous"/>
          <w:pgSz w:w="11910" w:h="16840"/>
          <w:pgMar w:top="1580" w:right="0" w:bottom="280" w:left="980" w:header="720" w:footer="720" w:gutter="0"/>
          <w:cols w:space="720"/>
        </w:sectPr>
      </w:pPr>
    </w:p>
    <w:p w:rsidR="006C17CB" w:rsidRDefault="0030091C">
      <w:pPr>
        <w:pStyle w:val="Heading5"/>
        <w:spacing w:line="317" w:lineRule="exact"/>
        <w:ind w:left="968" w:right="1657"/>
        <w:jc w:val="center"/>
      </w:pPr>
      <w:r>
        <w:rPr>
          <w:color w:val="003366"/>
        </w:rPr>
        <w:t>Cash Flow Statement</w:t>
      </w:r>
    </w:p>
    <w:p w:rsidR="006C17CB" w:rsidRDefault="0030091C">
      <w:pPr>
        <w:spacing w:line="372" w:lineRule="exact"/>
        <w:ind w:left="3222"/>
        <w:rPr>
          <w:rFonts w:ascii="Calibri"/>
          <w:b/>
          <w:sz w:val="28"/>
        </w:rPr>
      </w:pPr>
      <w:r>
        <w:rPr>
          <w:rFonts w:ascii="Calibri"/>
          <w:b/>
          <w:color w:val="003366"/>
          <w:sz w:val="28"/>
        </w:rPr>
        <w:t>For the Year Ended 30 June 2018</w:t>
      </w:r>
    </w:p>
    <w:p w:rsidR="006C17CB" w:rsidRDefault="006C17CB">
      <w:pPr>
        <w:pStyle w:val="BodyText"/>
        <w:spacing w:before="7" w:after="1"/>
        <w:rPr>
          <w:rFonts w:ascii="Calibri"/>
          <w:b/>
          <w:sz w:val="19"/>
        </w:rPr>
      </w:pPr>
    </w:p>
    <w:tbl>
      <w:tblPr>
        <w:tblW w:w="0" w:type="auto"/>
        <w:tblInd w:w="777" w:type="dxa"/>
        <w:tblLayout w:type="fixed"/>
        <w:tblCellMar>
          <w:left w:w="0" w:type="dxa"/>
          <w:right w:w="0" w:type="dxa"/>
        </w:tblCellMar>
        <w:tblLook w:val="01E0" w:firstRow="1" w:lastRow="1" w:firstColumn="1" w:lastColumn="1" w:noHBand="0" w:noVBand="0"/>
      </w:tblPr>
      <w:tblGrid>
        <w:gridCol w:w="4435"/>
        <w:gridCol w:w="800"/>
        <w:gridCol w:w="1333"/>
        <w:gridCol w:w="1215"/>
        <w:gridCol w:w="997"/>
      </w:tblGrid>
      <w:tr w:rsidR="006C17CB">
        <w:trPr>
          <w:trHeight w:val="464"/>
        </w:trPr>
        <w:tc>
          <w:tcPr>
            <w:tcW w:w="4435" w:type="dxa"/>
            <w:vMerge w:val="restart"/>
          </w:tcPr>
          <w:p w:rsidR="006C17CB" w:rsidRDefault="006C17CB">
            <w:pPr>
              <w:pStyle w:val="TableParagraph"/>
              <w:jc w:val="left"/>
              <w:rPr>
                <w:rFonts w:ascii="Times New Roman"/>
                <w:sz w:val="20"/>
              </w:rPr>
            </w:pPr>
          </w:p>
        </w:tc>
        <w:tc>
          <w:tcPr>
            <w:tcW w:w="800" w:type="dxa"/>
          </w:tcPr>
          <w:p w:rsidR="006C17CB" w:rsidRDefault="006C17CB">
            <w:pPr>
              <w:pStyle w:val="TableParagraph"/>
              <w:jc w:val="left"/>
              <w:rPr>
                <w:rFonts w:ascii="Times New Roman"/>
                <w:sz w:val="20"/>
              </w:rPr>
            </w:pPr>
          </w:p>
        </w:tc>
        <w:tc>
          <w:tcPr>
            <w:tcW w:w="1333" w:type="dxa"/>
          </w:tcPr>
          <w:p w:rsidR="006C17CB" w:rsidRDefault="0030091C">
            <w:pPr>
              <w:pStyle w:val="TableParagraph"/>
              <w:spacing w:before="157" w:line="287" w:lineRule="exact"/>
              <w:ind w:right="248"/>
              <w:rPr>
                <w:b/>
                <w:sz w:val="20"/>
              </w:rPr>
            </w:pPr>
            <w:r>
              <w:rPr>
                <w:b/>
                <w:color w:val="003366"/>
                <w:w w:val="95"/>
                <w:sz w:val="20"/>
              </w:rPr>
              <w:t>Actual</w:t>
            </w:r>
          </w:p>
        </w:tc>
        <w:tc>
          <w:tcPr>
            <w:tcW w:w="1215" w:type="dxa"/>
          </w:tcPr>
          <w:p w:rsidR="006C17CB" w:rsidRDefault="0030091C">
            <w:pPr>
              <w:pStyle w:val="TableParagraph"/>
              <w:spacing w:line="180" w:lineRule="exact"/>
              <w:ind w:left="252"/>
              <w:jc w:val="left"/>
              <w:rPr>
                <w:b/>
                <w:sz w:val="20"/>
              </w:rPr>
            </w:pPr>
            <w:r>
              <w:rPr>
                <w:b/>
                <w:color w:val="003366"/>
                <w:sz w:val="20"/>
              </w:rPr>
              <w:t>Original</w:t>
            </w:r>
          </w:p>
          <w:p w:rsidR="006C17CB" w:rsidRDefault="0030091C">
            <w:pPr>
              <w:pStyle w:val="TableParagraph"/>
              <w:spacing w:line="264" w:lineRule="exact"/>
              <w:ind w:left="314"/>
              <w:jc w:val="left"/>
              <w:rPr>
                <w:b/>
                <w:sz w:val="20"/>
              </w:rPr>
            </w:pPr>
            <w:r>
              <w:rPr>
                <w:b/>
                <w:color w:val="003366"/>
                <w:sz w:val="20"/>
              </w:rPr>
              <w:t>Budget</w:t>
            </w:r>
          </w:p>
        </w:tc>
        <w:tc>
          <w:tcPr>
            <w:tcW w:w="997" w:type="dxa"/>
          </w:tcPr>
          <w:p w:rsidR="006C17CB" w:rsidRDefault="0030091C">
            <w:pPr>
              <w:pStyle w:val="TableParagraph"/>
              <w:spacing w:before="157" w:line="287" w:lineRule="exact"/>
              <w:ind w:right="154"/>
              <w:rPr>
                <w:b/>
                <w:sz w:val="20"/>
              </w:rPr>
            </w:pPr>
            <w:r>
              <w:rPr>
                <w:b/>
                <w:color w:val="003366"/>
                <w:w w:val="95"/>
                <w:sz w:val="20"/>
              </w:rPr>
              <w:t>Actual</w:t>
            </w:r>
          </w:p>
        </w:tc>
      </w:tr>
      <w:tr w:rsidR="006C17CB">
        <w:trPr>
          <w:trHeight w:val="244"/>
        </w:trPr>
        <w:tc>
          <w:tcPr>
            <w:tcW w:w="4435" w:type="dxa"/>
            <w:vMerge/>
            <w:tcBorders>
              <w:top w:val="nil"/>
            </w:tcBorders>
          </w:tcPr>
          <w:p w:rsidR="006C17CB" w:rsidRDefault="006C17CB">
            <w:pPr>
              <w:rPr>
                <w:sz w:val="2"/>
                <w:szCs w:val="2"/>
              </w:rPr>
            </w:pPr>
          </w:p>
        </w:tc>
        <w:tc>
          <w:tcPr>
            <w:tcW w:w="800" w:type="dxa"/>
          </w:tcPr>
          <w:p w:rsidR="006C17CB" w:rsidRDefault="0030091C">
            <w:pPr>
              <w:pStyle w:val="TableParagraph"/>
              <w:spacing w:line="225" w:lineRule="exact"/>
              <w:ind w:left="303" w:right="46"/>
              <w:jc w:val="center"/>
              <w:rPr>
                <w:b/>
                <w:sz w:val="20"/>
              </w:rPr>
            </w:pPr>
            <w:r>
              <w:rPr>
                <w:b/>
                <w:color w:val="003366"/>
                <w:sz w:val="20"/>
              </w:rPr>
              <w:t>Note</w:t>
            </w:r>
          </w:p>
        </w:tc>
        <w:tc>
          <w:tcPr>
            <w:tcW w:w="1333" w:type="dxa"/>
          </w:tcPr>
          <w:p w:rsidR="006C17CB" w:rsidRDefault="0030091C">
            <w:pPr>
              <w:pStyle w:val="TableParagraph"/>
              <w:spacing w:line="225" w:lineRule="exact"/>
              <w:ind w:right="249"/>
              <w:rPr>
                <w:b/>
                <w:sz w:val="20"/>
              </w:rPr>
            </w:pPr>
            <w:r>
              <w:rPr>
                <w:b/>
                <w:color w:val="003366"/>
                <w:w w:val="95"/>
                <w:sz w:val="20"/>
              </w:rPr>
              <w:t>2018</w:t>
            </w:r>
          </w:p>
        </w:tc>
        <w:tc>
          <w:tcPr>
            <w:tcW w:w="1215" w:type="dxa"/>
          </w:tcPr>
          <w:p w:rsidR="006C17CB" w:rsidRDefault="0030091C">
            <w:pPr>
              <w:pStyle w:val="TableParagraph"/>
              <w:spacing w:line="225" w:lineRule="exact"/>
              <w:ind w:right="307"/>
              <w:rPr>
                <w:b/>
                <w:sz w:val="20"/>
              </w:rPr>
            </w:pPr>
            <w:r>
              <w:rPr>
                <w:b/>
                <w:color w:val="003366"/>
                <w:w w:val="95"/>
                <w:sz w:val="20"/>
              </w:rPr>
              <w:t>2018</w:t>
            </w:r>
          </w:p>
        </w:tc>
        <w:tc>
          <w:tcPr>
            <w:tcW w:w="997" w:type="dxa"/>
          </w:tcPr>
          <w:p w:rsidR="006C17CB" w:rsidRDefault="0030091C">
            <w:pPr>
              <w:pStyle w:val="TableParagraph"/>
              <w:spacing w:line="225" w:lineRule="exact"/>
              <w:ind w:right="154"/>
              <w:rPr>
                <w:b/>
                <w:sz w:val="20"/>
              </w:rPr>
            </w:pPr>
            <w:r>
              <w:rPr>
                <w:b/>
                <w:color w:val="003366"/>
                <w:w w:val="95"/>
                <w:sz w:val="20"/>
              </w:rPr>
              <w:t>2017</w:t>
            </w:r>
          </w:p>
        </w:tc>
      </w:tr>
      <w:tr w:rsidR="006C17CB">
        <w:trPr>
          <w:trHeight w:val="265"/>
        </w:trPr>
        <w:tc>
          <w:tcPr>
            <w:tcW w:w="4435" w:type="dxa"/>
            <w:vMerge/>
            <w:tcBorders>
              <w:top w:val="nil"/>
            </w:tcBorders>
          </w:tcPr>
          <w:p w:rsidR="006C17CB" w:rsidRDefault="006C17CB">
            <w:pPr>
              <w:rPr>
                <w:sz w:val="2"/>
                <w:szCs w:val="2"/>
              </w:rPr>
            </w:pPr>
          </w:p>
        </w:tc>
        <w:tc>
          <w:tcPr>
            <w:tcW w:w="800" w:type="dxa"/>
          </w:tcPr>
          <w:p w:rsidR="006C17CB" w:rsidRDefault="0030091C">
            <w:pPr>
              <w:pStyle w:val="TableParagraph"/>
              <w:spacing w:line="226" w:lineRule="exact"/>
              <w:ind w:left="303" w:right="42"/>
              <w:jc w:val="center"/>
              <w:rPr>
                <w:b/>
                <w:sz w:val="20"/>
              </w:rPr>
            </w:pPr>
            <w:r>
              <w:rPr>
                <w:b/>
                <w:color w:val="003366"/>
                <w:sz w:val="20"/>
              </w:rPr>
              <w:t>No.</w:t>
            </w:r>
          </w:p>
        </w:tc>
        <w:tc>
          <w:tcPr>
            <w:tcW w:w="1333" w:type="dxa"/>
          </w:tcPr>
          <w:p w:rsidR="006C17CB" w:rsidRDefault="0030091C">
            <w:pPr>
              <w:pStyle w:val="TableParagraph"/>
              <w:spacing w:line="226" w:lineRule="exact"/>
              <w:ind w:right="247"/>
              <w:rPr>
                <w:b/>
                <w:sz w:val="20"/>
              </w:rPr>
            </w:pPr>
            <w:r>
              <w:rPr>
                <w:b/>
                <w:color w:val="003366"/>
                <w:w w:val="95"/>
                <w:sz w:val="20"/>
              </w:rPr>
              <w:t>$’000</w:t>
            </w:r>
          </w:p>
        </w:tc>
        <w:tc>
          <w:tcPr>
            <w:tcW w:w="1215" w:type="dxa"/>
          </w:tcPr>
          <w:p w:rsidR="006C17CB" w:rsidRDefault="0030091C">
            <w:pPr>
              <w:pStyle w:val="TableParagraph"/>
              <w:spacing w:line="226" w:lineRule="exact"/>
              <w:ind w:right="307"/>
              <w:rPr>
                <w:b/>
                <w:sz w:val="20"/>
              </w:rPr>
            </w:pPr>
            <w:r>
              <w:rPr>
                <w:b/>
                <w:color w:val="003366"/>
                <w:w w:val="95"/>
                <w:sz w:val="20"/>
              </w:rPr>
              <w:t>$’000</w:t>
            </w:r>
          </w:p>
        </w:tc>
        <w:tc>
          <w:tcPr>
            <w:tcW w:w="997" w:type="dxa"/>
          </w:tcPr>
          <w:p w:rsidR="006C17CB" w:rsidRDefault="0030091C">
            <w:pPr>
              <w:pStyle w:val="TableParagraph"/>
              <w:spacing w:line="226" w:lineRule="exact"/>
              <w:ind w:right="152"/>
              <w:rPr>
                <w:b/>
                <w:sz w:val="20"/>
              </w:rPr>
            </w:pPr>
            <w:r>
              <w:rPr>
                <w:b/>
                <w:color w:val="003366"/>
                <w:w w:val="95"/>
                <w:sz w:val="20"/>
              </w:rPr>
              <w:t>$’000</w:t>
            </w:r>
          </w:p>
        </w:tc>
      </w:tr>
      <w:tr w:rsidR="006C17CB">
        <w:trPr>
          <w:trHeight w:val="284"/>
        </w:trPr>
        <w:tc>
          <w:tcPr>
            <w:tcW w:w="4435" w:type="dxa"/>
          </w:tcPr>
          <w:p w:rsidR="006C17CB" w:rsidRDefault="0030091C">
            <w:pPr>
              <w:pStyle w:val="TableParagraph"/>
              <w:spacing w:line="246" w:lineRule="exact"/>
              <w:ind w:left="50"/>
              <w:jc w:val="left"/>
              <w:rPr>
                <w:b/>
                <w:sz w:val="20"/>
              </w:rPr>
            </w:pPr>
            <w:r>
              <w:rPr>
                <w:b/>
                <w:color w:val="003366"/>
                <w:sz w:val="20"/>
              </w:rPr>
              <w:t>Cash Flows from Operating Activities</w:t>
            </w:r>
          </w:p>
        </w:tc>
        <w:tc>
          <w:tcPr>
            <w:tcW w:w="800" w:type="dxa"/>
          </w:tcPr>
          <w:p w:rsidR="006C17CB" w:rsidRDefault="006C17CB">
            <w:pPr>
              <w:pStyle w:val="TableParagraph"/>
              <w:jc w:val="left"/>
              <w:rPr>
                <w:rFonts w:ascii="Times New Roman"/>
                <w:sz w:val="20"/>
              </w:rPr>
            </w:pPr>
          </w:p>
        </w:tc>
        <w:tc>
          <w:tcPr>
            <w:tcW w:w="1333" w:type="dxa"/>
          </w:tcPr>
          <w:p w:rsidR="006C17CB" w:rsidRDefault="006C17CB">
            <w:pPr>
              <w:pStyle w:val="TableParagraph"/>
              <w:jc w:val="left"/>
              <w:rPr>
                <w:rFonts w:ascii="Times New Roman"/>
                <w:sz w:val="20"/>
              </w:rPr>
            </w:pPr>
          </w:p>
        </w:tc>
        <w:tc>
          <w:tcPr>
            <w:tcW w:w="1215" w:type="dxa"/>
          </w:tcPr>
          <w:p w:rsidR="006C17CB" w:rsidRDefault="006C17CB">
            <w:pPr>
              <w:pStyle w:val="TableParagraph"/>
              <w:jc w:val="left"/>
              <w:rPr>
                <w:rFonts w:ascii="Times New Roman"/>
                <w:sz w:val="20"/>
              </w:rPr>
            </w:pPr>
          </w:p>
        </w:tc>
        <w:tc>
          <w:tcPr>
            <w:tcW w:w="997" w:type="dxa"/>
          </w:tcPr>
          <w:p w:rsidR="006C17CB" w:rsidRDefault="006C17CB">
            <w:pPr>
              <w:pStyle w:val="TableParagraph"/>
              <w:jc w:val="left"/>
              <w:rPr>
                <w:rFonts w:ascii="Times New Roman"/>
                <w:sz w:val="20"/>
              </w:rPr>
            </w:pPr>
          </w:p>
        </w:tc>
      </w:tr>
      <w:tr w:rsidR="006C17CB">
        <w:trPr>
          <w:trHeight w:val="283"/>
        </w:trPr>
        <w:tc>
          <w:tcPr>
            <w:tcW w:w="4435" w:type="dxa"/>
          </w:tcPr>
          <w:p w:rsidR="006C17CB" w:rsidRDefault="0030091C">
            <w:pPr>
              <w:pStyle w:val="TableParagraph"/>
              <w:spacing w:line="245" w:lineRule="exact"/>
              <w:ind w:left="50"/>
              <w:jc w:val="left"/>
              <w:rPr>
                <w:b/>
                <w:sz w:val="20"/>
              </w:rPr>
            </w:pPr>
            <w:r>
              <w:rPr>
                <w:b/>
                <w:color w:val="003366"/>
                <w:sz w:val="20"/>
              </w:rPr>
              <w:t>Receipts</w:t>
            </w:r>
          </w:p>
        </w:tc>
        <w:tc>
          <w:tcPr>
            <w:tcW w:w="800" w:type="dxa"/>
          </w:tcPr>
          <w:p w:rsidR="006C17CB" w:rsidRDefault="006C17CB">
            <w:pPr>
              <w:pStyle w:val="TableParagraph"/>
              <w:jc w:val="left"/>
              <w:rPr>
                <w:rFonts w:ascii="Times New Roman"/>
                <w:sz w:val="20"/>
              </w:rPr>
            </w:pPr>
          </w:p>
        </w:tc>
        <w:tc>
          <w:tcPr>
            <w:tcW w:w="1333" w:type="dxa"/>
          </w:tcPr>
          <w:p w:rsidR="006C17CB" w:rsidRDefault="006C17CB">
            <w:pPr>
              <w:pStyle w:val="TableParagraph"/>
              <w:jc w:val="left"/>
              <w:rPr>
                <w:rFonts w:ascii="Times New Roman"/>
                <w:sz w:val="20"/>
              </w:rPr>
            </w:pPr>
          </w:p>
        </w:tc>
        <w:tc>
          <w:tcPr>
            <w:tcW w:w="1215" w:type="dxa"/>
          </w:tcPr>
          <w:p w:rsidR="006C17CB" w:rsidRDefault="006C17CB">
            <w:pPr>
              <w:pStyle w:val="TableParagraph"/>
              <w:jc w:val="left"/>
              <w:rPr>
                <w:rFonts w:ascii="Times New Roman"/>
                <w:sz w:val="20"/>
              </w:rPr>
            </w:pPr>
          </w:p>
        </w:tc>
        <w:tc>
          <w:tcPr>
            <w:tcW w:w="997" w:type="dxa"/>
          </w:tcPr>
          <w:p w:rsidR="006C17CB" w:rsidRDefault="006C17CB">
            <w:pPr>
              <w:pStyle w:val="TableParagraph"/>
              <w:jc w:val="left"/>
              <w:rPr>
                <w:rFonts w:ascii="Times New Roman"/>
                <w:sz w:val="20"/>
              </w:rPr>
            </w:pPr>
          </w:p>
        </w:tc>
      </w:tr>
      <w:tr w:rsidR="006C17CB">
        <w:trPr>
          <w:trHeight w:val="284"/>
        </w:trPr>
        <w:tc>
          <w:tcPr>
            <w:tcW w:w="4435" w:type="dxa"/>
          </w:tcPr>
          <w:p w:rsidR="006C17CB" w:rsidRDefault="0030091C">
            <w:pPr>
              <w:pStyle w:val="TableParagraph"/>
              <w:spacing w:line="245" w:lineRule="exact"/>
              <w:ind w:left="50"/>
              <w:jc w:val="left"/>
              <w:rPr>
                <w:sz w:val="20"/>
              </w:rPr>
            </w:pPr>
            <w:r>
              <w:rPr>
                <w:color w:val="003366"/>
                <w:sz w:val="20"/>
              </w:rPr>
              <w:t>Controlled Recurrent Payments</w:t>
            </w:r>
          </w:p>
        </w:tc>
        <w:tc>
          <w:tcPr>
            <w:tcW w:w="800" w:type="dxa"/>
          </w:tcPr>
          <w:p w:rsidR="006C17CB" w:rsidRDefault="006C17CB">
            <w:pPr>
              <w:pStyle w:val="TableParagraph"/>
              <w:jc w:val="left"/>
              <w:rPr>
                <w:rFonts w:ascii="Times New Roman"/>
                <w:sz w:val="20"/>
              </w:rPr>
            </w:pPr>
          </w:p>
        </w:tc>
        <w:tc>
          <w:tcPr>
            <w:tcW w:w="1333" w:type="dxa"/>
          </w:tcPr>
          <w:p w:rsidR="006C17CB" w:rsidRDefault="0030091C">
            <w:pPr>
              <w:pStyle w:val="TableParagraph"/>
              <w:spacing w:line="245" w:lineRule="exact"/>
              <w:ind w:right="249"/>
              <w:rPr>
                <w:sz w:val="20"/>
              </w:rPr>
            </w:pPr>
            <w:r>
              <w:rPr>
                <w:color w:val="003366"/>
                <w:w w:val="95"/>
                <w:sz w:val="20"/>
              </w:rPr>
              <w:t>9,090</w:t>
            </w:r>
          </w:p>
        </w:tc>
        <w:tc>
          <w:tcPr>
            <w:tcW w:w="1215" w:type="dxa"/>
          </w:tcPr>
          <w:p w:rsidR="006C17CB" w:rsidRDefault="0030091C">
            <w:pPr>
              <w:pStyle w:val="TableParagraph"/>
              <w:spacing w:line="245" w:lineRule="exact"/>
              <w:ind w:right="307"/>
              <w:rPr>
                <w:sz w:val="20"/>
              </w:rPr>
            </w:pPr>
            <w:r>
              <w:rPr>
                <w:color w:val="003366"/>
                <w:w w:val="95"/>
                <w:sz w:val="20"/>
              </w:rPr>
              <w:t>8,900</w:t>
            </w:r>
          </w:p>
        </w:tc>
        <w:tc>
          <w:tcPr>
            <w:tcW w:w="997" w:type="dxa"/>
          </w:tcPr>
          <w:p w:rsidR="006C17CB" w:rsidRDefault="0030091C">
            <w:pPr>
              <w:pStyle w:val="TableParagraph"/>
              <w:spacing w:line="245" w:lineRule="exact"/>
              <w:ind w:right="155"/>
              <w:rPr>
                <w:sz w:val="20"/>
              </w:rPr>
            </w:pPr>
            <w:r>
              <w:rPr>
                <w:color w:val="003366"/>
                <w:w w:val="95"/>
                <w:sz w:val="20"/>
              </w:rPr>
              <w:t>8,649</w:t>
            </w:r>
          </w:p>
        </w:tc>
      </w:tr>
      <w:tr w:rsidR="006C17CB">
        <w:trPr>
          <w:trHeight w:val="284"/>
        </w:trPr>
        <w:tc>
          <w:tcPr>
            <w:tcW w:w="4435" w:type="dxa"/>
          </w:tcPr>
          <w:p w:rsidR="006C17CB" w:rsidRDefault="0030091C">
            <w:pPr>
              <w:pStyle w:val="TableParagraph"/>
              <w:spacing w:line="246" w:lineRule="exact"/>
              <w:ind w:left="50"/>
              <w:jc w:val="left"/>
              <w:rPr>
                <w:sz w:val="20"/>
              </w:rPr>
            </w:pPr>
            <w:r>
              <w:rPr>
                <w:color w:val="003366"/>
                <w:sz w:val="20"/>
              </w:rPr>
              <w:t>Interest Received</w:t>
            </w:r>
          </w:p>
        </w:tc>
        <w:tc>
          <w:tcPr>
            <w:tcW w:w="800" w:type="dxa"/>
          </w:tcPr>
          <w:p w:rsidR="006C17CB" w:rsidRDefault="006C17CB">
            <w:pPr>
              <w:pStyle w:val="TableParagraph"/>
              <w:jc w:val="left"/>
              <w:rPr>
                <w:rFonts w:ascii="Times New Roman"/>
                <w:sz w:val="20"/>
              </w:rPr>
            </w:pPr>
          </w:p>
        </w:tc>
        <w:tc>
          <w:tcPr>
            <w:tcW w:w="1333" w:type="dxa"/>
          </w:tcPr>
          <w:p w:rsidR="006C17CB" w:rsidRDefault="0030091C">
            <w:pPr>
              <w:pStyle w:val="TableParagraph"/>
              <w:spacing w:line="246" w:lineRule="exact"/>
              <w:ind w:right="247"/>
              <w:rPr>
                <w:sz w:val="20"/>
              </w:rPr>
            </w:pPr>
            <w:r>
              <w:rPr>
                <w:color w:val="003366"/>
                <w:w w:val="99"/>
                <w:sz w:val="20"/>
              </w:rPr>
              <w:t>2</w:t>
            </w:r>
          </w:p>
        </w:tc>
        <w:tc>
          <w:tcPr>
            <w:tcW w:w="1215" w:type="dxa"/>
          </w:tcPr>
          <w:p w:rsidR="006C17CB" w:rsidRDefault="0030091C">
            <w:pPr>
              <w:pStyle w:val="TableParagraph"/>
              <w:spacing w:line="246" w:lineRule="exact"/>
              <w:ind w:right="305"/>
              <w:rPr>
                <w:sz w:val="20"/>
              </w:rPr>
            </w:pPr>
            <w:r>
              <w:rPr>
                <w:color w:val="003366"/>
                <w:w w:val="99"/>
                <w:sz w:val="20"/>
              </w:rPr>
              <w:t>2</w:t>
            </w:r>
          </w:p>
        </w:tc>
        <w:tc>
          <w:tcPr>
            <w:tcW w:w="997" w:type="dxa"/>
          </w:tcPr>
          <w:p w:rsidR="006C17CB" w:rsidRDefault="0030091C">
            <w:pPr>
              <w:pStyle w:val="TableParagraph"/>
              <w:spacing w:line="246" w:lineRule="exact"/>
              <w:ind w:right="152"/>
              <w:rPr>
                <w:sz w:val="20"/>
              </w:rPr>
            </w:pPr>
            <w:r>
              <w:rPr>
                <w:color w:val="003366"/>
                <w:w w:val="99"/>
                <w:sz w:val="20"/>
              </w:rPr>
              <w:t>2</w:t>
            </w:r>
          </w:p>
        </w:tc>
      </w:tr>
      <w:tr w:rsidR="006C17CB">
        <w:trPr>
          <w:trHeight w:val="263"/>
        </w:trPr>
        <w:tc>
          <w:tcPr>
            <w:tcW w:w="4435" w:type="dxa"/>
          </w:tcPr>
          <w:p w:rsidR="006C17CB" w:rsidRDefault="0030091C">
            <w:pPr>
              <w:pStyle w:val="TableParagraph"/>
              <w:spacing w:line="244" w:lineRule="exact"/>
              <w:ind w:left="50"/>
              <w:jc w:val="left"/>
              <w:rPr>
                <w:sz w:val="20"/>
              </w:rPr>
            </w:pPr>
            <w:r>
              <w:rPr>
                <w:color w:val="003366"/>
                <w:sz w:val="20"/>
              </w:rPr>
              <w:t>Distribution from Investments with the Territory</w:t>
            </w:r>
          </w:p>
        </w:tc>
        <w:tc>
          <w:tcPr>
            <w:tcW w:w="800" w:type="dxa"/>
          </w:tcPr>
          <w:p w:rsidR="006C17CB" w:rsidRDefault="006C17CB">
            <w:pPr>
              <w:pStyle w:val="TableParagraph"/>
              <w:jc w:val="left"/>
              <w:rPr>
                <w:rFonts w:ascii="Times New Roman"/>
                <w:sz w:val="18"/>
              </w:rPr>
            </w:pPr>
          </w:p>
        </w:tc>
        <w:tc>
          <w:tcPr>
            <w:tcW w:w="1333" w:type="dxa"/>
          </w:tcPr>
          <w:p w:rsidR="006C17CB" w:rsidRDefault="006C17CB">
            <w:pPr>
              <w:pStyle w:val="TableParagraph"/>
              <w:jc w:val="left"/>
              <w:rPr>
                <w:rFonts w:ascii="Times New Roman"/>
                <w:sz w:val="18"/>
              </w:rPr>
            </w:pPr>
          </w:p>
        </w:tc>
        <w:tc>
          <w:tcPr>
            <w:tcW w:w="1215" w:type="dxa"/>
          </w:tcPr>
          <w:p w:rsidR="006C17CB" w:rsidRDefault="006C17CB">
            <w:pPr>
              <w:pStyle w:val="TableParagraph"/>
              <w:jc w:val="left"/>
              <w:rPr>
                <w:rFonts w:ascii="Times New Roman"/>
                <w:sz w:val="18"/>
              </w:rPr>
            </w:pPr>
          </w:p>
        </w:tc>
        <w:tc>
          <w:tcPr>
            <w:tcW w:w="997" w:type="dxa"/>
          </w:tcPr>
          <w:p w:rsidR="006C17CB" w:rsidRDefault="006C17CB">
            <w:pPr>
              <w:pStyle w:val="TableParagraph"/>
              <w:jc w:val="left"/>
              <w:rPr>
                <w:rFonts w:ascii="Times New Roman"/>
                <w:sz w:val="18"/>
              </w:rPr>
            </w:pPr>
          </w:p>
        </w:tc>
      </w:tr>
      <w:tr w:rsidR="006C17CB">
        <w:trPr>
          <w:trHeight w:val="222"/>
        </w:trPr>
        <w:tc>
          <w:tcPr>
            <w:tcW w:w="4435" w:type="dxa"/>
          </w:tcPr>
          <w:p w:rsidR="006C17CB" w:rsidRDefault="0030091C">
            <w:pPr>
              <w:pStyle w:val="TableParagraph"/>
              <w:spacing w:line="202" w:lineRule="exact"/>
              <w:ind w:left="335"/>
              <w:jc w:val="left"/>
              <w:rPr>
                <w:sz w:val="20"/>
              </w:rPr>
            </w:pPr>
            <w:r>
              <w:rPr>
                <w:color w:val="003366"/>
                <w:sz w:val="20"/>
              </w:rPr>
              <w:t>Banking Account</w:t>
            </w:r>
          </w:p>
        </w:tc>
        <w:tc>
          <w:tcPr>
            <w:tcW w:w="800" w:type="dxa"/>
          </w:tcPr>
          <w:p w:rsidR="006C17CB" w:rsidRDefault="006C17CB">
            <w:pPr>
              <w:pStyle w:val="TableParagraph"/>
              <w:jc w:val="left"/>
              <w:rPr>
                <w:rFonts w:ascii="Times New Roman"/>
                <w:sz w:val="14"/>
              </w:rPr>
            </w:pPr>
          </w:p>
        </w:tc>
        <w:tc>
          <w:tcPr>
            <w:tcW w:w="1333" w:type="dxa"/>
          </w:tcPr>
          <w:p w:rsidR="006C17CB" w:rsidRDefault="0030091C">
            <w:pPr>
              <w:pStyle w:val="TableParagraph"/>
              <w:spacing w:line="202" w:lineRule="exact"/>
              <w:ind w:right="247"/>
              <w:rPr>
                <w:sz w:val="20"/>
              </w:rPr>
            </w:pPr>
            <w:r>
              <w:rPr>
                <w:color w:val="003366"/>
                <w:w w:val="95"/>
                <w:sz w:val="20"/>
              </w:rPr>
              <w:t>52</w:t>
            </w:r>
          </w:p>
        </w:tc>
        <w:tc>
          <w:tcPr>
            <w:tcW w:w="1215" w:type="dxa"/>
          </w:tcPr>
          <w:p w:rsidR="006C17CB" w:rsidRDefault="0030091C">
            <w:pPr>
              <w:pStyle w:val="TableParagraph"/>
              <w:spacing w:line="202" w:lineRule="exact"/>
              <w:ind w:right="305"/>
              <w:rPr>
                <w:sz w:val="20"/>
              </w:rPr>
            </w:pPr>
            <w:r>
              <w:rPr>
                <w:color w:val="003366"/>
                <w:w w:val="95"/>
                <w:sz w:val="20"/>
              </w:rPr>
              <w:t>38</w:t>
            </w:r>
          </w:p>
        </w:tc>
        <w:tc>
          <w:tcPr>
            <w:tcW w:w="997" w:type="dxa"/>
          </w:tcPr>
          <w:p w:rsidR="006C17CB" w:rsidRDefault="0030091C">
            <w:pPr>
              <w:pStyle w:val="TableParagraph"/>
              <w:spacing w:line="202" w:lineRule="exact"/>
              <w:ind w:right="152"/>
              <w:rPr>
                <w:sz w:val="20"/>
              </w:rPr>
            </w:pPr>
            <w:r>
              <w:rPr>
                <w:color w:val="003366"/>
                <w:w w:val="95"/>
                <w:sz w:val="20"/>
              </w:rPr>
              <w:t>53</w:t>
            </w:r>
          </w:p>
        </w:tc>
      </w:tr>
      <w:tr w:rsidR="006C17CB">
        <w:trPr>
          <w:trHeight w:val="305"/>
        </w:trPr>
        <w:tc>
          <w:tcPr>
            <w:tcW w:w="4435" w:type="dxa"/>
          </w:tcPr>
          <w:p w:rsidR="006C17CB" w:rsidRDefault="0030091C">
            <w:pPr>
              <w:pStyle w:val="TableParagraph"/>
              <w:spacing w:line="286" w:lineRule="exact"/>
              <w:ind w:left="50"/>
              <w:jc w:val="left"/>
              <w:rPr>
                <w:sz w:val="20"/>
              </w:rPr>
            </w:pPr>
            <w:r>
              <w:rPr>
                <w:color w:val="003366"/>
                <w:sz w:val="20"/>
              </w:rPr>
              <w:t>Goods and Services Tax Input Tax Credits from the</w:t>
            </w:r>
          </w:p>
        </w:tc>
        <w:tc>
          <w:tcPr>
            <w:tcW w:w="800" w:type="dxa"/>
          </w:tcPr>
          <w:p w:rsidR="006C17CB" w:rsidRDefault="006C17CB">
            <w:pPr>
              <w:pStyle w:val="TableParagraph"/>
              <w:jc w:val="left"/>
              <w:rPr>
                <w:rFonts w:ascii="Times New Roman"/>
                <w:sz w:val="20"/>
              </w:rPr>
            </w:pPr>
          </w:p>
        </w:tc>
        <w:tc>
          <w:tcPr>
            <w:tcW w:w="1333" w:type="dxa"/>
          </w:tcPr>
          <w:p w:rsidR="006C17CB" w:rsidRDefault="006C17CB">
            <w:pPr>
              <w:pStyle w:val="TableParagraph"/>
              <w:jc w:val="left"/>
              <w:rPr>
                <w:rFonts w:ascii="Times New Roman"/>
                <w:sz w:val="20"/>
              </w:rPr>
            </w:pPr>
          </w:p>
        </w:tc>
        <w:tc>
          <w:tcPr>
            <w:tcW w:w="1215" w:type="dxa"/>
          </w:tcPr>
          <w:p w:rsidR="006C17CB" w:rsidRDefault="006C17CB">
            <w:pPr>
              <w:pStyle w:val="TableParagraph"/>
              <w:jc w:val="left"/>
              <w:rPr>
                <w:rFonts w:ascii="Times New Roman"/>
                <w:sz w:val="20"/>
              </w:rPr>
            </w:pPr>
          </w:p>
        </w:tc>
        <w:tc>
          <w:tcPr>
            <w:tcW w:w="997" w:type="dxa"/>
          </w:tcPr>
          <w:p w:rsidR="006C17CB" w:rsidRDefault="006C17CB">
            <w:pPr>
              <w:pStyle w:val="TableParagraph"/>
              <w:jc w:val="left"/>
              <w:rPr>
                <w:rFonts w:ascii="Times New Roman"/>
                <w:sz w:val="20"/>
              </w:rPr>
            </w:pPr>
          </w:p>
        </w:tc>
      </w:tr>
      <w:tr w:rsidR="006C17CB">
        <w:trPr>
          <w:trHeight w:val="264"/>
        </w:trPr>
        <w:tc>
          <w:tcPr>
            <w:tcW w:w="4435" w:type="dxa"/>
          </w:tcPr>
          <w:p w:rsidR="006C17CB" w:rsidRDefault="0030091C">
            <w:pPr>
              <w:pStyle w:val="TableParagraph"/>
              <w:spacing w:line="226" w:lineRule="exact"/>
              <w:ind w:left="335"/>
              <w:jc w:val="left"/>
              <w:rPr>
                <w:sz w:val="20"/>
              </w:rPr>
            </w:pPr>
            <w:r>
              <w:rPr>
                <w:color w:val="003366"/>
                <w:sz w:val="20"/>
              </w:rPr>
              <w:t>Australian Taxation Office</w:t>
            </w:r>
          </w:p>
        </w:tc>
        <w:tc>
          <w:tcPr>
            <w:tcW w:w="2133" w:type="dxa"/>
            <w:gridSpan w:val="2"/>
          </w:tcPr>
          <w:p w:rsidR="006C17CB" w:rsidRDefault="0030091C">
            <w:pPr>
              <w:pStyle w:val="TableParagraph"/>
              <w:spacing w:line="226" w:lineRule="exact"/>
              <w:ind w:right="249"/>
              <w:rPr>
                <w:sz w:val="20"/>
              </w:rPr>
            </w:pPr>
            <w:r>
              <w:rPr>
                <w:color w:val="003366"/>
                <w:w w:val="95"/>
                <w:sz w:val="20"/>
              </w:rPr>
              <w:t>335</w:t>
            </w:r>
          </w:p>
        </w:tc>
        <w:tc>
          <w:tcPr>
            <w:tcW w:w="2212" w:type="dxa"/>
            <w:gridSpan w:val="2"/>
          </w:tcPr>
          <w:p w:rsidR="006C17CB" w:rsidRDefault="0030091C">
            <w:pPr>
              <w:pStyle w:val="TableParagraph"/>
              <w:tabs>
                <w:tab w:val="left" w:pos="1752"/>
              </w:tabs>
              <w:spacing w:line="226" w:lineRule="exact"/>
              <w:ind w:left="845"/>
              <w:jc w:val="left"/>
              <w:rPr>
                <w:sz w:val="20"/>
              </w:rPr>
            </w:pPr>
            <w:r>
              <w:rPr>
                <w:color w:val="003366"/>
                <w:sz w:val="20"/>
              </w:rPr>
              <w:t>-</w:t>
            </w:r>
            <w:r>
              <w:rPr>
                <w:color w:val="003366"/>
                <w:sz w:val="20"/>
              </w:rPr>
              <w:tab/>
              <w:t>306</w:t>
            </w:r>
          </w:p>
        </w:tc>
      </w:tr>
      <w:tr w:rsidR="006C17CB">
        <w:trPr>
          <w:trHeight w:val="241"/>
        </w:trPr>
        <w:tc>
          <w:tcPr>
            <w:tcW w:w="4435" w:type="dxa"/>
          </w:tcPr>
          <w:p w:rsidR="006C17CB" w:rsidRDefault="0030091C">
            <w:pPr>
              <w:pStyle w:val="TableParagraph"/>
              <w:spacing w:line="221" w:lineRule="exact"/>
              <w:ind w:left="50"/>
              <w:jc w:val="left"/>
              <w:rPr>
                <w:sz w:val="20"/>
              </w:rPr>
            </w:pPr>
            <w:r>
              <w:rPr>
                <w:color w:val="003366"/>
                <w:sz w:val="20"/>
              </w:rPr>
              <w:t>Goods and Services Tax Collected from Customers</w:t>
            </w:r>
          </w:p>
        </w:tc>
        <w:tc>
          <w:tcPr>
            <w:tcW w:w="2133" w:type="dxa"/>
            <w:gridSpan w:val="2"/>
          </w:tcPr>
          <w:p w:rsidR="006C17CB" w:rsidRDefault="0030091C">
            <w:pPr>
              <w:pStyle w:val="TableParagraph"/>
              <w:spacing w:line="221" w:lineRule="exact"/>
              <w:ind w:right="247"/>
              <w:rPr>
                <w:sz w:val="20"/>
              </w:rPr>
            </w:pPr>
            <w:r>
              <w:rPr>
                <w:color w:val="003366"/>
                <w:w w:val="99"/>
                <w:sz w:val="20"/>
              </w:rPr>
              <w:t>4</w:t>
            </w:r>
          </w:p>
        </w:tc>
        <w:tc>
          <w:tcPr>
            <w:tcW w:w="2212" w:type="dxa"/>
            <w:gridSpan w:val="2"/>
          </w:tcPr>
          <w:p w:rsidR="006C17CB" w:rsidRDefault="0030091C">
            <w:pPr>
              <w:pStyle w:val="TableParagraph"/>
              <w:tabs>
                <w:tab w:val="left" w:pos="1956"/>
              </w:tabs>
              <w:spacing w:line="221" w:lineRule="exact"/>
              <w:ind w:left="845"/>
              <w:jc w:val="left"/>
              <w:rPr>
                <w:sz w:val="20"/>
              </w:rPr>
            </w:pPr>
            <w:r>
              <w:rPr>
                <w:color w:val="003366"/>
                <w:sz w:val="20"/>
              </w:rPr>
              <w:t>-</w:t>
            </w:r>
            <w:r>
              <w:rPr>
                <w:color w:val="003366"/>
                <w:sz w:val="20"/>
              </w:rPr>
              <w:tab/>
              <w:t>3</w:t>
            </w:r>
          </w:p>
        </w:tc>
      </w:tr>
      <w:tr w:rsidR="006C17CB">
        <w:trPr>
          <w:trHeight w:val="330"/>
        </w:trPr>
        <w:tc>
          <w:tcPr>
            <w:tcW w:w="8780" w:type="dxa"/>
            <w:gridSpan w:val="5"/>
          </w:tcPr>
          <w:p w:rsidR="006C17CB" w:rsidRDefault="0030091C">
            <w:pPr>
              <w:pStyle w:val="TableParagraph"/>
              <w:tabs>
                <w:tab w:val="left" w:pos="5303"/>
                <w:tab w:val="left" w:pos="6117"/>
                <w:tab w:val="left" w:pos="7170"/>
                <w:tab w:val="left" w:pos="8423"/>
              </w:tabs>
              <w:spacing w:before="1"/>
              <w:ind w:left="50"/>
              <w:jc w:val="left"/>
              <w:rPr>
                <w:sz w:val="20"/>
              </w:rPr>
            </w:pPr>
            <w:r>
              <w:rPr>
                <w:color w:val="003366"/>
                <w:sz w:val="20"/>
              </w:rPr>
              <w:t>Other</w:t>
            </w:r>
            <w:r>
              <w:rPr>
                <w:color w:val="003366"/>
                <w:sz w:val="20"/>
              </w:rPr>
              <w:tab/>
            </w:r>
            <w:r>
              <w:rPr>
                <w:color w:val="003366"/>
                <w:sz w:val="20"/>
                <w:u w:val="single" w:color="003366"/>
              </w:rPr>
              <w:t xml:space="preserve"> </w:t>
            </w:r>
            <w:r>
              <w:rPr>
                <w:color w:val="003366"/>
                <w:sz w:val="20"/>
                <w:u w:val="single" w:color="003366"/>
              </w:rPr>
              <w:tab/>
              <w:t>45</w:t>
            </w:r>
            <w:r>
              <w:rPr>
                <w:color w:val="003366"/>
                <w:sz w:val="20"/>
                <w:u w:val="single" w:color="003366"/>
              </w:rPr>
              <w:tab/>
              <w:t>288</w:t>
            </w:r>
            <w:r>
              <w:rPr>
                <w:color w:val="003366"/>
                <w:sz w:val="20"/>
                <w:u w:val="single" w:color="003366"/>
              </w:rPr>
              <w:tab/>
              <w:t>31</w:t>
            </w:r>
            <w:r>
              <w:rPr>
                <w:color w:val="003366"/>
                <w:spacing w:val="16"/>
                <w:sz w:val="20"/>
                <w:u w:val="single" w:color="003366"/>
              </w:rPr>
              <w:t xml:space="preserve"> </w:t>
            </w:r>
          </w:p>
        </w:tc>
      </w:tr>
      <w:tr w:rsidR="006C17CB">
        <w:trPr>
          <w:trHeight w:val="428"/>
        </w:trPr>
        <w:tc>
          <w:tcPr>
            <w:tcW w:w="4435" w:type="dxa"/>
          </w:tcPr>
          <w:p w:rsidR="006C17CB" w:rsidRDefault="0030091C">
            <w:pPr>
              <w:pStyle w:val="TableParagraph"/>
              <w:spacing w:line="248" w:lineRule="exact"/>
              <w:ind w:left="50"/>
              <w:jc w:val="left"/>
              <w:rPr>
                <w:b/>
                <w:sz w:val="20"/>
              </w:rPr>
            </w:pPr>
            <w:r>
              <w:rPr>
                <w:b/>
                <w:color w:val="003366"/>
                <w:sz w:val="20"/>
              </w:rPr>
              <w:t>Total Receipts from Operating Activities</w:t>
            </w:r>
          </w:p>
        </w:tc>
        <w:tc>
          <w:tcPr>
            <w:tcW w:w="2133" w:type="dxa"/>
            <w:gridSpan w:val="2"/>
          </w:tcPr>
          <w:p w:rsidR="006C17CB" w:rsidRDefault="0030091C">
            <w:pPr>
              <w:pStyle w:val="TableParagraph"/>
              <w:spacing w:line="248" w:lineRule="exact"/>
              <w:ind w:right="249"/>
              <w:rPr>
                <w:b/>
                <w:sz w:val="20"/>
              </w:rPr>
            </w:pPr>
            <w:r>
              <w:rPr>
                <w:b/>
                <w:color w:val="003366"/>
                <w:w w:val="95"/>
                <w:sz w:val="20"/>
              </w:rPr>
              <w:t>9,528</w:t>
            </w:r>
          </w:p>
        </w:tc>
        <w:tc>
          <w:tcPr>
            <w:tcW w:w="1215" w:type="dxa"/>
          </w:tcPr>
          <w:p w:rsidR="006C17CB" w:rsidRDefault="0030091C">
            <w:pPr>
              <w:pStyle w:val="TableParagraph"/>
              <w:spacing w:line="248" w:lineRule="exact"/>
              <w:ind w:right="307"/>
              <w:rPr>
                <w:b/>
                <w:sz w:val="20"/>
              </w:rPr>
            </w:pPr>
            <w:r>
              <w:rPr>
                <w:b/>
                <w:color w:val="003366"/>
                <w:w w:val="95"/>
                <w:sz w:val="20"/>
              </w:rPr>
              <w:t>9,228</w:t>
            </w:r>
          </w:p>
        </w:tc>
        <w:tc>
          <w:tcPr>
            <w:tcW w:w="997" w:type="dxa"/>
          </w:tcPr>
          <w:p w:rsidR="006C17CB" w:rsidRDefault="0030091C">
            <w:pPr>
              <w:pStyle w:val="TableParagraph"/>
              <w:spacing w:line="248" w:lineRule="exact"/>
              <w:ind w:right="155"/>
              <w:rPr>
                <w:b/>
                <w:sz w:val="20"/>
              </w:rPr>
            </w:pPr>
            <w:r>
              <w:rPr>
                <w:b/>
                <w:color w:val="003366"/>
                <w:w w:val="95"/>
                <w:sz w:val="20"/>
              </w:rPr>
              <w:t>9,044</w:t>
            </w:r>
          </w:p>
        </w:tc>
      </w:tr>
      <w:tr w:rsidR="006C17CB">
        <w:trPr>
          <w:trHeight w:val="425"/>
        </w:trPr>
        <w:tc>
          <w:tcPr>
            <w:tcW w:w="4435" w:type="dxa"/>
          </w:tcPr>
          <w:p w:rsidR="006C17CB" w:rsidRDefault="0030091C">
            <w:pPr>
              <w:pStyle w:val="TableParagraph"/>
              <w:spacing w:before="99"/>
              <w:ind w:left="50"/>
              <w:jc w:val="left"/>
              <w:rPr>
                <w:b/>
                <w:sz w:val="20"/>
              </w:rPr>
            </w:pPr>
            <w:r>
              <w:rPr>
                <w:b/>
                <w:color w:val="003366"/>
                <w:sz w:val="20"/>
              </w:rPr>
              <w:t>Payments</w:t>
            </w:r>
          </w:p>
        </w:tc>
        <w:tc>
          <w:tcPr>
            <w:tcW w:w="2133" w:type="dxa"/>
            <w:gridSpan w:val="2"/>
          </w:tcPr>
          <w:p w:rsidR="006C17CB" w:rsidRDefault="006C17CB">
            <w:pPr>
              <w:pStyle w:val="TableParagraph"/>
              <w:jc w:val="left"/>
              <w:rPr>
                <w:rFonts w:ascii="Times New Roman"/>
                <w:sz w:val="20"/>
              </w:rPr>
            </w:pPr>
          </w:p>
        </w:tc>
        <w:tc>
          <w:tcPr>
            <w:tcW w:w="1215" w:type="dxa"/>
          </w:tcPr>
          <w:p w:rsidR="006C17CB" w:rsidRDefault="006C17CB">
            <w:pPr>
              <w:pStyle w:val="TableParagraph"/>
              <w:jc w:val="left"/>
              <w:rPr>
                <w:rFonts w:ascii="Times New Roman"/>
                <w:sz w:val="20"/>
              </w:rPr>
            </w:pPr>
          </w:p>
        </w:tc>
        <w:tc>
          <w:tcPr>
            <w:tcW w:w="997" w:type="dxa"/>
          </w:tcPr>
          <w:p w:rsidR="006C17CB" w:rsidRDefault="006C17CB">
            <w:pPr>
              <w:pStyle w:val="TableParagraph"/>
              <w:jc w:val="left"/>
              <w:rPr>
                <w:rFonts w:ascii="Times New Roman"/>
                <w:sz w:val="20"/>
              </w:rPr>
            </w:pPr>
          </w:p>
        </w:tc>
      </w:tr>
      <w:tr w:rsidR="006C17CB">
        <w:trPr>
          <w:trHeight w:val="284"/>
        </w:trPr>
        <w:tc>
          <w:tcPr>
            <w:tcW w:w="4435" w:type="dxa"/>
          </w:tcPr>
          <w:p w:rsidR="006C17CB" w:rsidRDefault="0030091C">
            <w:pPr>
              <w:pStyle w:val="TableParagraph"/>
              <w:spacing w:line="245" w:lineRule="exact"/>
              <w:ind w:left="50"/>
              <w:jc w:val="left"/>
              <w:rPr>
                <w:sz w:val="20"/>
              </w:rPr>
            </w:pPr>
            <w:r>
              <w:rPr>
                <w:color w:val="003366"/>
                <w:sz w:val="20"/>
              </w:rPr>
              <w:t>Employees</w:t>
            </w:r>
          </w:p>
        </w:tc>
        <w:tc>
          <w:tcPr>
            <w:tcW w:w="2133" w:type="dxa"/>
            <w:gridSpan w:val="2"/>
          </w:tcPr>
          <w:p w:rsidR="006C17CB" w:rsidRDefault="0030091C">
            <w:pPr>
              <w:pStyle w:val="TableParagraph"/>
              <w:spacing w:line="245" w:lineRule="exact"/>
              <w:ind w:right="249"/>
              <w:rPr>
                <w:sz w:val="20"/>
              </w:rPr>
            </w:pPr>
            <w:r>
              <w:rPr>
                <w:color w:val="003366"/>
                <w:w w:val="95"/>
                <w:sz w:val="20"/>
              </w:rPr>
              <w:t>4,998</w:t>
            </w:r>
          </w:p>
        </w:tc>
        <w:tc>
          <w:tcPr>
            <w:tcW w:w="1215" w:type="dxa"/>
          </w:tcPr>
          <w:p w:rsidR="006C17CB" w:rsidRDefault="0030091C">
            <w:pPr>
              <w:pStyle w:val="TableParagraph"/>
              <w:spacing w:line="245" w:lineRule="exact"/>
              <w:ind w:right="307"/>
              <w:rPr>
                <w:sz w:val="20"/>
              </w:rPr>
            </w:pPr>
            <w:r>
              <w:rPr>
                <w:color w:val="003366"/>
                <w:w w:val="95"/>
                <w:sz w:val="20"/>
              </w:rPr>
              <w:t>4,882</w:t>
            </w:r>
          </w:p>
        </w:tc>
        <w:tc>
          <w:tcPr>
            <w:tcW w:w="997" w:type="dxa"/>
          </w:tcPr>
          <w:p w:rsidR="006C17CB" w:rsidRDefault="0030091C">
            <w:pPr>
              <w:pStyle w:val="TableParagraph"/>
              <w:spacing w:line="245" w:lineRule="exact"/>
              <w:ind w:right="155"/>
              <w:rPr>
                <w:sz w:val="20"/>
              </w:rPr>
            </w:pPr>
            <w:r>
              <w:rPr>
                <w:color w:val="003366"/>
                <w:w w:val="95"/>
                <w:sz w:val="20"/>
              </w:rPr>
              <w:t>4,796</w:t>
            </w:r>
          </w:p>
        </w:tc>
      </w:tr>
      <w:tr w:rsidR="006C17CB">
        <w:trPr>
          <w:trHeight w:val="284"/>
        </w:trPr>
        <w:tc>
          <w:tcPr>
            <w:tcW w:w="4435" w:type="dxa"/>
          </w:tcPr>
          <w:p w:rsidR="006C17CB" w:rsidRDefault="0030091C">
            <w:pPr>
              <w:pStyle w:val="TableParagraph"/>
              <w:spacing w:line="246" w:lineRule="exact"/>
              <w:ind w:left="50"/>
              <w:jc w:val="left"/>
              <w:rPr>
                <w:sz w:val="20"/>
              </w:rPr>
            </w:pPr>
            <w:r>
              <w:rPr>
                <w:color w:val="003366"/>
                <w:sz w:val="20"/>
              </w:rPr>
              <w:t>Superannuation</w:t>
            </w:r>
          </w:p>
        </w:tc>
        <w:tc>
          <w:tcPr>
            <w:tcW w:w="2133" w:type="dxa"/>
            <w:gridSpan w:val="2"/>
          </w:tcPr>
          <w:p w:rsidR="006C17CB" w:rsidRDefault="0030091C">
            <w:pPr>
              <w:pStyle w:val="TableParagraph"/>
              <w:spacing w:line="246" w:lineRule="exact"/>
              <w:ind w:right="249"/>
              <w:rPr>
                <w:sz w:val="20"/>
              </w:rPr>
            </w:pPr>
            <w:r>
              <w:rPr>
                <w:color w:val="003366"/>
                <w:w w:val="95"/>
                <w:sz w:val="20"/>
              </w:rPr>
              <w:t>771</w:t>
            </w:r>
          </w:p>
        </w:tc>
        <w:tc>
          <w:tcPr>
            <w:tcW w:w="1215" w:type="dxa"/>
          </w:tcPr>
          <w:p w:rsidR="006C17CB" w:rsidRDefault="0030091C">
            <w:pPr>
              <w:pStyle w:val="TableParagraph"/>
              <w:spacing w:line="246" w:lineRule="exact"/>
              <w:ind w:right="307"/>
              <w:rPr>
                <w:sz w:val="20"/>
              </w:rPr>
            </w:pPr>
            <w:r>
              <w:rPr>
                <w:color w:val="003366"/>
                <w:w w:val="95"/>
                <w:sz w:val="20"/>
              </w:rPr>
              <w:t>786</w:t>
            </w:r>
          </w:p>
        </w:tc>
        <w:tc>
          <w:tcPr>
            <w:tcW w:w="997" w:type="dxa"/>
          </w:tcPr>
          <w:p w:rsidR="006C17CB" w:rsidRDefault="0030091C">
            <w:pPr>
              <w:pStyle w:val="TableParagraph"/>
              <w:spacing w:line="246" w:lineRule="exact"/>
              <w:ind w:right="155"/>
              <w:rPr>
                <w:sz w:val="20"/>
              </w:rPr>
            </w:pPr>
            <w:r>
              <w:rPr>
                <w:color w:val="003366"/>
                <w:w w:val="95"/>
                <w:sz w:val="20"/>
              </w:rPr>
              <w:t>692</w:t>
            </w:r>
          </w:p>
        </w:tc>
      </w:tr>
      <w:tr w:rsidR="006C17CB">
        <w:trPr>
          <w:trHeight w:val="284"/>
        </w:trPr>
        <w:tc>
          <w:tcPr>
            <w:tcW w:w="4435" w:type="dxa"/>
          </w:tcPr>
          <w:p w:rsidR="006C17CB" w:rsidRDefault="0030091C">
            <w:pPr>
              <w:pStyle w:val="TableParagraph"/>
              <w:spacing w:line="245" w:lineRule="exact"/>
              <w:ind w:left="50"/>
              <w:jc w:val="left"/>
              <w:rPr>
                <w:sz w:val="20"/>
              </w:rPr>
            </w:pPr>
            <w:r>
              <w:rPr>
                <w:color w:val="003366"/>
                <w:sz w:val="20"/>
              </w:rPr>
              <w:t>Supplies and Services</w:t>
            </w:r>
          </w:p>
        </w:tc>
        <w:tc>
          <w:tcPr>
            <w:tcW w:w="2133" w:type="dxa"/>
            <w:gridSpan w:val="2"/>
          </w:tcPr>
          <w:p w:rsidR="006C17CB" w:rsidRDefault="0030091C">
            <w:pPr>
              <w:pStyle w:val="TableParagraph"/>
              <w:spacing w:line="245" w:lineRule="exact"/>
              <w:ind w:right="249"/>
              <w:rPr>
                <w:sz w:val="20"/>
              </w:rPr>
            </w:pPr>
            <w:r>
              <w:rPr>
                <w:color w:val="003366"/>
                <w:w w:val="95"/>
                <w:sz w:val="20"/>
              </w:rPr>
              <w:t>3,263</w:t>
            </w:r>
          </w:p>
        </w:tc>
        <w:tc>
          <w:tcPr>
            <w:tcW w:w="1215" w:type="dxa"/>
          </w:tcPr>
          <w:p w:rsidR="006C17CB" w:rsidRDefault="0030091C">
            <w:pPr>
              <w:pStyle w:val="TableParagraph"/>
              <w:spacing w:line="245" w:lineRule="exact"/>
              <w:ind w:right="307"/>
              <w:rPr>
                <w:sz w:val="20"/>
              </w:rPr>
            </w:pPr>
            <w:r>
              <w:rPr>
                <w:color w:val="003366"/>
                <w:w w:val="95"/>
                <w:sz w:val="20"/>
              </w:rPr>
              <w:t>3,459</w:t>
            </w:r>
          </w:p>
        </w:tc>
        <w:tc>
          <w:tcPr>
            <w:tcW w:w="997" w:type="dxa"/>
          </w:tcPr>
          <w:p w:rsidR="006C17CB" w:rsidRDefault="0030091C">
            <w:pPr>
              <w:pStyle w:val="TableParagraph"/>
              <w:spacing w:line="245" w:lineRule="exact"/>
              <w:ind w:right="155"/>
              <w:rPr>
                <w:sz w:val="20"/>
              </w:rPr>
            </w:pPr>
            <w:r>
              <w:rPr>
                <w:color w:val="003366"/>
                <w:w w:val="95"/>
                <w:sz w:val="20"/>
              </w:rPr>
              <w:t>2,612</w:t>
            </w:r>
          </w:p>
        </w:tc>
      </w:tr>
      <w:tr w:rsidR="006C17CB">
        <w:trPr>
          <w:trHeight w:val="284"/>
        </w:trPr>
        <w:tc>
          <w:tcPr>
            <w:tcW w:w="4435" w:type="dxa"/>
          </w:tcPr>
          <w:p w:rsidR="006C17CB" w:rsidRDefault="0030091C">
            <w:pPr>
              <w:pStyle w:val="TableParagraph"/>
              <w:spacing w:line="246" w:lineRule="exact"/>
              <w:ind w:left="50"/>
              <w:jc w:val="left"/>
              <w:rPr>
                <w:sz w:val="20"/>
              </w:rPr>
            </w:pPr>
            <w:r>
              <w:rPr>
                <w:color w:val="003366"/>
                <w:sz w:val="20"/>
              </w:rPr>
              <w:t>Goods and Services Tax Paid to Suppliers</w:t>
            </w:r>
          </w:p>
        </w:tc>
        <w:tc>
          <w:tcPr>
            <w:tcW w:w="2133" w:type="dxa"/>
            <w:gridSpan w:val="2"/>
          </w:tcPr>
          <w:p w:rsidR="006C17CB" w:rsidRDefault="0030091C">
            <w:pPr>
              <w:pStyle w:val="TableParagraph"/>
              <w:spacing w:line="246" w:lineRule="exact"/>
              <w:ind w:right="249"/>
              <w:rPr>
                <w:sz w:val="20"/>
              </w:rPr>
            </w:pPr>
            <w:r>
              <w:rPr>
                <w:color w:val="003366"/>
                <w:w w:val="95"/>
                <w:sz w:val="20"/>
              </w:rPr>
              <w:t>341</w:t>
            </w:r>
          </w:p>
        </w:tc>
        <w:tc>
          <w:tcPr>
            <w:tcW w:w="1215" w:type="dxa"/>
          </w:tcPr>
          <w:p w:rsidR="006C17CB" w:rsidRDefault="0030091C">
            <w:pPr>
              <w:pStyle w:val="TableParagraph"/>
              <w:spacing w:line="246" w:lineRule="exact"/>
              <w:ind w:right="306"/>
              <w:rPr>
                <w:sz w:val="20"/>
              </w:rPr>
            </w:pPr>
            <w:r>
              <w:rPr>
                <w:color w:val="003366"/>
                <w:w w:val="99"/>
                <w:sz w:val="20"/>
              </w:rPr>
              <w:t>-</w:t>
            </w:r>
          </w:p>
        </w:tc>
        <w:tc>
          <w:tcPr>
            <w:tcW w:w="997" w:type="dxa"/>
          </w:tcPr>
          <w:p w:rsidR="006C17CB" w:rsidRDefault="0030091C">
            <w:pPr>
              <w:pStyle w:val="TableParagraph"/>
              <w:spacing w:line="246" w:lineRule="exact"/>
              <w:ind w:right="155"/>
              <w:rPr>
                <w:sz w:val="20"/>
              </w:rPr>
            </w:pPr>
            <w:r>
              <w:rPr>
                <w:color w:val="003366"/>
                <w:w w:val="95"/>
                <w:sz w:val="20"/>
              </w:rPr>
              <w:t>311</w:t>
            </w:r>
          </w:p>
        </w:tc>
      </w:tr>
      <w:tr w:rsidR="006C17CB">
        <w:trPr>
          <w:trHeight w:val="289"/>
        </w:trPr>
        <w:tc>
          <w:tcPr>
            <w:tcW w:w="4435" w:type="dxa"/>
          </w:tcPr>
          <w:p w:rsidR="006C17CB" w:rsidRDefault="0030091C">
            <w:pPr>
              <w:pStyle w:val="TableParagraph"/>
              <w:spacing w:line="245" w:lineRule="exact"/>
              <w:ind w:left="50"/>
              <w:jc w:val="left"/>
              <w:rPr>
                <w:sz w:val="20"/>
              </w:rPr>
            </w:pPr>
            <w:r>
              <w:rPr>
                <w:color w:val="003366"/>
                <w:sz w:val="20"/>
              </w:rPr>
              <w:t>Other</w:t>
            </w:r>
          </w:p>
        </w:tc>
        <w:tc>
          <w:tcPr>
            <w:tcW w:w="800" w:type="dxa"/>
          </w:tcPr>
          <w:p w:rsidR="006C17CB" w:rsidRDefault="006C17CB">
            <w:pPr>
              <w:pStyle w:val="TableParagraph"/>
              <w:jc w:val="left"/>
              <w:rPr>
                <w:rFonts w:ascii="Times New Roman"/>
                <w:sz w:val="20"/>
              </w:rPr>
            </w:pPr>
          </w:p>
        </w:tc>
        <w:tc>
          <w:tcPr>
            <w:tcW w:w="3545" w:type="dxa"/>
            <w:gridSpan w:val="3"/>
          </w:tcPr>
          <w:p w:rsidR="006C17CB" w:rsidRDefault="0030091C">
            <w:pPr>
              <w:pStyle w:val="TableParagraph"/>
              <w:tabs>
                <w:tab w:val="left" w:pos="1021"/>
                <w:tab w:val="left" w:pos="1935"/>
                <w:tab w:val="left" w:pos="3327"/>
              </w:tabs>
              <w:spacing w:line="245" w:lineRule="exact"/>
              <w:ind w:left="68"/>
              <w:jc w:val="left"/>
              <w:rPr>
                <w:sz w:val="20"/>
              </w:rPr>
            </w:pPr>
            <w:r>
              <w:rPr>
                <w:color w:val="003366"/>
                <w:w w:val="99"/>
                <w:sz w:val="20"/>
                <w:u w:val="single" w:color="000000"/>
              </w:rPr>
              <w:t xml:space="preserve"> </w:t>
            </w:r>
            <w:r>
              <w:rPr>
                <w:color w:val="003366"/>
                <w:sz w:val="20"/>
                <w:u w:val="single" w:color="000000"/>
              </w:rPr>
              <w:tab/>
              <w:t>-</w:t>
            </w:r>
            <w:r>
              <w:rPr>
                <w:color w:val="003366"/>
                <w:sz w:val="20"/>
                <w:u w:val="single" w:color="000000"/>
              </w:rPr>
              <w:tab/>
              <w:t>230</w:t>
            </w:r>
            <w:r>
              <w:rPr>
                <w:color w:val="003366"/>
                <w:sz w:val="20"/>
                <w:u w:val="single" w:color="000000"/>
              </w:rPr>
              <w:tab/>
              <w:t>-</w:t>
            </w:r>
            <w:r>
              <w:rPr>
                <w:color w:val="003366"/>
                <w:spacing w:val="17"/>
                <w:sz w:val="20"/>
                <w:u w:val="single" w:color="000000"/>
              </w:rPr>
              <w:t xml:space="preserve"> </w:t>
            </w:r>
          </w:p>
        </w:tc>
      </w:tr>
      <w:tr w:rsidR="006C17CB">
        <w:trPr>
          <w:trHeight w:val="291"/>
        </w:trPr>
        <w:tc>
          <w:tcPr>
            <w:tcW w:w="4435" w:type="dxa"/>
          </w:tcPr>
          <w:p w:rsidR="006C17CB" w:rsidRDefault="0030091C">
            <w:pPr>
              <w:pStyle w:val="TableParagraph"/>
              <w:spacing w:line="251" w:lineRule="exact"/>
              <w:ind w:left="50"/>
              <w:jc w:val="left"/>
              <w:rPr>
                <w:b/>
                <w:sz w:val="20"/>
              </w:rPr>
            </w:pPr>
            <w:r>
              <w:rPr>
                <w:b/>
                <w:color w:val="003366"/>
                <w:sz w:val="20"/>
              </w:rPr>
              <w:t>Total Payments from Operating Activities</w:t>
            </w:r>
          </w:p>
        </w:tc>
        <w:tc>
          <w:tcPr>
            <w:tcW w:w="800" w:type="dxa"/>
          </w:tcPr>
          <w:p w:rsidR="006C17CB" w:rsidRDefault="006C17CB">
            <w:pPr>
              <w:pStyle w:val="TableParagraph"/>
              <w:jc w:val="left"/>
              <w:rPr>
                <w:rFonts w:ascii="Times New Roman"/>
                <w:sz w:val="20"/>
              </w:rPr>
            </w:pPr>
          </w:p>
        </w:tc>
        <w:tc>
          <w:tcPr>
            <w:tcW w:w="3545" w:type="dxa"/>
            <w:gridSpan w:val="3"/>
          </w:tcPr>
          <w:p w:rsidR="006C17CB" w:rsidRDefault="0030091C">
            <w:pPr>
              <w:pStyle w:val="TableParagraph"/>
              <w:tabs>
                <w:tab w:val="left" w:pos="627"/>
                <w:tab w:val="left" w:pos="1784"/>
                <w:tab w:val="left" w:pos="2934"/>
              </w:tabs>
              <w:spacing w:line="251" w:lineRule="exact"/>
              <w:ind w:left="68"/>
              <w:jc w:val="left"/>
              <w:rPr>
                <w:b/>
                <w:sz w:val="20"/>
              </w:rPr>
            </w:pPr>
            <w:r>
              <w:rPr>
                <w:b/>
                <w:color w:val="003366"/>
                <w:w w:val="99"/>
                <w:sz w:val="20"/>
                <w:u w:val="single" w:color="003366"/>
              </w:rPr>
              <w:t xml:space="preserve"> </w:t>
            </w:r>
            <w:r>
              <w:rPr>
                <w:b/>
                <w:color w:val="003366"/>
                <w:sz w:val="20"/>
                <w:u w:val="single" w:color="003366"/>
              </w:rPr>
              <w:tab/>
              <w:t>9,373</w:t>
            </w:r>
            <w:r>
              <w:rPr>
                <w:b/>
                <w:color w:val="003366"/>
                <w:sz w:val="20"/>
                <w:u w:val="single" w:color="003366"/>
              </w:rPr>
              <w:tab/>
              <w:t>9,357</w:t>
            </w:r>
            <w:r>
              <w:rPr>
                <w:b/>
                <w:color w:val="003366"/>
                <w:sz w:val="20"/>
                <w:u w:val="single" w:color="003366"/>
              </w:rPr>
              <w:tab/>
              <w:t>8,411</w:t>
            </w:r>
            <w:r>
              <w:rPr>
                <w:b/>
                <w:color w:val="003366"/>
                <w:spacing w:val="18"/>
                <w:sz w:val="20"/>
                <w:u w:val="single" w:color="003366"/>
              </w:rPr>
              <w:t xml:space="preserve"> </w:t>
            </w:r>
          </w:p>
        </w:tc>
      </w:tr>
      <w:tr w:rsidR="006C17CB">
        <w:trPr>
          <w:trHeight w:val="488"/>
        </w:trPr>
        <w:tc>
          <w:tcPr>
            <w:tcW w:w="4435" w:type="dxa"/>
          </w:tcPr>
          <w:p w:rsidR="006C17CB" w:rsidRDefault="0030091C">
            <w:pPr>
              <w:pStyle w:val="TableParagraph"/>
              <w:spacing w:line="242" w:lineRule="exact"/>
              <w:ind w:left="335" w:right="672" w:hanging="286"/>
              <w:jc w:val="left"/>
              <w:rPr>
                <w:b/>
                <w:sz w:val="20"/>
              </w:rPr>
            </w:pPr>
            <w:r>
              <w:rPr>
                <w:b/>
                <w:color w:val="003366"/>
                <w:sz w:val="20"/>
              </w:rPr>
              <w:t>Net Cash Inflows/(Outflows) from Operating Activities</w:t>
            </w:r>
          </w:p>
        </w:tc>
        <w:tc>
          <w:tcPr>
            <w:tcW w:w="800" w:type="dxa"/>
          </w:tcPr>
          <w:p w:rsidR="006C17CB" w:rsidRDefault="006C17CB">
            <w:pPr>
              <w:pStyle w:val="TableParagraph"/>
              <w:spacing w:before="2"/>
              <w:jc w:val="left"/>
              <w:rPr>
                <w:b/>
                <w:sz w:val="14"/>
              </w:rPr>
            </w:pPr>
          </w:p>
          <w:p w:rsidR="006C17CB" w:rsidRDefault="0030091C">
            <w:pPr>
              <w:pStyle w:val="TableParagraph"/>
              <w:spacing w:line="264" w:lineRule="exact"/>
              <w:ind w:left="303" w:right="43"/>
              <w:jc w:val="center"/>
              <w:rPr>
                <w:sz w:val="20"/>
              </w:rPr>
            </w:pPr>
            <w:r>
              <w:rPr>
                <w:color w:val="003366"/>
                <w:sz w:val="20"/>
              </w:rPr>
              <w:t>20</w:t>
            </w:r>
          </w:p>
        </w:tc>
        <w:tc>
          <w:tcPr>
            <w:tcW w:w="3545" w:type="dxa"/>
            <w:gridSpan w:val="3"/>
          </w:tcPr>
          <w:p w:rsidR="006C17CB" w:rsidRDefault="006C17CB">
            <w:pPr>
              <w:pStyle w:val="TableParagraph"/>
              <w:spacing w:before="2"/>
              <w:jc w:val="left"/>
              <w:rPr>
                <w:b/>
                <w:sz w:val="14"/>
              </w:rPr>
            </w:pPr>
          </w:p>
          <w:p w:rsidR="006C17CB" w:rsidRDefault="0030091C">
            <w:pPr>
              <w:pStyle w:val="TableParagraph"/>
              <w:tabs>
                <w:tab w:val="left" w:pos="778"/>
                <w:tab w:val="left" w:pos="1810"/>
                <w:tab w:val="left" w:pos="3085"/>
              </w:tabs>
              <w:spacing w:line="264" w:lineRule="exact"/>
              <w:ind w:left="68"/>
              <w:jc w:val="left"/>
              <w:rPr>
                <w:b/>
                <w:sz w:val="20"/>
              </w:rPr>
            </w:pPr>
            <w:r>
              <w:rPr>
                <w:b/>
                <w:color w:val="003366"/>
                <w:w w:val="99"/>
                <w:sz w:val="20"/>
                <w:u w:val="single" w:color="003366"/>
              </w:rPr>
              <w:t xml:space="preserve"> </w:t>
            </w:r>
            <w:r>
              <w:rPr>
                <w:b/>
                <w:color w:val="003366"/>
                <w:sz w:val="20"/>
                <w:u w:val="single" w:color="003366"/>
              </w:rPr>
              <w:tab/>
              <w:t>155</w:t>
            </w:r>
            <w:r>
              <w:rPr>
                <w:b/>
                <w:color w:val="003366"/>
                <w:sz w:val="20"/>
                <w:u w:val="single" w:color="003366"/>
              </w:rPr>
              <w:tab/>
              <w:t>(129)</w:t>
            </w:r>
            <w:r>
              <w:rPr>
                <w:b/>
                <w:color w:val="003366"/>
                <w:sz w:val="20"/>
                <w:u w:val="single" w:color="003366"/>
              </w:rPr>
              <w:tab/>
              <w:t>633</w:t>
            </w:r>
            <w:r>
              <w:rPr>
                <w:b/>
                <w:color w:val="003366"/>
                <w:spacing w:val="18"/>
                <w:sz w:val="20"/>
                <w:u w:val="single" w:color="003366"/>
              </w:rPr>
              <w:t xml:space="preserve"> </w:t>
            </w:r>
          </w:p>
        </w:tc>
      </w:tr>
    </w:tbl>
    <w:p w:rsidR="006C17CB" w:rsidRDefault="006C17CB">
      <w:pPr>
        <w:pStyle w:val="BodyText"/>
        <w:spacing w:before="5"/>
        <w:rPr>
          <w:rFonts w:ascii="Calibri"/>
          <w:b/>
          <w:sz w:val="20"/>
        </w:rPr>
      </w:pPr>
    </w:p>
    <w:p w:rsidR="006C17CB" w:rsidRDefault="0030091C">
      <w:pPr>
        <w:spacing w:line="235" w:lineRule="auto"/>
        <w:ind w:left="827" w:right="7106"/>
        <w:rPr>
          <w:rFonts w:ascii="Calibri"/>
          <w:b/>
          <w:sz w:val="20"/>
        </w:rPr>
      </w:pPr>
      <w:r>
        <w:rPr>
          <w:rFonts w:ascii="Calibri"/>
          <w:b/>
          <w:color w:val="003366"/>
          <w:sz w:val="20"/>
        </w:rPr>
        <w:t>Cash Flows from Investing Activities Receipts</w:t>
      </w:r>
    </w:p>
    <w:p w:rsidR="006C17CB" w:rsidRDefault="0030091C">
      <w:pPr>
        <w:spacing w:after="42" w:line="285" w:lineRule="exact"/>
        <w:ind w:left="827"/>
        <w:rPr>
          <w:rFonts w:ascii="Calibri"/>
          <w:sz w:val="20"/>
        </w:rPr>
      </w:pPr>
      <w:r>
        <w:rPr>
          <w:rFonts w:ascii="Calibri"/>
          <w:color w:val="003366"/>
          <w:sz w:val="20"/>
        </w:rPr>
        <w:t>Proceeds from the Sale of Property, Plant and</w:t>
      </w:r>
    </w:p>
    <w:tbl>
      <w:tblPr>
        <w:tblW w:w="0" w:type="auto"/>
        <w:tblInd w:w="777" w:type="dxa"/>
        <w:tblLayout w:type="fixed"/>
        <w:tblCellMar>
          <w:left w:w="0" w:type="dxa"/>
          <w:right w:w="0" w:type="dxa"/>
        </w:tblCellMar>
        <w:tblLook w:val="01E0" w:firstRow="1" w:lastRow="1" w:firstColumn="1" w:lastColumn="1" w:noHBand="0" w:noVBand="0"/>
      </w:tblPr>
      <w:tblGrid>
        <w:gridCol w:w="4882"/>
        <w:gridCol w:w="3900"/>
      </w:tblGrid>
      <w:tr w:rsidR="006C17CB">
        <w:trPr>
          <w:trHeight w:val="242"/>
        </w:trPr>
        <w:tc>
          <w:tcPr>
            <w:tcW w:w="4882" w:type="dxa"/>
          </w:tcPr>
          <w:p w:rsidR="006C17CB" w:rsidRDefault="0030091C">
            <w:pPr>
              <w:pStyle w:val="TableParagraph"/>
              <w:spacing w:line="203" w:lineRule="exact"/>
              <w:ind w:left="335"/>
              <w:jc w:val="left"/>
              <w:rPr>
                <w:sz w:val="20"/>
              </w:rPr>
            </w:pPr>
            <w:r>
              <w:rPr>
                <w:color w:val="003366"/>
                <w:sz w:val="20"/>
              </w:rPr>
              <w:t>Equipment</w:t>
            </w:r>
          </w:p>
        </w:tc>
        <w:tc>
          <w:tcPr>
            <w:tcW w:w="3900" w:type="dxa"/>
          </w:tcPr>
          <w:p w:rsidR="006C17CB" w:rsidRDefault="0030091C">
            <w:pPr>
              <w:pStyle w:val="TableParagraph"/>
              <w:tabs>
                <w:tab w:val="left" w:pos="1156"/>
                <w:tab w:val="left" w:pos="2267"/>
              </w:tabs>
              <w:spacing w:line="203" w:lineRule="exact"/>
              <w:ind w:right="154"/>
              <w:rPr>
                <w:sz w:val="20"/>
              </w:rPr>
            </w:pPr>
            <w:r>
              <w:rPr>
                <w:color w:val="003366"/>
                <w:sz w:val="20"/>
              </w:rPr>
              <w:t>-</w:t>
            </w:r>
            <w:r>
              <w:rPr>
                <w:color w:val="003366"/>
                <w:sz w:val="20"/>
              </w:rPr>
              <w:tab/>
              <w:t>-</w:t>
            </w:r>
            <w:r>
              <w:rPr>
                <w:color w:val="003366"/>
                <w:sz w:val="20"/>
              </w:rPr>
              <w:tab/>
            </w:r>
            <w:r>
              <w:rPr>
                <w:color w:val="003366"/>
                <w:w w:val="95"/>
                <w:sz w:val="20"/>
              </w:rPr>
              <w:t>2</w:t>
            </w:r>
          </w:p>
        </w:tc>
      </w:tr>
      <w:tr w:rsidR="006C17CB">
        <w:trPr>
          <w:trHeight w:val="286"/>
        </w:trPr>
        <w:tc>
          <w:tcPr>
            <w:tcW w:w="4882" w:type="dxa"/>
          </w:tcPr>
          <w:p w:rsidR="006C17CB" w:rsidRDefault="0030091C">
            <w:pPr>
              <w:pStyle w:val="TableParagraph"/>
              <w:spacing w:line="246" w:lineRule="exact"/>
              <w:ind w:left="50"/>
              <w:jc w:val="left"/>
              <w:rPr>
                <w:sz w:val="20"/>
              </w:rPr>
            </w:pPr>
            <w:r>
              <w:rPr>
                <w:color w:val="003366"/>
                <w:sz w:val="20"/>
              </w:rPr>
              <w:t>Proceeds from the Sale/Maturity of Investments</w:t>
            </w:r>
          </w:p>
        </w:tc>
        <w:tc>
          <w:tcPr>
            <w:tcW w:w="3900" w:type="dxa"/>
          </w:tcPr>
          <w:p w:rsidR="006C17CB" w:rsidRDefault="0030091C">
            <w:pPr>
              <w:pStyle w:val="TableParagraph"/>
              <w:tabs>
                <w:tab w:val="left" w:pos="559"/>
                <w:tab w:val="left" w:pos="1715"/>
                <w:tab w:val="left" w:pos="2865"/>
              </w:tabs>
              <w:spacing w:line="246" w:lineRule="exact"/>
              <w:ind w:right="46"/>
              <w:rPr>
                <w:sz w:val="20"/>
              </w:rPr>
            </w:pPr>
            <w:r>
              <w:rPr>
                <w:color w:val="003366"/>
                <w:w w:val="99"/>
                <w:sz w:val="20"/>
                <w:u w:val="single" w:color="003366"/>
              </w:rPr>
              <w:t xml:space="preserve"> </w:t>
            </w:r>
            <w:r>
              <w:rPr>
                <w:color w:val="003366"/>
                <w:sz w:val="20"/>
                <w:u w:val="single" w:color="003366"/>
              </w:rPr>
              <w:tab/>
              <w:t>2,015</w:t>
            </w:r>
            <w:r>
              <w:rPr>
                <w:color w:val="003366"/>
                <w:sz w:val="20"/>
                <w:u w:val="single" w:color="003366"/>
              </w:rPr>
              <w:tab/>
              <w:t>1,844</w:t>
            </w:r>
            <w:r>
              <w:rPr>
                <w:color w:val="003366"/>
                <w:sz w:val="20"/>
                <w:u w:val="single" w:color="003366"/>
              </w:rPr>
              <w:tab/>
            </w:r>
            <w:r>
              <w:rPr>
                <w:color w:val="003366"/>
                <w:spacing w:val="-1"/>
                <w:sz w:val="20"/>
                <w:u w:val="single" w:color="003366"/>
              </w:rPr>
              <w:t>1,760</w:t>
            </w:r>
            <w:r>
              <w:rPr>
                <w:color w:val="003366"/>
                <w:spacing w:val="18"/>
                <w:sz w:val="20"/>
                <w:u w:val="single" w:color="003366"/>
              </w:rPr>
              <w:t xml:space="preserve"> </w:t>
            </w:r>
          </w:p>
        </w:tc>
      </w:tr>
      <w:tr w:rsidR="006C17CB">
        <w:trPr>
          <w:trHeight w:val="428"/>
        </w:trPr>
        <w:tc>
          <w:tcPr>
            <w:tcW w:w="4882" w:type="dxa"/>
          </w:tcPr>
          <w:p w:rsidR="006C17CB" w:rsidRDefault="0030091C">
            <w:pPr>
              <w:pStyle w:val="TableParagraph"/>
              <w:spacing w:line="248" w:lineRule="exact"/>
              <w:ind w:left="50"/>
              <w:jc w:val="left"/>
              <w:rPr>
                <w:b/>
                <w:sz w:val="20"/>
              </w:rPr>
            </w:pPr>
            <w:r>
              <w:rPr>
                <w:b/>
                <w:color w:val="003366"/>
                <w:sz w:val="20"/>
              </w:rPr>
              <w:t>Total Receipts from Investing Activities</w:t>
            </w:r>
          </w:p>
        </w:tc>
        <w:tc>
          <w:tcPr>
            <w:tcW w:w="3900" w:type="dxa"/>
          </w:tcPr>
          <w:p w:rsidR="006C17CB" w:rsidRDefault="0030091C">
            <w:pPr>
              <w:pStyle w:val="TableParagraph"/>
              <w:tabs>
                <w:tab w:val="left" w:pos="1156"/>
                <w:tab w:val="left" w:pos="2306"/>
              </w:tabs>
              <w:spacing w:line="248" w:lineRule="exact"/>
              <w:ind w:right="157"/>
              <w:rPr>
                <w:b/>
                <w:sz w:val="20"/>
              </w:rPr>
            </w:pPr>
            <w:r>
              <w:rPr>
                <w:b/>
                <w:color w:val="003366"/>
                <w:sz w:val="20"/>
              </w:rPr>
              <w:t>2,015</w:t>
            </w:r>
            <w:r>
              <w:rPr>
                <w:b/>
                <w:color w:val="003366"/>
                <w:sz w:val="20"/>
              </w:rPr>
              <w:tab/>
              <w:t>1,844</w:t>
            </w:r>
            <w:r>
              <w:rPr>
                <w:b/>
                <w:color w:val="003366"/>
                <w:sz w:val="20"/>
              </w:rPr>
              <w:tab/>
            </w:r>
            <w:r>
              <w:rPr>
                <w:b/>
                <w:color w:val="003366"/>
                <w:spacing w:val="-2"/>
                <w:sz w:val="20"/>
              </w:rPr>
              <w:t>1,762</w:t>
            </w:r>
          </w:p>
        </w:tc>
      </w:tr>
      <w:tr w:rsidR="006C17CB">
        <w:trPr>
          <w:trHeight w:val="710"/>
        </w:trPr>
        <w:tc>
          <w:tcPr>
            <w:tcW w:w="4882" w:type="dxa"/>
          </w:tcPr>
          <w:p w:rsidR="006C17CB" w:rsidRDefault="0030091C">
            <w:pPr>
              <w:pStyle w:val="TableParagraph"/>
              <w:spacing w:before="99" w:line="286" w:lineRule="exact"/>
              <w:ind w:left="50"/>
              <w:jc w:val="left"/>
              <w:rPr>
                <w:b/>
                <w:sz w:val="20"/>
              </w:rPr>
            </w:pPr>
            <w:r>
              <w:rPr>
                <w:b/>
                <w:color w:val="003366"/>
                <w:sz w:val="20"/>
              </w:rPr>
              <w:t>Payments</w:t>
            </w:r>
          </w:p>
          <w:p w:rsidR="006C17CB" w:rsidRDefault="0030091C">
            <w:pPr>
              <w:pStyle w:val="TableParagraph"/>
              <w:spacing w:line="286" w:lineRule="exact"/>
              <w:ind w:left="50"/>
              <w:jc w:val="left"/>
              <w:rPr>
                <w:sz w:val="20"/>
              </w:rPr>
            </w:pPr>
            <w:r>
              <w:rPr>
                <w:color w:val="003366"/>
                <w:sz w:val="20"/>
              </w:rPr>
              <w:t>Purchase of Property, Plant and Equipment</w:t>
            </w:r>
          </w:p>
        </w:tc>
        <w:tc>
          <w:tcPr>
            <w:tcW w:w="3900" w:type="dxa"/>
          </w:tcPr>
          <w:p w:rsidR="006C17CB" w:rsidRDefault="006C17CB">
            <w:pPr>
              <w:pStyle w:val="TableParagraph"/>
              <w:spacing w:before="8"/>
              <w:jc w:val="left"/>
              <w:rPr>
                <w:sz w:val="26"/>
              </w:rPr>
            </w:pPr>
          </w:p>
          <w:p w:rsidR="006C17CB" w:rsidRDefault="0030091C">
            <w:pPr>
              <w:pStyle w:val="TableParagraph"/>
              <w:tabs>
                <w:tab w:val="left" w:pos="1259"/>
                <w:tab w:val="left" w:pos="2306"/>
              </w:tabs>
              <w:ind w:right="157"/>
              <w:rPr>
                <w:sz w:val="20"/>
              </w:rPr>
            </w:pPr>
            <w:r>
              <w:rPr>
                <w:color w:val="003366"/>
                <w:sz w:val="20"/>
              </w:rPr>
              <w:t>165</w:t>
            </w:r>
            <w:r>
              <w:rPr>
                <w:color w:val="003366"/>
                <w:sz w:val="20"/>
              </w:rPr>
              <w:tab/>
              <w:t>75</w:t>
            </w:r>
            <w:r>
              <w:rPr>
                <w:color w:val="003366"/>
                <w:sz w:val="20"/>
              </w:rPr>
              <w:tab/>
            </w:r>
            <w:r>
              <w:rPr>
                <w:color w:val="003366"/>
                <w:spacing w:val="-2"/>
                <w:sz w:val="20"/>
              </w:rPr>
              <w:t>673</w:t>
            </w:r>
          </w:p>
        </w:tc>
      </w:tr>
      <w:tr w:rsidR="006C17CB">
        <w:trPr>
          <w:trHeight w:val="286"/>
        </w:trPr>
        <w:tc>
          <w:tcPr>
            <w:tcW w:w="4882" w:type="dxa"/>
          </w:tcPr>
          <w:p w:rsidR="006C17CB" w:rsidRDefault="0030091C">
            <w:pPr>
              <w:pStyle w:val="TableParagraph"/>
              <w:spacing w:line="246" w:lineRule="exact"/>
              <w:ind w:left="50"/>
              <w:jc w:val="left"/>
              <w:rPr>
                <w:sz w:val="20"/>
              </w:rPr>
            </w:pPr>
            <w:r>
              <w:rPr>
                <w:color w:val="003366"/>
                <w:sz w:val="20"/>
              </w:rPr>
              <w:t>Purchase of Investments</w:t>
            </w:r>
          </w:p>
        </w:tc>
        <w:tc>
          <w:tcPr>
            <w:tcW w:w="3900" w:type="dxa"/>
          </w:tcPr>
          <w:p w:rsidR="006C17CB" w:rsidRDefault="0030091C">
            <w:pPr>
              <w:pStyle w:val="TableParagraph"/>
              <w:tabs>
                <w:tab w:val="left" w:pos="559"/>
                <w:tab w:val="left" w:pos="1715"/>
                <w:tab w:val="left" w:pos="2865"/>
              </w:tabs>
              <w:spacing w:line="246" w:lineRule="exact"/>
              <w:ind w:right="46"/>
              <w:rPr>
                <w:sz w:val="20"/>
              </w:rPr>
            </w:pPr>
            <w:r>
              <w:rPr>
                <w:color w:val="003366"/>
                <w:w w:val="99"/>
                <w:sz w:val="20"/>
                <w:u w:val="single" w:color="003366"/>
              </w:rPr>
              <w:t xml:space="preserve"> </w:t>
            </w:r>
            <w:r>
              <w:rPr>
                <w:color w:val="003366"/>
                <w:sz w:val="20"/>
                <w:u w:val="single" w:color="003366"/>
              </w:rPr>
              <w:tab/>
              <w:t>2,215</w:t>
            </w:r>
            <w:r>
              <w:rPr>
                <w:color w:val="003366"/>
                <w:sz w:val="20"/>
                <w:u w:val="single" w:color="003366"/>
              </w:rPr>
              <w:tab/>
              <w:t>1,645</w:t>
            </w:r>
            <w:r>
              <w:rPr>
                <w:color w:val="003366"/>
                <w:sz w:val="20"/>
                <w:u w:val="single" w:color="003366"/>
              </w:rPr>
              <w:tab/>
            </w:r>
            <w:r>
              <w:rPr>
                <w:color w:val="003366"/>
                <w:spacing w:val="-1"/>
                <w:sz w:val="20"/>
                <w:u w:val="single" w:color="003366"/>
              </w:rPr>
              <w:t>2,510</w:t>
            </w:r>
            <w:r>
              <w:rPr>
                <w:color w:val="003366"/>
                <w:spacing w:val="18"/>
                <w:sz w:val="20"/>
                <w:u w:val="single" w:color="003366"/>
              </w:rPr>
              <w:t xml:space="preserve"> </w:t>
            </w:r>
          </w:p>
        </w:tc>
      </w:tr>
      <w:tr w:rsidR="006C17CB">
        <w:trPr>
          <w:trHeight w:val="289"/>
        </w:trPr>
        <w:tc>
          <w:tcPr>
            <w:tcW w:w="4882" w:type="dxa"/>
          </w:tcPr>
          <w:p w:rsidR="006C17CB" w:rsidRDefault="0030091C">
            <w:pPr>
              <w:pStyle w:val="TableParagraph"/>
              <w:spacing w:line="248" w:lineRule="exact"/>
              <w:ind w:left="50"/>
              <w:jc w:val="left"/>
              <w:rPr>
                <w:b/>
                <w:sz w:val="20"/>
              </w:rPr>
            </w:pPr>
            <w:r>
              <w:rPr>
                <w:b/>
                <w:color w:val="003366"/>
                <w:sz w:val="20"/>
              </w:rPr>
              <w:t>Total Payments from Investing Activities</w:t>
            </w:r>
          </w:p>
        </w:tc>
        <w:tc>
          <w:tcPr>
            <w:tcW w:w="3900" w:type="dxa"/>
          </w:tcPr>
          <w:p w:rsidR="006C17CB" w:rsidRDefault="0030091C">
            <w:pPr>
              <w:pStyle w:val="TableParagraph"/>
              <w:tabs>
                <w:tab w:val="left" w:pos="559"/>
                <w:tab w:val="left" w:pos="1715"/>
                <w:tab w:val="left" w:pos="2865"/>
              </w:tabs>
              <w:spacing w:line="248" w:lineRule="exact"/>
              <w:ind w:right="46"/>
              <w:rPr>
                <w:b/>
                <w:sz w:val="20"/>
              </w:rPr>
            </w:pPr>
            <w:r>
              <w:rPr>
                <w:b/>
                <w:color w:val="003366"/>
                <w:w w:val="99"/>
                <w:sz w:val="20"/>
                <w:u w:val="single" w:color="003366"/>
              </w:rPr>
              <w:t xml:space="preserve"> </w:t>
            </w:r>
            <w:r>
              <w:rPr>
                <w:b/>
                <w:color w:val="003366"/>
                <w:sz w:val="20"/>
                <w:u w:val="single" w:color="003366"/>
              </w:rPr>
              <w:tab/>
              <w:t>2,380</w:t>
            </w:r>
            <w:r>
              <w:rPr>
                <w:b/>
                <w:color w:val="003366"/>
                <w:sz w:val="20"/>
                <w:u w:val="single" w:color="003366"/>
              </w:rPr>
              <w:tab/>
              <w:t>1,720</w:t>
            </w:r>
            <w:r>
              <w:rPr>
                <w:b/>
                <w:color w:val="003366"/>
                <w:sz w:val="20"/>
                <w:u w:val="single" w:color="003366"/>
              </w:rPr>
              <w:tab/>
            </w:r>
            <w:r>
              <w:rPr>
                <w:b/>
                <w:color w:val="003366"/>
                <w:spacing w:val="-1"/>
                <w:w w:val="95"/>
                <w:sz w:val="20"/>
                <w:u w:val="single" w:color="003366"/>
              </w:rPr>
              <w:t>3,183</w:t>
            </w:r>
            <w:r>
              <w:rPr>
                <w:b/>
                <w:color w:val="003366"/>
                <w:spacing w:val="18"/>
                <w:sz w:val="20"/>
                <w:u w:val="single" w:color="003366"/>
              </w:rPr>
              <w:t xml:space="preserve"> </w:t>
            </w:r>
          </w:p>
        </w:tc>
      </w:tr>
      <w:tr w:rsidR="006C17CB">
        <w:trPr>
          <w:trHeight w:val="244"/>
        </w:trPr>
        <w:tc>
          <w:tcPr>
            <w:tcW w:w="4882" w:type="dxa"/>
          </w:tcPr>
          <w:p w:rsidR="006C17CB" w:rsidRDefault="0030091C">
            <w:pPr>
              <w:pStyle w:val="TableParagraph"/>
              <w:spacing w:line="225" w:lineRule="exact"/>
              <w:ind w:left="50"/>
              <w:jc w:val="left"/>
              <w:rPr>
                <w:b/>
                <w:sz w:val="20"/>
              </w:rPr>
            </w:pPr>
            <w:r>
              <w:rPr>
                <w:b/>
                <w:color w:val="003366"/>
                <w:sz w:val="20"/>
              </w:rPr>
              <w:t>Net Cash (Outflows)/Inflows from Investing Activities</w:t>
            </w:r>
          </w:p>
        </w:tc>
        <w:tc>
          <w:tcPr>
            <w:tcW w:w="3900" w:type="dxa"/>
          </w:tcPr>
          <w:p w:rsidR="006C17CB" w:rsidRDefault="0030091C">
            <w:pPr>
              <w:pStyle w:val="TableParagraph"/>
              <w:tabs>
                <w:tab w:val="left" w:pos="599"/>
                <w:tab w:val="left" w:pos="1881"/>
                <w:tab w:val="left" w:pos="2755"/>
              </w:tabs>
              <w:spacing w:line="225" w:lineRule="exact"/>
              <w:ind w:right="46"/>
              <w:rPr>
                <w:b/>
                <w:sz w:val="20"/>
              </w:rPr>
            </w:pPr>
            <w:r>
              <w:rPr>
                <w:b/>
                <w:color w:val="003366"/>
                <w:w w:val="99"/>
                <w:sz w:val="20"/>
                <w:u w:val="single" w:color="003366"/>
              </w:rPr>
              <w:t xml:space="preserve"> </w:t>
            </w:r>
            <w:r>
              <w:rPr>
                <w:b/>
                <w:color w:val="003366"/>
                <w:sz w:val="20"/>
                <w:u w:val="single" w:color="003366"/>
              </w:rPr>
              <w:tab/>
              <w:t>(365)</w:t>
            </w:r>
            <w:r>
              <w:rPr>
                <w:b/>
                <w:color w:val="003366"/>
                <w:sz w:val="20"/>
                <w:u w:val="single" w:color="003366"/>
              </w:rPr>
              <w:tab/>
              <w:t>124</w:t>
            </w:r>
            <w:r>
              <w:rPr>
                <w:b/>
                <w:color w:val="003366"/>
                <w:sz w:val="20"/>
                <w:u w:val="single" w:color="003366"/>
              </w:rPr>
              <w:tab/>
            </w:r>
            <w:r>
              <w:rPr>
                <w:b/>
                <w:color w:val="003366"/>
                <w:spacing w:val="-1"/>
                <w:w w:val="95"/>
                <w:sz w:val="20"/>
                <w:u w:val="single" w:color="003366"/>
              </w:rPr>
              <w:t>(1,421)</w:t>
            </w:r>
            <w:r>
              <w:rPr>
                <w:b/>
                <w:color w:val="003366"/>
                <w:spacing w:val="20"/>
                <w:sz w:val="20"/>
                <w:u w:val="single" w:color="003366"/>
              </w:rPr>
              <w:t xml:space="preserve"> </w:t>
            </w:r>
          </w:p>
        </w:tc>
      </w:tr>
    </w:tbl>
    <w:p w:rsidR="006C17CB" w:rsidRDefault="006C17CB">
      <w:pPr>
        <w:spacing w:line="225" w:lineRule="exact"/>
        <w:rPr>
          <w:sz w:val="20"/>
        </w:rPr>
        <w:sectPr w:rsidR="006C17CB">
          <w:pgSz w:w="11910" w:h="16840"/>
          <w:pgMar w:top="1460" w:right="0" w:bottom="740" w:left="980" w:header="1189" w:footer="551" w:gutter="0"/>
          <w:cols w:space="720"/>
        </w:sectPr>
      </w:pPr>
    </w:p>
    <w:p w:rsidR="006C17CB" w:rsidRDefault="006C17CB">
      <w:pPr>
        <w:pStyle w:val="BodyText"/>
        <w:spacing w:before="4"/>
        <w:rPr>
          <w:rFonts w:ascii="Calibri"/>
          <w:sz w:val="4"/>
        </w:rPr>
      </w:pPr>
    </w:p>
    <w:tbl>
      <w:tblPr>
        <w:tblW w:w="0" w:type="auto"/>
        <w:tblInd w:w="777" w:type="dxa"/>
        <w:tblLayout w:type="fixed"/>
        <w:tblCellMar>
          <w:left w:w="0" w:type="dxa"/>
          <w:right w:w="0" w:type="dxa"/>
        </w:tblCellMar>
        <w:tblLook w:val="01E0" w:firstRow="1" w:lastRow="1" w:firstColumn="1" w:lastColumn="1" w:noHBand="0" w:noVBand="0"/>
      </w:tblPr>
      <w:tblGrid>
        <w:gridCol w:w="5268"/>
        <w:gridCol w:w="1293"/>
        <w:gridCol w:w="1222"/>
        <w:gridCol w:w="953"/>
      </w:tblGrid>
      <w:tr w:rsidR="006C17CB">
        <w:trPr>
          <w:trHeight w:val="1372"/>
        </w:trPr>
        <w:tc>
          <w:tcPr>
            <w:tcW w:w="6561" w:type="dxa"/>
            <w:gridSpan w:val="2"/>
          </w:tcPr>
          <w:p w:rsidR="006C17CB" w:rsidRDefault="0030091C">
            <w:pPr>
              <w:pStyle w:val="TableParagraph"/>
              <w:spacing w:line="254" w:lineRule="exact"/>
              <w:ind w:right="254"/>
              <w:rPr>
                <w:b/>
                <w:sz w:val="28"/>
              </w:rPr>
            </w:pPr>
            <w:r>
              <w:rPr>
                <w:b/>
                <w:color w:val="003366"/>
                <w:sz w:val="28"/>
              </w:rPr>
              <w:t>Cash Flow Statement – Continued</w:t>
            </w:r>
          </w:p>
          <w:p w:rsidR="006C17CB" w:rsidRDefault="0030091C">
            <w:pPr>
              <w:pStyle w:val="TableParagraph"/>
              <w:spacing w:line="372" w:lineRule="exact"/>
              <w:ind w:right="329"/>
              <w:rPr>
                <w:b/>
                <w:sz w:val="28"/>
              </w:rPr>
            </w:pPr>
            <w:r>
              <w:rPr>
                <w:b/>
                <w:color w:val="003366"/>
                <w:sz w:val="28"/>
              </w:rPr>
              <w:t>For the Year Ended 30 June 2018</w:t>
            </w:r>
          </w:p>
          <w:p w:rsidR="006C17CB" w:rsidRDefault="006C17CB">
            <w:pPr>
              <w:pStyle w:val="TableParagraph"/>
              <w:spacing w:before="6"/>
              <w:jc w:val="left"/>
              <w:rPr>
                <w:sz w:val="30"/>
              </w:rPr>
            </w:pPr>
          </w:p>
          <w:p w:rsidR="006C17CB" w:rsidRDefault="0030091C">
            <w:pPr>
              <w:pStyle w:val="TableParagraph"/>
              <w:spacing w:line="287" w:lineRule="exact"/>
              <w:ind w:right="253"/>
              <w:rPr>
                <w:b/>
                <w:sz w:val="20"/>
              </w:rPr>
            </w:pPr>
            <w:r>
              <w:rPr>
                <w:b/>
                <w:color w:val="003366"/>
                <w:w w:val="95"/>
                <w:sz w:val="20"/>
              </w:rPr>
              <w:t>Actual</w:t>
            </w:r>
          </w:p>
        </w:tc>
        <w:tc>
          <w:tcPr>
            <w:tcW w:w="1222" w:type="dxa"/>
          </w:tcPr>
          <w:p w:rsidR="006C17CB" w:rsidRDefault="006C17CB">
            <w:pPr>
              <w:pStyle w:val="TableParagraph"/>
              <w:jc w:val="left"/>
              <w:rPr>
                <w:sz w:val="20"/>
              </w:rPr>
            </w:pPr>
          </w:p>
          <w:p w:rsidR="006C17CB" w:rsidRDefault="006C17CB">
            <w:pPr>
              <w:pStyle w:val="TableParagraph"/>
              <w:jc w:val="left"/>
              <w:rPr>
                <w:sz w:val="20"/>
              </w:rPr>
            </w:pPr>
          </w:p>
          <w:p w:rsidR="006C17CB" w:rsidRDefault="006C17CB">
            <w:pPr>
              <w:pStyle w:val="TableParagraph"/>
              <w:spacing w:before="10"/>
              <w:jc w:val="left"/>
              <w:rPr>
                <w:sz w:val="19"/>
              </w:rPr>
            </w:pPr>
          </w:p>
          <w:p w:rsidR="006C17CB" w:rsidRDefault="0030091C">
            <w:pPr>
              <w:pStyle w:val="TableParagraph"/>
              <w:spacing w:line="201" w:lineRule="auto"/>
              <w:ind w:left="314" w:right="296" w:hanging="63"/>
              <w:jc w:val="left"/>
              <w:rPr>
                <w:b/>
                <w:sz w:val="20"/>
              </w:rPr>
            </w:pPr>
            <w:r>
              <w:rPr>
                <w:b/>
                <w:color w:val="003366"/>
                <w:sz w:val="20"/>
              </w:rPr>
              <w:t>Original Budget</w:t>
            </w:r>
          </w:p>
        </w:tc>
        <w:tc>
          <w:tcPr>
            <w:tcW w:w="953" w:type="dxa"/>
          </w:tcPr>
          <w:p w:rsidR="006C17CB" w:rsidRDefault="006C17CB">
            <w:pPr>
              <w:pStyle w:val="TableParagraph"/>
              <w:jc w:val="left"/>
              <w:rPr>
                <w:sz w:val="20"/>
              </w:rPr>
            </w:pPr>
          </w:p>
          <w:p w:rsidR="006C17CB" w:rsidRDefault="006C17CB">
            <w:pPr>
              <w:pStyle w:val="TableParagraph"/>
              <w:jc w:val="left"/>
              <w:rPr>
                <w:sz w:val="20"/>
              </w:rPr>
            </w:pPr>
          </w:p>
          <w:p w:rsidR="006C17CB" w:rsidRDefault="006C17CB">
            <w:pPr>
              <w:pStyle w:val="TableParagraph"/>
              <w:jc w:val="left"/>
              <w:rPr>
                <w:sz w:val="20"/>
              </w:rPr>
            </w:pPr>
          </w:p>
          <w:p w:rsidR="006C17CB" w:rsidRDefault="006C17CB">
            <w:pPr>
              <w:pStyle w:val="TableParagraph"/>
              <w:spacing w:before="13"/>
              <w:jc w:val="left"/>
              <w:rPr>
                <w:sz w:val="13"/>
              </w:rPr>
            </w:pPr>
          </w:p>
          <w:p w:rsidR="006C17CB" w:rsidRDefault="0030091C">
            <w:pPr>
              <w:pStyle w:val="TableParagraph"/>
              <w:spacing w:line="287" w:lineRule="exact"/>
              <w:ind w:right="110"/>
              <w:rPr>
                <w:b/>
                <w:sz w:val="20"/>
              </w:rPr>
            </w:pPr>
            <w:r>
              <w:rPr>
                <w:b/>
                <w:color w:val="003366"/>
                <w:w w:val="95"/>
                <w:sz w:val="20"/>
              </w:rPr>
              <w:t>Actual</w:t>
            </w:r>
          </w:p>
        </w:tc>
      </w:tr>
      <w:tr w:rsidR="006C17CB">
        <w:trPr>
          <w:trHeight w:val="244"/>
        </w:trPr>
        <w:tc>
          <w:tcPr>
            <w:tcW w:w="6561" w:type="dxa"/>
            <w:gridSpan w:val="2"/>
          </w:tcPr>
          <w:p w:rsidR="006C17CB" w:rsidRDefault="0030091C">
            <w:pPr>
              <w:pStyle w:val="TableParagraph"/>
              <w:tabs>
                <w:tab w:val="left" w:pos="1178"/>
              </w:tabs>
              <w:spacing w:line="225" w:lineRule="exact"/>
              <w:ind w:right="254"/>
              <w:rPr>
                <w:b/>
                <w:sz w:val="20"/>
              </w:rPr>
            </w:pPr>
            <w:r>
              <w:rPr>
                <w:b/>
                <w:color w:val="003366"/>
                <w:sz w:val="20"/>
              </w:rPr>
              <w:t>Note</w:t>
            </w:r>
            <w:r>
              <w:rPr>
                <w:b/>
                <w:color w:val="003366"/>
                <w:sz w:val="20"/>
              </w:rPr>
              <w:tab/>
            </w:r>
            <w:r>
              <w:rPr>
                <w:b/>
                <w:color w:val="003366"/>
                <w:spacing w:val="-2"/>
                <w:sz w:val="20"/>
              </w:rPr>
              <w:t>2018</w:t>
            </w:r>
          </w:p>
        </w:tc>
        <w:tc>
          <w:tcPr>
            <w:tcW w:w="1222" w:type="dxa"/>
          </w:tcPr>
          <w:p w:rsidR="006C17CB" w:rsidRDefault="0030091C">
            <w:pPr>
              <w:pStyle w:val="TableParagraph"/>
              <w:spacing w:line="225" w:lineRule="exact"/>
              <w:ind w:right="314"/>
              <w:rPr>
                <w:b/>
                <w:sz w:val="20"/>
              </w:rPr>
            </w:pPr>
            <w:r>
              <w:rPr>
                <w:b/>
                <w:color w:val="003366"/>
                <w:w w:val="95"/>
                <w:sz w:val="20"/>
              </w:rPr>
              <w:t>2018</w:t>
            </w:r>
          </w:p>
        </w:tc>
        <w:tc>
          <w:tcPr>
            <w:tcW w:w="953" w:type="dxa"/>
          </w:tcPr>
          <w:p w:rsidR="006C17CB" w:rsidRDefault="0030091C">
            <w:pPr>
              <w:pStyle w:val="TableParagraph"/>
              <w:spacing w:line="225" w:lineRule="exact"/>
              <w:ind w:right="110"/>
              <w:rPr>
                <w:b/>
                <w:sz w:val="20"/>
              </w:rPr>
            </w:pPr>
            <w:r>
              <w:rPr>
                <w:b/>
                <w:color w:val="003366"/>
                <w:w w:val="95"/>
                <w:sz w:val="20"/>
              </w:rPr>
              <w:t>2017</w:t>
            </w:r>
          </w:p>
        </w:tc>
      </w:tr>
      <w:tr w:rsidR="006C17CB">
        <w:trPr>
          <w:trHeight w:val="406"/>
        </w:trPr>
        <w:tc>
          <w:tcPr>
            <w:tcW w:w="6561" w:type="dxa"/>
            <w:gridSpan w:val="2"/>
          </w:tcPr>
          <w:p w:rsidR="006C17CB" w:rsidRDefault="0030091C">
            <w:pPr>
              <w:pStyle w:val="TableParagraph"/>
              <w:tabs>
                <w:tab w:val="left" w:pos="1072"/>
              </w:tabs>
              <w:spacing w:line="226" w:lineRule="exact"/>
              <w:ind w:right="252"/>
              <w:rPr>
                <w:b/>
                <w:sz w:val="20"/>
              </w:rPr>
            </w:pPr>
            <w:r>
              <w:rPr>
                <w:b/>
                <w:color w:val="003366"/>
                <w:sz w:val="20"/>
              </w:rPr>
              <w:t>No.</w:t>
            </w:r>
            <w:r>
              <w:rPr>
                <w:b/>
                <w:color w:val="003366"/>
                <w:sz w:val="20"/>
              </w:rPr>
              <w:tab/>
            </w:r>
            <w:r>
              <w:rPr>
                <w:b/>
                <w:color w:val="003366"/>
                <w:spacing w:val="-2"/>
                <w:sz w:val="20"/>
              </w:rPr>
              <w:t>$’000</w:t>
            </w:r>
          </w:p>
        </w:tc>
        <w:tc>
          <w:tcPr>
            <w:tcW w:w="1222" w:type="dxa"/>
          </w:tcPr>
          <w:p w:rsidR="006C17CB" w:rsidRDefault="0030091C">
            <w:pPr>
              <w:pStyle w:val="TableParagraph"/>
              <w:spacing w:line="226" w:lineRule="exact"/>
              <w:ind w:right="315"/>
              <w:rPr>
                <w:b/>
                <w:sz w:val="20"/>
              </w:rPr>
            </w:pPr>
            <w:r>
              <w:rPr>
                <w:b/>
                <w:color w:val="003366"/>
                <w:w w:val="95"/>
                <w:sz w:val="20"/>
              </w:rPr>
              <w:t>$’000</w:t>
            </w:r>
          </w:p>
        </w:tc>
        <w:tc>
          <w:tcPr>
            <w:tcW w:w="953" w:type="dxa"/>
          </w:tcPr>
          <w:p w:rsidR="006C17CB" w:rsidRDefault="0030091C">
            <w:pPr>
              <w:pStyle w:val="TableParagraph"/>
              <w:spacing w:line="226" w:lineRule="exact"/>
              <w:ind w:right="108"/>
              <w:rPr>
                <w:b/>
                <w:sz w:val="20"/>
              </w:rPr>
            </w:pPr>
            <w:r>
              <w:rPr>
                <w:b/>
                <w:color w:val="003366"/>
                <w:w w:val="95"/>
                <w:sz w:val="20"/>
              </w:rPr>
              <w:t>$’000</w:t>
            </w:r>
          </w:p>
        </w:tc>
      </w:tr>
      <w:tr w:rsidR="006C17CB">
        <w:trPr>
          <w:trHeight w:val="425"/>
        </w:trPr>
        <w:tc>
          <w:tcPr>
            <w:tcW w:w="6561" w:type="dxa"/>
            <w:gridSpan w:val="2"/>
          </w:tcPr>
          <w:p w:rsidR="006C17CB" w:rsidRDefault="0030091C">
            <w:pPr>
              <w:pStyle w:val="TableParagraph"/>
              <w:spacing w:before="99"/>
              <w:ind w:left="50"/>
              <w:jc w:val="left"/>
              <w:rPr>
                <w:b/>
                <w:sz w:val="20"/>
              </w:rPr>
            </w:pPr>
            <w:r>
              <w:rPr>
                <w:b/>
                <w:color w:val="003366"/>
                <w:sz w:val="20"/>
              </w:rPr>
              <w:t>Cash Flows from Financing Activities</w:t>
            </w:r>
          </w:p>
        </w:tc>
        <w:tc>
          <w:tcPr>
            <w:tcW w:w="1222" w:type="dxa"/>
          </w:tcPr>
          <w:p w:rsidR="006C17CB" w:rsidRDefault="006C17CB">
            <w:pPr>
              <w:pStyle w:val="TableParagraph"/>
              <w:jc w:val="left"/>
              <w:rPr>
                <w:rFonts w:ascii="Times New Roman"/>
                <w:sz w:val="20"/>
              </w:rPr>
            </w:pPr>
          </w:p>
        </w:tc>
        <w:tc>
          <w:tcPr>
            <w:tcW w:w="953" w:type="dxa"/>
          </w:tcPr>
          <w:p w:rsidR="006C17CB" w:rsidRDefault="006C17CB">
            <w:pPr>
              <w:pStyle w:val="TableParagraph"/>
              <w:jc w:val="left"/>
              <w:rPr>
                <w:rFonts w:ascii="Times New Roman"/>
                <w:sz w:val="20"/>
              </w:rPr>
            </w:pPr>
          </w:p>
        </w:tc>
      </w:tr>
      <w:tr w:rsidR="006C17CB">
        <w:trPr>
          <w:trHeight w:val="284"/>
        </w:trPr>
        <w:tc>
          <w:tcPr>
            <w:tcW w:w="6561" w:type="dxa"/>
            <w:gridSpan w:val="2"/>
          </w:tcPr>
          <w:p w:rsidR="006C17CB" w:rsidRDefault="0030091C">
            <w:pPr>
              <w:pStyle w:val="TableParagraph"/>
              <w:spacing w:line="245" w:lineRule="exact"/>
              <w:ind w:left="50"/>
              <w:jc w:val="left"/>
              <w:rPr>
                <w:b/>
                <w:sz w:val="20"/>
              </w:rPr>
            </w:pPr>
            <w:r>
              <w:rPr>
                <w:b/>
                <w:color w:val="003366"/>
                <w:sz w:val="20"/>
              </w:rPr>
              <w:t>Receipts</w:t>
            </w:r>
          </w:p>
        </w:tc>
        <w:tc>
          <w:tcPr>
            <w:tcW w:w="1222" w:type="dxa"/>
          </w:tcPr>
          <w:p w:rsidR="006C17CB" w:rsidRDefault="006C17CB">
            <w:pPr>
              <w:pStyle w:val="TableParagraph"/>
              <w:jc w:val="left"/>
              <w:rPr>
                <w:rFonts w:ascii="Times New Roman"/>
                <w:sz w:val="20"/>
              </w:rPr>
            </w:pPr>
          </w:p>
        </w:tc>
        <w:tc>
          <w:tcPr>
            <w:tcW w:w="953" w:type="dxa"/>
          </w:tcPr>
          <w:p w:rsidR="006C17CB" w:rsidRDefault="006C17CB">
            <w:pPr>
              <w:pStyle w:val="TableParagraph"/>
              <w:jc w:val="left"/>
              <w:rPr>
                <w:rFonts w:ascii="Times New Roman"/>
                <w:sz w:val="20"/>
              </w:rPr>
            </w:pPr>
          </w:p>
        </w:tc>
      </w:tr>
      <w:tr w:rsidR="006C17CB">
        <w:trPr>
          <w:trHeight w:val="289"/>
        </w:trPr>
        <w:tc>
          <w:tcPr>
            <w:tcW w:w="5268" w:type="dxa"/>
          </w:tcPr>
          <w:p w:rsidR="006C17CB" w:rsidRDefault="0030091C">
            <w:pPr>
              <w:pStyle w:val="TableParagraph"/>
              <w:spacing w:line="246" w:lineRule="exact"/>
              <w:ind w:left="50"/>
              <w:jc w:val="left"/>
              <w:rPr>
                <w:sz w:val="20"/>
              </w:rPr>
            </w:pPr>
            <w:r>
              <w:rPr>
                <w:color w:val="003366"/>
                <w:sz w:val="20"/>
              </w:rPr>
              <w:t>Capital Injections</w:t>
            </w:r>
          </w:p>
        </w:tc>
        <w:tc>
          <w:tcPr>
            <w:tcW w:w="3468" w:type="dxa"/>
            <w:gridSpan w:val="3"/>
          </w:tcPr>
          <w:p w:rsidR="006C17CB" w:rsidRDefault="0030091C">
            <w:pPr>
              <w:pStyle w:val="TableParagraph"/>
              <w:tabs>
                <w:tab w:val="left" w:pos="714"/>
                <w:tab w:val="left" w:pos="2082"/>
                <w:tab w:val="left" w:pos="3052"/>
              </w:tabs>
              <w:spacing w:line="246" w:lineRule="exact"/>
              <w:ind w:left="-1"/>
              <w:jc w:val="left"/>
              <w:rPr>
                <w:sz w:val="20"/>
              </w:rPr>
            </w:pPr>
            <w:r>
              <w:rPr>
                <w:color w:val="003366"/>
                <w:w w:val="99"/>
                <w:sz w:val="20"/>
                <w:u w:val="single" w:color="003366"/>
              </w:rPr>
              <w:t xml:space="preserve"> </w:t>
            </w:r>
            <w:r>
              <w:rPr>
                <w:color w:val="003366"/>
                <w:sz w:val="20"/>
                <w:u w:val="single" w:color="003366"/>
              </w:rPr>
              <w:tab/>
              <w:t>149</w:t>
            </w:r>
            <w:r>
              <w:rPr>
                <w:color w:val="003366"/>
                <w:sz w:val="20"/>
                <w:u w:val="single" w:color="003366"/>
              </w:rPr>
              <w:tab/>
              <w:t>5</w:t>
            </w:r>
            <w:r>
              <w:rPr>
                <w:color w:val="003366"/>
                <w:sz w:val="20"/>
                <w:u w:val="single" w:color="003366"/>
              </w:rPr>
              <w:tab/>
              <w:t>641</w:t>
            </w:r>
            <w:r>
              <w:rPr>
                <w:color w:val="003366"/>
                <w:spacing w:val="18"/>
                <w:sz w:val="20"/>
                <w:u w:val="single" w:color="003366"/>
              </w:rPr>
              <w:t xml:space="preserve"> </w:t>
            </w:r>
          </w:p>
        </w:tc>
      </w:tr>
      <w:tr w:rsidR="006C17CB">
        <w:trPr>
          <w:trHeight w:val="534"/>
        </w:trPr>
        <w:tc>
          <w:tcPr>
            <w:tcW w:w="5268" w:type="dxa"/>
          </w:tcPr>
          <w:p w:rsidR="006C17CB" w:rsidRDefault="0030091C">
            <w:pPr>
              <w:pStyle w:val="TableParagraph"/>
              <w:spacing w:line="250" w:lineRule="exact"/>
              <w:ind w:left="50"/>
              <w:jc w:val="left"/>
              <w:rPr>
                <w:b/>
                <w:sz w:val="20"/>
              </w:rPr>
            </w:pPr>
            <w:r>
              <w:rPr>
                <w:b/>
                <w:color w:val="003366"/>
                <w:sz w:val="20"/>
              </w:rPr>
              <w:t>Total Receipts from Financing Activities</w:t>
            </w:r>
          </w:p>
        </w:tc>
        <w:tc>
          <w:tcPr>
            <w:tcW w:w="3468" w:type="dxa"/>
            <w:gridSpan w:val="3"/>
            <w:tcBorders>
              <w:bottom w:val="single" w:sz="2" w:space="0" w:color="003366"/>
            </w:tcBorders>
          </w:tcPr>
          <w:p w:rsidR="006C17CB" w:rsidRDefault="0030091C">
            <w:pPr>
              <w:pStyle w:val="TableParagraph"/>
              <w:tabs>
                <w:tab w:val="left" w:pos="2082"/>
                <w:tab w:val="left" w:pos="3052"/>
              </w:tabs>
              <w:spacing w:line="250" w:lineRule="exact"/>
              <w:ind w:left="714"/>
              <w:jc w:val="left"/>
              <w:rPr>
                <w:b/>
                <w:sz w:val="20"/>
              </w:rPr>
            </w:pPr>
            <w:r>
              <w:rPr>
                <w:b/>
                <w:color w:val="003366"/>
                <w:sz w:val="20"/>
              </w:rPr>
              <w:t>149</w:t>
            </w:r>
            <w:r>
              <w:rPr>
                <w:b/>
                <w:color w:val="003366"/>
                <w:sz w:val="20"/>
              </w:rPr>
              <w:tab/>
              <w:t>5</w:t>
            </w:r>
            <w:r>
              <w:rPr>
                <w:b/>
                <w:color w:val="003366"/>
                <w:sz w:val="20"/>
              </w:rPr>
              <w:tab/>
              <w:t>641</w:t>
            </w:r>
          </w:p>
        </w:tc>
      </w:tr>
      <w:tr w:rsidR="006C17CB">
        <w:trPr>
          <w:trHeight w:val="467"/>
        </w:trPr>
        <w:tc>
          <w:tcPr>
            <w:tcW w:w="5268" w:type="dxa"/>
          </w:tcPr>
          <w:p w:rsidR="006C17CB" w:rsidRDefault="0030091C">
            <w:pPr>
              <w:pStyle w:val="TableParagraph"/>
              <w:spacing w:line="284" w:lineRule="exact"/>
              <w:ind w:left="50"/>
              <w:jc w:val="left"/>
              <w:rPr>
                <w:b/>
                <w:sz w:val="20"/>
              </w:rPr>
            </w:pPr>
            <w:r>
              <w:rPr>
                <w:b/>
                <w:color w:val="003366"/>
                <w:sz w:val="20"/>
              </w:rPr>
              <w:t>Net Cash Inflows from Financing Activities</w:t>
            </w:r>
          </w:p>
        </w:tc>
        <w:tc>
          <w:tcPr>
            <w:tcW w:w="3468" w:type="dxa"/>
            <w:gridSpan w:val="3"/>
            <w:tcBorders>
              <w:top w:val="single" w:sz="2" w:space="0" w:color="003366"/>
            </w:tcBorders>
          </w:tcPr>
          <w:p w:rsidR="006C17CB" w:rsidRDefault="0030091C">
            <w:pPr>
              <w:pStyle w:val="TableParagraph"/>
              <w:tabs>
                <w:tab w:val="left" w:pos="714"/>
                <w:tab w:val="left" w:pos="2082"/>
                <w:tab w:val="left" w:pos="3052"/>
              </w:tabs>
              <w:spacing w:line="284" w:lineRule="exact"/>
              <w:ind w:left="-1"/>
              <w:jc w:val="left"/>
              <w:rPr>
                <w:b/>
                <w:sz w:val="20"/>
              </w:rPr>
            </w:pPr>
            <w:r>
              <w:rPr>
                <w:b/>
                <w:color w:val="003366"/>
                <w:w w:val="99"/>
                <w:sz w:val="20"/>
                <w:u w:val="single" w:color="003366"/>
              </w:rPr>
              <w:t xml:space="preserve"> </w:t>
            </w:r>
            <w:r>
              <w:rPr>
                <w:b/>
                <w:color w:val="003366"/>
                <w:sz w:val="20"/>
                <w:u w:val="single" w:color="003366"/>
              </w:rPr>
              <w:tab/>
              <w:t>149</w:t>
            </w:r>
            <w:r>
              <w:rPr>
                <w:b/>
                <w:color w:val="003366"/>
                <w:sz w:val="20"/>
                <w:u w:val="single" w:color="003366"/>
              </w:rPr>
              <w:tab/>
              <w:t>5</w:t>
            </w:r>
            <w:r>
              <w:rPr>
                <w:b/>
                <w:color w:val="003366"/>
                <w:sz w:val="20"/>
                <w:u w:val="single" w:color="003366"/>
              </w:rPr>
              <w:tab/>
              <w:t>641</w:t>
            </w:r>
            <w:r>
              <w:rPr>
                <w:b/>
                <w:color w:val="003366"/>
                <w:spacing w:val="18"/>
                <w:sz w:val="20"/>
                <w:u w:val="single" w:color="003366"/>
              </w:rPr>
              <w:t xml:space="preserve"> </w:t>
            </w:r>
          </w:p>
        </w:tc>
      </w:tr>
      <w:tr w:rsidR="006C17CB">
        <w:trPr>
          <w:trHeight w:val="429"/>
        </w:trPr>
        <w:tc>
          <w:tcPr>
            <w:tcW w:w="5268" w:type="dxa"/>
          </w:tcPr>
          <w:p w:rsidR="006C17CB" w:rsidRDefault="0030091C">
            <w:pPr>
              <w:pStyle w:val="TableParagraph"/>
              <w:spacing w:before="102"/>
              <w:ind w:left="50"/>
              <w:jc w:val="left"/>
              <w:rPr>
                <w:b/>
                <w:sz w:val="20"/>
              </w:rPr>
            </w:pPr>
            <w:r>
              <w:rPr>
                <w:b/>
                <w:color w:val="003366"/>
                <w:sz w:val="20"/>
              </w:rPr>
              <w:t>Net (Decrease) in Cash and Cash Equivalents</w:t>
            </w:r>
          </w:p>
        </w:tc>
        <w:tc>
          <w:tcPr>
            <w:tcW w:w="3468" w:type="dxa"/>
            <w:gridSpan w:val="3"/>
          </w:tcPr>
          <w:p w:rsidR="006C17CB" w:rsidRDefault="0030091C">
            <w:pPr>
              <w:pStyle w:val="TableParagraph"/>
              <w:tabs>
                <w:tab w:val="left" w:pos="2121"/>
                <w:tab w:val="left" w:pos="2927"/>
              </w:tabs>
              <w:spacing w:before="102"/>
              <w:ind w:left="693"/>
              <w:jc w:val="left"/>
              <w:rPr>
                <w:b/>
                <w:sz w:val="20"/>
              </w:rPr>
            </w:pPr>
            <w:r>
              <w:rPr>
                <w:b/>
                <w:color w:val="003366"/>
                <w:sz w:val="20"/>
              </w:rPr>
              <w:t>(61)</w:t>
            </w:r>
            <w:r>
              <w:rPr>
                <w:b/>
                <w:color w:val="003366"/>
                <w:sz w:val="20"/>
              </w:rPr>
              <w:tab/>
              <w:t>-</w:t>
            </w:r>
            <w:r>
              <w:rPr>
                <w:b/>
                <w:color w:val="003366"/>
                <w:sz w:val="20"/>
              </w:rPr>
              <w:tab/>
              <w:t>(147)</w:t>
            </w:r>
          </w:p>
        </w:tc>
      </w:tr>
      <w:tr w:rsidR="006C17CB">
        <w:trPr>
          <w:trHeight w:val="484"/>
        </w:trPr>
        <w:tc>
          <w:tcPr>
            <w:tcW w:w="5268" w:type="dxa"/>
          </w:tcPr>
          <w:p w:rsidR="006C17CB" w:rsidRDefault="0030091C">
            <w:pPr>
              <w:pStyle w:val="TableParagraph"/>
              <w:spacing w:line="223" w:lineRule="exact"/>
              <w:ind w:left="50"/>
              <w:jc w:val="left"/>
              <w:rPr>
                <w:sz w:val="20"/>
              </w:rPr>
            </w:pPr>
            <w:r>
              <w:rPr>
                <w:color w:val="003366"/>
                <w:sz w:val="20"/>
              </w:rPr>
              <w:t>Cash and Cash Equivalents at the Beginning of the</w:t>
            </w:r>
          </w:p>
          <w:p w:rsidR="006C17CB" w:rsidRDefault="0030091C">
            <w:pPr>
              <w:pStyle w:val="TableParagraph"/>
              <w:spacing w:line="241" w:lineRule="exact"/>
              <w:ind w:left="333"/>
              <w:jc w:val="left"/>
              <w:rPr>
                <w:sz w:val="20"/>
              </w:rPr>
            </w:pPr>
            <w:r>
              <w:rPr>
                <w:color w:val="003366"/>
                <w:sz w:val="20"/>
              </w:rPr>
              <w:t>Reporting Period</w:t>
            </w:r>
          </w:p>
        </w:tc>
        <w:tc>
          <w:tcPr>
            <w:tcW w:w="3468" w:type="dxa"/>
            <w:gridSpan w:val="3"/>
          </w:tcPr>
          <w:p w:rsidR="006C17CB" w:rsidRDefault="006C17CB">
            <w:pPr>
              <w:pStyle w:val="TableParagraph"/>
              <w:spacing w:before="13"/>
              <w:jc w:val="left"/>
              <w:rPr>
                <w:sz w:val="13"/>
              </w:rPr>
            </w:pPr>
          </w:p>
          <w:p w:rsidR="006C17CB" w:rsidRDefault="0030091C">
            <w:pPr>
              <w:pStyle w:val="TableParagraph"/>
              <w:tabs>
                <w:tab w:val="left" w:pos="817"/>
                <w:tab w:val="left" w:pos="1878"/>
                <w:tab w:val="left" w:pos="3052"/>
              </w:tabs>
              <w:spacing w:line="264" w:lineRule="exact"/>
              <w:ind w:left="-1"/>
              <w:jc w:val="left"/>
              <w:rPr>
                <w:sz w:val="20"/>
              </w:rPr>
            </w:pPr>
            <w:r>
              <w:rPr>
                <w:color w:val="003366"/>
                <w:w w:val="99"/>
                <w:sz w:val="20"/>
                <w:u w:val="single" w:color="003366"/>
              </w:rPr>
              <w:t xml:space="preserve"> </w:t>
            </w:r>
            <w:r>
              <w:rPr>
                <w:color w:val="003366"/>
                <w:sz w:val="20"/>
                <w:u w:val="single" w:color="003366"/>
              </w:rPr>
              <w:tab/>
              <w:t>85</w:t>
            </w:r>
            <w:r>
              <w:rPr>
                <w:color w:val="003366"/>
                <w:sz w:val="20"/>
                <w:u w:val="single" w:color="003366"/>
              </w:rPr>
              <w:tab/>
              <w:t>232</w:t>
            </w:r>
            <w:r>
              <w:rPr>
                <w:color w:val="003366"/>
                <w:sz w:val="20"/>
                <w:u w:val="single" w:color="003366"/>
              </w:rPr>
              <w:tab/>
              <w:t>232</w:t>
            </w:r>
            <w:r>
              <w:rPr>
                <w:color w:val="003366"/>
                <w:spacing w:val="18"/>
                <w:sz w:val="20"/>
                <w:u w:val="single" w:color="003366"/>
              </w:rPr>
              <w:t xml:space="preserve"> </w:t>
            </w:r>
          </w:p>
        </w:tc>
      </w:tr>
    </w:tbl>
    <w:p w:rsidR="006C17CB" w:rsidRDefault="0030091C">
      <w:pPr>
        <w:spacing w:before="6" w:line="265" w:lineRule="exact"/>
        <w:ind w:left="827"/>
        <w:rPr>
          <w:rFonts w:ascii="Calibri"/>
          <w:b/>
          <w:sz w:val="20"/>
        </w:rPr>
      </w:pPr>
      <w:r>
        <w:rPr>
          <w:rFonts w:ascii="Calibri"/>
          <w:b/>
          <w:color w:val="003366"/>
          <w:sz w:val="20"/>
        </w:rPr>
        <w:t>Cash and Cash Equivalents at the End of the</w:t>
      </w:r>
    </w:p>
    <w:p w:rsidR="006C17CB" w:rsidRDefault="00FE24A7">
      <w:pPr>
        <w:tabs>
          <w:tab w:val="left" w:pos="5603"/>
          <w:tab w:val="left" w:pos="6863"/>
          <w:tab w:val="left" w:pos="7923"/>
          <w:tab w:val="right" w:pos="9402"/>
        </w:tabs>
        <w:spacing w:line="265" w:lineRule="exact"/>
        <w:ind w:left="1112"/>
        <w:rPr>
          <w:rFonts w:ascii="Calibri"/>
          <w:b/>
          <w:sz w:val="20"/>
        </w:rPr>
      </w:pPr>
      <w:r>
        <w:pict>
          <v:group id="_x0000_s1437" alt="" style="position:absolute;left:0;text-align:left;margin-left:351.25pt;margin-top:13.35pt;width:173.3pt;height:1.45pt;z-index:2032;mso-position-horizontal-relative:page" coordorigin="7025,267" coordsize="3466,29">
            <v:line id="_x0000_s1438" alt="" style="position:absolute" from="7025,272" to="8155,272" strokecolor="#036" strokeweight=".17003mm"/>
            <v:line id="_x0000_s1439" alt="" style="position:absolute" from="7025,291" to="8155,291" strokecolor="#036" strokeweight=".48pt"/>
            <v:shape id="_x0000_s1440" alt="" style="position:absolute;left:8155;top:266;width:29;height:29" coordorigin="8155,267" coordsize="29,29" o:spt="100" adj="0,,0" path="m8184,286r-29,l8155,296r29,l8184,286t,-19l8155,267r,9l8184,276r,-9e" fillcolor="#036" stroked="f">
              <v:stroke joinstyle="round"/>
              <v:formulas/>
              <v:path arrowok="t" o:connecttype="segments"/>
            </v:shape>
            <v:line id="_x0000_s1441" alt="" style="position:absolute" from="8184,272" to="9317,272" strokecolor="#036" strokeweight=".17003mm"/>
            <v:line id="_x0000_s1442" alt="" style="position:absolute" from="8184,291" to="9317,291" strokecolor="#036" strokeweight=".48pt"/>
            <v:shape id="_x0000_s1443" alt="" style="position:absolute;left:9316;top:266;width:29;height:29" coordorigin="9317,267" coordsize="29,29" o:spt="100" adj="0,,0" path="m9346,286r-29,l9317,296r29,l9346,286t,-19l9317,267r,9l9346,276r,-9e" fillcolor="#036" stroked="f">
              <v:stroke joinstyle="round"/>
              <v:formulas/>
              <v:path arrowok="t" o:connecttype="segments"/>
            </v:shape>
            <v:line id="_x0000_s1444" alt="" style="position:absolute" from="9346,272" to="10490,272" strokecolor="#036" strokeweight=".17003mm"/>
            <v:line id="_x0000_s1445" alt="" style="position:absolute" from="9346,291" to="10490,291" strokecolor="#036" strokeweight=".48pt"/>
            <w10:wrap anchorx="page"/>
          </v:group>
        </w:pict>
      </w:r>
      <w:r w:rsidR="0030091C">
        <w:rPr>
          <w:rFonts w:ascii="Calibri"/>
          <w:b/>
          <w:color w:val="003366"/>
          <w:sz w:val="20"/>
        </w:rPr>
        <w:t>Reporting</w:t>
      </w:r>
      <w:r w:rsidR="0030091C">
        <w:rPr>
          <w:rFonts w:ascii="Calibri"/>
          <w:b/>
          <w:color w:val="003366"/>
          <w:spacing w:val="-3"/>
          <w:sz w:val="20"/>
        </w:rPr>
        <w:t xml:space="preserve"> </w:t>
      </w:r>
      <w:r w:rsidR="0030091C">
        <w:rPr>
          <w:rFonts w:ascii="Calibri"/>
          <w:b/>
          <w:color w:val="003366"/>
          <w:sz w:val="20"/>
        </w:rPr>
        <w:t>Period</w:t>
      </w:r>
      <w:r w:rsidR="0030091C">
        <w:rPr>
          <w:rFonts w:ascii="Calibri"/>
          <w:b/>
          <w:color w:val="003366"/>
          <w:sz w:val="20"/>
        </w:rPr>
        <w:tab/>
      </w:r>
      <w:r w:rsidR="0030091C">
        <w:rPr>
          <w:rFonts w:ascii="Calibri"/>
          <w:color w:val="003366"/>
          <w:sz w:val="20"/>
        </w:rPr>
        <w:t>20</w:t>
      </w:r>
      <w:r w:rsidR="0030091C">
        <w:rPr>
          <w:rFonts w:ascii="Calibri"/>
          <w:color w:val="003366"/>
          <w:sz w:val="20"/>
        </w:rPr>
        <w:tab/>
      </w:r>
      <w:r w:rsidR="0030091C">
        <w:rPr>
          <w:rFonts w:ascii="Calibri"/>
          <w:b/>
          <w:color w:val="003366"/>
          <w:sz w:val="20"/>
        </w:rPr>
        <w:t>24</w:t>
      </w:r>
      <w:r w:rsidR="0030091C">
        <w:rPr>
          <w:rFonts w:ascii="Calibri"/>
          <w:b/>
          <w:color w:val="003366"/>
          <w:sz w:val="20"/>
        </w:rPr>
        <w:tab/>
        <w:t>232</w:t>
      </w:r>
      <w:r w:rsidR="0030091C">
        <w:rPr>
          <w:rFonts w:ascii="Calibri"/>
          <w:b/>
          <w:color w:val="003366"/>
          <w:sz w:val="20"/>
        </w:rPr>
        <w:tab/>
        <w:t>85</w:t>
      </w:r>
    </w:p>
    <w:p w:rsidR="006C17CB" w:rsidRDefault="0030091C">
      <w:pPr>
        <w:spacing w:before="400"/>
        <w:ind w:left="827"/>
        <w:rPr>
          <w:rFonts w:ascii="Calibri"/>
          <w:sz w:val="16"/>
        </w:rPr>
      </w:pPr>
      <w:r>
        <w:rPr>
          <w:rFonts w:ascii="Calibri"/>
          <w:color w:val="003366"/>
          <w:sz w:val="16"/>
        </w:rPr>
        <w:t>The above Cash Flow Statement should be read in conjunction with the accompanying notes.</w:t>
      </w:r>
    </w:p>
    <w:p w:rsidR="006C17CB" w:rsidRDefault="006C17CB">
      <w:pPr>
        <w:rPr>
          <w:rFonts w:ascii="Calibri"/>
          <w:sz w:val="16"/>
        </w:rPr>
        <w:sectPr w:rsidR="006C17CB">
          <w:pgSz w:w="11910" w:h="16840"/>
          <w:pgMar w:top="1460" w:right="0" w:bottom="720" w:left="980" w:header="1189" w:footer="523" w:gutter="0"/>
          <w:cols w:space="720"/>
        </w:sectPr>
      </w:pPr>
    </w:p>
    <w:p w:rsidR="006C17CB" w:rsidRDefault="00FE24A7">
      <w:pPr>
        <w:pStyle w:val="Heading5"/>
        <w:spacing w:line="204" w:lineRule="auto"/>
        <w:ind w:left="2855" w:right="3547"/>
        <w:jc w:val="center"/>
      </w:pPr>
      <w:r>
        <w:pict>
          <v:shape id="_x0000_s1436" type="#_x0000_t202" alt="" style="position:absolute;left:0;text-align:left;margin-left:275.3pt;margin-top:48.85pt;width:246.25pt;height:60.85pt;z-index:2104;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23"/>
                    <w:gridCol w:w="1354"/>
                    <w:gridCol w:w="1409"/>
                    <w:gridCol w:w="1343"/>
                  </w:tblGrid>
                  <w:tr w:rsidR="0030091C">
                    <w:trPr>
                      <w:trHeight w:val="466"/>
                    </w:trPr>
                    <w:tc>
                      <w:tcPr>
                        <w:tcW w:w="823" w:type="dxa"/>
                      </w:tcPr>
                      <w:p w:rsidR="0030091C" w:rsidRDefault="0030091C">
                        <w:pPr>
                          <w:pStyle w:val="TableParagraph"/>
                          <w:spacing w:line="181" w:lineRule="exact"/>
                          <w:ind w:left="50"/>
                          <w:jc w:val="left"/>
                          <w:rPr>
                            <w:b/>
                            <w:sz w:val="20"/>
                          </w:rPr>
                        </w:pPr>
                        <w:r>
                          <w:rPr>
                            <w:b/>
                            <w:color w:val="003366"/>
                            <w:sz w:val="20"/>
                          </w:rPr>
                          <w:t>Original</w:t>
                        </w:r>
                      </w:p>
                      <w:p w:rsidR="0030091C" w:rsidRDefault="0030091C">
                        <w:pPr>
                          <w:pStyle w:val="TableParagraph"/>
                          <w:spacing w:line="265" w:lineRule="exact"/>
                          <w:ind w:left="112"/>
                          <w:jc w:val="left"/>
                          <w:rPr>
                            <w:b/>
                            <w:sz w:val="20"/>
                          </w:rPr>
                        </w:pPr>
                        <w:r>
                          <w:rPr>
                            <w:b/>
                            <w:color w:val="003366"/>
                            <w:sz w:val="20"/>
                          </w:rPr>
                          <w:t>Budget</w:t>
                        </w:r>
                      </w:p>
                    </w:tc>
                    <w:tc>
                      <w:tcPr>
                        <w:tcW w:w="1354" w:type="dxa"/>
                      </w:tcPr>
                      <w:p w:rsidR="0030091C" w:rsidRDefault="0030091C">
                        <w:pPr>
                          <w:pStyle w:val="TableParagraph"/>
                          <w:spacing w:line="181" w:lineRule="exact"/>
                          <w:ind w:left="811"/>
                          <w:jc w:val="left"/>
                          <w:rPr>
                            <w:b/>
                            <w:sz w:val="20"/>
                          </w:rPr>
                        </w:pPr>
                        <w:r>
                          <w:rPr>
                            <w:b/>
                            <w:color w:val="003366"/>
                            <w:sz w:val="20"/>
                          </w:rPr>
                          <w:t>Total</w:t>
                        </w:r>
                      </w:p>
                      <w:p w:rsidR="0030091C" w:rsidRDefault="0030091C">
                        <w:pPr>
                          <w:pStyle w:val="TableParagraph"/>
                          <w:spacing w:line="265" w:lineRule="exact"/>
                          <w:ind w:left="117"/>
                          <w:jc w:val="left"/>
                          <w:rPr>
                            <w:b/>
                            <w:sz w:val="20"/>
                          </w:rPr>
                        </w:pPr>
                        <w:r>
                          <w:rPr>
                            <w:b/>
                            <w:color w:val="003366"/>
                            <w:sz w:val="20"/>
                          </w:rPr>
                          <w:t>Appropriated</w:t>
                        </w:r>
                      </w:p>
                    </w:tc>
                    <w:tc>
                      <w:tcPr>
                        <w:tcW w:w="1409" w:type="dxa"/>
                      </w:tcPr>
                      <w:p w:rsidR="0030091C" w:rsidRDefault="0030091C">
                        <w:pPr>
                          <w:pStyle w:val="TableParagraph"/>
                          <w:spacing w:line="181" w:lineRule="exact"/>
                          <w:ind w:left="114"/>
                          <w:jc w:val="left"/>
                          <w:rPr>
                            <w:b/>
                            <w:sz w:val="20"/>
                          </w:rPr>
                        </w:pPr>
                        <w:r>
                          <w:rPr>
                            <w:b/>
                            <w:color w:val="003366"/>
                            <w:sz w:val="20"/>
                          </w:rPr>
                          <w:t>Appropriation</w:t>
                        </w:r>
                      </w:p>
                      <w:p w:rsidR="0030091C" w:rsidRDefault="0030091C">
                        <w:pPr>
                          <w:pStyle w:val="TableParagraph"/>
                          <w:spacing w:line="265" w:lineRule="exact"/>
                          <w:ind w:left="736"/>
                          <w:jc w:val="left"/>
                          <w:rPr>
                            <w:b/>
                            <w:sz w:val="20"/>
                          </w:rPr>
                        </w:pPr>
                        <w:r>
                          <w:rPr>
                            <w:b/>
                            <w:color w:val="003366"/>
                            <w:sz w:val="20"/>
                          </w:rPr>
                          <w:t>Drawn</w:t>
                        </w:r>
                      </w:p>
                    </w:tc>
                    <w:tc>
                      <w:tcPr>
                        <w:tcW w:w="1343" w:type="dxa"/>
                      </w:tcPr>
                      <w:p w:rsidR="0030091C" w:rsidRDefault="0030091C">
                        <w:pPr>
                          <w:pStyle w:val="TableParagraph"/>
                          <w:spacing w:line="181" w:lineRule="exact"/>
                          <w:ind w:left="114"/>
                          <w:jc w:val="left"/>
                          <w:rPr>
                            <w:b/>
                            <w:sz w:val="20"/>
                          </w:rPr>
                        </w:pPr>
                        <w:r>
                          <w:rPr>
                            <w:b/>
                            <w:color w:val="003366"/>
                            <w:sz w:val="20"/>
                          </w:rPr>
                          <w:t>Appropriation</w:t>
                        </w:r>
                      </w:p>
                      <w:p w:rsidR="0030091C" w:rsidRDefault="0030091C">
                        <w:pPr>
                          <w:pStyle w:val="TableParagraph"/>
                          <w:spacing w:line="265" w:lineRule="exact"/>
                          <w:ind w:left="736"/>
                          <w:jc w:val="left"/>
                          <w:rPr>
                            <w:b/>
                            <w:sz w:val="20"/>
                          </w:rPr>
                        </w:pPr>
                        <w:r>
                          <w:rPr>
                            <w:b/>
                            <w:color w:val="003366"/>
                            <w:sz w:val="20"/>
                          </w:rPr>
                          <w:t>Drawn</w:t>
                        </w:r>
                      </w:p>
                    </w:tc>
                  </w:tr>
                  <w:tr w:rsidR="0030091C">
                    <w:trPr>
                      <w:trHeight w:val="243"/>
                    </w:trPr>
                    <w:tc>
                      <w:tcPr>
                        <w:tcW w:w="823" w:type="dxa"/>
                      </w:tcPr>
                      <w:p w:rsidR="0030091C" w:rsidRDefault="0030091C">
                        <w:pPr>
                          <w:pStyle w:val="TableParagraph"/>
                          <w:spacing w:line="224" w:lineRule="exact"/>
                          <w:ind w:right="118"/>
                          <w:rPr>
                            <w:b/>
                            <w:sz w:val="20"/>
                          </w:rPr>
                        </w:pPr>
                        <w:r>
                          <w:rPr>
                            <w:b/>
                            <w:color w:val="003366"/>
                            <w:w w:val="95"/>
                            <w:sz w:val="20"/>
                          </w:rPr>
                          <w:t>2018</w:t>
                        </w:r>
                      </w:p>
                    </w:tc>
                    <w:tc>
                      <w:tcPr>
                        <w:tcW w:w="1354" w:type="dxa"/>
                      </w:tcPr>
                      <w:p w:rsidR="0030091C" w:rsidRDefault="0030091C">
                        <w:pPr>
                          <w:pStyle w:val="TableParagraph"/>
                          <w:spacing w:line="224" w:lineRule="exact"/>
                          <w:ind w:right="118"/>
                          <w:rPr>
                            <w:b/>
                            <w:sz w:val="20"/>
                          </w:rPr>
                        </w:pPr>
                        <w:r>
                          <w:rPr>
                            <w:b/>
                            <w:color w:val="003366"/>
                            <w:w w:val="95"/>
                            <w:sz w:val="20"/>
                          </w:rPr>
                          <w:t>2018</w:t>
                        </w:r>
                      </w:p>
                    </w:tc>
                    <w:tc>
                      <w:tcPr>
                        <w:tcW w:w="1409" w:type="dxa"/>
                      </w:tcPr>
                      <w:p w:rsidR="0030091C" w:rsidRDefault="0030091C">
                        <w:pPr>
                          <w:pStyle w:val="TableParagraph"/>
                          <w:spacing w:line="224" w:lineRule="exact"/>
                          <w:ind w:right="121"/>
                          <w:rPr>
                            <w:b/>
                            <w:sz w:val="20"/>
                          </w:rPr>
                        </w:pPr>
                        <w:r>
                          <w:rPr>
                            <w:b/>
                            <w:color w:val="003366"/>
                            <w:w w:val="95"/>
                            <w:sz w:val="20"/>
                          </w:rPr>
                          <w:t>2018</w:t>
                        </w:r>
                      </w:p>
                    </w:tc>
                    <w:tc>
                      <w:tcPr>
                        <w:tcW w:w="1343" w:type="dxa"/>
                      </w:tcPr>
                      <w:p w:rsidR="0030091C" w:rsidRDefault="0030091C">
                        <w:pPr>
                          <w:pStyle w:val="TableParagraph"/>
                          <w:spacing w:line="224" w:lineRule="exact"/>
                          <w:ind w:right="55"/>
                          <w:rPr>
                            <w:b/>
                            <w:sz w:val="20"/>
                          </w:rPr>
                        </w:pPr>
                        <w:r>
                          <w:rPr>
                            <w:b/>
                            <w:color w:val="003366"/>
                            <w:w w:val="95"/>
                            <w:sz w:val="20"/>
                          </w:rPr>
                          <w:t>2017</w:t>
                        </w:r>
                      </w:p>
                    </w:tc>
                  </w:tr>
                  <w:tr w:rsidR="0030091C">
                    <w:trPr>
                      <w:trHeight w:val="263"/>
                    </w:trPr>
                    <w:tc>
                      <w:tcPr>
                        <w:tcW w:w="823" w:type="dxa"/>
                      </w:tcPr>
                      <w:p w:rsidR="0030091C" w:rsidRDefault="0030091C">
                        <w:pPr>
                          <w:pStyle w:val="TableParagraph"/>
                          <w:spacing w:line="225" w:lineRule="exact"/>
                          <w:ind w:right="118"/>
                          <w:rPr>
                            <w:b/>
                            <w:sz w:val="20"/>
                          </w:rPr>
                        </w:pPr>
                        <w:r>
                          <w:rPr>
                            <w:b/>
                            <w:color w:val="003366"/>
                            <w:w w:val="95"/>
                            <w:sz w:val="20"/>
                          </w:rPr>
                          <w:t>$’000</w:t>
                        </w:r>
                      </w:p>
                    </w:tc>
                    <w:tc>
                      <w:tcPr>
                        <w:tcW w:w="1354" w:type="dxa"/>
                      </w:tcPr>
                      <w:p w:rsidR="0030091C" w:rsidRDefault="0030091C">
                        <w:pPr>
                          <w:pStyle w:val="TableParagraph"/>
                          <w:spacing w:line="225" w:lineRule="exact"/>
                          <w:ind w:right="118"/>
                          <w:rPr>
                            <w:b/>
                            <w:sz w:val="20"/>
                          </w:rPr>
                        </w:pPr>
                        <w:r>
                          <w:rPr>
                            <w:b/>
                            <w:color w:val="003366"/>
                            <w:w w:val="95"/>
                            <w:sz w:val="20"/>
                          </w:rPr>
                          <w:t>$’000</w:t>
                        </w:r>
                      </w:p>
                    </w:tc>
                    <w:tc>
                      <w:tcPr>
                        <w:tcW w:w="1409" w:type="dxa"/>
                      </w:tcPr>
                      <w:p w:rsidR="0030091C" w:rsidRDefault="0030091C">
                        <w:pPr>
                          <w:pStyle w:val="TableParagraph"/>
                          <w:spacing w:line="225" w:lineRule="exact"/>
                          <w:ind w:right="121"/>
                          <w:rPr>
                            <w:b/>
                            <w:sz w:val="20"/>
                          </w:rPr>
                        </w:pPr>
                        <w:r>
                          <w:rPr>
                            <w:b/>
                            <w:color w:val="003366"/>
                            <w:w w:val="95"/>
                            <w:sz w:val="20"/>
                          </w:rPr>
                          <w:t>$’000</w:t>
                        </w:r>
                      </w:p>
                    </w:tc>
                    <w:tc>
                      <w:tcPr>
                        <w:tcW w:w="1343" w:type="dxa"/>
                      </w:tcPr>
                      <w:p w:rsidR="0030091C" w:rsidRDefault="0030091C">
                        <w:pPr>
                          <w:pStyle w:val="TableParagraph"/>
                          <w:spacing w:line="225" w:lineRule="exact"/>
                          <w:ind w:right="55"/>
                          <w:rPr>
                            <w:b/>
                            <w:sz w:val="20"/>
                          </w:rPr>
                        </w:pPr>
                        <w:r>
                          <w:rPr>
                            <w:b/>
                            <w:color w:val="003366"/>
                            <w:w w:val="95"/>
                            <w:sz w:val="20"/>
                          </w:rPr>
                          <w:t>$’000</w:t>
                        </w:r>
                      </w:p>
                    </w:tc>
                  </w:tr>
                  <w:tr w:rsidR="0030091C">
                    <w:trPr>
                      <w:trHeight w:val="242"/>
                    </w:trPr>
                    <w:tc>
                      <w:tcPr>
                        <w:tcW w:w="823" w:type="dxa"/>
                      </w:tcPr>
                      <w:p w:rsidR="0030091C" w:rsidRDefault="0030091C">
                        <w:pPr>
                          <w:pStyle w:val="TableParagraph"/>
                          <w:spacing w:line="222" w:lineRule="exact"/>
                          <w:ind w:right="118"/>
                          <w:rPr>
                            <w:sz w:val="20"/>
                          </w:rPr>
                        </w:pPr>
                        <w:r>
                          <w:rPr>
                            <w:color w:val="003366"/>
                            <w:w w:val="95"/>
                            <w:sz w:val="20"/>
                          </w:rPr>
                          <w:t>8,900</w:t>
                        </w:r>
                      </w:p>
                    </w:tc>
                    <w:tc>
                      <w:tcPr>
                        <w:tcW w:w="1354" w:type="dxa"/>
                      </w:tcPr>
                      <w:p w:rsidR="0030091C" w:rsidRDefault="0030091C">
                        <w:pPr>
                          <w:pStyle w:val="TableParagraph"/>
                          <w:spacing w:line="222" w:lineRule="exact"/>
                          <w:ind w:right="118"/>
                          <w:rPr>
                            <w:sz w:val="20"/>
                          </w:rPr>
                        </w:pPr>
                        <w:r>
                          <w:rPr>
                            <w:color w:val="003366"/>
                            <w:w w:val="95"/>
                            <w:sz w:val="20"/>
                          </w:rPr>
                          <w:t>9,090</w:t>
                        </w:r>
                      </w:p>
                    </w:tc>
                    <w:tc>
                      <w:tcPr>
                        <w:tcW w:w="1409" w:type="dxa"/>
                      </w:tcPr>
                      <w:p w:rsidR="0030091C" w:rsidRDefault="0030091C">
                        <w:pPr>
                          <w:pStyle w:val="TableParagraph"/>
                          <w:spacing w:line="222" w:lineRule="exact"/>
                          <w:ind w:right="121"/>
                          <w:rPr>
                            <w:sz w:val="20"/>
                          </w:rPr>
                        </w:pPr>
                        <w:r>
                          <w:rPr>
                            <w:color w:val="003366"/>
                            <w:w w:val="95"/>
                            <w:sz w:val="20"/>
                          </w:rPr>
                          <w:t>9,090</w:t>
                        </w:r>
                      </w:p>
                    </w:tc>
                    <w:tc>
                      <w:tcPr>
                        <w:tcW w:w="1343" w:type="dxa"/>
                      </w:tcPr>
                      <w:p w:rsidR="0030091C" w:rsidRDefault="0030091C">
                        <w:pPr>
                          <w:pStyle w:val="TableParagraph"/>
                          <w:spacing w:line="222" w:lineRule="exact"/>
                          <w:ind w:right="55"/>
                          <w:rPr>
                            <w:sz w:val="20"/>
                          </w:rPr>
                        </w:pPr>
                        <w:r>
                          <w:rPr>
                            <w:color w:val="003366"/>
                            <w:w w:val="95"/>
                            <w:sz w:val="20"/>
                          </w:rPr>
                          <w:t>8,649</w:t>
                        </w:r>
                      </w:p>
                    </w:tc>
                  </w:tr>
                </w:tbl>
                <w:p w:rsidR="0030091C" w:rsidRDefault="0030091C">
                  <w:pPr>
                    <w:pStyle w:val="BodyText"/>
                  </w:pPr>
                </w:p>
              </w:txbxContent>
            </v:textbox>
            <w10:wrap anchorx="page"/>
          </v:shape>
        </w:pict>
      </w:r>
      <w:r w:rsidR="0030091C">
        <w:rPr>
          <w:color w:val="003366"/>
        </w:rPr>
        <w:t>Controlled Statement of Appropriation For the Year Ended 30 June 2018</w:t>
      </w:r>
    </w:p>
    <w:p w:rsidR="006C17CB" w:rsidRDefault="006C17CB">
      <w:pPr>
        <w:pStyle w:val="BodyText"/>
        <w:rPr>
          <w:rFonts w:ascii="Calibri"/>
          <w:b/>
          <w:sz w:val="28"/>
        </w:rPr>
      </w:pPr>
    </w:p>
    <w:p w:rsidR="006C17CB" w:rsidRDefault="006C17CB">
      <w:pPr>
        <w:pStyle w:val="BodyText"/>
        <w:rPr>
          <w:rFonts w:ascii="Calibri"/>
          <w:b/>
          <w:sz w:val="28"/>
        </w:rPr>
      </w:pPr>
    </w:p>
    <w:p w:rsidR="006C17CB" w:rsidRDefault="006C17CB">
      <w:pPr>
        <w:pStyle w:val="BodyText"/>
        <w:spacing w:before="3"/>
        <w:rPr>
          <w:rFonts w:ascii="Calibri"/>
          <w:b/>
          <w:sz w:val="28"/>
        </w:rPr>
      </w:pPr>
    </w:p>
    <w:p w:rsidR="006C17CB" w:rsidRDefault="0030091C">
      <w:pPr>
        <w:spacing w:before="1" w:line="286" w:lineRule="exact"/>
        <w:ind w:left="829"/>
        <w:rPr>
          <w:rFonts w:ascii="Calibri"/>
          <w:sz w:val="20"/>
        </w:rPr>
      </w:pPr>
      <w:r>
        <w:rPr>
          <w:rFonts w:ascii="Calibri"/>
          <w:color w:val="003366"/>
          <w:sz w:val="20"/>
        </w:rPr>
        <w:t>Controlled Recurrent Payments</w:t>
      </w:r>
    </w:p>
    <w:p w:rsidR="006C17CB" w:rsidRDefault="0030091C">
      <w:pPr>
        <w:tabs>
          <w:tab w:val="left" w:pos="4148"/>
          <w:tab w:val="left" w:pos="5130"/>
          <w:tab w:val="left" w:pos="6279"/>
          <w:tab w:val="left" w:pos="7686"/>
          <w:tab w:val="left" w:pos="9095"/>
        </w:tabs>
        <w:spacing w:line="286" w:lineRule="exact"/>
        <w:ind w:left="829"/>
        <w:rPr>
          <w:rFonts w:ascii="Calibri"/>
          <w:sz w:val="20"/>
        </w:rPr>
      </w:pPr>
      <w:r>
        <w:rPr>
          <w:rFonts w:ascii="Calibri"/>
          <w:color w:val="003366"/>
          <w:sz w:val="20"/>
        </w:rPr>
        <w:t>Capital</w:t>
      </w:r>
      <w:r>
        <w:rPr>
          <w:rFonts w:ascii="Calibri"/>
          <w:color w:val="003366"/>
          <w:spacing w:val="-3"/>
          <w:sz w:val="20"/>
        </w:rPr>
        <w:t xml:space="preserve"> </w:t>
      </w:r>
      <w:r>
        <w:rPr>
          <w:rFonts w:ascii="Calibri"/>
          <w:color w:val="003366"/>
          <w:sz w:val="20"/>
        </w:rPr>
        <w:t>Injections</w:t>
      </w:r>
      <w:r>
        <w:rPr>
          <w:rFonts w:ascii="Calibri"/>
          <w:color w:val="003366"/>
          <w:sz w:val="20"/>
        </w:rPr>
        <w:tab/>
      </w:r>
      <w:r>
        <w:rPr>
          <w:rFonts w:ascii="Calibri"/>
          <w:color w:val="003366"/>
          <w:sz w:val="20"/>
          <w:u w:val="single" w:color="000000"/>
        </w:rPr>
        <w:t xml:space="preserve"> </w:t>
      </w:r>
      <w:r>
        <w:rPr>
          <w:rFonts w:ascii="Calibri"/>
          <w:color w:val="003366"/>
          <w:sz w:val="20"/>
          <w:u w:val="single" w:color="000000"/>
        </w:rPr>
        <w:tab/>
        <w:t>5</w:t>
      </w:r>
      <w:r>
        <w:rPr>
          <w:rFonts w:ascii="Calibri"/>
          <w:color w:val="003366"/>
          <w:sz w:val="20"/>
          <w:u w:val="single" w:color="000000"/>
        </w:rPr>
        <w:tab/>
        <w:t>201</w:t>
      </w:r>
      <w:r>
        <w:rPr>
          <w:rFonts w:ascii="Calibri"/>
          <w:color w:val="003366"/>
          <w:sz w:val="20"/>
          <w:u w:val="single" w:color="000000"/>
        </w:rPr>
        <w:tab/>
        <w:t>149</w:t>
      </w:r>
      <w:r>
        <w:rPr>
          <w:rFonts w:ascii="Calibri"/>
          <w:color w:val="003366"/>
          <w:sz w:val="20"/>
          <w:u w:val="single" w:color="000000"/>
        </w:rPr>
        <w:tab/>
        <w:t>641</w:t>
      </w:r>
      <w:r>
        <w:rPr>
          <w:rFonts w:ascii="Calibri"/>
          <w:color w:val="003366"/>
          <w:spacing w:val="21"/>
          <w:sz w:val="20"/>
          <w:u w:val="single" w:color="000000"/>
        </w:rPr>
        <w:t xml:space="preserve"> </w:t>
      </w:r>
    </w:p>
    <w:p w:rsidR="006C17CB" w:rsidRDefault="0030091C">
      <w:pPr>
        <w:tabs>
          <w:tab w:val="left" w:pos="4775"/>
          <w:tab w:val="left" w:pos="6128"/>
          <w:tab w:val="left" w:pos="7535"/>
          <w:tab w:val="left" w:pos="8943"/>
        </w:tabs>
        <w:spacing w:before="7"/>
        <w:ind w:left="829"/>
        <w:rPr>
          <w:rFonts w:ascii="Calibri"/>
          <w:b/>
          <w:sz w:val="20"/>
        </w:rPr>
      </w:pPr>
      <w:r>
        <w:rPr>
          <w:rFonts w:ascii="Calibri"/>
          <w:b/>
          <w:color w:val="003366"/>
          <w:sz w:val="20"/>
        </w:rPr>
        <w:t>Total</w:t>
      </w:r>
      <w:r>
        <w:rPr>
          <w:rFonts w:ascii="Calibri"/>
          <w:b/>
          <w:color w:val="003366"/>
          <w:spacing w:val="-4"/>
          <w:sz w:val="20"/>
        </w:rPr>
        <w:t xml:space="preserve"> </w:t>
      </w:r>
      <w:r>
        <w:rPr>
          <w:rFonts w:ascii="Calibri"/>
          <w:b/>
          <w:color w:val="003366"/>
          <w:sz w:val="20"/>
        </w:rPr>
        <w:t>Controlled</w:t>
      </w:r>
      <w:r>
        <w:rPr>
          <w:rFonts w:ascii="Calibri"/>
          <w:b/>
          <w:color w:val="003366"/>
          <w:spacing w:val="-2"/>
          <w:sz w:val="20"/>
        </w:rPr>
        <w:t xml:space="preserve"> </w:t>
      </w:r>
      <w:r>
        <w:rPr>
          <w:rFonts w:ascii="Calibri"/>
          <w:b/>
          <w:color w:val="003366"/>
          <w:sz w:val="20"/>
        </w:rPr>
        <w:t>Appropriation</w:t>
      </w:r>
      <w:r>
        <w:rPr>
          <w:rFonts w:ascii="Calibri"/>
          <w:b/>
          <w:color w:val="003366"/>
          <w:sz w:val="20"/>
        </w:rPr>
        <w:tab/>
        <w:t>8,905</w:t>
      </w:r>
      <w:r>
        <w:rPr>
          <w:rFonts w:ascii="Calibri"/>
          <w:b/>
          <w:color w:val="003366"/>
          <w:sz w:val="20"/>
        </w:rPr>
        <w:tab/>
        <w:t>9,291</w:t>
      </w:r>
      <w:r>
        <w:rPr>
          <w:rFonts w:ascii="Calibri"/>
          <w:b/>
          <w:color w:val="003366"/>
          <w:sz w:val="20"/>
        </w:rPr>
        <w:tab/>
        <w:t>9,239</w:t>
      </w:r>
      <w:r>
        <w:rPr>
          <w:rFonts w:ascii="Calibri"/>
          <w:b/>
          <w:color w:val="003366"/>
          <w:sz w:val="20"/>
        </w:rPr>
        <w:tab/>
        <w:t>9,290</w:t>
      </w:r>
    </w:p>
    <w:p w:rsidR="006C17CB" w:rsidRDefault="00FE24A7">
      <w:pPr>
        <w:pStyle w:val="BodyText"/>
        <w:spacing w:line="29" w:lineRule="exact"/>
        <w:ind w:left="4143"/>
        <w:rPr>
          <w:rFonts w:ascii="Calibri"/>
          <w:sz w:val="2"/>
        </w:rPr>
      </w:pPr>
      <w:r>
        <w:rPr>
          <w:rFonts w:ascii="Calibri"/>
          <w:sz w:val="2"/>
        </w:rPr>
      </w:r>
      <w:r>
        <w:rPr>
          <w:rFonts w:ascii="Calibri"/>
          <w:sz w:val="2"/>
        </w:rPr>
        <w:pict>
          <v:group id="_x0000_s1421" alt="" style="width:268.1pt;height:1.45pt;mso-position-horizontal-relative:char;mso-position-vertical-relative:line" coordsize="5362,29">
            <v:line id="_x0000_s1422" alt="" style="position:absolute" from="0,5" to="1193,5" strokeweight=".48pt"/>
            <v:line id="_x0000_s1423" alt="" style="position:absolute" from="0,24" to="1193,24" strokeweight=".16969mm"/>
            <v:rect id="_x0000_s1424" alt="" style="position:absolute;left:1192;width:29;height:10" fillcolor="black" stroked="f"/>
            <v:rect id="_x0000_s1425" alt="" style="position:absolute;left:1192;top:19;width:29;height:10" fillcolor="black" stroked="f"/>
            <v:line id="_x0000_s1426" alt="" style="position:absolute" from="1222,5" to="2544,5" strokeweight=".48pt"/>
            <v:line id="_x0000_s1427" alt="" style="position:absolute" from="1222,24" to="2544,24" strokeweight=".16969mm"/>
            <v:rect id="_x0000_s1428" alt="" style="position:absolute;left:2544;width:29;height:10" fillcolor="black" stroked="f"/>
            <v:rect id="_x0000_s1429" alt="" style="position:absolute;left:2544;top:19;width:29;height:10" fillcolor="black" stroked="f"/>
            <v:line id="_x0000_s1430" alt="" style="position:absolute" from="2573,5" to="3950,5" strokeweight=".48pt"/>
            <v:line id="_x0000_s1431" alt="" style="position:absolute" from="2573,24" to="3950,24" strokeweight=".16969mm"/>
            <v:rect id="_x0000_s1432" alt="" style="position:absolute;left:3950;width:29;height:10" fillcolor="black" stroked="f"/>
            <v:rect id="_x0000_s1433" alt="" style="position:absolute;left:3950;top:19;width:29;height:10" fillcolor="black" stroked="f"/>
            <v:line id="_x0000_s1434" alt="" style="position:absolute" from="3979,5" to="5362,5" strokeweight=".48pt"/>
            <v:line id="_x0000_s1435" alt="" style="position:absolute" from="3979,24" to="5362,24" strokeweight=".16969mm"/>
            <w10:anchorlock/>
          </v:group>
        </w:pict>
      </w:r>
    </w:p>
    <w:p w:rsidR="006C17CB" w:rsidRDefault="006C17CB">
      <w:pPr>
        <w:pStyle w:val="BodyText"/>
        <w:spacing w:before="3"/>
        <w:rPr>
          <w:rFonts w:ascii="Calibri"/>
          <w:b/>
          <w:sz w:val="23"/>
        </w:rPr>
      </w:pPr>
    </w:p>
    <w:p w:rsidR="006C17CB" w:rsidRDefault="0030091C">
      <w:pPr>
        <w:spacing w:before="33"/>
        <w:ind w:left="829"/>
        <w:rPr>
          <w:rFonts w:ascii="Calibri"/>
          <w:sz w:val="16"/>
        </w:rPr>
      </w:pPr>
      <w:r>
        <w:rPr>
          <w:rFonts w:ascii="Calibri"/>
          <w:color w:val="003366"/>
          <w:sz w:val="16"/>
        </w:rPr>
        <w:t>The above Controlled Statement of Appropriation should be read in conjunction with the accompanying notes.</w:t>
      </w:r>
    </w:p>
    <w:p w:rsidR="006C17CB" w:rsidRDefault="006C17CB">
      <w:pPr>
        <w:pStyle w:val="BodyText"/>
        <w:spacing w:before="10"/>
        <w:rPr>
          <w:rFonts w:ascii="Calibri"/>
          <w:sz w:val="13"/>
        </w:rPr>
      </w:pPr>
    </w:p>
    <w:p w:rsidR="006C17CB" w:rsidRDefault="0030091C">
      <w:pPr>
        <w:ind w:left="829"/>
        <w:rPr>
          <w:rFonts w:ascii="Calibri"/>
          <w:b/>
          <w:sz w:val="20"/>
        </w:rPr>
      </w:pPr>
      <w:r>
        <w:rPr>
          <w:rFonts w:ascii="Calibri"/>
          <w:b/>
          <w:color w:val="003366"/>
          <w:sz w:val="20"/>
        </w:rPr>
        <w:t>Column Heading Explanations</w:t>
      </w:r>
    </w:p>
    <w:p w:rsidR="006C17CB" w:rsidRDefault="0030091C">
      <w:pPr>
        <w:spacing w:before="110" w:line="204" w:lineRule="auto"/>
        <w:ind w:left="829" w:right="1412"/>
        <w:rPr>
          <w:rFonts w:ascii="Calibri"/>
          <w:sz w:val="20"/>
        </w:rPr>
      </w:pPr>
      <w:r>
        <w:rPr>
          <w:rFonts w:ascii="Calibri"/>
          <w:color w:val="003366"/>
          <w:sz w:val="20"/>
        </w:rPr>
        <w:t xml:space="preserve">The </w:t>
      </w:r>
      <w:r>
        <w:rPr>
          <w:rFonts w:ascii="Calibri"/>
          <w:i/>
          <w:color w:val="003366"/>
          <w:sz w:val="20"/>
        </w:rPr>
        <w:t xml:space="preserve">Original Budget </w:t>
      </w:r>
      <w:r>
        <w:rPr>
          <w:rFonts w:ascii="Calibri"/>
          <w:color w:val="003366"/>
          <w:sz w:val="20"/>
        </w:rPr>
        <w:t>column shows the amounts that appear in the Cash Flow Statement in the Budget Papers. This amount also appears in the Cash Flow Statement.</w:t>
      </w:r>
    </w:p>
    <w:p w:rsidR="006C17CB" w:rsidRDefault="0030091C">
      <w:pPr>
        <w:spacing w:before="119" w:line="204" w:lineRule="auto"/>
        <w:ind w:left="829" w:right="1412"/>
        <w:rPr>
          <w:rFonts w:ascii="Calibri"/>
          <w:sz w:val="20"/>
        </w:rPr>
      </w:pPr>
      <w:r>
        <w:rPr>
          <w:rFonts w:ascii="Calibri"/>
          <w:color w:val="003366"/>
          <w:sz w:val="20"/>
        </w:rPr>
        <w:t xml:space="preserve">The </w:t>
      </w:r>
      <w:r>
        <w:rPr>
          <w:rFonts w:ascii="Calibri"/>
          <w:i/>
          <w:color w:val="003366"/>
          <w:sz w:val="20"/>
        </w:rPr>
        <w:t xml:space="preserve">Total Appropriated </w:t>
      </w:r>
      <w:r>
        <w:rPr>
          <w:rFonts w:ascii="Calibri"/>
          <w:color w:val="003366"/>
          <w:sz w:val="20"/>
        </w:rPr>
        <w:t>column is inclusive of all appropriation variations occurring after the Original Budget.</w:t>
      </w:r>
    </w:p>
    <w:p w:rsidR="006C17CB" w:rsidRDefault="0030091C">
      <w:pPr>
        <w:spacing w:before="117" w:line="204" w:lineRule="auto"/>
        <w:ind w:left="829" w:right="1506"/>
        <w:rPr>
          <w:rFonts w:ascii="Calibri"/>
          <w:sz w:val="20"/>
        </w:rPr>
      </w:pPr>
      <w:r>
        <w:rPr>
          <w:rFonts w:ascii="Calibri"/>
          <w:color w:val="003366"/>
          <w:sz w:val="20"/>
        </w:rPr>
        <w:t xml:space="preserve">The </w:t>
      </w:r>
      <w:r>
        <w:rPr>
          <w:rFonts w:ascii="Calibri"/>
          <w:i/>
          <w:color w:val="003366"/>
          <w:sz w:val="20"/>
        </w:rPr>
        <w:t xml:space="preserve">Appropriation Drawn </w:t>
      </w:r>
      <w:r>
        <w:rPr>
          <w:rFonts w:ascii="Calibri"/>
          <w:color w:val="003366"/>
          <w:sz w:val="20"/>
        </w:rPr>
        <w:t>is the total amount of appropriation received by the Office during the year. This amount appears in the Cash Flow Statement.</w:t>
      </w:r>
    </w:p>
    <w:p w:rsidR="006C17CB" w:rsidRDefault="006C17CB">
      <w:pPr>
        <w:pStyle w:val="BodyText"/>
        <w:spacing w:before="3"/>
        <w:rPr>
          <w:rFonts w:ascii="Calibri"/>
          <w:sz w:val="14"/>
        </w:rPr>
      </w:pPr>
    </w:p>
    <w:p w:rsidR="006C17CB" w:rsidRDefault="0030091C">
      <w:pPr>
        <w:ind w:left="829"/>
        <w:rPr>
          <w:rFonts w:ascii="Calibri" w:hAnsi="Calibri"/>
          <w:b/>
          <w:sz w:val="20"/>
        </w:rPr>
      </w:pPr>
      <w:r>
        <w:rPr>
          <w:rFonts w:ascii="Calibri" w:hAnsi="Calibri"/>
          <w:b/>
          <w:color w:val="003366"/>
          <w:sz w:val="20"/>
        </w:rPr>
        <w:t>Variances between ‘Original Budget’, ‘Total Appropriated’ and ‘Appropriation Drawn’.</w:t>
      </w:r>
    </w:p>
    <w:p w:rsidR="006C17CB" w:rsidRDefault="006C17CB">
      <w:pPr>
        <w:pStyle w:val="BodyText"/>
        <w:spacing w:before="1"/>
        <w:rPr>
          <w:rFonts w:ascii="Calibri"/>
          <w:b/>
          <w:sz w:val="29"/>
        </w:rPr>
      </w:pPr>
    </w:p>
    <w:tbl>
      <w:tblPr>
        <w:tblW w:w="0" w:type="auto"/>
        <w:tblInd w:w="721" w:type="dxa"/>
        <w:tblLayout w:type="fixed"/>
        <w:tblCellMar>
          <w:left w:w="0" w:type="dxa"/>
          <w:right w:w="0" w:type="dxa"/>
        </w:tblCellMar>
        <w:tblLook w:val="01E0" w:firstRow="1" w:lastRow="1" w:firstColumn="1" w:lastColumn="1" w:noHBand="0" w:noVBand="0"/>
      </w:tblPr>
      <w:tblGrid>
        <w:gridCol w:w="4479"/>
        <w:gridCol w:w="2804"/>
        <w:gridCol w:w="1557"/>
      </w:tblGrid>
      <w:tr w:rsidR="006C17CB">
        <w:trPr>
          <w:trHeight w:val="504"/>
        </w:trPr>
        <w:tc>
          <w:tcPr>
            <w:tcW w:w="4479" w:type="dxa"/>
            <w:tcBorders>
              <w:top w:val="single" w:sz="4" w:space="0" w:color="000000"/>
            </w:tcBorders>
          </w:tcPr>
          <w:p w:rsidR="006C17CB" w:rsidRDefault="006C17CB">
            <w:pPr>
              <w:pStyle w:val="TableParagraph"/>
              <w:spacing w:before="9"/>
              <w:jc w:val="left"/>
              <w:rPr>
                <w:b/>
                <w:sz w:val="13"/>
              </w:rPr>
            </w:pPr>
          </w:p>
          <w:p w:rsidR="006C17CB" w:rsidRDefault="0030091C">
            <w:pPr>
              <w:pStyle w:val="TableParagraph"/>
              <w:spacing w:before="1" w:line="287" w:lineRule="exact"/>
              <w:ind w:left="108"/>
              <w:jc w:val="left"/>
              <w:rPr>
                <w:b/>
                <w:sz w:val="20"/>
              </w:rPr>
            </w:pPr>
            <w:r>
              <w:rPr>
                <w:b/>
                <w:color w:val="003366"/>
                <w:sz w:val="20"/>
              </w:rPr>
              <w:t>Reconciliation of Appropriation for 2017-18</w:t>
            </w:r>
          </w:p>
        </w:tc>
        <w:tc>
          <w:tcPr>
            <w:tcW w:w="2804" w:type="dxa"/>
            <w:tcBorders>
              <w:top w:val="single" w:sz="4" w:space="0" w:color="000000"/>
            </w:tcBorders>
          </w:tcPr>
          <w:p w:rsidR="006C17CB" w:rsidRDefault="0030091C">
            <w:pPr>
              <w:pStyle w:val="TableParagraph"/>
              <w:spacing w:line="220" w:lineRule="exact"/>
              <w:ind w:left="467"/>
              <w:jc w:val="left"/>
              <w:rPr>
                <w:b/>
                <w:sz w:val="20"/>
              </w:rPr>
            </w:pPr>
            <w:r>
              <w:rPr>
                <w:b/>
                <w:color w:val="003366"/>
                <w:sz w:val="20"/>
              </w:rPr>
              <w:t>Controlled Recurrent</w:t>
            </w:r>
          </w:p>
          <w:p w:rsidR="006C17CB" w:rsidRDefault="0030091C">
            <w:pPr>
              <w:pStyle w:val="TableParagraph"/>
              <w:spacing w:line="264" w:lineRule="exact"/>
              <w:ind w:left="1393"/>
              <w:jc w:val="left"/>
              <w:rPr>
                <w:b/>
                <w:sz w:val="20"/>
              </w:rPr>
            </w:pPr>
            <w:r>
              <w:rPr>
                <w:b/>
                <w:color w:val="003366"/>
                <w:sz w:val="20"/>
              </w:rPr>
              <w:t>Payments</w:t>
            </w:r>
          </w:p>
        </w:tc>
        <w:tc>
          <w:tcPr>
            <w:tcW w:w="1557" w:type="dxa"/>
            <w:tcBorders>
              <w:top w:val="single" w:sz="4" w:space="0" w:color="000000"/>
            </w:tcBorders>
          </w:tcPr>
          <w:p w:rsidR="006C17CB" w:rsidRDefault="0030091C">
            <w:pPr>
              <w:pStyle w:val="TableParagraph"/>
              <w:spacing w:line="201" w:lineRule="auto"/>
              <w:ind w:left="589" w:right="138" w:firstLine="230"/>
              <w:jc w:val="left"/>
              <w:rPr>
                <w:b/>
                <w:sz w:val="20"/>
              </w:rPr>
            </w:pPr>
            <w:r>
              <w:rPr>
                <w:b/>
                <w:color w:val="003366"/>
                <w:sz w:val="20"/>
              </w:rPr>
              <w:t>Capital Injections</w:t>
            </w:r>
          </w:p>
        </w:tc>
      </w:tr>
      <w:tr w:rsidR="006C17CB">
        <w:trPr>
          <w:trHeight w:val="227"/>
        </w:trPr>
        <w:tc>
          <w:tcPr>
            <w:tcW w:w="4479" w:type="dxa"/>
            <w:tcBorders>
              <w:bottom w:val="single" w:sz="4" w:space="0" w:color="000000"/>
            </w:tcBorders>
          </w:tcPr>
          <w:p w:rsidR="006C17CB" w:rsidRDefault="006C17CB">
            <w:pPr>
              <w:pStyle w:val="TableParagraph"/>
              <w:jc w:val="left"/>
              <w:rPr>
                <w:rFonts w:ascii="Times New Roman"/>
                <w:sz w:val="16"/>
              </w:rPr>
            </w:pPr>
          </w:p>
        </w:tc>
        <w:tc>
          <w:tcPr>
            <w:tcW w:w="2804" w:type="dxa"/>
            <w:tcBorders>
              <w:bottom w:val="single" w:sz="4" w:space="0" w:color="000000"/>
            </w:tcBorders>
          </w:tcPr>
          <w:p w:rsidR="006C17CB" w:rsidRDefault="0030091C">
            <w:pPr>
              <w:pStyle w:val="TableParagraph"/>
              <w:spacing w:line="207" w:lineRule="exact"/>
              <w:ind w:right="589"/>
              <w:rPr>
                <w:b/>
                <w:sz w:val="20"/>
              </w:rPr>
            </w:pPr>
            <w:r>
              <w:rPr>
                <w:b/>
                <w:color w:val="003366"/>
                <w:w w:val="95"/>
                <w:sz w:val="20"/>
              </w:rPr>
              <w:t>$’000</w:t>
            </w:r>
          </w:p>
        </w:tc>
        <w:tc>
          <w:tcPr>
            <w:tcW w:w="1557" w:type="dxa"/>
            <w:tcBorders>
              <w:bottom w:val="single" w:sz="4" w:space="0" w:color="000000"/>
            </w:tcBorders>
          </w:tcPr>
          <w:p w:rsidR="006C17CB" w:rsidRDefault="0030091C">
            <w:pPr>
              <w:pStyle w:val="TableParagraph"/>
              <w:spacing w:line="207" w:lineRule="exact"/>
              <w:ind w:right="159"/>
              <w:rPr>
                <w:b/>
                <w:sz w:val="20"/>
              </w:rPr>
            </w:pPr>
            <w:r>
              <w:rPr>
                <w:b/>
                <w:color w:val="003366"/>
                <w:w w:val="95"/>
                <w:sz w:val="20"/>
              </w:rPr>
              <w:t>$’000</w:t>
            </w:r>
          </w:p>
        </w:tc>
      </w:tr>
      <w:tr w:rsidR="006C17CB">
        <w:trPr>
          <w:trHeight w:val="313"/>
        </w:trPr>
        <w:tc>
          <w:tcPr>
            <w:tcW w:w="4479" w:type="dxa"/>
            <w:tcBorders>
              <w:top w:val="single" w:sz="4" w:space="0" w:color="000000"/>
            </w:tcBorders>
          </w:tcPr>
          <w:p w:rsidR="006C17CB" w:rsidRDefault="0030091C">
            <w:pPr>
              <w:pStyle w:val="TableParagraph"/>
              <w:spacing w:line="284" w:lineRule="exact"/>
              <w:ind w:left="108"/>
              <w:jc w:val="left"/>
              <w:rPr>
                <w:sz w:val="20"/>
              </w:rPr>
            </w:pPr>
            <w:r>
              <w:rPr>
                <w:color w:val="003366"/>
                <w:sz w:val="20"/>
              </w:rPr>
              <w:t>Original Appropriation for 2017-18</w:t>
            </w:r>
          </w:p>
        </w:tc>
        <w:tc>
          <w:tcPr>
            <w:tcW w:w="2804" w:type="dxa"/>
            <w:tcBorders>
              <w:top w:val="single" w:sz="4" w:space="0" w:color="000000"/>
            </w:tcBorders>
          </w:tcPr>
          <w:p w:rsidR="006C17CB" w:rsidRDefault="0030091C">
            <w:pPr>
              <w:pStyle w:val="TableParagraph"/>
              <w:spacing w:line="284" w:lineRule="exact"/>
              <w:ind w:right="589"/>
              <w:rPr>
                <w:sz w:val="20"/>
              </w:rPr>
            </w:pPr>
            <w:r>
              <w:rPr>
                <w:color w:val="003366"/>
                <w:w w:val="95"/>
                <w:sz w:val="20"/>
              </w:rPr>
              <w:t>8,900</w:t>
            </w:r>
          </w:p>
        </w:tc>
        <w:tc>
          <w:tcPr>
            <w:tcW w:w="1557" w:type="dxa"/>
            <w:tcBorders>
              <w:top w:val="single" w:sz="4" w:space="0" w:color="000000"/>
            </w:tcBorders>
          </w:tcPr>
          <w:p w:rsidR="006C17CB" w:rsidRDefault="0030091C">
            <w:pPr>
              <w:pStyle w:val="TableParagraph"/>
              <w:spacing w:line="284" w:lineRule="exact"/>
              <w:ind w:right="157"/>
              <w:rPr>
                <w:sz w:val="20"/>
              </w:rPr>
            </w:pPr>
            <w:r>
              <w:rPr>
                <w:color w:val="003366"/>
                <w:w w:val="99"/>
                <w:sz w:val="20"/>
              </w:rPr>
              <w:t>5</w:t>
            </w:r>
          </w:p>
        </w:tc>
      </w:tr>
      <w:tr w:rsidR="006C17CB">
        <w:trPr>
          <w:trHeight w:val="284"/>
        </w:trPr>
        <w:tc>
          <w:tcPr>
            <w:tcW w:w="4479" w:type="dxa"/>
          </w:tcPr>
          <w:p w:rsidR="006C17CB" w:rsidRDefault="0030091C">
            <w:pPr>
              <w:pStyle w:val="TableParagraph"/>
              <w:spacing w:line="254" w:lineRule="exact"/>
              <w:ind w:left="108"/>
              <w:jc w:val="left"/>
              <w:rPr>
                <w:sz w:val="20"/>
              </w:rPr>
            </w:pPr>
            <w:r>
              <w:rPr>
                <w:color w:val="003366"/>
                <w:sz w:val="20"/>
              </w:rPr>
              <w:t>Transfer of Appropriations (FMA s.14 and s.14B)</w:t>
            </w:r>
            <w:r>
              <w:rPr>
                <w:color w:val="003366"/>
                <w:sz w:val="20"/>
                <w:vertAlign w:val="superscript"/>
              </w:rPr>
              <w:t>1</w:t>
            </w:r>
          </w:p>
        </w:tc>
        <w:tc>
          <w:tcPr>
            <w:tcW w:w="2804" w:type="dxa"/>
          </w:tcPr>
          <w:p w:rsidR="006C17CB" w:rsidRDefault="0030091C">
            <w:pPr>
              <w:pStyle w:val="TableParagraph"/>
              <w:spacing w:line="254" w:lineRule="exact"/>
              <w:ind w:right="589"/>
              <w:rPr>
                <w:sz w:val="20"/>
              </w:rPr>
            </w:pPr>
            <w:r>
              <w:rPr>
                <w:color w:val="003366"/>
                <w:w w:val="95"/>
                <w:sz w:val="20"/>
              </w:rPr>
              <w:t>190</w:t>
            </w:r>
          </w:p>
        </w:tc>
        <w:tc>
          <w:tcPr>
            <w:tcW w:w="1557" w:type="dxa"/>
          </w:tcPr>
          <w:p w:rsidR="006C17CB" w:rsidRDefault="0030091C">
            <w:pPr>
              <w:pStyle w:val="TableParagraph"/>
              <w:spacing w:line="254" w:lineRule="exact"/>
              <w:ind w:right="157"/>
              <w:rPr>
                <w:sz w:val="20"/>
              </w:rPr>
            </w:pPr>
            <w:r>
              <w:rPr>
                <w:color w:val="003366"/>
                <w:w w:val="95"/>
                <w:sz w:val="20"/>
              </w:rPr>
              <w:t>30</w:t>
            </w:r>
          </w:p>
        </w:tc>
      </w:tr>
      <w:tr w:rsidR="006C17CB">
        <w:trPr>
          <w:trHeight w:val="297"/>
        </w:trPr>
        <w:tc>
          <w:tcPr>
            <w:tcW w:w="4479" w:type="dxa"/>
          </w:tcPr>
          <w:p w:rsidR="006C17CB" w:rsidRDefault="0030091C">
            <w:pPr>
              <w:pStyle w:val="TableParagraph"/>
              <w:spacing w:line="255" w:lineRule="exact"/>
              <w:ind w:left="108"/>
              <w:jc w:val="left"/>
              <w:rPr>
                <w:sz w:val="20"/>
              </w:rPr>
            </w:pPr>
            <w:r>
              <w:rPr>
                <w:color w:val="003366"/>
                <w:sz w:val="20"/>
              </w:rPr>
              <w:t>Rollover of Undispersed Appropriation (FMA s.16B)</w:t>
            </w:r>
            <w:r>
              <w:rPr>
                <w:color w:val="003366"/>
                <w:sz w:val="20"/>
                <w:vertAlign w:val="superscript"/>
              </w:rPr>
              <w:t>2</w:t>
            </w:r>
          </w:p>
        </w:tc>
        <w:tc>
          <w:tcPr>
            <w:tcW w:w="4361" w:type="dxa"/>
            <w:gridSpan w:val="2"/>
          </w:tcPr>
          <w:p w:rsidR="006C17CB" w:rsidRDefault="0030091C">
            <w:pPr>
              <w:pStyle w:val="TableParagraph"/>
              <w:tabs>
                <w:tab w:val="left" w:pos="2152"/>
                <w:tab w:val="left" w:pos="3896"/>
              </w:tabs>
              <w:spacing w:line="255" w:lineRule="exact"/>
              <w:ind w:left="141"/>
              <w:jc w:val="left"/>
              <w:rPr>
                <w:sz w:val="20"/>
              </w:rPr>
            </w:pPr>
            <w:r>
              <w:rPr>
                <w:color w:val="003366"/>
                <w:w w:val="99"/>
                <w:sz w:val="20"/>
                <w:u w:val="single" w:color="000000"/>
              </w:rPr>
              <w:t xml:space="preserve"> </w:t>
            </w:r>
            <w:r>
              <w:rPr>
                <w:color w:val="003366"/>
                <w:sz w:val="20"/>
                <w:u w:val="single" w:color="000000"/>
              </w:rPr>
              <w:tab/>
              <w:t>-</w:t>
            </w:r>
            <w:r>
              <w:rPr>
                <w:color w:val="003366"/>
                <w:sz w:val="20"/>
                <w:u w:val="single" w:color="000000"/>
              </w:rPr>
              <w:tab/>
              <w:t>166</w:t>
            </w:r>
            <w:r>
              <w:rPr>
                <w:color w:val="003366"/>
                <w:spacing w:val="18"/>
                <w:sz w:val="20"/>
                <w:u w:val="single" w:color="000000"/>
              </w:rPr>
              <w:t xml:space="preserve"> </w:t>
            </w:r>
          </w:p>
        </w:tc>
      </w:tr>
      <w:tr w:rsidR="006C17CB">
        <w:trPr>
          <w:trHeight w:val="285"/>
        </w:trPr>
        <w:tc>
          <w:tcPr>
            <w:tcW w:w="4479" w:type="dxa"/>
          </w:tcPr>
          <w:p w:rsidR="006C17CB" w:rsidRDefault="0030091C">
            <w:pPr>
              <w:pStyle w:val="TableParagraph"/>
              <w:spacing w:line="250" w:lineRule="exact"/>
              <w:ind w:left="108"/>
              <w:jc w:val="left"/>
              <w:rPr>
                <w:sz w:val="20"/>
              </w:rPr>
            </w:pPr>
            <w:r>
              <w:rPr>
                <w:color w:val="003366"/>
                <w:sz w:val="20"/>
              </w:rPr>
              <w:t>Total Appropriated</w:t>
            </w:r>
          </w:p>
        </w:tc>
        <w:tc>
          <w:tcPr>
            <w:tcW w:w="4361" w:type="dxa"/>
            <w:gridSpan w:val="2"/>
          </w:tcPr>
          <w:p w:rsidR="006C17CB" w:rsidRDefault="0030091C">
            <w:pPr>
              <w:pStyle w:val="TableParagraph"/>
              <w:tabs>
                <w:tab w:val="left" w:pos="1758"/>
                <w:tab w:val="left" w:pos="3896"/>
              </w:tabs>
              <w:spacing w:line="250" w:lineRule="exact"/>
              <w:ind w:left="141"/>
              <w:jc w:val="left"/>
              <w:rPr>
                <w:sz w:val="20"/>
              </w:rPr>
            </w:pPr>
            <w:r>
              <w:rPr>
                <w:color w:val="003366"/>
                <w:w w:val="99"/>
                <w:sz w:val="20"/>
                <w:u w:val="single" w:color="000000"/>
              </w:rPr>
              <w:t xml:space="preserve"> </w:t>
            </w:r>
            <w:r>
              <w:rPr>
                <w:color w:val="003366"/>
                <w:sz w:val="20"/>
                <w:u w:val="single" w:color="000000"/>
              </w:rPr>
              <w:tab/>
              <w:t>9,090</w:t>
            </w:r>
            <w:r>
              <w:rPr>
                <w:color w:val="003366"/>
                <w:sz w:val="20"/>
                <w:u w:val="single" w:color="000000"/>
              </w:rPr>
              <w:tab/>
              <w:t>201</w:t>
            </w:r>
            <w:r>
              <w:rPr>
                <w:color w:val="003366"/>
                <w:spacing w:val="18"/>
                <w:sz w:val="20"/>
                <w:u w:val="single" w:color="000000"/>
              </w:rPr>
              <w:t xml:space="preserve"> </w:t>
            </w:r>
          </w:p>
        </w:tc>
      </w:tr>
      <w:tr w:rsidR="006C17CB">
        <w:trPr>
          <w:trHeight w:val="303"/>
        </w:trPr>
        <w:tc>
          <w:tcPr>
            <w:tcW w:w="4479" w:type="dxa"/>
          </w:tcPr>
          <w:p w:rsidR="006C17CB" w:rsidRDefault="0030091C">
            <w:pPr>
              <w:pStyle w:val="TableParagraph"/>
              <w:spacing w:line="260" w:lineRule="exact"/>
              <w:ind w:left="108"/>
              <w:jc w:val="left"/>
              <w:rPr>
                <w:sz w:val="20"/>
              </w:rPr>
            </w:pPr>
            <w:r>
              <w:rPr>
                <w:color w:val="003366"/>
                <w:sz w:val="20"/>
              </w:rPr>
              <w:t>Budget Rollovers</w:t>
            </w:r>
            <w:r>
              <w:rPr>
                <w:color w:val="003366"/>
                <w:sz w:val="20"/>
                <w:vertAlign w:val="superscript"/>
              </w:rPr>
              <w:t>3</w:t>
            </w:r>
          </w:p>
        </w:tc>
        <w:tc>
          <w:tcPr>
            <w:tcW w:w="4361" w:type="dxa"/>
            <w:gridSpan w:val="2"/>
          </w:tcPr>
          <w:p w:rsidR="006C17CB" w:rsidRDefault="0030091C">
            <w:pPr>
              <w:pStyle w:val="TableParagraph"/>
              <w:tabs>
                <w:tab w:val="left" w:pos="2152"/>
                <w:tab w:val="left" w:pos="3877"/>
              </w:tabs>
              <w:spacing w:line="260" w:lineRule="exact"/>
              <w:ind w:left="141"/>
              <w:jc w:val="left"/>
              <w:rPr>
                <w:sz w:val="20"/>
              </w:rPr>
            </w:pPr>
            <w:r>
              <w:rPr>
                <w:color w:val="003366"/>
                <w:w w:val="99"/>
                <w:sz w:val="20"/>
                <w:u w:val="single" w:color="000000"/>
              </w:rPr>
              <w:t xml:space="preserve"> </w:t>
            </w:r>
            <w:r>
              <w:rPr>
                <w:color w:val="003366"/>
                <w:sz w:val="20"/>
                <w:u w:val="single" w:color="000000"/>
              </w:rPr>
              <w:tab/>
              <w:t>-</w:t>
            </w:r>
            <w:r>
              <w:rPr>
                <w:color w:val="003366"/>
                <w:sz w:val="20"/>
                <w:u w:val="single" w:color="000000"/>
              </w:rPr>
              <w:tab/>
              <w:t>(52)</w:t>
            </w:r>
            <w:r>
              <w:rPr>
                <w:color w:val="003366"/>
                <w:spacing w:val="18"/>
                <w:sz w:val="20"/>
                <w:u w:val="single" w:color="000000"/>
              </w:rPr>
              <w:t xml:space="preserve"> </w:t>
            </w:r>
          </w:p>
        </w:tc>
      </w:tr>
      <w:tr w:rsidR="006C17CB">
        <w:trPr>
          <w:trHeight w:val="278"/>
        </w:trPr>
        <w:tc>
          <w:tcPr>
            <w:tcW w:w="4479" w:type="dxa"/>
          </w:tcPr>
          <w:p w:rsidR="006C17CB" w:rsidRDefault="0030091C">
            <w:pPr>
              <w:pStyle w:val="TableParagraph"/>
              <w:spacing w:line="251" w:lineRule="exact"/>
              <w:ind w:left="108"/>
              <w:jc w:val="left"/>
              <w:rPr>
                <w:sz w:val="20"/>
              </w:rPr>
            </w:pPr>
            <w:r>
              <w:rPr>
                <w:color w:val="003366"/>
                <w:sz w:val="20"/>
              </w:rPr>
              <w:t>Controlled Appropriation/Capital Injections Drawn</w:t>
            </w:r>
          </w:p>
        </w:tc>
        <w:tc>
          <w:tcPr>
            <w:tcW w:w="4361" w:type="dxa"/>
            <w:gridSpan w:val="2"/>
          </w:tcPr>
          <w:p w:rsidR="006C17CB" w:rsidRDefault="0030091C">
            <w:pPr>
              <w:pStyle w:val="TableParagraph"/>
              <w:tabs>
                <w:tab w:val="left" w:pos="3896"/>
              </w:tabs>
              <w:spacing w:line="251" w:lineRule="exact"/>
              <w:ind w:left="1758"/>
              <w:jc w:val="left"/>
              <w:rPr>
                <w:sz w:val="20"/>
              </w:rPr>
            </w:pPr>
            <w:r>
              <w:rPr>
                <w:color w:val="003366"/>
                <w:sz w:val="20"/>
              </w:rPr>
              <w:t>9,090</w:t>
            </w:r>
            <w:r>
              <w:rPr>
                <w:color w:val="003366"/>
                <w:sz w:val="20"/>
              </w:rPr>
              <w:tab/>
              <w:t>149</w:t>
            </w:r>
          </w:p>
        </w:tc>
      </w:tr>
    </w:tbl>
    <w:p w:rsidR="006C17CB" w:rsidRDefault="00FE24A7">
      <w:pPr>
        <w:spacing w:before="110" w:line="204" w:lineRule="auto"/>
        <w:ind w:left="829" w:right="1517"/>
        <w:jc w:val="both"/>
        <w:rPr>
          <w:rFonts w:ascii="Calibri"/>
          <w:sz w:val="20"/>
        </w:rPr>
      </w:pPr>
      <w:r>
        <w:pict>
          <v:group id="_x0000_s1415" alt="" style="position:absolute;left:0;text-align:left;margin-left:316.1pt;margin-top:-1.45pt;width:208.45pt;height:1.45pt;z-index:2080;mso-position-horizontal-relative:page;mso-position-vertical-relative:text" coordorigin="6322,-29" coordsize="4169,29">
            <v:line id="_x0000_s1416" alt="" style="position:absolute" from="6322,-24" to="8506,-24" strokeweight=".16969mm"/>
            <v:line id="_x0000_s1417" alt="" style="position:absolute" from="6322,-5" to="8506,-5" strokeweight=".48pt"/>
            <v:shape id="_x0000_s1418" alt="" style="position:absolute;left:8505;top:-30;width:29;height:29" coordorigin="8506,-29" coordsize="29,29" o:spt="100" adj="0,,0" path="m8534,-10r-28,l8506,r28,l8534,-10t,-19l8506,-29r,10l8534,-19r,-10e" fillcolor="black" stroked="f">
              <v:stroke joinstyle="round"/>
              <v:formulas/>
              <v:path arrowok="t" o:connecttype="segments"/>
            </v:shape>
            <v:line id="_x0000_s1419" alt="" style="position:absolute" from="8534,-24" to="10490,-24" strokeweight=".16969mm"/>
            <v:line id="_x0000_s1420" alt="" style="position:absolute" from="8534,-5" to="10490,-5" strokeweight=".48pt"/>
            <w10:wrap anchorx="page"/>
          </v:group>
        </w:pict>
      </w:r>
      <w:r w:rsidR="0030091C">
        <w:rPr>
          <w:rFonts w:ascii="Calibri"/>
          <w:color w:val="003366"/>
          <w:position w:val="7"/>
          <w:sz w:val="13"/>
        </w:rPr>
        <w:t xml:space="preserve">1 </w:t>
      </w:r>
      <w:r w:rsidR="0030091C">
        <w:rPr>
          <w:rFonts w:ascii="Calibri"/>
          <w:color w:val="003366"/>
          <w:sz w:val="20"/>
        </w:rPr>
        <w:t>The total appropriated for controlled recurrent payments was $190,000 higher than the original budget due to the receipt of $220,000 from the Territorial entity relating to administrative on-costs that was incorrectly</w:t>
      </w:r>
      <w:r w:rsidR="0030091C">
        <w:rPr>
          <w:rFonts w:ascii="Calibri"/>
          <w:color w:val="003366"/>
          <w:spacing w:val="-11"/>
          <w:sz w:val="20"/>
        </w:rPr>
        <w:t xml:space="preserve"> </w:t>
      </w:r>
      <w:r w:rsidR="0030091C">
        <w:rPr>
          <w:rFonts w:ascii="Calibri"/>
          <w:color w:val="003366"/>
          <w:sz w:val="20"/>
        </w:rPr>
        <w:t>included</w:t>
      </w:r>
      <w:r w:rsidR="0030091C">
        <w:rPr>
          <w:rFonts w:ascii="Calibri"/>
          <w:color w:val="003366"/>
          <w:spacing w:val="-11"/>
          <w:sz w:val="20"/>
        </w:rPr>
        <w:t xml:space="preserve"> </w:t>
      </w:r>
      <w:r w:rsidR="0030091C">
        <w:rPr>
          <w:rFonts w:ascii="Calibri"/>
          <w:color w:val="003366"/>
          <w:sz w:val="20"/>
        </w:rPr>
        <w:t>in</w:t>
      </w:r>
      <w:r w:rsidR="0030091C">
        <w:rPr>
          <w:rFonts w:ascii="Calibri"/>
          <w:color w:val="003366"/>
          <w:spacing w:val="-11"/>
          <w:sz w:val="20"/>
        </w:rPr>
        <w:t xml:space="preserve"> </w:t>
      </w:r>
      <w:r w:rsidR="0030091C">
        <w:rPr>
          <w:rFonts w:ascii="Calibri"/>
          <w:color w:val="003366"/>
          <w:sz w:val="20"/>
        </w:rPr>
        <w:t>Expenses</w:t>
      </w:r>
      <w:r w:rsidR="0030091C">
        <w:rPr>
          <w:rFonts w:ascii="Calibri"/>
          <w:color w:val="003366"/>
          <w:spacing w:val="-12"/>
          <w:sz w:val="20"/>
        </w:rPr>
        <w:t xml:space="preserve"> </w:t>
      </w:r>
      <w:r w:rsidR="0030091C">
        <w:rPr>
          <w:rFonts w:ascii="Calibri"/>
          <w:color w:val="003366"/>
          <w:sz w:val="20"/>
        </w:rPr>
        <w:t>on</w:t>
      </w:r>
      <w:r w:rsidR="0030091C">
        <w:rPr>
          <w:rFonts w:ascii="Calibri"/>
          <w:color w:val="003366"/>
          <w:spacing w:val="-11"/>
          <w:sz w:val="20"/>
        </w:rPr>
        <w:t xml:space="preserve"> </w:t>
      </w:r>
      <w:r w:rsidR="0030091C">
        <w:rPr>
          <w:rFonts w:ascii="Calibri"/>
          <w:color w:val="003366"/>
          <w:sz w:val="20"/>
        </w:rPr>
        <w:t>Behalf</w:t>
      </w:r>
      <w:r w:rsidR="0030091C">
        <w:rPr>
          <w:rFonts w:ascii="Calibri"/>
          <w:color w:val="003366"/>
          <w:spacing w:val="-12"/>
          <w:sz w:val="20"/>
        </w:rPr>
        <w:t xml:space="preserve"> </w:t>
      </w:r>
      <w:r w:rsidR="0030091C">
        <w:rPr>
          <w:rFonts w:ascii="Calibri"/>
          <w:color w:val="003366"/>
          <w:sz w:val="20"/>
        </w:rPr>
        <w:t>of</w:t>
      </w:r>
      <w:r w:rsidR="0030091C">
        <w:rPr>
          <w:rFonts w:ascii="Calibri"/>
          <w:color w:val="003366"/>
          <w:spacing w:val="-12"/>
          <w:sz w:val="20"/>
        </w:rPr>
        <w:t xml:space="preserve"> </w:t>
      </w:r>
      <w:r w:rsidR="0030091C">
        <w:rPr>
          <w:rFonts w:ascii="Calibri"/>
          <w:color w:val="003366"/>
          <w:sz w:val="20"/>
        </w:rPr>
        <w:t>the</w:t>
      </w:r>
      <w:r w:rsidR="0030091C">
        <w:rPr>
          <w:rFonts w:ascii="Calibri"/>
          <w:color w:val="003366"/>
          <w:spacing w:val="-12"/>
          <w:sz w:val="20"/>
        </w:rPr>
        <w:t xml:space="preserve"> </w:t>
      </w:r>
      <w:r w:rsidR="0030091C">
        <w:rPr>
          <w:rFonts w:ascii="Calibri"/>
          <w:color w:val="003366"/>
          <w:sz w:val="20"/>
        </w:rPr>
        <w:t>Territory,</w:t>
      </w:r>
      <w:r w:rsidR="0030091C">
        <w:rPr>
          <w:rFonts w:ascii="Calibri"/>
          <w:color w:val="003366"/>
          <w:spacing w:val="-11"/>
          <w:sz w:val="20"/>
        </w:rPr>
        <w:t xml:space="preserve"> </w:t>
      </w:r>
      <w:r w:rsidR="0030091C">
        <w:rPr>
          <w:rFonts w:ascii="Calibri"/>
          <w:color w:val="003366"/>
          <w:sz w:val="20"/>
        </w:rPr>
        <w:t>partially</w:t>
      </w:r>
      <w:r w:rsidR="0030091C">
        <w:rPr>
          <w:rFonts w:ascii="Calibri"/>
          <w:color w:val="003366"/>
          <w:spacing w:val="-11"/>
          <w:sz w:val="20"/>
        </w:rPr>
        <w:t xml:space="preserve"> </w:t>
      </w:r>
      <w:r w:rsidR="0030091C">
        <w:rPr>
          <w:rFonts w:ascii="Calibri"/>
          <w:color w:val="003366"/>
          <w:sz w:val="20"/>
        </w:rPr>
        <w:t>offset</w:t>
      </w:r>
      <w:r w:rsidR="0030091C">
        <w:rPr>
          <w:rFonts w:ascii="Calibri"/>
          <w:color w:val="003366"/>
          <w:spacing w:val="-11"/>
          <w:sz w:val="20"/>
        </w:rPr>
        <w:t xml:space="preserve"> </w:t>
      </w:r>
      <w:r w:rsidR="0030091C">
        <w:rPr>
          <w:rFonts w:ascii="Calibri"/>
          <w:color w:val="003366"/>
          <w:sz w:val="20"/>
        </w:rPr>
        <w:t>by</w:t>
      </w:r>
      <w:r w:rsidR="0030091C">
        <w:rPr>
          <w:rFonts w:ascii="Calibri"/>
          <w:color w:val="003366"/>
          <w:spacing w:val="-11"/>
          <w:sz w:val="20"/>
        </w:rPr>
        <w:t xml:space="preserve"> </w:t>
      </w:r>
      <w:r w:rsidR="0030091C">
        <w:rPr>
          <w:rFonts w:ascii="Calibri"/>
          <w:color w:val="003366"/>
          <w:sz w:val="20"/>
        </w:rPr>
        <w:t>$30,000</w:t>
      </w:r>
      <w:r w:rsidR="0030091C">
        <w:rPr>
          <w:rFonts w:ascii="Calibri"/>
          <w:color w:val="003366"/>
          <w:spacing w:val="-11"/>
          <w:sz w:val="20"/>
        </w:rPr>
        <w:t xml:space="preserve"> </w:t>
      </w:r>
      <w:r w:rsidR="0030091C">
        <w:rPr>
          <w:rFonts w:ascii="Calibri"/>
          <w:color w:val="003366"/>
          <w:sz w:val="20"/>
        </w:rPr>
        <w:t>transferred</w:t>
      </w:r>
      <w:r w:rsidR="0030091C">
        <w:rPr>
          <w:rFonts w:ascii="Calibri"/>
          <w:color w:val="003366"/>
          <w:spacing w:val="-11"/>
          <w:sz w:val="20"/>
        </w:rPr>
        <w:t xml:space="preserve"> </w:t>
      </w:r>
      <w:r w:rsidR="0030091C">
        <w:rPr>
          <w:rFonts w:ascii="Calibri"/>
          <w:color w:val="003366"/>
          <w:sz w:val="20"/>
        </w:rPr>
        <w:t>to</w:t>
      </w:r>
      <w:r w:rsidR="0030091C">
        <w:rPr>
          <w:rFonts w:ascii="Calibri"/>
          <w:color w:val="003366"/>
          <w:spacing w:val="-11"/>
          <w:sz w:val="20"/>
        </w:rPr>
        <w:t xml:space="preserve"> </w:t>
      </w:r>
      <w:r w:rsidR="0030091C">
        <w:rPr>
          <w:rFonts w:ascii="Calibri"/>
          <w:color w:val="003366"/>
          <w:sz w:val="20"/>
        </w:rPr>
        <w:t>capital injections</w:t>
      </w:r>
      <w:r w:rsidR="0030091C">
        <w:rPr>
          <w:rFonts w:ascii="Calibri"/>
          <w:color w:val="003366"/>
          <w:spacing w:val="-15"/>
          <w:sz w:val="20"/>
        </w:rPr>
        <w:t xml:space="preserve"> </w:t>
      </w:r>
      <w:r w:rsidR="0030091C">
        <w:rPr>
          <w:rFonts w:ascii="Calibri"/>
          <w:color w:val="003366"/>
          <w:sz w:val="20"/>
        </w:rPr>
        <w:t>for</w:t>
      </w:r>
      <w:r w:rsidR="0030091C">
        <w:rPr>
          <w:rFonts w:ascii="Calibri"/>
          <w:color w:val="003366"/>
          <w:spacing w:val="-14"/>
          <w:sz w:val="20"/>
        </w:rPr>
        <w:t xml:space="preserve"> </w:t>
      </w:r>
      <w:r w:rsidR="0030091C">
        <w:rPr>
          <w:rFonts w:ascii="Calibri"/>
          <w:color w:val="003366"/>
          <w:sz w:val="20"/>
        </w:rPr>
        <w:t>artwork</w:t>
      </w:r>
      <w:r w:rsidR="0030091C">
        <w:rPr>
          <w:rFonts w:ascii="Calibri"/>
          <w:color w:val="003366"/>
          <w:spacing w:val="-13"/>
          <w:sz w:val="20"/>
        </w:rPr>
        <w:t xml:space="preserve"> </w:t>
      </w:r>
      <w:r w:rsidR="0030091C">
        <w:rPr>
          <w:rFonts w:ascii="Calibri"/>
          <w:color w:val="003366"/>
          <w:sz w:val="20"/>
        </w:rPr>
        <w:t>acquisitions.</w:t>
      </w:r>
      <w:r w:rsidR="0030091C">
        <w:rPr>
          <w:rFonts w:ascii="Calibri"/>
          <w:color w:val="003366"/>
          <w:spacing w:val="-14"/>
          <w:sz w:val="20"/>
        </w:rPr>
        <w:t xml:space="preserve"> </w:t>
      </w:r>
      <w:r w:rsidR="0030091C">
        <w:rPr>
          <w:rFonts w:ascii="Calibri"/>
          <w:color w:val="003366"/>
          <w:sz w:val="20"/>
        </w:rPr>
        <w:t>These</w:t>
      </w:r>
      <w:r w:rsidR="0030091C">
        <w:rPr>
          <w:rFonts w:ascii="Calibri"/>
          <w:color w:val="003366"/>
          <w:spacing w:val="-14"/>
          <w:sz w:val="20"/>
        </w:rPr>
        <w:t xml:space="preserve"> </w:t>
      </w:r>
      <w:r w:rsidR="0030091C">
        <w:rPr>
          <w:rFonts w:ascii="Calibri"/>
          <w:color w:val="003366"/>
          <w:sz w:val="20"/>
        </w:rPr>
        <w:t>transfers</w:t>
      </w:r>
      <w:r w:rsidR="0030091C">
        <w:rPr>
          <w:rFonts w:ascii="Calibri"/>
          <w:color w:val="003366"/>
          <w:spacing w:val="-15"/>
          <w:sz w:val="20"/>
        </w:rPr>
        <w:t xml:space="preserve"> </w:t>
      </w:r>
      <w:r w:rsidR="0030091C">
        <w:rPr>
          <w:rFonts w:ascii="Calibri"/>
          <w:color w:val="003366"/>
          <w:sz w:val="20"/>
        </w:rPr>
        <w:t>of</w:t>
      </w:r>
      <w:r w:rsidR="0030091C">
        <w:rPr>
          <w:rFonts w:ascii="Calibri"/>
          <w:color w:val="003366"/>
          <w:spacing w:val="-12"/>
          <w:sz w:val="20"/>
        </w:rPr>
        <w:t xml:space="preserve"> </w:t>
      </w:r>
      <w:r w:rsidR="0030091C">
        <w:rPr>
          <w:rFonts w:ascii="Calibri"/>
          <w:color w:val="003366"/>
          <w:sz w:val="20"/>
        </w:rPr>
        <w:t>funds</w:t>
      </w:r>
      <w:r w:rsidR="0030091C">
        <w:rPr>
          <w:rFonts w:ascii="Calibri"/>
          <w:color w:val="003366"/>
          <w:spacing w:val="-15"/>
          <w:sz w:val="20"/>
        </w:rPr>
        <w:t xml:space="preserve"> </w:t>
      </w:r>
      <w:r w:rsidR="0030091C">
        <w:rPr>
          <w:rFonts w:ascii="Calibri"/>
          <w:color w:val="003366"/>
          <w:sz w:val="20"/>
        </w:rPr>
        <w:t>were</w:t>
      </w:r>
      <w:r w:rsidR="0030091C">
        <w:rPr>
          <w:rFonts w:ascii="Calibri"/>
          <w:color w:val="003366"/>
          <w:spacing w:val="-14"/>
          <w:sz w:val="20"/>
        </w:rPr>
        <w:t xml:space="preserve"> </w:t>
      </w:r>
      <w:r w:rsidR="0030091C">
        <w:rPr>
          <w:rFonts w:ascii="Calibri"/>
          <w:color w:val="003366"/>
          <w:sz w:val="20"/>
        </w:rPr>
        <w:t>approved</w:t>
      </w:r>
      <w:r w:rsidR="0030091C">
        <w:rPr>
          <w:rFonts w:ascii="Calibri"/>
          <w:color w:val="003366"/>
          <w:spacing w:val="-13"/>
          <w:sz w:val="20"/>
        </w:rPr>
        <w:t xml:space="preserve"> </w:t>
      </w:r>
      <w:r w:rsidR="0030091C">
        <w:rPr>
          <w:rFonts w:ascii="Calibri"/>
          <w:color w:val="003366"/>
          <w:sz w:val="20"/>
        </w:rPr>
        <w:t>by</w:t>
      </w:r>
      <w:r w:rsidR="0030091C">
        <w:rPr>
          <w:rFonts w:ascii="Calibri"/>
          <w:color w:val="003366"/>
          <w:spacing w:val="-13"/>
          <w:sz w:val="20"/>
        </w:rPr>
        <w:t xml:space="preserve"> </w:t>
      </w:r>
      <w:r w:rsidR="0030091C">
        <w:rPr>
          <w:rFonts w:ascii="Calibri"/>
          <w:color w:val="003366"/>
          <w:sz w:val="20"/>
        </w:rPr>
        <w:t>the</w:t>
      </w:r>
      <w:r w:rsidR="0030091C">
        <w:rPr>
          <w:rFonts w:ascii="Calibri"/>
          <w:color w:val="003366"/>
          <w:spacing w:val="-15"/>
          <w:sz w:val="20"/>
        </w:rPr>
        <w:t xml:space="preserve"> </w:t>
      </w:r>
      <w:r w:rsidR="0030091C">
        <w:rPr>
          <w:rFonts w:ascii="Calibri"/>
          <w:color w:val="003366"/>
          <w:sz w:val="20"/>
        </w:rPr>
        <w:t>Treasurer</w:t>
      </w:r>
      <w:r w:rsidR="0030091C">
        <w:rPr>
          <w:rFonts w:ascii="Calibri"/>
          <w:color w:val="003366"/>
          <w:spacing w:val="-14"/>
          <w:sz w:val="20"/>
        </w:rPr>
        <w:t xml:space="preserve"> </w:t>
      </w:r>
      <w:r w:rsidR="0030091C">
        <w:rPr>
          <w:rFonts w:ascii="Calibri"/>
          <w:color w:val="003366"/>
          <w:sz w:val="20"/>
        </w:rPr>
        <w:t>and</w:t>
      </w:r>
      <w:r w:rsidR="0030091C">
        <w:rPr>
          <w:rFonts w:ascii="Calibri"/>
          <w:color w:val="003366"/>
          <w:spacing w:val="-13"/>
          <w:sz w:val="20"/>
        </w:rPr>
        <w:t xml:space="preserve"> </w:t>
      </w:r>
      <w:r w:rsidR="0030091C">
        <w:rPr>
          <w:rFonts w:ascii="Calibri"/>
          <w:color w:val="003366"/>
          <w:sz w:val="20"/>
        </w:rPr>
        <w:t xml:space="preserve">processed under Section 14 and Section 14B of the </w:t>
      </w:r>
      <w:r w:rsidR="0030091C">
        <w:rPr>
          <w:rFonts w:ascii="Calibri"/>
          <w:i/>
          <w:color w:val="003366"/>
          <w:sz w:val="20"/>
        </w:rPr>
        <w:t xml:space="preserve">Financial Management Act 1996 </w:t>
      </w:r>
      <w:r w:rsidR="0030091C">
        <w:rPr>
          <w:rFonts w:ascii="Calibri"/>
          <w:color w:val="003366"/>
          <w:sz w:val="20"/>
        </w:rPr>
        <w:t>(FMA)</w:t>
      </w:r>
      <w:r w:rsidR="0030091C">
        <w:rPr>
          <w:rFonts w:ascii="Calibri"/>
          <w:color w:val="003366"/>
          <w:spacing w:val="-16"/>
          <w:sz w:val="20"/>
        </w:rPr>
        <w:t xml:space="preserve"> </w:t>
      </w:r>
      <w:r w:rsidR="0030091C">
        <w:rPr>
          <w:rFonts w:ascii="Calibri"/>
          <w:color w:val="003366"/>
          <w:sz w:val="20"/>
        </w:rPr>
        <w:t>respectively.</w:t>
      </w:r>
    </w:p>
    <w:p w:rsidR="006C17CB" w:rsidRDefault="0030091C">
      <w:pPr>
        <w:spacing w:before="116" w:line="204" w:lineRule="auto"/>
        <w:ind w:left="829" w:right="1523" w:hanging="1"/>
        <w:jc w:val="both"/>
        <w:rPr>
          <w:rFonts w:ascii="Calibri"/>
          <w:sz w:val="20"/>
        </w:rPr>
      </w:pPr>
      <w:r>
        <w:rPr>
          <w:rFonts w:ascii="Calibri"/>
          <w:color w:val="003366"/>
          <w:position w:val="7"/>
          <w:sz w:val="13"/>
        </w:rPr>
        <w:t xml:space="preserve">2 </w:t>
      </w:r>
      <w:r>
        <w:rPr>
          <w:rFonts w:ascii="Calibri"/>
          <w:color w:val="003366"/>
          <w:sz w:val="20"/>
        </w:rPr>
        <w:t>The total appropriated for capital injections was $166,000 higher than the original budget due to the carryover of funding from 2016-17 of $122,000 for the Procedural Document Production System and</w:t>
      </w:r>
    </w:p>
    <w:p w:rsidR="006C17CB" w:rsidRDefault="0030091C">
      <w:pPr>
        <w:spacing w:line="204" w:lineRule="auto"/>
        <w:ind w:left="830" w:right="1522" w:hanging="1"/>
        <w:jc w:val="both"/>
        <w:rPr>
          <w:rFonts w:ascii="Calibri"/>
          <w:sz w:val="20"/>
        </w:rPr>
      </w:pPr>
      <w:r>
        <w:rPr>
          <w:rFonts w:ascii="Calibri"/>
          <w:color w:val="003366"/>
          <w:sz w:val="20"/>
        </w:rPr>
        <w:t>$44,000</w:t>
      </w:r>
      <w:r>
        <w:rPr>
          <w:rFonts w:ascii="Calibri"/>
          <w:color w:val="003366"/>
          <w:spacing w:val="-7"/>
          <w:sz w:val="20"/>
        </w:rPr>
        <w:t xml:space="preserve"> </w:t>
      </w:r>
      <w:r>
        <w:rPr>
          <w:rFonts w:ascii="Calibri"/>
          <w:color w:val="003366"/>
          <w:sz w:val="20"/>
        </w:rPr>
        <w:t>for</w:t>
      </w:r>
      <w:r>
        <w:rPr>
          <w:rFonts w:ascii="Calibri"/>
          <w:color w:val="003366"/>
          <w:spacing w:val="-9"/>
          <w:sz w:val="20"/>
        </w:rPr>
        <w:t xml:space="preserve"> </w:t>
      </w:r>
      <w:r>
        <w:rPr>
          <w:rFonts w:ascii="Calibri"/>
          <w:color w:val="003366"/>
          <w:sz w:val="20"/>
        </w:rPr>
        <w:t>the</w:t>
      </w:r>
      <w:r>
        <w:rPr>
          <w:rFonts w:ascii="Calibri"/>
          <w:color w:val="003366"/>
          <w:spacing w:val="-10"/>
          <w:sz w:val="20"/>
        </w:rPr>
        <w:t xml:space="preserve"> </w:t>
      </w:r>
      <w:r>
        <w:rPr>
          <w:rFonts w:ascii="Calibri"/>
          <w:color w:val="003366"/>
          <w:sz w:val="20"/>
        </w:rPr>
        <w:t>Upgrade</w:t>
      </w:r>
      <w:r>
        <w:rPr>
          <w:rFonts w:ascii="Calibri"/>
          <w:color w:val="003366"/>
          <w:spacing w:val="-10"/>
          <w:sz w:val="20"/>
        </w:rPr>
        <w:t xml:space="preserve"> </w:t>
      </w:r>
      <w:r>
        <w:rPr>
          <w:rFonts w:ascii="Calibri"/>
          <w:color w:val="003366"/>
          <w:sz w:val="20"/>
        </w:rPr>
        <w:t>and</w:t>
      </w:r>
      <w:r>
        <w:rPr>
          <w:rFonts w:ascii="Calibri"/>
          <w:color w:val="003366"/>
          <w:spacing w:val="-8"/>
          <w:sz w:val="20"/>
        </w:rPr>
        <w:t xml:space="preserve"> </w:t>
      </w:r>
      <w:r>
        <w:rPr>
          <w:rFonts w:ascii="Calibri"/>
          <w:color w:val="003366"/>
          <w:sz w:val="20"/>
        </w:rPr>
        <w:t>Expansion</w:t>
      </w:r>
      <w:r>
        <w:rPr>
          <w:rFonts w:ascii="Calibri"/>
          <w:color w:val="003366"/>
          <w:spacing w:val="-8"/>
          <w:sz w:val="20"/>
        </w:rPr>
        <w:t xml:space="preserve"> </w:t>
      </w:r>
      <w:r>
        <w:rPr>
          <w:rFonts w:ascii="Calibri"/>
          <w:color w:val="003366"/>
          <w:sz w:val="20"/>
        </w:rPr>
        <w:t>of</w:t>
      </w:r>
      <w:r>
        <w:rPr>
          <w:rFonts w:ascii="Calibri"/>
          <w:color w:val="003366"/>
          <w:spacing w:val="-10"/>
          <w:sz w:val="20"/>
        </w:rPr>
        <w:t xml:space="preserve"> </w:t>
      </w:r>
      <w:r>
        <w:rPr>
          <w:rFonts w:ascii="Calibri"/>
          <w:color w:val="003366"/>
          <w:sz w:val="20"/>
        </w:rPr>
        <w:t>the</w:t>
      </w:r>
      <w:r>
        <w:rPr>
          <w:rFonts w:ascii="Calibri"/>
          <w:color w:val="003366"/>
          <w:spacing w:val="-10"/>
          <w:sz w:val="20"/>
        </w:rPr>
        <w:t xml:space="preserve"> </w:t>
      </w:r>
      <w:r>
        <w:rPr>
          <w:rFonts w:ascii="Calibri"/>
          <w:color w:val="003366"/>
          <w:sz w:val="20"/>
        </w:rPr>
        <w:t>Audio</w:t>
      </w:r>
      <w:r>
        <w:rPr>
          <w:rFonts w:ascii="Calibri"/>
          <w:color w:val="003366"/>
          <w:spacing w:val="-8"/>
          <w:sz w:val="20"/>
        </w:rPr>
        <w:t xml:space="preserve"> </w:t>
      </w:r>
      <w:r>
        <w:rPr>
          <w:rFonts w:ascii="Calibri"/>
          <w:color w:val="003366"/>
          <w:sz w:val="20"/>
        </w:rPr>
        <w:t>System</w:t>
      </w:r>
      <w:r>
        <w:rPr>
          <w:rFonts w:ascii="Calibri"/>
          <w:color w:val="003366"/>
          <w:spacing w:val="-9"/>
          <w:sz w:val="20"/>
        </w:rPr>
        <w:t xml:space="preserve"> </w:t>
      </w:r>
      <w:r>
        <w:rPr>
          <w:rFonts w:ascii="Calibri"/>
          <w:color w:val="003366"/>
          <w:sz w:val="20"/>
        </w:rPr>
        <w:t>approved</w:t>
      </w:r>
      <w:r>
        <w:rPr>
          <w:rFonts w:ascii="Calibri"/>
          <w:color w:val="003366"/>
          <w:spacing w:val="-8"/>
          <w:sz w:val="20"/>
        </w:rPr>
        <w:t xml:space="preserve"> </w:t>
      </w:r>
      <w:r>
        <w:rPr>
          <w:rFonts w:ascii="Calibri"/>
          <w:color w:val="003366"/>
          <w:sz w:val="20"/>
        </w:rPr>
        <w:t>by</w:t>
      </w:r>
      <w:r>
        <w:rPr>
          <w:rFonts w:ascii="Calibri"/>
          <w:color w:val="003366"/>
          <w:spacing w:val="-8"/>
          <w:sz w:val="20"/>
        </w:rPr>
        <w:t xml:space="preserve"> </w:t>
      </w:r>
      <w:r>
        <w:rPr>
          <w:rFonts w:ascii="Calibri"/>
          <w:color w:val="003366"/>
          <w:sz w:val="20"/>
        </w:rPr>
        <w:t>the</w:t>
      </w:r>
      <w:r>
        <w:rPr>
          <w:rFonts w:ascii="Calibri"/>
          <w:color w:val="003366"/>
          <w:spacing w:val="-10"/>
          <w:sz w:val="20"/>
        </w:rPr>
        <w:t xml:space="preserve"> </w:t>
      </w:r>
      <w:r>
        <w:rPr>
          <w:rFonts w:ascii="Calibri"/>
          <w:color w:val="003366"/>
          <w:sz w:val="20"/>
        </w:rPr>
        <w:t>Treasurer</w:t>
      </w:r>
      <w:r>
        <w:rPr>
          <w:rFonts w:ascii="Calibri"/>
          <w:color w:val="003366"/>
          <w:spacing w:val="-5"/>
          <w:sz w:val="20"/>
        </w:rPr>
        <w:t xml:space="preserve"> </w:t>
      </w:r>
      <w:r>
        <w:rPr>
          <w:rFonts w:ascii="Calibri"/>
          <w:color w:val="003366"/>
          <w:sz w:val="20"/>
        </w:rPr>
        <w:t>under</w:t>
      </w:r>
      <w:r>
        <w:rPr>
          <w:rFonts w:ascii="Calibri"/>
          <w:color w:val="003366"/>
          <w:spacing w:val="-8"/>
          <w:sz w:val="20"/>
        </w:rPr>
        <w:t xml:space="preserve"> </w:t>
      </w:r>
      <w:r>
        <w:rPr>
          <w:rFonts w:ascii="Calibri"/>
          <w:color w:val="003366"/>
          <w:sz w:val="20"/>
        </w:rPr>
        <w:t>Section</w:t>
      </w:r>
      <w:r>
        <w:rPr>
          <w:rFonts w:ascii="Calibri"/>
          <w:color w:val="003366"/>
          <w:spacing w:val="-3"/>
          <w:sz w:val="20"/>
        </w:rPr>
        <w:t xml:space="preserve"> </w:t>
      </w:r>
      <w:r>
        <w:rPr>
          <w:rFonts w:ascii="Calibri"/>
          <w:color w:val="003366"/>
          <w:sz w:val="20"/>
        </w:rPr>
        <w:t>16B of the</w:t>
      </w:r>
      <w:r>
        <w:rPr>
          <w:rFonts w:ascii="Calibri"/>
          <w:color w:val="003366"/>
          <w:spacing w:val="-3"/>
          <w:sz w:val="20"/>
        </w:rPr>
        <w:t xml:space="preserve"> </w:t>
      </w:r>
      <w:r>
        <w:rPr>
          <w:rFonts w:ascii="Calibri"/>
          <w:color w:val="003366"/>
          <w:sz w:val="20"/>
        </w:rPr>
        <w:t>FMA.</w:t>
      </w:r>
    </w:p>
    <w:p w:rsidR="006C17CB" w:rsidRDefault="0030091C">
      <w:pPr>
        <w:spacing w:before="117" w:line="204" w:lineRule="auto"/>
        <w:ind w:left="829" w:right="1520" w:hanging="1"/>
        <w:jc w:val="both"/>
        <w:rPr>
          <w:rFonts w:ascii="Calibri"/>
          <w:sz w:val="20"/>
        </w:rPr>
      </w:pPr>
      <w:r>
        <w:rPr>
          <w:rFonts w:ascii="Calibri"/>
          <w:color w:val="003366"/>
          <w:position w:val="7"/>
          <w:sz w:val="13"/>
        </w:rPr>
        <w:t xml:space="preserve">3 </w:t>
      </w:r>
      <w:r>
        <w:rPr>
          <w:rFonts w:ascii="Calibri"/>
          <w:color w:val="003366"/>
          <w:sz w:val="20"/>
        </w:rPr>
        <w:t>The appropriation drawn for capital injections was $52,000 less than the total appropriated due to ongoing delays with the development and testing of the Procedural Document Production System.</w:t>
      </w:r>
    </w:p>
    <w:p w:rsidR="006C17CB" w:rsidRDefault="006C17CB">
      <w:pPr>
        <w:spacing w:line="204" w:lineRule="auto"/>
        <w:jc w:val="both"/>
        <w:rPr>
          <w:rFonts w:ascii="Calibri"/>
          <w:sz w:val="20"/>
        </w:rPr>
        <w:sectPr w:rsidR="006C17CB">
          <w:pgSz w:w="11910" w:h="16840"/>
          <w:pgMar w:top="1460" w:right="0" w:bottom="740" w:left="980" w:header="1189" w:footer="551" w:gutter="0"/>
          <w:cols w:space="720"/>
        </w:sectPr>
      </w:pPr>
    </w:p>
    <w:p w:rsidR="006C17CB" w:rsidRDefault="0030091C">
      <w:pPr>
        <w:pStyle w:val="Heading5"/>
        <w:spacing w:line="204" w:lineRule="auto"/>
        <w:ind w:left="3222" w:right="2888" w:hanging="1013"/>
      </w:pPr>
      <w:r>
        <w:rPr>
          <w:color w:val="003366"/>
        </w:rPr>
        <w:t>Controlled Note Index of the Financial Statements For the Year Ended 30 June 2018</w:t>
      </w:r>
    </w:p>
    <w:p w:rsidR="006C17CB" w:rsidRDefault="0030091C">
      <w:pPr>
        <w:tabs>
          <w:tab w:val="left" w:pos="3289"/>
        </w:tabs>
        <w:spacing w:before="238" w:line="287"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1</w:t>
      </w:r>
      <w:r>
        <w:rPr>
          <w:rFonts w:ascii="Calibri"/>
          <w:color w:val="003366"/>
          <w:sz w:val="20"/>
        </w:rPr>
        <w:tab/>
        <w:t>Objectives of the Office of the Legislative</w:t>
      </w:r>
      <w:r>
        <w:rPr>
          <w:rFonts w:ascii="Calibri"/>
          <w:color w:val="003366"/>
          <w:spacing w:val="-3"/>
          <w:sz w:val="20"/>
        </w:rPr>
        <w:t xml:space="preserve"> </w:t>
      </w:r>
      <w:r>
        <w:rPr>
          <w:rFonts w:ascii="Calibri"/>
          <w:color w:val="003366"/>
          <w:sz w:val="20"/>
        </w:rPr>
        <w:t>Assembly</w:t>
      </w:r>
    </w:p>
    <w:p w:rsidR="006C17CB" w:rsidRDefault="0030091C">
      <w:pPr>
        <w:tabs>
          <w:tab w:val="left" w:pos="3289"/>
        </w:tabs>
        <w:spacing w:line="287"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2</w:t>
      </w:r>
      <w:r>
        <w:rPr>
          <w:rFonts w:ascii="Calibri"/>
          <w:color w:val="003366"/>
          <w:sz w:val="20"/>
        </w:rPr>
        <w:tab/>
        <w:t>Basis of Preparation of the Financial</w:t>
      </w:r>
      <w:r>
        <w:rPr>
          <w:rFonts w:ascii="Calibri"/>
          <w:color w:val="003366"/>
          <w:spacing w:val="-5"/>
          <w:sz w:val="20"/>
        </w:rPr>
        <w:t xml:space="preserve"> </w:t>
      </w:r>
      <w:r>
        <w:rPr>
          <w:rFonts w:ascii="Calibri"/>
          <w:color w:val="003366"/>
          <w:sz w:val="20"/>
        </w:rPr>
        <w:t>Statements</w:t>
      </w:r>
    </w:p>
    <w:p w:rsidR="006C17CB" w:rsidRDefault="006C17CB">
      <w:pPr>
        <w:pStyle w:val="BodyText"/>
        <w:spacing w:before="4"/>
        <w:rPr>
          <w:rFonts w:ascii="Calibri"/>
          <w:sz w:val="19"/>
        </w:rPr>
      </w:pPr>
    </w:p>
    <w:p w:rsidR="006C17CB" w:rsidRDefault="0030091C">
      <w:pPr>
        <w:spacing w:line="287" w:lineRule="exact"/>
        <w:ind w:left="968" w:right="6924"/>
        <w:jc w:val="center"/>
        <w:rPr>
          <w:rFonts w:ascii="Calibri"/>
          <w:b/>
          <w:sz w:val="20"/>
        </w:rPr>
      </w:pPr>
      <w:r>
        <w:rPr>
          <w:rFonts w:ascii="Calibri"/>
          <w:b/>
          <w:color w:val="003366"/>
          <w:sz w:val="20"/>
        </w:rPr>
        <w:t>Income Notes</w:t>
      </w:r>
    </w:p>
    <w:p w:rsidR="006C17CB" w:rsidRDefault="0030091C">
      <w:pPr>
        <w:tabs>
          <w:tab w:val="left" w:pos="3289"/>
        </w:tabs>
        <w:spacing w:line="284"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3</w:t>
      </w:r>
      <w:r>
        <w:rPr>
          <w:rFonts w:ascii="Calibri"/>
          <w:color w:val="003366"/>
          <w:sz w:val="20"/>
        </w:rPr>
        <w:tab/>
        <w:t>Controlled Recurrent Payments</w:t>
      </w:r>
    </w:p>
    <w:p w:rsidR="006C17CB" w:rsidRDefault="0030091C">
      <w:pPr>
        <w:tabs>
          <w:tab w:val="left" w:pos="3289"/>
        </w:tabs>
        <w:spacing w:line="286"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4</w:t>
      </w:r>
      <w:r>
        <w:rPr>
          <w:rFonts w:ascii="Calibri"/>
          <w:color w:val="003366"/>
          <w:sz w:val="20"/>
        </w:rPr>
        <w:tab/>
        <w:t>Resources Received Free of</w:t>
      </w:r>
      <w:r>
        <w:rPr>
          <w:rFonts w:ascii="Calibri"/>
          <w:color w:val="003366"/>
          <w:spacing w:val="-3"/>
          <w:sz w:val="20"/>
        </w:rPr>
        <w:t xml:space="preserve"> </w:t>
      </w:r>
      <w:r>
        <w:rPr>
          <w:rFonts w:ascii="Calibri"/>
          <w:color w:val="003366"/>
          <w:sz w:val="20"/>
        </w:rPr>
        <w:t>Charge</w:t>
      </w:r>
    </w:p>
    <w:p w:rsidR="006C17CB" w:rsidRDefault="006C17CB">
      <w:pPr>
        <w:pStyle w:val="BodyText"/>
        <w:spacing w:before="6"/>
        <w:rPr>
          <w:rFonts w:ascii="Calibri"/>
          <w:sz w:val="19"/>
        </w:rPr>
      </w:pPr>
    </w:p>
    <w:p w:rsidR="006C17CB" w:rsidRDefault="0030091C">
      <w:pPr>
        <w:spacing w:before="1"/>
        <w:ind w:left="968" w:right="6857"/>
        <w:jc w:val="center"/>
        <w:rPr>
          <w:rFonts w:ascii="Calibri"/>
          <w:b/>
          <w:sz w:val="20"/>
        </w:rPr>
      </w:pPr>
      <w:r>
        <w:rPr>
          <w:rFonts w:ascii="Calibri"/>
          <w:b/>
          <w:color w:val="003366"/>
          <w:sz w:val="20"/>
        </w:rPr>
        <w:t>Expense Notes</w:t>
      </w:r>
    </w:p>
    <w:p w:rsidR="006C17CB" w:rsidRDefault="006C17CB">
      <w:pPr>
        <w:pStyle w:val="BodyText"/>
        <w:spacing w:before="6"/>
        <w:rPr>
          <w:rFonts w:ascii="Calibri"/>
          <w:b/>
          <w:sz w:val="19"/>
        </w:rPr>
      </w:pPr>
    </w:p>
    <w:p w:rsidR="006C17CB" w:rsidRDefault="0030091C">
      <w:pPr>
        <w:tabs>
          <w:tab w:val="left" w:pos="3289"/>
        </w:tabs>
        <w:spacing w:line="286"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5</w:t>
      </w:r>
      <w:r>
        <w:rPr>
          <w:rFonts w:ascii="Calibri"/>
          <w:color w:val="003366"/>
          <w:sz w:val="20"/>
        </w:rPr>
        <w:tab/>
        <w:t>Employee</w:t>
      </w:r>
      <w:r>
        <w:rPr>
          <w:rFonts w:ascii="Calibri"/>
          <w:color w:val="003366"/>
          <w:spacing w:val="-2"/>
          <w:sz w:val="20"/>
        </w:rPr>
        <w:t xml:space="preserve"> </w:t>
      </w:r>
      <w:r>
        <w:rPr>
          <w:rFonts w:ascii="Calibri"/>
          <w:color w:val="003366"/>
          <w:sz w:val="20"/>
        </w:rPr>
        <w:t>Expenses</w:t>
      </w:r>
    </w:p>
    <w:p w:rsidR="006C17CB" w:rsidRDefault="0030091C">
      <w:pPr>
        <w:tabs>
          <w:tab w:val="left" w:pos="3289"/>
        </w:tabs>
        <w:spacing w:line="283"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6</w:t>
      </w:r>
      <w:r>
        <w:rPr>
          <w:rFonts w:ascii="Calibri"/>
          <w:color w:val="003366"/>
          <w:sz w:val="20"/>
        </w:rPr>
        <w:tab/>
        <w:t>Superannuation Expenses</w:t>
      </w:r>
    </w:p>
    <w:p w:rsidR="006C17CB" w:rsidRDefault="0030091C">
      <w:pPr>
        <w:tabs>
          <w:tab w:val="left" w:pos="3289"/>
        </w:tabs>
        <w:spacing w:line="284"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7</w:t>
      </w:r>
      <w:r>
        <w:rPr>
          <w:rFonts w:ascii="Calibri"/>
          <w:color w:val="003366"/>
          <w:sz w:val="20"/>
        </w:rPr>
        <w:tab/>
        <w:t>Supplies and</w:t>
      </w:r>
      <w:r>
        <w:rPr>
          <w:rFonts w:ascii="Calibri"/>
          <w:color w:val="003366"/>
          <w:spacing w:val="-1"/>
          <w:sz w:val="20"/>
        </w:rPr>
        <w:t xml:space="preserve"> </w:t>
      </w:r>
      <w:r>
        <w:rPr>
          <w:rFonts w:ascii="Calibri"/>
          <w:color w:val="003366"/>
          <w:sz w:val="20"/>
        </w:rPr>
        <w:t>Services</w:t>
      </w:r>
    </w:p>
    <w:p w:rsidR="006C17CB" w:rsidRDefault="0030091C">
      <w:pPr>
        <w:tabs>
          <w:tab w:val="left" w:pos="3289"/>
        </w:tabs>
        <w:spacing w:line="284"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8</w:t>
      </w:r>
      <w:r>
        <w:rPr>
          <w:rFonts w:ascii="Calibri"/>
          <w:color w:val="003366"/>
          <w:sz w:val="20"/>
        </w:rPr>
        <w:tab/>
        <w:t>Depreciation and Amortisation</w:t>
      </w:r>
    </w:p>
    <w:p w:rsidR="006C17CB" w:rsidRDefault="0030091C">
      <w:pPr>
        <w:tabs>
          <w:tab w:val="left" w:pos="3289"/>
        </w:tabs>
        <w:spacing w:line="286" w:lineRule="exact"/>
        <w:ind w:left="875"/>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9</w:t>
      </w:r>
      <w:r>
        <w:rPr>
          <w:rFonts w:ascii="Calibri" w:hAnsi="Calibri"/>
          <w:color w:val="003366"/>
          <w:sz w:val="20"/>
        </w:rPr>
        <w:tab/>
        <w:t>Auditor’s</w:t>
      </w:r>
      <w:r>
        <w:rPr>
          <w:rFonts w:ascii="Calibri" w:hAnsi="Calibri"/>
          <w:color w:val="003366"/>
          <w:spacing w:val="-2"/>
          <w:sz w:val="20"/>
        </w:rPr>
        <w:t xml:space="preserve"> </w:t>
      </w:r>
      <w:r>
        <w:rPr>
          <w:rFonts w:ascii="Calibri" w:hAnsi="Calibri"/>
          <w:color w:val="003366"/>
          <w:sz w:val="20"/>
        </w:rPr>
        <w:t>Remuneration</w:t>
      </w:r>
    </w:p>
    <w:p w:rsidR="006C17CB" w:rsidRDefault="006C17CB">
      <w:pPr>
        <w:pStyle w:val="BodyText"/>
        <w:spacing w:before="7"/>
        <w:rPr>
          <w:rFonts w:ascii="Calibri"/>
          <w:sz w:val="19"/>
        </w:rPr>
      </w:pPr>
    </w:p>
    <w:p w:rsidR="006C17CB" w:rsidRDefault="0030091C">
      <w:pPr>
        <w:spacing w:line="286" w:lineRule="exact"/>
        <w:ind w:left="1907"/>
        <w:rPr>
          <w:rFonts w:ascii="Calibri"/>
          <w:b/>
          <w:sz w:val="20"/>
        </w:rPr>
      </w:pPr>
      <w:r>
        <w:rPr>
          <w:rFonts w:ascii="Calibri"/>
          <w:b/>
          <w:color w:val="003366"/>
          <w:sz w:val="20"/>
        </w:rPr>
        <w:t>Asset Notes</w:t>
      </w:r>
    </w:p>
    <w:p w:rsidR="006C17CB" w:rsidRDefault="0030091C">
      <w:pPr>
        <w:tabs>
          <w:tab w:val="left" w:pos="3289"/>
        </w:tabs>
        <w:spacing w:line="284"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10</w:t>
      </w:r>
      <w:r>
        <w:rPr>
          <w:rFonts w:ascii="Calibri"/>
          <w:color w:val="003366"/>
          <w:sz w:val="20"/>
        </w:rPr>
        <w:tab/>
        <w:t>Cash and Cash</w:t>
      </w:r>
      <w:r>
        <w:rPr>
          <w:rFonts w:ascii="Calibri"/>
          <w:color w:val="003366"/>
          <w:spacing w:val="1"/>
          <w:sz w:val="20"/>
        </w:rPr>
        <w:t xml:space="preserve"> </w:t>
      </w:r>
      <w:r>
        <w:rPr>
          <w:rFonts w:ascii="Calibri"/>
          <w:color w:val="003366"/>
          <w:sz w:val="20"/>
        </w:rPr>
        <w:t>Equivalents</w:t>
      </w:r>
    </w:p>
    <w:p w:rsidR="006C17CB" w:rsidRDefault="0030091C">
      <w:pPr>
        <w:tabs>
          <w:tab w:val="left" w:pos="3289"/>
        </w:tabs>
        <w:spacing w:line="284"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11</w:t>
      </w:r>
      <w:r>
        <w:rPr>
          <w:rFonts w:ascii="Calibri"/>
          <w:color w:val="003366"/>
          <w:sz w:val="20"/>
        </w:rPr>
        <w:tab/>
        <w:t>Investments</w:t>
      </w:r>
    </w:p>
    <w:p w:rsidR="006C17CB" w:rsidRDefault="0030091C">
      <w:pPr>
        <w:tabs>
          <w:tab w:val="left" w:pos="3289"/>
        </w:tabs>
        <w:spacing w:line="284"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12</w:t>
      </w:r>
      <w:r>
        <w:rPr>
          <w:rFonts w:ascii="Calibri"/>
          <w:color w:val="003366"/>
          <w:sz w:val="20"/>
        </w:rPr>
        <w:tab/>
        <w:t>Receivables</w:t>
      </w:r>
    </w:p>
    <w:p w:rsidR="006C17CB" w:rsidRDefault="0030091C">
      <w:pPr>
        <w:tabs>
          <w:tab w:val="left" w:pos="3289"/>
        </w:tabs>
        <w:spacing w:line="287"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13</w:t>
      </w:r>
      <w:r>
        <w:rPr>
          <w:rFonts w:ascii="Calibri"/>
          <w:color w:val="003366"/>
          <w:sz w:val="20"/>
        </w:rPr>
        <w:tab/>
        <w:t>Property, Plant and</w:t>
      </w:r>
      <w:r>
        <w:rPr>
          <w:rFonts w:ascii="Calibri"/>
          <w:color w:val="003366"/>
          <w:spacing w:val="-2"/>
          <w:sz w:val="20"/>
        </w:rPr>
        <w:t xml:space="preserve"> </w:t>
      </w:r>
      <w:r>
        <w:rPr>
          <w:rFonts w:ascii="Calibri"/>
          <w:color w:val="003366"/>
          <w:sz w:val="20"/>
        </w:rPr>
        <w:t>Equipment</w:t>
      </w:r>
    </w:p>
    <w:p w:rsidR="006C17CB" w:rsidRDefault="0030091C">
      <w:pPr>
        <w:tabs>
          <w:tab w:val="left" w:pos="3289"/>
        </w:tabs>
        <w:spacing w:before="4"/>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14</w:t>
      </w:r>
      <w:r>
        <w:rPr>
          <w:rFonts w:ascii="Calibri"/>
          <w:color w:val="003366"/>
          <w:sz w:val="20"/>
        </w:rPr>
        <w:tab/>
        <w:t>Intangible</w:t>
      </w:r>
      <w:r>
        <w:rPr>
          <w:rFonts w:ascii="Calibri"/>
          <w:color w:val="003366"/>
          <w:spacing w:val="-2"/>
          <w:sz w:val="20"/>
        </w:rPr>
        <w:t xml:space="preserve"> </w:t>
      </w:r>
      <w:r>
        <w:rPr>
          <w:rFonts w:ascii="Calibri"/>
          <w:color w:val="003366"/>
          <w:sz w:val="20"/>
        </w:rPr>
        <w:t>Assets</w:t>
      </w:r>
    </w:p>
    <w:p w:rsidR="006C17CB" w:rsidRDefault="0030091C">
      <w:pPr>
        <w:tabs>
          <w:tab w:val="left" w:pos="3289"/>
        </w:tabs>
        <w:spacing w:before="5"/>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15</w:t>
      </w:r>
      <w:r>
        <w:rPr>
          <w:rFonts w:ascii="Calibri"/>
          <w:color w:val="003366"/>
          <w:sz w:val="20"/>
        </w:rPr>
        <w:tab/>
        <w:t>Capital Works in</w:t>
      </w:r>
      <w:r>
        <w:rPr>
          <w:rFonts w:ascii="Calibri"/>
          <w:color w:val="003366"/>
          <w:spacing w:val="-1"/>
          <w:sz w:val="20"/>
        </w:rPr>
        <w:t xml:space="preserve"> </w:t>
      </w:r>
      <w:r>
        <w:rPr>
          <w:rFonts w:ascii="Calibri"/>
          <w:color w:val="003366"/>
          <w:sz w:val="20"/>
        </w:rPr>
        <w:t>Progress</w:t>
      </w:r>
    </w:p>
    <w:p w:rsidR="006C17CB" w:rsidRDefault="006C17CB">
      <w:pPr>
        <w:pStyle w:val="BodyText"/>
        <w:spacing w:before="6"/>
        <w:rPr>
          <w:rFonts w:ascii="Calibri"/>
          <w:sz w:val="19"/>
        </w:rPr>
      </w:pPr>
    </w:p>
    <w:p w:rsidR="006C17CB" w:rsidRDefault="0030091C">
      <w:pPr>
        <w:spacing w:before="1" w:line="286" w:lineRule="exact"/>
        <w:ind w:left="968" w:right="6893"/>
        <w:jc w:val="center"/>
        <w:rPr>
          <w:rFonts w:ascii="Calibri"/>
          <w:b/>
          <w:sz w:val="20"/>
        </w:rPr>
      </w:pPr>
      <w:r>
        <w:rPr>
          <w:rFonts w:ascii="Calibri"/>
          <w:b/>
          <w:color w:val="003366"/>
          <w:sz w:val="20"/>
        </w:rPr>
        <w:t>Liability Notes</w:t>
      </w:r>
    </w:p>
    <w:p w:rsidR="006C17CB" w:rsidRDefault="0030091C">
      <w:pPr>
        <w:tabs>
          <w:tab w:val="left" w:pos="3289"/>
        </w:tabs>
        <w:spacing w:line="283"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16</w:t>
      </w:r>
      <w:r>
        <w:rPr>
          <w:rFonts w:ascii="Calibri"/>
          <w:color w:val="003366"/>
          <w:sz w:val="20"/>
        </w:rPr>
        <w:tab/>
        <w:t>Payables</w:t>
      </w:r>
    </w:p>
    <w:p w:rsidR="006C17CB" w:rsidRDefault="0030091C">
      <w:pPr>
        <w:tabs>
          <w:tab w:val="left" w:pos="3289"/>
        </w:tabs>
        <w:spacing w:line="286"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17</w:t>
      </w:r>
      <w:r>
        <w:rPr>
          <w:rFonts w:ascii="Calibri"/>
          <w:color w:val="003366"/>
          <w:sz w:val="20"/>
        </w:rPr>
        <w:tab/>
        <w:t>Employee</w:t>
      </w:r>
      <w:r>
        <w:rPr>
          <w:rFonts w:ascii="Calibri"/>
          <w:color w:val="003366"/>
          <w:spacing w:val="-2"/>
          <w:sz w:val="20"/>
        </w:rPr>
        <w:t xml:space="preserve"> </w:t>
      </w:r>
      <w:r>
        <w:rPr>
          <w:rFonts w:ascii="Calibri"/>
          <w:color w:val="003366"/>
          <w:sz w:val="20"/>
        </w:rPr>
        <w:t>Benefits</w:t>
      </w:r>
    </w:p>
    <w:p w:rsidR="006C17CB" w:rsidRDefault="006C17CB">
      <w:pPr>
        <w:pStyle w:val="BodyText"/>
        <w:spacing w:before="6"/>
        <w:rPr>
          <w:rFonts w:ascii="Calibri"/>
          <w:sz w:val="19"/>
        </w:rPr>
      </w:pPr>
    </w:p>
    <w:p w:rsidR="006C17CB" w:rsidRDefault="0030091C">
      <w:pPr>
        <w:spacing w:line="286" w:lineRule="exact"/>
        <w:ind w:left="968" w:right="7056"/>
        <w:jc w:val="center"/>
        <w:rPr>
          <w:rFonts w:ascii="Calibri"/>
          <w:b/>
          <w:sz w:val="20"/>
        </w:rPr>
      </w:pPr>
      <w:r>
        <w:rPr>
          <w:rFonts w:ascii="Calibri"/>
          <w:b/>
          <w:color w:val="003366"/>
          <w:sz w:val="20"/>
        </w:rPr>
        <w:t>Other Notes</w:t>
      </w:r>
    </w:p>
    <w:p w:rsidR="006C17CB" w:rsidRDefault="0030091C">
      <w:pPr>
        <w:tabs>
          <w:tab w:val="left" w:pos="3289"/>
        </w:tabs>
        <w:spacing w:line="284"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18</w:t>
      </w:r>
      <w:r>
        <w:rPr>
          <w:rFonts w:ascii="Calibri"/>
          <w:color w:val="003366"/>
          <w:sz w:val="20"/>
        </w:rPr>
        <w:tab/>
        <w:t>Financial</w:t>
      </w:r>
      <w:r>
        <w:rPr>
          <w:rFonts w:ascii="Calibri"/>
          <w:color w:val="003366"/>
          <w:spacing w:val="-1"/>
          <w:sz w:val="20"/>
        </w:rPr>
        <w:t xml:space="preserve"> </w:t>
      </w:r>
      <w:r>
        <w:rPr>
          <w:rFonts w:ascii="Calibri"/>
          <w:color w:val="003366"/>
          <w:sz w:val="20"/>
        </w:rPr>
        <w:t>Instruments</w:t>
      </w:r>
    </w:p>
    <w:p w:rsidR="006C17CB" w:rsidRDefault="0030091C">
      <w:pPr>
        <w:tabs>
          <w:tab w:val="left" w:pos="3289"/>
        </w:tabs>
        <w:spacing w:line="284"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19</w:t>
      </w:r>
      <w:r>
        <w:rPr>
          <w:rFonts w:ascii="Calibri"/>
          <w:color w:val="003366"/>
          <w:sz w:val="20"/>
        </w:rPr>
        <w:tab/>
        <w:t>Commitments</w:t>
      </w:r>
    </w:p>
    <w:p w:rsidR="006C17CB" w:rsidRDefault="0030091C">
      <w:pPr>
        <w:tabs>
          <w:tab w:val="left" w:pos="3289"/>
        </w:tabs>
        <w:spacing w:line="284"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20</w:t>
      </w:r>
      <w:r>
        <w:rPr>
          <w:rFonts w:ascii="Calibri"/>
          <w:color w:val="003366"/>
          <w:sz w:val="20"/>
        </w:rPr>
        <w:tab/>
        <w:t>Cash Flow</w:t>
      </w:r>
      <w:r>
        <w:rPr>
          <w:rFonts w:ascii="Calibri"/>
          <w:color w:val="003366"/>
          <w:spacing w:val="-1"/>
          <w:sz w:val="20"/>
        </w:rPr>
        <w:t xml:space="preserve"> </w:t>
      </w:r>
      <w:r>
        <w:rPr>
          <w:rFonts w:ascii="Calibri"/>
          <w:color w:val="003366"/>
          <w:sz w:val="20"/>
        </w:rPr>
        <w:t>Reconciliation</w:t>
      </w:r>
    </w:p>
    <w:p w:rsidR="006C17CB" w:rsidRDefault="0030091C">
      <w:pPr>
        <w:tabs>
          <w:tab w:val="left" w:pos="3289"/>
        </w:tabs>
        <w:spacing w:line="284"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21</w:t>
      </w:r>
      <w:r>
        <w:rPr>
          <w:rFonts w:ascii="Calibri"/>
          <w:color w:val="003366"/>
          <w:sz w:val="20"/>
        </w:rPr>
        <w:tab/>
        <w:t>Budgetary Reporting</w:t>
      </w:r>
    </w:p>
    <w:p w:rsidR="006C17CB" w:rsidRDefault="0030091C">
      <w:pPr>
        <w:tabs>
          <w:tab w:val="left" w:pos="3289"/>
        </w:tabs>
        <w:spacing w:line="286" w:lineRule="exact"/>
        <w:ind w:left="875"/>
        <w:rPr>
          <w:rFonts w:ascii="Calibri"/>
          <w:sz w:val="20"/>
        </w:rPr>
      </w:pPr>
      <w:r>
        <w:rPr>
          <w:rFonts w:ascii="Calibri"/>
          <w:color w:val="003366"/>
          <w:sz w:val="20"/>
        </w:rPr>
        <w:t>Note</w:t>
      </w:r>
      <w:r>
        <w:rPr>
          <w:rFonts w:ascii="Calibri"/>
          <w:color w:val="003366"/>
          <w:spacing w:val="-2"/>
          <w:sz w:val="20"/>
        </w:rPr>
        <w:t xml:space="preserve"> </w:t>
      </w:r>
      <w:r>
        <w:rPr>
          <w:rFonts w:ascii="Calibri"/>
          <w:color w:val="003366"/>
          <w:sz w:val="20"/>
        </w:rPr>
        <w:t>22</w:t>
      </w:r>
      <w:r>
        <w:rPr>
          <w:rFonts w:ascii="Calibri"/>
          <w:color w:val="003366"/>
          <w:sz w:val="20"/>
        </w:rPr>
        <w:tab/>
        <w:t>Related Party Disclosures</w:t>
      </w:r>
    </w:p>
    <w:p w:rsidR="006C17CB" w:rsidRDefault="006C17CB">
      <w:pPr>
        <w:spacing w:line="286" w:lineRule="exact"/>
        <w:rPr>
          <w:rFonts w:ascii="Calibri"/>
          <w:sz w:val="20"/>
        </w:rPr>
        <w:sectPr w:rsidR="006C17CB">
          <w:pgSz w:w="11910" w:h="16840"/>
          <w:pgMar w:top="1440" w:right="0" w:bottom="720" w:left="980" w:header="1189" w:footer="523" w:gutter="0"/>
          <w:cols w:space="720"/>
        </w:sectPr>
      </w:pPr>
    </w:p>
    <w:p w:rsidR="006C17CB" w:rsidRDefault="006C17CB">
      <w:pPr>
        <w:pStyle w:val="BodyText"/>
        <w:spacing w:before="9"/>
        <w:rPr>
          <w:rFonts w:ascii="Calibri"/>
        </w:rPr>
      </w:pPr>
    </w:p>
    <w:p w:rsidR="006C17CB" w:rsidRDefault="0030091C">
      <w:pPr>
        <w:pStyle w:val="Heading6"/>
        <w:spacing w:line="345" w:lineRule="exact"/>
        <w:ind w:left="808"/>
      </w:pPr>
      <w:r>
        <w:rPr>
          <w:color w:val="003366"/>
        </w:rPr>
        <w:t>NOTE 1. OBJECTIVES OF THE OFFICE OF THE LEGISLATIVE ASSEMBLY</w:t>
      </w:r>
    </w:p>
    <w:p w:rsidR="006C17CB" w:rsidRDefault="0030091C">
      <w:pPr>
        <w:spacing w:before="195"/>
        <w:ind w:left="808"/>
        <w:rPr>
          <w:rFonts w:ascii="Calibri"/>
          <w:b/>
          <w:sz w:val="20"/>
        </w:rPr>
      </w:pPr>
      <w:r>
        <w:rPr>
          <w:rFonts w:ascii="Calibri"/>
          <w:b/>
          <w:color w:val="003366"/>
          <w:sz w:val="20"/>
        </w:rPr>
        <w:t>Operations and Principal Activities</w:t>
      </w:r>
    </w:p>
    <w:p w:rsidR="006C17CB" w:rsidRDefault="006C17CB">
      <w:pPr>
        <w:pStyle w:val="BodyText"/>
        <w:spacing w:before="1"/>
        <w:rPr>
          <w:rFonts w:ascii="Calibri"/>
          <w:b/>
          <w:sz w:val="16"/>
        </w:rPr>
      </w:pPr>
    </w:p>
    <w:p w:rsidR="006C17CB" w:rsidRDefault="0030091C">
      <w:pPr>
        <w:spacing w:line="204" w:lineRule="auto"/>
        <w:ind w:left="807" w:right="1498"/>
        <w:jc w:val="both"/>
        <w:rPr>
          <w:rFonts w:ascii="Calibri"/>
          <w:sz w:val="20"/>
        </w:rPr>
      </w:pPr>
      <w:r>
        <w:rPr>
          <w:rFonts w:ascii="Calibri"/>
          <w:color w:val="003366"/>
          <w:sz w:val="20"/>
        </w:rPr>
        <w:t xml:space="preserve">The </w:t>
      </w:r>
      <w:r>
        <w:rPr>
          <w:rFonts w:ascii="Calibri"/>
          <w:i/>
          <w:color w:val="003366"/>
          <w:sz w:val="20"/>
        </w:rPr>
        <w:t xml:space="preserve">Australian Capital Territory (Self-Government) Act 1988 [Commonwealth] </w:t>
      </w:r>
      <w:r>
        <w:rPr>
          <w:rFonts w:ascii="Calibri"/>
          <w:color w:val="003366"/>
          <w:sz w:val="20"/>
        </w:rPr>
        <w:t>(the Self-Government Act) established the Australian Capital Territory as a body politic under the Crown. The Self-Government Act stipulates that there shall be a Legislative Assembly for the ACT and gives the Assembly power to make laws</w:t>
      </w:r>
      <w:r>
        <w:rPr>
          <w:rFonts w:ascii="Calibri"/>
          <w:color w:val="003366"/>
          <w:spacing w:val="-11"/>
          <w:sz w:val="20"/>
        </w:rPr>
        <w:t xml:space="preserve"> </w:t>
      </w:r>
      <w:r>
        <w:rPr>
          <w:rFonts w:ascii="Calibri"/>
          <w:color w:val="003366"/>
          <w:sz w:val="20"/>
        </w:rPr>
        <w:t>for</w:t>
      </w:r>
      <w:r>
        <w:rPr>
          <w:rFonts w:ascii="Calibri"/>
          <w:color w:val="003366"/>
          <w:spacing w:val="-10"/>
          <w:sz w:val="20"/>
        </w:rPr>
        <w:t xml:space="preserve"> </w:t>
      </w:r>
      <w:r>
        <w:rPr>
          <w:rFonts w:ascii="Calibri"/>
          <w:color w:val="003366"/>
          <w:sz w:val="20"/>
        </w:rPr>
        <w:t>the</w:t>
      </w:r>
      <w:r>
        <w:rPr>
          <w:rFonts w:ascii="Calibri"/>
          <w:color w:val="003366"/>
          <w:spacing w:val="-11"/>
          <w:sz w:val="20"/>
        </w:rPr>
        <w:t xml:space="preserve"> </w:t>
      </w:r>
      <w:r>
        <w:rPr>
          <w:rFonts w:ascii="Calibri"/>
          <w:color w:val="003366"/>
          <w:sz w:val="20"/>
        </w:rPr>
        <w:t>peace,</w:t>
      </w:r>
      <w:r>
        <w:rPr>
          <w:rFonts w:ascii="Calibri"/>
          <w:color w:val="003366"/>
          <w:spacing w:val="-10"/>
          <w:sz w:val="20"/>
        </w:rPr>
        <w:t xml:space="preserve"> </w:t>
      </w:r>
      <w:r>
        <w:rPr>
          <w:rFonts w:ascii="Calibri"/>
          <w:color w:val="003366"/>
          <w:sz w:val="20"/>
        </w:rPr>
        <w:t>order</w:t>
      </w:r>
      <w:r>
        <w:rPr>
          <w:rFonts w:ascii="Calibri"/>
          <w:color w:val="003366"/>
          <w:spacing w:val="-10"/>
          <w:sz w:val="20"/>
        </w:rPr>
        <w:t xml:space="preserve"> </w:t>
      </w:r>
      <w:r>
        <w:rPr>
          <w:rFonts w:ascii="Calibri"/>
          <w:color w:val="003366"/>
          <w:sz w:val="20"/>
        </w:rPr>
        <w:t>and</w:t>
      </w:r>
      <w:r>
        <w:rPr>
          <w:rFonts w:ascii="Calibri"/>
          <w:color w:val="003366"/>
          <w:spacing w:val="-12"/>
          <w:sz w:val="20"/>
        </w:rPr>
        <w:t xml:space="preserve"> </w:t>
      </w:r>
      <w:r>
        <w:rPr>
          <w:rFonts w:ascii="Calibri"/>
          <w:color w:val="003366"/>
          <w:sz w:val="20"/>
        </w:rPr>
        <w:t>good</w:t>
      </w:r>
      <w:r>
        <w:rPr>
          <w:rFonts w:ascii="Calibri"/>
          <w:color w:val="003366"/>
          <w:spacing w:val="-10"/>
          <w:sz w:val="20"/>
        </w:rPr>
        <w:t xml:space="preserve"> </w:t>
      </w:r>
      <w:r>
        <w:rPr>
          <w:rFonts w:ascii="Calibri"/>
          <w:color w:val="003366"/>
          <w:sz w:val="20"/>
        </w:rPr>
        <w:t>government</w:t>
      </w:r>
      <w:r>
        <w:rPr>
          <w:rFonts w:ascii="Calibri"/>
          <w:color w:val="003366"/>
          <w:spacing w:val="-10"/>
          <w:sz w:val="20"/>
        </w:rPr>
        <w:t xml:space="preserve"> </w:t>
      </w:r>
      <w:r>
        <w:rPr>
          <w:rFonts w:ascii="Calibri"/>
          <w:color w:val="003366"/>
          <w:sz w:val="20"/>
        </w:rPr>
        <w:t>of</w:t>
      </w:r>
      <w:r>
        <w:rPr>
          <w:rFonts w:ascii="Calibri"/>
          <w:color w:val="003366"/>
          <w:spacing w:val="-11"/>
          <w:sz w:val="20"/>
        </w:rPr>
        <w:t xml:space="preserve"> </w:t>
      </w:r>
      <w:r>
        <w:rPr>
          <w:rFonts w:ascii="Calibri"/>
          <w:color w:val="003366"/>
          <w:sz w:val="20"/>
        </w:rPr>
        <w:t>the</w:t>
      </w:r>
      <w:r>
        <w:rPr>
          <w:rFonts w:ascii="Calibri"/>
          <w:color w:val="003366"/>
          <w:spacing w:val="-11"/>
          <w:sz w:val="20"/>
        </w:rPr>
        <w:t xml:space="preserve"> </w:t>
      </w:r>
      <w:r>
        <w:rPr>
          <w:rFonts w:ascii="Calibri"/>
          <w:color w:val="003366"/>
          <w:sz w:val="20"/>
        </w:rPr>
        <w:t>Territory.</w:t>
      </w:r>
      <w:r>
        <w:rPr>
          <w:rFonts w:ascii="Calibri"/>
          <w:color w:val="003366"/>
          <w:spacing w:val="-10"/>
          <w:sz w:val="20"/>
        </w:rPr>
        <w:t xml:space="preserve"> </w:t>
      </w:r>
      <w:r>
        <w:rPr>
          <w:rFonts w:ascii="Calibri"/>
          <w:color w:val="003366"/>
          <w:sz w:val="20"/>
        </w:rPr>
        <w:t>Provisions</w:t>
      </w:r>
      <w:r>
        <w:rPr>
          <w:rFonts w:ascii="Calibri"/>
          <w:color w:val="003366"/>
          <w:spacing w:val="-11"/>
          <w:sz w:val="20"/>
        </w:rPr>
        <w:t xml:space="preserve"> </w:t>
      </w:r>
      <w:r>
        <w:rPr>
          <w:rFonts w:ascii="Calibri"/>
          <w:color w:val="003366"/>
          <w:sz w:val="20"/>
        </w:rPr>
        <w:t>of</w:t>
      </w:r>
      <w:r>
        <w:rPr>
          <w:rFonts w:ascii="Calibri"/>
          <w:color w:val="003366"/>
          <w:spacing w:val="-11"/>
          <w:sz w:val="20"/>
        </w:rPr>
        <w:t xml:space="preserve"> </w:t>
      </w:r>
      <w:r>
        <w:rPr>
          <w:rFonts w:ascii="Calibri"/>
          <w:color w:val="003366"/>
          <w:sz w:val="20"/>
        </w:rPr>
        <w:t>the</w:t>
      </w:r>
      <w:r>
        <w:rPr>
          <w:rFonts w:ascii="Calibri"/>
          <w:color w:val="003366"/>
          <w:spacing w:val="-11"/>
          <w:sz w:val="20"/>
        </w:rPr>
        <w:t xml:space="preserve"> </w:t>
      </w:r>
      <w:r>
        <w:rPr>
          <w:rFonts w:ascii="Calibri"/>
          <w:color w:val="003366"/>
          <w:sz w:val="20"/>
        </w:rPr>
        <w:t>Self-Government</w:t>
      </w:r>
      <w:r>
        <w:rPr>
          <w:rFonts w:ascii="Calibri"/>
          <w:color w:val="003366"/>
          <w:spacing w:val="-10"/>
          <w:sz w:val="20"/>
        </w:rPr>
        <w:t xml:space="preserve"> </w:t>
      </w:r>
      <w:r>
        <w:rPr>
          <w:rFonts w:ascii="Calibri"/>
          <w:color w:val="003366"/>
          <w:sz w:val="20"/>
        </w:rPr>
        <w:t>Act</w:t>
      </w:r>
      <w:r>
        <w:rPr>
          <w:rFonts w:ascii="Calibri"/>
          <w:color w:val="003366"/>
          <w:spacing w:val="-10"/>
          <w:sz w:val="20"/>
        </w:rPr>
        <w:t xml:space="preserve"> </w:t>
      </w:r>
      <w:r>
        <w:rPr>
          <w:rFonts w:ascii="Calibri"/>
          <w:color w:val="003366"/>
          <w:sz w:val="20"/>
        </w:rPr>
        <w:t>also govern the constitution of the Assembly, its procedures and</w:t>
      </w:r>
      <w:r>
        <w:rPr>
          <w:rFonts w:ascii="Calibri"/>
          <w:color w:val="003366"/>
          <w:spacing w:val="-4"/>
          <w:sz w:val="20"/>
        </w:rPr>
        <w:t xml:space="preserve"> </w:t>
      </w:r>
      <w:r>
        <w:rPr>
          <w:rFonts w:ascii="Calibri"/>
          <w:color w:val="003366"/>
          <w:sz w:val="20"/>
        </w:rPr>
        <w:t>obligations.</w:t>
      </w:r>
    </w:p>
    <w:p w:rsidR="006C17CB" w:rsidRDefault="0030091C">
      <w:pPr>
        <w:spacing w:before="117" w:line="204" w:lineRule="auto"/>
        <w:ind w:left="807" w:right="1501"/>
        <w:jc w:val="both"/>
        <w:rPr>
          <w:rFonts w:ascii="Calibri"/>
          <w:sz w:val="20"/>
        </w:rPr>
      </w:pPr>
      <w:r>
        <w:rPr>
          <w:rFonts w:ascii="Calibri"/>
          <w:color w:val="003366"/>
          <w:sz w:val="20"/>
        </w:rPr>
        <w:t xml:space="preserve">The Office of the Legislative Assembly (the Office) was established by the </w:t>
      </w:r>
      <w:r>
        <w:rPr>
          <w:rFonts w:ascii="Calibri"/>
          <w:i/>
          <w:color w:val="003366"/>
          <w:sz w:val="20"/>
        </w:rPr>
        <w:t xml:space="preserve">Legislative Assembly (Office of the Legislative Assembly) Act 2012 </w:t>
      </w:r>
      <w:r>
        <w:rPr>
          <w:rFonts w:ascii="Calibri"/>
          <w:color w:val="003366"/>
          <w:sz w:val="20"/>
        </w:rPr>
        <w:t>(the Act). Pursuant to section 5 of the Act, the Office consists of the Clerk and the staff of the Office. The Clerk is responsible for the management of the Office (section 10).</w:t>
      </w:r>
    </w:p>
    <w:p w:rsidR="006C17CB" w:rsidRDefault="0030091C">
      <w:pPr>
        <w:spacing w:before="116" w:line="204" w:lineRule="auto"/>
        <w:ind w:left="807" w:right="1541"/>
        <w:rPr>
          <w:rFonts w:ascii="Calibri"/>
          <w:sz w:val="20"/>
        </w:rPr>
      </w:pPr>
      <w:r>
        <w:rPr>
          <w:rFonts w:ascii="Calibri"/>
          <w:color w:val="003366"/>
          <w:sz w:val="20"/>
        </w:rPr>
        <w:t>Section</w:t>
      </w:r>
      <w:r>
        <w:rPr>
          <w:rFonts w:ascii="Calibri"/>
          <w:color w:val="003366"/>
          <w:spacing w:val="-8"/>
          <w:sz w:val="20"/>
        </w:rPr>
        <w:t xml:space="preserve"> </w:t>
      </w:r>
      <w:r>
        <w:rPr>
          <w:rFonts w:ascii="Calibri"/>
          <w:color w:val="003366"/>
          <w:sz w:val="20"/>
        </w:rPr>
        <w:t>6</w:t>
      </w:r>
      <w:r>
        <w:rPr>
          <w:rFonts w:ascii="Calibri"/>
          <w:color w:val="003366"/>
          <w:spacing w:val="-9"/>
          <w:sz w:val="20"/>
        </w:rPr>
        <w:t xml:space="preserve"> </w:t>
      </w:r>
      <w:r>
        <w:rPr>
          <w:rFonts w:ascii="Calibri"/>
          <w:color w:val="003366"/>
          <w:sz w:val="20"/>
        </w:rPr>
        <w:t>of</w:t>
      </w:r>
      <w:r>
        <w:rPr>
          <w:rFonts w:ascii="Calibri"/>
          <w:color w:val="003366"/>
          <w:spacing w:val="-10"/>
          <w:sz w:val="20"/>
        </w:rPr>
        <w:t xml:space="preserve"> </w:t>
      </w:r>
      <w:r>
        <w:rPr>
          <w:rFonts w:ascii="Calibri"/>
          <w:color w:val="003366"/>
          <w:sz w:val="20"/>
        </w:rPr>
        <w:t>the</w:t>
      </w:r>
      <w:r>
        <w:rPr>
          <w:rFonts w:ascii="Calibri"/>
          <w:color w:val="003366"/>
          <w:spacing w:val="-10"/>
          <w:sz w:val="20"/>
        </w:rPr>
        <w:t xml:space="preserve"> </w:t>
      </w:r>
      <w:r>
        <w:rPr>
          <w:rFonts w:ascii="Calibri"/>
          <w:color w:val="003366"/>
          <w:sz w:val="20"/>
        </w:rPr>
        <w:t>Act</w:t>
      </w:r>
      <w:r>
        <w:rPr>
          <w:rFonts w:ascii="Calibri"/>
          <w:color w:val="003366"/>
          <w:spacing w:val="-8"/>
          <w:sz w:val="20"/>
        </w:rPr>
        <w:t xml:space="preserve"> </w:t>
      </w:r>
      <w:r>
        <w:rPr>
          <w:rFonts w:ascii="Calibri"/>
          <w:color w:val="003366"/>
          <w:sz w:val="20"/>
        </w:rPr>
        <w:t>established</w:t>
      </w:r>
      <w:r>
        <w:rPr>
          <w:rFonts w:ascii="Calibri"/>
          <w:color w:val="003366"/>
          <w:spacing w:val="-8"/>
          <w:sz w:val="20"/>
        </w:rPr>
        <w:t xml:space="preserve"> </w:t>
      </w:r>
      <w:r>
        <w:rPr>
          <w:rFonts w:ascii="Calibri"/>
          <w:color w:val="003366"/>
          <w:sz w:val="20"/>
        </w:rPr>
        <w:t>the</w:t>
      </w:r>
      <w:r>
        <w:rPr>
          <w:rFonts w:ascii="Calibri"/>
          <w:color w:val="003366"/>
          <w:spacing w:val="-10"/>
          <w:sz w:val="20"/>
        </w:rPr>
        <w:t xml:space="preserve"> </w:t>
      </w:r>
      <w:r>
        <w:rPr>
          <w:rFonts w:ascii="Calibri"/>
          <w:color w:val="003366"/>
          <w:sz w:val="20"/>
        </w:rPr>
        <w:t>functions</w:t>
      </w:r>
      <w:r>
        <w:rPr>
          <w:rFonts w:ascii="Calibri"/>
          <w:color w:val="003366"/>
          <w:spacing w:val="-10"/>
          <w:sz w:val="20"/>
        </w:rPr>
        <w:t xml:space="preserve"> </w:t>
      </w:r>
      <w:r>
        <w:rPr>
          <w:rFonts w:ascii="Calibri"/>
          <w:color w:val="003366"/>
          <w:sz w:val="20"/>
        </w:rPr>
        <w:t>of</w:t>
      </w:r>
      <w:r>
        <w:rPr>
          <w:rFonts w:ascii="Calibri"/>
          <w:color w:val="003366"/>
          <w:spacing w:val="-10"/>
          <w:sz w:val="20"/>
        </w:rPr>
        <w:t xml:space="preserve"> </w:t>
      </w:r>
      <w:r>
        <w:rPr>
          <w:rFonts w:ascii="Calibri"/>
          <w:color w:val="003366"/>
          <w:sz w:val="20"/>
        </w:rPr>
        <w:t>the</w:t>
      </w:r>
      <w:r>
        <w:rPr>
          <w:rFonts w:ascii="Calibri"/>
          <w:color w:val="003366"/>
          <w:spacing w:val="-10"/>
          <w:sz w:val="20"/>
        </w:rPr>
        <w:t xml:space="preserve"> </w:t>
      </w:r>
      <w:r>
        <w:rPr>
          <w:rFonts w:ascii="Calibri"/>
          <w:color w:val="003366"/>
          <w:sz w:val="20"/>
        </w:rPr>
        <w:t>Office</w:t>
      </w:r>
      <w:r>
        <w:rPr>
          <w:rFonts w:ascii="Calibri"/>
          <w:color w:val="003366"/>
          <w:spacing w:val="-10"/>
          <w:sz w:val="20"/>
        </w:rPr>
        <w:t xml:space="preserve"> </w:t>
      </w:r>
      <w:r>
        <w:rPr>
          <w:rFonts w:ascii="Calibri"/>
          <w:color w:val="003366"/>
          <w:sz w:val="20"/>
        </w:rPr>
        <w:t>as</w:t>
      </w:r>
      <w:r>
        <w:rPr>
          <w:rFonts w:ascii="Calibri"/>
          <w:color w:val="003366"/>
          <w:spacing w:val="-10"/>
          <w:sz w:val="20"/>
        </w:rPr>
        <w:t xml:space="preserve"> </w:t>
      </w:r>
      <w:r>
        <w:rPr>
          <w:rFonts w:ascii="Calibri"/>
          <w:color w:val="003366"/>
          <w:sz w:val="20"/>
        </w:rPr>
        <w:t>being</w:t>
      </w:r>
      <w:r>
        <w:rPr>
          <w:rFonts w:ascii="Calibri"/>
          <w:color w:val="003366"/>
          <w:spacing w:val="-9"/>
          <w:sz w:val="20"/>
        </w:rPr>
        <w:t xml:space="preserve"> </w:t>
      </w:r>
      <w:r>
        <w:rPr>
          <w:rFonts w:ascii="Calibri"/>
          <w:color w:val="003366"/>
          <w:sz w:val="20"/>
        </w:rPr>
        <w:t>to</w:t>
      </w:r>
      <w:r>
        <w:rPr>
          <w:rFonts w:ascii="Calibri"/>
          <w:color w:val="003366"/>
          <w:spacing w:val="-8"/>
          <w:sz w:val="20"/>
        </w:rPr>
        <w:t xml:space="preserve"> </w:t>
      </w:r>
      <w:r>
        <w:rPr>
          <w:rFonts w:ascii="Calibri"/>
          <w:color w:val="003366"/>
          <w:sz w:val="20"/>
        </w:rPr>
        <w:t>provide</w:t>
      </w:r>
      <w:r>
        <w:rPr>
          <w:rFonts w:ascii="Calibri"/>
          <w:color w:val="003366"/>
          <w:spacing w:val="-10"/>
          <w:sz w:val="20"/>
        </w:rPr>
        <w:t xml:space="preserve"> </w:t>
      </w:r>
      <w:r>
        <w:rPr>
          <w:rFonts w:ascii="Calibri"/>
          <w:color w:val="003366"/>
          <w:sz w:val="20"/>
        </w:rPr>
        <w:t>impartial</w:t>
      </w:r>
      <w:r>
        <w:rPr>
          <w:rFonts w:ascii="Calibri"/>
          <w:color w:val="003366"/>
          <w:spacing w:val="-9"/>
          <w:sz w:val="20"/>
        </w:rPr>
        <w:t xml:space="preserve"> </w:t>
      </w:r>
      <w:r>
        <w:rPr>
          <w:rFonts w:ascii="Calibri"/>
          <w:color w:val="003366"/>
          <w:sz w:val="20"/>
        </w:rPr>
        <w:t>advice</w:t>
      </w:r>
      <w:r>
        <w:rPr>
          <w:rFonts w:ascii="Calibri"/>
          <w:color w:val="003366"/>
          <w:spacing w:val="-10"/>
          <w:sz w:val="20"/>
        </w:rPr>
        <w:t xml:space="preserve"> </w:t>
      </w:r>
      <w:r>
        <w:rPr>
          <w:rFonts w:ascii="Calibri"/>
          <w:color w:val="003366"/>
          <w:sz w:val="20"/>
        </w:rPr>
        <w:t>and</w:t>
      </w:r>
      <w:r>
        <w:rPr>
          <w:rFonts w:ascii="Calibri"/>
          <w:color w:val="003366"/>
          <w:spacing w:val="-8"/>
          <w:sz w:val="20"/>
        </w:rPr>
        <w:t xml:space="preserve"> </w:t>
      </w:r>
      <w:r>
        <w:rPr>
          <w:rFonts w:ascii="Calibri"/>
          <w:color w:val="003366"/>
          <w:sz w:val="20"/>
        </w:rPr>
        <w:t>support to the Legislative Assembly and its committees, and members of the Assembly, including</w:t>
      </w:r>
      <w:r>
        <w:rPr>
          <w:rFonts w:ascii="Calibri"/>
          <w:color w:val="003366"/>
          <w:spacing w:val="-16"/>
          <w:sz w:val="20"/>
        </w:rPr>
        <w:t xml:space="preserve"> </w:t>
      </w:r>
      <w:r>
        <w:rPr>
          <w:rFonts w:ascii="Calibri"/>
          <w:color w:val="003366"/>
          <w:sz w:val="20"/>
        </w:rPr>
        <w:t>by:</w:t>
      </w:r>
    </w:p>
    <w:p w:rsidR="006C17CB" w:rsidRDefault="0030091C">
      <w:pPr>
        <w:pStyle w:val="ListParagraph"/>
        <w:numPr>
          <w:ilvl w:val="0"/>
          <w:numId w:val="16"/>
        </w:numPr>
        <w:tabs>
          <w:tab w:val="left" w:pos="1167"/>
          <w:tab w:val="left" w:pos="1168"/>
        </w:tabs>
        <w:spacing w:before="132" w:line="201" w:lineRule="auto"/>
        <w:ind w:right="1501"/>
        <w:rPr>
          <w:rFonts w:ascii="Calibri"/>
          <w:sz w:val="20"/>
        </w:rPr>
      </w:pPr>
      <w:r>
        <w:rPr>
          <w:rFonts w:ascii="Calibri"/>
          <w:color w:val="003366"/>
          <w:sz w:val="20"/>
        </w:rPr>
        <w:t>providing advice on parliamentary practice and procedure and the functions of the Assembly and committees;</w:t>
      </w:r>
    </w:p>
    <w:p w:rsidR="006C17CB" w:rsidRDefault="0030091C">
      <w:pPr>
        <w:pStyle w:val="ListParagraph"/>
        <w:numPr>
          <w:ilvl w:val="0"/>
          <w:numId w:val="16"/>
        </w:numPr>
        <w:tabs>
          <w:tab w:val="left" w:pos="1167"/>
          <w:tab w:val="left" w:pos="1168"/>
        </w:tabs>
        <w:spacing w:before="98" w:line="240" w:lineRule="auto"/>
        <w:rPr>
          <w:rFonts w:ascii="Calibri"/>
          <w:sz w:val="20"/>
        </w:rPr>
      </w:pPr>
      <w:r>
        <w:rPr>
          <w:rFonts w:ascii="Calibri"/>
          <w:color w:val="003366"/>
          <w:sz w:val="20"/>
        </w:rPr>
        <w:t>reporting proceedings of the Assembly and meetings of</w:t>
      </w:r>
      <w:r>
        <w:rPr>
          <w:rFonts w:ascii="Calibri"/>
          <w:color w:val="003366"/>
          <w:spacing w:val="-3"/>
          <w:sz w:val="20"/>
        </w:rPr>
        <w:t xml:space="preserve"> </w:t>
      </w:r>
      <w:r>
        <w:rPr>
          <w:rFonts w:ascii="Calibri"/>
          <w:color w:val="003366"/>
          <w:sz w:val="20"/>
        </w:rPr>
        <w:t>committees;</w:t>
      </w:r>
    </w:p>
    <w:p w:rsidR="006C17CB" w:rsidRDefault="0030091C">
      <w:pPr>
        <w:pStyle w:val="ListParagraph"/>
        <w:numPr>
          <w:ilvl w:val="0"/>
          <w:numId w:val="16"/>
        </w:numPr>
        <w:tabs>
          <w:tab w:val="left" w:pos="1167"/>
          <w:tab w:val="left" w:pos="1168"/>
        </w:tabs>
        <w:spacing w:before="86" w:line="240" w:lineRule="auto"/>
        <w:rPr>
          <w:rFonts w:ascii="Calibri"/>
          <w:sz w:val="20"/>
        </w:rPr>
      </w:pPr>
      <w:r>
        <w:rPr>
          <w:rFonts w:ascii="Calibri"/>
          <w:color w:val="003366"/>
          <w:sz w:val="20"/>
        </w:rPr>
        <w:t>maintaining an official record of proceedings of the</w:t>
      </w:r>
      <w:r>
        <w:rPr>
          <w:rFonts w:ascii="Calibri"/>
          <w:color w:val="003366"/>
          <w:spacing w:val="-4"/>
          <w:sz w:val="20"/>
        </w:rPr>
        <w:t xml:space="preserve"> </w:t>
      </w:r>
      <w:r>
        <w:rPr>
          <w:rFonts w:ascii="Calibri"/>
          <w:color w:val="003366"/>
          <w:sz w:val="20"/>
        </w:rPr>
        <w:t>Assembly;</w:t>
      </w:r>
    </w:p>
    <w:p w:rsidR="006C17CB" w:rsidRDefault="0030091C">
      <w:pPr>
        <w:pStyle w:val="ListParagraph"/>
        <w:numPr>
          <w:ilvl w:val="0"/>
          <w:numId w:val="16"/>
        </w:numPr>
        <w:tabs>
          <w:tab w:val="left" w:pos="1167"/>
          <w:tab w:val="left" w:pos="1168"/>
        </w:tabs>
        <w:spacing w:before="88" w:line="240" w:lineRule="auto"/>
        <w:rPr>
          <w:rFonts w:ascii="Calibri"/>
          <w:sz w:val="20"/>
        </w:rPr>
      </w:pPr>
      <w:r>
        <w:rPr>
          <w:rFonts w:ascii="Calibri"/>
          <w:color w:val="003366"/>
          <w:sz w:val="20"/>
        </w:rPr>
        <w:t>providing library and information facilities and services for members;</w:t>
      </w:r>
    </w:p>
    <w:p w:rsidR="006C17CB" w:rsidRDefault="0030091C">
      <w:pPr>
        <w:pStyle w:val="ListParagraph"/>
        <w:numPr>
          <w:ilvl w:val="0"/>
          <w:numId w:val="16"/>
        </w:numPr>
        <w:tabs>
          <w:tab w:val="left" w:pos="1166"/>
          <w:tab w:val="left" w:pos="1167"/>
        </w:tabs>
        <w:spacing w:before="87" w:line="240" w:lineRule="auto"/>
        <w:ind w:left="1166" w:hanging="359"/>
        <w:rPr>
          <w:rFonts w:ascii="Calibri"/>
          <w:sz w:val="20"/>
        </w:rPr>
      </w:pPr>
      <w:r>
        <w:rPr>
          <w:rFonts w:ascii="Calibri"/>
          <w:color w:val="003366"/>
          <w:sz w:val="20"/>
        </w:rPr>
        <w:t>providing staff to enable the Assembly and committees to operate</w:t>
      </w:r>
      <w:r>
        <w:rPr>
          <w:rFonts w:ascii="Calibri"/>
          <w:color w:val="003366"/>
          <w:spacing w:val="-2"/>
          <w:sz w:val="20"/>
        </w:rPr>
        <w:t xml:space="preserve"> </w:t>
      </w:r>
      <w:r>
        <w:rPr>
          <w:rFonts w:ascii="Calibri"/>
          <w:color w:val="003366"/>
          <w:sz w:val="20"/>
        </w:rPr>
        <w:t>efficiently;</w:t>
      </w:r>
    </w:p>
    <w:p w:rsidR="006C17CB" w:rsidRDefault="0030091C">
      <w:pPr>
        <w:pStyle w:val="ListParagraph"/>
        <w:numPr>
          <w:ilvl w:val="0"/>
          <w:numId w:val="16"/>
        </w:numPr>
        <w:tabs>
          <w:tab w:val="left" w:pos="1166"/>
          <w:tab w:val="left" w:pos="1167"/>
        </w:tabs>
        <w:spacing w:before="123" w:line="201" w:lineRule="auto"/>
        <w:ind w:left="1166" w:right="1502" w:hanging="359"/>
        <w:rPr>
          <w:rFonts w:ascii="Calibri"/>
          <w:sz w:val="20"/>
        </w:rPr>
      </w:pPr>
      <w:r>
        <w:rPr>
          <w:rFonts w:ascii="Calibri"/>
          <w:color w:val="003366"/>
          <w:sz w:val="20"/>
        </w:rPr>
        <w:t>providing business support functions, including administering the entitlements of members who are not part of the Executive;</w:t>
      </w:r>
      <w:r>
        <w:rPr>
          <w:rFonts w:ascii="Calibri"/>
          <w:color w:val="003366"/>
          <w:spacing w:val="-4"/>
          <w:sz w:val="20"/>
        </w:rPr>
        <w:t xml:space="preserve"> </w:t>
      </w:r>
      <w:r>
        <w:rPr>
          <w:rFonts w:ascii="Calibri"/>
          <w:color w:val="003366"/>
          <w:sz w:val="20"/>
        </w:rPr>
        <w:t>and</w:t>
      </w:r>
    </w:p>
    <w:p w:rsidR="006C17CB" w:rsidRDefault="0030091C">
      <w:pPr>
        <w:pStyle w:val="ListParagraph"/>
        <w:numPr>
          <w:ilvl w:val="0"/>
          <w:numId w:val="16"/>
        </w:numPr>
        <w:tabs>
          <w:tab w:val="left" w:pos="1166"/>
          <w:tab w:val="left" w:pos="1167"/>
        </w:tabs>
        <w:spacing w:before="98" w:line="240" w:lineRule="auto"/>
        <w:ind w:left="1166" w:hanging="359"/>
        <w:rPr>
          <w:rFonts w:ascii="Calibri"/>
          <w:sz w:val="20"/>
        </w:rPr>
      </w:pPr>
      <w:r>
        <w:rPr>
          <w:rFonts w:ascii="Calibri"/>
          <w:color w:val="003366"/>
          <w:sz w:val="20"/>
        </w:rPr>
        <w:t>maintaining the Assembly</w:t>
      </w:r>
      <w:r>
        <w:rPr>
          <w:rFonts w:ascii="Calibri"/>
          <w:color w:val="003366"/>
          <w:spacing w:val="-1"/>
          <w:sz w:val="20"/>
        </w:rPr>
        <w:t xml:space="preserve"> </w:t>
      </w:r>
      <w:r>
        <w:rPr>
          <w:rFonts w:ascii="Calibri"/>
          <w:color w:val="003366"/>
          <w:sz w:val="20"/>
        </w:rPr>
        <w:t>precincts.</w:t>
      </w:r>
    </w:p>
    <w:p w:rsidR="006C17CB" w:rsidRDefault="006C17CB">
      <w:pPr>
        <w:pStyle w:val="BodyText"/>
        <w:spacing w:before="13"/>
        <w:rPr>
          <w:rFonts w:ascii="Calibri"/>
          <w:sz w:val="15"/>
        </w:rPr>
      </w:pPr>
    </w:p>
    <w:p w:rsidR="006C17CB" w:rsidRDefault="0030091C">
      <w:pPr>
        <w:spacing w:line="204" w:lineRule="auto"/>
        <w:ind w:left="807" w:right="1412"/>
        <w:rPr>
          <w:rFonts w:ascii="Calibri"/>
          <w:sz w:val="20"/>
        </w:rPr>
      </w:pPr>
      <w:r>
        <w:rPr>
          <w:rFonts w:ascii="Calibri"/>
          <w:color w:val="003366"/>
          <w:sz w:val="20"/>
        </w:rPr>
        <w:t>The Office also has the function of providing public education about the functions of the Assembly and committees and may exercise any other function given to it under the Act or another territory law.</w:t>
      </w:r>
    </w:p>
    <w:p w:rsidR="006C17CB" w:rsidRDefault="006C17CB">
      <w:pPr>
        <w:spacing w:line="204" w:lineRule="auto"/>
        <w:rPr>
          <w:rFonts w:ascii="Calibri"/>
          <w:sz w:val="20"/>
        </w:rPr>
        <w:sectPr w:rsidR="006C17CB">
          <w:headerReference w:type="even" r:id="rId157"/>
          <w:headerReference w:type="default" r:id="rId158"/>
          <w:pgSz w:w="11910" w:h="16840"/>
          <w:pgMar w:top="2120" w:right="0" w:bottom="740" w:left="980" w:header="1187" w:footer="551" w:gutter="0"/>
          <w:cols w:space="720"/>
        </w:sectPr>
      </w:pPr>
    </w:p>
    <w:p w:rsidR="006C17CB" w:rsidRDefault="006C17CB">
      <w:pPr>
        <w:pStyle w:val="BodyText"/>
        <w:spacing w:before="9"/>
        <w:rPr>
          <w:rFonts w:ascii="Calibri"/>
          <w:sz w:val="21"/>
        </w:rPr>
      </w:pPr>
    </w:p>
    <w:p w:rsidR="006C17CB" w:rsidRDefault="0030091C">
      <w:pPr>
        <w:pStyle w:val="Heading6"/>
        <w:tabs>
          <w:tab w:val="left" w:pos="1962"/>
        </w:tabs>
        <w:spacing w:line="345" w:lineRule="exact"/>
      </w:pPr>
      <w:r>
        <w:rPr>
          <w:color w:val="003366"/>
        </w:rPr>
        <w:t>NOTE</w:t>
      </w:r>
      <w:r>
        <w:rPr>
          <w:color w:val="003366"/>
          <w:spacing w:val="-1"/>
        </w:rPr>
        <w:t xml:space="preserve"> </w:t>
      </w:r>
      <w:r>
        <w:rPr>
          <w:color w:val="003366"/>
        </w:rPr>
        <w:t>2.</w:t>
      </w:r>
      <w:r>
        <w:rPr>
          <w:color w:val="003366"/>
        </w:rPr>
        <w:tab/>
        <w:t>BASIS OF PREPARATION OF THE FINANCIAL</w:t>
      </w:r>
      <w:r>
        <w:rPr>
          <w:color w:val="003366"/>
          <w:spacing w:val="-3"/>
        </w:rPr>
        <w:t xml:space="preserve"> </w:t>
      </w:r>
      <w:r>
        <w:rPr>
          <w:color w:val="003366"/>
        </w:rPr>
        <w:t>STATEMENTS</w:t>
      </w:r>
    </w:p>
    <w:p w:rsidR="006C17CB" w:rsidRDefault="0030091C">
      <w:pPr>
        <w:spacing w:before="195"/>
        <w:ind w:left="829"/>
        <w:rPr>
          <w:rFonts w:ascii="Calibri"/>
          <w:b/>
          <w:sz w:val="20"/>
        </w:rPr>
      </w:pPr>
      <w:r>
        <w:rPr>
          <w:rFonts w:ascii="Calibri"/>
          <w:b/>
          <w:color w:val="003366"/>
          <w:sz w:val="20"/>
        </w:rPr>
        <w:t>LEGISLATIVE REQUIREMENT</w:t>
      </w:r>
    </w:p>
    <w:p w:rsidR="006C17CB" w:rsidRDefault="006C17CB">
      <w:pPr>
        <w:pStyle w:val="BodyText"/>
        <w:spacing w:before="1"/>
        <w:rPr>
          <w:rFonts w:ascii="Calibri"/>
          <w:b/>
          <w:sz w:val="16"/>
        </w:rPr>
      </w:pPr>
    </w:p>
    <w:p w:rsidR="006C17CB" w:rsidRDefault="0030091C">
      <w:pPr>
        <w:spacing w:line="204" w:lineRule="auto"/>
        <w:ind w:left="829" w:right="1476"/>
        <w:jc w:val="both"/>
        <w:rPr>
          <w:rFonts w:ascii="Calibri" w:hAnsi="Calibri"/>
          <w:sz w:val="20"/>
        </w:rPr>
      </w:pPr>
      <w:r>
        <w:rPr>
          <w:rFonts w:ascii="Calibri" w:hAnsi="Calibri"/>
          <w:color w:val="003366"/>
          <w:sz w:val="20"/>
        </w:rPr>
        <w:t xml:space="preserve">The </w:t>
      </w:r>
      <w:r>
        <w:rPr>
          <w:rFonts w:ascii="Calibri" w:hAnsi="Calibri"/>
          <w:i/>
          <w:color w:val="003366"/>
          <w:sz w:val="20"/>
        </w:rPr>
        <w:t xml:space="preserve">Financial Management Act 1996 </w:t>
      </w:r>
      <w:r>
        <w:rPr>
          <w:rFonts w:ascii="Calibri" w:hAnsi="Calibri"/>
          <w:color w:val="003366"/>
          <w:sz w:val="20"/>
        </w:rPr>
        <w:t xml:space="preserve">(FMA) requires the preparation of annual financial statements for ACT Government agencies. The FMA and the </w:t>
      </w:r>
      <w:r>
        <w:rPr>
          <w:rFonts w:ascii="Calibri" w:hAnsi="Calibri"/>
          <w:i/>
          <w:color w:val="003366"/>
          <w:sz w:val="20"/>
        </w:rPr>
        <w:t xml:space="preserve">Financial Management Guidelines </w:t>
      </w:r>
      <w:r>
        <w:rPr>
          <w:rFonts w:ascii="Calibri" w:hAnsi="Calibri"/>
          <w:color w:val="003366"/>
          <w:sz w:val="20"/>
        </w:rPr>
        <w:t>issued under the Act require the Office’s financial statements to include:</w:t>
      </w:r>
    </w:p>
    <w:p w:rsidR="006C17CB" w:rsidRDefault="0030091C">
      <w:pPr>
        <w:pStyle w:val="ListParagraph"/>
        <w:numPr>
          <w:ilvl w:val="0"/>
          <w:numId w:val="1"/>
        </w:numPr>
        <w:tabs>
          <w:tab w:val="left" w:pos="1681"/>
          <w:tab w:val="left" w:pos="1682"/>
        </w:tabs>
        <w:spacing w:before="82" w:line="240" w:lineRule="auto"/>
        <w:ind w:hanging="568"/>
        <w:rPr>
          <w:rFonts w:ascii="Calibri"/>
          <w:sz w:val="20"/>
        </w:rPr>
      </w:pPr>
      <w:r>
        <w:rPr>
          <w:rFonts w:ascii="Calibri"/>
          <w:color w:val="003366"/>
          <w:sz w:val="20"/>
        </w:rPr>
        <w:t>an Operating Statement for the</w:t>
      </w:r>
      <w:r>
        <w:rPr>
          <w:rFonts w:ascii="Calibri"/>
          <w:color w:val="003366"/>
          <w:spacing w:val="-1"/>
          <w:sz w:val="20"/>
        </w:rPr>
        <w:t xml:space="preserve"> </w:t>
      </w:r>
      <w:r>
        <w:rPr>
          <w:rFonts w:ascii="Calibri"/>
          <w:color w:val="003366"/>
          <w:sz w:val="20"/>
        </w:rPr>
        <w:t>year;</w:t>
      </w:r>
    </w:p>
    <w:p w:rsidR="006C17CB" w:rsidRDefault="0030091C">
      <w:pPr>
        <w:pStyle w:val="ListParagraph"/>
        <w:numPr>
          <w:ilvl w:val="0"/>
          <w:numId w:val="1"/>
        </w:numPr>
        <w:tabs>
          <w:tab w:val="left" w:pos="1681"/>
          <w:tab w:val="left" w:pos="1682"/>
        </w:tabs>
        <w:spacing w:before="76" w:line="240" w:lineRule="auto"/>
        <w:ind w:left="1681"/>
        <w:rPr>
          <w:rFonts w:ascii="Calibri"/>
          <w:sz w:val="20"/>
        </w:rPr>
      </w:pPr>
      <w:r>
        <w:rPr>
          <w:rFonts w:ascii="Calibri"/>
          <w:color w:val="003366"/>
          <w:sz w:val="20"/>
        </w:rPr>
        <w:t>a Balance Sheet as at the end of the</w:t>
      </w:r>
      <w:r>
        <w:rPr>
          <w:rFonts w:ascii="Calibri"/>
          <w:color w:val="003366"/>
          <w:spacing w:val="-5"/>
          <w:sz w:val="20"/>
        </w:rPr>
        <w:t xml:space="preserve"> </w:t>
      </w:r>
      <w:r>
        <w:rPr>
          <w:rFonts w:ascii="Calibri"/>
          <w:color w:val="003366"/>
          <w:sz w:val="20"/>
        </w:rPr>
        <w:t>year;</w:t>
      </w:r>
    </w:p>
    <w:p w:rsidR="006C17CB" w:rsidRDefault="0030091C">
      <w:pPr>
        <w:pStyle w:val="ListParagraph"/>
        <w:numPr>
          <w:ilvl w:val="0"/>
          <w:numId w:val="1"/>
        </w:numPr>
        <w:tabs>
          <w:tab w:val="left" w:pos="1681"/>
          <w:tab w:val="left" w:pos="1682"/>
        </w:tabs>
        <w:spacing w:before="77" w:line="240" w:lineRule="auto"/>
        <w:ind w:left="1681"/>
        <w:rPr>
          <w:rFonts w:ascii="Calibri"/>
          <w:sz w:val="20"/>
        </w:rPr>
      </w:pPr>
      <w:r>
        <w:rPr>
          <w:rFonts w:ascii="Calibri"/>
          <w:color w:val="003366"/>
          <w:sz w:val="20"/>
        </w:rPr>
        <w:t>a Statement of Changes in Equity for the</w:t>
      </w:r>
      <w:r>
        <w:rPr>
          <w:rFonts w:ascii="Calibri"/>
          <w:color w:val="003366"/>
          <w:spacing w:val="-1"/>
          <w:sz w:val="20"/>
        </w:rPr>
        <w:t xml:space="preserve"> </w:t>
      </w:r>
      <w:r>
        <w:rPr>
          <w:rFonts w:ascii="Calibri"/>
          <w:color w:val="003366"/>
          <w:sz w:val="20"/>
        </w:rPr>
        <w:t>year;</w:t>
      </w:r>
    </w:p>
    <w:p w:rsidR="006C17CB" w:rsidRDefault="0030091C">
      <w:pPr>
        <w:pStyle w:val="ListParagraph"/>
        <w:numPr>
          <w:ilvl w:val="0"/>
          <w:numId w:val="1"/>
        </w:numPr>
        <w:tabs>
          <w:tab w:val="left" w:pos="1681"/>
          <w:tab w:val="left" w:pos="1682"/>
        </w:tabs>
        <w:spacing w:before="74" w:line="240" w:lineRule="auto"/>
        <w:ind w:left="1681"/>
        <w:rPr>
          <w:rFonts w:ascii="Calibri"/>
          <w:sz w:val="20"/>
        </w:rPr>
      </w:pPr>
      <w:r>
        <w:rPr>
          <w:rFonts w:ascii="Calibri"/>
          <w:color w:val="003366"/>
          <w:sz w:val="20"/>
        </w:rPr>
        <w:t>a Cash Flow Statement for the year;</w:t>
      </w:r>
    </w:p>
    <w:p w:rsidR="006C17CB" w:rsidRDefault="0030091C">
      <w:pPr>
        <w:pStyle w:val="ListParagraph"/>
        <w:numPr>
          <w:ilvl w:val="0"/>
          <w:numId w:val="1"/>
        </w:numPr>
        <w:tabs>
          <w:tab w:val="left" w:pos="1681"/>
          <w:tab w:val="left" w:pos="1682"/>
        </w:tabs>
        <w:spacing w:before="76" w:line="240" w:lineRule="auto"/>
        <w:ind w:left="1681"/>
        <w:rPr>
          <w:rFonts w:ascii="Calibri"/>
          <w:sz w:val="20"/>
        </w:rPr>
      </w:pPr>
      <w:r>
        <w:rPr>
          <w:rFonts w:ascii="Calibri"/>
          <w:color w:val="003366"/>
          <w:sz w:val="20"/>
        </w:rPr>
        <w:t>a Statement of Appropriation for the</w:t>
      </w:r>
      <w:r>
        <w:rPr>
          <w:rFonts w:ascii="Calibri"/>
          <w:color w:val="003366"/>
          <w:spacing w:val="-2"/>
          <w:sz w:val="20"/>
        </w:rPr>
        <w:t xml:space="preserve"> </w:t>
      </w:r>
      <w:r>
        <w:rPr>
          <w:rFonts w:ascii="Calibri"/>
          <w:color w:val="003366"/>
          <w:sz w:val="20"/>
        </w:rPr>
        <w:t>year;</w:t>
      </w:r>
    </w:p>
    <w:p w:rsidR="006C17CB" w:rsidRDefault="0030091C">
      <w:pPr>
        <w:pStyle w:val="ListParagraph"/>
        <w:numPr>
          <w:ilvl w:val="0"/>
          <w:numId w:val="1"/>
        </w:numPr>
        <w:tabs>
          <w:tab w:val="left" w:pos="1680"/>
          <w:tab w:val="left" w:pos="1681"/>
        </w:tabs>
        <w:spacing w:before="77" w:line="240" w:lineRule="auto"/>
        <w:ind w:hanging="568"/>
        <w:rPr>
          <w:rFonts w:ascii="Calibri"/>
          <w:sz w:val="20"/>
        </w:rPr>
      </w:pPr>
      <w:r>
        <w:rPr>
          <w:rFonts w:ascii="Calibri"/>
          <w:color w:val="003366"/>
          <w:sz w:val="20"/>
        </w:rPr>
        <w:t>the significant accounting policies adopted for the year;</w:t>
      </w:r>
      <w:r>
        <w:rPr>
          <w:rFonts w:ascii="Calibri"/>
          <w:color w:val="003366"/>
          <w:spacing w:val="-6"/>
          <w:sz w:val="20"/>
        </w:rPr>
        <w:t xml:space="preserve"> </w:t>
      </w:r>
      <w:r>
        <w:rPr>
          <w:rFonts w:ascii="Calibri"/>
          <w:color w:val="003366"/>
          <w:sz w:val="20"/>
        </w:rPr>
        <w:t>and</w:t>
      </w:r>
    </w:p>
    <w:p w:rsidR="006C17CB" w:rsidRDefault="0030091C">
      <w:pPr>
        <w:pStyle w:val="ListParagraph"/>
        <w:numPr>
          <w:ilvl w:val="0"/>
          <w:numId w:val="1"/>
        </w:numPr>
        <w:tabs>
          <w:tab w:val="left" w:pos="1680"/>
          <w:tab w:val="left" w:pos="1681"/>
        </w:tabs>
        <w:spacing w:before="114" w:line="201" w:lineRule="auto"/>
        <w:ind w:right="1474" w:hanging="568"/>
        <w:rPr>
          <w:rFonts w:ascii="Calibri"/>
          <w:sz w:val="20"/>
        </w:rPr>
      </w:pPr>
      <w:r>
        <w:rPr>
          <w:rFonts w:ascii="Calibri"/>
          <w:color w:val="003366"/>
          <w:sz w:val="20"/>
        </w:rPr>
        <w:t>other statements as necessary to fairly reflect the financial operations of the Office during the year and its financial position at the end of the</w:t>
      </w:r>
      <w:r>
        <w:rPr>
          <w:rFonts w:ascii="Calibri"/>
          <w:color w:val="003366"/>
          <w:spacing w:val="-4"/>
          <w:sz w:val="20"/>
        </w:rPr>
        <w:t xml:space="preserve"> </w:t>
      </w:r>
      <w:r>
        <w:rPr>
          <w:rFonts w:ascii="Calibri"/>
          <w:color w:val="003366"/>
          <w:sz w:val="20"/>
        </w:rPr>
        <w:t>year.</w:t>
      </w:r>
    </w:p>
    <w:p w:rsidR="006C17CB" w:rsidRDefault="0030091C">
      <w:pPr>
        <w:spacing w:before="123" w:line="201" w:lineRule="auto"/>
        <w:ind w:left="829" w:right="1472"/>
        <w:jc w:val="both"/>
        <w:rPr>
          <w:rFonts w:ascii="Calibri"/>
          <w:sz w:val="20"/>
        </w:rPr>
      </w:pPr>
      <w:r>
        <w:rPr>
          <w:rFonts w:ascii="Calibri"/>
          <w:color w:val="003366"/>
          <w:sz w:val="20"/>
        </w:rPr>
        <w:t>These general-purpose financial statements have been prepared to comply with Australian Accounting Standards as required by the FMA. Accordingly, these financial statements have been prepared in accordance with:</w:t>
      </w:r>
    </w:p>
    <w:p w:rsidR="006C17CB" w:rsidRDefault="0030091C">
      <w:pPr>
        <w:pStyle w:val="ListParagraph"/>
        <w:numPr>
          <w:ilvl w:val="0"/>
          <w:numId w:val="15"/>
        </w:numPr>
        <w:tabs>
          <w:tab w:val="left" w:pos="1681"/>
          <w:tab w:val="left" w:pos="1682"/>
        </w:tabs>
        <w:spacing w:before="88" w:line="240" w:lineRule="auto"/>
        <w:rPr>
          <w:rFonts w:ascii="Calibri"/>
          <w:sz w:val="20"/>
        </w:rPr>
      </w:pPr>
      <w:r>
        <w:rPr>
          <w:rFonts w:ascii="Calibri"/>
          <w:color w:val="003366"/>
          <w:sz w:val="20"/>
        </w:rPr>
        <w:t>Australian Accounting Standards;</w:t>
      </w:r>
      <w:r>
        <w:rPr>
          <w:rFonts w:ascii="Calibri"/>
          <w:color w:val="003366"/>
          <w:spacing w:val="-1"/>
          <w:sz w:val="20"/>
        </w:rPr>
        <w:t xml:space="preserve"> </w:t>
      </w:r>
      <w:r>
        <w:rPr>
          <w:rFonts w:ascii="Calibri"/>
          <w:color w:val="003366"/>
          <w:sz w:val="20"/>
        </w:rPr>
        <w:t>and</w:t>
      </w:r>
    </w:p>
    <w:p w:rsidR="006C17CB" w:rsidRDefault="0030091C">
      <w:pPr>
        <w:pStyle w:val="ListParagraph"/>
        <w:numPr>
          <w:ilvl w:val="0"/>
          <w:numId w:val="15"/>
        </w:numPr>
        <w:tabs>
          <w:tab w:val="left" w:pos="1681"/>
          <w:tab w:val="left" w:pos="1682"/>
        </w:tabs>
        <w:spacing w:before="76" w:line="240" w:lineRule="auto"/>
        <w:rPr>
          <w:rFonts w:ascii="Calibri"/>
          <w:sz w:val="20"/>
        </w:rPr>
      </w:pPr>
      <w:r>
        <w:rPr>
          <w:rFonts w:ascii="Calibri"/>
          <w:color w:val="003366"/>
          <w:sz w:val="20"/>
        </w:rPr>
        <w:t>ACT Accounting and Disclosure</w:t>
      </w:r>
      <w:r>
        <w:rPr>
          <w:rFonts w:ascii="Calibri"/>
          <w:color w:val="003366"/>
          <w:spacing w:val="-2"/>
          <w:sz w:val="20"/>
        </w:rPr>
        <w:t xml:space="preserve"> </w:t>
      </w:r>
      <w:r>
        <w:rPr>
          <w:rFonts w:ascii="Calibri"/>
          <w:color w:val="003366"/>
          <w:sz w:val="20"/>
        </w:rPr>
        <w:t>Policies.</w:t>
      </w:r>
    </w:p>
    <w:p w:rsidR="006C17CB" w:rsidRDefault="006C17CB">
      <w:pPr>
        <w:pStyle w:val="BodyText"/>
        <w:rPr>
          <w:rFonts w:ascii="Calibri"/>
        </w:rPr>
      </w:pPr>
    </w:p>
    <w:p w:rsidR="006C17CB" w:rsidRDefault="0030091C">
      <w:pPr>
        <w:ind w:left="829"/>
        <w:rPr>
          <w:rFonts w:ascii="Calibri"/>
          <w:b/>
          <w:sz w:val="20"/>
        </w:rPr>
      </w:pPr>
      <w:r>
        <w:rPr>
          <w:rFonts w:ascii="Calibri"/>
          <w:b/>
          <w:color w:val="003366"/>
          <w:sz w:val="20"/>
        </w:rPr>
        <w:t>ACCRUAL ACCOUNTING</w:t>
      </w:r>
    </w:p>
    <w:p w:rsidR="006C17CB" w:rsidRDefault="006C17CB">
      <w:pPr>
        <w:pStyle w:val="BodyText"/>
        <w:spacing w:before="13"/>
        <w:rPr>
          <w:rFonts w:ascii="Calibri"/>
          <w:b/>
          <w:sz w:val="15"/>
        </w:rPr>
      </w:pPr>
    </w:p>
    <w:p w:rsidR="006C17CB" w:rsidRDefault="0030091C">
      <w:pPr>
        <w:spacing w:line="204" w:lineRule="auto"/>
        <w:ind w:left="829" w:right="1471"/>
        <w:jc w:val="both"/>
        <w:rPr>
          <w:rFonts w:ascii="Calibri"/>
          <w:sz w:val="20"/>
        </w:rPr>
      </w:pPr>
      <w:r>
        <w:rPr>
          <w:rFonts w:ascii="Calibri"/>
          <w:color w:val="003366"/>
          <w:sz w:val="20"/>
        </w:rPr>
        <w:t>The financial statements have been prepared using the accrual basis of accounting, which recognises the effects</w:t>
      </w:r>
      <w:r>
        <w:rPr>
          <w:rFonts w:ascii="Calibri"/>
          <w:color w:val="003366"/>
          <w:spacing w:val="-10"/>
          <w:sz w:val="20"/>
        </w:rPr>
        <w:t xml:space="preserve"> </w:t>
      </w:r>
      <w:r>
        <w:rPr>
          <w:rFonts w:ascii="Calibri"/>
          <w:color w:val="003366"/>
          <w:sz w:val="20"/>
        </w:rPr>
        <w:t>of</w:t>
      </w:r>
      <w:r>
        <w:rPr>
          <w:rFonts w:ascii="Calibri"/>
          <w:color w:val="003366"/>
          <w:spacing w:val="-10"/>
          <w:sz w:val="20"/>
        </w:rPr>
        <w:t xml:space="preserve"> </w:t>
      </w:r>
      <w:r>
        <w:rPr>
          <w:rFonts w:ascii="Calibri"/>
          <w:color w:val="003366"/>
          <w:sz w:val="20"/>
        </w:rPr>
        <w:t>transactions</w:t>
      </w:r>
      <w:r>
        <w:rPr>
          <w:rFonts w:ascii="Calibri"/>
          <w:color w:val="003366"/>
          <w:spacing w:val="-10"/>
          <w:sz w:val="20"/>
        </w:rPr>
        <w:t xml:space="preserve"> </w:t>
      </w:r>
      <w:r>
        <w:rPr>
          <w:rFonts w:ascii="Calibri"/>
          <w:color w:val="003366"/>
          <w:sz w:val="20"/>
        </w:rPr>
        <w:t>and</w:t>
      </w:r>
      <w:r>
        <w:rPr>
          <w:rFonts w:ascii="Calibri"/>
          <w:color w:val="003366"/>
          <w:spacing w:val="-8"/>
          <w:sz w:val="20"/>
        </w:rPr>
        <w:t xml:space="preserve"> </w:t>
      </w:r>
      <w:r>
        <w:rPr>
          <w:rFonts w:ascii="Calibri"/>
          <w:color w:val="003366"/>
          <w:sz w:val="20"/>
        </w:rPr>
        <w:t>events</w:t>
      </w:r>
      <w:r>
        <w:rPr>
          <w:rFonts w:ascii="Calibri"/>
          <w:color w:val="003366"/>
          <w:spacing w:val="-10"/>
          <w:sz w:val="20"/>
        </w:rPr>
        <w:t xml:space="preserve"> </w:t>
      </w:r>
      <w:r>
        <w:rPr>
          <w:rFonts w:ascii="Calibri"/>
          <w:color w:val="003366"/>
          <w:sz w:val="20"/>
        </w:rPr>
        <w:t>when</w:t>
      </w:r>
      <w:r>
        <w:rPr>
          <w:rFonts w:ascii="Calibri"/>
          <w:color w:val="003366"/>
          <w:spacing w:val="-8"/>
          <w:sz w:val="20"/>
        </w:rPr>
        <w:t xml:space="preserve"> </w:t>
      </w:r>
      <w:r>
        <w:rPr>
          <w:rFonts w:ascii="Calibri"/>
          <w:color w:val="003366"/>
          <w:sz w:val="20"/>
        </w:rPr>
        <w:t>they</w:t>
      </w:r>
      <w:r>
        <w:rPr>
          <w:rFonts w:ascii="Calibri"/>
          <w:color w:val="003366"/>
          <w:spacing w:val="-8"/>
          <w:sz w:val="20"/>
        </w:rPr>
        <w:t xml:space="preserve"> </w:t>
      </w:r>
      <w:r>
        <w:rPr>
          <w:rFonts w:ascii="Calibri"/>
          <w:color w:val="003366"/>
          <w:sz w:val="20"/>
        </w:rPr>
        <w:t>occur.</w:t>
      </w:r>
      <w:r>
        <w:rPr>
          <w:rFonts w:ascii="Calibri"/>
          <w:color w:val="003366"/>
          <w:spacing w:val="-9"/>
          <w:sz w:val="20"/>
        </w:rPr>
        <w:t xml:space="preserve"> </w:t>
      </w:r>
      <w:r>
        <w:rPr>
          <w:rFonts w:ascii="Calibri"/>
          <w:color w:val="003366"/>
          <w:sz w:val="20"/>
        </w:rPr>
        <w:t>The</w:t>
      </w:r>
      <w:r>
        <w:rPr>
          <w:rFonts w:ascii="Calibri"/>
          <w:color w:val="003366"/>
          <w:spacing w:val="-9"/>
          <w:sz w:val="20"/>
        </w:rPr>
        <w:t xml:space="preserve"> </w:t>
      </w:r>
      <w:r>
        <w:rPr>
          <w:rFonts w:ascii="Calibri"/>
          <w:color w:val="003366"/>
          <w:sz w:val="20"/>
        </w:rPr>
        <w:t>financial</w:t>
      </w:r>
      <w:r>
        <w:rPr>
          <w:rFonts w:ascii="Calibri"/>
          <w:color w:val="003366"/>
          <w:spacing w:val="-9"/>
          <w:sz w:val="20"/>
        </w:rPr>
        <w:t xml:space="preserve"> </w:t>
      </w:r>
      <w:r>
        <w:rPr>
          <w:rFonts w:ascii="Calibri"/>
          <w:color w:val="003366"/>
          <w:sz w:val="20"/>
        </w:rPr>
        <w:t>statements</w:t>
      </w:r>
      <w:r>
        <w:rPr>
          <w:rFonts w:ascii="Calibri"/>
          <w:color w:val="003366"/>
          <w:spacing w:val="-10"/>
          <w:sz w:val="20"/>
        </w:rPr>
        <w:t xml:space="preserve"> </w:t>
      </w:r>
      <w:r>
        <w:rPr>
          <w:rFonts w:ascii="Calibri"/>
          <w:color w:val="003366"/>
          <w:sz w:val="20"/>
        </w:rPr>
        <w:t>are</w:t>
      </w:r>
      <w:r>
        <w:rPr>
          <w:rFonts w:ascii="Calibri"/>
          <w:color w:val="003366"/>
          <w:spacing w:val="-11"/>
          <w:sz w:val="20"/>
        </w:rPr>
        <w:t xml:space="preserve"> </w:t>
      </w:r>
      <w:r>
        <w:rPr>
          <w:rFonts w:ascii="Calibri"/>
          <w:color w:val="003366"/>
          <w:sz w:val="20"/>
        </w:rPr>
        <w:t>prepared</w:t>
      </w:r>
      <w:r>
        <w:rPr>
          <w:rFonts w:ascii="Calibri"/>
          <w:color w:val="003366"/>
          <w:spacing w:val="-8"/>
          <w:sz w:val="20"/>
        </w:rPr>
        <w:t xml:space="preserve"> </w:t>
      </w:r>
      <w:r>
        <w:rPr>
          <w:rFonts w:ascii="Calibri"/>
          <w:color w:val="003366"/>
          <w:sz w:val="20"/>
        </w:rPr>
        <w:t>according</w:t>
      </w:r>
      <w:r>
        <w:rPr>
          <w:rFonts w:ascii="Calibri"/>
          <w:color w:val="003366"/>
          <w:spacing w:val="-9"/>
          <w:sz w:val="20"/>
        </w:rPr>
        <w:t xml:space="preserve"> </w:t>
      </w:r>
      <w:r>
        <w:rPr>
          <w:rFonts w:ascii="Calibri"/>
          <w:color w:val="003366"/>
          <w:sz w:val="20"/>
        </w:rPr>
        <w:t>to</w:t>
      </w:r>
      <w:r>
        <w:rPr>
          <w:rFonts w:ascii="Calibri"/>
          <w:color w:val="003366"/>
          <w:spacing w:val="-11"/>
          <w:sz w:val="20"/>
        </w:rPr>
        <w:t xml:space="preserve"> </w:t>
      </w:r>
      <w:r>
        <w:rPr>
          <w:rFonts w:ascii="Calibri"/>
          <w:color w:val="003366"/>
          <w:sz w:val="20"/>
        </w:rPr>
        <w:t>the historical cost convention, except for property, plant and equipment and financial instruments which are valued at fair value in accordance with (re)valuation policies applicable to the Office during the reporting period.</w:t>
      </w:r>
    </w:p>
    <w:p w:rsidR="006C17CB" w:rsidRDefault="006C17CB">
      <w:pPr>
        <w:pStyle w:val="BodyText"/>
        <w:spacing w:before="14"/>
        <w:rPr>
          <w:rFonts w:ascii="Calibri"/>
          <w:sz w:val="13"/>
        </w:rPr>
      </w:pPr>
    </w:p>
    <w:p w:rsidR="006C17CB" w:rsidRDefault="0030091C">
      <w:pPr>
        <w:ind w:left="829"/>
        <w:jc w:val="both"/>
        <w:rPr>
          <w:rFonts w:ascii="Calibri"/>
          <w:b/>
          <w:sz w:val="20"/>
        </w:rPr>
      </w:pPr>
      <w:r>
        <w:rPr>
          <w:rFonts w:ascii="Calibri"/>
          <w:b/>
          <w:color w:val="003366"/>
          <w:sz w:val="20"/>
        </w:rPr>
        <w:t>CURRENCY</w:t>
      </w:r>
    </w:p>
    <w:p w:rsidR="006C17CB" w:rsidRDefault="006C17CB">
      <w:pPr>
        <w:pStyle w:val="BodyText"/>
        <w:spacing w:before="9"/>
        <w:rPr>
          <w:rFonts w:ascii="Calibri"/>
          <w:b/>
          <w:sz w:val="13"/>
        </w:rPr>
      </w:pPr>
    </w:p>
    <w:p w:rsidR="006C17CB" w:rsidRDefault="0030091C">
      <w:pPr>
        <w:ind w:left="829"/>
        <w:jc w:val="both"/>
        <w:rPr>
          <w:rFonts w:ascii="Calibri" w:hAnsi="Calibri"/>
          <w:sz w:val="20"/>
        </w:rPr>
      </w:pPr>
      <w:r>
        <w:rPr>
          <w:rFonts w:ascii="Calibri" w:hAnsi="Calibri"/>
          <w:color w:val="003366"/>
          <w:sz w:val="20"/>
        </w:rPr>
        <w:t>These financial statements are presented in Australian dollars, which is the Office’s functional currency.</w:t>
      </w:r>
    </w:p>
    <w:p w:rsidR="006C17CB" w:rsidRDefault="006C17CB">
      <w:pPr>
        <w:pStyle w:val="BodyText"/>
        <w:spacing w:before="7"/>
        <w:rPr>
          <w:rFonts w:ascii="Calibri"/>
          <w:sz w:val="13"/>
        </w:rPr>
      </w:pPr>
    </w:p>
    <w:p w:rsidR="006C17CB" w:rsidRDefault="0030091C">
      <w:pPr>
        <w:ind w:left="829"/>
        <w:jc w:val="both"/>
        <w:rPr>
          <w:rFonts w:ascii="Calibri"/>
          <w:b/>
          <w:sz w:val="20"/>
        </w:rPr>
      </w:pPr>
      <w:r>
        <w:rPr>
          <w:rFonts w:ascii="Calibri"/>
          <w:b/>
          <w:color w:val="003366"/>
          <w:sz w:val="20"/>
        </w:rPr>
        <w:t>INDIVIDUAL REPORTING ENTITY</w:t>
      </w:r>
    </w:p>
    <w:p w:rsidR="006C17CB" w:rsidRDefault="006C17CB">
      <w:pPr>
        <w:pStyle w:val="BodyText"/>
        <w:spacing w:before="9"/>
        <w:rPr>
          <w:rFonts w:ascii="Calibri"/>
          <w:b/>
          <w:sz w:val="13"/>
        </w:rPr>
      </w:pPr>
    </w:p>
    <w:p w:rsidR="006C17CB" w:rsidRDefault="0030091C">
      <w:pPr>
        <w:ind w:left="829"/>
        <w:jc w:val="both"/>
        <w:rPr>
          <w:rFonts w:ascii="Calibri"/>
          <w:sz w:val="20"/>
        </w:rPr>
      </w:pPr>
      <w:r>
        <w:rPr>
          <w:rFonts w:ascii="Calibri"/>
          <w:color w:val="003366"/>
          <w:sz w:val="20"/>
        </w:rPr>
        <w:t>The Office is an individual reporting entity.</w:t>
      </w:r>
    </w:p>
    <w:p w:rsidR="006C17CB" w:rsidRDefault="006C17CB">
      <w:pPr>
        <w:jc w:val="both"/>
        <w:rPr>
          <w:rFonts w:ascii="Calibri"/>
          <w:sz w:val="20"/>
        </w:rPr>
        <w:sectPr w:rsidR="006C17CB">
          <w:pgSz w:w="11910" w:h="16840"/>
          <w:pgMar w:top="2120" w:right="0" w:bottom="720" w:left="980" w:header="1173" w:footer="523" w:gutter="0"/>
          <w:cols w:space="720"/>
        </w:sectPr>
      </w:pPr>
    </w:p>
    <w:p w:rsidR="006C17CB" w:rsidRDefault="006C17CB">
      <w:pPr>
        <w:pStyle w:val="BodyText"/>
        <w:spacing w:before="9"/>
        <w:rPr>
          <w:rFonts w:ascii="Calibri"/>
          <w:sz w:val="21"/>
        </w:rPr>
      </w:pPr>
    </w:p>
    <w:p w:rsidR="006C17CB" w:rsidRDefault="0030091C">
      <w:pPr>
        <w:pStyle w:val="Heading6"/>
        <w:tabs>
          <w:tab w:val="left" w:pos="1962"/>
        </w:tabs>
        <w:spacing w:line="345" w:lineRule="exact"/>
      </w:pPr>
      <w:r>
        <w:rPr>
          <w:color w:val="003366"/>
        </w:rPr>
        <w:t>NOTE</w:t>
      </w:r>
      <w:r>
        <w:rPr>
          <w:color w:val="003366"/>
          <w:spacing w:val="-1"/>
        </w:rPr>
        <w:t xml:space="preserve"> </w:t>
      </w:r>
      <w:r>
        <w:rPr>
          <w:color w:val="003366"/>
        </w:rPr>
        <w:t>2.</w:t>
      </w:r>
      <w:r>
        <w:rPr>
          <w:color w:val="003366"/>
        </w:rPr>
        <w:tab/>
        <w:t>BASIS OF PREPARATION OF THE FINANCIAL STATEMENTS –</w:t>
      </w:r>
      <w:r>
        <w:rPr>
          <w:color w:val="003366"/>
          <w:spacing w:val="-5"/>
        </w:rPr>
        <w:t xml:space="preserve"> </w:t>
      </w:r>
      <w:r>
        <w:rPr>
          <w:color w:val="003366"/>
        </w:rPr>
        <w:t>CONTINUED</w:t>
      </w:r>
    </w:p>
    <w:p w:rsidR="006C17CB" w:rsidRDefault="0030091C">
      <w:pPr>
        <w:spacing w:before="195"/>
        <w:ind w:left="829"/>
        <w:rPr>
          <w:rFonts w:ascii="Calibri"/>
          <w:b/>
          <w:sz w:val="20"/>
        </w:rPr>
      </w:pPr>
      <w:r>
        <w:rPr>
          <w:rFonts w:ascii="Calibri"/>
          <w:b/>
          <w:color w:val="003366"/>
          <w:sz w:val="20"/>
        </w:rPr>
        <w:t>CONTROLLED AND TERRITORIAL ITEMS</w:t>
      </w:r>
    </w:p>
    <w:p w:rsidR="006C17CB" w:rsidRDefault="006C17CB">
      <w:pPr>
        <w:pStyle w:val="BodyText"/>
        <w:spacing w:before="1"/>
        <w:rPr>
          <w:rFonts w:ascii="Calibri"/>
          <w:b/>
          <w:sz w:val="16"/>
        </w:rPr>
      </w:pPr>
    </w:p>
    <w:p w:rsidR="006C17CB" w:rsidRDefault="0030091C">
      <w:pPr>
        <w:spacing w:line="204" w:lineRule="auto"/>
        <w:ind w:left="829" w:right="1472"/>
        <w:jc w:val="both"/>
        <w:rPr>
          <w:rFonts w:ascii="Calibri"/>
          <w:sz w:val="20"/>
        </w:rPr>
      </w:pPr>
      <w:r>
        <w:rPr>
          <w:rFonts w:ascii="Calibri"/>
          <w:color w:val="003366"/>
          <w:sz w:val="20"/>
        </w:rPr>
        <w:t>The Office produces Controlled and Territorial financial statements. The Controlled financial statements include income, expenses, assets and liabilities over which the Office has control. The Territorial financial statements include income, expenses, assets and liabilities that the Office administers on behalf of the ACT Government, but does not control.</w:t>
      </w:r>
    </w:p>
    <w:p w:rsidR="006C17CB" w:rsidRDefault="0030091C">
      <w:pPr>
        <w:spacing w:before="117" w:line="204" w:lineRule="auto"/>
        <w:ind w:left="829" w:right="1475"/>
        <w:jc w:val="both"/>
        <w:rPr>
          <w:rFonts w:ascii="Calibri" w:hAnsi="Calibri"/>
          <w:sz w:val="20"/>
        </w:rPr>
      </w:pPr>
      <w:r>
        <w:rPr>
          <w:rFonts w:ascii="Calibri" w:hAnsi="Calibri"/>
          <w:color w:val="003366"/>
          <w:sz w:val="20"/>
        </w:rPr>
        <w:t>The</w:t>
      </w:r>
      <w:r>
        <w:rPr>
          <w:rFonts w:ascii="Calibri" w:hAnsi="Calibri"/>
          <w:color w:val="003366"/>
          <w:spacing w:val="-10"/>
          <w:sz w:val="20"/>
        </w:rPr>
        <w:t xml:space="preserve"> </w:t>
      </w:r>
      <w:r>
        <w:rPr>
          <w:rFonts w:ascii="Calibri" w:hAnsi="Calibri"/>
          <w:color w:val="003366"/>
          <w:sz w:val="20"/>
        </w:rPr>
        <w:t>purpose</w:t>
      </w:r>
      <w:r>
        <w:rPr>
          <w:rFonts w:ascii="Calibri" w:hAnsi="Calibri"/>
          <w:color w:val="003366"/>
          <w:spacing w:val="-10"/>
          <w:sz w:val="20"/>
        </w:rPr>
        <w:t xml:space="preserve"> </w:t>
      </w:r>
      <w:r>
        <w:rPr>
          <w:rFonts w:ascii="Calibri" w:hAnsi="Calibri"/>
          <w:color w:val="003366"/>
          <w:sz w:val="20"/>
        </w:rPr>
        <w:t>of</w:t>
      </w:r>
      <w:r>
        <w:rPr>
          <w:rFonts w:ascii="Calibri" w:hAnsi="Calibri"/>
          <w:color w:val="003366"/>
          <w:spacing w:val="-10"/>
          <w:sz w:val="20"/>
        </w:rPr>
        <w:t xml:space="preserve"> </w:t>
      </w:r>
      <w:r>
        <w:rPr>
          <w:rFonts w:ascii="Calibri" w:hAnsi="Calibri"/>
          <w:color w:val="003366"/>
          <w:sz w:val="20"/>
        </w:rPr>
        <w:t>the</w:t>
      </w:r>
      <w:r>
        <w:rPr>
          <w:rFonts w:ascii="Calibri" w:hAnsi="Calibri"/>
          <w:color w:val="003366"/>
          <w:spacing w:val="-10"/>
          <w:sz w:val="20"/>
        </w:rPr>
        <w:t xml:space="preserve"> </w:t>
      </w:r>
      <w:r>
        <w:rPr>
          <w:rFonts w:ascii="Calibri" w:hAnsi="Calibri"/>
          <w:color w:val="003366"/>
          <w:sz w:val="20"/>
        </w:rPr>
        <w:t>distinction</w:t>
      </w:r>
      <w:r>
        <w:rPr>
          <w:rFonts w:ascii="Calibri" w:hAnsi="Calibri"/>
          <w:color w:val="003366"/>
          <w:spacing w:val="-9"/>
          <w:sz w:val="20"/>
        </w:rPr>
        <w:t xml:space="preserve"> </w:t>
      </w:r>
      <w:r>
        <w:rPr>
          <w:rFonts w:ascii="Calibri" w:hAnsi="Calibri"/>
          <w:color w:val="003366"/>
          <w:sz w:val="20"/>
        </w:rPr>
        <w:t>between</w:t>
      </w:r>
      <w:r>
        <w:rPr>
          <w:rFonts w:ascii="Calibri" w:hAnsi="Calibri"/>
          <w:color w:val="003366"/>
          <w:spacing w:val="-9"/>
          <w:sz w:val="20"/>
        </w:rPr>
        <w:t xml:space="preserve"> </w:t>
      </w:r>
      <w:r>
        <w:rPr>
          <w:rFonts w:ascii="Calibri" w:hAnsi="Calibri"/>
          <w:color w:val="003366"/>
          <w:sz w:val="20"/>
        </w:rPr>
        <w:t>Controlled</w:t>
      </w:r>
      <w:r>
        <w:rPr>
          <w:rFonts w:ascii="Calibri" w:hAnsi="Calibri"/>
          <w:color w:val="003366"/>
          <w:spacing w:val="-9"/>
          <w:sz w:val="20"/>
        </w:rPr>
        <w:t xml:space="preserve"> </w:t>
      </w:r>
      <w:r>
        <w:rPr>
          <w:rFonts w:ascii="Calibri" w:hAnsi="Calibri"/>
          <w:color w:val="003366"/>
          <w:sz w:val="20"/>
        </w:rPr>
        <w:t>and</w:t>
      </w:r>
      <w:r>
        <w:rPr>
          <w:rFonts w:ascii="Calibri" w:hAnsi="Calibri"/>
          <w:color w:val="003366"/>
          <w:spacing w:val="-9"/>
          <w:sz w:val="20"/>
        </w:rPr>
        <w:t xml:space="preserve"> </w:t>
      </w:r>
      <w:r>
        <w:rPr>
          <w:rFonts w:ascii="Calibri" w:hAnsi="Calibri"/>
          <w:color w:val="003366"/>
          <w:sz w:val="20"/>
        </w:rPr>
        <w:t>Territorial</w:t>
      </w:r>
      <w:r>
        <w:rPr>
          <w:rFonts w:ascii="Calibri" w:hAnsi="Calibri"/>
          <w:color w:val="003366"/>
          <w:spacing w:val="-10"/>
          <w:sz w:val="20"/>
        </w:rPr>
        <w:t xml:space="preserve"> </w:t>
      </w:r>
      <w:r>
        <w:rPr>
          <w:rFonts w:ascii="Calibri" w:hAnsi="Calibri"/>
          <w:color w:val="003366"/>
          <w:sz w:val="20"/>
        </w:rPr>
        <w:t>is</w:t>
      </w:r>
      <w:r>
        <w:rPr>
          <w:rFonts w:ascii="Calibri" w:hAnsi="Calibri"/>
          <w:color w:val="003366"/>
          <w:spacing w:val="-10"/>
          <w:sz w:val="20"/>
        </w:rPr>
        <w:t xml:space="preserve"> </w:t>
      </w:r>
      <w:r>
        <w:rPr>
          <w:rFonts w:ascii="Calibri" w:hAnsi="Calibri"/>
          <w:color w:val="003366"/>
          <w:sz w:val="20"/>
        </w:rPr>
        <w:t>to</w:t>
      </w:r>
      <w:r>
        <w:rPr>
          <w:rFonts w:ascii="Calibri" w:hAnsi="Calibri"/>
          <w:color w:val="003366"/>
          <w:spacing w:val="-7"/>
          <w:sz w:val="20"/>
        </w:rPr>
        <w:t xml:space="preserve"> </w:t>
      </w:r>
      <w:r>
        <w:rPr>
          <w:rFonts w:ascii="Calibri" w:hAnsi="Calibri"/>
          <w:color w:val="003366"/>
          <w:sz w:val="20"/>
        </w:rPr>
        <w:t>enable</w:t>
      </w:r>
      <w:r>
        <w:rPr>
          <w:rFonts w:ascii="Calibri" w:hAnsi="Calibri"/>
          <w:color w:val="003366"/>
          <w:spacing w:val="-10"/>
          <w:sz w:val="20"/>
        </w:rPr>
        <w:t xml:space="preserve"> </w:t>
      </w:r>
      <w:r>
        <w:rPr>
          <w:rFonts w:ascii="Calibri" w:hAnsi="Calibri"/>
          <w:color w:val="003366"/>
          <w:sz w:val="20"/>
        </w:rPr>
        <w:t>an</w:t>
      </w:r>
      <w:r>
        <w:rPr>
          <w:rFonts w:ascii="Calibri" w:hAnsi="Calibri"/>
          <w:color w:val="003366"/>
          <w:spacing w:val="-9"/>
          <w:sz w:val="20"/>
        </w:rPr>
        <w:t xml:space="preserve"> </w:t>
      </w:r>
      <w:r>
        <w:rPr>
          <w:rFonts w:ascii="Calibri" w:hAnsi="Calibri"/>
          <w:color w:val="003366"/>
          <w:sz w:val="20"/>
        </w:rPr>
        <w:t>assessment</w:t>
      </w:r>
      <w:r>
        <w:rPr>
          <w:rFonts w:ascii="Calibri" w:hAnsi="Calibri"/>
          <w:color w:val="003366"/>
          <w:spacing w:val="-10"/>
          <w:sz w:val="20"/>
        </w:rPr>
        <w:t xml:space="preserve"> </w:t>
      </w:r>
      <w:r>
        <w:rPr>
          <w:rFonts w:ascii="Calibri" w:hAnsi="Calibri"/>
          <w:color w:val="003366"/>
          <w:sz w:val="20"/>
        </w:rPr>
        <w:t>of</w:t>
      </w:r>
      <w:r>
        <w:rPr>
          <w:rFonts w:ascii="Calibri" w:hAnsi="Calibri"/>
          <w:color w:val="003366"/>
          <w:spacing w:val="-10"/>
          <w:sz w:val="20"/>
        </w:rPr>
        <w:t xml:space="preserve"> </w:t>
      </w:r>
      <w:r>
        <w:rPr>
          <w:rFonts w:ascii="Calibri" w:hAnsi="Calibri"/>
          <w:color w:val="003366"/>
          <w:sz w:val="20"/>
        </w:rPr>
        <w:t>the</w:t>
      </w:r>
      <w:r>
        <w:rPr>
          <w:rFonts w:ascii="Calibri" w:hAnsi="Calibri"/>
          <w:color w:val="003366"/>
          <w:spacing w:val="-10"/>
          <w:sz w:val="20"/>
        </w:rPr>
        <w:t xml:space="preserve"> </w:t>
      </w:r>
      <w:r>
        <w:rPr>
          <w:rFonts w:ascii="Calibri" w:hAnsi="Calibri"/>
          <w:color w:val="003366"/>
          <w:sz w:val="20"/>
        </w:rPr>
        <w:t>Office’s performance against the decisions it has made in relation to the resources it controls, while maintaining accountability for all resources under its</w:t>
      </w:r>
      <w:r>
        <w:rPr>
          <w:rFonts w:ascii="Calibri" w:hAnsi="Calibri"/>
          <w:color w:val="003366"/>
          <w:spacing w:val="-4"/>
          <w:sz w:val="20"/>
        </w:rPr>
        <w:t xml:space="preserve"> </w:t>
      </w:r>
      <w:r>
        <w:rPr>
          <w:rFonts w:ascii="Calibri" w:hAnsi="Calibri"/>
          <w:color w:val="003366"/>
          <w:sz w:val="20"/>
        </w:rPr>
        <w:t>responsibility.</w:t>
      </w:r>
    </w:p>
    <w:p w:rsidR="006C17CB" w:rsidRDefault="0030091C">
      <w:pPr>
        <w:spacing w:before="117" w:line="204" w:lineRule="auto"/>
        <w:ind w:left="829" w:right="1477"/>
        <w:jc w:val="both"/>
        <w:rPr>
          <w:rFonts w:ascii="Calibri"/>
          <w:sz w:val="20"/>
        </w:rPr>
      </w:pPr>
      <w:r>
        <w:rPr>
          <w:rFonts w:ascii="Calibri"/>
          <w:color w:val="003366"/>
          <w:sz w:val="20"/>
        </w:rPr>
        <w:t>The basis of preparation described applies to both Controlled and Territorial financial statements except where specified otherwise.</w:t>
      </w:r>
    </w:p>
    <w:p w:rsidR="006C17CB" w:rsidRDefault="006C17CB">
      <w:pPr>
        <w:pStyle w:val="BodyText"/>
        <w:spacing w:before="2"/>
        <w:rPr>
          <w:rFonts w:ascii="Calibri"/>
          <w:sz w:val="14"/>
        </w:rPr>
      </w:pPr>
    </w:p>
    <w:p w:rsidR="006C17CB" w:rsidRDefault="0030091C">
      <w:pPr>
        <w:ind w:left="829"/>
        <w:rPr>
          <w:rFonts w:ascii="Calibri"/>
          <w:b/>
          <w:sz w:val="20"/>
        </w:rPr>
      </w:pPr>
      <w:r>
        <w:rPr>
          <w:rFonts w:ascii="Calibri"/>
          <w:b/>
          <w:color w:val="003366"/>
          <w:sz w:val="20"/>
        </w:rPr>
        <w:t>REPORTING PERIOD</w:t>
      </w:r>
    </w:p>
    <w:p w:rsidR="006C17CB" w:rsidRDefault="006C17CB">
      <w:pPr>
        <w:pStyle w:val="BodyText"/>
        <w:spacing w:before="13"/>
        <w:rPr>
          <w:rFonts w:ascii="Calibri"/>
          <w:b/>
          <w:sz w:val="15"/>
        </w:rPr>
      </w:pPr>
    </w:p>
    <w:p w:rsidR="006C17CB" w:rsidRDefault="0030091C">
      <w:pPr>
        <w:spacing w:line="204" w:lineRule="auto"/>
        <w:ind w:left="829" w:right="1479"/>
        <w:jc w:val="both"/>
        <w:rPr>
          <w:rFonts w:ascii="Calibri"/>
          <w:sz w:val="20"/>
        </w:rPr>
      </w:pPr>
      <w:r>
        <w:rPr>
          <w:rFonts w:ascii="Calibri"/>
          <w:color w:val="003366"/>
          <w:sz w:val="20"/>
        </w:rPr>
        <w:t>These financial statements state the financial performance, changes in equity and cash flows of the Office for the year ending 30 June 2018 together with the financial position of the Office at 30 June 2018.</w:t>
      </w:r>
    </w:p>
    <w:p w:rsidR="006C17CB" w:rsidRDefault="006C17CB">
      <w:pPr>
        <w:pStyle w:val="BodyText"/>
        <w:spacing w:before="3"/>
        <w:rPr>
          <w:rFonts w:ascii="Calibri"/>
          <w:sz w:val="14"/>
        </w:rPr>
      </w:pPr>
    </w:p>
    <w:p w:rsidR="006C17CB" w:rsidRDefault="0030091C">
      <w:pPr>
        <w:ind w:left="829"/>
        <w:rPr>
          <w:rFonts w:ascii="Calibri"/>
          <w:b/>
          <w:sz w:val="20"/>
        </w:rPr>
      </w:pPr>
      <w:r>
        <w:rPr>
          <w:rFonts w:ascii="Calibri"/>
          <w:b/>
          <w:color w:val="003366"/>
          <w:sz w:val="20"/>
        </w:rPr>
        <w:t>COMPARATIVE FIGURES</w:t>
      </w:r>
    </w:p>
    <w:p w:rsidR="006C17CB" w:rsidRDefault="006C17CB">
      <w:pPr>
        <w:pStyle w:val="BodyText"/>
        <w:spacing w:before="7"/>
        <w:rPr>
          <w:rFonts w:ascii="Calibri"/>
          <w:b/>
          <w:sz w:val="13"/>
        </w:rPr>
      </w:pPr>
    </w:p>
    <w:p w:rsidR="006C17CB" w:rsidRDefault="0030091C">
      <w:pPr>
        <w:pStyle w:val="ListParagraph"/>
        <w:numPr>
          <w:ilvl w:val="0"/>
          <w:numId w:val="14"/>
        </w:numPr>
        <w:tabs>
          <w:tab w:val="left" w:pos="1396"/>
        </w:tabs>
        <w:spacing w:line="240" w:lineRule="auto"/>
        <w:ind w:hanging="566"/>
        <w:jc w:val="both"/>
        <w:rPr>
          <w:rFonts w:ascii="Calibri"/>
          <w:sz w:val="20"/>
        </w:rPr>
      </w:pPr>
      <w:r>
        <w:rPr>
          <w:rFonts w:ascii="Calibri"/>
          <w:color w:val="003366"/>
          <w:sz w:val="20"/>
        </w:rPr>
        <w:t>Budget Figures</w:t>
      </w:r>
    </w:p>
    <w:p w:rsidR="006C17CB" w:rsidRDefault="0030091C">
      <w:pPr>
        <w:spacing w:before="111" w:line="204" w:lineRule="auto"/>
        <w:ind w:left="829" w:right="1478"/>
        <w:jc w:val="both"/>
        <w:rPr>
          <w:rFonts w:ascii="Calibri"/>
          <w:sz w:val="20"/>
        </w:rPr>
      </w:pPr>
      <w:r>
        <w:rPr>
          <w:rFonts w:ascii="Calibri"/>
          <w:color w:val="003366"/>
          <w:sz w:val="20"/>
        </w:rPr>
        <w:t>To facilitate a comparison with the Budget Papers, as required by the FMA, budget information for 2017-18 has been presented in the financial statements. Budget numbers in the financial statements are the original budget numbers that appear in the Budget Papers.</w:t>
      </w:r>
    </w:p>
    <w:p w:rsidR="006C17CB" w:rsidRDefault="006C17CB">
      <w:pPr>
        <w:pStyle w:val="BodyText"/>
        <w:rPr>
          <w:rFonts w:ascii="Calibri"/>
          <w:sz w:val="14"/>
        </w:rPr>
      </w:pPr>
    </w:p>
    <w:p w:rsidR="006C17CB" w:rsidRDefault="0030091C">
      <w:pPr>
        <w:pStyle w:val="ListParagraph"/>
        <w:numPr>
          <w:ilvl w:val="0"/>
          <w:numId w:val="14"/>
        </w:numPr>
        <w:tabs>
          <w:tab w:val="left" w:pos="1396"/>
        </w:tabs>
        <w:spacing w:line="240" w:lineRule="auto"/>
        <w:ind w:hanging="566"/>
        <w:jc w:val="both"/>
        <w:rPr>
          <w:rFonts w:ascii="Calibri"/>
          <w:sz w:val="20"/>
        </w:rPr>
      </w:pPr>
      <w:r>
        <w:rPr>
          <w:rFonts w:ascii="Calibri"/>
          <w:color w:val="003366"/>
          <w:sz w:val="20"/>
        </w:rPr>
        <w:t>Prior Year</w:t>
      </w:r>
      <w:r>
        <w:rPr>
          <w:rFonts w:ascii="Calibri"/>
          <w:color w:val="003366"/>
          <w:spacing w:val="-1"/>
          <w:sz w:val="20"/>
        </w:rPr>
        <w:t xml:space="preserve"> </w:t>
      </w:r>
      <w:r>
        <w:rPr>
          <w:rFonts w:ascii="Calibri"/>
          <w:color w:val="003366"/>
          <w:sz w:val="20"/>
        </w:rPr>
        <w:t>Comparatives</w:t>
      </w:r>
    </w:p>
    <w:p w:rsidR="006C17CB" w:rsidRDefault="0030091C">
      <w:pPr>
        <w:spacing w:before="112" w:line="204" w:lineRule="auto"/>
        <w:ind w:left="829" w:right="1478"/>
        <w:jc w:val="both"/>
        <w:rPr>
          <w:rFonts w:ascii="Calibri"/>
          <w:sz w:val="20"/>
        </w:rPr>
      </w:pPr>
      <w:r>
        <w:rPr>
          <w:rFonts w:ascii="Calibri"/>
          <w:color w:val="003366"/>
          <w:sz w:val="20"/>
        </w:rPr>
        <w:t>Comparative</w:t>
      </w:r>
      <w:r>
        <w:rPr>
          <w:rFonts w:ascii="Calibri"/>
          <w:color w:val="003366"/>
          <w:spacing w:val="-6"/>
          <w:sz w:val="20"/>
        </w:rPr>
        <w:t xml:space="preserve"> </w:t>
      </w:r>
      <w:r>
        <w:rPr>
          <w:rFonts w:ascii="Calibri"/>
          <w:color w:val="003366"/>
          <w:sz w:val="20"/>
        </w:rPr>
        <w:t>information</w:t>
      </w:r>
      <w:r>
        <w:rPr>
          <w:rFonts w:ascii="Calibri"/>
          <w:color w:val="003366"/>
          <w:spacing w:val="-5"/>
          <w:sz w:val="20"/>
        </w:rPr>
        <w:t xml:space="preserve"> </w:t>
      </w:r>
      <w:r>
        <w:rPr>
          <w:rFonts w:ascii="Calibri"/>
          <w:color w:val="003366"/>
          <w:sz w:val="20"/>
        </w:rPr>
        <w:t>has</w:t>
      </w:r>
      <w:r>
        <w:rPr>
          <w:rFonts w:ascii="Calibri"/>
          <w:color w:val="003366"/>
          <w:spacing w:val="-4"/>
          <w:sz w:val="20"/>
        </w:rPr>
        <w:t xml:space="preserve"> </w:t>
      </w:r>
      <w:r>
        <w:rPr>
          <w:rFonts w:ascii="Calibri"/>
          <w:color w:val="003366"/>
          <w:sz w:val="20"/>
        </w:rPr>
        <w:t>been</w:t>
      </w:r>
      <w:r>
        <w:rPr>
          <w:rFonts w:ascii="Calibri"/>
          <w:color w:val="003366"/>
          <w:spacing w:val="-5"/>
          <w:sz w:val="20"/>
        </w:rPr>
        <w:t xml:space="preserve"> </w:t>
      </w:r>
      <w:r>
        <w:rPr>
          <w:rFonts w:ascii="Calibri"/>
          <w:color w:val="003366"/>
          <w:sz w:val="20"/>
        </w:rPr>
        <w:t>disclosed</w:t>
      </w:r>
      <w:r>
        <w:rPr>
          <w:rFonts w:ascii="Calibri"/>
          <w:color w:val="003366"/>
          <w:spacing w:val="-5"/>
          <w:sz w:val="20"/>
        </w:rPr>
        <w:t xml:space="preserve"> </w:t>
      </w:r>
      <w:r>
        <w:rPr>
          <w:rFonts w:ascii="Calibri"/>
          <w:color w:val="003366"/>
          <w:sz w:val="20"/>
        </w:rPr>
        <w:t>in</w:t>
      </w:r>
      <w:r>
        <w:rPr>
          <w:rFonts w:ascii="Calibri"/>
          <w:color w:val="003366"/>
          <w:spacing w:val="-5"/>
          <w:sz w:val="20"/>
        </w:rPr>
        <w:t xml:space="preserve"> </w:t>
      </w:r>
      <w:r>
        <w:rPr>
          <w:rFonts w:ascii="Calibri"/>
          <w:color w:val="003366"/>
          <w:sz w:val="20"/>
        </w:rPr>
        <w:t>respect</w:t>
      </w:r>
      <w:r>
        <w:rPr>
          <w:rFonts w:ascii="Calibri"/>
          <w:color w:val="003366"/>
          <w:spacing w:val="-3"/>
          <w:sz w:val="20"/>
        </w:rPr>
        <w:t xml:space="preserve"> </w:t>
      </w:r>
      <w:r>
        <w:rPr>
          <w:rFonts w:ascii="Calibri"/>
          <w:color w:val="003366"/>
          <w:sz w:val="20"/>
        </w:rPr>
        <w:t>of</w:t>
      </w:r>
      <w:r>
        <w:rPr>
          <w:rFonts w:ascii="Calibri"/>
          <w:color w:val="003366"/>
          <w:spacing w:val="-6"/>
          <w:sz w:val="20"/>
        </w:rPr>
        <w:t xml:space="preserve"> </w:t>
      </w:r>
      <w:r>
        <w:rPr>
          <w:rFonts w:ascii="Calibri"/>
          <w:color w:val="003366"/>
          <w:sz w:val="20"/>
        </w:rPr>
        <w:t>the</w:t>
      </w:r>
      <w:r>
        <w:rPr>
          <w:rFonts w:ascii="Calibri"/>
          <w:color w:val="003366"/>
          <w:spacing w:val="-6"/>
          <w:sz w:val="20"/>
        </w:rPr>
        <w:t xml:space="preserve"> </w:t>
      </w:r>
      <w:r>
        <w:rPr>
          <w:rFonts w:ascii="Calibri"/>
          <w:color w:val="003366"/>
          <w:sz w:val="20"/>
        </w:rPr>
        <w:t>previous</w:t>
      </w:r>
      <w:r>
        <w:rPr>
          <w:rFonts w:ascii="Calibri"/>
          <w:color w:val="003366"/>
          <w:spacing w:val="-7"/>
          <w:sz w:val="20"/>
        </w:rPr>
        <w:t xml:space="preserve"> </w:t>
      </w:r>
      <w:r>
        <w:rPr>
          <w:rFonts w:ascii="Calibri"/>
          <w:color w:val="003366"/>
          <w:sz w:val="20"/>
        </w:rPr>
        <w:t>period</w:t>
      </w:r>
      <w:r>
        <w:rPr>
          <w:rFonts w:ascii="Calibri"/>
          <w:color w:val="003366"/>
          <w:spacing w:val="-5"/>
          <w:sz w:val="20"/>
        </w:rPr>
        <w:t xml:space="preserve"> </w:t>
      </w:r>
      <w:r>
        <w:rPr>
          <w:rFonts w:ascii="Calibri"/>
          <w:color w:val="003366"/>
          <w:sz w:val="20"/>
        </w:rPr>
        <w:t>for</w:t>
      </w:r>
      <w:r>
        <w:rPr>
          <w:rFonts w:ascii="Calibri"/>
          <w:color w:val="003366"/>
          <w:spacing w:val="-5"/>
          <w:sz w:val="20"/>
        </w:rPr>
        <w:t xml:space="preserve"> </w:t>
      </w:r>
      <w:r>
        <w:rPr>
          <w:rFonts w:ascii="Calibri"/>
          <w:color w:val="003366"/>
          <w:sz w:val="20"/>
        </w:rPr>
        <w:t>amounts</w:t>
      </w:r>
      <w:r>
        <w:rPr>
          <w:rFonts w:ascii="Calibri"/>
          <w:color w:val="003366"/>
          <w:spacing w:val="-7"/>
          <w:sz w:val="20"/>
        </w:rPr>
        <w:t xml:space="preserve"> </w:t>
      </w:r>
      <w:r>
        <w:rPr>
          <w:rFonts w:ascii="Calibri"/>
          <w:color w:val="003366"/>
          <w:sz w:val="20"/>
        </w:rPr>
        <w:t>reported</w:t>
      </w:r>
      <w:r>
        <w:rPr>
          <w:rFonts w:ascii="Calibri"/>
          <w:color w:val="003366"/>
          <w:spacing w:val="-3"/>
          <w:sz w:val="20"/>
        </w:rPr>
        <w:t xml:space="preserve"> </w:t>
      </w:r>
      <w:r>
        <w:rPr>
          <w:rFonts w:ascii="Calibri"/>
          <w:color w:val="003366"/>
          <w:sz w:val="20"/>
        </w:rPr>
        <w:t>in</w:t>
      </w:r>
      <w:r>
        <w:rPr>
          <w:rFonts w:ascii="Calibri"/>
          <w:color w:val="003366"/>
          <w:spacing w:val="-5"/>
          <w:sz w:val="20"/>
        </w:rPr>
        <w:t xml:space="preserve"> </w:t>
      </w:r>
      <w:r>
        <w:rPr>
          <w:rFonts w:ascii="Calibri"/>
          <w:color w:val="003366"/>
          <w:sz w:val="20"/>
        </w:rPr>
        <w:t>the financial statements, except where an Australian Accounting Standard does not require comparative information to be</w:t>
      </w:r>
      <w:r>
        <w:rPr>
          <w:rFonts w:ascii="Calibri"/>
          <w:color w:val="003366"/>
          <w:spacing w:val="-1"/>
          <w:sz w:val="20"/>
        </w:rPr>
        <w:t xml:space="preserve"> </w:t>
      </w:r>
      <w:r>
        <w:rPr>
          <w:rFonts w:ascii="Calibri"/>
          <w:color w:val="003366"/>
          <w:sz w:val="20"/>
        </w:rPr>
        <w:t>disclosed.</w:t>
      </w:r>
    </w:p>
    <w:p w:rsidR="006C17CB" w:rsidRDefault="0030091C">
      <w:pPr>
        <w:spacing w:before="117" w:line="204" w:lineRule="auto"/>
        <w:ind w:left="829" w:right="1473"/>
        <w:jc w:val="both"/>
        <w:rPr>
          <w:rFonts w:ascii="Calibri"/>
          <w:sz w:val="20"/>
        </w:rPr>
      </w:pPr>
      <w:r>
        <w:rPr>
          <w:rFonts w:ascii="Calibri"/>
          <w:color w:val="003366"/>
          <w:sz w:val="20"/>
        </w:rPr>
        <w:t>Where the presentation or classification of items in the financial statements is amended, the comparative amounts</w:t>
      </w:r>
      <w:r>
        <w:rPr>
          <w:rFonts w:ascii="Calibri"/>
          <w:color w:val="003366"/>
          <w:spacing w:val="-10"/>
          <w:sz w:val="20"/>
        </w:rPr>
        <w:t xml:space="preserve"> </w:t>
      </w:r>
      <w:r>
        <w:rPr>
          <w:rFonts w:ascii="Calibri"/>
          <w:color w:val="003366"/>
          <w:sz w:val="20"/>
        </w:rPr>
        <w:t>have</w:t>
      </w:r>
      <w:r>
        <w:rPr>
          <w:rFonts w:ascii="Calibri"/>
          <w:color w:val="003366"/>
          <w:spacing w:val="-10"/>
          <w:sz w:val="20"/>
        </w:rPr>
        <w:t xml:space="preserve"> </w:t>
      </w:r>
      <w:r>
        <w:rPr>
          <w:rFonts w:ascii="Calibri"/>
          <w:color w:val="003366"/>
          <w:sz w:val="20"/>
        </w:rPr>
        <w:t>been</w:t>
      </w:r>
      <w:r>
        <w:rPr>
          <w:rFonts w:ascii="Calibri"/>
          <w:color w:val="003366"/>
          <w:spacing w:val="-8"/>
          <w:sz w:val="20"/>
        </w:rPr>
        <w:t xml:space="preserve"> </w:t>
      </w:r>
      <w:r>
        <w:rPr>
          <w:rFonts w:ascii="Calibri"/>
          <w:color w:val="003366"/>
          <w:sz w:val="20"/>
        </w:rPr>
        <w:t>reclassified</w:t>
      </w:r>
      <w:r>
        <w:rPr>
          <w:rFonts w:ascii="Calibri"/>
          <w:color w:val="003366"/>
          <w:spacing w:val="-8"/>
          <w:sz w:val="20"/>
        </w:rPr>
        <w:t xml:space="preserve"> </w:t>
      </w:r>
      <w:r>
        <w:rPr>
          <w:rFonts w:ascii="Calibri"/>
          <w:color w:val="003366"/>
          <w:sz w:val="20"/>
        </w:rPr>
        <w:t>where</w:t>
      </w:r>
      <w:r>
        <w:rPr>
          <w:rFonts w:ascii="Calibri"/>
          <w:color w:val="003366"/>
          <w:spacing w:val="-10"/>
          <w:sz w:val="20"/>
        </w:rPr>
        <w:t xml:space="preserve"> </w:t>
      </w:r>
      <w:r>
        <w:rPr>
          <w:rFonts w:ascii="Calibri"/>
          <w:color w:val="003366"/>
          <w:sz w:val="20"/>
        </w:rPr>
        <w:t>practical.</w:t>
      </w:r>
      <w:r>
        <w:rPr>
          <w:rFonts w:ascii="Calibri"/>
          <w:color w:val="003366"/>
          <w:spacing w:val="-9"/>
          <w:sz w:val="20"/>
        </w:rPr>
        <w:t xml:space="preserve"> </w:t>
      </w:r>
      <w:r>
        <w:rPr>
          <w:rFonts w:ascii="Calibri"/>
          <w:color w:val="003366"/>
          <w:sz w:val="20"/>
        </w:rPr>
        <w:t>Where</w:t>
      </w:r>
      <w:r>
        <w:rPr>
          <w:rFonts w:ascii="Calibri"/>
          <w:color w:val="003366"/>
          <w:spacing w:val="-10"/>
          <w:sz w:val="20"/>
        </w:rPr>
        <w:t xml:space="preserve"> </w:t>
      </w:r>
      <w:r>
        <w:rPr>
          <w:rFonts w:ascii="Calibri"/>
          <w:color w:val="003366"/>
          <w:sz w:val="20"/>
        </w:rPr>
        <w:t>a</w:t>
      </w:r>
      <w:r>
        <w:rPr>
          <w:rFonts w:ascii="Calibri"/>
          <w:color w:val="003366"/>
          <w:spacing w:val="-8"/>
          <w:sz w:val="20"/>
        </w:rPr>
        <w:t xml:space="preserve"> </w:t>
      </w:r>
      <w:r>
        <w:rPr>
          <w:rFonts w:ascii="Calibri"/>
          <w:color w:val="003366"/>
          <w:sz w:val="20"/>
        </w:rPr>
        <w:t>reclassification</w:t>
      </w:r>
      <w:r>
        <w:rPr>
          <w:rFonts w:ascii="Calibri"/>
          <w:color w:val="003366"/>
          <w:spacing w:val="-8"/>
          <w:sz w:val="20"/>
        </w:rPr>
        <w:t xml:space="preserve"> </w:t>
      </w:r>
      <w:r>
        <w:rPr>
          <w:rFonts w:ascii="Calibri"/>
          <w:color w:val="003366"/>
          <w:sz w:val="20"/>
        </w:rPr>
        <w:t>has</w:t>
      </w:r>
      <w:r>
        <w:rPr>
          <w:rFonts w:ascii="Calibri"/>
          <w:color w:val="003366"/>
          <w:spacing w:val="-10"/>
          <w:sz w:val="20"/>
        </w:rPr>
        <w:t xml:space="preserve"> </w:t>
      </w:r>
      <w:r>
        <w:rPr>
          <w:rFonts w:ascii="Calibri"/>
          <w:color w:val="003366"/>
          <w:sz w:val="20"/>
        </w:rPr>
        <w:t>occurred,</w:t>
      </w:r>
      <w:r>
        <w:rPr>
          <w:rFonts w:ascii="Calibri"/>
          <w:color w:val="003366"/>
          <w:spacing w:val="-8"/>
          <w:sz w:val="20"/>
        </w:rPr>
        <w:t xml:space="preserve"> </w:t>
      </w:r>
      <w:r>
        <w:rPr>
          <w:rFonts w:ascii="Calibri"/>
          <w:color w:val="003366"/>
          <w:sz w:val="20"/>
        </w:rPr>
        <w:t>the</w:t>
      </w:r>
      <w:r>
        <w:rPr>
          <w:rFonts w:ascii="Calibri"/>
          <w:color w:val="003366"/>
          <w:spacing w:val="-10"/>
          <w:sz w:val="20"/>
        </w:rPr>
        <w:t xml:space="preserve"> </w:t>
      </w:r>
      <w:r>
        <w:rPr>
          <w:rFonts w:ascii="Calibri"/>
          <w:color w:val="003366"/>
          <w:sz w:val="20"/>
        </w:rPr>
        <w:t>nature,</w:t>
      </w:r>
      <w:r>
        <w:rPr>
          <w:rFonts w:ascii="Calibri"/>
          <w:color w:val="003366"/>
          <w:spacing w:val="-8"/>
          <w:sz w:val="20"/>
        </w:rPr>
        <w:t xml:space="preserve"> </w:t>
      </w:r>
      <w:r>
        <w:rPr>
          <w:rFonts w:ascii="Calibri"/>
          <w:color w:val="003366"/>
          <w:sz w:val="20"/>
        </w:rPr>
        <w:t>amount and reason for the reclassification is</w:t>
      </w:r>
      <w:r>
        <w:rPr>
          <w:rFonts w:ascii="Calibri"/>
          <w:color w:val="003366"/>
          <w:spacing w:val="-1"/>
          <w:sz w:val="20"/>
        </w:rPr>
        <w:t xml:space="preserve"> </w:t>
      </w:r>
      <w:r>
        <w:rPr>
          <w:rFonts w:ascii="Calibri"/>
          <w:color w:val="003366"/>
          <w:sz w:val="20"/>
        </w:rPr>
        <w:t>provided.</w:t>
      </w:r>
    </w:p>
    <w:p w:rsidR="006C17CB" w:rsidRDefault="006C17CB">
      <w:pPr>
        <w:pStyle w:val="BodyText"/>
        <w:rPr>
          <w:rFonts w:ascii="Calibri"/>
          <w:sz w:val="14"/>
        </w:rPr>
      </w:pPr>
    </w:p>
    <w:p w:rsidR="006C17CB" w:rsidRDefault="0030091C">
      <w:pPr>
        <w:pStyle w:val="ListParagraph"/>
        <w:numPr>
          <w:ilvl w:val="0"/>
          <w:numId w:val="14"/>
        </w:numPr>
        <w:tabs>
          <w:tab w:val="left" w:pos="1396"/>
        </w:tabs>
        <w:spacing w:line="240" w:lineRule="auto"/>
        <w:ind w:hanging="566"/>
        <w:jc w:val="both"/>
        <w:rPr>
          <w:rFonts w:ascii="Calibri"/>
          <w:sz w:val="20"/>
        </w:rPr>
      </w:pPr>
      <w:r>
        <w:rPr>
          <w:rFonts w:ascii="Calibri"/>
          <w:color w:val="003366"/>
          <w:sz w:val="20"/>
        </w:rPr>
        <w:t>Rounding</w:t>
      </w:r>
    </w:p>
    <w:p w:rsidR="006C17CB" w:rsidRDefault="0030091C">
      <w:pPr>
        <w:spacing w:before="111" w:line="204" w:lineRule="auto"/>
        <w:ind w:left="829" w:right="1474"/>
        <w:jc w:val="both"/>
        <w:rPr>
          <w:rFonts w:ascii="Calibri" w:hAnsi="Calibri"/>
          <w:sz w:val="20"/>
        </w:rPr>
      </w:pPr>
      <w:r>
        <w:rPr>
          <w:rFonts w:ascii="Calibri" w:hAnsi="Calibri"/>
          <w:color w:val="003366"/>
          <w:sz w:val="20"/>
        </w:rPr>
        <w:t>All</w:t>
      </w:r>
      <w:r>
        <w:rPr>
          <w:rFonts w:ascii="Calibri" w:hAnsi="Calibri"/>
          <w:color w:val="003366"/>
          <w:spacing w:val="-6"/>
          <w:sz w:val="20"/>
        </w:rPr>
        <w:t xml:space="preserve"> </w:t>
      </w:r>
      <w:r>
        <w:rPr>
          <w:rFonts w:ascii="Calibri" w:hAnsi="Calibri"/>
          <w:color w:val="003366"/>
          <w:sz w:val="20"/>
        </w:rPr>
        <w:t>amounts</w:t>
      </w:r>
      <w:r>
        <w:rPr>
          <w:rFonts w:ascii="Calibri" w:hAnsi="Calibri"/>
          <w:color w:val="003366"/>
          <w:spacing w:val="-4"/>
          <w:sz w:val="20"/>
        </w:rPr>
        <w:t xml:space="preserve"> </w:t>
      </w:r>
      <w:r>
        <w:rPr>
          <w:rFonts w:ascii="Calibri" w:hAnsi="Calibri"/>
          <w:color w:val="003366"/>
          <w:sz w:val="20"/>
        </w:rPr>
        <w:t>in</w:t>
      </w:r>
      <w:r>
        <w:rPr>
          <w:rFonts w:ascii="Calibri" w:hAnsi="Calibri"/>
          <w:color w:val="003366"/>
          <w:spacing w:val="-5"/>
          <w:sz w:val="20"/>
        </w:rPr>
        <w:t xml:space="preserve"> </w:t>
      </w:r>
      <w:r>
        <w:rPr>
          <w:rFonts w:ascii="Calibri" w:hAnsi="Calibri"/>
          <w:color w:val="003366"/>
          <w:sz w:val="20"/>
        </w:rPr>
        <w:t>the</w:t>
      </w:r>
      <w:r>
        <w:rPr>
          <w:rFonts w:ascii="Calibri" w:hAnsi="Calibri"/>
          <w:color w:val="003366"/>
          <w:spacing w:val="-4"/>
          <w:sz w:val="20"/>
        </w:rPr>
        <w:t xml:space="preserve"> </w:t>
      </w:r>
      <w:r>
        <w:rPr>
          <w:rFonts w:ascii="Calibri" w:hAnsi="Calibri"/>
          <w:color w:val="003366"/>
          <w:sz w:val="20"/>
        </w:rPr>
        <w:t>financial</w:t>
      </w:r>
      <w:r>
        <w:rPr>
          <w:rFonts w:ascii="Calibri" w:hAnsi="Calibri"/>
          <w:color w:val="003366"/>
          <w:spacing w:val="-3"/>
          <w:sz w:val="20"/>
        </w:rPr>
        <w:t xml:space="preserve"> </w:t>
      </w:r>
      <w:r>
        <w:rPr>
          <w:rFonts w:ascii="Calibri" w:hAnsi="Calibri"/>
          <w:color w:val="003366"/>
          <w:sz w:val="20"/>
        </w:rPr>
        <w:t>statements</w:t>
      </w:r>
      <w:r>
        <w:rPr>
          <w:rFonts w:ascii="Calibri" w:hAnsi="Calibri"/>
          <w:color w:val="003366"/>
          <w:spacing w:val="-7"/>
          <w:sz w:val="20"/>
        </w:rPr>
        <w:t xml:space="preserve"> </w:t>
      </w:r>
      <w:r>
        <w:rPr>
          <w:rFonts w:ascii="Calibri" w:hAnsi="Calibri"/>
          <w:color w:val="003366"/>
          <w:sz w:val="20"/>
        </w:rPr>
        <w:t>have</w:t>
      </w:r>
      <w:r>
        <w:rPr>
          <w:rFonts w:ascii="Calibri" w:hAnsi="Calibri"/>
          <w:color w:val="003366"/>
          <w:spacing w:val="-6"/>
          <w:sz w:val="20"/>
        </w:rPr>
        <w:t xml:space="preserve"> </w:t>
      </w:r>
      <w:r>
        <w:rPr>
          <w:rFonts w:ascii="Calibri" w:hAnsi="Calibri"/>
          <w:color w:val="003366"/>
          <w:sz w:val="20"/>
        </w:rPr>
        <w:t>been</w:t>
      </w:r>
      <w:r>
        <w:rPr>
          <w:rFonts w:ascii="Calibri" w:hAnsi="Calibri"/>
          <w:color w:val="003366"/>
          <w:spacing w:val="-5"/>
          <w:sz w:val="20"/>
        </w:rPr>
        <w:t xml:space="preserve"> </w:t>
      </w:r>
      <w:r>
        <w:rPr>
          <w:rFonts w:ascii="Calibri" w:hAnsi="Calibri"/>
          <w:color w:val="003366"/>
          <w:sz w:val="20"/>
        </w:rPr>
        <w:t>rounded</w:t>
      </w:r>
      <w:r>
        <w:rPr>
          <w:rFonts w:ascii="Calibri" w:hAnsi="Calibri"/>
          <w:color w:val="003366"/>
          <w:spacing w:val="-2"/>
          <w:sz w:val="20"/>
        </w:rPr>
        <w:t xml:space="preserve"> </w:t>
      </w:r>
      <w:r>
        <w:rPr>
          <w:rFonts w:ascii="Calibri" w:hAnsi="Calibri"/>
          <w:color w:val="003366"/>
          <w:sz w:val="20"/>
        </w:rPr>
        <w:t>to</w:t>
      </w:r>
      <w:r>
        <w:rPr>
          <w:rFonts w:ascii="Calibri" w:hAnsi="Calibri"/>
          <w:color w:val="003366"/>
          <w:spacing w:val="-5"/>
          <w:sz w:val="20"/>
        </w:rPr>
        <w:t xml:space="preserve"> </w:t>
      </w:r>
      <w:r>
        <w:rPr>
          <w:rFonts w:ascii="Calibri" w:hAnsi="Calibri"/>
          <w:color w:val="003366"/>
          <w:sz w:val="20"/>
        </w:rPr>
        <w:t>the</w:t>
      </w:r>
      <w:r>
        <w:rPr>
          <w:rFonts w:ascii="Calibri" w:hAnsi="Calibri"/>
          <w:color w:val="003366"/>
          <w:spacing w:val="-6"/>
          <w:sz w:val="20"/>
        </w:rPr>
        <w:t xml:space="preserve"> </w:t>
      </w:r>
      <w:r>
        <w:rPr>
          <w:rFonts w:ascii="Calibri" w:hAnsi="Calibri"/>
          <w:color w:val="003366"/>
          <w:sz w:val="20"/>
        </w:rPr>
        <w:t>nearest</w:t>
      </w:r>
      <w:r>
        <w:rPr>
          <w:rFonts w:ascii="Calibri" w:hAnsi="Calibri"/>
          <w:color w:val="003366"/>
          <w:spacing w:val="-5"/>
          <w:sz w:val="20"/>
        </w:rPr>
        <w:t xml:space="preserve"> </w:t>
      </w:r>
      <w:r>
        <w:rPr>
          <w:rFonts w:ascii="Calibri" w:hAnsi="Calibri"/>
          <w:color w:val="003366"/>
          <w:sz w:val="20"/>
        </w:rPr>
        <w:t>thousand</w:t>
      </w:r>
      <w:r>
        <w:rPr>
          <w:rFonts w:ascii="Calibri" w:hAnsi="Calibri"/>
          <w:color w:val="003366"/>
          <w:spacing w:val="-5"/>
          <w:sz w:val="20"/>
        </w:rPr>
        <w:t xml:space="preserve"> </w:t>
      </w:r>
      <w:r>
        <w:rPr>
          <w:rFonts w:ascii="Calibri" w:hAnsi="Calibri"/>
          <w:color w:val="003366"/>
          <w:sz w:val="20"/>
        </w:rPr>
        <w:t>dollars</w:t>
      </w:r>
      <w:r>
        <w:rPr>
          <w:rFonts w:ascii="Calibri" w:hAnsi="Calibri"/>
          <w:color w:val="003366"/>
          <w:spacing w:val="-7"/>
          <w:sz w:val="20"/>
        </w:rPr>
        <w:t xml:space="preserve"> </w:t>
      </w:r>
      <w:r>
        <w:rPr>
          <w:rFonts w:ascii="Calibri" w:hAnsi="Calibri"/>
          <w:color w:val="003366"/>
          <w:sz w:val="20"/>
        </w:rPr>
        <w:t>($’000).</w:t>
      </w:r>
      <w:r>
        <w:rPr>
          <w:rFonts w:ascii="Calibri" w:hAnsi="Calibri"/>
          <w:color w:val="003366"/>
          <w:spacing w:val="-1"/>
          <w:sz w:val="20"/>
        </w:rPr>
        <w:t xml:space="preserve"> </w:t>
      </w:r>
      <w:r>
        <w:rPr>
          <w:rFonts w:ascii="Calibri" w:hAnsi="Calibri"/>
          <w:color w:val="003366"/>
          <w:sz w:val="20"/>
        </w:rPr>
        <w:t>Use</w:t>
      </w:r>
      <w:r>
        <w:rPr>
          <w:rFonts w:ascii="Calibri" w:hAnsi="Calibri"/>
          <w:color w:val="003366"/>
          <w:spacing w:val="-4"/>
          <w:sz w:val="20"/>
        </w:rPr>
        <w:t xml:space="preserve"> </w:t>
      </w:r>
      <w:r>
        <w:rPr>
          <w:rFonts w:ascii="Calibri" w:hAnsi="Calibri"/>
          <w:color w:val="003366"/>
          <w:sz w:val="20"/>
        </w:rPr>
        <w:t>of “-” represents zero amounts or amounts rounded down to</w:t>
      </w:r>
      <w:r>
        <w:rPr>
          <w:rFonts w:ascii="Calibri" w:hAnsi="Calibri"/>
          <w:color w:val="003366"/>
          <w:spacing w:val="-3"/>
          <w:sz w:val="20"/>
        </w:rPr>
        <w:t xml:space="preserve"> </w:t>
      </w:r>
      <w:r>
        <w:rPr>
          <w:rFonts w:ascii="Calibri" w:hAnsi="Calibri"/>
          <w:color w:val="003366"/>
          <w:sz w:val="20"/>
        </w:rPr>
        <w:t>zero.</w:t>
      </w:r>
    </w:p>
    <w:p w:rsidR="006C17CB" w:rsidRDefault="006C17CB">
      <w:pPr>
        <w:spacing w:line="204" w:lineRule="auto"/>
        <w:jc w:val="both"/>
        <w:rPr>
          <w:rFonts w:ascii="Calibri" w:hAnsi="Calibri"/>
          <w:sz w:val="20"/>
        </w:rPr>
        <w:sectPr w:rsidR="006C17CB">
          <w:pgSz w:w="11910" w:h="16840"/>
          <w:pgMar w:top="2120" w:right="0" w:bottom="740" w:left="980" w:header="1187" w:footer="551" w:gutter="0"/>
          <w:cols w:space="720"/>
        </w:sectPr>
      </w:pPr>
    </w:p>
    <w:p w:rsidR="006C17CB" w:rsidRDefault="006C17CB">
      <w:pPr>
        <w:pStyle w:val="BodyText"/>
        <w:spacing w:before="9"/>
        <w:rPr>
          <w:rFonts w:ascii="Calibri"/>
          <w:sz w:val="21"/>
        </w:rPr>
      </w:pPr>
    </w:p>
    <w:p w:rsidR="006C17CB" w:rsidRDefault="0030091C">
      <w:pPr>
        <w:pStyle w:val="Heading6"/>
        <w:tabs>
          <w:tab w:val="left" w:pos="1962"/>
        </w:tabs>
        <w:spacing w:line="345" w:lineRule="exact"/>
      </w:pPr>
      <w:r>
        <w:rPr>
          <w:color w:val="003366"/>
        </w:rPr>
        <w:t>NOTE</w:t>
      </w:r>
      <w:r>
        <w:rPr>
          <w:color w:val="003366"/>
          <w:spacing w:val="-1"/>
        </w:rPr>
        <w:t xml:space="preserve"> </w:t>
      </w:r>
      <w:r>
        <w:rPr>
          <w:color w:val="003366"/>
        </w:rPr>
        <w:t>2.</w:t>
      </w:r>
      <w:r>
        <w:rPr>
          <w:color w:val="003366"/>
        </w:rPr>
        <w:tab/>
        <w:t>BASIS OF PREPARATION OF THE FINANCIAL STATEMENTS –</w:t>
      </w:r>
      <w:r>
        <w:rPr>
          <w:color w:val="003366"/>
          <w:spacing w:val="-5"/>
        </w:rPr>
        <w:t xml:space="preserve"> </w:t>
      </w:r>
      <w:r>
        <w:rPr>
          <w:color w:val="003366"/>
        </w:rPr>
        <w:t>CONTINUED</w:t>
      </w:r>
    </w:p>
    <w:p w:rsidR="006C17CB" w:rsidRDefault="0030091C">
      <w:pPr>
        <w:spacing w:before="195"/>
        <w:ind w:left="829"/>
        <w:rPr>
          <w:rFonts w:ascii="Calibri"/>
          <w:b/>
          <w:sz w:val="20"/>
        </w:rPr>
      </w:pPr>
      <w:r>
        <w:rPr>
          <w:rFonts w:ascii="Calibri"/>
          <w:b/>
          <w:color w:val="003366"/>
          <w:sz w:val="20"/>
        </w:rPr>
        <w:t>GOING CONCERN</w:t>
      </w:r>
    </w:p>
    <w:p w:rsidR="006C17CB" w:rsidRDefault="006C17CB">
      <w:pPr>
        <w:pStyle w:val="BodyText"/>
        <w:spacing w:before="1"/>
        <w:rPr>
          <w:rFonts w:ascii="Calibri"/>
          <w:b/>
          <w:sz w:val="16"/>
        </w:rPr>
      </w:pPr>
    </w:p>
    <w:p w:rsidR="006C17CB" w:rsidRDefault="0030091C">
      <w:pPr>
        <w:spacing w:line="204" w:lineRule="auto"/>
        <w:ind w:left="829" w:right="1474"/>
        <w:jc w:val="both"/>
        <w:rPr>
          <w:rFonts w:ascii="Calibri" w:hAnsi="Calibri"/>
          <w:sz w:val="20"/>
        </w:rPr>
      </w:pPr>
      <w:r>
        <w:rPr>
          <w:rFonts w:ascii="Calibri" w:hAnsi="Calibri"/>
          <w:color w:val="003366"/>
          <w:sz w:val="20"/>
        </w:rPr>
        <w:t>At</w:t>
      </w:r>
      <w:r>
        <w:rPr>
          <w:rFonts w:ascii="Calibri" w:hAnsi="Calibri"/>
          <w:color w:val="003366"/>
          <w:spacing w:val="-5"/>
          <w:sz w:val="20"/>
        </w:rPr>
        <w:t xml:space="preserve"> </w:t>
      </w:r>
      <w:r>
        <w:rPr>
          <w:rFonts w:ascii="Calibri" w:hAnsi="Calibri"/>
          <w:color w:val="003366"/>
          <w:sz w:val="20"/>
        </w:rPr>
        <w:t>30</w:t>
      </w:r>
      <w:r>
        <w:rPr>
          <w:rFonts w:ascii="Calibri" w:hAnsi="Calibri"/>
          <w:color w:val="003366"/>
          <w:spacing w:val="-5"/>
          <w:sz w:val="20"/>
        </w:rPr>
        <w:t xml:space="preserve"> </w:t>
      </w:r>
      <w:r>
        <w:rPr>
          <w:rFonts w:ascii="Calibri" w:hAnsi="Calibri"/>
          <w:color w:val="003366"/>
          <w:sz w:val="20"/>
        </w:rPr>
        <w:t>June</w:t>
      </w:r>
      <w:r>
        <w:rPr>
          <w:rFonts w:ascii="Calibri" w:hAnsi="Calibri"/>
          <w:color w:val="003366"/>
          <w:spacing w:val="-5"/>
          <w:sz w:val="20"/>
        </w:rPr>
        <w:t xml:space="preserve"> </w:t>
      </w:r>
      <w:r>
        <w:rPr>
          <w:rFonts w:ascii="Calibri" w:hAnsi="Calibri"/>
          <w:color w:val="003366"/>
          <w:sz w:val="20"/>
        </w:rPr>
        <w:t>2018,</w:t>
      </w:r>
      <w:r>
        <w:rPr>
          <w:rFonts w:ascii="Calibri" w:hAnsi="Calibri"/>
          <w:color w:val="003366"/>
          <w:spacing w:val="-4"/>
          <w:sz w:val="20"/>
        </w:rPr>
        <w:t xml:space="preserve"> </w:t>
      </w:r>
      <w:r>
        <w:rPr>
          <w:rFonts w:ascii="Calibri" w:hAnsi="Calibri"/>
          <w:color w:val="003366"/>
          <w:sz w:val="20"/>
        </w:rPr>
        <w:t>the</w:t>
      </w:r>
      <w:r>
        <w:rPr>
          <w:rFonts w:ascii="Calibri" w:hAnsi="Calibri"/>
          <w:color w:val="003366"/>
          <w:spacing w:val="-5"/>
          <w:sz w:val="20"/>
        </w:rPr>
        <w:t xml:space="preserve"> </w:t>
      </w:r>
      <w:r>
        <w:rPr>
          <w:rFonts w:ascii="Calibri" w:hAnsi="Calibri"/>
          <w:color w:val="003366"/>
          <w:sz w:val="20"/>
        </w:rPr>
        <w:t>Office’s</w:t>
      </w:r>
      <w:r>
        <w:rPr>
          <w:rFonts w:ascii="Calibri" w:hAnsi="Calibri"/>
          <w:color w:val="003366"/>
          <w:spacing w:val="-5"/>
          <w:sz w:val="20"/>
        </w:rPr>
        <w:t xml:space="preserve"> </w:t>
      </w:r>
      <w:r>
        <w:rPr>
          <w:rFonts w:ascii="Calibri" w:hAnsi="Calibri"/>
          <w:color w:val="003366"/>
          <w:sz w:val="20"/>
        </w:rPr>
        <w:t>Territorial</w:t>
      </w:r>
      <w:r>
        <w:rPr>
          <w:rFonts w:ascii="Calibri" w:hAnsi="Calibri"/>
          <w:color w:val="003366"/>
          <w:spacing w:val="-5"/>
          <w:sz w:val="20"/>
        </w:rPr>
        <w:t xml:space="preserve"> </w:t>
      </w:r>
      <w:r>
        <w:rPr>
          <w:rFonts w:ascii="Calibri" w:hAnsi="Calibri"/>
          <w:color w:val="003366"/>
          <w:sz w:val="20"/>
        </w:rPr>
        <w:t>current</w:t>
      </w:r>
      <w:r>
        <w:rPr>
          <w:rFonts w:ascii="Calibri" w:hAnsi="Calibri"/>
          <w:color w:val="003366"/>
          <w:spacing w:val="-5"/>
          <w:sz w:val="20"/>
        </w:rPr>
        <w:t xml:space="preserve"> </w:t>
      </w:r>
      <w:r>
        <w:rPr>
          <w:rFonts w:ascii="Calibri" w:hAnsi="Calibri"/>
          <w:color w:val="003366"/>
          <w:sz w:val="20"/>
        </w:rPr>
        <w:t>liabilities</w:t>
      </w:r>
      <w:r>
        <w:rPr>
          <w:rFonts w:ascii="Calibri" w:hAnsi="Calibri"/>
          <w:color w:val="003366"/>
          <w:spacing w:val="-5"/>
          <w:sz w:val="20"/>
        </w:rPr>
        <w:t xml:space="preserve"> </w:t>
      </w:r>
      <w:r>
        <w:rPr>
          <w:rFonts w:ascii="Calibri" w:hAnsi="Calibri"/>
          <w:color w:val="003366"/>
          <w:sz w:val="20"/>
        </w:rPr>
        <w:t>($532,000)</w:t>
      </w:r>
      <w:r>
        <w:rPr>
          <w:rFonts w:ascii="Calibri" w:hAnsi="Calibri"/>
          <w:color w:val="003366"/>
          <w:spacing w:val="-5"/>
          <w:sz w:val="20"/>
        </w:rPr>
        <w:t xml:space="preserve"> </w:t>
      </w:r>
      <w:r>
        <w:rPr>
          <w:rFonts w:ascii="Calibri" w:hAnsi="Calibri"/>
          <w:color w:val="003366"/>
          <w:sz w:val="20"/>
        </w:rPr>
        <w:t>exceeded</w:t>
      </w:r>
      <w:r>
        <w:rPr>
          <w:rFonts w:ascii="Calibri" w:hAnsi="Calibri"/>
          <w:color w:val="003366"/>
          <w:spacing w:val="-4"/>
          <w:sz w:val="20"/>
        </w:rPr>
        <w:t xml:space="preserve"> </w:t>
      </w:r>
      <w:r>
        <w:rPr>
          <w:rFonts w:ascii="Calibri" w:hAnsi="Calibri"/>
          <w:color w:val="003366"/>
          <w:sz w:val="20"/>
        </w:rPr>
        <w:t>its</w:t>
      </w:r>
      <w:r>
        <w:rPr>
          <w:rFonts w:ascii="Calibri" w:hAnsi="Calibri"/>
          <w:color w:val="003366"/>
          <w:spacing w:val="-5"/>
          <w:sz w:val="20"/>
        </w:rPr>
        <w:t xml:space="preserve"> </w:t>
      </w:r>
      <w:r>
        <w:rPr>
          <w:rFonts w:ascii="Calibri" w:hAnsi="Calibri"/>
          <w:color w:val="003366"/>
          <w:sz w:val="20"/>
        </w:rPr>
        <w:t>Territorial</w:t>
      </w:r>
      <w:r>
        <w:rPr>
          <w:rFonts w:ascii="Calibri" w:hAnsi="Calibri"/>
          <w:color w:val="003366"/>
          <w:spacing w:val="-5"/>
          <w:sz w:val="20"/>
        </w:rPr>
        <w:t xml:space="preserve"> </w:t>
      </w:r>
      <w:r>
        <w:rPr>
          <w:rFonts w:ascii="Calibri" w:hAnsi="Calibri"/>
          <w:color w:val="003366"/>
          <w:sz w:val="20"/>
        </w:rPr>
        <w:t>current</w:t>
      </w:r>
      <w:r>
        <w:rPr>
          <w:rFonts w:ascii="Calibri" w:hAnsi="Calibri"/>
          <w:color w:val="003366"/>
          <w:spacing w:val="-5"/>
          <w:sz w:val="20"/>
        </w:rPr>
        <w:t xml:space="preserve"> </w:t>
      </w:r>
      <w:r>
        <w:rPr>
          <w:rFonts w:ascii="Calibri" w:hAnsi="Calibri"/>
          <w:color w:val="003366"/>
          <w:sz w:val="20"/>
        </w:rPr>
        <w:t>assets ($108,000)</w:t>
      </w:r>
      <w:r>
        <w:rPr>
          <w:rFonts w:ascii="Calibri" w:hAnsi="Calibri"/>
          <w:color w:val="003366"/>
          <w:spacing w:val="-14"/>
          <w:sz w:val="20"/>
        </w:rPr>
        <w:t xml:space="preserve"> </w:t>
      </w:r>
      <w:r>
        <w:rPr>
          <w:rFonts w:ascii="Calibri" w:hAnsi="Calibri"/>
          <w:color w:val="003366"/>
          <w:sz w:val="20"/>
        </w:rPr>
        <w:t>by</w:t>
      </w:r>
      <w:r>
        <w:rPr>
          <w:rFonts w:ascii="Calibri" w:hAnsi="Calibri"/>
          <w:color w:val="003366"/>
          <w:spacing w:val="-13"/>
          <w:sz w:val="20"/>
        </w:rPr>
        <w:t xml:space="preserve"> </w:t>
      </w:r>
      <w:r>
        <w:rPr>
          <w:rFonts w:ascii="Calibri" w:hAnsi="Calibri"/>
          <w:color w:val="003366"/>
          <w:sz w:val="20"/>
        </w:rPr>
        <w:t>$424,000.</w:t>
      </w:r>
      <w:r>
        <w:rPr>
          <w:rFonts w:ascii="Calibri" w:hAnsi="Calibri"/>
          <w:color w:val="003366"/>
          <w:spacing w:val="-14"/>
          <w:sz w:val="20"/>
        </w:rPr>
        <w:t xml:space="preserve"> </w:t>
      </w:r>
      <w:r>
        <w:rPr>
          <w:rFonts w:ascii="Calibri" w:hAnsi="Calibri"/>
          <w:color w:val="003366"/>
          <w:sz w:val="20"/>
        </w:rPr>
        <w:t>However,</w:t>
      </w:r>
      <w:r>
        <w:rPr>
          <w:rFonts w:ascii="Calibri" w:hAnsi="Calibri"/>
          <w:color w:val="003366"/>
          <w:spacing w:val="-13"/>
          <w:sz w:val="20"/>
        </w:rPr>
        <w:t xml:space="preserve"> </w:t>
      </w:r>
      <w:r>
        <w:rPr>
          <w:rFonts w:ascii="Calibri" w:hAnsi="Calibri"/>
          <w:color w:val="003366"/>
          <w:sz w:val="20"/>
        </w:rPr>
        <w:t>this</w:t>
      </w:r>
      <w:r>
        <w:rPr>
          <w:rFonts w:ascii="Calibri" w:hAnsi="Calibri"/>
          <w:color w:val="003366"/>
          <w:spacing w:val="-14"/>
          <w:sz w:val="20"/>
        </w:rPr>
        <w:t xml:space="preserve"> </w:t>
      </w:r>
      <w:r>
        <w:rPr>
          <w:rFonts w:ascii="Calibri" w:hAnsi="Calibri"/>
          <w:color w:val="003366"/>
          <w:sz w:val="20"/>
        </w:rPr>
        <w:t>is</w:t>
      </w:r>
      <w:r>
        <w:rPr>
          <w:rFonts w:ascii="Calibri" w:hAnsi="Calibri"/>
          <w:color w:val="003366"/>
          <w:spacing w:val="-14"/>
          <w:sz w:val="20"/>
        </w:rPr>
        <w:t xml:space="preserve"> </w:t>
      </w:r>
      <w:r>
        <w:rPr>
          <w:rFonts w:ascii="Calibri" w:hAnsi="Calibri"/>
          <w:color w:val="003366"/>
          <w:sz w:val="20"/>
        </w:rPr>
        <w:t>not</w:t>
      </w:r>
      <w:r>
        <w:rPr>
          <w:rFonts w:ascii="Calibri" w:hAnsi="Calibri"/>
          <w:color w:val="003366"/>
          <w:spacing w:val="-13"/>
          <w:sz w:val="20"/>
        </w:rPr>
        <w:t xml:space="preserve"> </w:t>
      </w:r>
      <w:r>
        <w:rPr>
          <w:rFonts w:ascii="Calibri" w:hAnsi="Calibri"/>
          <w:color w:val="003366"/>
          <w:sz w:val="20"/>
        </w:rPr>
        <w:t>considered</w:t>
      </w:r>
      <w:r>
        <w:rPr>
          <w:rFonts w:ascii="Calibri" w:hAnsi="Calibri"/>
          <w:color w:val="003366"/>
          <w:spacing w:val="-13"/>
          <w:sz w:val="20"/>
        </w:rPr>
        <w:t xml:space="preserve"> </w:t>
      </w:r>
      <w:r>
        <w:rPr>
          <w:rFonts w:ascii="Calibri" w:hAnsi="Calibri"/>
          <w:color w:val="003366"/>
          <w:sz w:val="20"/>
        </w:rPr>
        <w:t>a</w:t>
      </w:r>
      <w:r>
        <w:rPr>
          <w:rFonts w:ascii="Calibri" w:hAnsi="Calibri"/>
          <w:color w:val="003366"/>
          <w:spacing w:val="-13"/>
          <w:sz w:val="20"/>
        </w:rPr>
        <w:t xml:space="preserve"> </w:t>
      </w:r>
      <w:r>
        <w:rPr>
          <w:rFonts w:ascii="Calibri" w:hAnsi="Calibri"/>
          <w:color w:val="003366"/>
          <w:sz w:val="20"/>
        </w:rPr>
        <w:t>liquidity</w:t>
      </w:r>
      <w:r>
        <w:rPr>
          <w:rFonts w:ascii="Calibri" w:hAnsi="Calibri"/>
          <w:color w:val="003366"/>
          <w:spacing w:val="-13"/>
          <w:sz w:val="20"/>
        </w:rPr>
        <w:t xml:space="preserve"> </w:t>
      </w:r>
      <w:r>
        <w:rPr>
          <w:rFonts w:ascii="Calibri" w:hAnsi="Calibri"/>
          <w:color w:val="003366"/>
          <w:sz w:val="20"/>
        </w:rPr>
        <w:t>risk</w:t>
      </w:r>
      <w:r>
        <w:rPr>
          <w:rFonts w:ascii="Calibri" w:hAnsi="Calibri"/>
          <w:color w:val="003366"/>
          <w:spacing w:val="-13"/>
          <w:sz w:val="20"/>
        </w:rPr>
        <w:t xml:space="preserve"> </w:t>
      </w:r>
      <w:r>
        <w:rPr>
          <w:rFonts w:ascii="Calibri" w:hAnsi="Calibri"/>
          <w:color w:val="003366"/>
          <w:sz w:val="20"/>
        </w:rPr>
        <w:t>as</w:t>
      </w:r>
      <w:r>
        <w:rPr>
          <w:rFonts w:ascii="Calibri" w:hAnsi="Calibri"/>
          <w:color w:val="003366"/>
          <w:spacing w:val="-14"/>
          <w:sz w:val="20"/>
        </w:rPr>
        <w:t xml:space="preserve"> </w:t>
      </w:r>
      <w:r>
        <w:rPr>
          <w:rFonts w:ascii="Calibri" w:hAnsi="Calibri"/>
          <w:color w:val="003366"/>
          <w:sz w:val="20"/>
        </w:rPr>
        <w:t>its</w:t>
      </w:r>
      <w:r>
        <w:rPr>
          <w:rFonts w:ascii="Calibri" w:hAnsi="Calibri"/>
          <w:color w:val="003366"/>
          <w:spacing w:val="-14"/>
          <w:sz w:val="20"/>
        </w:rPr>
        <w:t xml:space="preserve"> </w:t>
      </w:r>
      <w:r>
        <w:rPr>
          <w:rFonts w:ascii="Calibri" w:hAnsi="Calibri"/>
          <w:color w:val="003366"/>
          <w:sz w:val="20"/>
        </w:rPr>
        <w:t>cash</w:t>
      </w:r>
      <w:r>
        <w:rPr>
          <w:rFonts w:ascii="Calibri" w:hAnsi="Calibri"/>
          <w:color w:val="003366"/>
          <w:spacing w:val="-13"/>
          <w:sz w:val="20"/>
        </w:rPr>
        <w:t xml:space="preserve"> </w:t>
      </w:r>
      <w:r>
        <w:rPr>
          <w:rFonts w:ascii="Calibri" w:hAnsi="Calibri"/>
          <w:color w:val="003366"/>
          <w:sz w:val="20"/>
        </w:rPr>
        <w:t>needs</w:t>
      </w:r>
      <w:r>
        <w:rPr>
          <w:rFonts w:ascii="Calibri" w:hAnsi="Calibri"/>
          <w:color w:val="003366"/>
          <w:spacing w:val="-14"/>
          <w:sz w:val="20"/>
        </w:rPr>
        <w:t xml:space="preserve"> </w:t>
      </w:r>
      <w:r>
        <w:rPr>
          <w:rFonts w:ascii="Calibri" w:hAnsi="Calibri"/>
          <w:color w:val="003366"/>
          <w:sz w:val="20"/>
        </w:rPr>
        <w:t>are</w:t>
      </w:r>
      <w:r>
        <w:rPr>
          <w:rFonts w:ascii="Calibri" w:hAnsi="Calibri"/>
          <w:color w:val="003366"/>
          <w:spacing w:val="-14"/>
          <w:sz w:val="20"/>
        </w:rPr>
        <w:t xml:space="preserve"> </w:t>
      </w:r>
      <w:r>
        <w:rPr>
          <w:rFonts w:ascii="Calibri" w:hAnsi="Calibri"/>
          <w:color w:val="003366"/>
          <w:sz w:val="20"/>
        </w:rPr>
        <w:t>funded</w:t>
      </w:r>
      <w:r>
        <w:rPr>
          <w:rFonts w:ascii="Calibri" w:hAnsi="Calibri"/>
          <w:color w:val="003366"/>
          <w:spacing w:val="-13"/>
          <w:sz w:val="20"/>
        </w:rPr>
        <w:t xml:space="preserve"> </w:t>
      </w:r>
      <w:r>
        <w:rPr>
          <w:rFonts w:ascii="Calibri" w:hAnsi="Calibri"/>
          <w:color w:val="003366"/>
          <w:sz w:val="20"/>
        </w:rPr>
        <w:t>through appropriation by the ACT Government on a cash-needs basis. This is consistent with the whole-of- Government cash management regime, which requires excess cash balances to be held centrally rather than within individual agency bank accounts.</w:t>
      </w:r>
    </w:p>
    <w:p w:rsidR="006C17CB" w:rsidRDefault="0030091C">
      <w:pPr>
        <w:spacing w:before="119" w:line="201" w:lineRule="auto"/>
        <w:ind w:left="829" w:right="1479"/>
        <w:jc w:val="both"/>
        <w:rPr>
          <w:rFonts w:ascii="Calibri"/>
          <w:sz w:val="20"/>
        </w:rPr>
      </w:pPr>
      <w:r>
        <w:rPr>
          <w:rFonts w:ascii="Calibri"/>
          <w:color w:val="003366"/>
          <w:sz w:val="20"/>
        </w:rPr>
        <w:t>The 2017-18 financial statements have been prepared on a going concern basis as the Office has been funded in the 2018-19 Budget and the Budget Papers include forward estimates for the Office.</w:t>
      </w:r>
    </w:p>
    <w:p w:rsidR="006C17CB" w:rsidRDefault="0030091C">
      <w:pPr>
        <w:spacing w:before="120" w:line="204" w:lineRule="auto"/>
        <w:ind w:left="829" w:right="1475"/>
        <w:jc w:val="both"/>
        <w:rPr>
          <w:rFonts w:ascii="Calibri" w:hAnsi="Calibri"/>
          <w:sz w:val="20"/>
        </w:rPr>
      </w:pPr>
      <w:r>
        <w:rPr>
          <w:rFonts w:ascii="Calibri" w:hAnsi="Calibri"/>
          <w:color w:val="003366"/>
          <w:sz w:val="20"/>
        </w:rPr>
        <w:t>In addition, most of the Office’s liabilities relate to staff leave entitlements and only a portion of these entitlements are paid each year. Nevertheless, to specifically address the unlikely possibility that a large amount of these liabilities became payable and exceed the value of current assets available, the Office would seek further appropriation under the relevant provisions of the FMA.</w:t>
      </w:r>
    </w:p>
    <w:p w:rsidR="006C17CB" w:rsidRDefault="006C17CB">
      <w:pPr>
        <w:pStyle w:val="BodyText"/>
        <w:rPr>
          <w:rFonts w:ascii="Calibri"/>
          <w:sz w:val="14"/>
        </w:rPr>
      </w:pPr>
    </w:p>
    <w:p w:rsidR="006C17CB" w:rsidRDefault="0030091C">
      <w:pPr>
        <w:ind w:left="829"/>
        <w:rPr>
          <w:rFonts w:ascii="Calibri" w:hAnsi="Calibri"/>
          <w:b/>
          <w:sz w:val="20"/>
        </w:rPr>
      </w:pPr>
      <w:r>
        <w:rPr>
          <w:rFonts w:ascii="Calibri" w:hAnsi="Calibri"/>
          <w:b/>
          <w:color w:val="003366"/>
          <w:sz w:val="20"/>
        </w:rPr>
        <w:t>ASSETS – CURRENT AND NON-CURRENT</w:t>
      </w:r>
    </w:p>
    <w:p w:rsidR="006C17CB" w:rsidRDefault="0030091C">
      <w:pPr>
        <w:spacing w:before="114" w:line="201" w:lineRule="auto"/>
        <w:ind w:left="829" w:right="1472"/>
        <w:jc w:val="both"/>
        <w:rPr>
          <w:rFonts w:ascii="Calibri"/>
          <w:sz w:val="20"/>
        </w:rPr>
      </w:pPr>
      <w:r>
        <w:rPr>
          <w:rFonts w:ascii="Calibri"/>
          <w:color w:val="003366"/>
          <w:sz w:val="20"/>
        </w:rPr>
        <w:t>Assets</w:t>
      </w:r>
      <w:r>
        <w:rPr>
          <w:rFonts w:ascii="Calibri"/>
          <w:color w:val="003366"/>
          <w:spacing w:val="-11"/>
          <w:sz w:val="20"/>
        </w:rPr>
        <w:t xml:space="preserve"> </w:t>
      </w:r>
      <w:r>
        <w:rPr>
          <w:rFonts w:ascii="Calibri"/>
          <w:color w:val="003366"/>
          <w:sz w:val="20"/>
        </w:rPr>
        <w:t>are</w:t>
      </w:r>
      <w:r>
        <w:rPr>
          <w:rFonts w:ascii="Calibri"/>
          <w:color w:val="003366"/>
          <w:spacing w:val="-11"/>
          <w:sz w:val="20"/>
        </w:rPr>
        <w:t xml:space="preserve"> </w:t>
      </w:r>
      <w:r>
        <w:rPr>
          <w:rFonts w:ascii="Calibri"/>
          <w:color w:val="003366"/>
          <w:sz w:val="20"/>
        </w:rPr>
        <w:t>classified</w:t>
      </w:r>
      <w:r>
        <w:rPr>
          <w:rFonts w:ascii="Calibri"/>
          <w:color w:val="003366"/>
          <w:spacing w:val="-9"/>
          <w:sz w:val="20"/>
        </w:rPr>
        <w:t xml:space="preserve"> </w:t>
      </w:r>
      <w:r>
        <w:rPr>
          <w:rFonts w:ascii="Calibri"/>
          <w:color w:val="003366"/>
          <w:sz w:val="20"/>
        </w:rPr>
        <w:t>as</w:t>
      </w:r>
      <w:r>
        <w:rPr>
          <w:rFonts w:ascii="Calibri"/>
          <w:color w:val="003366"/>
          <w:spacing w:val="-11"/>
          <w:sz w:val="20"/>
        </w:rPr>
        <w:t xml:space="preserve"> </w:t>
      </w:r>
      <w:r>
        <w:rPr>
          <w:rFonts w:ascii="Calibri"/>
          <w:color w:val="003366"/>
          <w:sz w:val="20"/>
        </w:rPr>
        <w:t>current</w:t>
      </w:r>
      <w:r>
        <w:rPr>
          <w:rFonts w:ascii="Calibri"/>
          <w:color w:val="003366"/>
          <w:spacing w:val="-7"/>
          <w:sz w:val="20"/>
        </w:rPr>
        <w:t xml:space="preserve"> </w:t>
      </w:r>
      <w:r>
        <w:rPr>
          <w:rFonts w:ascii="Calibri"/>
          <w:color w:val="003366"/>
          <w:sz w:val="20"/>
        </w:rPr>
        <w:t>where</w:t>
      </w:r>
      <w:r>
        <w:rPr>
          <w:rFonts w:ascii="Calibri"/>
          <w:color w:val="003366"/>
          <w:spacing w:val="-11"/>
          <w:sz w:val="20"/>
        </w:rPr>
        <w:t xml:space="preserve"> </w:t>
      </w:r>
      <w:r>
        <w:rPr>
          <w:rFonts w:ascii="Calibri"/>
          <w:color w:val="003366"/>
          <w:sz w:val="20"/>
        </w:rPr>
        <w:t>they</w:t>
      </w:r>
      <w:r>
        <w:rPr>
          <w:rFonts w:ascii="Calibri"/>
          <w:color w:val="003366"/>
          <w:spacing w:val="-9"/>
          <w:sz w:val="20"/>
        </w:rPr>
        <w:t xml:space="preserve"> </w:t>
      </w:r>
      <w:r>
        <w:rPr>
          <w:rFonts w:ascii="Calibri"/>
          <w:color w:val="003366"/>
          <w:sz w:val="20"/>
        </w:rPr>
        <w:t>are</w:t>
      </w:r>
      <w:r>
        <w:rPr>
          <w:rFonts w:ascii="Calibri"/>
          <w:color w:val="003366"/>
          <w:spacing w:val="-11"/>
          <w:sz w:val="20"/>
        </w:rPr>
        <w:t xml:space="preserve"> </w:t>
      </w:r>
      <w:r>
        <w:rPr>
          <w:rFonts w:ascii="Calibri"/>
          <w:color w:val="003366"/>
          <w:sz w:val="20"/>
        </w:rPr>
        <w:t>expected</w:t>
      </w:r>
      <w:r>
        <w:rPr>
          <w:rFonts w:ascii="Calibri"/>
          <w:color w:val="003366"/>
          <w:spacing w:val="-9"/>
          <w:sz w:val="20"/>
        </w:rPr>
        <w:t xml:space="preserve"> </w:t>
      </w:r>
      <w:r>
        <w:rPr>
          <w:rFonts w:ascii="Calibri"/>
          <w:color w:val="003366"/>
          <w:sz w:val="20"/>
        </w:rPr>
        <w:t>to</w:t>
      </w:r>
      <w:r>
        <w:rPr>
          <w:rFonts w:ascii="Calibri"/>
          <w:color w:val="003366"/>
          <w:spacing w:val="-10"/>
          <w:sz w:val="20"/>
        </w:rPr>
        <w:t xml:space="preserve"> </w:t>
      </w:r>
      <w:r>
        <w:rPr>
          <w:rFonts w:ascii="Calibri"/>
          <w:color w:val="003366"/>
          <w:sz w:val="20"/>
        </w:rPr>
        <w:t>be</w:t>
      </w:r>
      <w:r>
        <w:rPr>
          <w:rFonts w:ascii="Calibri"/>
          <w:color w:val="003366"/>
          <w:spacing w:val="-11"/>
          <w:sz w:val="20"/>
        </w:rPr>
        <w:t xml:space="preserve"> </w:t>
      </w:r>
      <w:r>
        <w:rPr>
          <w:rFonts w:ascii="Calibri"/>
          <w:color w:val="003366"/>
          <w:sz w:val="20"/>
        </w:rPr>
        <w:t>realised</w:t>
      </w:r>
      <w:r>
        <w:rPr>
          <w:rFonts w:ascii="Calibri"/>
          <w:color w:val="003366"/>
          <w:spacing w:val="-7"/>
          <w:sz w:val="20"/>
        </w:rPr>
        <w:t xml:space="preserve"> </w:t>
      </w:r>
      <w:r>
        <w:rPr>
          <w:rFonts w:ascii="Calibri"/>
          <w:color w:val="003366"/>
          <w:sz w:val="20"/>
        </w:rPr>
        <w:t>within</w:t>
      </w:r>
      <w:r>
        <w:rPr>
          <w:rFonts w:ascii="Calibri"/>
          <w:color w:val="003366"/>
          <w:spacing w:val="-9"/>
          <w:sz w:val="20"/>
        </w:rPr>
        <w:t xml:space="preserve"> </w:t>
      </w:r>
      <w:r>
        <w:rPr>
          <w:rFonts w:ascii="Calibri"/>
          <w:color w:val="003366"/>
          <w:sz w:val="20"/>
        </w:rPr>
        <w:t>12</w:t>
      </w:r>
      <w:r>
        <w:rPr>
          <w:rFonts w:ascii="Calibri"/>
          <w:color w:val="003366"/>
          <w:spacing w:val="-10"/>
          <w:sz w:val="20"/>
        </w:rPr>
        <w:t xml:space="preserve"> </w:t>
      </w:r>
      <w:r>
        <w:rPr>
          <w:rFonts w:ascii="Calibri"/>
          <w:color w:val="003366"/>
          <w:sz w:val="20"/>
        </w:rPr>
        <w:t>months</w:t>
      </w:r>
      <w:r>
        <w:rPr>
          <w:rFonts w:ascii="Calibri"/>
          <w:color w:val="003366"/>
          <w:spacing w:val="-11"/>
          <w:sz w:val="20"/>
        </w:rPr>
        <w:t xml:space="preserve"> </w:t>
      </w:r>
      <w:r>
        <w:rPr>
          <w:rFonts w:ascii="Calibri"/>
          <w:color w:val="003366"/>
          <w:sz w:val="20"/>
        </w:rPr>
        <w:t>after</w:t>
      </w:r>
      <w:r>
        <w:rPr>
          <w:rFonts w:ascii="Calibri"/>
          <w:color w:val="003366"/>
          <w:spacing w:val="-10"/>
          <w:sz w:val="20"/>
        </w:rPr>
        <w:t xml:space="preserve"> </w:t>
      </w:r>
      <w:r>
        <w:rPr>
          <w:rFonts w:ascii="Calibri"/>
          <w:color w:val="003366"/>
          <w:sz w:val="20"/>
        </w:rPr>
        <w:t>the</w:t>
      </w:r>
      <w:r>
        <w:rPr>
          <w:rFonts w:ascii="Calibri"/>
          <w:color w:val="003366"/>
          <w:spacing w:val="-11"/>
          <w:sz w:val="20"/>
        </w:rPr>
        <w:t xml:space="preserve"> </w:t>
      </w:r>
      <w:r>
        <w:rPr>
          <w:rFonts w:ascii="Calibri"/>
          <w:color w:val="003366"/>
          <w:sz w:val="20"/>
        </w:rPr>
        <w:t>reporting date. Assets, which do not fall within the current classification, are classified as</w:t>
      </w:r>
      <w:r>
        <w:rPr>
          <w:rFonts w:ascii="Calibri"/>
          <w:color w:val="003366"/>
          <w:spacing w:val="-13"/>
          <w:sz w:val="20"/>
        </w:rPr>
        <w:t xml:space="preserve"> </w:t>
      </w:r>
      <w:r>
        <w:rPr>
          <w:rFonts w:ascii="Calibri"/>
          <w:color w:val="003366"/>
          <w:sz w:val="20"/>
        </w:rPr>
        <w:t>non-current.</w:t>
      </w:r>
    </w:p>
    <w:p w:rsidR="006C17CB" w:rsidRDefault="006C17CB">
      <w:pPr>
        <w:pStyle w:val="BodyText"/>
        <w:spacing w:before="4"/>
        <w:rPr>
          <w:rFonts w:ascii="Calibri"/>
          <w:sz w:val="14"/>
        </w:rPr>
      </w:pPr>
    </w:p>
    <w:p w:rsidR="006C17CB" w:rsidRDefault="0030091C">
      <w:pPr>
        <w:ind w:left="829"/>
        <w:rPr>
          <w:rFonts w:ascii="Calibri" w:hAnsi="Calibri"/>
          <w:b/>
          <w:sz w:val="20"/>
        </w:rPr>
      </w:pPr>
      <w:r>
        <w:rPr>
          <w:rFonts w:ascii="Calibri" w:hAnsi="Calibri"/>
          <w:b/>
          <w:color w:val="003366"/>
          <w:sz w:val="20"/>
        </w:rPr>
        <w:t>LIABILITIES – CURRENT AND NON-CURRENT</w:t>
      </w:r>
    </w:p>
    <w:p w:rsidR="006C17CB" w:rsidRDefault="0030091C">
      <w:pPr>
        <w:spacing w:before="112" w:line="204" w:lineRule="auto"/>
        <w:ind w:left="829" w:right="1472"/>
        <w:jc w:val="both"/>
        <w:rPr>
          <w:rFonts w:ascii="Calibri"/>
          <w:sz w:val="20"/>
        </w:rPr>
      </w:pPr>
      <w:r>
        <w:rPr>
          <w:rFonts w:ascii="Calibri"/>
          <w:color w:val="003366"/>
          <w:sz w:val="20"/>
        </w:rPr>
        <w:t>Liabilities are classified as current where they are due to be settled within 12 months after the reporting date or the Office does not  have an unconditional right to defer  settlement of the liability for at least    12 months after the reporting date. Liabilities, which do not fall within the current classification, are classified as</w:t>
      </w:r>
      <w:r>
        <w:rPr>
          <w:rFonts w:ascii="Calibri"/>
          <w:color w:val="003366"/>
          <w:spacing w:val="-1"/>
          <w:sz w:val="20"/>
        </w:rPr>
        <w:t xml:space="preserve"> </w:t>
      </w:r>
      <w:r>
        <w:rPr>
          <w:rFonts w:ascii="Calibri"/>
          <w:color w:val="003366"/>
          <w:sz w:val="20"/>
        </w:rPr>
        <w:t>non-current.</w:t>
      </w:r>
    </w:p>
    <w:p w:rsidR="006C17CB" w:rsidRDefault="006C17CB">
      <w:pPr>
        <w:spacing w:line="204" w:lineRule="auto"/>
        <w:jc w:val="both"/>
        <w:rPr>
          <w:rFonts w:ascii="Calibri"/>
          <w:sz w:val="20"/>
        </w:rPr>
        <w:sectPr w:rsidR="006C17CB">
          <w:pgSz w:w="11910" w:h="16840"/>
          <w:pgMar w:top="2120" w:right="0" w:bottom="720" w:left="980" w:header="1173" w:footer="523" w:gutter="0"/>
          <w:cols w:space="720"/>
        </w:sectPr>
      </w:pPr>
    </w:p>
    <w:p w:rsidR="006C17CB" w:rsidRDefault="006C17CB">
      <w:pPr>
        <w:pStyle w:val="BodyText"/>
        <w:spacing w:before="9"/>
        <w:rPr>
          <w:rFonts w:ascii="Calibri"/>
          <w:sz w:val="21"/>
        </w:rPr>
      </w:pPr>
    </w:p>
    <w:p w:rsidR="006C17CB" w:rsidRDefault="0030091C">
      <w:pPr>
        <w:pStyle w:val="Heading6"/>
        <w:tabs>
          <w:tab w:val="left" w:pos="1962"/>
        </w:tabs>
        <w:spacing w:line="345" w:lineRule="exact"/>
      </w:pPr>
      <w:r>
        <w:rPr>
          <w:color w:val="003366"/>
        </w:rPr>
        <w:t>NOTE</w:t>
      </w:r>
      <w:r>
        <w:rPr>
          <w:color w:val="003366"/>
          <w:spacing w:val="-1"/>
        </w:rPr>
        <w:t xml:space="preserve"> </w:t>
      </w:r>
      <w:r>
        <w:rPr>
          <w:color w:val="003366"/>
        </w:rPr>
        <w:t>3.</w:t>
      </w:r>
      <w:r>
        <w:rPr>
          <w:color w:val="003366"/>
        </w:rPr>
        <w:tab/>
        <w:t>CONTROLLED RECURRENT PAYMENTS</w:t>
      </w:r>
    </w:p>
    <w:p w:rsidR="006C17CB" w:rsidRDefault="006C17CB">
      <w:pPr>
        <w:pStyle w:val="BodyText"/>
        <w:spacing w:before="14"/>
        <w:rPr>
          <w:rFonts w:ascii="Calibri"/>
          <w:b/>
          <w:sz w:val="15"/>
        </w:rPr>
      </w:pPr>
    </w:p>
    <w:p w:rsidR="006C17CB" w:rsidRDefault="0030091C">
      <w:pPr>
        <w:spacing w:line="204" w:lineRule="auto"/>
        <w:ind w:left="829" w:right="1469"/>
        <w:rPr>
          <w:rFonts w:ascii="Calibri"/>
          <w:sz w:val="20"/>
        </w:rPr>
      </w:pPr>
      <w:r>
        <w:rPr>
          <w:rFonts w:ascii="Calibri"/>
          <w:color w:val="003366"/>
          <w:sz w:val="20"/>
        </w:rPr>
        <w:t>Controlled Recurrent Payments are recognised as revenue when the Office gains control over the funding. Control over appropriated funds is normally obtained upon receipt of cash.</w:t>
      </w:r>
    </w:p>
    <w:p w:rsidR="006C17CB" w:rsidRDefault="006C17CB">
      <w:pPr>
        <w:spacing w:line="204" w:lineRule="auto"/>
        <w:rPr>
          <w:rFonts w:ascii="Calibri"/>
          <w:sz w:val="20"/>
        </w:rPr>
        <w:sectPr w:rsidR="006C17CB">
          <w:pgSz w:w="11910" w:h="16840"/>
          <w:pgMar w:top="2120" w:right="0" w:bottom="740" w:left="980" w:header="1187" w:footer="551" w:gutter="0"/>
          <w:cols w:space="720"/>
        </w:sectPr>
      </w:pPr>
    </w:p>
    <w:p w:rsidR="006C17CB" w:rsidRDefault="006C17CB">
      <w:pPr>
        <w:pStyle w:val="BodyText"/>
        <w:rPr>
          <w:rFonts w:ascii="Calibri"/>
          <w:sz w:val="20"/>
        </w:rPr>
      </w:pPr>
    </w:p>
    <w:p w:rsidR="006C17CB" w:rsidRDefault="006C17CB">
      <w:pPr>
        <w:pStyle w:val="BodyText"/>
        <w:spacing w:before="7"/>
        <w:rPr>
          <w:rFonts w:ascii="Calibri"/>
        </w:rPr>
      </w:pPr>
    </w:p>
    <w:p w:rsidR="006C17CB" w:rsidRDefault="0030091C">
      <w:pPr>
        <w:ind w:left="829"/>
        <w:rPr>
          <w:rFonts w:ascii="Calibri"/>
          <w:b/>
          <w:sz w:val="20"/>
        </w:rPr>
      </w:pPr>
      <w:r>
        <w:rPr>
          <w:rFonts w:ascii="Calibri"/>
          <w:b/>
          <w:color w:val="003366"/>
          <w:sz w:val="20"/>
        </w:rPr>
        <w:t>Revenue from the ACT Government</w:t>
      </w:r>
    </w:p>
    <w:p w:rsidR="006C17CB" w:rsidRDefault="0030091C">
      <w:pPr>
        <w:spacing w:before="84" w:line="265" w:lineRule="exact"/>
        <w:jc w:val="right"/>
        <w:rPr>
          <w:rFonts w:ascii="Calibri"/>
          <w:b/>
          <w:sz w:val="20"/>
        </w:rPr>
      </w:pPr>
      <w:r>
        <w:br w:type="column"/>
      </w:r>
      <w:r>
        <w:rPr>
          <w:rFonts w:ascii="Calibri"/>
          <w:b/>
          <w:color w:val="003366"/>
          <w:sz w:val="20"/>
        </w:rPr>
        <w:t>2018</w:t>
      </w:r>
    </w:p>
    <w:p w:rsidR="006C17CB" w:rsidRDefault="0030091C">
      <w:pPr>
        <w:spacing w:line="265" w:lineRule="exact"/>
        <w:jc w:val="right"/>
        <w:rPr>
          <w:rFonts w:ascii="Calibri" w:hAnsi="Calibri"/>
          <w:b/>
          <w:sz w:val="20"/>
        </w:rPr>
      </w:pPr>
      <w:r>
        <w:rPr>
          <w:rFonts w:ascii="Calibri" w:hAnsi="Calibri"/>
          <w:b/>
          <w:color w:val="003366"/>
          <w:sz w:val="20"/>
        </w:rPr>
        <w:t>$’000</w:t>
      </w:r>
    </w:p>
    <w:p w:rsidR="006C17CB" w:rsidRDefault="0030091C">
      <w:pPr>
        <w:spacing w:before="84" w:line="265" w:lineRule="exact"/>
        <w:ind w:left="880"/>
        <w:rPr>
          <w:rFonts w:ascii="Calibri"/>
          <w:b/>
          <w:sz w:val="20"/>
        </w:rPr>
      </w:pPr>
      <w:r>
        <w:br w:type="column"/>
      </w:r>
      <w:r>
        <w:rPr>
          <w:rFonts w:ascii="Calibri"/>
          <w:b/>
          <w:color w:val="003366"/>
          <w:sz w:val="20"/>
        </w:rPr>
        <w:t>2017</w:t>
      </w:r>
    </w:p>
    <w:p w:rsidR="006C17CB" w:rsidRDefault="0030091C">
      <w:pPr>
        <w:spacing w:line="265" w:lineRule="exact"/>
        <w:ind w:left="829"/>
        <w:rPr>
          <w:rFonts w:ascii="Calibri" w:hAnsi="Calibri"/>
          <w:b/>
          <w:sz w:val="20"/>
        </w:rPr>
      </w:pPr>
      <w:r>
        <w:rPr>
          <w:rFonts w:ascii="Calibri" w:hAnsi="Calibri"/>
          <w:b/>
          <w:color w:val="003366"/>
          <w:sz w:val="20"/>
        </w:rPr>
        <w:t>$’000</w:t>
      </w:r>
    </w:p>
    <w:p w:rsidR="006C17CB" w:rsidRDefault="006C17CB">
      <w:pPr>
        <w:spacing w:line="265" w:lineRule="exact"/>
        <w:rPr>
          <w:rFonts w:ascii="Calibri" w:hAnsi="Calibri"/>
          <w:sz w:val="20"/>
        </w:rPr>
        <w:sectPr w:rsidR="006C17CB">
          <w:type w:val="continuous"/>
          <w:pgSz w:w="11910" w:h="16840"/>
          <w:pgMar w:top="1580" w:right="0" w:bottom="280" w:left="980" w:header="720" w:footer="720" w:gutter="0"/>
          <w:cols w:num="3" w:space="720" w:equalWidth="0">
            <w:col w:w="3833" w:space="2978"/>
            <w:col w:w="1284" w:space="68"/>
            <w:col w:w="2767"/>
          </w:cols>
        </w:sectPr>
      </w:pPr>
    </w:p>
    <w:p w:rsidR="006C17CB" w:rsidRDefault="0030091C">
      <w:pPr>
        <w:tabs>
          <w:tab w:val="left" w:pos="6819"/>
          <w:tab w:val="left" w:pos="7640"/>
          <w:tab w:val="left" w:pos="8991"/>
        </w:tabs>
        <w:spacing w:line="286" w:lineRule="exact"/>
        <w:ind w:left="829"/>
        <w:rPr>
          <w:rFonts w:ascii="Calibri"/>
          <w:sz w:val="20"/>
        </w:rPr>
      </w:pPr>
      <w:r>
        <w:rPr>
          <w:rFonts w:ascii="Calibri"/>
          <w:color w:val="003366"/>
          <w:sz w:val="20"/>
        </w:rPr>
        <w:t>Controlled Recurrent</w:t>
      </w:r>
      <w:r>
        <w:rPr>
          <w:rFonts w:ascii="Calibri"/>
          <w:color w:val="003366"/>
          <w:spacing w:val="-4"/>
          <w:sz w:val="20"/>
        </w:rPr>
        <w:t xml:space="preserve"> </w:t>
      </w:r>
      <w:r>
        <w:rPr>
          <w:rFonts w:ascii="Calibri"/>
          <w:color w:val="003366"/>
          <w:sz w:val="20"/>
        </w:rPr>
        <w:t>Payments</w:t>
      </w:r>
      <w:r>
        <w:rPr>
          <w:rFonts w:ascii="Calibri"/>
          <w:color w:val="003366"/>
          <w:spacing w:val="-4"/>
          <w:sz w:val="20"/>
        </w:rPr>
        <w:t xml:space="preserve"> </w:t>
      </w:r>
      <w:r>
        <w:rPr>
          <w:rFonts w:ascii="Calibri"/>
          <w:color w:val="003366"/>
          <w:sz w:val="20"/>
          <w:vertAlign w:val="superscript"/>
        </w:rPr>
        <w:t>a</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9,090</w:t>
      </w:r>
      <w:r>
        <w:rPr>
          <w:rFonts w:ascii="Calibri"/>
          <w:color w:val="003366"/>
          <w:sz w:val="20"/>
          <w:u w:val="single" w:color="003366"/>
        </w:rPr>
        <w:tab/>
        <w:t>8,649</w:t>
      </w:r>
      <w:r>
        <w:rPr>
          <w:rFonts w:ascii="Calibri"/>
          <w:color w:val="003366"/>
          <w:spacing w:val="18"/>
          <w:sz w:val="20"/>
          <w:u w:val="single" w:color="003366"/>
        </w:rPr>
        <w:t xml:space="preserve"> </w:t>
      </w:r>
    </w:p>
    <w:p w:rsidR="006C17CB" w:rsidRDefault="0030091C">
      <w:pPr>
        <w:tabs>
          <w:tab w:val="left" w:pos="7640"/>
          <w:tab w:val="left" w:pos="8991"/>
        </w:tabs>
        <w:ind w:left="829"/>
        <w:rPr>
          <w:rFonts w:ascii="Calibri"/>
          <w:b/>
          <w:sz w:val="20"/>
        </w:rPr>
      </w:pPr>
      <w:r>
        <w:rPr>
          <w:rFonts w:ascii="Calibri"/>
          <w:b/>
          <w:color w:val="003366"/>
          <w:sz w:val="20"/>
        </w:rPr>
        <w:t>Total Recurrent</w:t>
      </w:r>
      <w:r>
        <w:rPr>
          <w:rFonts w:ascii="Calibri"/>
          <w:b/>
          <w:color w:val="003366"/>
          <w:spacing w:val="-7"/>
          <w:sz w:val="20"/>
        </w:rPr>
        <w:t xml:space="preserve"> </w:t>
      </w:r>
      <w:r>
        <w:rPr>
          <w:rFonts w:ascii="Calibri"/>
          <w:b/>
          <w:color w:val="003366"/>
          <w:sz w:val="20"/>
        </w:rPr>
        <w:t>Controlled</w:t>
      </w:r>
      <w:r>
        <w:rPr>
          <w:rFonts w:ascii="Calibri"/>
          <w:b/>
          <w:color w:val="003366"/>
          <w:spacing w:val="-2"/>
          <w:sz w:val="20"/>
        </w:rPr>
        <w:t xml:space="preserve"> </w:t>
      </w:r>
      <w:r>
        <w:rPr>
          <w:rFonts w:ascii="Calibri"/>
          <w:b/>
          <w:color w:val="003366"/>
          <w:sz w:val="20"/>
        </w:rPr>
        <w:t>Payments</w:t>
      </w:r>
      <w:r>
        <w:rPr>
          <w:rFonts w:ascii="Calibri"/>
          <w:b/>
          <w:color w:val="003366"/>
          <w:sz w:val="20"/>
        </w:rPr>
        <w:tab/>
        <w:t>9,090</w:t>
      </w:r>
      <w:r>
        <w:rPr>
          <w:rFonts w:ascii="Calibri"/>
          <w:b/>
          <w:color w:val="003366"/>
          <w:sz w:val="20"/>
        </w:rPr>
        <w:tab/>
        <w:t>8,649</w:t>
      </w:r>
    </w:p>
    <w:p w:rsidR="006C17CB" w:rsidRDefault="00FE24A7">
      <w:pPr>
        <w:pStyle w:val="BodyText"/>
        <w:spacing w:line="29" w:lineRule="exact"/>
        <w:ind w:left="6815"/>
        <w:rPr>
          <w:rFonts w:ascii="Calibri"/>
          <w:sz w:val="2"/>
        </w:rPr>
      </w:pPr>
      <w:r>
        <w:rPr>
          <w:rFonts w:ascii="Calibri"/>
          <w:sz w:val="2"/>
        </w:rPr>
      </w:r>
      <w:r>
        <w:rPr>
          <w:rFonts w:ascii="Calibri"/>
          <w:sz w:val="2"/>
        </w:rPr>
        <w:pict>
          <v:group id="_x0000_s1408" alt="" style="width:136.8pt;height:1.45pt;mso-position-horizontal-relative:char;mso-position-vertical-relative:line" coordsize="2736,29">
            <v:line id="_x0000_s1409" alt="" style="position:absolute" from="0,5" to="1385,5" strokecolor="#036" strokeweight=".48pt"/>
            <v:line id="_x0000_s1410" alt="" style="position:absolute" from="0,24" to="1385,24" strokecolor="#036" strokeweight=".17003mm"/>
            <v:rect id="_x0000_s1411" alt="" style="position:absolute;left:1384;width:29;height:10" fillcolor="#036" stroked="f"/>
            <v:rect id="_x0000_s1412" alt="" style="position:absolute;left:1384;top:19;width:29;height:10" fillcolor="#036" stroked="f"/>
            <v:line id="_x0000_s1413" alt="" style="position:absolute" from="1414,5" to="2736,5" strokecolor="#036" strokeweight=".48pt"/>
            <v:line id="_x0000_s1414" alt="" style="position:absolute" from="1414,24" to="2736,24" strokecolor="#036" strokeweight=".17003mm"/>
            <w10:anchorlock/>
          </v:group>
        </w:pict>
      </w:r>
    </w:p>
    <w:p w:rsidR="006C17CB" w:rsidRDefault="006C17CB">
      <w:pPr>
        <w:pStyle w:val="BodyText"/>
        <w:spacing w:before="13"/>
        <w:rPr>
          <w:rFonts w:ascii="Calibri"/>
          <w:b/>
          <w:sz w:val="10"/>
        </w:rPr>
      </w:pPr>
    </w:p>
    <w:p w:rsidR="006C17CB" w:rsidRDefault="0030091C">
      <w:pPr>
        <w:tabs>
          <w:tab w:val="left" w:pos="1189"/>
        </w:tabs>
        <w:spacing w:before="58" w:line="201" w:lineRule="auto"/>
        <w:ind w:left="1189" w:right="1480" w:hanging="360"/>
        <w:rPr>
          <w:rFonts w:ascii="Calibri"/>
          <w:sz w:val="18"/>
        </w:rPr>
      </w:pPr>
      <w:r>
        <w:rPr>
          <w:rFonts w:ascii="Calibri"/>
          <w:color w:val="003366"/>
          <w:sz w:val="18"/>
        </w:rPr>
        <w:t>a)</w:t>
      </w:r>
      <w:r>
        <w:rPr>
          <w:rFonts w:ascii="Calibri"/>
          <w:color w:val="003366"/>
          <w:sz w:val="18"/>
        </w:rPr>
        <w:tab/>
        <w:t>The</w:t>
      </w:r>
      <w:r>
        <w:rPr>
          <w:rFonts w:ascii="Calibri"/>
          <w:color w:val="003366"/>
          <w:spacing w:val="-13"/>
          <w:sz w:val="18"/>
        </w:rPr>
        <w:t xml:space="preserve"> </w:t>
      </w:r>
      <w:r>
        <w:rPr>
          <w:rFonts w:ascii="Calibri"/>
          <w:color w:val="003366"/>
          <w:sz w:val="18"/>
        </w:rPr>
        <w:t>increase</w:t>
      </w:r>
      <w:r>
        <w:rPr>
          <w:rFonts w:ascii="Calibri"/>
          <w:color w:val="003366"/>
          <w:spacing w:val="-10"/>
          <w:sz w:val="18"/>
        </w:rPr>
        <w:t xml:space="preserve"> </w:t>
      </w:r>
      <w:r>
        <w:rPr>
          <w:rFonts w:ascii="Calibri"/>
          <w:color w:val="003366"/>
          <w:sz w:val="18"/>
        </w:rPr>
        <w:t>in</w:t>
      </w:r>
      <w:r>
        <w:rPr>
          <w:rFonts w:ascii="Calibri"/>
          <w:color w:val="003366"/>
          <w:spacing w:val="-13"/>
          <w:sz w:val="18"/>
        </w:rPr>
        <w:t xml:space="preserve"> </w:t>
      </w:r>
      <w:r>
        <w:rPr>
          <w:rFonts w:ascii="Calibri"/>
          <w:color w:val="003366"/>
          <w:sz w:val="18"/>
        </w:rPr>
        <w:t>Controlled</w:t>
      </w:r>
      <w:r>
        <w:rPr>
          <w:rFonts w:ascii="Calibri"/>
          <w:color w:val="003366"/>
          <w:spacing w:val="-13"/>
          <w:sz w:val="18"/>
        </w:rPr>
        <w:t xml:space="preserve"> </w:t>
      </w:r>
      <w:r>
        <w:rPr>
          <w:rFonts w:ascii="Calibri"/>
          <w:color w:val="003366"/>
          <w:sz w:val="18"/>
        </w:rPr>
        <w:t>Recurrent</w:t>
      </w:r>
      <w:r>
        <w:rPr>
          <w:rFonts w:ascii="Calibri"/>
          <w:color w:val="003366"/>
          <w:spacing w:val="-12"/>
          <w:sz w:val="18"/>
        </w:rPr>
        <w:t xml:space="preserve"> </w:t>
      </w:r>
      <w:r>
        <w:rPr>
          <w:rFonts w:ascii="Calibri"/>
          <w:color w:val="003366"/>
          <w:sz w:val="18"/>
        </w:rPr>
        <w:t>Payments</w:t>
      </w:r>
      <w:r>
        <w:rPr>
          <w:rFonts w:ascii="Calibri"/>
          <w:color w:val="003366"/>
          <w:spacing w:val="-13"/>
          <w:sz w:val="18"/>
        </w:rPr>
        <w:t xml:space="preserve"> </w:t>
      </w:r>
      <w:r>
        <w:rPr>
          <w:rFonts w:ascii="Calibri"/>
          <w:color w:val="003366"/>
          <w:sz w:val="18"/>
        </w:rPr>
        <w:t>of</w:t>
      </w:r>
      <w:r>
        <w:rPr>
          <w:rFonts w:ascii="Calibri"/>
          <w:color w:val="003366"/>
          <w:spacing w:val="-12"/>
          <w:sz w:val="18"/>
        </w:rPr>
        <w:t xml:space="preserve"> </w:t>
      </w:r>
      <w:r>
        <w:rPr>
          <w:rFonts w:ascii="Calibri"/>
          <w:color w:val="003366"/>
          <w:sz w:val="18"/>
        </w:rPr>
        <w:t>$441,000</w:t>
      </w:r>
      <w:r>
        <w:rPr>
          <w:rFonts w:ascii="Calibri"/>
          <w:color w:val="003366"/>
          <w:spacing w:val="-12"/>
          <w:sz w:val="18"/>
        </w:rPr>
        <w:t xml:space="preserve"> </w:t>
      </w:r>
      <w:r>
        <w:rPr>
          <w:rFonts w:ascii="Calibri"/>
          <w:color w:val="003366"/>
          <w:sz w:val="18"/>
        </w:rPr>
        <w:t>was</w:t>
      </w:r>
      <w:r>
        <w:rPr>
          <w:rFonts w:ascii="Calibri"/>
          <w:color w:val="003366"/>
          <w:spacing w:val="-13"/>
          <w:sz w:val="18"/>
        </w:rPr>
        <w:t xml:space="preserve"> </w:t>
      </w:r>
      <w:r>
        <w:rPr>
          <w:rFonts w:ascii="Calibri"/>
          <w:color w:val="003366"/>
          <w:sz w:val="18"/>
        </w:rPr>
        <w:t>mainly</w:t>
      </w:r>
      <w:r>
        <w:rPr>
          <w:rFonts w:ascii="Calibri"/>
          <w:color w:val="003366"/>
          <w:spacing w:val="-12"/>
          <w:sz w:val="18"/>
        </w:rPr>
        <w:t xml:space="preserve"> </w:t>
      </w:r>
      <w:r>
        <w:rPr>
          <w:rFonts w:ascii="Calibri"/>
          <w:color w:val="003366"/>
          <w:sz w:val="18"/>
        </w:rPr>
        <w:t>due</w:t>
      </w:r>
      <w:r>
        <w:rPr>
          <w:rFonts w:ascii="Calibri"/>
          <w:color w:val="003366"/>
          <w:spacing w:val="-13"/>
          <w:sz w:val="18"/>
        </w:rPr>
        <w:t xml:space="preserve"> </w:t>
      </w:r>
      <w:r>
        <w:rPr>
          <w:rFonts w:ascii="Calibri"/>
          <w:color w:val="003366"/>
          <w:sz w:val="18"/>
        </w:rPr>
        <w:t>to</w:t>
      </w:r>
      <w:r>
        <w:rPr>
          <w:rFonts w:ascii="Calibri"/>
          <w:color w:val="003366"/>
          <w:spacing w:val="-11"/>
          <w:sz w:val="18"/>
        </w:rPr>
        <w:t xml:space="preserve"> </w:t>
      </w:r>
      <w:r>
        <w:rPr>
          <w:rFonts w:ascii="Calibri"/>
          <w:color w:val="003366"/>
          <w:sz w:val="18"/>
        </w:rPr>
        <w:t>the</w:t>
      </w:r>
      <w:r>
        <w:rPr>
          <w:rFonts w:ascii="Calibri"/>
          <w:color w:val="003366"/>
          <w:spacing w:val="-13"/>
          <w:sz w:val="18"/>
        </w:rPr>
        <w:t xml:space="preserve"> </w:t>
      </w:r>
      <w:r>
        <w:rPr>
          <w:rFonts w:ascii="Calibri"/>
          <w:color w:val="003366"/>
          <w:sz w:val="18"/>
        </w:rPr>
        <w:t>full</w:t>
      </w:r>
      <w:r>
        <w:rPr>
          <w:rFonts w:ascii="Calibri"/>
          <w:color w:val="003366"/>
          <w:spacing w:val="-13"/>
          <w:sz w:val="18"/>
        </w:rPr>
        <w:t xml:space="preserve"> </w:t>
      </w:r>
      <w:r>
        <w:rPr>
          <w:rFonts w:ascii="Calibri"/>
          <w:color w:val="003366"/>
          <w:sz w:val="18"/>
        </w:rPr>
        <w:t>year</w:t>
      </w:r>
      <w:r>
        <w:rPr>
          <w:rFonts w:ascii="Calibri"/>
          <w:color w:val="003366"/>
          <w:spacing w:val="-12"/>
          <w:sz w:val="18"/>
        </w:rPr>
        <w:t xml:space="preserve"> </w:t>
      </w:r>
      <w:r>
        <w:rPr>
          <w:rFonts w:ascii="Calibri"/>
          <w:color w:val="003366"/>
          <w:sz w:val="18"/>
        </w:rPr>
        <w:t>impact</w:t>
      </w:r>
      <w:r>
        <w:rPr>
          <w:rFonts w:ascii="Calibri"/>
          <w:color w:val="003366"/>
          <w:spacing w:val="-12"/>
          <w:sz w:val="18"/>
        </w:rPr>
        <w:t xml:space="preserve"> </w:t>
      </w:r>
      <w:r>
        <w:rPr>
          <w:rFonts w:ascii="Calibri"/>
          <w:color w:val="003366"/>
          <w:sz w:val="18"/>
        </w:rPr>
        <w:t>of</w:t>
      </w:r>
      <w:r>
        <w:rPr>
          <w:rFonts w:ascii="Calibri"/>
          <w:color w:val="003366"/>
          <w:spacing w:val="-11"/>
          <w:sz w:val="18"/>
        </w:rPr>
        <w:t xml:space="preserve"> </w:t>
      </w:r>
      <w:r>
        <w:rPr>
          <w:rFonts w:ascii="Calibri"/>
          <w:color w:val="003366"/>
          <w:sz w:val="18"/>
        </w:rPr>
        <w:t>the</w:t>
      </w:r>
      <w:r>
        <w:rPr>
          <w:rFonts w:ascii="Calibri"/>
          <w:color w:val="003366"/>
          <w:spacing w:val="-13"/>
          <w:sz w:val="18"/>
        </w:rPr>
        <w:t xml:space="preserve"> </w:t>
      </w:r>
      <w:r>
        <w:rPr>
          <w:rFonts w:ascii="Calibri"/>
          <w:color w:val="003366"/>
          <w:sz w:val="18"/>
        </w:rPr>
        <w:t>additional administrative</w:t>
      </w:r>
      <w:r>
        <w:rPr>
          <w:rFonts w:ascii="Calibri"/>
          <w:color w:val="003366"/>
          <w:spacing w:val="-4"/>
          <w:sz w:val="18"/>
        </w:rPr>
        <w:t xml:space="preserve"> </w:t>
      </w:r>
      <w:r>
        <w:rPr>
          <w:rFonts w:ascii="Calibri"/>
          <w:color w:val="003366"/>
          <w:sz w:val="18"/>
        </w:rPr>
        <w:t>resources</w:t>
      </w:r>
      <w:r>
        <w:rPr>
          <w:rFonts w:ascii="Calibri"/>
          <w:color w:val="003366"/>
          <w:spacing w:val="-4"/>
          <w:sz w:val="18"/>
        </w:rPr>
        <w:t xml:space="preserve"> </w:t>
      </w:r>
      <w:r>
        <w:rPr>
          <w:rFonts w:ascii="Calibri"/>
          <w:color w:val="003366"/>
          <w:sz w:val="18"/>
        </w:rPr>
        <w:t>provided</w:t>
      </w:r>
      <w:r>
        <w:rPr>
          <w:rFonts w:ascii="Calibri"/>
          <w:color w:val="003366"/>
          <w:spacing w:val="-4"/>
          <w:sz w:val="18"/>
        </w:rPr>
        <w:t xml:space="preserve"> </w:t>
      </w:r>
      <w:r>
        <w:rPr>
          <w:rFonts w:ascii="Calibri"/>
          <w:color w:val="003366"/>
          <w:sz w:val="18"/>
        </w:rPr>
        <w:t>to</w:t>
      </w:r>
      <w:r>
        <w:rPr>
          <w:rFonts w:ascii="Calibri"/>
          <w:color w:val="003366"/>
          <w:spacing w:val="-2"/>
          <w:sz w:val="18"/>
        </w:rPr>
        <w:t xml:space="preserve"> </w:t>
      </w:r>
      <w:r>
        <w:rPr>
          <w:rFonts w:ascii="Calibri"/>
          <w:color w:val="003366"/>
          <w:sz w:val="18"/>
        </w:rPr>
        <w:t>the</w:t>
      </w:r>
      <w:r>
        <w:rPr>
          <w:rFonts w:ascii="Calibri"/>
          <w:color w:val="003366"/>
          <w:spacing w:val="-4"/>
          <w:sz w:val="18"/>
        </w:rPr>
        <w:t xml:space="preserve"> </w:t>
      </w:r>
      <w:r>
        <w:rPr>
          <w:rFonts w:ascii="Calibri"/>
          <w:color w:val="003366"/>
          <w:sz w:val="18"/>
        </w:rPr>
        <w:t>Office</w:t>
      </w:r>
      <w:r>
        <w:rPr>
          <w:rFonts w:ascii="Calibri"/>
          <w:color w:val="003366"/>
          <w:spacing w:val="-7"/>
          <w:sz w:val="18"/>
        </w:rPr>
        <w:t xml:space="preserve"> </w:t>
      </w:r>
      <w:r>
        <w:rPr>
          <w:rFonts w:ascii="Calibri"/>
          <w:color w:val="003366"/>
          <w:sz w:val="18"/>
        </w:rPr>
        <w:t>following</w:t>
      </w:r>
      <w:r>
        <w:rPr>
          <w:rFonts w:ascii="Calibri"/>
          <w:color w:val="003366"/>
          <w:spacing w:val="-4"/>
          <w:sz w:val="18"/>
        </w:rPr>
        <w:t xml:space="preserve"> </w:t>
      </w:r>
      <w:r>
        <w:rPr>
          <w:rFonts w:ascii="Calibri"/>
          <w:color w:val="003366"/>
          <w:sz w:val="18"/>
        </w:rPr>
        <w:t>the</w:t>
      </w:r>
      <w:r>
        <w:rPr>
          <w:rFonts w:ascii="Calibri"/>
          <w:color w:val="003366"/>
          <w:spacing w:val="-4"/>
          <w:sz w:val="18"/>
        </w:rPr>
        <w:t xml:space="preserve"> </w:t>
      </w:r>
      <w:r>
        <w:rPr>
          <w:rFonts w:ascii="Calibri"/>
          <w:color w:val="003366"/>
          <w:sz w:val="18"/>
        </w:rPr>
        <w:t>expansion</w:t>
      </w:r>
      <w:r>
        <w:rPr>
          <w:rFonts w:ascii="Calibri"/>
          <w:color w:val="003366"/>
          <w:spacing w:val="-4"/>
          <w:sz w:val="18"/>
        </w:rPr>
        <w:t xml:space="preserve"> </w:t>
      </w:r>
      <w:r>
        <w:rPr>
          <w:rFonts w:ascii="Calibri"/>
          <w:color w:val="003366"/>
          <w:sz w:val="18"/>
        </w:rPr>
        <w:t>of</w:t>
      </w:r>
      <w:r>
        <w:rPr>
          <w:rFonts w:ascii="Calibri"/>
          <w:color w:val="003366"/>
          <w:spacing w:val="-3"/>
          <w:sz w:val="18"/>
        </w:rPr>
        <w:t xml:space="preserve"> </w:t>
      </w:r>
      <w:r>
        <w:rPr>
          <w:rFonts w:ascii="Calibri"/>
          <w:color w:val="003366"/>
          <w:sz w:val="18"/>
        </w:rPr>
        <w:t>the</w:t>
      </w:r>
      <w:r>
        <w:rPr>
          <w:rFonts w:ascii="Calibri"/>
          <w:color w:val="003366"/>
          <w:spacing w:val="-4"/>
          <w:sz w:val="18"/>
        </w:rPr>
        <w:t xml:space="preserve"> </w:t>
      </w:r>
      <w:r>
        <w:rPr>
          <w:rFonts w:ascii="Calibri"/>
          <w:color w:val="003366"/>
          <w:sz w:val="18"/>
        </w:rPr>
        <w:t>Assembly</w:t>
      </w:r>
      <w:r>
        <w:rPr>
          <w:rFonts w:ascii="Calibri"/>
          <w:color w:val="003366"/>
          <w:spacing w:val="-4"/>
          <w:sz w:val="18"/>
        </w:rPr>
        <w:t xml:space="preserve"> </w:t>
      </w:r>
      <w:r>
        <w:rPr>
          <w:rFonts w:ascii="Calibri"/>
          <w:color w:val="003366"/>
          <w:sz w:val="18"/>
        </w:rPr>
        <w:t>from</w:t>
      </w:r>
      <w:r>
        <w:rPr>
          <w:rFonts w:ascii="Calibri"/>
          <w:color w:val="003366"/>
          <w:spacing w:val="-3"/>
          <w:sz w:val="18"/>
        </w:rPr>
        <w:t xml:space="preserve"> </w:t>
      </w:r>
      <w:r>
        <w:rPr>
          <w:rFonts w:ascii="Calibri"/>
          <w:color w:val="003366"/>
          <w:sz w:val="18"/>
        </w:rPr>
        <w:t>17</w:t>
      </w:r>
      <w:r>
        <w:rPr>
          <w:rFonts w:ascii="Calibri"/>
          <w:color w:val="003366"/>
          <w:spacing w:val="-3"/>
          <w:sz w:val="18"/>
        </w:rPr>
        <w:t xml:space="preserve"> </w:t>
      </w:r>
      <w:r>
        <w:rPr>
          <w:rFonts w:ascii="Calibri"/>
          <w:color w:val="003366"/>
          <w:sz w:val="18"/>
        </w:rPr>
        <w:t>to</w:t>
      </w:r>
      <w:r>
        <w:rPr>
          <w:rFonts w:ascii="Calibri"/>
          <w:color w:val="003366"/>
          <w:spacing w:val="-5"/>
          <w:sz w:val="18"/>
        </w:rPr>
        <w:t xml:space="preserve"> </w:t>
      </w:r>
      <w:r>
        <w:rPr>
          <w:rFonts w:ascii="Calibri"/>
          <w:color w:val="003366"/>
          <w:sz w:val="18"/>
        </w:rPr>
        <w:t>25</w:t>
      </w:r>
      <w:r>
        <w:rPr>
          <w:rFonts w:ascii="Calibri"/>
          <w:color w:val="003366"/>
          <w:spacing w:val="-3"/>
          <w:sz w:val="18"/>
        </w:rPr>
        <w:t xml:space="preserve"> </w:t>
      </w:r>
      <w:r>
        <w:rPr>
          <w:rFonts w:ascii="Calibri"/>
          <w:color w:val="003366"/>
          <w:sz w:val="18"/>
        </w:rPr>
        <w:t>members.</w:t>
      </w:r>
    </w:p>
    <w:p w:rsidR="006C17CB" w:rsidRDefault="006C17CB">
      <w:pPr>
        <w:pStyle w:val="BodyText"/>
        <w:spacing w:before="6"/>
        <w:rPr>
          <w:rFonts w:ascii="Calibri"/>
          <w:sz w:val="20"/>
        </w:rPr>
      </w:pPr>
    </w:p>
    <w:p w:rsidR="006C17CB" w:rsidRDefault="0030091C">
      <w:pPr>
        <w:pStyle w:val="Heading6"/>
        <w:tabs>
          <w:tab w:val="left" w:pos="1962"/>
        </w:tabs>
      </w:pPr>
      <w:r>
        <w:rPr>
          <w:color w:val="003366"/>
        </w:rPr>
        <w:t>NOTE</w:t>
      </w:r>
      <w:r>
        <w:rPr>
          <w:color w:val="003366"/>
          <w:spacing w:val="-1"/>
        </w:rPr>
        <w:t xml:space="preserve"> </w:t>
      </w:r>
      <w:r>
        <w:rPr>
          <w:color w:val="003366"/>
        </w:rPr>
        <w:t>4.</w:t>
      </w:r>
      <w:r>
        <w:rPr>
          <w:color w:val="003366"/>
        </w:rPr>
        <w:tab/>
        <w:t>RESOURCES RECEIVED FREE OF CHARGE</w:t>
      </w:r>
    </w:p>
    <w:p w:rsidR="006C17CB" w:rsidRDefault="006C17CB">
      <w:pPr>
        <w:pStyle w:val="BodyText"/>
        <w:rPr>
          <w:rFonts w:ascii="Calibri"/>
          <w:b/>
          <w:sz w:val="16"/>
        </w:rPr>
      </w:pPr>
    </w:p>
    <w:p w:rsidR="006C17CB" w:rsidRDefault="0030091C">
      <w:pPr>
        <w:spacing w:line="204" w:lineRule="auto"/>
        <w:ind w:left="829" w:right="1472"/>
        <w:jc w:val="both"/>
        <w:rPr>
          <w:rFonts w:ascii="Calibri"/>
          <w:sz w:val="20"/>
        </w:rPr>
      </w:pPr>
      <w:r>
        <w:rPr>
          <w:rFonts w:ascii="Calibri"/>
          <w:color w:val="003366"/>
          <w:sz w:val="20"/>
        </w:rPr>
        <w:t>Resources received free of charge are recorded as a revenue and expense in the Operating Statement at fair value. The revenue is separately disclosed under resources received free of charge, with the expense being recorded in the line item to which it  relates.  Goods and services received  free of  charge  from  ACT Government agencies are recorded as resources received free of charge, whereas goods and services received free of charge from entities external to the ACT Government are recorded as donations. Services that are received free of charge are only recorded in the Operating Statement if they can be reliably measured and would have been purchased if not provided to the Office free of</w:t>
      </w:r>
      <w:r>
        <w:rPr>
          <w:rFonts w:ascii="Calibri"/>
          <w:color w:val="003366"/>
          <w:spacing w:val="-10"/>
          <w:sz w:val="20"/>
        </w:rPr>
        <w:t xml:space="preserve"> </w:t>
      </w:r>
      <w:r>
        <w:rPr>
          <w:rFonts w:ascii="Calibri"/>
          <w:color w:val="003366"/>
          <w:sz w:val="20"/>
        </w:rPr>
        <w:t>charge.</w:t>
      </w:r>
    </w:p>
    <w:p w:rsidR="006C17CB" w:rsidRDefault="0030091C">
      <w:pPr>
        <w:spacing w:before="114" w:line="204" w:lineRule="auto"/>
        <w:ind w:left="829" w:right="1475"/>
        <w:jc w:val="both"/>
        <w:rPr>
          <w:rFonts w:ascii="Calibri"/>
          <w:sz w:val="20"/>
        </w:rPr>
      </w:pPr>
      <w:r>
        <w:rPr>
          <w:rFonts w:ascii="Calibri"/>
          <w:color w:val="003366"/>
          <w:sz w:val="20"/>
        </w:rPr>
        <w:t>Resources provided free of charge are recorded at their fair value in the expense line items to which they relate.</w:t>
      </w:r>
    </w:p>
    <w:p w:rsidR="006C17CB" w:rsidRDefault="0030091C">
      <w:pPr>
        <w:spacing w:before="84"/>
        <w:ind w:left="829"/>
        <w:rPr>
          <w:rFonts w:ascii="Calibri" w:hAnsi="Calibri"/>
          <w:i/>
          <w:sz w:val="20"/>
        </w:rPr>
      </w:pPr>
      <w:r>
        <w:rPr>
          <w:rFonts w:ascii="Calibri" w:hAnsi="Calibri"/>
          <w:i/>
          <w:color w:val="003366"/>
          <w:sz w:val="20"/>
        </w:rPr>
        <w:t>Significant Accounting Judgements and Estimates – Resources Received Free of Charge</w:t>
      </w:r>
    </w:p>
    <w:p w:rsidR="006C17CB" w:rsidRDefault="0030091C">
      <w:pPr>
        <w:spacing w:before="112" w:line="204" w:lineRule="auto"/>
        <w:ind w:left="829" w:right="1474"/>
        <w:jc w:val="both"/>
        <w:rPr>
          <w:rFonts w:ascii="Calibri" w:hAnsi="Calibri"/>
          <w:sz w:val="20"/>
        </w:rPr>
      </w:pPr>
      <w:r>
        <w:rPr>
          <w:rFonts w:ascii="Calibri" w:hAnsi="Calibri"/>
          <w:color w:val="003366"/>
          <w:sz w:val="20"/>
        </w:rPr>
        <w:t>The Office has made a significant judgement in estimating the value of resources received free of charge. The Legislative Assembly building is part of the Office’s Territorial operation. A section of this building is used by the Office’s committee and chamber support services. The office space is provided by the Office’s Territorial operation to its controlled operation free of charge.</w:t>
      </w:r>
    </w:p>
    <w:p w:rsidR="006C17CB" w:rsidRDefault="0030091C">
      <w:pPr>
        <w:spacing w:before="114" w:line="204" w:lineRule="auto"/>
        <w:ind w:left="829" w:right="1471"/>
        <w:jc w:val="both"/>
        <w:rPr>
          <w:rFonts w:ascii="Calibri"/>
          <w:sz w:val="20"/>
        </w:rPr>
      </w:pPr>
      <w:r>
        <w:rPr>
          <w:rFonts w:ascii="Calibri"/>
          <w:color w:val="003366"/>
          <w:sz w:val="20"/>
        </w:rPr>
        <w:t>The</w:t>
      </w:r>
      <w:r>
        <w:rPr>
          <w:rFonts w:ascii="Calibri"/>
          <w:color w:val="003366"/>
          <w:spacing w:val="-14"/>
          <w:sz w:val="20"/>
        </w:rPr>
        <w:t xml:space="preserve"> </w:t>
      </w:r>
      <w:r>
        <w:rPr>
          <w:rFonts w:ascii="Calibri"/>
          <w:color w:val="003366"/>
          <w:sz w:val="20"/>
        </w:rPr>
        <w:t>Office</w:t>
      </w:r>
      <w:r>
        <w:rPr>
          <w:rFonts w:ascii="Calibri"/>
          <w:color w:val="003366"/>
          <w:spacing w:val="-14"/>
          <w:sz w:val="20"/>
        </w:rPr>
        <w:t xml:space="preserve"> </w:t>
      </w:r>
      <w:r>
        <w:rPr>
          <w:rFonts w:ascii="Calibri"/>
          <w:color w:val="003366"/>
          <w:sz w:val="20"/>
        </w:rPr>
        <w:t>has</w:t>
      </w:r>
      <w:r>
        <w:rPr>
          <w:rFonts w:ascii="Calibri"/>
          <w:color w:val="003366"/>
          <w:spacing w:val="-14"/>
          <w:sz w:val="20"/>
        </w:rPr>
        <w:t xml:space="preserve"> </w:t>
      </w:r>
      <w:r>
        <w:rPr>
          <w:rFonts w:ascii="Calibri"/>
          <w:color w:val="003366"/>
          <w:sz w:val="20"/>
        </w:rPr>
        <w:t>estimated</w:t>
      </w:r>
      <w:r>
        <w:rPr>
          <w:rFonts w:ascii="Calibri"/>
          <w:color w:val="003366"/>
          <w:spacing w:val="-13"/>
          <w:sz w:val="20"/>
        </w:rPr>
        <w:t xml:space="preserve"> </w:t>
      </w:r>
      <w:r>
        <w:rPr>
          <w:rFonts w:ascii="Calibri"/>
          <w:color w:val="003366"/>
          <w:sz w:val="20"/>
        </w:rPr>
        <w:t>the</w:t>
      </w:r>
      <w:r>
        <w:rPr>
          <w:rFonts w:ascii="Calibri"/>
          <w:color w:val="003366"/>
          <w:spacing w:val="-14"/>
          <w:sz w:val="20"/>
        </w:rPr>
        <w:t xml:space="preserve"> </w:t>
      </w:r>
      <w:r>
        <w:rPr>
          <w:rFonts w:ascii="Calibri"/>
          <w:color w:val="003366"/>
          <w:sz w:val="20"/>
        </w:rPr>
        <w:t>value</w:t>
      </w:r>
      <w:r>
        <w:rPr>
          <w:rFonts w:ascii="Calibri"/>
          <w:color w:val="003366"/>
          <w:spacing w:val="-14"/>
          <w:sz w:val="20"/>
        </w:rPr>
        <w:t xml:space="preserve"> </w:t>
      </w:r>
      <w:r>
        <w:rPr>
          <w:rFonts w:ascii="Calibri"/>
          <w:color w:val="003366"/>
          <w:sz w:val="20"/>
        </w:rPr>
        <w:t>of</w:t>
      </w:r>
      <w:r>
        <w:rPr>
          <w:rFonts w:ascii="Calibri"/>
          <w:color w:val="003366"/>
          <w:spacing w:val="-14"/>
          <w:sz w:val="20"/>
        </w:rPr>
        <w:t xml:space="preserve"> </w:t>
      </w:r>
      <w:r>
        <w:rPr>
          <w:rFonts w:ascii="Calibri"/>
          <w:color w:val="003366"/>
          <w:sz w:val="20"/>
        </w:rPr>
        <w:t>the</w:t>
      </w:r>
      <w:r>
        <w:rPr>
          <w:rFonts w:ascii="Calibri"/>
          <w:color w:val="003366"/>
          <w:spacing w:val="-14"/>
          <w:sz w:val="20"/>
        </w:rPr>
        <w:t xml:space="preserve"> </w:t>
      </w:r>
      <w:r>
        <w:rPr>
          <w:rFonts w:ascii="Calibri"/>
          <w:color w:val="003366"/>
          <w:sz w:val="20"/>
        </w:rPr>
        <w:t>office</w:t>
      </w:r>
      <w:r>
        <w:rPr>
          <w:rFonts w:ascii="Calibri"/>
          <w:color w:val="003366"/>
          <w:spacing w:val="-14"/>
          <w:sz w:val="20"/>
        </w:rPr>
        <w:t xml:space="preserve"> </w:t>
      </w:r>
      <w:r>
        <w:rPr>
          <w:rFonts w:ascii="Calibri"/>
          <w:color w:val="003366"/>
          <w:sz w:val="20"/>
        </w:rPr>
        <w:t>space</w:t>
      </w:r>
      <w:r>
        <w:rPr>
          <w:rFonts w:ascii="Calibri"/>
          <w:color w:val="003366"/>
          <w:spacing w:val="-14"/>
          <w:sz w:val="20"/>
        </w:rPr>
        <w:t xml:space="preserve"> </w:t>
      </w:r>
      <w:r>
        <w:rPr>
          <w:rFonts w:ascii="Calibri"/>
          <w:color w:val="003366"/>
          <w:sz w:val="20"/>
        </w:rPr>
        <w:t>provided</w:t>
      </w:r>
      <w:r>
        <w:rPr>
          <w:rFonts w:ascii="Calibri"/>
          <w:color w:val="003366"/>
          <w:spacing w:val="-13"/>
          <w:sz w:val="20"/>
        </w:rPr>
        <w:t xml:space="preserve"> </w:t>
      </w:r>
      <w:r>
        <w:rPr>
          <w:rFonts w:ascii="Calibri"/>
          <w:color w:val="003366"/>
          <w:sz w:val="20"/>
        </w:rPr>
        <w:t>free</w:t>
      </w:r>
      <w:r>
        <w:rPr>
          <w:rFonts w:ascii="Calibri"/>
          <w:color w:val="003366"/>
          <w:spacing w:val="-14"/>
          <w:sz w:val="20"/>
        </w:rPr>
        <w:t xml:space="preserve"> </w:t>
      </w:r>
      <w:r>
        <w:rPr>
          <w:rFonts w:ascii="Calibri"/>
          <w:color w:val="003366"/>
          <w:sz w:val="20"/>
        </w:rPr>
        <w:t>of</w:t>
      </w:r>
      <w:r>
        <w:rPr>
          <w:rFonts w:ascii="Calibri"/>
          <w:color w:val="003366"/>
          <w:spacing w:val="-14"/>
          <w:sz w:val="20"/>
        </w:rPr>
        <w:t xml:space="preserve"> </w:t>
      </w:r>
      <w:r>
        <w:rPr>
          <w:rFonts w:ascii="Calibri"/>
          <w:color w:val="003366"/>
          <w:sz w:val="20"/>
        </w:rPr>
        <w:t>charge</w:t>
      </w:r>
      <w:r>
        <w:rPr>
          <w:rFonts w:ascii="Calibri"/>
          <w:color w:val="003366"/>
          <w:spacing w:val="-14"/>
          <w:sz w:val="20"/>
        </w:rPr>
        <w:t xml:space="preserve"> </w:t>
      </w:r>
      <w:r>
        <w:rPr>
          <w:rFonts w:ascii="Calibri"/>
          <w:color w:val="003366"/>
          <w:sz w:val="20"/>
        </w:rPr>
        <w:t>primarily</w:t>
      </w:r>
      <w:r>
        <w:rPr>
          <w:rFonts w:ascii="Calibri"/>
          <w:color w:val="003366"/>
          <w:spacing w:val="-13"/>
          <w:sz w:val="20"/>
        </w:rPr>
        <w:t xml:space="preserve"> </w:t>
      </w:r>
      <w:r>
        <w:rPr>
          <w:rFonts w:ascii="Calibri"/>
          <w:color w:val="003366"/>
          <w:sz w:val="20"/>
        </w:rPr>
        <w:t>based</w:t>
      </w:r>
      <w:r>
        <w:rPr>
          <w:rFonts w:ascii="Calibri"/>
          <w:color w:val="003366"/>
          <w:spacing w:val="-13"/>
          <w:sz w:val="20"/>
        </w:rPr>
        <w:t xml:space="preserve"> </w:t>
      </w:r>
      <w:r>
        <w:rPr>
          <w:rFonts w:ascii="Calibri"/>
          <w:color w:val="003366"/>
          <w:sz w:val="20"/>
        </w:rPr>
        <w:t>on</w:t>
      </w:r>
      <w:r>
        <w:rPr>
          <w:rFonts w:ascii="Calibri"/>
          <w:color w:val="003366"/>
          <w:spacing w:val="-13"/>
          <w:sz w:val="20"/>
        </w:rPr>
        <w:t xml:space="preserve"> </w:t>
      </w:r>
      <w:r>
        <w:rPr>
          <w:rFonts w:ascii="Calibri"/>
          <w:color w:val="003366"/>
          <w:sz w:val="20"/>
        </w:rPr>
        <w:t>a</w:t>
      </w:r>
      <w:r>
        <w:rPr>
          <w:rFonts w:ascii="Calibri"/>
          <w:color w:val="003366"/>
          <w:spacing w:val="-14"/>
          <w:sz w:val="20"/>
        </w:rPr>
        <w:t xml:space="preserve"> </w:t>
      </w:r>
      <w:r>
        <w:rPr>
          <w:rFonts w:ascii="Calibri"/>
          <w:color w:val="003366"/>
          <w:sz w:val="20"/>
        </w:rPr>
        <w:t>valuation of</w:t>
      </w:r>
      <w:r>
        <w:rPr>
          <w:rFonts w:ascii="Calibri"/>
          <w:color w:val="003366"/>
          <w:spacing w:val="-8"/>
          <w:sz w:val="20"/>
        </w:rPr>
        <w:t xml:space="preserve"> </w:t>
      </w:r>
      <w:r>
        <w:rPr>
          <w:rFonts w:ascii="Calibri"/>
          <w:color w:val="003366"/>
          <w:sz w:val="20"/>
        </w:rPr>
        <w:t>the</w:t>
      </w:r>
      <w:r>
        <w:rPr>
          <w:rFonts w:ascii="Calibri"/>
          <w:color w:val="003366"/>
          <w:spacing w:val="-8"/>
          <w:sz w:val="20"/>
        </w:rPr>
        <w:t xml:space="preserve"> </w:t>
      </w:r>
      <w:r>
        <w:rPr>
          <w:rFonts w:ascii="Calibri"/>
          <w:color w:val="003366"/>
          <w:sz w:val="20"/>
        </w:rPr>
        <w:t>Legislative</w:t>
      </w:r>
      <w:r>
        <w:rPr>
          <w:rFonts w:ascii="Calibri"/>
          <w:color w:val="003366"/>
          <w:spacing w:val="-8"/>
          <w:sz w:val="20"/>
        </w:rPr>
        <w:t xml:space="preserve"> </w:t>
      </w:r>
      <w:r>
        <w:rPr>
          <w:rFonts w:ascii="Calibri"/>
          <w:color w:val="003366"/>
          <w:sz w:val="20"/>
        </w:rPr>
        <w:t>Assembly</w:t>
      </w:r>
      <w:r>
        <w:rPr>
          <w:rFonts w:ascii="Calibri"/>
          <w:color w:val="003366"/>
          <w:spacing w:val="-6"/>
          <w:sz w:val="20"/>
        </w:rPr>
        <w:t xml:space="preserve"> </w:t>
      </w:r>
      <w:r>
        <w:rPr>
          <w:rFonts w:ascii="Calibri"/>
          <w:color w:val="003366"/>
          <w:sz w:val="20"/>
        </w:rPr>
        <w:t>building</w:t>
      </w:r>
      <w:r>
        <w:rPr>
          <w:rFonts w:ascii="Calibri"/>
          <w:color w:val="003366"/>
          <w:spacing w:val="-8"/>
          <w:sz w:val="20"/>
        </w:rPr>
        <w:t xml:space="preserve"> </w:t>
      </w:r>
      <w:r>
        <w:rPr>
          <w:rFonts w:ascii="Calibri"/>
          <w:color w:val="003366"/>
          <w:sz w:val="20"/>
        </w:rPr>
        <w:t>prepared</w:t>
      </w:r>
      <w:r>
        <w:rPr>
          <w:rFonts w:ascii="Calibri"/>
          <w:color w:val="003366"/>
          <w:spacing w:val="-7"/>
          <w:sz w:val="20"/>
        </w:rPr>
        <w:t xml:space="preserve"> </w:t>
      </w:r>
      <w:r>
        <w:rPr>
          <w:rFonts w:ascii="Calibri"/>
          <w:color w:val="003366"/>
          <w:sz w:val="20"/>
        </w:rPr>
        <w:t>by</w:t>
      </w:r>
      <w:r>
        <w:rPr>
          <w:rFonts w:ascii="Calibri"/>
          <w:color w:val="003366"/>
          <w:spacing w:val="-7"/>
          <w:sz w:val="20"/>
        </w:rPr>
        <w:t xml:space="preserve"> </w:t>
      </w:r>
      <w:r>
        <w:rPr>
          <w:rFonts w:ascii="Calibri"/>
          <w:color w:val="003366"/>
          <w:sz w:val="20"/>
        </w:rPr>
        <w:t>an</w:t>
      </w:r>
      <w:r>
        <w:rPr>
          <w:rFonts w:ascii="Calibri"/>
          <w:color w:val="003366"/>
          <w:spacing w:val="-7"/>
          <w:sz w:val="20"/>
        </w:rPr>
        <w:t xml:space="preserve"> </w:t>
      </w:r>
      <w:r>
        <w:rPr>
          <w:rFonts w:ascii="Calibri"/>
          <w:color w:val="003366"/>
          <w:sz w:val="20"/>
        </w:rPr>
        <w:t>independent</w:t>
      </w:r>
      <w:r>
        <w:rPr>
          <w:rFonts w:ascii="Calibri"/>
          <w:color w:val="003366"/>
          <w:spacing w:val="-7"/>
          <w:sz w:val="20"/>
        </w:rPr>
        <w:t xml:space="preserve"> </w:t>
      </w:r>
      <w:r>
        <w:rPr>
          <w:rFonts w:ascii="Calibri"/>
          <w:color w:val="003366"/>
          <w:sz w:val="20"/>
        </w:rPr>
        <w:t>valuer.</w:t>
      </w:r>
      <w:r>
        <w:rPr>
          <w:rFonts w:ascii="Calibri"/>
          <w:color w:val="003366"/>
          <w:spacing w:val="-7"/>
          <w:sz w:val="20"/>
        </w:rPr>
        <w:t xml:space="preserve"> </w:t>
      </w:r>
      <w:r>
        <w:rPr>
          <w:rFonts w:ascii="Calibri"/>
          <w:color w:val="003366"/>
          <w:sz w:val="20"/>
        </w:rPr>
        <w:t>The</w:t>
      </w:r>
      <w:r>
        <w:rPr>
          <w:rFonts w:ascii="Calibri"/>
          <w:color w:val="003366"/>
          <w:spacing w:val="-8"/>
          <w:sz w:val="20"/>
        </w:rPr>
        <w:t xml:space="preserve"> </w:t>
      </w:r>
      <w:r>
        <w:rPr>
          <w:rFonts w:ascii="Calibri"/>
          <w:color w:val="003366"/>
          <w:sz w:val="20"/>
        </w:rPr>
        <w:t>estimation</w:t>
      </w:r>
      <w:r>
        <w:rPr>
          <w:rFonts w:ascii="Calibri"/>
          <w:color w:val="003366"/>
          <w:spacing w:val="-7"/>
          <w:sz w:val="20"/>
        </w:rPr>
        <w:t xml:space="preserve"> </w:t>
      </w:r>
      <w:r>
        <w:rPr>
          <w:rFonts w:ascii="Calibri"/>
          <w:color w:val="003366"/>
          <w:sz w:val="20"/>
        </w:rPr>
        <w:t>takes</w:t>
      </w:r>
      <w:r>
        <w:rPr>
          <w:rFonts w:ascii="Calibri"/>
          <w:color w:val="003366"/>
          <w:spacing w:val="-9"/>
          <w:sz w:val="20"/>
        </w:rPr>
        <w:t xml:space="preserve"> </w:t>
      </w:r>
      <w:r>
        <w:rPr>
          <w:rFonts w:ascii="Calibri"/>
          <w:color w:val="003366"/>
          <w:sz w:val="20"/>
        </w:rPr>
        <w:t>into</w:t>
      </w:r>
      <w:r>
        <w:rPr>
          <w:rFonts w:ascii="Calibri"/>
          <w:color w:val="003366"/>
          <w:spacing w:val="-7"/>
          <w:sz w:val="20"/>
        </w:rPr>
        <w:t xml:space="preserve"> </w:t>
      </w:r>
      <w:r>
        <w:rPr>
          <w:rFonts w:ascii="Calibri"/>
          <w:color w:val="003366"/>
          <w:sz w:val="20"/>
        </w:rPr>
        <w:t>account factors</w:t>
      </w:r>
      <w:r>
        <w:rPr>
          <w:rFonts w:ascii="Calibri"/>
          <w:color w:val="003366"/>
          <w:spacing w:val="-2"/>
          <w:sz w:val="20"/>
        </w:rPr>
        <w:t xml:space="preserve"> </w:t>
      </w:r>
      <w:r>
        <w:rPr>
          <w:rFonts w:ascii="Calibri"/>
          <w:color w:val="003366"/>
          <w:sz w:val="20"/>
        </w:rPr>
        <w:t>such</w:t>
      </w:r>
      <w:r>
        <w:rPr>
          <w:rFonts w:ascii="Calibri"/>
          <w:color w:val="003366"/>
          <w:spacing w:val="-2"/>
          <w:sz w:val="20"/>
        </w:rPr>
        <w:t xml:space="preserve"> </w:t>
      </w:r>
      <w:r>
        <w:rPr>
          <w:rFonts w:ascii="Calibri"/>
          <w:color w:val="003366"/>
          <w:sz w:val="20"/>
        </w:rPr>
        <w:t>as</w:t>
      </w:r>
      <w:r>
        <w:rPr>
          <w:rFonts w:ascii="Calibri"/>
          <w:color w:val="003366"/>
          <w:spacing w:val="-4"/>
          <w:sz w:val="20"/>
        </w:rPr>
        <w:t xml:space="preserve"> </w:t>
      </w:r>
      <w:r>
        <w:rPr>
          <w:rFonts w:ascii="Calibri"/>
          <w:color w:val="003366"/>
          <w:sz w:val="20"/>
        </w:rPr>
        <w:t>the</w:t>
      </w:r>
      <w:r>
        <w:rPr>
          <w:rFonts w:ascii="Calibri"/>
          <w:color w:val="003366"/>
          <w:spacing w:val="-4"/>
          <w:sz w:val="20"/>
        </w:rPr>
        <w:t xml:space="preserve"> </w:t>
      </w:r>
      <w:r>
        <w:rPr>
          <w:rFonts w:ascii="Calibri"/>
          <w:color w:val="003366"/>
          <w:sz w:val="20"/>
        </w:rPr>
        <w:t>net</w:t>
      </w:r>
      <w:r>
        <w:rPr>
          <w:rFonts w:ascii="Calibri"/>
          <w:color w:val="003366"/>
          <w:spacing w:val="-3"/>
          <w:sz w:val="20"/>
        </w:rPr>
        <w:t xml:space="preserve"> </w:t>
      </w:r>
      <w:r>
        <w:rPr>
          <w:rFonts w:ascii="Calibri"/>
          <w:color w:val="003366"/>
          <w:sz w:val="20"/>
        </w:rPr>
        <w:t>lettable</w:t>
      </w:r>
      <w:r>
        <w:rPr>
          <w:rFonts w:ascii="Calibri"/>
          <w:color w:val="003366"/>
          <w:spacing w:val="-4"/>
          <w:sz w:val="20"/>
        </w:rPr>
        <w:t xml:space="preserve"> </w:t>
      </w:r>
      <w:r>
        <w:rPr>
          <w:rFonts w:ascii="Calibri"/>
          <w:color w:val="003366"/>
          <w:sz w:val="20"/>
        </w:rPr>
        <w:t>area,</w:t>
      </w:r>
      <w:r>
        <w:rPr>
          <w:rFonts w:ascii="Calibri"/>
          <w:color w:val="003366"/>
          <w:spacing w:val="-2"/>
          <w:sz w:val="20"/>
        </w:rPr>
        <w:t xml:space="preserve"> </w:t>
      </w:r>
      <w:r>
        <w:rPr>
          <w:rFonts w:ascii="Calibri"/>
          <w:color w:val="003366"/>
          <w:sz w:val="20"/>
        </w:rPr>
        <w:t>assessed</w:t>
      </w:r>
      <w:r>
        <w:rPr>
          <w:rFonts w:ascii="Calibri"/>
          <w:color w:val="003366"/>
          <w:spacing w:val="-2"/>
          <w:sz w:val="20"/>
        </w:rPr>
        <w:t xml:space="preserve"> </w:t>
      </w:r>
      <w:r>
        <w:rPr>
          <w:rFonts w:ascii="Calibri"/>
          <w:color w:val="003366"/>
          <w:sz w:val="20"/>
        </w:rPr>
        <w:t>market</w:t>
      </w:r>
      <w:r>
        <w:rPr>
          <w:rFonts w:ascii="Calibri"/>
          <w:color w:val="003366"/>
          <w:spacing w:val="-3"/>
          <w:sz w:val="20"/>
        </w:rPr>
        <w:t xml:space="preserve"> </w:t>
      </w:r>
      <w:r>
        <w:rPr>
          <w:rFonts w:ascii="Calibri"/>
          <w:color w:val="003366"/>
          <w:sz w:val="20"/>
        </w:rPr>
        <w:t>rental</w:t>
      </w:r>
      <w:r>
        <w:rPr>
          <w:rFonts w:ascii="Calibri"/>
          <w:color w:val="003366"/>
          <w:spacing w:val="-3"/>
          <w:sz w:val="20"/>
        </w:rPr>
        <w:t xml:space="preserve"> </w:t>
      </w:r>
      <w:r>
        <w:rPr>
          <w:rFonts w:ascii="Calibri"/>
          <w:color w:val="003366"/>
          <w:sz w:val="20"/>
        </w:rPr>
        <w:t>and</w:t>
      </w:r>
      <w:r>
        <w:rPr>
          <w:rFonts w:ascii="Calibri"/>
          <w:color w:val="003366"/>
          <w:spacing w:val="-2"/>
          <w:sz w:val="20"/>
        </w:rPr>
        <w:t xml:space="preserve"> </w:t>
      </w:r>
      <w:r>
        <w:rPr>
          <w:rFonts w:ascii="Calibri"/>
          <w:color w:val="003366"/>
          <w:sz w:val="20"/>
        </w:rPr>
        <w:t>size</w:t>
      </w:r>
      <w:r>
        <w:rPr>
          <w:rFonts w:ascii="Calibri"/>
          <w:color w:val="003366"/>
          <w:spacing w:val="-4"/>
          <w:sz w:val="20"/>
        </w:rPr>
        <w:t xml:space="preserve"> </w:t>
      </w:r>
      <w:r>
        <w:rPr>
          <w:rFonts w:ascii="Calibri"/>
          <w:color w:val="003366"/>
          <w:sz w:val="20"/>
        </w:rPr>
        <w:t>of</w:t>
      </w:r>
      <w:r>
        <w:rPr>
          <w:rFonts w:ascii="Calibri"/>
          <w:color w:val="003366"/>
          <w:spacing w:val="-4"/>
          <w:sz w:val="20"/>
        </w:rPr>
        <w:t xml:space="preserve"> </w:t>
      </w:r>
      <w:r>
        <w:rPr>
          <w:rFonts w:ascii="Calibri"/>
          <w:color w:val="003366"/>
          <w:sz w:val="20"/>
        </w:rPr>
        <w:t>the</w:t>
      </w:r>
      <w:r>
        <w:rPr>
          <w:rFonts w:ascii="Calibri"/>
          <w:color w:val="003366"/>
          <w:spacing w:val="-4"/>
          <w:sz w:val="20"/>
        </w:rPr>
        <w:t xml:space="preserve"> </w:t>
      </w:r>
      <w:r>
        <w:rPr>
          <w:rFonts w:ascii="Calibri"/>
          <w:color w:val="003366"/>
          <w:sz w:val="20"/>
        </w:rPr>
        <w:t>area</w:t>
      </w:r>
      <w:r>
        <w:rPr>
          <w:rFonts w:ascii="Calibri"/>
          <w:color w:val="003366"/>
          <w:spacing w:val="-2"/>
          <w:sz w:val="20"/>
        </w:rPr>
        <w:t xml:space="preserve"> </w:t>
      </w:r>
      <w:r>
        <w:rPr>
          <w:rFonts w:ascii="Calibri"/>
          <w:color w:val="003366"/>
          <w:sz w:val="20"/>
        </w:rPr>
        <w:t>occupied</w:t>
      </w:r>
      <w:r>
        <w:rPr>
          <w:rFonts w:ascii="Calibri"/>
          <w:color w:val="003366"/>
          <w:spacing w:val="-2"/>
          <w:sz w:val="20"/>
        </w:rPr>
        <w:t xml:space="preserve"> </w:t>
      </w:r>
      <w:r>
        <w:rPr>
          <w:rFonts w:ascii="Calibri"/>
          <w:color w:val="003366"/>
          <w:sz w:val="20"/>
        </w:rPr>
        <w:t>by</w:t>
      </w:r>
      <w:r>
        <w:rPr>
          <w:rFonts w:ascii="Calibri"/>
          <w:color w:val="003366"/>
          <w:spacing w:val="-2"/>
          <w:sz w:val="20"/>
        </w:rPr>
        <w:t xml:space="preserve"> </w:t>
      </w:r>
      <w:r>
        <w:rPr>
          <w:rFonts w:ascii="Calibri"/>
          <w:color w:val="003366"/>
          <w:sz w:val="20"/>
        </w:rPr>
        <w:t>the</w:t>
      </w:r>
      <w:r>
        <w:rPr>
          <w:rFonts w:ascii="Calibri"/>
          <w:color w:val="003366"/>
          <w:spacing w:val="-4"/>
          <w:sz w:val="20"/>
        </w:rPr>
        <w:t xml:space="preserve"> </w:t>
      </w:r>
      <w:r>
        <w:rPr>
          <w:rFonts w:ascii="Calibri"/>
          <w:color w:val="003366"/>
          <w:sz w:val="20"/>
        </w:rPr>
        <w:t>Office.</w:t>
      </w:r>
    </w:p>
    <w:p w:rsidR="006C17CB" w:rsidRDefault="006C17CB">
      <w:pPr>
        <w:pStyle w:val="BodyText"/>
        <w:rPr>
          <w:rFonts w:ascii="Calibri"/>
          <w:sz w:val="20"/>
        </w:rPr>
      </w:pPr>
    </w:p>
    <w:p w:rsidR="006C17CB" w:rsidRDefault="006C17CB">
      <w:pPr>
        <w:pStyle w:val="BodyText"/>
        <w:spacing w:before="13"/>
        <w:rPr>
          <w:rFonts w:ascii="Calibri"/>
          <w:sz w:val="16"/>
        </w:rPr>
      </w:pPr>
    </w:p>
    <w:tbl>
      <w:tblPr>
        <w:tblW w:w="0" w:type="auto"/>
        <w:tblInd w:w="779" w:type="dxa"/>
        <w:tblLayout w:type="fixed"/>
        <w:tblCellMar>
          <w:left w:w="0" w:type="dxa"/>
          <w:right w:w="0" w:type="dxa"/>
        </w:tblCellMar>
        <w:tblLook w:val="01E0" w:firstRow="1" w:lastRow="1" w:firstColumn="1" w:lastColumn="1" w:noHBand="0" w:noVBand="0"/>
      </w:tblPr>
      <w:tblGrid>
        <w:gridCol w:w="5125"/>
        <w:gridCol w:w="2657"/>
        <w:gridCol w:w="937"/>
      </w:tblGrid>
      <w:tr w:rsidR="006C17CB">
        <w:trPr>
          <w:trHeight w:val="222"/>
        </w:trPr>
        <w:tc>
          <w:tcPr>
            <w:tcW w:w="5125" w:type="dxa"/>
            <w:vMerge w:val="restart"/>
          </w:tcPr>
          <w:p w:rsidR="006C17CB" w:rsidRDefault="006C17CB">
            <w:pPr>
              <w:pStyle w:val="TableParagraph"/>
              <w:jc w:val="left"/>
              <w:rPr>
                <w:rFonts w:ascii="Times New Roman"/>
                <w:sz w:val="18"/>
              </w:rPr>
            </w:pPr>
          </w:p>
        </w:tc>
        <w:tc>
          <w:tcPr>
            <w:tcW w:w="2657" w:type="dxa"/>
          </w:tcPr>
          <w:p w:rsidR="006C17CB" w:rsidRDefault="0030091C">
            <w:pPr>
              <w:pStyle w:val="TableParagraph"/>
              <w:spacing w:line="202" w:lineRule="exact"/>
              <w:ind w:right="431"/>
              <w:rPr>
                <w:b/>
                <w:sz w:val="20"/>
              </w:rPr>
            </w:pPr>
            <w:r>
              <w:rPr>
                <w:b/>
                <w:color w:val="003366"/>
                <w:w w:val="95"/>
                <w:sz w:val="20"/>
              </w:rPr>
              <w:t>2018</w:t>
            </w:r>
          </w:p>
        </w:tc>
        <w:tc>
          <w:tcPr>
            <w:tcW w:w="937" w:type="dxa"/>
          </w:tcPr>
          <w:p w:rsidR="006C17CB" w:rsidRDefault="0030091C">
            <w:pPr>
              <w:pStyle w:val="TableParagraph"/>
              <w:spacing w:line="202" w:lineRule="exact"/>
              <w:ind w:right="50"/>
              <w:rPr>
                <w:b/>
                <w:sz w:val="20"/>
              </w:rPr>
            </w:pPr>
            <w:r>
              <w:rPr>
                <w:b/>
                <w:color w:val="003366"/>
                <w:w w:val="95"/>
                <w:sz w:val="20"/>
              </w:rPr>
              <w:t>2017</w:t>
            </w:r>
          </w:p>
        </w:tc>
      </w:tr>
      <w:tr w:rsidR="006C17CB">
        <w:trPr>
          <w:trHeight w:val="265"/>
        </w:trPr>
        <w:tc>
          <w:tcPr>
            <w:tcW w:w="5125" w:type="dxa"/>
            <w:vMerge/>
            <w:tcBorders>
              <w:top w:val="nil"/>
            </w:tcBorders>
          </w:tcPr>
          <w:p w:rsidR="006C17CB" w:rsidRDefault="006C17CB">
            <w:pPr>
              <w:rPr>
                <w:sz w:val="2"/>
                <w:szCs w:val="2"/>
              </w:rPr>
            </w:pPr>
          </w:p>
        </w:tc>
        <w:tc>
          <w:tcPr>
            <w:tcW w:w="2657" w:type="dxa"/>
          </w:tcPr>
          <w:p w:rsidR="006C17CB" w:rsidRDefault="0030091C">
            <w:pPr>
              <w:pStyle w:val="TableParagraph"/>
              <w:spacing w:line="226" w:lineRule="exact"/>
              <w:ind w:right="431"/>
              <w:rPr>
                <w:b/>
                <w:sz w:val="20"/>
              </w:rPr>
            </w:pPr>
            <w:r>
              <w:rPr>
                <w:b/>
                <w:color w:val="003366"/>
                <w:w w:val="95"/>
                <w:sz w:val="20"/>
              </w:rPr>
              <w:t>$’000</w:t>
            </w:r>
          </w:p>
        </w:tc>
        <w:tc>
          <w:tcPr>
            <w:tcW w:w="937" w:type="dxa"/>
          </w:tcPr>
          <w:p w:rsidR="006C17CB" w:rsidRDefault="0030091C">
            <w:pPr>
              <w:pStyle w:val="TableParagraph"/>
              <w:spacing w:line="226" w:lineRule="exact"/>
              <w:ind w:right="51"/>
              <w:rPr>
                <w:b/>
                <w:sz w:val="20"/>
              </w:rPr>
            </w:pPr>
            <w:r>
              <w:rPr>
                <w:b/>
                <w:color w:val="003366"/>
                <w:w w:val="95"/>
                <w:sz w:val="20"/>
              </w:rPr>
              <w:t>$’000</w:t>
            </w:r>
          </w:p>
        </w:tc>
      </w:tr>
      <w:tr w:rsidR="006C17CB">
        <w:trPr>
          <w:trHeight w:val="568"/>
        </w:trPr>
        <w:tc>
          <w:tcPr>
            <w:tcW w:w="5125" w:type="dxa"/>
          </w:tcPr>
          <w:p w:rsidR="006C17CB" w:rsidRDefault="0030091C">
            <w:pPr>
              <w:pStyle w:val="TableParagraph"/>
              <w:spacing w:line="244" w:lineRule="exact"/>
              <w:ind w:left="50"/>
              <w:jc w:val="left"/>
              <w:rPr>
                <w:b/>
                <w:sz w:val="20"/>
              </w:rPr>
            </w:pPr>
            <w:r>
              <w:rPr>
                <w:b/>
                <w:color w:val="003366"/>
                <w:sz w:val="20"/>
              </w:rPr>
              <w:t>Revenue from ACT Government Entities</w:t>
            </w:r>
          </w:p>
          <w:p w:rsidR="006C17CB" w:rsidRDefault="0030091C">
            <w:pPr>
              <w:pStyle w:val="TableParagraph"/>
              <w:spacing w:line="286" w:lineRule="exact"/>
              <w:ind w:left="50"/>
              <w:jc w:val="left"/>
              <w:rPr>
                <w:sz w:val="20"/>
              </w:rPr>
            </w:pPr>
            <w:r>
              <w:rPr>
                <w:color w:val="003366"/>
                <w:sz w:val="20"/>
              </w:rPr>
              <w:t xml:space="preserve">Legislative Drafting Services </w:t>
            </w:r>
            <w:r>
              <w:rPr>
                <w:color w:val="003366"/>
                <w:sz w:val="20"/>
                <w:vertAlign w:val="superscript"/>
              </w:rPr>
              <w:t>a</w:t>
            </w:r>
          </w:p>
        </w:tc>
        <w:tc>
          <w:tcPr>
            <w:tcW w:w="2657" w:type="dxa"/>
          </w:tcPr>
          <w:p w:rsidR="006C17CB" w:rsidRDefault="006C17CB">
            <w:pPr>
              <w:pStyle w:val="TableParagraph"/>
              <w:spacing w:before="10"/>
              <w:jc w:val="left"/>
              <w:rPr>
                <w:sz w:val="16"/>
              </w:rPr>
            </w:pPr>
          </w:p>
          <w:p w:rsidR="006C17CB" w:rsidRDefault="0030091C">
            <w:pPr>
              <w:pStyle w:val="TableParagraph"/>
              <w:ind w:right="431"/>
              <w:rPr>
                <w:sz w:val="20"/>
              </w:rPr>
            </w:pPr>
            <w:r>
              <w:rPr>
                <w:color w:val="003366"/>
                <w:w w:val="95"/>
                <w:sz w:val="20"/>
              </w:rPr>
              <w:t>232</w:t>
            </w:r>
          </w:p>
        </w:tc>
        <w:tc>
          <w:tcPr>
            <w:tcW w:w="937" w:type="dxa"/>
          </w:tcPr>
          <w:p w:rsidR="006C17CB" w:rsidRDefault="006C17CB">
            <w:pPr>
              <w:pStyle w:val="TableParagraph"/>
              <w:spacing w:before="10"/>
              <w:jc w:val="left"/>
              <w:rPr>
                <w:sz w:val="16"/>
              </w:rPr>
            </w:pPr>
          </w:p>
          <w:p w:rsidR="006C17CB" w:rsidRDefault="0030091C">
            <w:pPr>
              <w:pStyle w:val="TableParagraph"/>
              <w:ind w:right="51"/>
              <w:rPr>
                <w:sz w:val="20"/>
              </w:rPr>
            </w:pPr>
            <w:r>
              <w:rPr>
                <w:color w:val="003366"/>
                <w:w w:val="95"/>
                <w:sz w:val="20"/>
              </w:rPr>
              <w:t>127</w:t>
            </w:r>
          </w:p>
        </w:tc>
      </w:tr>
      <w:tr w:rsidR="006C17CB">
        <w:trPr>
          <w:trHeight w:val="242"/>
        </w:trPr>
        <w:tc>
          <w:tcPr>
            <w:tcW w:w="5125" w:type="dxa"/>
          </w:tcPr>
          <w:p w:rsidR="006C17CB" w:rsidRDefault="0030091C">
            <w:pPr>
              <w:pStyle w:val="TableParagraph"/>
              <w:spacing w:line="222" w:lineRule="exact"/>
              <w:ind w:left="50"/>
              <w:jc w:val="left"/>
              <w:rPr>
                <w:sz w:val="20"/>
              </w:rPr>
            </w:pPr>
            <w:r>
              <w:rPr>
                <w:color w:val="003366"/>
                <w:sz w:val="20"/>
              </w:rPr>
              <w:t>Legal Services</w:t>
            </w:r>
          </w:p>
        </w:tc>
        <w:tc>
          <w:tcPr>
            <w:tcW w:w="2657" w:type="dxa"/>
          </w:tcPr>
          <w:p w:rsidR="006C17CB" w:rsidRDefault="0030091C">
            <w:pPr>
              <w:pStyle w:val="TableParagraph"/>
              <w:spacing w:line="222" w:lineRule="exact"/>
              <w:ind w:right="429"/>
              <w:rPr>
                <w:sz w:val="20"/>
              </w:rPr>
            </w:pPr>
            <w:r>
              <w:rPr>
                <w:color w:val="003366"/>
                <w:w w:val="95"/>
                <w:sz w:val="20"/>
              </w:rPr>
              <w:t>26</w:t>
            </w:r>
          </w:p>
        </w:tc>
        <w:tc>
          <w:tcPr>
            <w:tcW w:w="937" w:type="dxa"/>
          </w:tcPr>
          <w:p w:rsidR="006C17CB" w:rsidRDefault="0030091C">
            <w:pPr>
              <w:pStyle w:val="TableParagraph"/>
              <w:spacing w:line="222" w:lineRule="exact"/>
              <w:ind w:right="48"/>
              <w:rPr>
                <w:sz w:val="20"/>
              </w:rPr>
            </w:pPr>
            <w:r>
              <w:rPr>
                <w:color w:val="003366"/>
                <w:w w:val="95"/>
                <w:sz w:val="20"/>
              </w:rPr>
              <w:t>26</w:t>
            </w:r>
          </w:p>
        </w:tc>
      </w:tr>
    </w:tbl>
    <w:p w:rsidR="006C17CB" w:rsidRDefault="0030091C">
      <w:pPr>
        <w:tabs>
          <w:tab w:val="left" w:pos="6841"/>
          <w:tab w:val="left" w:pos="7825"/>
          <w:tab w:val="left" w:pos="9143"/>
        </w:tabs>
        <w:spacing w:line="287" w:lineRule="exact"/>
        <w:ind w:left="829"/>
        <w:rPr>
          <w:rFonts w:ascii="Calibri"/>
          <w:sz w:val="20"/>
        </w:rPr>
      </w:pPr>
      <w:r>
        <w:rPr>
          <w:rFonts w:ascii="Calibri"/>
          <w:color w:val="003366"/>
          <w:sz w:val="20"/>
        </w:rPr>
        <w:t>Accommodation</w:t>
      </w:r>
      <w:r>
        <w:rPr>
          <w:rFonts w:ascii="Calibri"/>
          <w:color w:val="003366"/>
          <w:spacing w:val="-3"/>
          <w:sz w:val="20"/>
        </w:rPr>
        <w:t xml:space="preserve"> </w:t>
      </w:r>
      <w:r>
        <w:rPr>
          <w:rFonts w:ascii="Calibri"/>
          <w:color w:val="003366"/>
          <w:sz w:val="20"/>
        </w:rPr>
        <w:t>Rental</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255</w:t>
      </w:r>
      <w:r>
        <w:rPr>
          <w:rFonts w:ascii="Calibri"/>
          <w:color w:val="003366"/>
          <w:sz w:val="20"/>
          <w:u w:val="single" w:color="003366"/>
        </w:rPr>
        <w:tab/>
        <w:t>249</w:t>
      </w:r>
      <w:r>
        <w:rPr>
          <w:rFonts w:ascii="Calibri"/>
          <w:color w:val="003366"/>
          <w:spacing w:val="18"/>
          <w:sz w:val="20"/>
          <w:u w:val="single" w:color="003366"/>
        </w:rPr>
        <w:t xml:space="preserve"> </w:t>
      </w:r>
    </w:p>
    <w:p w:rsidR="006C17CB" w:rsidRDefault="00FE24A7">
      <w:pPr>
        <w:tabs>
          <w:tab w:val="left" w:pos="7825"/>
          <w:tab w:val="right" w:pos="9445"/>
        </w:tabs>
        <w:spacing w:before="4"/>
        <w:ind w:left="829"/>
        <w:rPr>
          <w:rFonts w:ascii="Calibri"/>
          <w:b/>
          <w:sz w:val="20"/>
        </w:rPr>
      </w:pPr>
      <w:r>
        <w:pict>
          <v:group id="_x0000_s1402" alt="" style="position:absolute;left:0;text-align:left;margin-left:391.1pt;margin-top:14.7pt;width:135.75pt;height:1.45pt;z-index:2152;mso-position-horizontal-relative:page" coordorigin="7822,294" coordsize="2715,29">
            <v:line id="_x0000_s1403" alt="" style="position:absolute" from="7822,299" to="9218,299" strokecolor="#036" strokeweight=".48pt"/>
            <v:line id="_x0000_s1404" alt="" style="position:absolute" from="7822,318" to="9218,318" strokecolor="#036" strokeweight=".17003mm"/>
            <v:shape id="_x0000_s1405" alt="" style="position:absolute;left:9218;top:293;width:29;height:29" coordorigin="9218,294" coordsize="29,29" o:spt="100" adj="0,,0" path="m9247,313r-29,l9218,323r29,l9247,313t,-19l9218,294r,9l9247,303r,-9e" fillcolor="#036" stroked="f">
              <v:stroke joinstyle="round"/>
              <v:formulas/>
              <v:path arrowok="t" o:connecttype="segments"/>
            </v:shape>
            <v:line id="_x0000_s1406" alt="" style="position:absolute" from="9247,299" to="10536,299" strokecolor="#036" strokeweight=".48pt"/>
            <v:line id="_x0000_s1407" alt="" style="position:absolute" from="9247,318" to="10536,318" strokecolor="#036" strokeweight=".17003mm"/>
            <w10:wrap anchorx="page"/>
          </v:group>
        </w:pict>
      </w:r>
      <w:r w:rsidR="0030091C">
        <w:rPr>
          <w:rFonts w:ascii="Calibri"/>
          <w:b/>
          <w:color w:val="003366"/>
          <w:sz w:val="20"/>
        </w:rPr>
        <w:t>Total Resources Received Free</w:t>
      </w:r>
      <w:r w:rsidR="0030091C">
        <w:rPr>
          <w:rFonts w:ascii="Calibri"/>
          <w:b/>
          <w:color w:val="003366"/>
          <w:spacing w:val="-8"/>
          <w:sz w:val="20"/>
        </w:rPr>
        <w:t xml:space="preserve"> </w:t>
      </w:r>
      <w:r w:rsidR="0030091C">
        <w:rPr>
          <w:rFonts w:ascii="Calibri"/>
          <w:b/>
          <w:color w:val="003366"/>
          <w:sz w:val="20"/>
        </w:rPr>
        <w:t>of</w:t>
      </w:r>
      <w:r w:rsidR="0030091C">
        <w:rPr>
          <w:rFonts w:ascii="Calibri"/>
          <w:b/>
          <w:color w:val="003366"/>
          <w:spacing w:val="-3"/>
          <w:sz w:val="20"/>
        </w:rPr>
        <w:t xml:space="preserve"> </w:t>
      </w:r>
      <w:r w:rsidR="0030091C">
        <w:rPr>
          <w:rFonts w:ascii="Calibri"/>
          <w:b/>
          <w:color w:val="003366"/>
          <w:sz w:val="20"/>
        </w:rPr>
        <w:t>Charge</w:t>
      </w:r>
      <w:r w:rsidR="0030091C">
        <w:rPr>
          <w:rFonts w:ascii="Calibri"/>
          <w:b/>
          <w:color w:val="003366"/>
          <w:sz w:val="20"/>
        </w:rPr>
        <w:tab/>
        <w:t>513</w:t>
      </w:r>
      <w:r w:rsidR="0030091C">
        <w:rPr>
          <w:rFonts w:ascii="Calibri"/>
          <w:b/>
          <w:color w:val="003366"/>
          <w:sz w:val="20"/>
        </w:rPr>
        <w:tab/>
        <w:t>402</w:t>
      </w:r>
    </w:p>
    <w:p w:rsidR="006C17CB" w:rsidRDefault="0030091C">
      <w:pPr>
        <w:pStyle w:val="ListParagraph"/>
        <w:numPr>
          <w:ilvl w:val="0"/>
          <w:numId w:val="13"/>
        </w:numPr>
        <w:tabs>
          <w:tab w:val="left" w:pos="1189"/>
          <w:tab w:val="left" w:pos="1190"/>
        </w:tabs>
        <w:spacing w:before="434" w:line="204" w:lineRule="auto"/>
        <w:ind w:right="1475"/>
        <w:rPr>
          <w:rFonts w:ascii="Calibri" w:hAnsi="Calibri"/>
          <w:sz w:val="18"/>
        </w:rPr>
      </w:pPr>
      <w:r>
        <w:rPr>
          <w:rFonts w:ascii="Calibri" w:hAnsi="Calibri"/>
          <w:color w:val="003366"/>
          <w:sz w:val="18"/>
        </w:rPr>
        <w:t>Legislative drafting services are demand driven and are not predictable from year to year as it depends on the number of requests predominately made by members to the ACT Parliamentary Counsel’s</w:t>
      </w:r>
      <w:r>
        <w:rPr>
          <w:rFonts w:ascii="Calibri" w:hAnsi="Calibri"/>
          <w:color w:val="003366"/>
          <w:spacing w:val="-8"/>
          <w:sz w:val="18"/>
        </w:rPr>
        <w:t xml:space="preserve"> </w:t>
      </w:r>
      <w:r>
        <w:rPr>
          <w:rFonts w:ascii="Calibri" w:hAnsi="Calibri"/>
          <w:color w:val="003366"/>
          <w:sz w:val="18"/>
        </w:rPr>
        <w:t>Office.</w:t>
      </w:r>
    </w:p>
    <w:p w:rsidR="006C17CB" w:rsidRDefault="006C17CB">
      <w:pPr>
        <w:spacing w:line="204" w:lineRule="auto"/>
        <w:rPr>
          <w:rFonts w:ascii="Calibri" w:hAnsi="Calibri"/>
          <w:sz w:val="18"/>
        </w:rPr>
        <w:sectPr w:rsidR="006C17CB">
          <w:type w:val="continuous"/>
          <w:pgSz w:w="11910" w:h="16840"/>
          <w:pgMar w:top="1580" w:right="0" w:bottom="280" w:left="980" w:header="720" w:footer="720" w:gutter="0"/>
          <w:cols w:space="720"/>
        </w:sectPr>
      </w:pPr>
    </w:p>
    <w:p w:rsidR="006C17CB" w:rsidRDefault="0030091C">
      <w:pPr>
        <w:pStyle w:val="Heading6"/>
        <w:tabs>
          <w:tab w:val="left" w:pos="1938"/>
        </w:tabs>
        <w:spacing w:before="310"/>
        <w:ind w:left="805"/>
      </w:pPr>
      <w:r>
        <w:rPr>
          <w:color w:val="003366"/>
        </w:rPr>
        <w:t>NOTE</w:t>
      </w:r>
      <w:r>
        <w:rPr>
          <w:color w:val="003366"/>
          <w:spacing w:val="-1"/>
        </w:rPr>
        <w:t xml:space="preserve"> </w:t>
      </w:r>
      <w:r>
        <w:rPr>
          <w:color w:val="003366"/>
        </w:rPr>
        <w:t>4.</w:t>
      </w:r>
      <w:r>
        <w:rPr>
          <w:color w:val="003366"/>
        </w:rPr>
        <w:tab/>
        <w:t>RESOURCES RECEIVED FREE OF CHARGE – CONTINUED</w:t>
      </w:r>
    </w:p>
    <w:p w:rsidR="006C17CB" w:rsidRDefault="006C17CB">
      <w:pPr>
        <w:sectPr w:rsidR="006C17CB">
          <w:pgSz w:w="11910" w:h="16840"/>
          <w:pgMar w:top="2120" w:right="0" w:bottom="720" w:left="980" w:header="1173" w:footer="523" w:gutter="0"/>
          <w:cols w:space="720"/>
        </w:sectPr>
      </w:pPr>
    </w:p>
    <w:p w:rsidR="006C17CB" w:rsidRDefault="006C17CB">
      <w:pPr>
        <w:pStyle w:val="BodyText"/>
        <w:spacing w:before="8"/>
        <w:rPr>
          <w:rFonts w:ascii="Calibri"/>
          <w:b/>
          <w:sz w:val="13"/>
        </w:rPr>
      </w:pPr>
    </w:p>
    <w:p w:rsidR="006C17CB" w:rsidRDefault="0030091C">
      <w:pPr>
        <w:ind w:left="805"/>
        <w:rPr>
          <w:rFonts w:ascii="Calibri"/>
          <w:sz w:val="20"/>
        </w:rPr>
      </w:pPr>
      <w:r>
        <w:rPr>
          <w:rFonts w:ascii="Calibri"/>
          <w:color w:val="003366"/>
          <w:sz w:val="20"/>
        </w:rPr>
        <w:t>A breakdown of the total Legislative Drafting Services by recipient is provided below.</w:t>
      </w:r>
    </w:p>
    <w:p w:rsidR="006C17CB" w:rsidRDefault="0030091C">
      <w:pPr>
        <w:spacing w:before="77" w:line="267" w:lineRule="exact"/>
        <w:ind w:right="38"/>
        <w:jc w:val="right"/>
        <w:rPr>
          <w:rFonts w:ascii="Calibri"/>
          <w:b/>
          <w:sz w:val="20"/>
        </w:rPr>
      </w:pPr>
      <w:r>
        <w:rPr>
          <w:rFonts w:ascii="Calibri"/>
          <w:b/>
          <w:color w:val="003366"/>
          <w:sz w:val="20"/>
        </w:rPr>
        <w:t>2018</w:t>
      </w:r>
    </w:p>
    <w:p w:rsidR="006C17CB" w:rsidRDefault="0030091C">
      <w:pPr>
        <w:spacing w:line="267" w:lineRule="exact"/>
        <w:ind w:right="38"/>
        <w:jc w:val="right"/>
        <w:rPr>
          <w:rFonts w:ascii="Calibri" w:hAnsi="Calibri"/>
          <w:b/>
          <w:sz w:val="20"/>
        </w:rPr>
      </w:pPr>
      <w:r>
        <w:rPr>
          <w:rFonts w:ascii="Calibri" w:hAnsi="Calibri"/>
          <w:b/>
          <w:color w:val="003366"/>
          <w:sz w:val="20"/>
        </w:rPr>
        <w:t>$’000</w:t>
      </w:r>
    </w:p>
    <w:p w:rsidR="006C17CB" w:rsidRDefault="0030091C">
      <w:pPr>
        <w:pStyle w:val="BodyText"/>
        <w:rPr>
          <w:rFonts w:ascii="Calibri"/>
          <w:b/>
          <w:sz w:val="20"/>
        </w:rPr>
      </w:pPr>
      <w:r>
        <w:br w:type="column"/>
      </w:r>
    </w:p>
    <w:p w:rsidR="006C17CB" w:rsidRDefault="006C17CB">
      <w:pPr>
        <w:pStyle w:val="BodyText"/>
        <w:spacing w:before="13"/>
        <w:rPr>
          <w:rFonts w:ascii="Calibri"/>
          <w:b/>
          <w:sz w:val="18"/>
        </w:rPr>
      </w:pPr>
    </w:p>
    <w:p w:rsidR="006C17CB" w:rsidRDefault="0030091C">
      <w:pPr>
        <w:spacing w:line="267" w:lineRule="exact"/>
        <w:ind w:left="856"/>
        <w:rPr>
          <w:rFonts w:ascii="Calibri"/>
          <w:b/>
          <w:sz w:val="20"/>
        </w:rPr>
      </w:pPr>
      <w:r>
        <w:rPr>
          <w:rFonts w:ascii="Calibri"/>
          <w:b/>
          <w:color w:val="003366"/>
          <w:sz w:val="20"/>
        </w:rPr>
        <w:t>2017</w:t>
      </w:r>
    </w:p>
    <w:p w:rsidR="006C17CB" w:rsidRDefault="0030091C">
      <w:pPr>
        <w:spacing w:line="267" w:lineRule="exact"/>
        <w:ind w:left="805"/>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2" w:space="720" w:equalWidth="0">
            <w:col w:w="8104" w:space="59"/>
            <w:col w:w="2767"/>
          </w:cols>
        </w:sectPr>
      </w:pPr>
    </w:p>
    <w:p w:rsidR="006C17CB" w:rsidRDefault="0030091C">
      <w:pPr>
        <w:spacing w:before="74"/>
        <w:ind w:left="2711"/>
        <w:rPr>
          <w:rFonts w:ascii="Calibri"/>
          <w:b/>
          <w:sz w:val="20"/>
        </w:rPr>
      </w:pPr>
      <w:r>
        <w:rPr>
          <w:rFonts w:ascii="Calibri"/>
          <w:b/>
          <w:color w:val="003366"/>
          <w:sz w:val="20"/>
        </w:rPr>
        <w:t>Recipient</w:t>
      </w:r>
    </w:p>
    <w:p w:rsidR="006C17CB" w:rsidRDefault="006C17CB">
      <w:pPr>
        <w:pStyle w:val="BodyText"/>
        <w:spacing w:before="10"/>
        <w:rPr>
          <w:rFonts w:ascii="Calibri"/>
          <w:b/>
          <w:sz w:val="5"/>
        </w:rPr>
      </w:pPr>
    </w:p>
    <w:tbl>
      <w:tblPr>
        <w:tblW w:w="0" w:type="auto"/>
        <w:tblInd w:w="2661" w:type="dxa"/>
        <w:tblLayout w:type="fixed"/>
        <w:tblCellMar>
          <w:left w:w="0" w:type="dxa"/>
          <w:right w:w="0" w:type="dxa"/>
        </w:tblCellMar>
        <w:tblLook w:val="01E0" w:firstRow="1" w:lastRow="1" w:firstColumn="1" w:lastColumn="1" w:noHBand="0" w:noVBand="0"/>
      </w:tblPr>
      <w:tblGrid>
        <w:gridCol w:w="3174"/>
        <w:gridCol w:w="2809"/>
        <w:gridCol w:w="830"/>
      </w:tblGrid>
      <w:tr w:rsidR="006C17CB">
        <w:trPr>
          <w:trHeight w:val="242"/>
        </w:trPr>
        <w:tc>
          <w:tcPr>
            <w:tcW w:w="3174" w:type="dxa"/>
          </w:tcPr>
          <w:p w:rsidR="006C17CB" w:rsidRDefault="0030091C">
            <w:pPr>
              <w:pStyle w:val="TableParagraph"/>
              <w:spacing w:line="203" w:lineRule="exact"/>
              <w:ind w:left="50"/>
              <w:jc w:val="left"/>
              <w:rPr>
                <w:sz w:val="20"/>
              </w:rPr>
            </w:pPr>
            <w:r>
              <w:rPr>
                <w:color w:val="003366"/>
                <w:sz w:val="20"/>
              </w:rPr>
              <w:t>Mr Coe</w:t>
            </w:r>
          </w:p>
        </w:tc>
        <w:tc>
          <w:tcPr>
            <w:tcW w:w="2809" w:type="dxa"/>
          </w:tcPr>
          <w:p w:rsidR="006C17CB" w:rsidRDefault="0030091C">
            <w:pPr>
              <w:pStyle w:val="TableParagraph"/>
              <w:spacing w:line="203" w:lineRule="exact"/>
              <w:ind w:right="579"/>
              <w:rPr>
                <w:sz w:val="20"/>
              </w:rPr>
            </w:pPr>
            <w:r>
              <w:rPr>
                <w:color w:val="003366"/>
                <w:w w:val="95"/>
                <w:sz w:val="20"/>
              </w:rPr>
              <w:t>145</w:t>
            </w:r>
          </w:p>
        </w:tc>
        <w:tc>
          <w:tcPr>
            <w:tcW w:w="830" w:type="dxa"/>
          </w:tcPr>
          <w:p w:rsidR="006C17CB" w:rsidRDefault="0030091C">
            <w:pPr>
              <w:pStyle w:val="TableParagraph"/>
              <w:spacing w:line="203" w:lineRule="exact"/>
              <w:ind w:right="48"/>
              <w:rPr>
                <w:sz w:val="20"/>
              </w:rPr>
            </w:pPr>
            <w:r>
              <w:rPr>
                <w:color w:val="003366"/>
                <w:w w:val="99"/>
                <w:sz w:val="20"/>
              </w:rPr>
              <w:t>9</w:t>
            </w:r>
          </w:p>
        </w:tc>
      </w:tr>
      <w:tr w:rsidR="006C17CB">
        <w:trPr>
          <w:trHeight w:val="284"/>
        </w:trPr>
        <w:tc>
          <w:tcPr>
            <w:tcW w:w="3174" w:type="dxa"/>
          </w:tcPr>
          <w:p w:rsidR="006C17CB" w:rsidRDefault="0030091C">
            <w:pPr>
              <w:pStyle w:val="TableParagraph"/>
              <w:spacing w:line="246" w:lineRule="exact"/>
              <w:ind w:left="50"/>
              <w:jc w:val="left"/>
              <w:rPr>
                <w:sz w:val="20"/>
              </w:rPr>
            </w:pPr>
            <w:r>
              <w:rPr>
                <w:color w:val="003366"/>
                <w:sz w:val="20"/>
              </w:rPr>
              <w:t>Mr Hanson</w:t>
            </w:r>
          </w:p>
        </w:tc>
        <w:tc>
          <w:tcPr>
            <w:tcW w:w="2809" w:type="dxa"/>
          </w:tcPr>
          <w:p w:rsidR="006C17CB" w:rsidRDefault="0030091C">
            <w:pPr>
              <w:pStyle w:val="TableParagraph"/>
              <w:spacing w:line="246" w:lineRule="exact"/>
              <w:ind w:right="576"/>
              <w:rPr>
                <w:sz w:val="20"/>
              </w:rPr>
            </w:pPr>
            <w:r>
              <w:rPr>
                <w:color w:val="003366"/>
                <w:w w:val="95"/>
                <w:sz w:val="20"/>
              </w:rPr>
              <w:t>21</w:t>
            </w:r>
          </w:p>
        </w:tc>
        <w:tc>
          <w:tcPr>
            <w:tcW w:w="830" w:type="dxa"/>
          </w:tcPr>
          <w:p w:rsidR="006C17CB" w:rsidRDefault="0030091C">
            <w:pPr>
              <w:pStyle w:val="TableParagraph"/>
              <w:spacing w:line="246" w:lineRule="exact"/>
              <w:ind w:right="48"/>
              <w:rPr>
                <w:sz w:val="20"/>
              </w:rPr>
            </w:pPr>
            <w:r>
              <w:rPr>
                <w:color w:val="003366"/>
                <w:w w:val="95"/>
                <w:sz w:val="20"/>
              </w:rPr>
              <w:t>51</w:t>
            </w:r>
          </w:p>
        </w:tc>
      </w:tr>
      <w:tr w:rsidR="006C17CB">
        <w:trPr>
          <w:trHeight w:val="283"/>
        </w:trPr>
        <w:tc>
          <w:tcPr>
            <w:tcW w:w="3174" w:type="dxa"/>
          </w:tcPr>
          <w:p w:rsidR="006C17CB" w:rsidRDefault="0030091C">
            <w:pPr>
              <w:pStyle w:val="TableParagraph"/>
              <w:spacing w:line="245" w:lineRule="exact"/>
              <w:ind w:left="50"/>
              <w:jc w:val="left"/>
              <w:rPr>
                <w:sz w:val="20"/>
              </w:rPr>
            </w:pPr>
            <w:r>
              <w:rPr>
                <w:color w:val="003366"/>
                <w:sz w:val="20"/>
              </w:rPr>
              <w:t>Mrs Jones</w:t>
            </w:r>
          </w:p>
        </w:tc>
        <w:tc>
          <w:tcPr>
            <w:tcW w:w="2809" w:type="dxa"/>
          </w:tcPr>
          <w:p w:rsidR="006C17CB" w:rsidRDefault="0030091C">
            <w:pPr>
              <w:pStyle w:val="TableParagraph"/>
              <w:spacing w:line="245" w:lineRule="exact"/>
              <w:ind w:right="576"/>
              <w:rPr>
                <w:sz w:val="20"/>
              </w:rPr>
            </w:pPr>
            <w:r>
              <w:rPr>
                <w:color w:val="003366"/>
                <w:w w:val="99"/>
                <w:sz w:val="20"/>
              </w:rPr>
              <w:t>2</w:t>
            </w:r>
          </w:p>
        </w:tc>
        <w:tc>
          <w:tcPr>
            <w:tcW w:w="830" w:type="dxa"/>
          </w:tcPr>
          <w:p w:rsidR="006C17CB" w:rsidRDefault="0030091C">
            <w:pPr>
              <w:pStyle w:val="TableParagraph"/>
              <w:spacing w:line="245" w:lineRule="exact"/>
              <w:ind w:right="49"/>
              <w:rPr>
                <w:sz w:val="20"/>
              </w:rPr>
            </w:pPr>
            <w:r>
              <w:rPr>
                <w:color w:val="003366"/>
                <w:w w:val="99"/>
                <w:sz w:val="20"/>
              </w:rPr>
              <w:t>-</w:t>
            </w:r>
          </w:p>
        </w:tc>
      </w:tr>
      <w:tr w:rsidR="006C17CB">
        <w:trPr>
          <w:trHeight w:val="284"/>
        </w:trPr>
        <w:tc>
          <w:tcPr>
            <w:tcW w:w="3174" w:type="dxa"/>
          </w:tcPr>
          <w:p w:rsidR="006C17CB" w:rsidRDefault="0030091C">
            <w:pPr>
              <w:pStyle w:val="TableParagraph"/>
              <w:spacing w:line="245" w:lineRule="exact"/>
              <w:ind w:left="50"/>
              <w:jc w:val="left"/>
              <w:rPr>
                <w:sz w:val="20"/>
              </w:rPr>
            </w:pPr>
            <w:r>
              <w:rPr>
                <w:color w:val="003366"/>
                <w:sz w:val="20"/>
              </w:rPr>
              <w:t>Mrs Kikkert</w:t>
            </w:r>
          </w:p>
        </w:tc>
        <w:tc>
          <w:tcPr>
            <w:tcW w:w="2809" w:type="dxa"/>
          </w:tcPr>
          <w:p w:rsidR="006C17CB" w:rsidRDefault="0030091C">
            <w:pPr>
              <w:pStyle w:val="TableParagraph"/>
              <w:spacing w:line="245" w:lineRule="exact"/>
              <w:ind w:right="576"/>
              <w:rPr>
                <w:sz w:val="20"/>
              </w:rPr>
            </w:pPr>
            <w:r>
              <w:rPr>
                <w:color w:val="003366"/>
                <w:w w:val="99"/>
                <w:sz w:val="20"/>
              </w:rPr>
              <w:t>2</w:t>
            </w:r>
          </w:p>
        </w:tc>
        <w:tc>
          <w:tcPr>
            <w:tcW w:w="830" w:type="dxa"/>
          </w:tcPr>
          <w:p w:rsidR="006C17CB" w:rsidRDefault="0030091C">
            <w:pPr>
              <w:pStyle w:val="TableParagraph"/>
              <w:spacing w:line="245" w:lineRule="exact"/>
              <w:ind w:right="48"/>
              <w:rPr>
                <w:sz w:val="20"/>
              </w:rPr>
            </w:pPr>
            <w:r>
              <w:rPr>
                <w:color w:val="003366"/>
                <w:w w:val="99"/>
                <w:sz w:val="20"/>
              </w:rPr>
              <w:t>2</w:t>
            </w:r>
          </w:p>
        </w:tc>
      </w:tr>
      <w:tr w:rsidR="006C17CB">
        <w:trPr>
          <w:trHeight w:val="284"/>
        </w:trPr>
        <w:tc>
          <w:tcPr>
            <w:tcW w:w="3174" w:type="dxa"/>
          </w:tcPr>
          <w:p w:rsidR="006C17CB" w:rsidRDefault="0030091C">
            <w:pPr>
              <w:pStyle w:val="TableParagraph"/>
              <w:spacing w:line="246" w:lineRule="exact"/>
              <w:ind w:left="50"/>
              <w:jc w:val="left"/>
              <w:rPr>
                <w:sz w:val="20"/>
              </w:rPr>
            </w:pPr>
            <w:r>
              <w:rPr>
                <w:color w:val="003366"/>
                <w:sz w:val="20"/>
              </w:rPr>
              <w:t>Ms Lawder</w:t>
            </w:r>
          </w:p>
        </w:tc>
        <w:tc>
          <w:tcPr>
            <w:tcW w:w="2809" w:type="dxa"/>
          </w:tcPr>
          <w:p w:rsidR="006C17CB" w:rsidRDefault="0030091C">
            <w:pPr>
              <w:pStyle w:val="TableParagraph"/>
              <w:spacing w:line="246" w:lineRule="exact"/>
              <w:ind w:right="578"/>
              <w:rPr>
                <w:sz w:val="20"/>
              </w:rPr>
            </w:pPr>
            <w:r>
              <w:rPr>
                <w:color w:val="003366"/>
                <w:w w:val="99"/>
                <w:sz w:val="20"/>
              </w:rPr>
              <w:t>-</w:t>
            </w:r>
          </w:p>
        </w:tc>
        <w:tc>
          <w:tcPr>
            <w:tcW w:w="830" w:type="dxa"/>
          </w:tcPr>
          <w:p w:rsidR="006C17CB" w:rsidRDefault="0030091C">
            <w:pPr>
              <w:pStyle w:val="TableParagraph"/>
              <w:spacing w:line="246" w:lineRule="exact"/>
              <w:ind w:right="48"/>
              <w:rPr>
                <w:sz w:val="20"/>
              </w:rPr>
            </w:pPr>
            <w:r>
              <w:rPr>
                <w:color w:val="003366"/>
                <w:w w:val="99"/>
                <w:sz w:val="20"/>
              </w:rPr>
              <w:t>5</w:t>
            </w:r>
          </w:p>
        </w:tc>
      </w:tr>
      <w:tr w:rsidR="006C17CB">
        <w:trPr>
          <w:trHeight w:val="284"/>
        </w:trPr>
        <w:tc>
          <w:tcPr>
            <w:tcW w:w="3174" w:type="dxa"/>
          </w:tcPr>
          <w:p w:rsidR="006C17CB" w:rsidRDefault="0030091C">
            <w:pPr>
              <w:pStyle w:val="TableParagraph"/>
              <w:spacing w:line="245" w:lineRule="exact"/>
              <w:ind w:left="50"/>
              <w:jc w:val="left"/>
              <w:rPr>
                <w:sz w:val="20"/>
              </w:rPr>
            </w:pPr>
            <w:r>
              <w:rPr>
                <w:color w:val="003366"/>
                <w:sz w:val="20"/>
              </w:rPr>
              <w:t>Ms Le Couteur</w:t>
            </w:r>
          </w:p>
        </w:tc>
        <w:tc>
          <w:tcPr>
            <w:tcW w:w="2809" w:type="dxa"/>
          </w:tcPr>
          <w:p w:rsidR="006C17CB" w:rsidRDefault="0030091C">
            <w:pPr>
              <w:pStyle w:val="TableParagraph"/>
              <w:spacing w:line="245" w:lineRule="exact"/>
              <w:ind w:right="576"/>
              <w:rPr>
                <w:sz w:val="20"/>
              </w:rPr>
            </w:pPr>
            <w:r>
              <w:rPr>
                <w:color w:val="003366"/>
                <w:w w:val="95"/>
                <w:sz w:val="20"/>
              </w:rPr>
              <w:t>28</w:t>
            </w:r>
          </w:p>
        </w:tc>
        <w:tc>
          <w:tcPr>
            <w:tcW w:w="830" w:type="dxa"/>
          </w:tcPr>
          <w:p w:rsidR="006C17CB" w:rsidRDefault="0030091C">
            <w:pPr>
              <w:pStyle w:val="TableParagraph"/>
              <w:spacing w:line="245" w:lineRule="exact"/>
              <w:ind w:right="48"/>
              <w:rPr>
                <w:sz w:val="20"/>
              </w:rPr>
            </w:pPr>
            <w:r>
              <w:rPr>
                <w:color w:val="003366"/>
                <w:w w:val="95"/>
                <w:sz w:val="20"/>
              </w:rPr>
              <w:t>37</w:t>
            </w:r>
          </w:p>
        </w:tc>
      </w:tr>
      <w:tr w:rsidR="006C17CB">
        <w:trPr>
          <w:trHeight w:val="284"/>
        </w:trPr>
        <w:tc>
          <w:tcPr>
            <w:tcW w:w="3174" w:type="dxa"/>
          </w:tcPr>
          <w:p w:rsidR="006C17CB" w:rsidRDefault="0030091C">
            <w:pPr>
              <w:pStyle w:val="TableParagraph"/>
              <w:spacing w:line="246" w:lineRule="exact"/>
              <w:ind w:left="50"/>
              <w:jc w:val="left"/>
              <w:rPr>
                <w:sz w:val="20"/>
              </w:rPr>
            </w:pPr>
            <w:r>
              <w:rPr>
                <w:color w:val="003366"/>
                <w:sz w:val="20"/>
              </w:rPr>
              <w:t>Ms Lee</w:t>
            </w:r>
          </w:p>
        </w:tc>
        <w:tc>
          <w:tcPr>
            <w:tcW w:w="2809" w:type="dxa"/>
          </w:tcPr>
          <w:p w:rsidR="006C17CB" w:rsidRDefault="0030091C">
            <w:pPr>
              <w:pStyle w:val="TableParagraph"/>
              <w:spacing w:line="246" w:lineRule="exact"/>
              <w:ind w:right="576"/>
              <w:rPr>
                <w:sz w:val="20"/>
              </w:rPr>
            </w:pPr>
            <w:r>
              <w:rPr>
                <w:color w:val="003366"/>
                <w:w w:val="99"/>
                <w:sz w:val="20"/>
              </w:rPr>
              <w:t>1</w:t>
            </w:r>
          </w:p>
        </w:tc>
        <w:tc>
          <w:tcPr>
            <w:tcW w:w="830" w:type="dxa"/>
          </w:tcPr>
          <w:p w:rsidR="006C17CB" w:rsidRDefault="0030091C">
            <w:pPr>
              <w:pStyle w:val="TableParagraph"/>
              <w:spacing w:line="246" w:lineRule="exact"/>
              <w:ind w:right="49"/>
              <w:rPr>
                <w:sz w:val="20"/>
              </w:rPr>
            </w:pPr>
            <w:r>
              <w:rPr>
                <w:color w:val="003366"/>
                <w:w w:val="99"/>
                <w:sz w:val="20"/>
              </w:rPr>
              <w:t>-</w:t>
            </w:r>
          </w:p>
        </w:tc>
      </w:tr>
      <w:tr w:rsidR="006C17CB">
        <w:trPr>
          <w:trHeight w:val="283"/>
        </w:trPr>
        <w:tc>
          <w:tcPr>
            <w:tcW w:w="3174" w:type="dxa"/>
          </w:tcPr>
          <w:p w:rsidR="006C17CB" w:rsidRDefault="0030091C">
            <w:pPr>
              <w:pStyle w:val="TableParagraph"/>
              <w:spacing w:line="245" w:lineRule="exact"/>
              <w:ind w:left="50"/>
              <w:jc w:val="left"/>
              <w:rPr>
                <w:sz w:val="20"/>
              </w:rPr>
            </w:pPr>
            <w:r>
              <w:rPr>
                <w:color w:val="003366"/>
                <w:sz w:val="20"/>
              </w:rPr>
              <w:t>Mr Milligan</w:t>
            </w:r>
          </w:p>
        </w:tc>
        <w:tc>
          <w:tcPr>
            <w:tcW w:w="2809" w:type="dxa"/>
          </w:tcPr>
          <w:p w:rsidR="006C17CB" w:rsidRDefault="0030091C">
            <w:pPr>
              <w:pStyle w:val="TableParagraph"/>
              <w:spacing w:line="245" w:lineRule="exact"/>
              <w:ind w:right="578"/>
              <w:rPr>
                <w:sz w:val="20"/>
              </w:rPr>
            </w:pPr>
            <w:r>
              <w:rPr>
                <w:color w:val="003366"/>
                <w:w w:val="99"/>
                <w:sz w:val="20"/>
              </w:rPr>
              <w:t>-</w:t>
            </w:r>
          </w:p>
        </w:tc>
        <w:tc>
          <w:tcPr>
            <w:tcW w:w="830" w:type="dxa"/>
          </w:tcPr>
          <w:p w:rsidR="006C17CB" w:rsidRDefault="0030091C">
            <w:pPr>
              <w:pStyle w:val="TableParagraph"/>
              <w:spacing w:line="245" w:lineRule="exact"/>
              <w:ind w:right="48"/>
              <w:rPr>
                <w:sz w:val="20"/>
              </w:rPr>
            </w:pPr>
            <w:r>
              <w:rPr>
                <w:color w:val="003366"/>
                <w:w w:val="99"/>
                <w:sz w:val="20"/>
              </w:rPr>
              <w:t>3</w:t>
            </w:r>
          </w:p>
        </w:tc>
      </w:tr>
      <w:tr w:rsidR="006C17CB">
        <w:trPr>
          <w:trHeight w:val="284"/>
        </w:trPr>
        <w:tc>
          <w:tcPr>
            <w:tcW w:w="3174" w:type="dxa"/>
          </w:tcPr>
          <w:p w:rsidR="006C17CB" w:rsidRDefault="0030091C">
            <w:pPr>
              <w:pStyle w:val="TableParagraph"/>
              <w:spacing w:line="245" w:lineRule="exact"/>
              <w:ind w:left="50"/>
              <w:jc w:val="left"/>
              <w:rPr>
                <w:sz w:val="20"/>
              </w:rPr>
            </w:pPr>
            <w:r>
              <w:rPr>
                <w:color w:val="003366"/>
                <w:sz w:val="20"/>
              </w:rPr>
              <w:t>Mr Parton</w:t>
            </w:r>
          </w:p>
        </w:tc>
        <w:tc>
          <w:tcPr>
            <w:tcW w:w="2809" w:type="dxa"/>
          </w:tcPr>
          <w:p w:rsidR="006C17CB" w:rsidRDefault="0030091C">
            <w:pPr>
              <w:pStyle w:val="TableParagraph"/>
              <w:spacing w:line="245" w:lineRule="exact"/>
              <w:ind w:right="576"/>
              <w:rPr>
                <w:sz w:val="20"/>
              </w:rPr>
            </w:pPr>
            <w:r>
              <w:rPr>
                <w:color w:val="003366"/>
                <w:w w:val="99"/>
                <w:sz w:val="20"/>
              </w:rPr>
              <w:t>1</w:t>
            </w:r>
          </w:p>
        </w:tc>
        <w:tc>
          <w:tcPr>
            <w:tcW w:w="830" w:type="dxa"/>
          </w:tcPr>
          <w:p w:rsidR="006C17CB" w:rsidRDefault="0030091C">
            <w:pPr>
              <w:pStyle w:val="TableParagraph"/>
              <w:spacing w:line="245" w:lineRule="exact"/>
              <w:ind w:right="48"/>
              <w:rPr>
                <w:sz w:val="20"/>
              </w:rPr>
            </w:pPr>
            <w:r>
              <w:rPr>
                <w:color w:val="003366"/>
                <w:w w:val="99"/>
                <w:sz w:val="20"/>
              </w:rPr>
              <w:t>1</w:t>
            </w:r>
          </w:p>
        </w:tc>
      </w:tr>
      <w:tr w:rsidR="006C17CB">
        <w:trPr>
          <w:trHeight w:val="284"/>
        </w:trPr>
        <w:tc>
          <w:tcPr>
            <w:tcW w:w="3174" w:type="dxa"/>
          </w:tcPr>
          <w:p w:rsidR="006C17CB" w:rsidRDefault="0030091C">
            <w:pPr>
              <w:pStyle w:val="TableParagraph"/>
              <w:spacing w:line="246" w:lineRule="exact"/>
              <w:ind w:left="50"/>
              <w:jc w:val="left"/>
              <w:rPr>
                <w:sz w:val="20"/>
              </w:rPr>
            </w:pPr>
            <w:r>
              <w:rPr>
                <w:color w:val="003366"/>
                <w:sz w:val="20"/>
              </w:rPr>
              <w:t>Mr Pettersson</w:t>
            </w:r>
          </w:p>
        </w:tc>
        <w:tc>
          <w:tcPr>
            <w:tcW w:w="2809" w:type="dxa"/>
          </w:tcPr>
          <w:p w:rsidR="006C17CB" w:rsidRDefault="0030091C">
            <w:pPr>
              <w:pStyle w:val="TableParagraph"/>
              <w:spacing w:line="246" w:lineRule="exact"/>
              <w:ind w:right="576"/>
              <w:rPr>
                <w:sz w:val="20"/>
              </w:rPr>
            </w:pPr>
            <w:r>
              <w:rPr>
                <w:color w:val="003366"/>
                <w:w w:val="99"/>
                <w:sz w:val="20"/>
              </w:rPr>
              <w:t>3</w:t>
            </w:r>
          </w:p>
        </w:tc>
        <w:tc>
          <w:tcPr>
            <w:tcW w:w="830" w:type="dxa"/>
          </w:tcPr>
          <w:p w:rsidR="006C17CB" w:rsidRDefault="0030091C">
            <w:pPr>
              <w:pStyle w:val="TableParagraph"/>
              <w:spacing w:line="246" w:lineRule="exact"/>
              <w:ind w:right="49"/>
              <w:rPr>
                <w:sz w:val="20"/>
              </w:rPr>
            </w:pPr>
            <w:r>
              <w:rPr>
                <w:color w:val="003366"/>
                <w:w w:val="99"/>
                <w:sz w:val="20"/>
              </w:rPr>
              <w:t>-</w:t>
            </w:r>
          </w:p>
        </w:tc>
      </w:tr>
      <w:tr w:rsidR="006C17CB">
        <w:trPr>
          <w:trHeight w:val="284"/>
        </w:trPr>
        <w:tc>
          <w:tcPr>
            <w:tcW w:w="3174" w:type="dxa"/>
          </w:tcPr>
          <w:p w:rsidR="006C17CB" w:rsidRDefault="0030091C">
            <w:pPr>
              <w:pStyle w:val="TableParagraph"/>
              <w:spacing w:line="245" w:lineRule="exact"/>
              <w:ind w:left="50"/>
              <w:jc w:val="left"/>
              <w:rPr>
                <w:sz w:val="20"/>
              </w:rPr>
            </w:pPr>
            <w:r>
              <w:rPr>
                <w:color w:val="003366"/>
                <w:sz w:val="20"/>
              </w:rPr>
              <w:t>Mr Rattenbury</w:t>
            </w:r>
          </w:p>
        </w:tc>
        <w:tc>
          <w:tcPr>
            <w:tcW w:w="2809" w:type="dxa"/>
          </w:tcPr>
          <w:p w:rsidR="006C17CB" w:rsidRDefault="0030091C">
            <w:pPr>
              <w:pStyle w:val="TableParagraph"/>
              <w:spacing w:line="245" w:lineRule="exact"/>
              <w:ind w:right="578"/>
              <w:rPr>
                <w:sz w:val="20"/>
              </w:rPr>
            </w:pPr>
            <w:r>
              <w:rPr>
                <w:color w:val="003366"/>
                <w:w w:val="99"/>
                <w:sz w:val="20"/>
              </w:rPr>
              <w:t>-</w:t>
            </w:r>
          </w:p>
        </w:tc>
        <w:tc>
          <w:tcPr>
            <w:tcW w:w="830" w:type="dxa"/>
          </w:tcPr>
          <w:p w:rsidR="006C17CB" w:rsidRDefault="0030091C">
            <w:pPr>
              <w:pStyle w:val="TableParagraph"/>
              <w:spacing w:line="245" w:lineRule="exact"/>
              <w:ind w:right="48"/>
              <w:rPr>
                <w:sz w:val="20"/>
              </w:rPr>
            </w:pPr>
            <w:r>
              <w:rPr>
                <w:color w:val="003366"/>
                <w:w w:val="95"/>
                <w:sz w:val="20"/>
              </w:rPr>
              <w:t>11</w:t>
            </w:r>
          </w:p>
        </w:tc>
      </w:tr>
      <w:tr w:rsidR="006C17CB">
        <w:trPr>
          <w:trHeight w:val="242"/>
        </w:trPr>
        <w:tc>
          <w:tcPr>
            <w:tcW w:w="3174" w:type="dxa"/>
          </w:tcPr>
          <w:p w:rsidR="006C17CB" w:rsidRDefault="0030091C">
            <w:pPr>
              <w:pStyle w:val="TableParagraph"/>
              <w:spacing w:line="222" w:lineRule="exact"/>
              <w:ind w:left="50"/>
              <w:jc w:val="left"/>
              <w:rPr>
                <w:sz w:val="20"/>
              </w:rPr>
            </w:pPr>
            <w:r>
              <w:rPr>
                <w:color w:val="003366"/>
                <w:sz w:val="20"/>
              </w:rPr>
              <w:t>Mr Wall</w:t>
            </w:r>
          </w:p>
        </w:tc>
        <w:tc>
          <w:tcPr>
            <w:tcW w:w="2809" w:type="dxa"/>
          </w:tcPr>
          <w:p w:rsidR="006C17CB" w:rsidRDefault="0030091C">
            <w:pPr>
              <w:pStyle w:val="TableParagraph"/>
              <w:spacing w:line="222" w:lineRule="exact"/>
              <w:ind w:right="576"/>
              <w:rPr>
                <w:sz w:val="20"/>
              </w:rPr>
            </w:pPr>
            <w:r>
              <w:rPr>
                <w:color w:val="003366"/>
                <w:w w:val="99"/>
                <w:sz w:val="20"/>
              </w:rPr>
              <w:t>8</w:t>
            </w:r>
          </w:p>
        </w:tc>
        <w:tc>
          <w:tcPr>
            <w:tcW w:w="830" w:type="dxa"/>
          </w:tcPr>
          <w:p w:rsidR="006C17CB" w:rsidRDefault="0030091C">
            <w:pPr>
              <w:pStyle w:val="TableParagraph"/>
              <w:spacing w:line="222" w:lineRule="exact"/>
              <w:ind w:right="49"/>
              <w:rPr>
                <w:sz w:val="20"/>
              </w:rPr>
            </w:pPr>
            <w:r>
              <w:rPr>
                <w:color w:val="003366"/>
                <w:w w:val="99"/>
                <w:sz w:val="20"/>
              </w:rPr>
              <w:t>-</w:t>
            </w:r>
          </w:p>
        </w:tc>
      </w:tr>
    </w:tbl>
    <w:p w:rsidR="006C17CB" w:rsidRDefault="0030091C">
      <w:pPr>
        <w:tabs>
          <w:tab w:val="left" w:pos="6774"/>
          <w:tab w:val="left" w:pos="7863"/>
          <w:tab w:val="left" w:pos="9323"/>
        </w:tabs>
        <w:ind w:left="2711"/>
        <w:rPr>
          <w:rFonts w:ascii="Calibri"/>
          <w:sz w:val="20"/>
        </w:rPr>
      </w:pPr>
      <w:r>
        <w:rPr>
          <w:rFonts w:ascii="Calibri"/>
          <w:color w:val="003366"/>
          <w:sz w:val="20"/>
        </w:rPr>
        <w:t>Office of the</w:t>
      </w:r>
      <w:r>
        <w:rPr>
          <w:rFonts w:ascii="Calibri"/>
          <w:color w:val="003366"/>
          <w:spacing w:val="-9"/>
          <w:sz w:val="20"/>
        </w:rPr>
        <w:t xml:space="preserve"> </w:t>
      </w:r>
      <w:r>
        <w:rPr>
          <w:rFonts w:ascii="Calibri"/>
          <w:color w:val="003366"/>
          <w:sz w:val="20"/>
        </w:rPr>
        <w:t>Legislative</w:t>
      </w:r>
      <w:r>
        <w:rPr>
          <w:rFonts w:ascii="Calibri"/>
          <w:color w:val="003366"/>
          <w:spacing w:val="-3"/>
          <w:sz w:val="20"/>
        </w:rPr>
        <w:t xml:space="preserve"> </w:t>
      </w:r>
      <w:r>
        <w:rPr>
          <w:rFonts w:ascii="Calibri"/>
          <w:color w:val="003366"/>
          <w:sz w:val="20"/>
        </w:rPr>
        <w:t>Assembly</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21</w:t>
      </w:r>
      <w:r>
        <w:rPr>
          <w:rFonts w:ascii="Calibri"/>
          <w:color w:val="003366"/>
          <w:sz w:val="20"/>
          <w:u w:val="single" w:color="003366"/>
        </w:rPr>
        <w:tab/>
        <w:t>8</w:t>
      </w:r>
      <w:r>
        <w:rPr>
          <w:rFonts w:ascii="Calibri"/>
          <w:color w:val="003366"/>
          <w:spacing w:val="16"/>
          <w:sz w:val="20"/>
          <w:u w:val="single" w:color="003366"/>
        </w:rPr>
        <w:t xml:space="preserve"> </w:t>
      </w:r>
    </w:p>
    <w:p w:rsidR="006C17CB" w:rsidRDefault="0030091C">
      <w:pPr>
        <w:tabs>
          <w:tab w:val="left" w:pos="7760"/>
          <w:tab w:val="right" w:pos="9421"/>
        </w:tabs>
        <w:spacing w:before="4"/>
        <w:ind w:left="2711"/>
        <w:rPr>
          <w:rFonts w:ascii="Calibri"/>
          <w:b/>
          <w:sz w:val="20"/>
        </w:rPr>
      </w:pPr>
      <w:r>
        <w:rPr>
          <w:rFonts w:ascii="Calibri"/>
          <w:b/>
          <w:color w:val="003366"/>
          <w:sz w:val="20"/>
        </w:rPr>
        <w:t>Total</w:t>
      </w:r>
      <w:r>
        <w:rPr>
          <w:rFonts w:ascii="Calibri"/>
          <w:b/>
          <w:color w:val="003366"/>
          <w:sz w:val="20"/>
        </w:rPr>
        <w:tab/>
        <w:t>232</w:t>
      </w:r>
      <w:r>
        <w:rPr>
          <w:rFonts w:ascii="Calibri"/>
          <w:b/>
          <w:color w:val="003366"/>
          <w:sz w:val="20"/>
        </w:rPr>
        <w:tab/>
        <w:t>127</w:t>
      </w:r>
    </w:p>
    <w:p w:rsidR="006C17CB" w:rsidRDefault="00FE24A7">
      <w:pPr>
        <w:pStyle w:val="BodyText"/>
        <w:spacing w:line="29" w:lineRule="exact"/>
        <w:ind w:left="6769"/>
        <w:rPr>
          <w:rFonts w:ascii="Calibri"/>
          <w:sz w:val="2"/>
        </w:rPr>
      </w:pPr>
      <w:r>
        <w:rPr>
          <w:rFonts w:ascii="Calibri"/>
          <w:sz w:val="2"/>
        </w:rPr>
      </w:r>
      <w:r>
        <w:rPr>
          <w:rFonts w:ascii="Calibri"/>
          <w:sz w:val="2"/>
        </w:rPr>
        <w:pict>
          <v:group id="_x0000_s1395" alt="" style="width:137.9pt;height:1.45pt;mso-position-horizontal-relative:char;mso-position-vertical-relative:line" coordsize="2758,29">
            <v:line id="_x0000_s1396" alt="" style="position:absolute" from="0,5" to="1397,5" strokecolor="#17365d" strokeweight=".16969mm"/>
            <v:line id="_x0000_s1397" alt="" style="position:absolute" from="0,24" to="1397,24" strokecolor="#17365d" strokeweight=".48pt"/>
            <v:rect id="_x0000_s1398" alt="" style="position:absolute;left:1396;width:29;height:10" fillcolor="#17365d" stroked="f"/>
            <v:rect id="_x0000_s1399" alt="" style="position:absolute;left:1396;top:19;width:29;height:10" fillcolor="#17365d" stroked="f"/>
            <v:line id="_x0000_s1400" alt="" style="position:absolute" from="1426,5" to="2758,5" strokecolor="#17365d" strokeweight=".16969mm"/>
            <v:line id="_x0000_s1401" alt="" style="position:absolute" from="1426,24" to="2758,24" strokecolor="#17365d" strokeweight=".48pt"/>
            <w10:anchorlock/>
          </v:group>
        </w:pict>
      </w:r>
    </w:p>
    <w:p w:rsidR="006C17CB" w:rsidRDefault="006C17CB">
      <w:pPr>
        <w:pStyle w:val="BodyText"/>
        <w:spacing w:before="13"/>
        <w:rPr>
          <w:rFonts w:ascii="Calibri"/>
          <w:b/>
          <w:sz w:val="24"/>
        </w:rPr>
      </w:pPr>
    </w:p>
    <w:p w:rsidR="006C17CB" w:rsidRDefault="0030091C">
      <w:pPr>
        <w:pStyle w:val="Heading6"/>
        <w:tabs>
          <w:tab w:val="left" w:pos="1938"/>
        </w:tabs>
        <w:ind w:left="805"/>
      </w:pPr>
      <w:r>
        <w:rPr>
          <w:color w:val="003366"/>
        </w:rPr>
        <w:t>NOTE</w:t>
      </w:r>
      <w:r>
        <w:rPr>
          <w:color w:val="003366"/>
          <w:spacing w:val="-1"/>
        </w:rPr>
        <w:t xml:space="preserve"> </w:t>
      </w:r>
      <w:r>
        <w:rPr>
          <w:color w:val="003366"/>
        </w:rPr>
        <w:t>5.</w:t>
      </w:r>
      <w:r>
        <w:rPr>
          <w:color w:val="003366"/>
        </w:rPr>
        <w:tab/>
        <w:t>EMPLOYEE EXPENSES</w:t>
      </w:r>
    </w:p>
    <w:p w:rsidR="006C17CB" w:rsidRDefault="0030091C">
      <w:pPr>
        <w:spacing w:before="198"/>
        <w:ind w:left="805"/>
        <w:rPr>
          <w:rFonts w:ascii="Calibri"/>
          <w:sz w:val="20"/>
        </w:rPr>
      </w:pPr>
      <w:r>
        <w:rPr>
          <w:rFonts w:ascii="Calibri"/>
          <w:color w:val="003366"/>
          <w:sz w:val="20"/>
        </w:rPr>
        <w:t>Employee benefits include:</w:t>
      </w:r>
    </w:p>
    <w:p w:rsidR="006C17CB" w:rsidRDefault="0030091C">
      <w:pPr>
        <w:pStyle w:val="ListParagraph"/>
        <w:numPr>
          <w:ilvl w:val="1"/>
          <w:numId w:val="13"/>
        </w:numPr>
        <w:tabs>
          <w:tab w:val="left" w:pos="1526"/>
        </w:tabs>
        <w:spacing w:before="121" w:line="204" w:lineRule="auto"/>
        <w:ind w:right="1496"/>
        <w:jc w:val="both"/>
        <w:rPr>
          <w:rFonts w:ascii="Calibri"/>
          <w:sz w:val="20"/>
        </w:rPr>
      </w:pPr>
      <w:r>
        <w:rPr>
          <w:rFonts w:ascii="Calibri"/>
          <w:color w:val="003366"/>
          <w:sz w:val="20"/>
        </w:rPr>
        <w:t>short-term employee benefits such as wages and salaries, annual leave loading, and applicable on-costs, if expected to be settled wholly before twelve months after the end of the annual reporting period in which the employees render the related</w:t>
      </w:r>
      <w:r>
        <w:rPr>
          <w:rFonts w:ascii="Calibri"/>
          <w:color w:val="003366"/>
          <w:spacing w:val="-3"/>
          <w:sz w:val="20"/>
        </w:rPr>
        <w:t xml:space="preserve"> </w:t>
      </w:r>
      <w:r>
        <w:rPr>
          <w:rFonts w:ascii="Calibri"/>
          <w:color w:val="003366"/>
          <w:sz w:val="20"/>
        </w:rPr>
        <w:t>services;</w:t>
      </w:r>
    </w:p>
    <w:p w:rsidR="006C17CB" w:rsidRDefault="0030091C">
      <w:pPr>
        <w:pStyle w:val="ListParagraph"/>
        <w:numPr>
          <w:ilvl w:val="1"/>
          <w:numId w:val="13"/>
        </w:numPr>
        <w:tabs>
          <w:tab w:val="left" w:pos="1525"/>
          <w:tab w:val="left" w:pos="1526"/>
        </w:tabs>
        <w:spacing w:before="34" w:line="240" w:lineRule="auto"/>
        <w:rPr>
          <w:rFonts w:ascii="Calibri"/>
          <w:sz w:val="20"/>
        </w:rPr>
      </w:pPr>
      <w:r>
        <w:rPr>
          <w:rFonts w:ascii="Calibri"/>
          <w:color w:val="003366"/>
          <w:sz w:val="20"/>
        </w:rPr>
        <w:t>other</w:t>
      </w:r>
      <w:r>
        <w:rPr>
          <w:rFonts w:ascii="Calibri"/>
          <w:color w:val="003366"/>
          <w:spacing w:val="-4"/>
          <w:sz w:val="20"/>
        </w:rPr>
        <w:t xml:space="preserve"> </w:t>
      </w:r>
      <w:r>
        <w:rPr>
          <w:rFonts w:ascii="Calibri"/>
          <w:color w:val="003366"/>
          <w:sz w:val="20"/>
        </w:rPr>
        <w:t>long-term</w:t>
      </w:r>
      <w:r>
        <w:rPr>
          <w:rFonts w:ascii="Calibri"/>
          <w:color w:val="003366"/>
          <w:spacing w:val="-5"/>
          <w:sz w:val="20"/>
        </w:rPr>
        <w:t xml:space="preserve"> </w:t>
      </w:r>
      <w:r>
        <w:rPr>
          <w:rFonts w:ascii="Calibri"/>
          <w:color w:val="003366"/>
          <w:sz w:val="20"/>
        </w:rPr>
        <w:t>benefits</w:t>
      </w:r>
      <w:r>
        <w:rPr>
          <w:rFonts w:ascii="Calibri"/>
          <w:color w:val="003366"/>
          <w:spacing w:val="-5"/>
          <w:sz w:val="20"/>
        </w:rPr>
        <w:t xml:space="preserve"> </w:t>
      </w:r>
      <w:r>
        <w:rPr>
          <w:rFonts w:ascii="Calibri"/>
          <w:color w:val="003366"/>
          <w:sz w:val="20"/>
        </w:rPr>
        <w:t>such</w:t>
      </w:r>
      <w:r>
        <w:rPr>
          <w:rFonts w:ascii="Calibri"/>
          <w:color w:val="003366"/>
          <w:spacing w:val="-3"/>
          <w:sz w:val="20"/>
        </w:rPr>
        <w:t xml:space="preserve"> </w:t>
      </w:r>
      <w:r>
        <w:rPr>
          <w:rFonts w:ascii="Calibri"/>
          <w:color w:val="003366"/>
          <w:sz w:val="20"/>
        </w:rPr>
        <w:t>as</w:t>
      </w:r>
      <w:r>
        <w:rPr>
          <w:rFonts w:ascii="Calibri"/>
          <w:color w:val="003366"/>
          <w:spacing w:val="-5"/>
          <w:sz w:val="20"/>
        </w:rPr>
        <w:t xml:space="preserve"> </w:t>
      </w:r>
      <w:r>
        <w:rPr>
          <w:rFonts w:ascii="Calibri"/>
          <w:color w:val="003366"/>
          <w:sz w:val="20"/>
        </w:rPr>
        <w:t>long</w:t>
      </w:r>
      <w:r>
        <w:rPr>
          <w:rFonts w:ascii="Calibri"/>
          <w:color w:val="003366"/>
          <w:spacing w:val="-4"/>
          <w:sz w:val="20"/>
        </w:rPr>
        <w:t xml:space="preserve"> </w:t>
      </w:r>
      <w:r>
        <w:rPr>
          <w:rFonts w:ascii="Calibri"/>
          <w:color w:val="003366"/>
          <w:sz w:val="20"/>
        </w:rPr>
        <w:t>service</w:t>
      </w:r>
      <w:r>
        <w:rPr>
          <w:rFonts w:ascii="Calibri"/>
          <w:color w:val="003366"/>
          <w:spacing w:val="-5"/>
          <w:sz w:val="20"/>
        </w:rPr>
        <w:t xml:space="preserve"> </w:t>
      </w:r>
      <w:r>
        <w:rPr>
          <w:rFonts w:ascii="Calibri"/>
          <w:color w:val="003366"/>
          <w:sz w:val="20"/>
        </w:rPr>
        <w:t>leave</w:t>
      </w:r>
      <w:r>
        <w:rPr>
          <w:rFonts w:ascii="Calibri"/>
          <w:color w:val="003366"/>
          <w:spacing w:val="-5"/>
          <w:sz w:val="20"/>
        </w:rPr>
        <w:t xml:space="preserve"> </w:t>
      </w:r>
      <w:r>
        <w:rPr>
          <w:rFonts w:ascii="Calibri"/>
          <w:color w:val="003366"/>
          <w:sz w:val="20"/>
        </w:rPr>
        <w:t>and</w:t>
      </w:r>
      <w:r>
        <w:rPr>
          <w:rFonts w:ascii="Calibri"/>
          <w:color w:val="003366"/>
          <w:spacing w:val="-3"/>
          <w:sz w:val="20"/>
        </w:rPr>
        <w:t xml:space="preserve"> </w:t>
      </w:r>
      <w:r>
        <w:rPr>
          <w:rFonts w:ascii="Calibri"/>
          <w:color w:val="003366"/>
          <w:sz w:val="20"/>
        </w:rPr>
        <w:t>annual</w:t>
      </w:r>
      <w:r>
        <w:rPr>
          <w:rFonts w:ascii="Calibri"/>
          <w:color w:val="003366"/>
          <w:spacing w:val="-4"/>
          <w:sz w:val="20"/>
        </w:rPr>
        <w:t xml:space="preserve"> </w:t>
      </w:r>
      <w:r>
        <w:rPr>
          <w:rFonts w:ascii="Calibri"/>
          <w:color w:val="003366"/>
          <w:sz w:val="20"/>
        </w:rPr>
        <w:t>leave;</w:t>
      </w:r>
      <w:r>
        <w:rPr>
          <w:rFonts w:ascii="Calibri"/>
          <w:color w:val="003366"/>
          <w:spacing w:val="-5"/>
          <w:sz w:val="20"/>
        </w:rPr>
        <w:t xml:space="preserve"> </w:t>
      </w:r>
      <w:r>
        <w:rPr>
          <w:rFonts w:ascii="Calibri"/>
          <w:color w:val="003366"/>
          <w:sz w:val="20"/>
        </w:rPr>
        <w:t>and</w:t>
      </w:r>
    </w:p>
    <w:p w:rsidR="006C17CB" w:rsidRDefault="0030091C">
      <w:pPr>
        <w:pStyle w:val="ListParagraph"/>
        <w:numPr>
          <w:ilvl w:val="1"/>
          <w:numId w:val="13"/>
        </w:numPr>
        <w:tabs>
          <w:tab w:val="left" w:pos="1525"/>
          <w:tab w:val="left" w:pos="1526"/>
        </w:tabs>
        <w:spacing w:before="26" w:line="240" w:lineRule="auto"/>
        <w:rPr>
          <w:rFonts w:ascii="Calibri"/>
          <w:sz w:val="20"/>
        </w:rPr>
      </w:pPr>
      <w:r>
        <w:rPr>
          <w:rFonts w:ascii="Calibri"/>
          <w:color w:val="003366"/>
          <w:sz w:val="20"/>
        </w:rPr>
        <w:t>termination benefits.</w:t>
      </w:r>
    </w:p>
    <w:p w:rsidR="006C17CB" w:rsidRDefault="0030091C">
      <w:pPr>
        <w:spacing w:before="109" w:line="204" w:lineRule="auto"/>
        <w:ind w:left="805" w:right="1412"/>
        <w:rPr>
          <w:rFonts w:ascii="Calibri"/>
          <w:sz w:val="20"/>
        </w:rPr>
      </w:pPr>
      <w:r>
        <w:rPr>
          <w:rFonts w:ascii="Calibri"/>
          <w:color w:val="003366"/>
          <w:sz w:val="20"/>
        </w:rPr>
        <w:t>On-costs include annual leave, long service leave, superannuation and other costs that are incurred when employees take annual leave and long service leave.</w:t>
      </w:r>
    </w:p>
    <w:p w:rsidR="006C17CB" w:rsidRDefault="0030091C">
      <w:pPr>
        <w:spacing w:before="85"/>
        <w:ind w:left="805"/>
        <w:rPr>
          <w:rFonts w:ascii="Calibri"/>
          <w:sz w:val="20"/>
        </w:rPr>
      </w:pPr>
      <w:r>
        <w:rPr>
          <w:rFonts w:ascii="Calibri"/>
          <w:color w:val="003366"/>
          <w:sz w:val="20"/>
        </w:rPr>
        <w:t>(See Note 17: Employee Benefits for accrued wages and salaries, and annual and long service leave).</w:t>
      </w:r>
    </w:p>
    <w:p w:rsidR="006C17CB" w:rsidRDefault="006C17CB">
      <w:pPr>
        <w:pStyle w:val="BodyText"/>
        <w:rPr>
          <w:rFonts w:ascii="Calibri"/>
          <w:sz w:val="11"/>
        </w:rPr>
      </w:pPr>
    </w:p>
    <w:tbl>
      <w:tblPr>
        <w:tblW w:w="0" w:type="auto"/>
        <w:tblInd w:w="755" w:type="dxa"/>
        <w:tblLayout w:type="fixed"/>
        <w:tblCellMar>
          <w:left w:w="0" w:type="dxa"/>
          <w:right w:w="0" w:type="dxa"/>
        </w:tblCellMar>
        <w:tblLook w:val="01E0" w:firstRow="1" w:lastRow="1" w:firstColumn="1" w:lastColumn="1" w:noHBand="0" w:noVBand="0"/>
      </w:tblPr>
      <w:tblGrid>
        <w:gridCol w:w="5214"/>
        <w:gridCol w:w="2514"/>
        <w:gridCol w:w="991"/>
      </w:tblGrid>
      <w:tr w:rsidR="006C17CB">
        <w:trPr>
          <w:trHeight w:val="222"/>
        </w:trPr>
        <w:tc>
          <w:tcPr>
            <w:tcW w:w="5214" w:type="dxa"/>
          </w:tcPr>
          <w:p w:rsidR="006C17CB" w:rsidRDefault="006C17CB">
            <w:pPr>
              <w:pStyle w:val="TableParagraph"/>
              <w:jc w:val="left"/>
              <w:rPr>
                <w:rFonts w:ascii="Times New Roman"/>
                <w:sz w:val="14"/>
              </w:rPr>
            </w:pPr>
          </w:p>
        </w:tc>
        <w:tc>
          <w:tcPr>
            <w:tcW w:w="2514" w:type="dxa"/>
          </w:tcPr>
          <w:p w:rsidR="006C17CB" w:rsidRDefault="0030091C">
            <w:pPr>
              <w:pStyle w:val="TableParagraph"/>
              <w:spacing w:line="202" w:lineRule="exact"/>
              <w:ind w:right="485"/>
              <w:rPr>
                <w:b/>
                <w:sz w:val="20"/>
              </w:rPr>
            </w:pPr>
            <w:r>
              <w:rPr>
                <w:b/>
                <w:color w:val="003366"/>
                <w:w w:val="95"/>
                <w:sz w:val="20"/>
              </w:rPr>
              <w:t>2018</w:t>
            </w:r>
          </w:p>
        </w:tc>
        <w:tc>
          <w:tcPr>
            <w:tcW w:w="991" w:type="dxa"/>
          </w:tcPr>
          <w:p w:rsidR="006C17CB" w:rsidRDefault="0030091C">
            <w:pPr>
              <w:pStyle w:val="TableParagraph"/>
              <w:spacing w:line="202" w:lineRule="exact"/>
              <w:ind w:right="50"/>
              <w:rPr>
                <w:b/>
                <w:sz w:val="20"/>
              </w:rPr>
            </w:pPr>
            <w:r>
              <w:rPr>
                <w:b/>
                <w:color w:val="003366"/>
                <w:w w:val="95"/>
                <w:sz w:val="20"/>
              </w:rPr>
              <w:t>2017</w:t>
            </w:r>
          </w:p>
        </w:tc>
      </w:tr>
      <w:tr w:rsidR="006C17CB">
        <w:trPr>
          <w:trHeight w:val="549"/>
        </w:trPr>
        <w:tc>
          <w:tcPr>
            <w:tcW w:w="5214" w:type="dxa"/>
          </w:tcPr>
          <w:p w:rsidR="006C17CB" w:rsidRDefault="006C17CB">
            <w:pPr>
              <w:pStyle w:val="TableParagraph"/>
              <w:spacing w:before="7"/>
              <w:jc w:val="left"/>
              <w:rPr>
                <w:sz w:val="15"/>
              </w:rPr>
            </w:pPr>
          </w:p>
          <w:p w:rsidR="006C17CB" w:rsidRDefault="0030091C">
            <w:pPr>
              <w:pStyle w:val="TableParagraph"/>
              <w:ind w:left="50"/>
              <w:jc w:val="left"/>
              <w:rPr>
                <w:sz w:val="20"/>
              </w:rPr>
            </w:pPr>
            <w:r>
              <w:rPr>
                <w:color w:val="003366"/>
                <w:sz w:val="20"/>
              </w:rPr>
              <w:t xml:space="preserve">Wages and Salaries </w:t>
            </w:r>
            <w:r>
              <w:rPr>
                <w:color w:val="003366"/>
                <w:sz w:val="20"/>
                <w:vertAlign w:val="superscript"/>
              </w:rPr>
              <w:t>a</w:t>
            </w:r>
          </w:p>
        </w:tc>
        <w:tc>
          <w:tcPr>
            <w:tcW w:w="2514" w:type="dxa"/>
          </w:tcPr>
          <w:p w:rsidR="006C17CB" w:rsidRDefault="0030091C">
            <w:pPr>
              <w:pStyle w:val="TableParagraph"/>
              <w:spacing w:line="225" w:lineRule="exact"/>
              <w:ind w:left="1572"/>
              <w:jc w:val="left"/>
              <w:rPr>
                <w:b/>
                <w:sz w:val="20"/>
              </w:rPr>
            </w:pPr>
            <w:r>
              <w:rPr>
                <w:b/>
                <w:color w:val="003366"/>
                <w:sz w:val="20"/>
              </w:rPr>
              <w:t>$’000</w:t>
            </w:r>
          </w:p>
          <w:p w:rsidR="006C17CB" w:rsidRDefault="0030091C">
            <w:pPr>
              <w:pStyle w:val="TableParagraph"/>
              <w:spacing w:line="287" w:lineRule="exact"/>
              <w:ind w:left="1572"/>
              <w:jc w:val="left"/>
              <w:rPr>
                <w:sz w:val="20"/>
              </w:rPr>
            </w:pPr>
            <w:r>
              <w:rPr>
                <w:color w:val="003366"/>
                <w:sz w:val="20"/>
              </w:rPr>
              <w:t>4,507</w:t>
            </w:r>
          </w:p>
        </w:tc>
        <w:tc>
          <w:tcPr>
            <w:tcW w:w="991" w:type="dxa"/>
          </w:tcPr>
          <w:p w:rsidR="006C17CB" w:rsidRDefault="0030091C">
            <w:pPr>
              <w:pStyle w:val="TableParagraph"/>
              <w:spacing w:line="225" w:lineRule="exact"/>
              <w:ind w:left="484"/>
              <w:jc w:val="left"/>
              <w:rPr>
                <w:b/>
                <w:sz w:val="20"/>
              </w:rPr>
            </w:pPr>
            <w:r>
              <w:rPr>
                <w:b/>
                <w:color w:val="003366"/>
                <w:sz w:val="20"/>
              </w:rPr>
              <w:t>$’000</w:t>
            </w:r>
          </w:p>
          <w:p w:rsidR="006C17CB" w:rsidRDefault="0030091C">
            <w:pPr>
              <w:pStyle w:val="TableParagraph"/>
              <w:spacing w:line="287" w:lineRule="exact"/>
              <w:ind w:left="484"/>
              <w:jc w:val="left"/>
              <w:rPr>
                <w:sz w:val="20"/>
              </w:rPr>
            </w:pPr>
            <w:r>
              <w:rPr>
                <w:color w:val="003366"/>
                <w:sz w:val="20"/>
              </w:rPr>
              <w:t>4,092</w:t>
            </w:r>
          </w:p>
        </w:tc>
      </w:tr>
      <w:tr w:rsidR="006C17CB">
        <w:trPr>
          <w:trHeight w:val="275"/>
        </w:trPr>
        <w:tc>
          <w:tcPr>
            <w:tcW w:w="5214" w:type="dxa"/>
          </w:tcPr>
          <w:p w:rsidR="006C17CB" w:rsidRDefault="0030091C">
            <w:pPr>
              <w:pStyle w:val="TableParagraph"/>
              <w:spacing w:line="245" w:lineRule="exact"/>
              <w:ind w:left="50"/>
              <w:jc w:val="left"/>
              <w:rPr>
                <w:sz w:val="20"/>
              </w:rPr>
            </w:pPr>
            <w:r>
              <w:rPr>
                <w:color w:val="003366"/>
                <w:sz w:val="20"/>
              </w:rPr>
              <w:t>Annual Leave Expense</w:t>
            </w:r>
          </w:p>
        </w:tc>
        <w:tc>
          <w:tcPr>
            <w:tcW w:w="2514" w:type="dxa"/>
          </w:tcPr>
          <w:p w:rsidR="006C17CB" w:rsidRDefault="0030091C">
            <w:pPr>
              <w:pStyle w:val="TableParagraph"/>
              <w:spacing w:line="245" w:lineRule="exact"/>
              <w:ind w:right="485"/>
              <w:rPr>
                <w:sz w:val="20"/>
              </w:rPr>
            </w:pPr>
            <w:r>
              <w:rPr>
                <w:color w:val="003366"/>
                <w:w w:val="95"/>
                <w:sz w:val="20"/>
              </w:rPr>
              <w:t>380</w:t>
            </w:r>
          </w:p>
        </w:tc>
        <w:tc>
          <w:tcPr>
            <w:tcW w:w="991" w:type="dxa"/>
          </w:tcPr>
          <w:p w:rsidR="006C17CB" w:rsidRDefault="0030091C">
            <w:pPr>
              <w:pStyle w:val="TableParagraph"/>
              <w:spacing w:line="245" w:lineRule="exact"/>
              <w:ind w:right="51"/>
              <w:rPr>
                <w:sz w:val="20"/>
              </w:rPr>
            </w:pPr>
            <w:r>
              <w:rPr>
                <w:color w:val="003366"/>
                <w:w w:val="95"/>
                <w:sz w:val="20"/>
              </w:rPr>
              <w:t>445</w:t>
            </w:r>
          </w:p>
        </w:tc>
      </w:tr>
      <w:tr w:rsidR="006C17CB">
        <w:trPr>
          <w:trHeight w:val="293"/>
        </w:trPr>
        <w:tc>
          <w:tcPr>
            <w:tcW w:w="5214" w:type="dxa"/>
          </w:tcPr>
          <w:p w:rsidR="006C17CB" w:rsidRDefault="0030091C">
            <w:pPr>
              <w:pStyle w:val="TableParagraph"/>
              <w:spacing w:line="255" w:lineRule="exact"/>
              <w:ind w:left="50"/>
              <w:jc w:val="left"/>
              <w:rPr>
                <w:sz w:val="20"/>
              </w:rPr>
            </w:pPr>
            <w:r>
              <w:rPr>
                <w:color w:val="003366"/>
                <w:sz w:val="20"/>
              </w:rPr>
              <w:t xml:space="preserve">Long Service Leave Expense </w:t>
            </w:r>
            <w:r>
              <w:rPr>
                <w:color w:val="003366"/>
                <w:sz w:val="20"/>
                <w:vertAlign w:val="superscript"/>
              </w:rPr>
              <w:t>b</w:t>
            </w:r>
          </w:p>
        </w:tc>
        <w:tc>
          <w:tcPr>
            <w:tcW w:w="2514" w:type="dxa"/>
          </w:tcPr>
          <w:p w:rsidR="006C17CB" w:rsidRDefault="0030091C">
            <w:pPr>
              <w:pStyle w:val="TableParagraph"/>
              <w:spacing w:line="255" w:lineRule="exact"/>
              <w:ind w:right="485"/>
              <w:rPr>
                <w:sz w:val="20"/>
              </w:rPr>
            </w:pPr>
            <w:r>
              <w:rPr>
                <w:color w:val="003366"/>
                <w:w w:val="95"/>
                <w:sz w:val="20"/>
              </w:rPr>
              <w:t>138</w:t>
            </w:r>
          </w:p>
        </w:tc>
        <w:tc>
          <w:tcPr>
            <w:tcW w:w="991" w:type="dxa"/>
          </w:tcPr>
          <w:p w:rsidR="006C17CB" w:rsidRDefault="0030091C">
            <w:pPr>
              <w:pStyle w:val="TableParagraph"/>
              <w:spacing w:line="255" w:lineRule="exact"/>
              <w:ind w:right="48"/>
              <w:rPr>
                <w:sz w:val="20"/>
              </w:rPr>
            </w:pPr>
            <w:r>
              <w:rPr>
                <w:color w:val="003366"/>
                <w:w w:val="95"/>
                <w:sz w:val="20"/>
              </w:rPr>
              <w:t>65</w:t>
            </w:r>
          </w:p>
        </w:tc>
      </w:tr>
      <w:tr w:rsidR="006C17CB">
        <w:trPr>
          <w:trHeight w:val="241"/>
        </w:trPr>
        <w:tc>
          <w:tcPr>
            <w:tcW w:w="5214" w:type="dxa"/>
          </w:tcPr>
          <w:p w:rsidR="006C17CB" w:rsidRDefault="0030091C">
            <w:pPr>
              <w:pStyle w:val="TableParagraph"/>
              <w:spacing w:line="221" w:lineRule="exact"/>
              <w:ind w:left="50"/>
              <w:jc w:val="left"/>
              <w:rPr>
                <w:sz w:val="20"/>
              </w:rPr>
            </w:pPr>
            <w:r>
              <w:rPr>
                <w:color w:val="003366"/>
                <w:sz w:val="20"/>
              </w:rPr>
              <w:t>Workers’ Compensation Insurance Premium</w:t>
            </w:r>
          </w:p>
        </w:tc>
        <w:tc>
          <w:tcPr>
            <w:tcW w:w="2514" w:type="dxa"/>
          </w:tcPr>
          <w:p w:rsidR="006C17CB" w:rsidRDefault="0030091C">
            <w:pPr>
              <w:pStyle w:val="TableParagraph"/>
              <w:spacing w:line="221" w:lineRule="exact"/>
              <w:ind w:right="483"/>
              <w:rPr>
                <w:sz w:val="20"/>
              </w:rPr>
            </w:pPr>
            <w:r>
              <w:rPr>
                <w:color w:val="003366"/>
                <w:w w:val="95"/>
                <w:sz w:val="20"/>
              </w:rPr>
              <w:t>28</w:t>
            </w:r>
          </w:p>
        </w:tc>
        <w:tc>
          <w:tcPr>
            <w:tcW w:w="991" w:type="dxa"/>
          </w:tcPr>
          <w:p w:rsidR="006C17CB" w:rsidRDefault="0030091C">
            <w:pPr>
              <w:pStyle w:val="TableParagraph"/>
              <w:spacing w:line="221" w:lineRule="exact"/>
              <w:ind w:right="48"/>
              <w:rPr>
                <w:sz w:val="20"/>
              </w:rPr>
            </w:pPr>
            <w:r>
              <w:rPr>
                <w:color w:val="003366"/>
                <w:w w:val="95"/>
                <w:sz w:val="20"/>
              </w:rPr>
              <w:t>32</w:t>
            </w:r>
          </w:p>
        </w:tc>
      </w:tr>
    </w:tbl>
    <w:p w:rsidR="006C17CB" w:rsidRDefault="0030091C">
      <w:pPr>
        <w:tabs>
          <w:tab w:val="left" w:pos="6673"/>
          <w:tab w:val="left" w:pos="7796"/>
          <w:tab w:val="left" w:pos="9222"/>
        </w:tabs>
        <w:ind w:left="805"/>
        <w:rPr>
          <w:rFonts w:ascii="Calibri"/>
          <w:sz w:val="20"/>
        </w:rPr>
      </w:pPr>
      <w:r>
        <w:rPr>
          <w:rFonts w:ascii="Calibri"/>
          <w:color w:val="003366"/>
          <w:sz w:val="20"/>
        </w:rPr>
        <w:t>Other Employee Benefits</w:t>
      </w:r>
      <w:r>
        <w:rPr>
          <w:rFonts w:ascii="Calibri"/>
          <w:color w:val="003366"/>
          <w:spacing w:val="-8"/>
          <w:sz w:val="20"/>
        </w:rPr>
        <w:t xml:space="preserve"> </w:t>
      </w:r>
      <w:r>
        <w:rPr>
          <w:rFonts w:ascii="Calibri"/>
          <w:color w:val="003366"/>
          <w:sz w:val="20"/>
        </w:rPr>
        <w:t>and</w:t>
      </w:r>
      <w:r>
        <w:rPr>
          <w:rFonts w:ascii="Calibri"/>
          <w:color w:val="003366"/>
          <w:spacing w:val="-1"/>
          <w:sz w:val="20"/>
        </w:rPr>
        <w:t xml:space="preserve"> </w:t>
      </w:r>
      <w:r>
        <w:rPr>
          <w:rFonts w:ascii="Calibri"/>
          <w:color w:val="003366"/>
          <w:sz w:val="20"/>
        </w:rPr>
        <w:t>On-Costs</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61</w:t>
      </w:r>
      <w:r>
        <w:rPr>
          <w:rFonts w:ascii="Calibri"/>
          <w:color w:val="003366"/>
          <w:sz w:val="20"/>
          <w:u w:val="single" w:color="003366"/>
        </w:rPr>
        <w:tab/>
        <w:t>61</w:t>
      </w:r>
      <w:r>
        <w:rPr>
          <w:rFonts w:ascii="Calibri"/>
          <w:color w:val="003366"/>
          <w:spacing w:val="16"/>
          <w:sz w:val="20"/>
          <w:u w:val="single" w:color="003366"/>
        </w:rPr>
        <w:t xml:space="preserve"> </w:t>
      </w:r>
    </w:p>
    <w:p w:rsidR="006C17CB" w:rsidRDefault="0030091C">
      <w:pPr>
        <w:tabs>
          <w:tab w:val="left" w:pos="7542"/>
          <w:tab w:val="left" w:pos="8967"/>
        </w:tabs>
        <w:spacing w:before="2"/>
        <w:ind w:left="805"/>
        <w:rPr>
          <w:rFonts w:ascii="Calibri"/>
          <w:b/>
          <w:sz w:val="20"/>
        </w:rPr>
      </w:pPr>
      <w:r>
        <w:rPr>
          <w:rFonts w:ascii="Calibri"/>
          <w:b/>
          <w:color w:val="003366"/>
          <w:sz w:val="20"/>
        </w:rPr>
        <w:t>Total</w:t>
      </w:r>
      <w:r>
        <w:rPr>
          <w:rFonts w:ascii="Calibri"/>
          <w:b/>
          <w:color w:val="003366"/>
          <w:spacing w:val="-4"/>
          <w:sz w:val="20"/>
        </w:rPr>
        <w:t xml:space="preserve"> </w:t>
      </w:r>
      <w:r>
        <w:rPr>
          <w:rFonts w:ascii="Calibri"/>
          <w:b/>
          <w:color w:val="003366"/>
          <w:sz w:val="20"/>
        </w:rPr>
        <w:t>Employee Expenses</w:t>
      </w:r>
      <w:r>
        <w:rPr>
          <w:rFonts w:ascii="Calibri"/>
          <w:b/>
          <w:color w:val="003366"/>
          <w:sz w:val="20"/>
        </w:rPr>
        <w:tab/>
        <w:t>5,114</w:t>
      </w:r>
      <w:r>
        <w:rPr>
          <w:rFonts w:ascii="Calibri"/>
          <w:b/>
          <w:color w:val="003366"/>
          <w:sz w:val="20"/>
        </w:rPr>
        <w:tab/>
        <w:t>4,695</w:t>
      </w:r>
    </w:p>
    <w:p w:rsidR="006C17CB" w:rsidRDefault="00FE24A7">
      <w:pPr>
        <w:pStyle w:val="BodyText"/>
        <w:spacing w:line="29" w:lineRule="exact"/>
        <w:ind w:left="6668"/>
        <w:rPr>
          <w:rFonts w:ascii="Calibri"/>
          <w:sz w:val="2"/>
        </w:rPr>
      </w:pPr>
      <w:r>
        <w:rPr>
          <w:rFonts w:ascii="Calibri"/>
          <w:sz w:val="2"/>
        </w:rPr>
      </w:r>
      <w:r>
        <w:rPr>
          <w:rFonts w:ascii="Calibri"/>
          <w:sz w:val="2"/>
        </w:rPr>
        <w:pict>
          <v:group id="_x0000_s1388" alt="" style="width:142.95pt;height:1.45pt;mso-position-horizontal-relative:char;mso-position-vertical-relative:line" coordsize="2859,29">
            <v:line id="_x0000_s1389" alt="" style="position:absolute" from="0,5" to="1430,5" strokecolor="#036" strokeweight=".48pt"/>
            <v:line id="_x0000_s1390" alt="" style="position:absolute" from="0,24" to="1430,24" strokecolor="#036" strokeweight=".48pt"/>
            <v:rect id="_x0000_s1391" alt="" style="position:absolute;left:1430;width:29;height:10" fillcolor="#036" stroked="f"/>
            <v:rect id="_x0000_s1392" alt="" style="position:absolute;left:1430;top:19;width:29;height:10" fillcolor="#036" stroked="f"/>
            <v:line id="_x0000_s1393" alt="" style="position:absolute" from="1459,5" to="2858,5" strokecolor="#036" strokeweight=".48pt"/>
            <v:line id="_x0000_s1394" alt="" style="position:absolute" from="1459,24" to="2858,24" strokecolor="#036" strokeweight=".48pt"/>
            <w10:anchorlock/>
          </v:group>
        </w:pict>
      </w:r>
    </w:p>
    <w:p w:rsidR="006C17CB" w:rsidRDefault="006C17CB">
      <w:pPr>
        <w:pStyle w:val="BodyText"/>
        <w:spacing w:before="1"/>
        <w:rPr>
          <w:rFonts w:ascii="Calibri"/>
          <w:b/>
          <w:sz w:val="20"/>
        </w:rPr>
      </w:pPr>
    </w:p>
    <w:p w:rsidR="006C17CB" w:rsidRDefault="0030091C">
      <w:pPr>
        <w:pStyle w:val="ListParagraph"/>
        <w:numPr>
          <w:ilvl w:val="0"/>
          <w:numId w:val="12"/>
        </w:numPr>
        <w:tabs>
          <w:tab w:val="left" w:pos="1165"/>
          <w:tab w:val="left" w:pos="1166"/>
        </w:tabs>
        <w:spacing w:before="58" w:line="201" w:lineRule="auto"/>
        <w:ind w:right="1502"/>
        <w:rPr>
          <w:rFonts w:ascii="Calibri"/>
          <w:sz w:val="18"/>
        </w:rPr>
      </w:pPr>
      <w:r>
        <w:rPr>
          <w:rFonts w:ascii="Calibri"/>
          <w:color w:val="003366"/>
          <w:sz w:val="18"/>
        </w:rPr>
        <w:t>The</w:t>
      </w:r>
      <w:r>
        <w:rPr>
          <w:rFonts w:ascii="Calibri"/>
          <w:color w:val="003366"/>
          <w:spacing w:val="-13"/>
          <w:sz w:val="18"/>
        </w:rPr>
        <w:t xml:space="preserve"> </w:t>
      </w:r>
      <w:r>
        <w:rPr>
          <w:rFonts w:ascii="Calibri"/>
          <w:color w:val="003366"/>
          <w:sz w:val="18"/>
        </w:rPr>
        <w:t>increase</w:t>
      </w:r>
      <w:r>
        <w:rPr>
          <w:rFonts w:ascii="Calibri"/>
          <w:color w:val="003366"/>
          <w:spacing w:val="-13"/>
          <w:sz w:val="18"/>
        </w:rPr>
        <w:t xml:space="preserve"> </w:t>
      </w:r>
      <w:r>
        <w:rPr>
          <w:rFonts w:ascii="Calibri"/>
          <w:color w:val="003366"/>
          <w:sz w:val="18"/>
        </w:rPr>
        <w:t>in</w:t>
      </w:r>
      <w:r>
        <w:rPr>
          <w:rFonts w:ascii="Calibri"/>
          <w:color w:val="003366"/>
          <w:spacing w:val="-13"/>
          <w:sz w:val="18"/>
        </w:rPr>
        <w:t xml:space="preserve"> </w:t>
      </w:r>
      <w:r>
        <w:rPr>
          <w:rFonts w:ascii="Calibri"/>
          <w:color w:val="003366"/>
          <w:sz w:val="18"/>
        </w:rPr>
        <w:t>wages</w:t>
      </w:r>
      <w:r>
        <w:rPr>
          <w:rFonts w:ascii="Calibri"/>
          <w:color w:val="003366"/>
          <w:spacing w:val="-13"/>
          <w:sz w:val="18"/>
        </w:rPr>
        <w:t xml:space="preserve"> </w:t>
      </w:r>
      <w:r>
        <w:rPr>
          <w:rFonts w:ascii="Calibri"/>
          <w:color w:val="003366"/>
          <w:sz w:val="18"/>
        </w:rPr>
        <w:t>and</w:t>
      </w:r>
      <w:r>
        <w:rPr>
          <w:rFonts w:ascii="Calibri"/>
          <w:color w:val="003366"/>
          <w:spacing w:val="-13"/>
          <w:sz w:val="18"/>
        </w:rPr>
        <w:t xml:space="preserve"> </w:t>
      </w:r>
      <w:r>
        <w:rPr>
          <w:rFonts w:ascii="Calibri"/>
          <w:color w:val="003366"/>
          <w:sz w:val="18"/>
        </w:rPr>
        <w:t>salaries</w:t>
      </w:r>
      <w:r>
        <w:rPr>
          <w:rFonts w:ascii="Calibri"/>
          <w:color w:val="003366"/>
          <w:spacing w:val="-10"/>
          <w:sz w:val="18"/>
        </w:rPr>
        <w:t xml:space="preserve"> </w:t>
      </w:r>
      <w:r>
        <w:rPr>
          <w:rFonts w:ascii="Calibri"/>
          <w:color w:val="003366"/>
          <w:sz w:val="18"/>
        </w:rPr>
        <w:t>was</w:t>
      </w:r>
      <w:r>
        <w:rPr>
          <w:rFonts w:ascii="Calibri"/>
          <w:color w:val="003366"/>
          <w:spacing w:val="-13"/>
          <w:sz w:val="18"/>
        </w:rPr>
        <w:t xml:space="preserve"> </w:t>
      </w:r>
      <w:r>
        <w:rPr>
          <w:rFonts w:ascii="Calibri"/>
          <w:color w:val="003366"/>
          <w:sz w:val="18"/>
        </w:rPr>
        <w:t>mainly</w:t>
      </w:r>
      <w:r>
        <w:rPr>
          <w:rFonts w:ascii="Calibri"/>
          <w:color w:val="003366"/>
          <w:spacing w:val="-12"/>
          <w:sz w:val="18"/>
        </w:rPr>
        <w:t xml:space="preserve"> </w:t>
      </w:r>
      <w:r>
        <w:rPr>
          <w:rFonts w:ascii="Calibri"/>
          <w:color w:val="003366"/>
          <w:sz w:val="18"/>
        </w:rPr>
        <w:t>due</w:t>
      </w:r>
      <w:r>
        <w:rPr>
          <w:rFonts w:ascii="Calibri"/>
          <w:color w:val="003366"/>
          <w:spacing w:val="-13"/>
          <w:sz w:val="18"/>
        </w:rPr>
        <w:t xml:space="preserve"> </w:t>
      </w:r>
      <w:r>
        <w:rPr>
          <w:rFonts w:ascii="Calibri"/>
          <w:color w:val="003366"/>
          <w:sz w:val="18"/>
        </w:rPr>
        <w:t>to</w:t>
      </w:r>
      <w:r>
        <w:rPr>
          <w:rFonts w:ascii="Calibri"/>
          <w:color w:val="003366"/>
          <w:spacing w:val="-11"/>
          <w:sz w:val="18"/>
        </w:rPr>
        <w:t xml:space="preserve"> </w:t>
      </w:r>
      <w:r>
        <w:rPr>
          <w:rFonts w:ascii="Calibri"/>
          <w:color w:val="003366"/>
          <w:sz w:val="18"/>
        </w:rPr>
        <w:t>the</w:t>
      </w:r>
      <w:r>
        <w:rPr>
          <w:rFonts w:ascii="Calibri"/>
          <w:color w:val="003366"/>
          <w:spacing w:val="-13"/>
          <w:sz w:val="18"/>
        </w:rPr>
        <w:t xml:space="preserve"> </w:t>
      </w:r>
      <w:r>
        <w:rPr>
          <w:rFonts w:ascii="Calibri"/>
          <w:color w:val="003366"/>
          <w:sz w:val="18"/>
        </w:rPr>
        <w:t>full</w:t>
      </w:r>
      <w:r>
        <w:rPr>
          <w:rFonts w:ascii="Calibri"/>
          <w:color w:val="003366"/>
          <w:spacing w:val="-13"/>
          <w:sz w:val="18"/>
        </w:rPr>
        <w:t xml:space="preserve"> </w:t>
      </w:r>
      <w:r>
        <w:rPr>
          <w:rFonts w:ascii="Calibri"/>
          <w:color w:val="003366"/>
          <w:sz w:val="18"/>
        </w:rPr>
        <w:t>year</w:t>
      </w:r>
      <w:r>
        <w:rPr>
          <w:rFonts w:ascii="Calibri"/>
          <w:color w:val="003366"/>
          <w:spacing w:val="-10"/>
          <w:sz w:val="18"/>
        </w:rPr>
        <w:t xml:space="preserve"> </w:t>
      </w:r>
      <w:r>
        <w:rPr>
          <w:rFonts w:ascii="Calibri"/>
          <w:color w:val="003366"/>
          <w:sz w:val="18"/>
        </w:rPr>
        <w:t>impact</w:t>
      </w:r>
      <w:r>
        <w:rPr>
          <w:rFonts w:ascii="Calibri"/>
          <w:color w:val="003366"/>
          <w:spacing w:val="-12"/>
          <w:sz w:val="18"/>
        </w:rPr>
        <w:t xml:space="preserve"> </w:t>
      </w:r>
      <w:r>
        <w:rPr>
          <w:rFonts w:ascii="Calibri"/>
          <w:color w:val="003366"/>
          <w:sz w:val="18"/>
        </w:rPr>
        <w:t>of</w:t>
      </w:r>
      <w:r>
        <w:rPr>
          <w:rFonts w:ascii="Calibri"/>
          <w:color w:val="003366"/>
          <w:spacing w:val="-12"/>
          <w:sz w:val="18"/>
        </w:rPr>
        <w:t xml:space="preserve"> </w:t>
      </w:r>
      <w:r>
        <w:rPr>
          <w:rFonts w:ascii="Calibri"/>
          <w:color w:val="003366"/>
          <w:sz w:val="18"/>
        </w:rPr>
        <w:t>the</w:t>
      </w:r>
      <w:r>
        <w:rPr>
          <w:rFonts w:ascii="Calibri"/>
          <w:color w:val="003366"/>
          <w:spacing w:val="-13"/>
          <w:sz w:val="18"/>
        </w:rPr>
        <w:t xml:space="preserve"> </w:t>
      </w:r>
      <w:r>
        <w:rPr>
          <w:rFonts w:ascii="Calibri"/>
          <w:color w:val="003366"/>
          <w:sz w:val="18"/>
        </w:rPr>
        <w:t>additional</w:t>
      </w:r>
      <w:r>
        <w:rPr>
          <w:rFonts w:ascii="Calibri"/>
          <w:color w:val="003366"/>
          <w:spacing w:val="-13"/>
          <w:sz w:val="18"/>
        </w:rPr>
        <w:t xml:space="preserve"> </w:t>
      </w:r>
      <w:r>
        <w:rPr>
          <w:rFonts w:ascii="Calibri"/>
          <w:color w:val="003366"/>
          <w:sz w:val="18"/>
        </w:rPr>
        <w:t>administrative</w:t>
      </w:r>
      <w:r>
        <w:rPr>
          <w:rFonts w:ascii="Calibri"/>
          <w:color w:val="003366"/>
          <w:spacing w:val="-13"/>
          <w:sz w:val="18"/>
        </w:rPr>
        <w:t xml:space="preserve"> </w:t>
      </w:r>
      <w:r>
        <w:rPr>
          <w:rFonts w:ascii="Calibri"/>
          <w:color w:val="003366"/>
          <w:sz w:val="18"/>
        </w:rPr>
        <w:t>resources provided to the Office following the expansion of the Assembly from 17 to 25</w:t>
      </w:r>
      <w:r>
        <w:rPr>
          <w:rFonts w:ascii="Calibri"/>
          <w:color w:val="003366"/>
          <w:spacing w:val="-11"/>
          <w:sz w:val="18"/>
        </w:rPr>
        <w:t xml:space="preserve"> </w:t>
      </w:r>
      <w:r>
        <w:rPr>
          <w:rFonts w:ascii="Calibri"/>
          <w:color w:val="003366"/>
          <w:sz w:val="18"/>
        </w:rPr>
        <w:t>members.</w:t>
      </w:r>
    </w:p>
    <w:p w:rsidR="006C17CB" w:rsidRDefault="0030091C">
      <w:pPr>
        <w:pStyle w:val="ListParagraph"/>
        <w:numPr>
          <w:ilvl w:val="0"/>
          <w:numId w:val="12"/>
        </w:numPr>
        <w:tabs>
          <w:tab w:val="left" w:pos="1165"/>
          <w:tab w:val="left" w:pos="1166"/>
        </w:tabs>
        <w:spacing w:before="123" w:line="201" w:lineRule="auto"/>
        <w:ind w:right="1499"/>
        <w:rPr>
          <w:rFonts w:ascii="Calibri"/>
          <w:sz w:val="18"/>
        </w:rPr>
      </w:pPr>
      <w:r>
        <w:rPr>
          <w:rFonts w:ascii="Calibri"/>
          <w:color w:val="003366"/>
          <w:sz w:val="18"/>
        </w:rPr>
        <w:t>The increase in the long service leave expense is largely due to the recruitment of staff members with significant long service leave balances from prior service with other Government</w:t>
      </w:r>
      <w:r>
        <w:rPr>
          <w:rFonts w:ascii="Calibri"/>
          <w:color w:val="003366"/>
          <w:spacing w:val="-9"/>
          <w:sz w:val="18"/>
        </w:rPr>
        <w:t xml:space="preserve"> </w:t>
      </w:r>
      <w:r>
        <w:rPr>
          <w:rFonts w:ascii="Calibri"/>
          <w:color w:val="003366"/>
          <w:sz w:val="18"/>
        </w:rPr>
        <w:t>organisations.</w:t>
      </w:r>
    </w:p>
    <w:p w:rsidR="006C17CB" w:rsidRDefault="006C17CB">
      <w:pPr>
        <w:spacing w:line="201" w:lineRule="auto"/>
        <w:rPr>
          <w:rFonts w:ascii="Calibri"/>
          <w:sz w:val="18"/>
        </w:rPr>
        <w:sectPr w:rsidR="006C17CB">
          <w:type w:val="continuous"/>
          <w:pgSz w:w="11910" w:h="16840"/>
          <w:pgMar w:top="1580" w:right="0" w:bottom="280" w:left="980" w:header="720" w:footer="720" w:gutter="0"/>
          <w:cols w:space="720"/>
        </w:sectPr>
      </w:pPr>
    </w:p>
    <w:p w:rsidR="006C17CB" w:rsidRDefault="006C17CB">
      <w:pPr>
        <w:pStyle w:val="BodyText"/>
        <w:spacing w:before="9"/>
        <w:rPr>
          <w:rFonts w:ascii="Calibri"/>
          <w:sz w:val="21"/>
        </w:rPr>
      </w:pPr>
    </w:p>
    <w:p w:rsidR="006C17CB" w:rsidRDefault="0030091C">
      <w:pPr>
        <w:pStyle w:val="Heading6"/>
        <w:spacing w:line="345" w:lineRule="exact"/>
        <w:ind w:left="805"/>
        <w:jc w:val="both"/>
      </w:pPr>
      <w:r>
        <w:rPr>
          <w:color w:val="003366"/>
        </w:rPr>
        <w:t>NOTE 6. SUPERANNUATION EXPENSES</w:t>
      </w:r>
    </w:p>
    <w:p w:rsidR="006C17CB" w:rsidRDefault="006C17CB">
      <w:pPr>
        <w:pStyle w:val="BodyText"/>
        <w:spacing w:before="14"/>
        <w:rPr>
          <w:rFonts w:ascii="Calibri"/>
          <w:b/>
          <w:sz w:val="15"/>
        </w:rPr>
      </w:pPr>
    </w:p>
    <w:p w:rsidR="006C17CB" w:rsidRDefault="0030091C">
      <w:pPr>
        <w:spacing w:line="204" w:lineRule="auto"/>
        <w:ind w:left="805" w:right="1549"/>
        <w:jc w:val="both"/>
        <w:rPr>
          <w:rFonts w:ascii="Calibri"/>
          <w:sz w:val="20"/>
        </w:rPr>
      </w:pPr>
      <w:r>
        <w:rPr>
          <w:rFonts w:ascii="Calibri"/>
          <w:color w:val="003366"/>
          <w:sz w:val="20"/>
        </w:rPr>
        <w:t>Employees of the Office have different superannuation arrangements depending on the type of superannuation</w:t>
      </w:r>
      <w:r>
        <w:rPr>
          <w:rFonts w:ascii="Calibri"/>
          <w:color w:val="003366"/>
          <w:spacing w:val="-7"/>
          <w:sz w:val="20"/>
        </w:rPr>
        <w:t xml:space="preserve"> </w:t>
      </w:r>
      <w:r>
        <w:rPr>
          <w:rFonts w:ascii="Calibri"/>
          <w:color w:val="003366"/>
          <w:sz w:val="20"/>
        </w:rPr>
        <w:t>scheme</w:t>
      </w:r>
      <w:r>
        <w:rPr>
          <w:rFonts w:ascii="Calibri"/>
          <w:color w:val="003366"/>
          <w:spacing w:val="-8"/>
          <w:sz w:val="20"/>
        </w:rPr>
        <w:t xml:space="preserve"> </w:t>
      </w:r>
      <w:r>
        <w:rPr>
          <w:rFonts w:ascii="Calibri"/>
          <w:color w:val="003366"/>
          <w:sz w:val="20"/>
        </w:rPr>
        <w:t>available</w:t>
      </w:r>
      <w:r>
        <w:rPr>
          <w:rFonts w:ascii="Calibri"/>
          <w:color w:val="003366"/>
          <w:spacing w:val="-8"/>
          <w:sz w:val="20"/>
        </w:rPr>
        <w:t xml:space="preserve"> </w:t>
      </w:r>
      <w:r>
        <w:rPr>
          <w:rFonts w:ascii="Calibri"/>
          <w:color w:val="003366"/>
          <w:sz w:val="20"/>
        </w:rPr>
        <w:t>at</w:t>
      </w:r>
      <w:r>
        <w:rPr>
          <w:rFonts w:ascii="Calibri"/>
          <w:color w:val="003366"/>
          <w:spacing w:val="-7"/>
          <w:sz w:val="20"/>
        </w:rPr>
        <w:t xml:space="preserve"> </w:t>
      </w:r>
      <w:r>
        <w:rPr>
          <w:rFonts w:ascii="Calibri"/>
          <w:color w:val="003366"/>
          <w:sz w:val="20"/>
        </w:rPr>
        <w:t>the</w:t>
      </w:r>
      <w:r>
        <w:rPr>
          <w:rFonts w:ascii="Calibri"/>
          <w:color w:val="003366"/>
          <w:spacing w:val="-8"/>
          <w:sz w:val="20"/>
        </w:rPr>
        <w:t xml:space="preserve"> </w:t>
      </w:r>
      <w:r>
        <w:rPr>
          <w:rFonts w:ascii="Calibri"/>
          <w:color w:val="003366"/>
          <w:sz w:val="20"/>
        </w:rPr>
        <w:t>time</w:t>
      </w:r>
      <w:r>
        <w:rPr>
          <w:rFonts w:ascii="Calibri"/>
          <w:color w:val="003366"/>
          <w:spacing w:val="-8"/>
          <w:sz w:val="20"/>
        </w:rPr>
        <w:t xml:space="preserve"> </w:t>
      </w:r>
      <w:r>
        <w:rPr>
          <w:rFonts w:ascii="Calibri"/>
          <w:color w:val="003366"/>
          <w:sz w:val="20"/>
        </w:rPr>
        <w:t>of</w:t>
      </w:r>
      <w:r>
        <w:rPr>
          <w:rFonts w:ascii="Calibri"/>
          <w:color w:val="003366"/>
          <w:spacing w:val="-8"/>
          <w:sz w:val="20"/>
        </w:rPr>
        <w:t xml:space="preserve"> </w:t>
      </w:r>
      <w:r>
        <w:rPr>
          <w:rFonts w:ascii="Calibri"/>
          <w:color w:val="003366"/>
          <w:sz w:val="20"/>
        </w:rPr>
        <w:t>commencing</w:t>
      </w:r>
      <w:r>
        <w:rPr>
          <w:rFonts w:ascii="Calibri"/>
          <w:color w:val="003366"/>
          <w:spacing w:val="-8"/>
          <w:sz w:val="20"/>
        </w:rPr>
        <w:t xml:space="preserve"> </w:t>
      </w:r>
      <w:r>
        <w:rPr>
          <w:rFonts w:ascii="Calibri"/>
          <w:color w:val="003366"/>
          <w:sz w:val="20"/>
        </w:rPr>
        <w:t>employment,</w:t>
      </w:r>
      <w:r>
        <w:rPr>
          <w:rFonts w:ascii="Calibri"/>
          <w:color w:val="003366"/>
          <w:spacing w:val="-7"/>
          <w:sz w:val="20"/>
        </w:rPr>
        <w:t xml:space="preserve"> </w:t>
      </w:r>
      <w:r>
        <w:rPr>
          <w:rFonts w:ascii="Calibri"/>
          <w:color w:val="003366"/>
          <w:sz w:val="20"/>
        </w:rPr>
        <w:t>including</w:t>
      </w:r>
      <w:r>
        <w:rPr>
          <w:rFonts w:ascii="Calibri"/>
          <w:color w:val="003366"/>
          <w:spacing w:val="-8"/>
          <w:sz w:val="20"/>
        </w:rPr>
        <w:t xml:space="preserve"> </w:t>
      </w:r>
      <w:r>
        <w:rPr>
          <w:rFonts w:ascii="Calibri"/>
          <w:color w:val="003366"/>
          <w:sz w:val="20"/>
        </w:rPr>
        <w:t>both</w:t>
      </w:r>
      <w:r>
        <w:rPr>
          <w:rFonts w:ascii="Calibri"/>
          <w:color w:val="003366"/>
          <w:spacing w:val="-7"/>
          <w:sz w:val="20"/>
        </w:rPr>
        <w:t xml:space="preserve"> </w:t>
      </w:r>
      <w:r>
        <w:rPr>
          <w:rFonts w:ascii="Calibri"/>
          <w:color w:val="003366"/>
          <w:sz w:val="20"/>
        </w:rPr>
        <w:t>defined</w:t>
      </w:r>
      <w:r>
        <w:rPr>
          <w:rFonts w:ascii="Calibri"/>
          <w:color w:val="003366"/>
          <w:spacing w:val="-7"/>
          <w:sz w:val="20"/>
        </w:rPr>
        <w:t xml:space="preserve"> </w:t>
      </w:r>
      <w:r>
        <w:rPr>
          <w:rFonts w:ascii="Calibri"/>
          <w:color w:val="003366"/>
          <w:sz w:val="20"/>
        </w:rPr>
        <w:t>benefit and defined contribution superannuation scheme arrangements.</w:t>
      </w:r>
    </w:p>
    <w:p w:rsidR="006C17CB" w:rsidRDefault="0030091C">
      <w:pPr>
        <w:spacing w:before="117" w:line="204" w:lineRule="auto"/>
        <w:ind w:left="805" w:right="1546"/>
        <w:jc w:val="both"/>
        <w:rPr>
          <w:rFonts w:ascii="Calibri"/>
          <w:sz w:val="20"/>
        </w:rPr>
      </w:pPr>
      <w:r>
        <w:rPr>
          <w:rFonts w:ascii="Calibri"/>
          <w:color w:val="003366"/>
          <w:sz w:val="20"/>
        </w:rPr>
        <w:t>For employees who are members of the defined benefit Commonwealth Superannuation Scheme (CSS) and Public Sector Superannuation Scheme (PSS), the Office makes employer superannuation contribution payments to the Territory Banking Account at a rate determined by the Chief Minister, Treasury and Economic Development Directorate. The Office also makes productivity superannuation contribution payments on behalf of these employees to the Commonwealth Superannuation Corporation, which is responsible for administration of the schemes.</w:t>
      </w:r>
    </w:p>
    <w:p w:rsidR="006C17CB" w:rsidRDefault="0030091C">
      <w:pPr>
        <w:spacing w:before="116" w:line="204" w:lineRule="auto"/>
        <w:ind w:left="805" w:right="1544" w:hanging="1"/>
        <w:jc w:val="both"/>
        <w:rPr>
          <w:rFonts w:ascii="Calibri" w:hAnsi="Calibri"/>
          <w:sz w:val="20"/>
        </w:rPr>
      </w:pPr>
      <w:r>
        <w:rPr>
          <w:rFonts w:ascii="Calibri" w:hAnsi="Calibri"/>
          <w:color w:val="003366"/>
          <w:sz w:val="20"/>
        </w:rPr>
        <w:t>For employees who are members of defined contribution superannuation schemes (the Public Sector Superannuation Scheme Accumulation Plan (PSSAP) and schemes of employee choice), the Office makes employer superannuation contribution payments directly to the employees’ relevant superannuation fund.</w:t>
      </w:r>
    </w:p>
    <w:p w:rsidR="006C17CB" w:rsidRDefault="0030091C">
      <w:pPr>
        <w:spacing w:before="117" w:line="204" w:lineRule="auto"/>
        <w:ind w:left="805" w:right="1548"/>
        <w:jc w:val="both"/>
        <w:rPr>
          <w:rFonts w:ascii="Calibri"/>
          <w:sz w:val="20"/>
        </w:rPr>
      </w:pPr>
      <w:r>
        <w:rPr>
          <w:rFonts w:ascii="Calibri"/>
          <w:color w:val="003366"/>
          <w:sz w:val="20"/>
        </w:rPr>
        <w:t>All defined benefit employer superannuation contributions are recognised as expenses on the same basis as the employer superannuation contributions made to defined contribution schemes. The accruing superannuation liability obligations are expensed as they are incurred and extinguished as they are paid.</w:t>
      </w:r>
    </w:p>
    <w:p w:rsidR="006C17CB" w:rsidRDefault="0030091C">
      <w:pPr>
        <w:spacing w:before="81"/>
        <w:ind w:left="805"/>
        <w:jc w:val="both"/>
        <w:rPr>
          <w:rFonts w:ascii="Calibri"/>
          <w:i/>
          <w:sz w:val="20"/>
        </w:rPr>
      </w:pPr>
      <w:r>
        <w:rPr>
          <w:rFonts w:ascii="Calibri"/>
          <w:i/>
          <w:color w:val="003366"/>
          <w:sz w:val="20"/>
        </w:rPr>
        <w:t>Superannuation Liability Recognition</w:t>
      </w:r>
    </w:p>
    <w:p w:rsidR="006C17CB" w:rsidRDefault="0030091C">
      <w:pPr>
        <w:spacing w:before="112" w:line="204" w:lineRule="auto"/>
        <w:ind w:left="805" w:right="1544"/>
        <w:jc w:val="both"/>
        <w:rPr>
          <w:rFonts w:ascii="Calibri"/>
          <w:sz w:val="20"/>
        </w:rPr>
      </w:pPr>
      <w:r>
        <w:rPr>
          <w:rFonts w:ascii="Calibri"/>
          <w:color w:val="003366"/>
          <w:sz w:val="20"/>
        </w:rPr>
        <w:t>For the Office employees who are members of the defined benefit CSS or PSS, the employer superannuation liabilities for superannuation benefits payable upon retirement are recognised in the financial statements of the Superannuation Provision Account.</w:t>
      </w:r>
    </w:p>
    <w:p w:rsidR="006C17CB" w:rsidRDefault="006C17CB">
      <w:pPr>
        <w:pStyle w:val="BodyText"/>
        <w:spacing w:before="1"/>
        <w:rPr>
          <w:rFonts w:ascii="Calibri"/>
          <w:sz w:val="11"/>
        </w:rPr>
      </w:pPr>
    </w:p>
    <w:tbl>
      <w:tblPr>
        <w:tblW w:w="0" w:type="auto"/>
        <w:tblInd w:w="755" w:type="dxa"/>
        <w:tblLayout w:type="fixed"/>
        <w:tblCellMar>
          <w:left w:w="0" w:type="dxa"/>
          <w:right w:w="0" w:type="dxa"/>
        </w:tblCellMar>
        <w:tblLook w:val="01E0" w:firstRow="1" w:lastRow="1" w:firstColumn="1" w:lastColumn="1" w:noHBand="0" w:noVBand="0"/>
      </w:tblPr>
      <w:tblGrid>
        <w:gridCol w:w="6044"/>
        <w:gridCol w:w="1644"/>
        <w:gridCol w:w="951"/>
      </w:tblGrid>
      <w:tr w:rsidR="006C17CB">
        <w:trPr>
          <w:trHeight w:val="222"/>
        </w:trPr>
        <w:tc>
          <w:tcPr>
            <w:tcW w:w="6044" w:type="dxa"/>
          </w:tcPr>
          <w:p w:rsidR="006C17CB" w:rsidRDefault="006C17CB">
            <w:pPr>
              <w:pStyle w:val="TableParagraph"/>
              <w:jc w:val="left"/>
              <w:rPr>
                <w:rFonts w:ascii="Times New Roman"/>
                <w:sz w:val="14"/>
              </w:rPr>
            </w:pPr>
          </w:p>
        </w:tc>
        <w:tc>
          <w:tcPr>
            <w:tcW w:w="1644" w:type="dxa"/>
          </w:tcPr>
          <w:p w:rsidR="006C17CB" w:rsidRDefault="0030091C">
            <w:pPr>
              <w:pStyle w:val="TableParagraph"/>
              <w:spacing w:line="202" w:lineRule="exact"/>
              <w:ind w:right="445"/>
              <w:rPr>
                <w:b/>
                <w:sz w:val="20"/>
              </w:rPr>
            </w:pPr>
            <w:r>
              <w:rPr>
                <w:b/>
                <w:color w:val="003366"/>
                <w:w w:val="95"/>
                <w:sz w:val="20"/>
              </w:rPr>
              <w:t>2018</w:t>
            </w:r>
          </w:p>
        </w:tc>
        <w:tc>
          <w:tcPr>
            <w:tcW w:w="951" w:type="dxa"/>
          </w:tcPr>
          <w:p w:rsidR="006C17CB" w:rsidRDefault="0030091C">
            <w:pPr>
              <w:pStyle w:val="TableParagraph"/>
              <w:spacing w:line="202" w:lineRule="exact"/>
              <w:ind w:right="50"/>
              <w:rPr>
                <w:b/>
                <w:sz w:val="20"/>
              </w:rPr>
            </w:pPr>
            <w:r>
              <w:rPr>
                <w:b/>
                <w:color w:val="003366"/>
                <w:w w:val="95"/>
                <w:sz w:val="20"/>
              </w:rPr>
              <w:t>2017</w:t>
            </w:r>
          </w:p>
        </w:tc>
      </w:tr>
      <w:tr w:rsidR="006C17CB">
        <w:trPr>
          <w:trHeight w:val="548"/>
        </w:trPr>
        <w:tc>
          <w:tcPr>
            <w:tcW w:w="6044" w:type="dxa"/>
          </w:tcPr>
          <w:p w:rsidR="006C17CB" w:rsidRDefault="006C17CB">
            <w:pPr>
              <w:pStyle w:val="TableParagraph"/>
              <w:spacing w:before="4"/>
              <w:jc w:val="left"/>
              <w:rPr>
                <w:sz w:val="15"/>
              </w:rPr>
            </w:pPr>
          </w:p>
          <w:p w:rsidR="006C17CB" w:rsidRDefault="0030091C">
            <w:pPr>
              <w:pStyle w:val="TableParagraph"/>
              <w:ind w:left="50"/>
              <w:jc w:val="left"/>
              <w:rPr>
                <w:sz w:val="20"/>
              </w:rPr>
            </w:pPr>
            <w:r>
              <w:rPr>
                <w:color w:val="003366"/>
                <w:sz w:val="20"/>
              </w:rPr>
              <w:t xml:space="preserve">Superannuation Contributions to the Territory Banking Account </w:t>
            </w:r>
            <w:r>
              <w:rPr>
                <w:color w:val="003366"/>
                <w:sz w:val="20"/>
                <w:vertAlign w:val="superscript"/>
              </w:rPr>
              <w:t>a</w:t>
            </w:r>
          </w:p>
        </w:tc>
        <w:tc>
          <w:tcPr>
            <w:tcW w:w="1644" w:type="dxa"/>
          </w:tcPr>
          <w:p w:rsidR="006C17CB" w:rsidRDefault="0030091C">
            <w:pPr>
              <w:pStyle w:val="TableParagraph"/>
              <w:spacing w:line="223" w:lineRule="exact"/>
              <w:ind w:left="720" w:right="425"/>
              <w:jc w:val="center"/>
              <w:rPr>
                <w:b/>
                <w:sz w:val="20"/>
              </w:rPr>
            </w:pPr>
            <w:r>
              <w:rPr>
                <w:b/>
                <w:color w:val="003366"/>
                <w:sz w:val="20"/>
              </w:rPr>
              <w:t>$’000</w:t>
            </w:r>
          </w:p>
          <w:p w:rsidR="006C17CB" w:rsidRDefault="0030091C">
            <w:pPr>
              <w:pStyle w:val="TableParagraph"/>
              <w:spacing w:line="286" w:lineRule="exact"/>
              <w:ind w:left="720" w:right="274"/>
              <w:jc w:val="center"/>
              <w:rPr>
                <w:sz w:val="20"/>
              </w:rPr>
            </w:pPr>
            <w:r>
              <w:rPr>
                <w:color w:val="003366"/>
                <w:sz w:val="20"/>
              </w:rPr>
              <w:t>416</w:t>
            </w:r>
          </w:p>
        </w:tc>
        <w:tc>
          <w:tcPr>
            <w:tcW w:w="951" w:type="dxa"/>
          </w:tcPr>
          <w:p w:rsidR="006C17CB" w:rsidRDefault="0030091C">
            <w:pPr>
              <w:pStyle w:val="TableParagraph"/>
              <w:spacing w:line="223" w:lineRule="exact"/>
              <w:ind w:left="422" w:right="30"/>
              <w:jc w:val="center"/>
              <w:rPr>
                <w:b/>
                <w:sz w:val="20"/>
              </w:rPr>
            </w:pPr>
            <w:r>
              <w:rPr>
                <w:b/>
                <w:color w:val="003366"/>
                <w:sz w:val="20"/>
              </w:rPr>
              <w:t>$’000</w:t>
            </w:r>
          </w:p>
          <w:p w:rsidR="006C17CB" w:rsidRDefault="0030091C">
            <w:pPr>
              <w:pStyle w:val="TableParagraph"/>
              <w:spacing w:line="286" w:lineRule="exact"/>
              <w:ind w:left="574" w:right="30"/>
              <w:jc w:val="center"/>
              <w:rPr>
                <w:sz w:val="20"/>
              </w:rPr>
            </w:pPr>
            <w:r>
              <w:rPr>
                <w:color w:val="003366"/>
                <w:sz w:val="20"/>
              </w:rPr>
              <w:t>364</w:t>
            </w:r>
          </w:p>
        </w:tc>
      </w:tr>
      <w:tr w:rsidR="006C17CB">
        <w:trPr>
          <w:trHeight w:val="284"/>
        </w:trPr>
        <w:tc>
          <w:tcPr>
            <w:tcW w:w="6044" w:type="dxa"/>
          </w:tcPr>
          <w:p w:rsidR="006C17CB" w:rsidRDefault="0030091C">
            <w:pPr>
              <w:pStyle w:val="TableParagraph"/>
              <w:spacing w:line="246" w:lineRule="exact"/>
              <w:ind w:left="50"/>
              <w:jc w:val="left"/>
              <w:rPr>
                <w:sz w:val="20"/>
              </w:rPr>
            </w:pPr>
            <w:r>
              <w:rPr>
                <w:color w:val="003366"/>
                <w:sz w:val="20"/>
              </w:rPr>
              <w:t>Productivity Benefit</w:t>
            </w:r>
          </w:p>
        </w:tc>
        <w:tc>
          <w:tcPr>
            <w:tcW w:w="1644" w:type="dxa"/>
          </w:tcPr>
          <w:p w:rsidR="006C17CB" w:rsidRDefault="0030091C">
            <w:pPr>
              <w:pStyle w:val="TableParagraph"/>
              <w:spacing w:line="246" w:lineRule="exact"/>
              <w:ind w:right="443"/>
              <w:rPr>
                <w:sz w:val="20"/>
              </w:rPr>
            </w:pPr>
            <w:r>
              <w:rPr>
                <w:color w:val="003366"/>
                <w:w w:val="95"/>
                <w:sz w:val="20"/>
              </w:rPr>
              <w:t>58</w:t>
            </w:r>
          </w:p>
        </w:tc>
        <w:tc>
          <w:tcPr>
            <w:tcW w:w="951" w:type="dxa"/>
          </w:tcPr>
          <w:p w:rsidR="006C17CB" w:rsidRDefault="0030091C">
            <w:pPr>
              <w:pStyle w:val="TableParagraph"/>
              <w:spacing w:line="246" w:lineRule="exact"/>
              <w:ind w:right="47"/>
              <w:rPr>
                <w:sz w:val="20"/>
              </w:rPr>
            </w:pPr>
            <w:r>
              <w:rPr>
                <w:color w:val="003366"/>
                <w:w w:val="95"/>
                <w:sz w:val="20"/>
              </w:rPr>
              <w:t>46</w:t>
            </w:r>
          </w:p>
        </w:tc>
      </w:tr>
      <w:tr w:rsidR="006C17CB">
        <w:trPr>
          <w:trHeight w:val="241"/>
        </w:trPr>
        <w:tc>
          <w:tcPr>
            <w:tcW w:w="6044" w:type="dxa"/>
          </w:tcPr>
          <w:p w:rsidR="006C17CB" w:rsidRDefault="0030091C">
            <w:pPr>
              <w:pStyle w:val="TableParagraph"/>
              <w:spacing w:line="221" w:lineRule="exact"/>
              <w:ind w:left="50"/>
              <w:jc w:val="left"/>
              <w:rPr>
                <w:sz w:val="20"/>
              </w:rPr>
            </w:pPr>
            <w:r>
              <w:rPr>
                <w:color w:val="003366"/>
                <w:sz w:val="20"/>
              </w:rPr>
              <w:t>Superannuation Payments for the PSSAP</w:t>
            </w:r>
          </w:p>
        </w:tc>
        <w:tc>
          <w:tcPr>
            <w:tcW w:w="1644" w:type="dxa"/>
          </w:tcPr>
          <w:p w:rsidR="006C17CB" w:rsidRDefault="0030091C">
            <w:pPr>
              <w:pStyle w:val="TableParagraph"/>
              <w:spacing w:line="221" w:lineRule="exact"/>
              <w:ind w:right="443"/>
              <w:rPr>
                <w:sz w:val="20"/>
              </w:rPr>
            </w:pPr>
            <w:r>
              <w:rPr>
                <w:color w:val="003366"/>
                <w:w w:val="95"/>
                <w:sz w:val="20"/>
              </w:rPr>
              <w:t>34</w:t>
            </w:r>
          </w:p>
        </w:tc>
        <w:tc>
          <w:tcPr>
            <w:tcW w:w="951" w:type="dxa"/>
          </w:tcPr>
          <w:p w:rsidR="006C17CB" w:rsidRDefault="0030091C">
            <w:pPr>
              <w:pStyle w:val="TableParagraph"/>
              <w:spacing w:line="221" w:lineRule="exact"/>
              <w:ind w:right="47"/>
              <w:rPr>
                <w:sz w:val="20"/>
              </w:rPr>
            </w:pPr>
            <w:r>
              <w:rPr>
                <w:color w:val="003366"/>
                <w:w w:val="95"/>
                <w:sz w:val="20"/>
              </w:rPr>
              <w:t>34</w:t>
            </w:r>
          </w:p>
        </w:tc>
      </w:tr>
    </w:tbl>
    <w:p w:rsidR="006C17CB" w:rsidRDefault="0030091C">
      <w:pPr>
        <w:tabs>
          <w:tab w:val="left" w:pos="6673"/>
          <w:tab w:val="left" w:pos="7693"/>
          <w:tab w:val="left" w:pos="9039"/>
        </w:tabs>
        <w:spacing w:before="1"/>
        <w:ind w:left="805"/>
        <w:jc w:val="both"/>
        <w:rPr>
          <w:rFonts w:ascii="Calibri"/>
          <w:sz w:val="20"/>
        </w:rPr>
      </w:pPr>
      <w:r>
        <w:rPr>
          <w:rFonts w:ascii="Calibri"/>
          <w:color w:val="003366"/>
          <w:sz w:val="20"/>
        </w:rPr>
        <w:t>Superannuation to</w:t>
      </w:r>
      <w:r>
        <w:rPr>
          <w:rFonts w:ascii="Calibri"/>
          <w:color w:val="003366"/>
          <w:spacing w:val="-6"/>
          <w:sz w:val="20"/>
        </w:rPr>
        <w:t xml:space="preserve"> </w:t>
      </w:r>
      <w:r>
        <w:rPr>
          <w:rFonts w:ascii="Calibri"/>
          <w:color w:val="003366"/>
          <w:sz w:val="20"/>
        </w:rPr>
        <w:t>External</w:t>
      </w:r>
      <w:r>
        <w:rPr>
          <w:rFonts w:ascii="Calibri"/>
          <w:color w:val="003366"/>
          <w:spacing w:val="-4"/>
          <w:sz w:val="20"/>
        </w:rPr>
        <w:t xml:space="preserve"> </w:t>
      </w:r>
      <w:r>
        <w:rPr>
          <w:rFonts w:ascii="Calibri"/>
          <w:color w:val="003366"/>
          <w:sz w:val="20"/>
        </w:rPr>
        <w:t>Providers</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263</w:t>
      </w:r>
      <w:r>
        <w:rPr>
          <w:rFonts w:ascii="Calibri"/>
          <w:color w:val="003366"/>
          <w:sz w:val="20"/>
          <w:u w:val="single" w:color="003366"/>
        </w:rPr>
        <w:tab/>
        <w:t xml:space="preserve">251 </w:t>
      </w:r>
      <w:r>
        <w:rPr>
          <w:rFonts w:ascii="Calibri"/>
          <w:color w:val="003366"/>
          <w:spacing w:val="18"/>
          <w:sz w:val="20"/>
          <w:u w:val="single" w:color="003366"/>
        </w:rPr>
        <w:t xml:space="preserve"> </w:t>
      </w:r>
    </w:p>
    <w:p w:rsidR="006C17CB" w:rsidRDefault="00FE24A7">
      <w:pPr>
        <w:tabs>
          <w:tab w:val="left" w:pos="7693"/>
          <w:tab w:val="right" w:pos="9342"/>
        </w:tabs>
        <w:spacing w:before="7"/>
        <w:ind w:left="805"/>
        <w:jc w:val="both"/>
        <w:rPr>
          <w:rFonts w:ascii="Calibri"/>
          <w:b/>
          <w:sz w:val="20"/>
        </w:rPr>
      </w:pPr>
      <w:r>
        <w:pict>
          <v:group id="_x0000_s1382" alt="" style="position:absolute;left:0;text-align:left;margin-left:382.7pt;margin-top:14.7pt;width:139pt;height:1.45pt;z-index:2224;mso-position-horizontal-relative:page" coordorigin="7654,294" coordsize="2780,29">
            <v:line id="_x0000_s1383" alt="" style="position:absolute" from="7654,299" to="9084,299" strokeweight=".16969mm"/>
            <v:line id="_x0000_s1384" alt="" style="position:absolute" from="7654,318" to="9084,318" strokeweight=".48pt"/>
            <v:shape id="_x0000_s1385" alt="" style="position:absolute;left:9084;top:294;width:29;height:29" coordorigin="9084,294" coordsize="29,29" o:spt="100" adj="0,,0" path="m9113,314r-29,l9084,323r29,l9113,314t,-20l9084,294r,10l9113,304r,-10e" fillcolor="black" stroked="f">
              <v:stroke joinstyle="round"/>
              <v:formulas/>
              <v:path arrowok="t" o:connecttype="segments"/>
            </v:shape>
            <v:line id="_x0000_s1386" alt="" style="position:absolute" from="9113,299" to="10433,299" strokeweight=".16969mm"/>
            <v:line id="_x0000_s1387" alt="" style="position:absolute" from="9113,318" to="10433,318" strokeweight=".48pt"/>
            <w10:wrap anchorx="page"/>
          </v:group>
        </w:pict>
      </w:r>
      <w:r w:rsidR="0030091C">
        <w:rPr>
          <w:rFonts w:ascii="Calibri"/>
          <w:b/>
          <w:color w:val="003366"/>
          <w:sz w:val="20"/>
        </w:rPr>
        <w:t>Total</w:t>
      </w:r>
      <w:r w:rsidR="0030091C">
        <w:rPr>
          <w:rFonts w:ascii="Calibri"/>
          <w:b/>
          <w:color w:val="003366"/>
          <w:spacing w:val="-3"/>
          <w:sz w:val="20"/>
        </w:rPr>
        <w:t xml:space="preserve"> </w:t>
      </w:r>
      <w:r w:rsidR="0030091C">
        <w:rPr>
          <w:rFonts w:ascii="Calibri"/>
          <w:b/>
          <w:color w:val="003366"/>
          <w:sz w:val="20"/>
        </w:rPr>
        <w:t>Superannuation</w:t>
      </w:r>
      <w:r w:rsidR="0030091C">
        <w:rPr>
          <w:rFonts w:ascii="Calibri"/>
          <w:b/>
          <w:color w:val="003366"/>
          <w:spacing w:val="-1"/>
          <w:sz w:val="20"/>
        </w:rPr>
        <w:t xml:space="preserve"> </w:t>
      </w:r>
      <w:r w:rsidR="0030091C">
        <w:rPr>
          <w:rFonts w:ascii="Calibri"/>
          <w:b/>
          <w:color w:val="003366"/>
          <w:sz w:val="20"/>
        </w:rPr>
        <w:t>Expenses</w:t>
      </w:r>
      <w:r w:rsidR="0030091C">
        <w:rPr>
          <w:rFonts w:ascii="Calibri"/>
          <w:b/>
          <w:color w:val="003366"/>
          <w:sz w:val="20"/>
        </w:rPr>
        <w:tab/>
        <w:t>771</w:t>
      </w:r>
      <w:r w:rsidR="0030091C">
        <w:rPr>
          <w:rFonts w:ascii="Calibri"/>
          <w:b/>
          <w:color w:val="003366"/>
          <w:sz w:val="20"/>
        </w:rPr>
        <w:tab/>
        <w:t>695</w:t>
      </w:r>
    </w:p>
    <w:p w:rsidR="006C17CB" w:rsidRDefault="0030091C">
      <w:pPr>
        <w:spacing w:before="431" w:line="204" w:lineRule="auto"/>
        <w:ind w:left="1165" w:right="1579" w:hanging="360"/>
        <w:jc w:val="both"/>
        <w:rPr>
          <w:rFonts w:ascii="Calibri"/>
          <w:sz w:val="18"/>
        </w:rPr>
      </w:pPr>
      <w:r>
        <w:rPr>
          <w:rFonts w:ascii="Calibri"/>
          <w:color w:val="003366"/>
          <w:sz w:val="18"/>
        </w:rPr>
        <w:t>a) The increase in Superannuation Contributions to the Territory Banking Account was mainly due to the  recruitment</w:t>
      </w:r>
      <w:r>
        <w:rPr>
          <w:rFonts w:ascii="Calibri"/>
          <w:color w:val="003366"/>
          <w:spacing w:val="-8"/>
          <w:sz w:val="18"/>
        </w:rPr>
        <w:t xml:space="preserve"> </w:t>
      </w:r>
      <w:r>
        <w:rPr>
          <w:rFonts w:ascii="Calibri"/>
          <w:color w:val="003366"/>
          <w:sz w:val="18"/>
        </w:rPr>
        <w:t>of</w:t>
      </w:r>
      <w:r>
        <w:rPr>
          <w:rFonts w:ascii="Calibri"/>
          <w:color w:val="003366"/>
          <w:spacing w:val="-7"/>
          <w:sz w:val="18"/>
        </w:rPr>
        <w:t xml:space="preserve"> </w:t>
      </w:r>
      <w:r>
        <w:rPr>
          <w:rFonts w:ascii="Calibri"/>
          <w:color w:val="003366"/>
          <w:sz w:val="18"/>
        </w:rPr>
        <w:t>staff</w:t>
      </w:r>
      <w:r>
        <w:rPr>
          <w:rFonts w:ascii="Calibri"/>
          <w:color w:val="003366"/>
          <w:spacing w:val="-7"/>
          <w:sz w:val="18"/>
        </w:rPr>
        <w:t xml:space="preserve"> </w:t>
      </w:r>
      <w:r>
        <w:rPr>
          <w:rFonts w:ascii="Calibri"/>
          <w:color w:val="003366"/>
          <w:sz w:val="18"/>
        </w:rPr>
        <w:t>members</w:t>
      </w:r>
      <w:r>
        <w:rPr>
          <w:rFonts w:ascii="Calibri"/>
          <w:color w:val="003366"/>
          <w:spacing w:val="-8"/>
          <w:sz w:val="18"/>
        </w:rPr>
        <w:t xml:space="preserve"> </w:t>
      </w:r>
      <w:r>
        <w:rPr>
          <w:rFonts w:ascii="Calibri"/>
          <w:color w:val="003366"/>
          <w:sz w:val="18"/>
        </w:rPr>
        <w:t>who</w:t>
      </w:r>
      <w:r>
        <w:rPr>
          <w:rFonts w:ascii="Calibri"/>
          <w:color w:val="003366"/>
          <w:spacing w:val="-7"/>
          <w:sz w:val="18"/>
        </w:rPr>
        <w:t xml:space="preserve"> </w:t>
      </w:r>
      <w:r>
        <w:rPr>
          <w:rFonts w:ascii="Calibri"/>
          <w:color w:val="003366"/>
          <w:sz w:val="18"/>
        </w:rPr>
        <w:t>were</w:t>
      </w:r>
      <w:r>
        <w:rPr>
          <w:rFonts w:ascii="Calibri"/>
          <w:color w:val="003366"/>
          <w:spacing w:val="-8"/>
          <w:sz w:val="18"/>
        </w:rPr>
        <w:t xml:space="preserve"> </w:t>
      </w:r>
      <w:r>
        <w:rPr>
          <w:rFonts w:ascii="Calibri"/>
          <w:color w:val="003366"/>
          <w:sz w:val="18"/>
        </w:rPr>
        <w:t>members</w:t>
      </w:r>
      <w:r>
        <w:rPr>
          <w:rFonts w:ascii="Calibri"/>
          <w:color w:val="003366"/>
          <w:spacing w:val="-8"/>
          <w:sz w:val="18"/>
        </w:rPr>
        <w:t xml:space="preserve"> </w:t>
      </w:r>
      <w:r>
        <w:rPr>
          <w:rFonts w:ascii="Calibri"/>
          <w:color w:val="003366"/>
          <w:sz w:val="18"/>
        </w:rPr>
        <w:t>of</w:t>
      </w:r>
      <w:r>
        <w:rPr>
          <w:rFonts w:ascii="Calibri"/>
          <w:color w:val="003366"/>
          <w:spacing w:val="-7"/>
          <w:sz w:val="18"/>
        </w:rPr>
        <w:t xml:space="preserve"> </w:t>
      </w:r>
      <w:r>
        <w:rPr>
          <w:rFonts w:ascii="Calibri"/>
          <w:color w:val="003366"/>
          <w:sz w:val="18"/>
        </w:rPr>
        <w:t>defined</w:t>
      </w:r>
      <w:r>
        <w:rPr>
          <w:rFonts w:ascii="Calibri"/>
          <w:color w:val="003366"/>
          <w:spacing w:val="-8"/>
          <w:sz w:val="18"/>
        </w:rPr>
        <w:t xml:space="preserve"> </w:t>
      </w:r>
      <w:r>
        <w:rPr>
          <w:rFonts w:ascii="Calibri"/>
          <w:color w:val="003366"/>
          <w:sz w:val="18"/>
        </w:rPr>
        <w:t>benefit</w:t>
      </w:r>
      <w:r>
        <w:rPr>
          <w:rFonts w:ascii="Calibri"/>
          <w:color w:val="003366"/>
          <w:spacing w:val="-7"/>
          <w:sz w:val="18"/>
        </w:rPr>
        <w:t xml:space="preserve"> </w:t>
      </w:r>
      <w:r>
        <w:rPr>
          <w:rFonts w:ascii="Calibri"/>
          <w:color w:val="003366"/>
          <w:sz w:val="18"/>
        </w:rPr>
        <w:t>superannuation</w:t>
      </w:r>
      <w:r>
        <w:rPr>
          <w:rFonts w:ascii="Calibri"/>
          <w:color w:val="003366"/>
          <w:spacing w:val="-8"/>
          <w:sz w:val="18"/>
        </w:rPr>
        <w:t xml:space="preserve"> </w:t>
      </w:r>
      <w:r>
        <w:rPr>
          <w:rFonts w:ascii="Calibri"/>
          <w:color w:val="003366"/>
          <w:sz w:val="18"/>
        </w:rPr>
        <w:t>schemes</w:t>
      </w:r>
      <w:r>
        <w:rPr>
          <w:rFonts w:ascii="Calibri"/>
          <w:color w:val="003366"/>
          <w:spacing w:val="-8"/>
          <w:sz w:val="18"/>
        </w:rPr>
        <w:t xml:space="preserve"> </w:t>
      </w:r>
      <w:r>
        <w:rPr>
          <w:rFonts w:ascii="Calibri"/>
          <w:color w:val="003366"/>
          <w:sz w:val="18"/>
        </w:rPr>
        <w:t>from</w:t>
      </w:r>
      <w:r>
        <w:rPr>
          <w:rFonts w:ascii="Calibri"/>
          <w:color w:val="003366"/>
          <w:spacing w:val="-7"/>
          <w:sz w:val="18"/>
        </w:rPr>
        <w:t xml:space="preserve"> </w:t>
      </w:r>
      <w:r>
        <w:rPr>
          <w:rFonts w:ascii="Calibri"/>
          <w:color w:val="003366"/>
          <w:sz w:val="18"/>
        </w:rPr>
        <w:t>prior</w:t>
      </w:r>
      <w:r>
        <w:rPr>
          <w:rFonts w:ascii="Calibri"/>
          <w:color w:val="003366"/>
          <w:spacing w:val="-7"/>
          <w:sz w:val="18"/>
        </w:rPr>
        <w:t xml:space="preserve"> </w:t>
      </w:r>
      <w:r>
        <w:rPr>
          <w:rFonts w:ascii="Calibri"/>
          <w:color w:val="003366"/>
          <w:sz w:val="18"/>
        </w:rPr>
        <w:t>service with other Government</w:t>
      </w:r>
      <w:r>
        <w:rPr>
          <w:rFonts w:ascii="Calibri"/>
          <w:color w:val="003366"/>
          <w:spacing w:val="-4"/>
          <w:sz w:val="18"/>
        </w:rPr>
        <w:t xml:space="preserve"> </w:t>
      </w:r>
      <w:r>
        <w:rPr>
          <w:rFonts w:ascii="Calibri"/>
          <w:color w:val="003366"/>
          <w:sz w:val="18"/>
        </w:rPr>
        <w:t>organisations.</w:t>
      </w:r>
    </w:p>
    <w:p w:rsidR="006C17CB" w:rsidRDefault="006C17CB">
      <w:pPr>
        <w:spacing w:line="204" w:lineRule="auto"/>
        <w:jc w:val="both"/>
        <w:rPr>
          <w:rFonts w:ascii="Calibri"/>
          <w:sz w:val="18"/>
        </w:rPr>
        <w:sectPr w:rsidR="006C17CB">
          <w:pgSz w:w="11910" w:h="16840"/>
          <w:pgMar w:top="2120" w:right="0" w:bottom="740" w:left="980" w:header="1187" w:footer="551" w:gutter="0"/>
          <w:cols w:space="720"/>
        </w:sectPr>
      </w:pPr>
    </w:p>
    <w:p w:rsidR="006C17CB" w:rsidRDefault="006C17CB">
      <w:pPr>
        <w:pStyle w:val="BodyText"/>
        <w:spacing w:before="7"/>
        <w:rPr>
          <w:rFonts w:ascii="Calibri"/>
          <w:sz w:val="21"/>
        </w:rPr>
      </w:pPr>
    </w:p>
    <w:p w:rsidR="006C17CB" w:rsidRDefault="0030091C">
      <w:pPr>
        <w:pStyle w:val="Heading6"/>
        <w:tabs>
          <w:tab w:val="left" w:pos="1955"/>
        </w:tabs>
        <w:spacing w:before="1"/>
        <w:ind w:left="822"/>
      </w:pPr>
      <w:r>
        <w:rPr>
          <w:color w:val="003366"/>
        </w:rPr>
        <w:t>NOTE</w:t>
      </w:r>
      <w:r>
        <w:rPr>
          <w:color w:val="003366"/>
          <w:spacing w:val="-1"/>
        </w:rPr>
        <w:t xml:space="preserve"> </w:t>
      </w:r>
      <w:r>
        <w:rPr>
          <w:color w:val="003366"/>
        </w:rPr>
        <w:t>7.</w:t>
      </w:r>
      <w:r>
        <w:rPr>
          <w:color w:val="003366"/>
        </w:rPr>
        <w:tab/>
        <w:t>SUPPLIES AND</w:t>
      </w:r>
      <w:r>
        <w:rPr>
          <w:color w:val="003366"/>
          <w:spacing w:val="-1"/>
        </w:rPr>
        <w:t xml:space="preserve"> </w:t>
      </w:r>
      <w:r>
        <w:rPr>
          <w:color w:val="003366"/>
        </w:rPr>
        <w:t>SERVICES</w:t>
      </w:r>
    </w:p>
    <w:p w:rsidR="006C17CB" w:rsidRDefault="0030091C">
      <w:pPr>
        <w:spacing w:before="195"/>
        <w:ind w:left="822"/>
        <w:rPr>
          <w:rFonts w:ascii="Calibri"/>
          <w:i/>
          <w:sz w:val="20"/>
        </w:rPr>
      </w:pPr>
      <w:r>
        <w:rPr>
          <w:rFonts w:ascii="Calibri"/>
          <w:i/>
          <w:color w:val="003366"/>
          <w:sz w:val="20"/>
        </w:rPr>
        <w:t>Insurance</w:t>
      </w:r>
    </w:p>
    <w:p w:rsidR="006C17CB" w:rsidRDefault="0030091C">
      <w:pPr>
        <w:spacing w:before="112" w:line="204" w:lineRule="auto"/>
        <w:ind w:left="822" w:right="1412"/>
        <w:rPr>
          <w:rFonts w:ascii="Calibri"/>
          <w:sz w:val="20"/>
        </w:rPr>
      </w:pPr>
      <w:r>
        <w:rPr>
          <w:rFonts w:ascii="Calibri"/>
          <w:color w:val="003366"/>
          <w:sz w:val="20"/>
        </w:rPr>
        <w:t>Major risks are insured through the ACT Insurance Authority. The excess payable, under this arrangement, varies depending on each class of insurance held.</w:t>
      </w:r>
    </w:p>
    <w:p w:rsidR="006C17CB" w:rsidRDefault="0030091C">
      <w:pPr>
        <w:spacing w:before="82"/>
        <w:ind w:left="822"/>
        <w:rPr>
          <w:rFonts w:ascii="Calibri"/>
          <w:i/>
          <w:sz w:val="20"/>
        </w:rPr>
      </w:pPr>
      <w:r>
        <w:rPr>
          <w:rFonts w:ascii="Calibri"/>
          <w:i/>
          <w:color w:val="003366"/>
          <w:sz w:val="20"/>
        </w:rPr>
        <w:t>Repairs and Maintenance</w:t>
      </w:r>
    </w:p>
    <w:p w:rsidR="006C17CB" w:rsidRDefault="0030091C">
      <w:pPr>
        <w:spacing w:before="76"/>
        <w:ind w:left="822"/>
        <w:rPr>
          <w:rFonts w:ascii="Calibri"/>
          <w:sz w:val="20"/>
        </w:rPr>
      </w:pPr>
      <w:r>
        <w:rPr>
          <w:rFonts w:ascii="Calibri"/>
          <w:color w:val="003366"/>
          <w:sz w:val="20"/>
        </w:rPr>
        <w:t>Maintenance expenses, which do not increase the service potential of an asset, are expensed.</w:t>
      </w:r>
    </w:p>
    <w:p w:rsidR="006C17CB" w:rsidRDefault="0030091C">
      <w:pPr>
        <w:spacing w:before="77"/>
        <w:ind w:left="822"/>
        <w:rPr>
          <w:rFonts w:ascii="Calibri"/>
          <w:i/>
          <w:sz w:val="20"/>
        </w:rPr>
      </w:pPr>
      <w:r>
        <w:rPr>
          <w:rFonts w:ascii="Calibri"/>
          <w:i/>
          <w:color w:val="003366"/>
          <w:sz w:val="20"/>
        </w:rPr>
        <w:t>Operating Leases</w:t>
      </w:r>
    </w:p>
    <w:p w:rsidR="006C17CB" w:rsidRDefault="0030091C">
      <w:pPr>
        <w:spacing w:before="113" w:line="201" w:lineRule="auto"/>
        <w:ind w:left="822" w:right="1543"/>
        <w:rPr>
          <w:rFonts w:ascii="Calibri"/>
          <w:sz w:val="20"/>
        </w:rPr>
      </w:pPr>
      <w:r>
        <w:rPr>
          <w:rFonts w:ascii="Calibri"/>
          <w:color w:val="003366"/>
          <w:sz w:val="20"/>
        </w:rPr>
        <w:t>Operating lease payments are recorded as an expense in the Operating Statement on a straight-line basis over the term of the lease.</w:t>
      </w:r>
    </w:p>
    <w:p w:rsidR="006C17CB" w:rsidRDefault="006C17CB">
      <w:pPr>
        <w:pStyle w:val="BodyText"/>
        <w:spacing w:before="13"/>
        <w:rPr>
          <w:rFonts w:ascii="Calibri"/>
          <w:sz w:val="11"/>
        </w:rPr>
      </w:pPr>
    </w:p>
    <w:tbl>
      <w:tblPr>
        <w:tblW w:w="0" w:type="auto"/>
        <w:tblInd w:w="772" w:type="dxa"/>
        <w:tblLayout w:type="fixed"/>
        <w:tblCellMar>
          <w:left w:w="0" w:type="dxa"/>
          <w:right w:w="0" w:type="dxa"/>
        </w:tblCellMar>
        <w:tblLook w:val="01E0" w:firstRow="1" w:lastRow="1" w:firstColumn="1" w:lastColumn="1" w:noHBand="0" w:noVBand="0"/>
      </w:tblPr>
      <w:tblGrid>
        <w:gridCol w:w="5495"/>
        <w:gridCol w:w="2241"/>
        <w:gridCol w:w="949"/>
      </w:tblGrid>
      <w:tr w:rsidR="006C17CB">
        <w:trPr>
          <w:trHeight w:val="222"/>
        </w:trPr>
        <w:tc>
          <w:tcPr>
            <w:tcW w:w="5495" w:type="dxa"/>
          </w:tcPr>
          <w:p w:rsidR="006C17CB" w:rsidRDefault="006C17CB">
            <w:pPr>
              <w:pStyle w:val="TableParagraph"/>
              <w:jc w:val="left"/>
              <w:rPr>
                <w:rFonts w:ascii="Times New Roman"/>
                <w:sz w:val="14"/>
              </w:rPr>
            </w:pPr>
          </w:p>
        </w:tc>
        <w:tc>
          <w:tcPr>
            <w:tcW w:w="2241" w:type="dxa"/>
          </w:tcPr>
          <w:p w:rsidR="006C17CB" w:rsidRDefault="0030091C">
            <w:pPr>
              <w:pStyle w:val="TableParagraph"/>
              <w:spacing w:line="202" w:lineRule="exact"/>
              <w:ind w:right="443"/>
              <w:rPr>
                <w:b/>
                <w:sz w:val="20"/>
              </w:rPr>
            </w:pPr>
            <w:r>
              <w:rPr>
                <w:b/>
                <w:color w:val="003366"/>
                <w:w w:val="95"/>
                <w:sz w:val="20"/>
              </w:rPr>
              <w:t>2018</w:t>
            </w:r>
          </w:p>
        </w:tc>
        <w:tc>
          <w:tcPr>
            <w:tcW w:w="949" w:type="dxa"/>
          </w:tcPr>
          <w:p w:rsidR="006C17CB" w:rsidRDefault="0030091C">
            <w:pPr>
              <w:pStyle w:val="TableParagraph"/>
              <w:spacing w:line="202" w:lineRule="exact"/>
              <w:ind w:right="50"/>
              <w:rPr>
                <w:b/>
                <w:sz w:val="20"/>
              </w:rPr>
            </w:pPr>
            <w:r>
              <w:rPr>
                <w:b/>
                <w:color w:val="003366"/>
                <w:w w:val="95"/>
                <w:sz w:val="20"/>
              </w:rPr>
              <w:t>2017</w:t>
            </w:r>
          </w:p>
        </w:tc>
      </w:tr>
      <w:tr w:rsidR="006C17CB">
        <w:trPr>
          <w:trHeight w:val="540"/>
        </w:trPr>
        <w:tc>
          <w:tcPr>
            <w:tcW w:w="5495" w:type="dxa"/>
          </w:tcPr>
          <w:p w:rsidR="006C17CB" w:rsidRDefault="006C17CB">
            <w:pPr>
              <w:pStyle w:val="TableParagraph"/>
              <w:spacing w:before="7"/>
              <w:jc w:val="left"/>
              <w:rPr>
                <w:sz w:val="15"/>
              </w:rPr>
            </w:pPr>
          </w:p>
          <w:p w:rsidR="006C17CB" w:rsidRDefault="0030091C">
            <w:pPr>
              <w:pStyle w:val="TableParagraph"/>
              <w:ind w:left="50"/>
              <w:jc w:val="left"/>
              <w:rPr>
                <w:sz w:val="20"/>
              </w:rPr>
            </w:pPr>
            <w:r>
              <w:rPr>
                <w:color w:val="003366"/>
                <w:sz w:val="20"/>
              </w:rPr>
              <w:t xml:space="preserve">Information Technology Running Costs </w:t>
            </w:r>
            <w:r>
              <w:rPr>
                <w:color w:val="003366"/>
                <w:sz w:val="20"/>
                <w:vertAlign w:val="superscript"/>
              </w:rPr>
              <w:t>a</w:t>
            </w:r>
          </w:p>
        </w:tc>
        <w:tc>
          <w:tcPr>
            <w:tcW w:w="2241" w:type="dxa"/>
          </w:tcPr>
          <w:p w:rsidR="006C17CB" w:rsidRDefault="0030091C">
            <w:pPr>
              <w:pStyle w:val="TableParagraph"/>
              <w:spacing w:line="225" w:lineRule="exact"/>
              <w:ind w:left="1319" w:right="423"/>
              <w:jc w:val="center"/>
              <w:rPr>
                <w:b/>
                <w:sz w:val="20"/>
              </w:rPr>
            </w:pPr>
            <w:r>
              <w:rPr>
                <w:b/>
                <w:color w:val="003366"/>
                <w:sz w:val="20"/>
              </w:rPr>
              <w:t>$’000</w:t>
            </w:r>
          </w:p>
          <w:p w:rsidR="006C17CB" w:rsidRDefault="0030091C">
            <w:pPr>
              <w:pStyle w:val="TableParagraph"/>
              <w:spacing w:line="287" w:lineRule="exact"/>
              <w:ind w:left="1319" w:right="271"/>
              <w:jc w:val="center"/>
              <w:rPr>
                <w:sz w:val="20"/>
              </w:rPr>
            </w:pPr>
            <w:r>
              <w:rPr>
                <w:color w:val="003366"/>
                <w:sz w:val="20"/>
              </w:rPr>
              <w:t>770</w:t>
            </w:r>
          </w:p>
        </w:tc>
        <w:tc>
          <w:tcPr>
            <w:tcW w:w="949" w:type="dxa"/>
          </w:tcPr>
          <w:p w:rsidR="006C17CB" w:rsidRDefault="0030091C">
            <w:pPr>
              <w:pStyle w:val="TableParagraph"/>
              <w:spacing w:line="225" w:lineRule="exact"/>
              <w:ind w:left="420" w:right="30"/>
              <w:jc w:val="center"/>
              <w:rPr>
                <w:b/>
                <w:sz w:val="20"/>
              </w:rPr>
            </w:pPr>
            <w:r>
              <w:rPr>
                <w:b/>
                <w:color w:val="003366"/>
                <w:sz w:val="20"/>
              </w:rPr>
              <w:t>$’000</w:t>
            </w:r>
          </w:p>
          <w:p w:rsidR="006C17CB" w:rsidRDefault="0030091C">
            <w:pPr>
              <w:pStyle w:val="TableParagraph"/>
              <w:spacing w:line="287" w:lineRule="exact"/>
              <w:ind w:left="571" w:right="30"/>
              <w:jc w:val="center"/>
              <w:rPr>
                <w:sz w:val="20"/>
              </w:rPr>
            </w:pPr>
            <w:r>
              <w:rPr>
                <w:color w:val="003366"/>
                <w:sz w:val="20"/>
              </w:rPr>
              <w:t>751</w:t>
            </w:r>
          </w:p>
        </w:tc>
      </w:tr>
      <w:tr w:rsidR="006C17CB">
        <w:trPr>
          <w:trHeight w:val="283"/>
        </w:trPr>
        <w:tc>
          <w:tcPr>
            <w:tcW w:w="5495" w:type="dxa"/>
          </w:tcPr>
          <w:p w:rsidR="006C17CB" w:rsidRDefault="0030091C">
            <w:pPr>
              <w:pStyle w:val="TableParagraph"/>
              <w:spacing w:line="254" w:lineRule="exact"/>
              <w:ind w:left="50"/>
              <w:jc w:val="left"/>
              <w:rPr>
                <w:sz w:val="20"/>
              </w:rPr>
            </w:pPr>
            <w:r>
              <w:rPr>
                <w:color w:val="003366"/>
                <w:sz w:val="20"/>
              </w:rPr>
              <w:t xml:space="preserve">Building Management </w:t>
            </w:r>
            <w:r>
              <w:rPr>
                <w:color w:val="003366"/>
                <w:sz w:val="20"/>
                <w:vertAlign w:val="superscript"/>
              </w:rPr>
              <w:t>b</w:t>
            </w:r>
          </w:p>
        </w:tc>
        <w:tc>
          <w:tcPr>
            <w:tcW w:w="2241" w:type="dxa"/>
          </w:tcPr>
          <w:p w:rsidR="006C17CB" w:rsidRDefault="0030091C">
            <w:pPr>
              <w:pStyle w:val="TableParagraph"/>
              <w:spacing w:line="254" w:lineRule="exact"/>
              <w:ind w:right="443"/>
              <w:rPr>
                <w:sz w:val="20"/>
              </w:rPr>
            </w:pPr>
            <w:r>
              <w:rPr>
                <w:color w:val="003366"/>
                <w:w w:val="95"/>
                <w:sz w:val="20"/>
              </w:rPr>
              <w:t>829</w:t>
            </w:r>
          </w:p>
        </w:tc>
        <w:tc>
          <w:tcPr>
            <w:tcW w:w="949" w:type="dxa"/>
          </w:tcPr>
          <w:p w:rsidR="006C17CB" w:rsidRDefault="0030091C">
            <w:pPr>
              <w:pStyle w:val="TableParagraph"/>
              <w:spacing w:line="254" w:lineRule="exact"/>
              <w:ind w:right="50"/>
              <w:rPr>
                <w:sz w:val="20"/>
              </w:rPr>
            </w:pPr>
            <w:r>
              <w:rPr>
                <w:color w:val="003366"/>
                <w:w w:val="95"/>
                <w:sz w:val="20"/>
              </w:rPr>
              <w:t>774</w:t>
            </w:r>
          </w:p>
        </w:tc>
      </w:tr>
      <w:tr w:rsidR="006C17CB">
        <w:trPr>
          <w:trHeight w:val="293"/>
        </w:trPr>
        <w:tc>
          <w:tcPr>
            <w:tcW w:w="5495" w:type="dxa"/>
          </w:tcPr>
          <w:p w:rsidR="006C17CB" w:rsidRDefault="0030091C">
            <w:pPr>
              <w:pStyle w:val="TableParagraph"/>
              <w:spacing w:line="254" w:lineRule="exact"/>
              <w:ind w:left="50"/>
              <w:jc w:val="left"/>
              <w:rPr>
                <w:sz w:val="20"/>
              </w:rPr>
            </w:pPr>
            <w:r>
              <w:rPr>
                <w:color w:val="003366"/>
                <w:sz w:val="20"/>
              </w:rPr>
              <w:t xml:space="preserve">Accommodation Rental </w:t>
            </w:r>
            <w:r>
              <w:rPr>
                <w:color w:val="003366"/>
                <w:sz w:val="20"/>
                <w:vertAlign w:val="superscript"/>
              </w:rPr>
              <w:t>c</w:t>
            </w:r>
          </w:p>
        </w:tc>
        <w:tc>
          <w:tcPr>
            <w:tcW w:w="2241" w:type="dxa"/>
          </w:tcPr>
          <w:p w:rsidR="006C17CB" w:rsidRDefault="0030091C">
            <w:pPr>
              <w:pStyle w:val="TableParagraph"/>
              <w:spacing w:line="254" w:lineRule="exact"/>
              <w:ind w:right="443"/>
              <w:rPr>
                <w:sz w:val="20"/>
              </w:rPr>
            </w:pPr>
            <w:r>
              <w:rPr>
                <w:color w:val="003366"/>
                <w:w w:val="95"/>
                <w:sz w:val="20"/>
              </w:rPr>
              <w:t>509</w:t>
            </w:r>
          </w:p>
        </w:tc>
        <w:tc>
          <w:tcPr>
            <w:tcW w:w="949" w:type="dxa"/>
          </w:tcPr>
          <w:p w:rsidR="006C17CB" w:rsidRDefault="0030091C">
            <w:pPr>
              <w:pStyle w:val="TableParagraph"/>
              <w:spacing w:line="254" w:lineRule="exact"/>
              <w:ind w:right="50"/>
              <w:rPr>
                <w:sz w:val="20"/>
              </w:rPr>
            </w:pPr>
            <w:r>
              <w:rPr>
                <w:color w:val="003366"/>
                <w:w w:val="95"/>
                <w:sz w:val="20"/>
              </w:rPr>
              <w:t>498</w:t>
            </w:r>
          </w:p>
        </w:tc>
      </w:tr>
      <w:tr w:rsidR="006C17CB">
        <w:trPr>
          <w:trHeight w:val="284"/>
        </w:trPr>
        <w:tc>
          <w:tcPr>
            <w:tcW w:w="5495" w:type="dxa"/>
          </w:tcPr>
          <w:p w:rsidR="006C17CB" w:rsidRDefault="0030091C">
            <w:pPr>
              <w:pStyle w:val="TableParagraph"/>
              <w:spacing w:line="246" w:lineRule="exact"/>
              <w:ind w:left="50"/>
              <w:jc w:val="left"/>
              <w:rPr>
                <w:sz w:val="20"/>
              </w:rPr>
            </w:pPr>
            <w:r>
              <w:rPr>
                <w:color w:val="003366"/>
                <w:sz w:val="20"/>
              </w:rPr>
              <w:t>Consultants, Contractors and Professional Services</w:t>
            </w:r>
          </w:p>
        </w:tc>
        <w:tc>
          <w:tcPr>
            <w:tcW w:w="2241" w:type="dxa"/>
          </w:tcPr>
          <w:p w:rsidR="006C17CB" w:rsidRDefault="0030091C">
            <w:pPr>
              <w:pStyle w:val="TableParagraph"/>
              <w:spacing w:line="246" w:lineRule="exact"/>
              <w:ind w:right="443"/>
              <w:rPr>
                <w:sz w:val="20"/>
              </w:rPr>
            </w:pPr>
            <w:r>
              <w:rPr>
                <w:color w:val="003366"/>
                <w:w w:val="95"/>
                <w:sz w:val="20"/>
              </w:rPr>
              <w:t>268</w:t>
            </w:r>
          </w:p>
        </w:tc>
        <w:tc>
          <w:tcPr>
            <w:tcW w:w="949" w:type="dxa"/>
          </w:tcPr>
          <w:p w:rsidR="006C17CB" w:rsidRDefault="0030091C">
            <w:pPr>
              <w:pStyle w:val="TableParagraph"/>
              <w:spacing w:line="246" w:lineRule="exact"/>
              <w:ind w:right="50"/>
              <w:rPr>
                <w:sz w:val="20"/>
              </w:rPr>
            </w:pPr>
            <w:r>
              <w:rPr>
                <w:color w:val="003366"/>
                <w:w w:val="95"/>
                <w:sz w:val="20"/>
              </w:rPr>
              <w:t>218</w:t>
            </w:r>
          </w:p>
        </w:tc>
      </w:tr>
      <w:tr w:rsidR="006C17CB">
        <w:trPr>
          <w:trHeight w:val="275"/>
        </w:trPr>
        <w:tc>
          <w:tcPr>
            <w:tcW w:w="5495" w:type="dxa"/>
          </w:tcPr>
          <w:p w:rsidR="006C17CB" w:rsidRDefault="0030091C">
            <w:pPr>
              <w:pStyle w:val="TableParagraph"/>
              <w:spacing w:line="245" w:lineRule="exact"/>
              <w:ind w:left="50"/>
              <w:jc w:val="left"/>
              <w:rPr>
                <w:sz w:val="20"/>
              </w:rPr>
            </w:pPr>
            <w:r>
              <w:rPr>
                <w:color w:val="003366"/>
                <w:sz w:val="20"/>
              </w:rPr>
              <w:t>Printing and Stationery</w:t>
            </w:r>
          </w:p>
        </w:tc>
        <w:tc>
          <w:tcPr>
            <w:tcW w:w="2241" w:type="dxa"/>
          </w:tcPr>
          <w:p w:rsidR="006C17CB" w:rsidRDefault="0030091C">
            <w:pPr>
              <w:pStyle w:val="TableParagraph"/>
              <w:spacing w:line="245" w:lineRule="exact"/>
              <w:ind w:right="443"/>
              <w:rPr>
                <w:sz w:val="20"/>
              </w:rPr>
            </w:pPr>
            <w:r>
              <w:rPr>
                <w:color w:val="003366"/>
                <w:w w:val="95"/>
                <w:sz w:val="20"/>
              </w:rPr>
              <w:t>114</w:t>
            </w:r>
          </w:p>
        </w:tc>
        <w:tc>
          <w:tcPr>
            <w:tcW w:w="949" w:type="dxa"/>
          </w:tcPr>
          <w:p w:rsidR="006C17CB" w:rsidRDefault="0030091C">
            <w:pPr>
              <w:pStyle w:val="TableParagraph"/>
              <w:spacing w:line="245" w:lineRule="exact"/>
              <w:ind w:right="50"/>
              <w:rPr>
                <w:sz w:val="20"/>
              </w:rPr>
            </w:pPr>
            <w:r>
              <w:rPr>
                <w:color w:val="003366"/>
                <w:w w:val="95"/>
                <w:sz w:val="20"/>
              </w:rPr>
              <w:t>118</w:t>
            </w:r>
          </w:p>
        </w:tc>
      </w:tr>
      <w:tr w:rsidR="006C17CB">
        <w:trPr>
          <w:trHeight w:val="284"/>
        </w:trPr>
        <w:tc>
          <w:tcPr>
            <w:tcW w:w="5495" w:type="dxa"/>
          </w:tcPr>
          <w:p w:rsidR="006C17CB" w:rsidRDefault="0030091C">
            <w:pPr>
              <w:pStyle w:val="TableParagraph"/>
              <w:spacing w:line="255" w:lineRule="exact"/>
              <w:ind w:left="50"/>
              <w:jc w:val="left"/>
              <w:rPr>
                <w:sz w:val="20"/>
              </w:rPr>
            </w:pPr>
            <w:r>
              <w:rPr>
                <w:color w:val="003366"/>
                <w:sz w:val="20"/>
              </w:rPr>
              <w:t xml:space="preserve">Legal Services and Legislative Drafting </w:t>
            </w:r>
            <w:r>
              <w:rPr>
                <w:color w:val="003366"/>
                <w:sz w:val="20"/>
                <w:vertAlign w:val="superscript"/>
              </w:rPr>
              <w:t>d</w:t>
            </w:r>
          </w:p>
        </w:tc>
        <w:tc>
          <w:tcPr>
            <w:tcW w:w="2241" w:type="dxa"/>
          </w:tcPr>
          <w:p w:rsidR="006C17CB" w:rsidRDefault="0030091C">
            <w:pPr>
              <w:pStyle w:val="TableParagraph"/>
              <w:spacing w:line="255" w:lineRule="exact"/>
              <w:ind w:right="443"/>
              <w:rPr>
                <w:sz w:val="20"/>
              </w:rPr>
            </w:pPr>
            <w:r>
              <w:rPr>
                <w:color w:val="003366"/>
                <w:w w:val="95"/>
                <w:sz w:val="20"/>
              </w:rPr>
              <w:t>258</w:t>
            </w:r>
          </w:p>
        </w:tc>
        <w:tc>
          <w:tcPr>
            <w:tcW w:w="949" w:type="dxa"/>
          </w:tcPr>
          <w:p w:rsidR="006C17CB" w:rsidRDefault="0030091C">
            <w:pPr>
              <w:pStyle w:val="TableParagraph"/>
              <w:spacing w:line="255" w:lineRule="exact"/>
              <w:ind w:right="50"/>
              <w:rPr>
                <w:sz w:val="20"/>
              </w:rPr>
            </w:pPr>
            <w:r>
              <w:rPr>
                <w:color w:val="003366"/>
                <w:w w:val="95"/>
                <w:sz w:val="20"/>
              </w:rPr>
              <w:t>153</w:t>
            </w:r>
          </w:p>
        </w:tc>
      </w:tr>
      <w:tr w:rsidR="006C17CB">
        <w:trPr>
          <w:trHeight w:val="283"/>
        </w:trPr>
        <w:tc>
          <w:tcPr>
            <w:tcW w:w="5495" w:type="dxa"/>
          </w:tcPr>
          <w:p w:rsidR="006C17CB" w:rsidRDefault="0030091C">
            <w:pPr>
              <w:pStyle w:val="TableParagraph"/>
              <w:spacing w:line="254" w:lineRule="exact"/>
              <w:ind w:left="50"/>
              <w:jc w:val="left"/>
              <w:rPr>
                <w:sz w:val="20"/>
              </w:rPr>
            </w:pPr>
            <w:r>
              <w:rPr>
                <w:color w:val="003366"/>
                <w:sz w:val="20"/>
              </w:rPr>
              <w:t xml:space="preserve">Staff Training and Services </w:t>
            </w:r>
            <w:r>
              <w:rPr>
                <w:color w:val="003366"/>
                <w:sz w:val="20"/>
                <w:vertAlign w:val="superscript"/>
              </w:rPr>
              <w:t>e</w:t>
            </w:r>
          </w:p>
        </w:tc>
        <w:tc>
          <w:tcPr>
            <w:tcW w:w="2241" w:type="dxa"/>
          </w:tcPr>
          <w:p w:rsidR="006C17CB" w:rsidRDefault="0030091C">
            <w:pPr>
              <w:pStyle w:val="TableParagraph"/>
              <w:spacing w:line="254" w:lineRule="exact"/>
              <w:ind w:right="443"/>
              <w:rPr>
                <w:sz w:val="20"/>
              </w:rPr>
            </w:pPr>
            <w:r>
              <w:rPr>
                <w:color w:val="003366"/>
                <w:w w:val="95"/>
                <w:sz w:val="20"/>
              </w:rPr>
              <w:t>104</w:t>
            </w:r>
          </w:p>
        </w:tc>
        <w:tc>
          <w:tcPr>
            <w:tcW w:w="949" w:type="dxa"/>
          </w:tcPr>
          <w:p w:rsidR="006C17CB" w:rsidRDefault="0030091C">
            <w:pPr>
              <w:pStyle w:val="TableParagraph"/>
              <w:spacing w:line="254" w:lineRule="exact"/>
              <w:ind w:right="48"/>
              <w:rPr>
                <w:sz w:val="20"/>
              </w:rPr>
            </w:pPr>
            <w:r>
              <w:rPr>
                <w:color w:val="003366"/>
                <w:w w:val="95"/>
                <w:sz w:val="20"/>
              </w:rPr>
              <w:t>69</w:t>
            </w:r>
          </w:p>
        </w:tc>
      </w:tr>
      <w:tr w:rsidR="006C17CB">
        <w:trPr>
          <w:trHeight w:val="293"/>
        </w:trPr>
        <w:tc>
          <w:tcPr>
            <w:tcW w:w="5495" w:type="dxa"/>
          </w:tcPr>
          <w:p w:rsidR="006C17CB" w:rsidRDefault="0030091C">
            <w:pPr>
              <w:pStyle w:val="TableParagraph"/>
              <w:spacing w:line="254" w:lineRule="exact"/>
              <w:ind w:left="50"/>
              <w:jc w:val="left"/>
              <w:rPr>
                <w:sz w:val="20"/>
              </w:rPr>
            </w:pPr>
            <w:r>
              <w:rPr>
                <w:color w:val="003366"/>
                <w:sz w:val="20"/>
              </w:rPr>
              <w:t xml:space="preserve">Recording and Transcription </w:t>
            </w:r>
            <w:r>
              <w:rPr>
                <w:color w:val="003366"/>
                <w:sz w:val="20"/>
                <w:vertAlign w:val="superscript"/>
              </w:rPr>
              <w:t>f</w:t>
            </w:r>
          </w:p>
        </w:tc>
        <w:tc>
          <w:tcPr>
            <w:tcW w:w="2241" w:type="dxa"/>
          </w:tcPr>
          <w:p w:rsidR="006C17CB" w:rsidRDefault="0030091C">
            <w:pPr>
              <w:pStyle w:val="TableParagraph"/>
              <w:spacing w:line="254" w:lineRule="exact"/>
              <w:ind w:right="443"/>
              <w:rPr>
                <w:sz w:val="20"/>
              </w:rPr>
            </w:pPr>
            <w:r>
              <w:rPr>
                <w:color w:val="003366"/>
                <w:w w:val="95"/>
                <w:sz w:val="20"/>
              </w:rPr>
              <w:t>170</w:t>
            </w:r>
          </w:p>
        </w:tc>
        <w:tc>
          <w:tcPr>
            <w:tcW w:w="949" w:type="dxa"/>
          </w:tcPr>
          <w:p w:rsidR="006C17CB" w:rsidRDefault="0030091C">
            <w:pPr>
              <w:pStyle w:val="TableParagraph"/>
              <w:spacing w:line="254" w:lineRule="exact"/>
              <w:ind w:right="48"/>
              <w:rPr>
                <w:sz w:val="20"/>
              </w:rPr>
            </w:pPr>
            <w:r>
              <w:rPr>
                <w:color w:val="003366"/>
                <w:w w:val="95"/>
                <w:sz w:val="20"/>
              </w:rPr>
              <w:t>86</w:t>
            </w:r>
          </w:p>
        </w:tc>
      </w:tr>
      <w:tr w:rsidR="006C17CB">
        <w:trPr>
          <w:trHeight w:val="284"/>
        </w:trPr>
        <w:tc>
          <w:tcPr>
            <w:tcW w:w="5495" w:type="dxa"/>
          </w:tcPr>
          <w:p w:rsidR="006C17CB" w:rsidRDefault="0030091C">
            <w:pPr>
              <w:pStyle w:val="TableParagraph"/>
              <w:spacing w:line="246" w:lineRule="exact"/>
              <w:ind w:left="50"/>
              <w:jc w:val="left"/>
              <w:rPr>
                <w:sz w:val="20"/>
              </w:rPr>
            </w:pPr>
            <w:r>
              <w:rPr>
                <w:color w:val="003366"/>
                <w:sz w:val="20"/>
              </w:rPr>
              <w:t>Library Materials</w:t>
            </w:r>
          </w:p>
        </w:tc>
        <w:tc>
          <w:tcPr>
            <w:tcW w:w="2241" w:type="dxa"/>
          </w:tcPr>
          <w:p w:rsidR="006C17CB" w:rsidRDefault="0030091C">
            <w:pPr>
              <w:pStyle w:val="TableParagraph"/>
              <w:spacing w:line="246" w:lineRule="exact"/>
              <w:ind w:right="440"/>
              <w:rPr>
                <w:sz w:val="20"/>
              </w:rPr>
            </w:pPr>
            <w:r>
              <w:rPr>
                <w:color w:val="003366"/>
                <w:w w:val="95"/>
                <w:sz w:val="20"/>
              </w:rPr>
              <w:t>90</w:t>
            </w:r>
          </w:p>
        </w:tc>
        <w:tc>
          <w:tcPr>
            <w:tcW w:w="949" w:type="dxa"/>
          </w:tcPr>
          <w:p w:rsidR="006C17CB" w:rsidRDefault="0030091C">
            <w:pPr>
              <w:pStyle w:val="TableParagraph"/>
              <w:spacing w:line="246" w:lineRule="exact"/>
              <w:ind w:right="48"/>
              <w:rPr>
                <w:sz w:val="20"/>
              </w:rPr>
            </w:pPr>
            <w:r>
              <w:rPr>
                <w:color w:val="003366"/>
                <w:w w:val="95"/>
                <w:sz w:val="20"/>
              </w:rPr>
              <w:t>87</w:t>
            </w:r>
          </w:p>
        </w:tc>
      </w:tr>
      <w:tr w:rsidR="006C17CB">
        <w:trPr>
          <w:trHeight w:val="274"/>
        </w:trPr>
        <w:tc>
          <w:tcPr>
            <w:tcW w:w="5495" w:type="dxa"/>
          </w:tcPr>
          <w:p w:rsidR="006C17CB" w:rsidRDefault="0030091C">
            <w:pPr>
              <w:pStyle w:val="TableParagraph"/>
              <w:spacing w:line="245" w:lineRule="exact"/>
              <w:ind w:left="50"/>
              <w:jc w:val="left"/>
              <w:rPr>
                <w:sz w:val="20"/>
              </w:rPr>
            </w:pPr>
            <w:r>
              <w:rPr>
                <w:color w:val="003366"/>
                <w:sz w:val="20"/>
              </w:rPr>
              <w:t>Insurance Premium</w:t>
            </w:r>
          </w:p>
        </w:tc>
        <w:tc>
          <w:tcPr>
            <w:tcW w:w="2241" w:type="dxa"/>
          </w:tcPr>
          <w:p w:rsidR="006C17CB" w:rsidRDefault="0030091C">
            <w:pPr>
              <w:pStyle w:val="TableParagraph"/>
              <w:spacing w:line="245" w:lineRule="exact"/>
              <w:ind w:right="440"/>
              <w:rPr>
                <w:sz w:val="20"/>
              </w:rPr>
            </w:pPr>
            <w:r>
              <w:rPr>
                <w:color w:val="003366"/>
                <w:w w:val="95"/>
                <w:sz w:val="20"/>
              </w:rPr>
              <w:t>65</w:t>
            </w:r>
          </w:p>
        </w:tc>
        <w:tc>
          <w:tcPr>
            <w:tcW w:w="949" w:type="dxa"/>
          </w:tcPr>
          <w:p w:rsidR="006C17CB" w:rsidRDefault="0030091C">
            <w:pPr>
              <w:pStyle w:val="TableParagraph"/>
              <w:spacing w:line="245" w:lineRule="exact"/>
              <w:ind w:right="48"/>
              <w:rPr>
                <w:sz w:val="20"/>
              </w:rPr>
            </w:pPr>
            <w:r>
              <w:rPr>
                <w:color w:val="003366"/>
                <w:w w:val="95"/>
                <w:sz w:val="20"/>
              </w:rPr>
              <w:t>77</w:t>
            </w:r>
          </w:p>
        </w:tc>
      </w:tr>
      <w:tr w:rsidR="006C17CB">
        <w:trPr>
          <w:trHeight w:val="293"/>
        </w:trPr>
        <w:tc>
          <w:tcPr>
            <w:tcW w:w="5495" w:type="dxa"/>
          </w:tcPr>
          <w:p w:rsidR="006C17CB" w:rsidRDefault="0030091C">
            <w:pPr>
              <w:pStyle w:val="TableParagraph"/>
              <w:spacing w:line="254" w:lineRule="exact"/>
              <w:ind w:left="50"/>
              <w:jc w:val="left"/>
              <w:rPr>
                <w:sz w:val="20"/>
              </w:rPr>
            </w:pPr>
            <w:r>
              <w:rPr>
                <w:color w:val="003366"/>
                <w:sz w:val="20"/>
              </w:rPr>
              <w:t xml:space="preserve">Travel </w:t>
            </w:r>
            <w:r>
              <w:rPr>
                <w:color w:val="003366"/>
                <w:sz w:val="20"/>
                <w:vertAlign w:val="superscript"/>
              </w:rPr>
              <w:t>g</w:t>
            </w:r>
          </w:p>
        </w:tc>
        <w:tc>
          <w:tcPr>
            <w:tcW w:w="2241" w:type="dxa"/>
          </w:tcPr>
          <w:p w:rsidR="006C17CB" w:rsidRDefault="0030091C">
            <w:pPr>
              <w:pStyle w:val="TableParagraph"/>
              <w:spacing w:line="254" w:lineRule="exact"/>
              <w:ind w:right="440"/>
              <w:rPr>
                <w:sz w:val="20"/>
              </w:rPr>
            </w:pPr>
            <w:r>
              <w:rPr>
                <w:color w:val="003366"/>
                <w:w w:val="95"/>
                <w:sz w:val="20"/>
              </w:rPr>
              <w:t>68</w:t>
            </w:r>
          </w:p>
        </w:tc>
        <w:tc>
          <w:tcPr>
            <w:tcW w:w="949" w:type="dxa"/>
          </w:tcPr>
          <w:p w:rsidR="006C17CB" w:rsidRDefault="0030091C">
            <w:pPr>
              <w:pStyle w:val="TableParagraph"/>
              <w:spacing w:line="254" w:lineRule="exact"/>
              <w:ind w:right="50"/>
              <w:rPr>
                <w:sz w:val="20"/>
              </w:rPr>
            </w:pPr>
            <w:r>
              <w:rPr>
                <w:color w:val="003366"/>
                <w:w w:val="95"/>
                <w:sz w:val="20"/>
              </w:rPr>
              <w:t>115</w:t>
            </w:r>
          </w:p>
        </w:tc>
      </w:tr>
      <w:tr w:rsidR="006C17CB">
        <w:trPr>
          <w:trHeight w:val="284"/>
        </w:trPr>
        <w:tc>
          <w:tcPr>
            <w:tcW w:w="5495" w:type="dxa"/>
          </w:tcPr>
          <w:p w:rsidR="006C17CB" w:rsidRDefault="0030091C">
            <w:pPr>
              <w:pStyle w:val="TableParagraph"/>
              <w:spacing w:line="246" w:lineRule="exact"/>
              <w:ind w:left="50"/>
              <w:jc w:val="left"/>
              <w:rPr>
                <w:sz w:val="20"/>
              </w:rPr>
            </w:pPr>
            <w:r>
              <w:rPr>
                <w:color w:val="003366"/>
                <w:sz w:val="20"/>
              </w:rPr>
              <w:t>Telephone</w:t>
            </w:r>
          </w:p>
        </w:tc>
        <w:tc>
          <w:tcPr>
            <w:tcW w:w="2241" w:type="dxa"/>
          </w:tcPr>
          <w:p w:rsidR="006C17CB" w:rsidRDefault="0030091C">
            <w:pPr>
              <w:pStyle w:val="TableParagraph"/>
              <w:spacing w:line="246" w:lineRule="exact"/>
              <w:ind w:right="440"/>
              <w:rPr>
                <w:sz w:val="20"/>
              </w:rPr>
            </w:pPr>
            <w:r>
              <w:rPr>
                <w:color w:val="003366"/>
                <w:w w:val="95"/>
                <w:sz w:val="20"/>
              </w:rPr>
              <w:t>53</w:t>
            </w:r>
          </w:p>
        </w:tc>
        <w:tc>
          <w:tcPr>
            <w:tcW w:w="949" w:type="dxa"/>
          </w:tcPr>
          <w:p w:rsidR="006C17CB" w:rsidRDefault="0030091C">
            <w:pPr>
              <w:pStyle w:val="TableParagraph"/>
              <w:spacing w:line="246" w:lineRule="exact"/>
              <w:ind w:right="48"/>
              <w:rPr>
                <w:sz w:val="20"/>
              </w:rPr>
            </w:pPr>
            <w:r>
              <w:rPr>
                <w:color w:val="003366"/>
                <w:w w:val="95"/>
                <w:sz w:val="20"/>
              </w:rPr>
              <w:t>35</w:t>
            </w:r>
          </w:p>
        </w:tc>
      </w:tr>
      <w:tr w:rsidR="006C17CB">
        <w:trPr>
          <w:trHeight w:val="275"/>
        </w:trPr>
        <w:tc>
          <w:tcPr>
            <w:tcW w:w="5495" w:type="dxa"/>
          </w:tcPr>
          <w:p w:rsidR="006C17CB" w:rsidRDefault="0030091C">
            <w:pPr>
              <w:pStyle w:val="TableParagraph"/>
              <w:spacing w:line="245" w:lineRule="exact"/>
              <w:ind w:left="50"/>
              <w:jc w:val="left"/>
              <w:rPr>
                <w:sz w:val="20"/>
              </w:rPr>
            </w:pPr>
            <w:r>
              <w:rPr>
                <w:color w:val="003366"/>
                <w:sz w:val="20"/>
              </w:rPr>
              <w:t>Hospitality and Functions</w:t>
            </w:r>
          </w:p>
        </w:tc>
        <w:tc>
          <w:tcPr>
            <w:tcW w:w="2241" w:type="dxa"/>
          </w:tcPr>
          <w:p w:rsidR="006C17CB" w:rsidRDefault="0030091C">
            <w:pPr>
              <w:pStyle w:val="TableParagraph"/>
              <w:spacing w:line="245" w:lineRule="exact"/>
              <w:ind w:right="440"/>
              <w:rPr>
                <w:sz w:val="20"/>
              </w:rPr>
            </w:pPr>
            <w:r>
              <w:rPr>
                <w:color w:val="003366"/>
                <w:w w:val="95"/>
                <w:sz w:val="20"/>
              </w:rPr>
              <w:t>24</w:t>
            </w:r>
          </w:p>
        </w:tc>
        <w:tc>
          <w:tcPr>
            <w:tcW w:w="949" w:type="dxa"/>
          </w:tcPr>
          <w:p w:rsidR="006C17CB" w:rsidRDefault="0030091C">
            <w:pPr>
              <w:pStyle w:val="TableParagraph"/>
              <w:spacing w:line="245" w:lineRule="exact"/>
              <w:ind w:right="48"/>
              <w:rPr>
                <w:sz w:val="20"/>
              </w:rPr>
            </w:pPr>
            <w:r>
              <w:rPr>
                <w:color w:val="003366"/>
                <w:w w:val="95"/>
                <w:sz w:val="20"/>
              </w:rPr>
              <w:t>26</w:t>
            </w:r>
          </w:p>
        </w:tc>
      </w:tr>
      <w:tr w:rsidR="006C17CB">
        <w:trPr>
          <w:trHeight w:val="293"/>
        </w:trPr>
        <w:tc>
          <w:tcPr>
            <w:tcW w:w="5495" w:type="dxa"/>
          </w:tcPr>
          <w:p w:rsidR="006C17CB" w:rsidRDefault="0030091C">
            <w:pPr>
              <w:pStyle w:val="TableParagraph"/>
              <w:spacing w:line="255" w:lineRule="exact"/>
              <w:ind w:left="50"/>
              <w:jc w:val="left"/>
              <w:rPr>
                <w:sz w:val="20"/>
              </w:rPr>
            </w:pPr>
            <w:r>
              <w:rPr>
                <w:color w:val="003366"/>
                <w:sz w:val="20"/>
              </w:rPr>
              <w:t xml:space="preserve">Internal and External Audit Fees </w:t>
            </w:r>
            <w:r>
              <w:rPr>
                <w:color w:val="003366"/>
                <w:sz w:val="20"/>
                <w:vertAlign w:val="superscript"/>
              </w:rPr>
              <w:t>h</w:t>
            </w:r>
          </w:p>
        </w:tc>
        <w:tc>
          <w:tcPr>
            <w:tcW w:w="2241" w:type="dxa"/>
          </w:tcPr>
          <w:p w:rsidR="006C17CB" w:rsidRDefault="0030091C">
            <w:pPr>
              <w:pStyle w:val="TableParagraph"/>
              <w:spacing w:line="255" w:lineRule="exact"/>
              <w:ind w:right="440"/>
              <w:rPr>
                <w:sz w:val="20"/>
              </w:rPr>
            </w:pPr>
            <w:r>
              <w:rPr>
                <w:color w:val="003366"/>
                <w:w w:val="95"/>
                <w:sz w:val="20"/>
              </w:rPr>
              <w:t>71</w:t>
            </w:r>
          </w:p>
        </w:tc>
        <w:tc>
          <w:tcPr>
            <w:tcW w:w="949" w:type="dxa"/>
          </w:tcPr>
          <w:p w:rsidR="006C17CB" w:rsidRDefault="0030091C">
            <w:pPr>
              <w:pStyle w:val="TableParagraph"/>
              <w:spacing w:line="255" w:lineRule="exact"/>
              <w:ind w:right="48"/>
              <w:rPr>
                <w:sz w:val="20"/>
              </w:rPr>
            </w:pPr>
            <w:r>
              <w:rPr>
                <w:color w:val="003366"/>
                <w:w w:val="95"/>
                <w:sz w:val="20"/>
              </w:rPr>
              <w:t>55</w:t>
            </w:r>
          </w:p>
        </w:tc>
      </w:tr>
      <w:tr w:rsidR="006C17CB">
        <w:trPr>
          <w:trHeight w:val="283"/>
        </w:trPr>
        <w:tc>
          <w:tcPr>
            <w:tcW w:w="5495" w:type="dxa"/>
          </w:tcPr>
          <w:p w:rsidR="006C17CB" w:rsidRDefault="0030091C">
            <w:pPr>
              <w:pStyle w:val="TableParagraph"/>
              <w:spacing w:line="245" w:lineRule="exact"/>
              <w:ind w:left="50"/>
              <w:jc w:val="left"/>
              <w:rPr>
                <w:sz w:val="20"/>
              </w:rPr>
            </w:pPr>
            <w:r>
              <w:rPr>
                <w:color w:val="003366"/>
                <w:sz w:val="20"/>
              </w:rPr>
              <w:t>Advertising</w:t>
            </w:r>
          </w:p>
        </w:tc>
        <w:tc>
          <w:tcPr>
            <w:tcW w:w="2241" w:type="dxa"/>
          </w:tcPr>
          <w:p w:rsidR="006C17CB" w:rsidRDefault="0030091C">
            <w:pPr>
              <w:pStyle w:val="TableParagraph"/>
              <w:spacing w:line="245" w:lineRule="exact"/>
              <w:ind w:right="440"/>
              <w:rPr>
                <w:sz w:val="20"/>
              </w:rPr>
            </w:pPr>
            <w:r>
              <w:rPr>
                <w:color w:val="003366"/>
                <w:w w:val="95"/>
                <w:sz w:val="20"/>
              </w:rPr>
              <w:t>11</w:t>
            </w:r>
          </w:p>
        </w:tc>
        <w:tc>
          <w:tcPr>
            <w:tcW w:w="949" w:type="dxa"/>
          </w:tcPr>
          <w:p w:rsidR="006C17CB" w:rsidRDefault="0030091C">
            <w:pPr>
              <w:pStyle w:val="TableParagraph"/>
              <w:spacing w:line="245" w:lineRule="exact"/>
              <w:ind w:right="48"/>
              <w:rPr>
                <w:sz w:val="20"/>
              </w:rPr>
            </w:pPr>
            <w:r>
              <w:rPr>
                <w:color w:val="003366"/>
                <w:w w:val="95"/>
                <w:sz w:val="20"/>
              </w:rPr>
              <w:t>27</w:t>
            </w:r>
          </w:p>
        </w:tc>
      </w:tr>
      <w:tr w:rsidR="006C17CB">
        <w:trPr>
          <w:trHeight w:val="241"/>
        </w:trPr>
        <w:tc>
          <w:tcPr>
            <w:tcW w:w="5495" w:type="dxa"/>
          </w:tcPr>
          <w:p w:rsidR="006C17CB" w:rsidRDefault="0030091C">
            <w:pPr>
              <w:pStyle w:val="TableParagraph"/>
              <w:spacing w:line="221" w:lineRule="exact"/>
              <w:ind w:left="50"/>
              <w:jc w:val="left"/>
              <w:rPr>
                <w:sz w:val="20"/>
              </w:rPr>
            </w:pPr>
            <w:r>
              <w:rPr>
                <w:color w:val="003366"/>
                <w:sz w:val="20"/>
              </w:rPr>
              <w:t>Assembly Broadcasting</w:t>
            </w:r>
          </w:p>
        </w:tc>
        <w:tc>
          <w:tcPr>
            <w:tcW w:w="2241" w:type="dxa"/>
          </w:tcPr>
          <w:p w:rsidR="006C17CB" w:rsidRDefault="0030091C">
            <w:pPr>
              <w:pStyle w:val="TableParagraph"/>
              <w:spacing w:line="221" w:lineRule="exact"/>
              <w:ind w:right="440"/>
              <w:rPr>
                <w:sz w:val="20"/>
              </w:rPr>
            </w:pPr>
            <w:r>
              <w:rPr>
                <w:color w:val="003366"/>
                <w:w w:val="95"/>
                <w:sz w:val="20"/>
              </w:rPr>
              <w:t>53</w:t>
            </w:r>
          </w:p>
        </w:tc>
        <w:tc>
          <w:tcPr>
            <w:tcW w:w="949" w:type="dxa"/>
          </w:tcPr>
          <w:p w:rsidR="006C17CB" w:rsidRDefault="0030091C">
            <w:pPr>
              <w:pStyle w:val="TableParagraph"/>
              <w:spacing w:line="221" w:lineRule="exact"/>
              <w:ind w:right="48"/>
              <w:rPr>
                <w:sz w:val="20"/>
              </w:rPr>
            </w:pPr>
            <w:r>
              <w:rPr>
                <w:color w:val="003366"/>
                <w:w w:val="95"/>
                <w:sz w:val="20"/>
              </w:rPr>
              <w:t>53</w:t>
            </w:r>
          </w:p>
        </w:tc>
      </w:tr>
    </w:tbl>
    <w:p w:rsidR="006C17CB" w:rsidRDefault="0030091C">
      <w:pPr>
        <w:tabs>
          <w:tab w:val="left" w:pos="6757"/>
          <w:tab w:val="left" w:pos="7863"/>
          <w:tab w:val="left" w:pos="9205"/>
        </w:tabs>
        <w:spacing w:before="1" w:line="288" w:lineRule="exact"/>
        <w:ind w:left="822"/>
        <w:rPr>
          <w:rFonts w:ascii="Calibri"/>
          <w:sz w:val="20"/>
        </w:rPr>
      </w:pPr>
      <w:r>
        <w:rPr>
          <w:rFonts w:ascii="Calibri"/>
          <w:color w:val="003366"/>
          <w:sz w:val="20"/>
        </w:rPr>
        <w:t>Other</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71</w:t>
      </w:r>
      <w:r>
        <w:rPr>
          <w:rFonts w:ascii="Calibri"/>
          <w:color w:val="003366"/>
          <w:sz w:val="20"/>
          <w:u w:val="single" w:color="003366"/>
        </w:rPr>
        <w:tab/>
        <w:t>74</w:t>
      </w:r>
      <w:r>
        <w:rPr>
          <w:rFonts w:ascii="Calibri"/>
          <w:color w:val="003366"/>
          <w:spacing w:val="13"/>
          <w:sz w:val="20"/>
          <w:u w:val="single" w:color="003366"/>
        </w:rPr>
        <w:t xml:space="preserve"> </w:t>
      </w:r>
    </w:p>
    <w:p w:rsidR="006C17CB" w:rsidRDefault="0030091C">
      <w:pPr>
        <w:tabs>
          <w:tab w:val="left" w:pos="7609"/>
          <w:tab w:val="left" w:pos="8951"/>
        </w:tabs>
        <w:ind w:left="822"/>
        <w:rPr>
          <w:rFonts w:ascii="Calibri"/>
          <w:b/>
          <w:sz w:val="20"/>
        </w:rPr>
      </w:pPr>
      <w:r>
        <w:rPr>
          <w:rFonts w:ascii="Calibri"/>
          <w:b/>
          <w:color w:val="003366"/>
          <w:sz w:val="20"/>
        </w:rPr>
        <w:t>Total Supplies</w:t>
      </w:r>
      <w:r>
        <w:rPr>
          <w:rFonts w:ascii="Calibri"/>
          <w:b/>
          <w:color w:val="003366"/>
          <w:spacing w:val="-5"/>
          <w:sz w:val="20"/>
        </w:rPr>
        <w:t xml:space="preserve"> </w:t>
      </w:r>
      <w:r>
        <w:rPr>
          <w:rFonts w:ascii="Calibri"/>
          <w:b/>
          <w:color w:val="003366"/>
          <w:sz w:val="20"/>
        </w:rPr>
        <w:t>and</w:t>
      </w:r>
      <w:r>
        <w:rPr>
          <w:rFonts w:ascii="Calibri"/>
          <w:b/>
          <w:color w:val="003366"/>
          <w:spacing w:val="-1"/>
          <w:sz w:val="20"/>
        </w:rPr>
        <w:t xml:space="preserve"> </w:t>
      </w:r>
      <w:r>
        <w:rPr>
          <w:rFonts w:ascii="Calibri"/>
          <w:b/>
          <w:color w:val="003366"/>
          <w:sz w:val="20"/>
        </w:rPr>
        <w:t>Services</w:t>
      </w:r>
      <w:r>
        <w:rPr>
          <w:rFonts w:ascii="Calibri"/>
          <w:b/>
          <w:color w:val="003366"/>
          <w:sz w:val="20"/>
        </w:rPr>
        <w:tab/>
        <w:t>3,528</w:t>
      </w:r>
      <w:r>
        <w:rPr>
          <w:rFonts w:ascii="Calibri"/>
          <w:b/>
          <w:color w:val="003366"/>
          <w:sz w:val="20"/>
        </w:rPr>
        <w:tab/>
        <w:t>3,216</w:t>
      </w:r>
    </w:p>
    <w:p w:rsidR="006C17CB" w:rsidRDefault="00FE24A7">
      <w:pPr>
        <w:pStyle w:val="BodyText"/>
        <w:spacing w:line="29" w:lineRule="exact"/>
        <w:ind w:left="6752"/>
        <w:rPr>
          <w:rFonts w:ascii="Calibri"/>
          <w:sz w:val="2"/>
        </w:rPr>
      </w:pPr>
      <w:r>
        <w:rPr>
          <w:rFonts w:ascii="Calibri"/>
          <w:sz w:val="2"/>
        </w:rPr>
      </w:r>
      <w:r>
        <w:rPr>
          <w:rFonts w:ascii="Calibri"/>
          <w:sz w:val="2"/>
        </w:rPr>
        <w:pict>
          <v:group id="_x0000_s1375" alt="" style="width:137.8pt;height:1.45pt;mso-position-horizontal-relative:char;mso-position-vertical-relative:line" coordsize="2756,29">
            <v:line id="_x0000_s1376" alt="" style="position:absolute" from="0,5" to="1414,5" strokecolor="#036" strokeweight=".48pt"/>
            <v:line id="_x0000_s1377" alt="" style="position:absolute" from="0,24" to="1414,24" strokecolor="#036" strokeweight=".17003mm"/>
            <v:rect id="_x0000_s1378" alt="" style="position:absolute;left:1413;width:29;height:10" fillcolor="#036" stroked="f"/>
            <v:rect id="_x0000_s1379" alt="" style="position:absolute;left:1413;top:19;width:29;height:10" fillcolor="#036" stroked="f"/>
            <v:line id="_x0000_s1380" alt="" style="position:absolute" from="1442,5" to="2755,5" strokecolor="#036" strokeweight=".48pt"/>
            <v:line id="_x0000_s1381" alt="" style="position:absolute" from="1442,24" to="2755,24" strokecolor="#036" strokeweight=".17003mm"/>
            <w10:anchorlock/>
          </v:group>
        </w:pict>
      </w:r>
    </w:p>
    <w:p w:rsidR="006C17CB" w:rsidRDefault="006C17CB">
      <w:pPr>
        <w:pStyle w:val="BodyText"/>
        <w:spacing w:before="4"/>
        <w:rPr>
          <w:rFonts w:ascii="Calibri"/>
          <w:b/>
          <w:sz w:val="13"/>
        </w:rPr>
      </w:pPr>
    </w:p>
    <w:p w:rsidR="006C17CB" w:rsidRDefault="0030091C">
      <w:pPr>
        <w:pStyle w:val="ListParagraph"/>
        <w:numPr>
          <w:ilvl w:val="0"/>
          <w:numId w:val="11"/>
        </w:numPr>
        <w:tabs>
          <w:tab w:val="left" w:pos="1182"/>
          <w:tab w:val="left" w:pos="1183"/>
        </w:tabs>
        <w:spacing w:before="58" w:line="201" w:lineRule="auto"/>
        <w:ind w:right="1517"/>
        <w:rPr>
          <w:rFonts w:ascii="Calibri" w:hAnsi="Calibri"/>
          <w:sz w:val="18"/>
        </w:rPr>
      </w:pPr>
      <w:r>
        <w:rPr>
          <w:rFonts w:ascii="Calibri" w:hAnsi="Calibri"/>
          <w:color w:val="003366"/>
          <w:sz w:val="18"/>
        </w:rPr>
        <w:t>Information technology running costs have increased largely due to the upgrade of the Office’s information technology equipment to provide more flexibility for members and</w:t>
      </w:r>
      <w:r>
        <w:rPr>
          <w:rFonts w:ascii="Calibri" w:hAnsi="Calibri"/>
          <w:color w:val="003366"/>
          <w:spacing w:val="-4"/>
          <w:sz w:val="18"/>
        </w:rPr>
        <w:t xml:space="preserve"> </w:t>
      </w:r>
      <w:r>
        <w:rPr>
          <w:rFonts w:ascii="Calibri" w:hAnsi="Calibri"/>
          <w:color w:val="003366"/>
          <w:sz w:val="18"/>
        </w:rPr>
        <w:t>staff.</w:t>
      </w:r>
    </w:p>
    <w:p w:rsidR="006C17CB" w:rsidRDefault="0030091C">
      <w:pPr>
        <w:pStyle w:val="ListParagraph"/>
        <w:numPr>
          <w:ilvl w:val="0"/>
          <w:numId w:val="11"/>
        </w:numPr>
        <w:tabs>
          <w:tab w:val="left" w:pos="1182"/>
          <w:tab w:val="left" w:pos="1183"/>
        </w:tabs>
        <w:spacing w:before="123" w:line="201" w:lineRule="auto"/>
        <w:ind w:right="1521"/>
        <w:rPr>
          <w:rFonts w:ascii="Calibri"/>
          <w:sz w:val="18"/>
        </w:rPr>
      </w:pPr>
      <w:r>
        <w:rPr>
          <w:rFonts w:ascii="Calibri"/>
          <w:color w:val="003366"/>
          <w:sz w:val="18"/>
        </w:rPr>
        <w:t>Building</w:t>
      </w:r>
      <w:r>
        <w:rPr>
          <w:rFonts w:ascii="Calibri"/>
          <w:color w:val="003366"/>
          <w:spacing w:val="-10"/>
          <w:sz w:val="18"/>
        </w:rPr>
        <w:t xml:space="preserve"> </w:t>
      </w:r>
      <w:r>
        <w:rPr>
          <w:rFonts w:ascii="Calibri"/>
          <w:color w:val="003366"/>
          <w:sz w:val="18"/>
        </w:rPr>
        <w:t>management</w:t>
      </w:r>
      <w:r>
        <w:rPr>
          <w:rFonts w:ascii="Calibri"/>
          <w:color w:val="003366"/>
          <w:spacing w:val="-7"/>
          <w:sz w:val="18"/>
        </w:rPr>
        <w:t xml:space="preserve"> </w:t>
      </w:r>
      <w:r>
        <w:rPr>
          <w:rFonts w:ascii="Calibri"/>
          <w:color w:val="003366"/>
          <w:sz w:val="18"/>
        </w:rPr>
        <w:t>expenses</w:t>
      </w:r>
      <w:r>
        <w:rPr>
          <w:rFonts w:ascii="Calibri"/>
          <w:color w:val="003366"/>
          <w:spacing w:val="-8"/>
          <w:sz w:val="18"/>
        </w:rPr>
        <w:t xml:space="preserve"> </w:t>
      </w:r>
      <w:r>
        <w:rPr>
          <w:rFonts w:ascii="Calibri"/>
          <w:color w:val="003366"/>
          <w:sz w:val="18"/>
        </w:rPr>
        <w:t>increased</w:t>
      </w:r>
      <w:r>
        <w:rPr>
          <w:rFonts w:ascii="Calibri"/>
          <w:color w:val="003366"/>
          <w:spacing w:val="-11"/>
          <w:sz w:val="18"/>
        </w:rPr>
        <w:t xml:space="preserve"> </w:t>
      </w:r>
      <w:r>
        <w:rPr>
          <w:rFonts w:ascii="Calibri"/>
          <w:color w:val="003366"/>
          <w:sz w:val="18"/>
        </w:rPr>
        <w:t>largely</w:t>
      </w:r>
      <w:r>
        <w:rPr>
          <w:rFonts w:ascii="Calibri"/>
          <w:color w:val="003366"/>
          <w:spacing w:val="-7"/>
          <w:sz w:val="18"/>
        </w:rPr>
        <w:t xml:space="preserve"> </w:t>
      </w:r>
      <w:r>
        <w:rPr>
          <w:rFonts w:ascii="Calibri"/>
          <w:color w:val="003366"/>
          <w:sz w:val="18"/>
        </w:rPr>
        <w:t>due</w:t>
      </w:r>
      <w:r>
        <w:rPr>
          <w:rFonts w:ascii="Calibri"/>
          <w:color w:val="003366"/>
          <w:spacing w:val="-10"/>
          <w:sz w:val="18"/>
        </w:rPr>
        <w:t xml:space="preserve"> </w:t>
      </w:r>
      <w:r>
        <w:rPr>
          <w:rFonts w:ascii="Calibri"/>
          <w:color w:val="003366"/>
          <w:sz w:val="18"/>
        </w:rPr>
        <w:t>to</w:t>
      </w:r>
      <w:r>
        <w:rPr>
          <w:rFonts w:ascii="Calibri"/>
          <w:color w:val="003366"/>
          <w:spacing w:val="-7"/>
          <w:sz w:val="18"/>
        </w:rPr>
        <w:t xml:space="preserve"> </w:t>
      </w:r>
      <w:r>
        <w:rPr>
          <w:rFonts w:ascii="Calibri"/>
          <w:color w:val="003366"/>
          <w:sz w:val="18"/>
        </w:rPr>
        <w:t>unscheduled</w:t>
      </w:r>
      <w:r>
        <w:rPr>
          <w:rFonts w:ascii="Calibri"/>
          <w:color w:val="003366"/>
          <w:spacing w:val="-10"/>
          <w:sz w:val="18"/>
        </w:rPr>
        <w:t xml:space="preserve"> </w:t>
      </w:r>
      <w:r>
        <w:rPr>
          <w:rFonts w:ascii="Calibri"/>
          <w:color w:val="003366"/>
          <w:sz w:val="18"/>
        </w:rPr>
        <w:t>maintenance</w:t>
      </w:r>
      <w:r>
        <w:rPr>
          <w:rFonts w:ascii="Calibri"/>
          <w:color w:val="003366"/>
          <w:spacing w:val="-8"/>
          <w:sz w:val="18"/>
        </w:rPr>
        <w:t xml:space="preserve"> </w:t>
      </w:r>
      <w:r>
        <w:rPr>
          <w:rFonts w:ascii="Calibri"/>
          <w:color w:val="003366"/>
          <w:sz w:val="18"/>
        </w:rPr>
        <w:t>on</w:t>
      </w:r>
      <w:r>
        <w:rPr>
          <w:rFonts w:ascii="Calibri"/>
          <w:color w:val="003366"/>
          <w:spacing w:val="-11"/>
          <w:sz w:val="18"/>
        </w:rPr>
        <w:t xml:space="preserve"> </w:t>
      </w:r>
      <w:r>
        <w:rPr>
          <w:rFonts w:ascii="Calibri"/>
          <w:color w:val="003366"/>
          <w:sz w:val="18"/>
        </w:rPr>
        <w:t>the</w:t>
      </w:r>
      <w:r>
        <w:rPr>
          <w:rFonts w:ascii="Calibri"/>
          <w:color w:val="003366"/>
          <w:spacing w:val="-8"/>
          <w:sz w:val="18"/>
        </w:rPr>
        <w:t xml:space="preserve"> </w:t>
      </w:r>
      <w:r>
        <w:rPr>
          <w:rFonts w:ascii="Calibri"/>
          <w:color w:val="003366"/>
          <w:sz w:val="18"/>
        </w:rPr>
        <w:t>system</w:t>
      </w:r>
      <w:r>
        <w:rPr>
          <w:rFonts w:ascii="Calibri"/>
          <w:color w:val="003366"/>
          <w:spacing w:val="-7"/>
          <w:sz w:val="18"/>
        </w:rPr>
        <w:t xml:space="preserve"> </w:t>
      </w:r>
      <w:r>
        <w:rPr>
          <w:rFonts w:ascii="Calibri"/>
          <w:color w:val="003366"/>
          <w:sz w:val="18"/>
        </w:rPr>
        <w:t>which</w:t>
      </w:r>
      <w:r>
        <w:rPr>
          <w:rFonts w:ascii="Calibri"/>
          <w:color w:val="003366"/>
          <w:spacing w:val="-8"/>
          <w:sz w:val="18"/>
        </w:rPr>
        <w:t xml:space="preserve"> </w:t>
      </w:r>
      <w:r>
        <w:rPr>
          <w:rFonts w:ascii="Calibri"/>
          <w:color w:val="003366"/>
          <w:sz w:val="18"/>
        </w:rPr>
        <w:t>provides vision of Assembly and Committee proceedings in the Assembly</w:t>
      </w:r>
      <w:r>
        <w:rPr>
          <w:rFonts w:ascii="Calibri"/>
          <w:color w:val="003366"/>
          <w:spacing w:val="-6"/>
          <w:sz w:val="18"/>
        </w:rPr>
        <w:t xml:space="preserve"> </w:t>
      </w:r>
      <w:r>
        <w:rPr>
          <w:rFonts w:ascii="Calibri"/>
          <w:color w:val="003366"/>
          <w:sz w:val="18"/>
        </w:rPr>
        <w:t>building.</w:t>
      </w:r>
    </w:p>
    <w:p w:rsidR="006C17CB" w:rsidRDefault="0030091C">
      <w:pPr>
        <w:pStyle w:val="ListParagraph"/>
        <w:numPr>
          <w:ilvl w:val="0"/>
          <w:numId w:val="11"/>
        </w:numPr>
        <w:tabs>
          <w:tab w:val="left" w:pos="1182"/>
          <w:tab w:val="left" w:pos="1183"/>
        </w:tabs>
        <w:spacing w:before="124" w:line="201" w:lineRule="auto"/>
        <w:ind w:right="1518"/>
        <w:rPr>
          <w:rFonts w:ascii="Calibri"/>
          <w:sz w:val="18"/>
        </w:rPr>
      </w:pPr>
      <w:r>
        <w:rPr>
          <w:rFonts w:ascii="Calibri"/>
          <w:color w:val="003366"/>
          <w:sz w:val="18"/>
        </w:rPr>
        <w:t>Accommodation rental consists of resources received free of charge from the Territorial entity for Office staff being accommodated in the Assembly building and the rent of the North Building from the</w:t>
      </w:r>
      <w:r>
        <w:rPr>
          <w:rFonts w:ascii="Calibri"/>
          <w:color w:val="003366"/>
          <w:spacing w:val="-30"/>
          <w:sz w:val="18"/>
        </w:rPr>
        <w:t xml:space="preserve"> </w:t>
      </w:r>
      <w:r>
        <w:rPr>
          <w:rFonts w:ascii="Calibri"/>
          <w:color w:val="003366"/>
          <w:sz w:val="18"/>
        </w:rPr>
        <w:t>ACT Property Group.</w:t>
      </w:r>
    </w:p>
    <w:p w:rsidR="006C17CB" w:rsidRDefault="0030091C">
      <w:pPr>
        <w:pStyle w:val="ListParagraph"/>
        <w:numPr>
          <w:ilvl w:val="0"/>
          <w:numId w:val="11"/>
        </w:numPr>
        <w:tabs>
          <w:tab w:val="left" w:pos="1183"/>
        </w:tabs>
        <w:spacing w:before="121" w:line="204" w:lineRule="auto"/>
        <w:ind w:right="1518"/>
        <w:jc w:val="both"/>
        <w:rPr>
          <w:rFonts w:ascii="Calibri"/>
          <w:sz w:val="18"/>
        </w:rPr>
      </w:pPr>
      <w:r>
        <w:rPr>
          <w:rFonts w:ascii="Calibri"/>
          <w:color w:val="003366"/>
          <w:sz w:val="18"/>
        </w:rPr>
        <w:t xml:space="preserve">Legislative drafting services are received free of charge from the Justice and Community Safety Directorate. The services received in 2017-18 increased significantly. This service is demand driven by members of the Assembly and fluctuates from year to year (See Note 4 </w:t>
      </w:r>
      <w:r>
        <w:rPr>
          <w:rFonts w:ascii="Calibri"/>
          <w:i/>
          <w:color w:val="003366"/>
          <w:sz w:val="18"/>
        </w:rPr>
        <w:t>- Resources Received Free of</w:t>
      </w:r>
      <w:r>
        <w:rPr>
          <w:rFonts w:ascii="Calibri"/>
          <w:i/>
          <w:color w:val="003366"/>
          <w:spacing w:val="-10"/>
          <w:sz w:val="18"/>
        </w:rPr>
        <w:t xml:space="preserve"> </w:t>
      </w:r>
      <w:r>
        <w:rPr>
          <w:rFonts w:ascii="Calibri"/>
          <w:i/>
          <w:color w:val="003366"/>
          <w:sz w:val="18"/>
        </w:rPr>
        <w:t>Charge</w:t>
      </w:r>
      <w:r>
        <w:rPr>
          <w:rFonts w:ascii="Calibri"/>
          <w:color w:val="003366"/>
          <w:sz w:val="18"/>
        </w:rPr>
        <w:t>).</w:t>
      </w:r>
    </w:p>
    <w:p w:rsidR="006C17CB" w:rsidRDefault="0030091C">
      <w:pPr>
        <w:pStyle w:val="ListParagraph"/>
        <w:numPr>
          <w:ilvl w:val="0"/>
          <w:numId w:val="11"/>
        </w:numPr>
        <w:tabs>
          <w:tab w:val="left" w:pos="1182"/>
          <w:tab w:val="left" w:pos="1183"/>
        </w:tabs>
        <w:spacing w:before="86" w:line="240" w:lineRule="auto"/>
        <w:rPr>
          <w:rFonts w:ascii="Calibri"/>
          <w:sz w:val="18"/>
        </w:rPr>
      </w:pPr>
      <w:r>
        <w:rPr>
          <w:rFonts w:ascii="Calibri"/>
          <w:color w:val="003366"/>
          <w:sz w:val="18"/>
        </w:rPr>
        <w:t>Staff</w:t>
      </w:r>
      <w:r>
        <w:rPr>
          <w:rFonts w:ascii="Calibri"/>
          <w:color w:val="003366"/>
          <w:spacing w:val="-4"/>
          <w:sz w:val="18"/>
        </w:rPr>
        <w:t xml:space="preserve"> </w:t>
      </w:r>
      <w:r>
        <w:rPr>
          <w:rFonts w:ascii="Calibri"/>
          <w:color w:val="003366"/>
          <w:sz w:val="18"/>
        </w:rPr>
        <w:t>training</w:t>
      </w:r>
      <w:r>
        <w:rPr>
          <w:rFonts w:ascii="Calibri"/>
          <w:color w:val="003366"/>
          <w:spacing w:val="-4"/>
          <w:sz w:val="18"/>
        </w:rPr>
        <w:t xml:space="preserve"> </w:t>
      </w:r>
      <w:r>
        <w:rPr>
          <w:rFonts w:ascii="Calibri"/>
          <w:color w:val="003366"/>
          <w:sz w:val="18"/>
        </w:rPr>
        <w:t>and</w:t>
      </w:r>
      <w:r>
        <w:rPr>
          <w:rFonts w:ascii="Calibri"/>
          <w:color w:val="003366"/>
          <w:spacing w:val="-5"/>
          <w:sz w:val="18"/>
        </w:rPr>
        <w:t xml:space="preserve"> </w:t>
      </w:r>
      <w:r>
        <w:rPr>
          <w:rFonts w:ascii="Calibri"/>
          <w:color w:val="003366"/>
          <w:sz w:val="18"/>
        </w:rPr>
        <w:t>services</w:t>
      </w:r>
      <w:r>
        <w:rPr>
          <w:rFonts w:ascii="Calibri"/>
          <w:color w:val="003366"/>
          <w:spacing w:val="-5"/>
          <w:sz w:val="18"/>
        </w:rPr>
        <w:t xml:space="preserve"> </w:t>
      </w:r>
      <w:r>
        <w:rPr>
          <w:rFonts w:ascii="Calibri"/>
          <w:color w:val="003366"/>
          <w:sz w:val="18"/>
        </w:rPr>
        <w:t>increased</w:t>
      </w:r>
      <w:r>
        <w:rPr>
          <w:rFonts w:ascii="Calibri"/>
          <w:color w:val="003366"/>
          <w:spacing w:val="-5"/>
          <w:sz w:val="18"/>
        </w:rPr>
        <w:t xml:space="preserve"> </w:t>
      </w:r>
      <w:r>
        <w:rPr>
          <w:rFonts w:ascii="Calibri"/>
          <w:color w:val="003366"/>
          <w:sz w:val="18"/>
        </w:rPr>
        <w:t>due</w:t>
      </w:r>
      <w:r>
        <w:rPr>
          <w:rFonts w:ascii="Calibri"/>
          <w:color w:val="003366"/>
          <w:spacing w:val="-5"/>
          <w:sz w:val="18"/>
        </w:rPr>
        <w:t xml:space="preserve"> </w:t>
      </w:r>
      <w:r>
        <w:rPr>
          <w:rFonts w:ascii="Calibri"/>
          <w:color w:val="003366"/>
          <w:sz w:val="18"/>
        </w:rPr>
        <w:t>to</w:t>
      </w:r>
      <w:r>
        <w:rPr>
          <w:rFonts w:ascii="Calibri"/>
          <w:color w:val="003366"/>
          <w:spacing w:val="-3"/>
          <w:sz w:val="18"/>
        </w:rPr>
        <w:t xml:space="preserve"> </w:t>
      </w:r>
      <w:r>
        <w:rPr>
          <w:rFonts w:ascii="Calibri"/>
          <w:color w:val="003366"/>
          <w:sz w:val="18"/>
        </w:rPr>
        <w:t>the</w:t>
      </w:r>
      <w:r>
        <w:rPr>
          <w:rFonts w:ascii="Calibri"/>
          <w:color w:val="003366"/>
          <w:spacing w:val="-5"/>
          <w:sz w:val="18"/>
        </w:rPr>
        <w:t xml:space="preserve"> </w:t>
      </w:r>
      <w:r>
        <w:rPr>
          <w:rFonts w:ascii="Calibri"/>
          <w:color w:val="003366"/>
          <w:sz w:val="18"/>
        </w:rPr>
        <w:t>provision</w:t>
      </w:r>
      <w:r>
        <w:rPr>
          <w:rFonts w:ascii="Calibri"/>
          <w:color w:val="003366"/>
          <w:spacing w:val="-5"/>
          <w:sz w:val="18"/>
        </w:rPr>
        <w:t xml:space="preserve"> </w:t>
      </w:r>
      <w:r>
        <w:rPr>
          <w:rFonts w:ascii="Calibri"/>
          <w:color w:val="003366"/>
          <w:sz w:val="18"/>
        </w:rPr>
        <w:t>of</w:t>
      </w:r>
      <w:r>
        <w:rPr>
          <w:rFonts w:ascii="Calibri"/>
          <w:color w:val="003366"/>
          <w:spacing w:val="-4"/>
          <w:sz w:val="18"/>
        </w:rPr>
        <w:t xml:space="preserve"> </w:t>
      </w:r>
      <w:r>
        <w:rPr>
          <w:rFonts w:ascii="Calibri"/>
          <w:color w:val="003366"/>
          <w:sz w:val="18"/>
        </w:rPr>
        <w:t>training</w:t>
      </w:r>
      <w:r>
        <w:rPr>
          <w:rFonts w:ascii="Calibri"/>
          <w:color w:val="003366"/>
          <w:spacing w:val="-4"/>
          <w:sz w:val="18"/>
        </w:rPr>
        <w:t xml:space="preserve"> </w:t>
      </w:r>
      <w:r>
        <w:rPr>
          <w:rFonts w:ascii="Calibri"/>
          <w:color w:val="003366"/>
          <w:sz w:val="18"/>
        </w:rPr>
        <w:t>in</w:t>
      </w:r>
      <w:r>
        <w:rPr>
          <w:rFonts w:ascii="Calibri"/>
          <w:color w:val="003366"/>
          <w:spacing w:val="-5"/>
          <w:sz w:val="18"/>
        </w:rPr>
        <w:t xml:space="preserve"> </w:t>
      </w:r>
      <w:r>
        <w:rPr>
          <w:rFonts w:ascii="Calibri"/>
          <w:color w:val="003366"/>
          <w:sz w:val="18"/>
        </w:rPr>
        <w:t>excel,</w:t>
      </w:r>
      <w:r>
        <w:rPr>
          <w:rFonts w:ascii="Calibri"/>
          <w:color w:val="003366"/>
          <w:spacing w:val="-3"/>
          <w:sz w:val="18"/>
        </w:rPr>
        <w:t xml:space="preserve"> </w:t>
      </w:r>
      <w:r>
        <w:rPr>
          <w:rFonts w:ascii="Calibri"/>
          <w:color w:val="003366"/>
          <w:sz w:val="18"/>
        </w:rPr>
        <w:t>leadership</w:t>
      </w:r>
      <w:r>
        <w:rPr>
          <w:rFonts w:ascii="Calibri"/>
          <w:color w:val="003366"/>
          <w:spacing w:val="-5"/>
          <w:sz w:val="18"/>
        </w:rPr>
        <w:t xml:space="preserve"> </w:t>
      </w:r>
      <w:r>
        <w:rPr>
          <w:rFonts w:ascii="Calibri"/>
          <w:color w:val="003366"/>
          <w:sz w:val="18"/>
        </w:rPr>
        <w:t>and</w:t>
      </w:r>
      <w:r>
        <w:rPr>
          <w:rFonts w:ascii="Calibri"/>
          <w:color w:val="003366"/>
          <w:spacing w:val="-5"/>
          <w:sz w:val="18"/>
        </w:rPr>
        <w:t xml:space="preserve"> </w:t>
      </w:r>
      <w:r>
        <w:rPr>
          <w:rFonts w:ascii="Calibri"/>
          <w:color w:val="003366"/>
          <w:sz w:val="18"/>
        </w:rPr>
        <w:t>website</w:t>
      </w:r>
      <w:r>
        <w:rPr>
          <w:rFonts w:ascii="Calibri"/>
          <w:color w:val="003366"/>
          <w:spacing w:val="-2"/>
          <w:sz w:val="18"/>
        </w:rPr>
        <w:t xml:space="preserve"> </w:t>
      </w:r>
      <w:r>
        <w:rPr>
          <w:rFonts w:ascii="Calibri"/>
          <w:color w:val="003366"/>
          <w:sz w:val="18"/>
        </w:rPr>
        <w:t>accessibility.</w:t>
      </w:r>
    </w:p>
    <w:p w:rsidR="006C17CB" w:rsidRDefault="0030091C">
      <w:pPr>
        <w:pStyle w:val="ListParagraph"/>
        <w:numPr>
          <w:ilvl w:val="0"/>
          <w:numId w:val="11"/>
        </w:numPr>
        <w:tabs>
          <w:tab w:val="left" w:pos="1182"/>
          <w:tab w:val="left" w:pos="1183"/>
        </w:tabs>
        <w:spacing w:before="111" w:line="204" w:lineRule="auto"/>
        <w:ind w:right="1518"/>
        <w:rPr>
          <w:rFonts w:ascii="Calibri"/>
          <w:sz w:val="18"/>
        </w:rPr>
      </w:pPr>
      <w:r>
        <w:rPr>
          <w:rFonts w:ascii="Calibri"/>
          <w:color w:val="003366"/>
          <w:sz w:val="18"/>
        </w:rPr>
        <w:t>Recording and transcription services increased significantly due to additional committee hearings in 2017-18 stemming from the expanded committee system under the Ninth</w:t>
      </w:r>
      <w:r>
        <w:rPr>
          <w:rFonts w:ascii="Calibri"/>
          <w:color w:val="003366"/>
          <w:spacing w:val="-6"/>
          <w:sz w:val="18"/>
        </w:rPr>
        <w:t xml:space="preserve"> </w:t>
      </w:r>
      <w:r>
        <w:rPr>
          <w:rFonts w:ascii="Calibri"/>
          <w:color w:val="003366"/>
          <w:sz w:val="18"/>
        </w:rPr>
        <w:t>Assembly.</w:t>
      </w:r>
    </w:p>
    <w:p w:rsidR="006C17CB" w:rsidRDefault="0030091C">
      <w:pPr>
        <w:pStyle w:val="ListParagraph"/>
        <w:numPr>
          <w:ilvl w:val="0"/>
          <w:numId w:val="11"/>
        </w:numPr>
        <w:tabs>
          <w:tab w:val="left" w:pos="1182"/>
          <w:tab w:val="left" w:pos="1183"/>
        </w:tabs>
        <w:spacing w:before="118" w:line="204" w:lineRule="auto"/>
        <w:ind w:right="1521"/>
        <w:rPr>
          <w:rFonts w:ascii="Calibri"/>
          <w:sz w:val="18"/>
        </w:rPr>
      </w:pPr>
      <w:r>
        <w:rPr>
          <w:rFonts w:ascii="Calibri"/>
          <w:color w:val="003366"/>
          <w:sz w:val="18"/>
        </w:rPr>
        <w:t>Members were required to travel less on non-committee related business during 2017-18 compared to the prior year.</w:t>
      </w:r>
    </w:p>
    <w:p w:rsidR="006C17CB" w:rsidRDefault="0030091C">
      <w:pPr>
        <w:pStyle w:val="ListParagraph"/>
        <w:numPr>
          <w:ilvl w:val="0"/>
          <w:numId w:val="11"/>
        </w:numPr>
        <w:tabs>
          <w:tab w:val="left" w:pos="1182"/>
          <w:tab w:val="left" w:pos="1183"/>
        </w:tabs>
        <w:spacing w:before="87" w:line="240" w:lineRule="auto"/>
        <w:rPr>
          <w:rFonts w:ascii="Calibri" w:hAnsi="Calibri"/>
          <w:sz w:val="18"/>
        </w:rPr>
      </w:pPr>
      <w:r>
        <w:rPr>
          <w:rFonts w:ascii="Calibri" w:hAnsi="Calibri"/>
          <w:color w:val="003366"/>
          <w:sz w:val="18"/>
        </w:rPr>
        <w:t xml:space="preserve">External audit fees paid to the ACT Audit Office are disclosed in Note 9 </w:t>
      </w:r>
      <w:r>
        <w:rPr>
          <w:rFonts w:ascii="Calibri" w:hAnsi="Calibri"/>
          <w:i/>
          <w:color w:val="003366"/>
          <w:sz w:val="18"/>
        </w:rPr>
        <w:t>Auditor’s</w:t>
      </w:r>
      <w:r>
        <w:rPr>
          <w:rFonts w:ascii="Calibri" w:hAnsi="Calibri"/>
          <w:i/>
          <w:color w:val="003366"/>
          <w:spacing w:val="-13"/>
          <w:sz w:val="18"/>
        </w:rPr>
        <w:t xml:space="preserve"> </w:t>
      </w:r>
      <w:r>
        <w:rPr>
          <w:rFonts w:ascii="Calibri" w:hAnsi="Calibri"/>
          <w:i/>
          <w:color w:val="003366"/>
          <w:sz w:val="18"/>
        </w:rPr>
        <w:t>Remuneration</w:t>
      </w:r>
      <w:r>
        <w:rPr>
          <w:rFonts w:ascii="Calibri" w:hAnsi="Calibri"/>
          <w:color w:val="003366"/>
          <w:sz w:val="18"/>
        </w:rPr>
        <w:t>.</w:t>
      </w:r>
    </w:p>
    <w:p w:rsidR="006C17CB" w:rsidRDefault="006C17CB">
      <w:pPr>
        <w:rPr>
          <w:rFonts w:ascii="Calibri" w:hAnsi="Calibri"/>
          <w:sz w:val="18"/>
        </w:rPr>
        <w:sectPr w:rsidR="006C17CB">
          <w:pgSz w:w="11910" w:h="16840"/>
          <w:pgMar w:top="2120" w:right="0" w:bottom="720" w:left="980" w:header="1173" w:footer="523" w:gutter="0"/>
          <w:cols w:space="720"/>
        </w:sectPr>
      </w:pPr>
    </w:p>
    <w:p w:rsidR="006C17CB" w:rsidRDefault="006C17CB">
      <w:pPr>
        <w:pStyle w:val="BodyText"/>
        <w:spacing w:before="9"/>
        <w:rPr>
          <w:rFonts w:ascii="Calibri"/>
          <w:sz w:val="21"/>
        </w:rPr>
      </w:pPr>
    </w:p>
    <w:p w:rsidR="006C17CB" w:rsidRDefault="0030091C">
      <w:pPr>
        <w:pStyle w:val="Heading6"/>
        <w:tabs>
          <w:tab w:val="left" w:pos="1955"/>
        </w:tabs>
        <w:spacing w:line="345" w:lineRule="exact"/>
        <w:ind w:left="822"/>
      </w:pPr>
      <w:r>
        <w:rPr>
          <w:color w:val="003366"/>
        </w:rPr>
        <w:t>NOTE</w:t>
      </w:r>
      <w:r>
        <w:rPr>
          <w:color w:val="003366"/>
          <w:spacing w:val="-1"/>
        </w:rPr>
        <w:t xml:space="preserve"> </w:t>
      </w:r>
      <w:r>
        <w:rPr>
          <w:color w:val="003366"/>
        </w:rPr>
        <w:t>8.</w:t>
      </w:r>
      <w:r>
        <w:rPr>
          <w:color w:val="003366"/>
        </w:rPr>
        <w:tab/>
        <w:t>DEPRECIATION AND</w:t>
      </w:r>
      <w:r>
        <w:rPr>
          <w:color w:val="003366"/>
          <w:spacing w:val="-5"/>
        </w:rPr>
        <w:t xml:space="preserve"> </w:t>
      </w:r>
      <w:r>
        <w:rPr>
          <w:color w:val="003366"/>
        </w:rPr>
        <w:t>AMORTISATION</w:t>
      </w:r>
    </w:p>
    <w:p w:rsidR="006C17CB" w:rsidRDefault="006C17CB">
      <w:pPr>
        <w:pStyle w:val="BodyText"/>
        <w:spacing w:before="14"/>
        <w:rPr>
          <w:rFonts w:ascii="Calibri"/>
          <w:b/>
          <w:sz w:val="15"/>
        </w:rPr>
      </w:pPr>
    </w:p>
    <w:p w:rsidR="006C17CB" w:rsidRDefault="0030091C">
      <w:pPr>
        <w:spacing w:line="204" w:lineRule="auto"/>
        <w:ind w:left="822" w:right="1525"/>
        <w:rPr>
          <w:rFonts w:ascii="Calibri"/>
          <w:sz w:val="20"/>
        </w:rPr>
      </w:pPr>
      <w:r>
        <w:rPr>
          <w:rFonts w:ascii="Calibri"/>
          <w:color w:val="003366"/>
          <w:sz w:val="20"/>
        </w:rPr>
        <w:t>Depreciation is applied to physical assets such as plant and equipment. Amortisation is used in relation to intangible assets. Heritage assets have an unlimited useful life and are therefore not depreciated.</w:t>
      </w:r>
    </w:p>
    <w:p w:rsidR="006C17CB" w:rsidRDefault="0030091C">
      <w:pPr>
        <w:spacing w:before="122" w:line="201" w:lineRule="auto"/>
        <w:ind w:left="822" w:right="1412"/>
        <w:rPr>
          <w:rFonts w:ascii="Calibri"/>
          <w:sz w:val="20"/>
        </w:rPr>
      </w:pPr>
      <w:r>
        <w:rPr>
          <w:rFonts w:ascii="Calibri"/>
          <w:color w:val="003366"/>
          <w:sz w:val="20"/>
        </w:rPr>
        <w:t>Leasehold improvements are depreciated over the estimated useful life of the assets, or the unexpired period of the lease, whichever is the shorter.</w:t>
      </w:r>
    </w:p>
    <w:p w:rsidR="006C17CB" w:rsidRDefault="0030091C">
      <w:pPr>
        <w:spacing w:before="85" w:line="304" w:lineRule="auto"/>
        <w:ind w:left="822" w:right="2137"/>
        <w:rPr>
          <w:rFonts w:ascii="Calibri"/>
          <w:sz w:val="20"/>
        </w:rPr>
      </w:pPr>
      <w:r>
        <w:rPr>
          <w:rFonts w:ascii="Calibri"/>
          <w:color w:val="003366"/>
          <w:sz w:val="20"/>
        </w:rPr>
        <w:t>All depreciation is calculated after first deducting any residual values which remain for each asset. Depreciation/amortisation for non-current assets is shown in the table below.</w:t>
      </w:r>
    </w:p>
    <w:p w:rsidR="006C17CB" w:rsidRDefault="0030091C">
      <w:pPr>
        <w:tabs>
          <w:tab w:val="left" w:pos="4316"/>
          <w:tab w:val="left" w:pos="7755"/>
        </w:tabs>
        <w:spacing w:before="144"/>
        <w:ind w:left="822"/>
        <w:rPr>
          <w:rFonts w:ascii="Calibri"/>
          <w:b/>
          <w:sz w:val="20"/>
        </w:rPr>
      </w:pPr>
      <w:r>
        <w:rPr>
          <w:rFonts w:ascii="Calibri"/>
          <w:b/>
          <w:color w:val="003366"/>
          <w:sz w:val="20"/>
        </w:rPr>
        <w:t>Class</w:t>
      </w:r>
      <w:r>
        <w:rPr>
          <w:rFonts w:ascii="Calibri"/>
          <w:b/>
          <w:color w:val="003366"/>
          <w:spacing w:val="-2"/>
          <w:sz w:val="20"/>
        </w:rPr>
        <w:t xml:space="preserve"> </w:t>
      </w:r>
      <w:r>
        <w:rPr>
          <w:rFonts w:ascii="Calibri"/>
          <w:b/>
          <w:color w:val="003366"/>
          <w:sz w:val="20"/>
        </w:rPr>
        <w:t>of Asset</w:t>
      </w:r>
      <w:r>
        <w:rPr>
          <w:rFonts w:ascii="Calibri"/>
          <w:b/>
          <w:color w:val="003366"/>
          <w:sz w:val="20"/>
        </w:rPr>
        <w:tab/>
        <w:t>Depreciation/Amortisation</w:t>
      </w:r>
      <w:r>
        <w:rPr>
          <w:rFonts w:ascii="Calibri"/>
          <w:b/>
          <w:color w:val="003366"/>
          <w:spacing w:val="-3"/>
          <w:sz w:val="20"/>
        </w:rPr>
        <w:t xml:space="preserve"> </w:t>
      </w:r>
      <w:r>
        <w:rPr>
          <w:rFonts w:ascii="Calibri"/>
          <w:b/>
          <w:color w:val="003366"/>
          <w:sz w:val="20"/>
        </w:rPr>
        <w:t>Method</w:t>
      </w:r>
      <w:r>
        <w:rPr>
          <w:rFonts w:ascii="Calibri"/>
          <w:b/>
          <w:color w:val="003366"/>
          <w:sz w:val="20"/>
        </w:rPr>
        <w:tab/>
        <w:t>Useful Life</w:t>
      </w:r>
      <w:r>
        <w:rPr>
          <w:rFonts w:ascii="Calibri"/>
          <w:b/>
          <w:color w:val="003366"/>
          <w:spacing w:val="-2"/>
          <w:sz w:val="20"/>
        </w:rPr>
        <w:t xml:space="preserve"> </w:t>
      </w:r>
      <w:r>
        <w:rPr>
          <w:rFonts w:ascii="Calibri"/>
          <w:b/>
          <w:color w:val="003366"/>
          <w:sz w:val="20"/>
        </w:rPr>
        <w:t>(Years)</w:t>
      </w:r>
    </w:p>
    <w:p w:rsidR="006C17CB" w:rsidRDefault="006C17CB">
      <w:pPr>
        <w:rPr>
          <w:rFonts w:ascii="Calibri"/>
          <w:sz w:val="20"/>
        </w:rPr>
        <w:sectPr w:rsidR="006C17CB">
          <w:pgSz w:w="11910" w:h="16840"/>
          <w:pgMar w:top="2120" w:right="0" w:bottom="740" w:left="980" w:header="1187" w:footer="551" w:gutter="0"/>
          <w:cols w:space="720"/>
        </w:sectPr>
      </w:pPr>
    </w:p>
    <w:p w:rsidR="006C17CB" w:rsidRDefault="0030091C">
      <w:pPr>
        <w:spacing w:before="2" w:line="235" w:lineRule="auto"/>
        <w:ind w:left="822" w:right="608"/>
        <w:rPr>
          <w:rFonts w:ascii="Calibri"/>
          <w:sz w:val="20"/>
        </w:rPr>
      </w:pPr>
      <w:r>
        <w:rPr>
          <w:rFonts w:ascii="Calibri"/>
          <w:color w:val="003366"/>
          <w:sz w:val="20"/>
        </w:rPr>
        <w:t>Plant and Equipment Leasehold Improvements</w:t>
      </w:r>
    </w:p>
    <w:p w:rsidR="006C17CB" w:rsidRDefault="0030091C">
      <w:pPr>
        <w:spacing w:line="285" w:lineRule="exact"/>
        <w:ind w:left="822"/>
        <w:rPr>
          <w:rFonts w:ascii="Calibri"/>
          <w:sz w:val="20"/>
        </w:rPr>
      </w:pPr>
      <w:r>
        <w:rPr>
          <w:rFonts w:ascii="Calibri"/>
          <w:color w:val="003366"/>
          <w:sz w:val="20"/>
        </w:rPr>
        <w:t>Intangibles - Computer Software</w:t>
      </w:r>
    </w:p>
    <w:p w:rsidR="006C17CB" w:rsidRDefault="0030091C">
      <w:pPr>
        <w:spacing w:before="2" w:line="235" w:lineRule="auto"/>
        <w:ind w:left="822" w:right="38"/>
        <w:jc w:val="both"/>
        <w:rPr>
          <w:rFonts w:ascii="Calibri"/>
          <w:sz w:val="20"/>
        </w:rPr>
      </w:pPr>
      <w:r>
        <w:br w:type="column"/>
      </w:r>
      <w:r>
        <w:rPr>
          <w:rFonts w:ascii="Calibri"/>
          <w:color w:val="003366"/>
          <w:sz w:val="20"/>
        </w:rPr>
        <w:t>Straight Line Straight Line Straight Line</w:t>
      </w:r>
    </w:p>
    <w:p w:rsidR="006C17CB" w:rsidRDefault="0030091C">
      <w:pPr>
        <w:spacing w:line="284" w:lineRule="exact"/>
        <w:ind w:left="804" w:right="2220"/>
        <w:jc w:val="center"/>
        <w:rPr>
          <w:rFonts w:ascii="Calibri"/>
          <w:sz w:val="20"/>
        </w:rPr>
      </w:pPr>
      <w:r>
        <w:br w:type="column"/>
      </w:r>
      <w:r>
        <w:rPr>
          <w:rFonts w:ascii="Calibri"/>
          <w:color w:val="003366"/>
          <w:sz w:val="20"/>
        </w:rPr>
        <w:t>2-20</w:t>
      </w:r>
    </w:p>
    <w:p w:rsidR="006C17CB" w:rsidRDefault="0030091C">
      <w:pPr>
        <w:spacing w:line="283" w:lineRule="exact"/>
        <w:ind w:left="903"/>
        <w:rPr>
          <w:rFonts w:ascii="Calibri"/>
          <w:sz w:val="20"/>
        </w:rPr>
      </w:pPr>
      <w:r>
        <w:rPr>
          <w:rFonts w:ascii="Calibri"/>
          <w:color w:val="003366"/>
          <w:sz w:val="20"/>
        </w:rPr>
        <w:t>10</w:t>
      </w:r>
    </w:p>
    <w:p w:rsidR="006C17CB" w:rsidRDefault="0030091C">
      <w:pPr>
        <w:spacing w:line="286" w:lineRule="exact"/>
        <w:ind w:right="1413"/>
        <w:jc w:val="center"/>
        <w:rPr>
          <w:rFonts w:ascii="Calibri"/>
          <w:sz w:val="20"/>
        </w:rPr>
      </w:pPr>
      <w:r>
        <w:rPr>
          <w:rFonts w:ascii="Calibri"/>
          <w:color w:val="003366"/>
          <w:w w:val="99"/>
          <w:sz w:val="20"/>
        </w:rPr>
        <w:t>5</w:t>
      </w:r>
    </w:p>
    <w:p w:rsidR="006C17CB" w:rsidRDefault="006C17CB">
      <w:pPr>
        <w:spacing w:line="286" w:lineRule="exact"/>
        <w:jc w:val="center"/>
        <w:rPr>
          <w:rFonts w:ascii="Calibri"/>
          <w:sz w:val="20"/>
        </w:rPr>
        <w:sectPr w:rsidR="006C17CB">
          <w:type w:val="continuous"/>
          <w:pgSz w:w="11910" w:h="16840"/>
          <w:pgMar w:top="1580" w:right="0" w:bottom="280" w:left="980" w:header="720" w:footer="720" w:gutter="0"/>
          <w:cols w:num="3" w:space="720" w:equalWidth="0">
            <w:col w:w="3504" w:space="963"/>
            <w:col w:w="1879" w:space="1154"/>
            <w:col w:w="3430"/>
          </w:cols>
        </w:sectPr>
      </w:pPr>
    </w:p>
    <w:p w:rsidR="006C17CB" w:rsidRDefault="006C17CB">
      <w:pPr>
        <w:pStyle w:val="BodyText"/>
        <w:spacing w:before="10"/>
        <w:rPr>
          <w:rFonts w:ascii="Calibri"/>
          <w:sz w:val="26"/>
        </w:rPr>
      </w:pPr>
    </w:p>
    <w:p w:rsidR="006C17CB" w:rsidRDefault="006C17CB">
      <w:pPr>
        <w:rPr>
          <w:rFonts w:ascii="Calibri"/>
          <w:sz w:val="26"/>
        </w:rPr>
        <w:sectPr w:rsidR="006C17CB">
          <w:type w:val="continuous"/>
          <w:pgSz w:w="11910" w:h="16840"/>
          <w:pgMar w:top="1580" w:right="0" w:bottom="280" w:left="980" w:header="720" w:footer="720" w:gutter="0"/>
          <w:cols w:space="720"/>
        </w:sectPr>
      </w:pPr>
    </w:p>
    <w:p w:rsidR="006C17CB" w:rsidRDefault="006C17CB">
      <w:pPr>
        <w:pStyle w:val="BodyText"/>
        <w:rPr>
          <w:rFonts w:ascii="Calibri"/>
          <w:sz w:val="20"/>
        </w:rPr>
      </w:pPr>
    </w:p>
    <w:p w:rsidR="006C17CB" w:rsidRDefault="006C17CB">
      <w:pPr>
        <w:pStyle w:val="BodyText"/>
        <w:spacing w:before="7"/>
        <w:rPr>
          <w:rFonts w:ascii="Calibri"/>
          <w:sz w:val="20"/>
        </w:rPr>
      </w:pPr>
    </w:p>
    <w:p w:rsidR="006C17CB" w:rsidRDefault="0030091C">
      <w:pPr>
        <w:ind w:left="822"/>
        <w:rPr>
          <w:rFonts w:ascii="Calibri"/>
          <w:b/>
          <w:sz w:val="20"/>
        </w:rPr>
      </w:pPr>
      <w:r>
        <w:rPr>
          <w:rFonts w:ascii="Calibri"/>
          <w:b/>
          <w:color w:val="003366"/>
          <w:sz w:val="20"/>
        </w:rPr>
        <w:t>Depreciation</w:t>
      </w:r>
    </w:p>
    <w:p w:rsidR="006C17CB" w:rsidRDefault="0030091C">
      <w:pPr>
        <w:spacing w:before="15" w:line="287" w:lineRule="exact"/>
        <w:ind w:left="872"/>
        <w:rPr>
          <w:rFonts w:ascii="Calibri"/>
          <w:b/>
          <w:sz w:val="20"/>
        </w:rPr>
      </w:pPr>
      <w:r>
        <w:br w:type="column"/>
      </w:r>
      <w:r>
        <w:rPr>
          <w:rFonts w:ascii="Calibri"/>
          <w:b/>
          <w:color w:val="003366"/>
          <w:sz w:val="20"/>
        </w:rPr>
        <w:t>2018</w:t>
      </w:r>
    </w:p>
    <w:p w:rsidR="006C17CB" w:rsidRDefault="0030091C">
      <w:pPr>
        <w:spacing w:line="287" w:lineRule="exact"/>
        <w:ind w:left="822"/>
        <w:rPr>
          <w:rFonts w:ascii="Calibri" w:hAnsi="Calibri"/>
          <w:b/>
          <w:sz w:val="20"/>
        </w:rPr>
      </w:pPr>
      <w:r>
        <w:rPr>
          <w:rFonts w:ascii="Calibri" w:hAnsi="Calibri"/>
          <w:b/>
          <w:color w:val="003366"/>
          <w:sz w:val="20"/>
        </w:rPr>
        <w:t>$’000</w:t>
      </w:r>
    </w:p>
    <w:p w:rsidR="006C17CB" w:rsidRDefault="0030091C">
      <w:pPr>
        <w:spacing w:before="15" w:line="287" w:lineRule="exact"/>
        <w:ind w:left="872"/>
        <w:rPr>
          <w:rFonts w:ascii="Calibri"/>
          <w:b/>
          <w:sz w:val="20"/>
        </w:rPr>
      </w:pPr>
      <w:r>
        <w:br w:type="column"/>
      </w:r>
      <w:r>
        <w:rPr>
          <w:rFonts w:ascii="Calibri"/>
          <w:b/>
          <w:color w:val="003366"/>
          <w:sz w:val="20"/>
        </w:rPr>
        <w:t>2017</w:t>
      </w:r>
    </w:p>
    <w:p w:rsidR="006C17CB" w:rsidRDefault="0030091C">
      <w:pPr>
        <w:spacing w:line="287" w:lineRule="exact"/>
        <w:ind w:left="822"/>
        <w:rPr>
          <w:rFonts w:ascii="Calibri" w:hAnsi="Calibri"/>
          <w:b/>
          <w:sz w:val="20"/>
        </w:rPr>
      </w:pPr>
      <w:r>
        <w:rPr>
          <w:rFonts w:ascii="Calibri" w:hAnsi="Calibri"/>
          <w:b/>
          <w:color w:val="003366"/>
          <w:sz w:val="20"/>
        </w:rPr>
        <w:t>$’000</w:t>
      </w:r>
    </w:p>
    <w:p w:rsidR="006C17CB" w:rsidRDefault="006C17CB">
      <w:pPr>
        <w:spacing w:line="287" w:lineRule="exact"/>
        <w:rPr>
          <w:rFonts w:ascii="Calibri" w:hAnsi="Calibri"/>
          <w:sz w:val="20"/>
        </w:rPr>
        <w:sectPr w:rsidR="006C17CB">
          <w:type w:val="continuous"/>
          <w:pgSz w:w="11910" w:h="16840"/>
          <w:pgMar w:top="1580" w:right="0" w:bottom="280" w:left="980" w:header="720" w:footer="720" w:gutter="0"/>
          <w:cols w:num="3" w:space="720" w:equalWidth="0">
            <w:col w:w="1932" w:space="4819"/>
            <w:col w:w="1316" w:space="54"/>
            <w:col w:w="2809"/>
          </w:cols>
        </w:sectPr>
      </w:pPr>
    </w:p>
    <w:p w:rsidR="006C17CB" w:rsidRDefault="0030091C">
      <w:pPr>
        <w:tabs>
          <w:tab w:val="left" w:pos="7734"/>
          <w:tab w:val="right" w:pos="9399"/>
        </w:tabs>
        <w:spacing w:line="323" w:lineRule="exact"/>
        <w:ind w:left="822"/>
        <w:rPr>
          <w:rFonts w:ascii="Calibri"/>
          <w:sz w:val="20"/>
        </w:rPr>
      </w:pPr>
      <w:r>
        <w:rPr>
          <w:rFonts w:ascii="Calibri"/>
          <w:color w:val="003366"/>
          <w:sz w:val="20"/>
        </w:rPr>
        <w:t>Plant and</w:t>
      </w:r>
      <w:r>
        <w:rPr>
          <w:rFonts w:ascii="Calibri"/>
          <w:color w:val="003366"/>
          <w:spacing w:val="-3"/>
          <w:sz w:val="20"/>
        </w:rPr>
        <w:t xml:space="preserve"> </w:t>
      </w:r>
      <w:r>
        <w:rPr>
          <w:rFonts w:ascii="Calibri"/>
          <w:color w:val="003366"/>
          <w:sz w:val="20"/>
        </w:rPr>
        <w:t>Equipment</w:t>
      </w:r>
      <w:r>
        <w:rPr>
          <w:rFonts w:ascii="Calibri"/>
          <w:color w:val="003366"/>
          <w:spacing w:val="-1"/>
          <w:sz w:val="20"/>
        </w:rPr>
        <w:t xml:space="preserve"> </w:t>
      </w:r>
      <w:r>
        <w:rPr>
          <w:rFonts w:ascii="Calibri"/>
          <w:color w:val="003366"/>
          <w:sz w:val="20"/>
          <w:vertAlign w:val="superscript"/>
        </w:rPr>
        <w:t>a</w:t>
      </w:r>
      <w:r>
        <w:rPr>
          <w:rFonts w:ascii="Calibri"/>
          <w:color w:val="003366"/>
          <w:sz w:val="20"/>
        </w:rPr>
        <w:tab/>
      </w:r>
      <w:r>
        <w:rPr>
          <w:rFonts w:ascii="Calibri"/>
          <w:color w:val="003366"/>
          <w:position w:val="-3"/>
          <w:sz w:val="20"/>
        </w:rPr>
        <w:t>141</w:t>
      </w:r>
      <w:r>
        <w:rPr>
          <w:rFonts w:ascii="Calibri"/>
          <w:color w:val="003366"/>
          <w:position w:val="-3"/>
          <w:sz w:val="20"/>
        </w:rPr>
        <w:tab/>
        <w:t>44</w:t>
      </w:r>
    </w:p>
    <w:p w:rsidR="006C17CB" w:rsidRDefault="0030091C">
      <w:pPr>
        <w:tabs>
          <w:tab w:val="left" w:pos="6762"/>
          <w:tab w:val="left" w:pos="7734"/>
          <w:tab w:val="left" w:pos="9095"/>
        </w:tabs>
        <w:spacing w:line="327" w:lineRule="exact"/>
        <w:ind w:left="822"/>
        <w:rPr>
          <w:rFonts w:ascii="Calibri"/>
          <w:sz w:val="20"/>
        </w:rPr>
      </w:pPr>
      <w:r>
        <w:rPr>
          <w:rFonts w:ascii="Calibri"/>
          <w:color w:val="003366"/>
          <w:sz w:val="20"/>
        </w:rPr>
        <w:t>Leasehold</w:t>
      </w:r>
      <w:r>
        <w:rPr>
          <w:rFonts w:ascii="Calibri"/>
          <w:color w:val="003366"/>
          <w:spacing w:val="-2"/>
          <w:sz w:val="20"/>
        </w:rPr>
        <w:t xml:space="preserve"> </w:t>
      </w:r>
      <w:r>
        <w:rPr>
          <w:rFonts w:ascii="Calibri"/>
          <w:color w:val="003366"/>
          <w:sz w:val="20"/>
        </w:rPr>
        <w:t>Improvements</w:t>
      </w:r>
      <w:r>
        <w:rPr>
          <w:rFonts w:ascii="Calibri"/>
          <w:color w:val="003366"/>
          <w:sz w:val="20"/>
        </w:rPr>
        <w:tab/>
      </w:r>
      <w:r>
        <w:rPr>
          <w:rFonts w:ascii="Calibri"/>
          <w:color w:val="003366"/>
          <w:position w:val="-3"/>
          <w:sz w:val="20"/>
          <w:u w:val="single" w:color="003366"/>
        </w:rPr>
        <w:t xml:space="preserve"> </w:t>
      </w:r>
      <w:r>
        <w:rPr>
          <w:rFonts w:ascii="Calibri"/>
          <w:color w:val="003366"/>
          <w:position w:val="-3"/>
          <w:sz w:val="20"/>
          <w:u w:val="single" w:color="003366"/>
        </w:rPr>
        <w:tab/>
        <w:t>150</w:t>
      </w:r>
      <w:r>
        <w:rPr>
          <w:rFonts w:ascii="Calibri"/>
          <w:color w:val="003366"/>
          <w:position w:val="-3"/>
          <w:sz w:val="20"/>
          <w:u w:val="single" w:color="003366"/>
        </w:rPr>
        <w:tab/>
        <w:t>157</w:t>
      </w:r>
      <w:r>
        <w:rPr>
          <w:rFonts w:ascii="Calibri"/>
          <w:color w:val="003366"/>
          <w:spacing w:val="18"/>
          <w:position w:val="-3"/>
          <w:sz w:val="20"/>
          <w:u w:val="single" w:color="003366"/>
        </w:rPr>
        <w:t xml:space="preserve"> </w:t>
      </w:r>
    </w:p>
    <w:p w:rsidR="006C17CB" w:rsidRDefault="0030091C">
      <w:pPr>
        <w:tabs>
          <w:tab w:val="left" w:pos="6762"/>
          <w:tab w:val="left" w:pos="7734"/>
          <w:tab w:val="left" w:pos="9095"/>
        </w:tabs>
        <w:ind w:left="822"/>
        <w:rPr>
          <w:rFonts w:ascii="Calibri"/>
          <w:b/>
          <w:sz w:val="20"/>
        </w:rPr>
      </w:pPr>
      <w:r>
        <w:rPr>
          <w:rFonts w:ascii="Calibri"/>
          <w:b/>
          <w:color w:val="003366"/>
          <w:sz w:val="20"/>
        </w:rPr>
        <w:t>Total</w:t>
      </w:r>
      <w:r>
        <w:rPr>
          <w:rFonts w:ascii="Calibri"/>
          <w:b/>
          <w:color w:val="003366"/>
          <w:spacing w:val="-4"/>
          <w:sz w:val="20"/>
        </w:rPr>
        <w:t xml:space="preserve"> </w:t>
      </w:r>
      <w:r>
        <w:rPr>
          <w:rFonts w:ascii="Calibri"/>
          <w:b/>
          <w:color w:val="003366"/>
          <w:sz w:val="20"/>
        </w:rPr>
        <w:t>Depreciation</w:t>
      </w:r>
      <w:r>
        <w:rPr>
          <w:rFonts w:ascii="Calibri"/>
          <w:b/>
          <w:color w:val="003366"/>
          <w:sz w:val="20"/>
        </w:rPr>
        <w:tab/>
      </w:r>
      <w:r>
        <w:rPr>
          <w:rFonts w:ascii="Calibri"/>
          <w:b/>
          <w:color w:val="003366"/>
          <w:sz w:val="20"/>
          <w:u w:val="single" w:color="000000"/>
        </w:rPr>
        <w:t xml:space="preserve"> </w:t>
      </w:r>
      <w:r>
        <w:rPr>
          <w:rFonts w:ascii="Calibri"/>
          <w:b/>
          <w:color w:val="003366"/>
          <w:sz w:val="20"/>
          <w:u w:val="single" w:color="000000"/>
        </w:rPr>
        <w:tab/>
        <w:t>291</w:t>
      </w:r>
      <w:r>
        <w:rPr>
          <w:rFonts w:ascii="Calibri"/>
          <w:b/>
          <w:color w:val="003366"/>
          <w:sz w:val="20"/>
          <w:u w:val="single" w:color="000000"/>
        </w:rPr>
        <w:tab/>
        <w:t>201</w:t>
      </w:r>
      <w:r>
        <w:rPr>
          <w:rFonts w:ascii="Calibri"/>
          <w:b/>
          <w:color w:val="003366"/>
          <w:spacing w:val="18"/>
          <w:sz w:val="20"/>
          <w:u w:val="single" w:color="000000"/>
        </w:rPr>
        <w:t xml:space="preserve"> </w:t>
      </w:r>
    </w:p>
    <w:p w:rsidR="006C17CB" w:rsidRDefault="006C17CB">
      <w:pPr>
        <w:pStyle w:val="BodyText"/>
        <w:spacing w:before="2"/>
        <w:rPr>
          <w:rFonts w:ascii="Calibri"/>
          <w:b/>
          <w:sz w:val="20"/>
        </w:rPr>
      </w:pPr>
    </w:p>
    <w:p w:rsidR="006C17CB" w:rsidRDefault="0030091C">
      <w:pPr>
        <w:spacing w:line="286" w:lineRule="exact"/>
        <w:ind w:left="822"/>
        <w:rPr>
          <w:rFonts w:ascii="Calibri"/>
          <w:b/>
          <w:sz w:val="20"/>
        </w:rPr>
      </w:pPr>
      <w:r>
        <w:rPr>
          <w:rFonts w:ascii="Calibri"/>
          <w:b/>
          <w:color w:val="003366"/>
          <w:sz w:val="20"/>
        </w:rPr>
        <w:t>Amortisation</w:t>
      </w:r>
    </w:p>
    <w:p w:rsidR="006C17CB" w:rsidRDefault="0030091C">
      <w:pPr>
        <w:tabs>
          <w:tab w:val="left" w:pos="6762"/>
          <w:tab w:val="left" w:pos="7837"/>
          <w:tab w:val="left" w:pos="9198"/>
        </w:tabs>
        <w:spacing w:line="286" w:lineRule="exact"/>
        <w:ind w:left="822"/>
        <w:rPr>
          <w:rFonts w:ascii="Calibri"/>
          <w:sz w:val="20"/>
        </w:rPr>
      </w:pPr>
      <w:r>
        <w:rPr>
          <w:rFonts w:ascii="Calibri"/>
          <w:color w:val="003366"/>
          <w:sz w:val="20"/>
        </w:rPr>
        <w:t>Intangible</w:t>
      </w:r>
      <w:r>
        <w:rPr>
          <w:rFonts w:ascii="Calibri"/>
          <w:color w:val="003366"/>
          <w:spacing w:val="-3"/>
          <w:sz w:val="20"/>
        </w:rPr>
        <w:t xml:space="preserve"> </w:t>
      </w:r>
      <w:r>
        <w:rPr>
          <w:rFonts w:ascii="Calibri"/>
          <w:color w:val="003366"/>
          <w:sz w:val="20"/>
        </w:rPr>
        <w:t>Assets</w:t>
      </w:r>
      <w:r>
        <w:rPr>
          <w:rFonts w:ascii="Calibri"/>
          <w:color w:val="003366"/>
          <w:spacing w:val="-3"/>
          <w:sz w:val="20"/>
        </w:rPr>
        <w:t xml:space="preserve"> </w:t>
      </w:r>
      <w:r>
        <w:rPr>
          <w:rFonts w:ascii="Calibri"/>
          <w:color w:val="003366"/>
          <w:sz w:val="20"/>
          <w:vertAlign w:val="superscript"/>
        </w:rPr>
        <w:t>a</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57</w:t>
      </w:r>
      <w:r>
        <w:rPr>
          <w:rFonts w:ascii="Calibri"/>
          <w:color w:val="003366"/>
          <w:sz w:val="20"/>
          <w:u w:val="single" w:color="003366"/>
        </w:rPr>
        <w:tab/>
        <w:t>11</w:t>
      </w:r>
      <w:r>
        <w:rPr>
          <w:rFonts w:ascii="Calibri"/>
          <w:color w:val="003366"/>
          <w:spacing w:val="16"/>
          <w:sz w:val="20"/>
          <w:u w:val="single" w:color="003366"/>
        </w:rPr>
        <w:t xml:space="preserve"> </w:t>
      </w:r>
    </w:p>
    <w:p w:rsidR="006C17CB" w:rsidRDefault="0030091C">
      <w:pPr>
        <w:tabs>
          <w:tab w:val="left" w:pos="6762"/>
          <w:tab w:val="left" w:pos="7837"/>
          <w:tab w:val="left" w:pos="9198"/>
        </w:tabs>
        <w:ind w:left="822"/>
        <w:rPr>
          <w:rFonts w:ascii="Calibri"/>
          <w:b/>
          <w:sz w:val="20"/>
        </w:rPr>
      </w:pPr>
      <w:r>
        <w:rPr>
          <w:rFonts w:ascii="Calibri"/>
          <w:b/>
          <w:color w:val="003366"/>
          <w:sz w:val="20"/>
        </w:rPr>
        <w:t>Total</w:t>
      </w:r>
      <w:r>
        <w:rPr>
          <w:rFonts w:ascii="Calibri"/>
          <w:b/>
          <w:color w:val="003366"/>
          <w:spacing w:val="-4"/>
          <w:sz w:val="20"/>
        </w:rPr>
        <w:t xml:space="preserve"> </w:t>
      </w:r>
      <w:r>
        <w:rPr>
          <w:rFonts w:ascii="Calibri"/>
          <w:b/>
          <w:color w:val="003366"/>
          <w:sz w:val="20"/>
        </w:rPr>
        <w:t>Amortisation</w:t>
      </w:r>
      <w:r>
        <w:rPr>
          <w:rFonts w:ascii="Calibri"/>
          <w:b/>
          <w:color w:val="003366"/>
          <w:sz w:val="20"/>
        </w:rPr>
        <w:tab/>
      </w:r>
      <w:r>
        <w:rPr>
          <w:rFonts w:ascii="Calibri"/>
          <w:b/>
          <w:color w:val="003366"/>
          <w:sz w:val="20"/>
          <w:u w:val="single" w:color="000000"/>
        </w:rPr>
        <w:t xml:space="preserve"> </w:t>
      </w:r>
      <w:r>
        <w:rPr>
          <w:rFonts w:ascii="Calibri"/>
          <w:b/>
          <w:color w:val="003366"/>
          <w:sz w:val="20"/>
          <w:u w:val="single" w:color="000000"/>
        </w:rPr>
        <w:tab/>
        <w:t>57</w:t>
      </w:r>
      <w:r>
        <w:rPr>
          <w:rFonts w:ascii="Calibri"/>
          <w:b/>
          <w:color w:val="003366"/>
          <w:sz w:val="20"/>
          <w:u w:val="single" w:color="000000"/>
        </w:rPr>
        <w:tab/>
        <w:t>11</w:t>
      </w:r>
      <w:r>
        <w:rPr>
          <w:rFonts w:ascii="Calibri"/>
          <w:b/>
          <w:color w:val="003366"/>
          <w:spacing w:val="16"/>
          <w:sz w:val="20"/>
          <w:u w:val="single" w:color="000000"/>
        </w:rPr>
        <w:t xml:space="preserve"> </w:t>
      </w:r>
    </w:p>
    <w:p w:rsidR="006C17CB" w:rsidRDefault="00FE24A7">
      <w:pPr>
        <w:pStyle w:val="BodyText"/>
        <w:spacing w:before="5"/>
        <w:rPr>
          <w:rFonts w:ascii="Calibri"/>
          <w:b/>
          <w:sz w:val="18"/>
        </w:rPr>
      </w:pPr>
      <w:r>
        <w:pict>
          <v:group id="_x0000_s1371" alt="" style="position:absolute;margin-left:387.1pt;margin-top:15.2pt;width:137.3pt;height:.25pt;z-index:2272;mso-wrap-distance-left:0;mso-wrap-distance-right:0;mso-position-horizontal-relative:page" coordorigin="7742,304" coordsize="2746,5">
            <v:line id="_x0000_s1372" alt="" style="position:absolute" from="7742,307" to="9127,307" strokecolor="#036" strokeweight=".24pt"/>
            <v:rect id="_x0000_s1373" alt="" style="position:absolute;left:9127;top:304;width:5;height:5" fillcolor="#036" stroked="f"/>
            <v:line id="_x0000_s1374" alt="" style="position:absolute" from="9132,307" to="10488,307" strokecolor="#036" strokeweight=".24pt"/>
            <w10:wrap type="topAndBottom" anchorx="page"/>
          </v:group>
        </w:pict>
      </w:r>
    </w:p>
    <w:p w:rsidR="006C17CB" w:rsidRDefault="0030091C">
      <w:pPr>
        <w:tabs>
          <w:tab w:val="left" w:pos="7734"/>
          <w:tab w:val="right" w:pos="9397"/>
        </w:tabs>
        <w:spacing w:line="255" w:lineRule="exact"/>
        <w:ind w:left="822"/>
        <w:rPr>
          <w:rFonts w:ascii="Calibri"/>
          <w:b/>
          <w:sz w:val="20"/>
        </w:rPr>
      </w:pPr>
      <w:r>
        <w:rPr>
          <w:rFonts w:ascii="Calibri"/>
          <w:b/>
          <w:color w:val="003366"/>
          <w:sz w:val="20"/>
        </w:rPr>
        <w:t>Total Depreciation</w:t>
      </w:r>
      <w:r>
        <w:rPr>
          <w:rFonts w:ascii="Calibri"/>
          <w:b/>
          <w:color w:val="003366"/>
          <w:spacing w:val="-6"/>
          <w:sz w:val="20"/>
        </w:rPr>
        <w:t xml:space="preserve"> </w:t>
      </w:r>
      <w:r>
        <w:rPr>
          <w:rFonts w:ascii="Calibri"/>
          <w:b/>
          <w:color w:val="003366"/>
          <w:sz w:val="20"/>
        </w:rPr>
        <w:t>and</w:t>
      </w:r>
      <w:r>
        <w:rPr>
          <w:rFonts w:ascii="Calibri"/>
          <w:b/>
          <w:color w:val="003366"/>
          <w:spacing w:val="-2"/>
          <w:sz w:val="20"/>
        </w:rPr>
        <w:t xml:space="preserve"> </w:t>
      </w:r>
      <w:r>
        <w:rPr>
          <w:rFonts w:ascii="Calibri"/>
          <w:b/>
          <w:color w:val="003366"/>
          <w:sz w:val="20"/>
        </w:rPr>
        <w:t>Amortisation</w:t>
      </w:r>
      <w:r>
        <w:rPr>
          <w:rFonts w:ascii="Calibri"/>
          <w:b/>
          <w:color w:val="003366"/>
          <w:sz w:val="20"/>
        </w:rPr>
        <w:tab/>
        <w:t>348</w:t>
      </w:r>
      <w:r>
        <w:rPr>
          <w:rFonts w:ascii="Calibri"/>
          <w:b/>
          <w:color w:val="003366"/>
          <w:sz w:val="20"/>
        </w:rPr>
        <w:tab/>
        <w:t>212</w:t>
      </w:r>
    </w:p>
    <w:p w:rsidR="006C17CB" w:rsidRDefault="00FE24A7">
      <w:pPr>
        <w:tabs>
          <w:tab w:val="left" w:pos="1182"/>
        </w:tabs>
        <w:spacing w:before="424" w:line="204" w:lineRule="auto"/>
        <w:ind w:left="1182" w:right="1525" w:hanging="360"/>
        <w:rPr>
          <w:rFonts w:ascii="Calibri"/>
          <w:sz w:val="18"/>
        </w:rPr>
      </w:pPr>
      <w:r>
        <w:pict>
          <v:group id="_x0000_s1365" alt="" style="position:absolute;left:0;text-align:left;margin-left:387.1pt;margin-top:.05pt;width:137.3pt;height:1.45pt;z-index:2296;mso-position-horizontal-relative:page" coordorigin="7742,1" coordsize="2746,29">
            <v:line id="_x0000_s1366" alt="" style="position:absolute" from="7742,6" to="9127,6" strokecolor="#036" strokeweight=".17003mm"/>
            <v:line id="_x0000_s1367" alt="" style="position:absolute" from="7742,25" to="9127,25" strokecolor="#036" strokeweight=".48pt"/>
            <v:shape id="_x0000_s1368" alt="" style="position:absolute;left:9127;top:1;width:29;height:29" coordorigin="9127,1" coordsize="29,29" o:spt="100" adj="0,,0" path="m9156,20r-29,l9127,30r29,l9156,20t,-19l9127,1r,10l9156,11r,-10e" fillcolor="#036" stroked="f">
              <v:stroke joinstyle="round"/>
              <v:formulas/>
              <v:path arrowok="t" o:connecttype="segments"/>
            </v:shape>
            <v:line id="_x0000_s1369" alt="" style="position:absolute" from="9156,6" to="10488,6" strokecolor="#036" strokeweight=".17003mm"/>
            <v:line id="_x0000_s1370" alt="" style="position:absolute" from="9156,25" to="10488,25" strokecolor="#036" strokeweight=".48pt"/>
            <w10:wrap anchorx="page"/>
          </v:group>
        </w:pict>
      </w:r>
      <w:r w:rsidR="0030091C">
        <w:rPr>
          <w:rFonts w:ascii="Calibri"/>
          <w:color w:val="003366"/>
          <w:sz w:val="18"/>
        </w:rPr>
        <w:t>a)</w:t>
      </w:r>
      <w:r w:rsidR="0030091C">
        <w:rPr>
          <w:rFonts w:ascii="Calibri"/>
          <w:color w:val="003366"/>
          <w:sz w:val="18"/>
        </w:rPr>
        <w:tab/>
        <w:t>The increase in depreciation on plant and equipment and amortisation of intangible assets is due to the addition of new assets to these balances.</w:t>
      </w:r>
    </w:p>
    <w:p w:rsidR="006C17CB" w:rsidRDefault="006C17CB">
      <w:pPr>
        <w:spacing w:line="204" w:lineRule="auto"/>
        <w:rPr>
          <w:rFonts w:ascii="Calibri"/>
          <w:sz w:val="18"/>
        </w:rPr>
        <w:sectPr w:rsidR="006C17CB">
          <w:type w:val="continuous"/>
          <w:pgSz w:w="11910" w:h="16840"/>
          <w:pgMar w:top="1580" w:right="0" w:bottom="280" w:left="980" w:header="720" w:footer="720" w:gutter="0"/>
          <w:cols w:space="720"/>
        </w:sectPr>
      </w:pPr>
    </w:p>
    <w:p w:rsidR="006C17CB" w:rsidRDefault="0030091C">
      <w:pPr>
        <w:pStyle w:val="Heading6"/>
        <w:tabs>
          <w:tab w:val="left" w:pos="1890"/>
        </w:tabs>
        <w:spacing w:before="310"/>
        <w:ind w:left="757"/>
      </w:pPr>
      <w:r>
        <w:rPr>
          <w:color w:val="003366"/>
        </w:rPr>
        <w:t>NOTE</w:t>
      </w:r>
      <w:r>
        <w:rPr>
          <w:color w:val="003366"/>
          <w:spacing w:val="-1"/>
        </w:rPr>
        <w:t xml:space="preserve"> </w:t>
      </w:r>
      <w:r>
        <w:rPr>
          <w:color w:val="003366"/>
        </w:rPr>
        <w:t>9.</w:t>
      </w:r>
      <w:r>
        <w:rPr>
          <w:color w:val="003366"/>
        </w:rPr>
        <w:tab/>
        <w:t>AUDITOR’S</w:t>
      </w:r>
      <w:r>
        <w:rPr>
          <w:color w:val="003366"/>
          <w:spacing w:val="-1"/>
        </w:rPr>
        <w:t xml:space="preserve"> </w:t>
      </w:r>
      <w:r>
        <w:rPr>
          <w:color w:val="003366"/>
        </w:rPr>
        <w:t>REMUNERATION</w:t>
      </w:r>
    </w:p>
    <w:p w:rsidR="006C17CB" w:rsidRDefault="0030091C">
      <w:pPr>
        <w:spacing w:before="196"/>
        <w:ind w:left="757"/>
        <w:rPr>
          <w:rFonts w:ascii="Calibri" w:hAnsi="Calibri"/>
          <w:sz w:val="20"/>
        </w:rPr>
      </w:pPr>
      <w:r>
        <w:rPr>
          <w:rFonts w:ascii="Calibri" w:hAnsi="Calibri"/>
          <w:color w:val="003366"/>
          <w:sz w:val="20"/>
        </w:rPr>
        <w:t>Auditor’s remuneration consists of financial audit services provided to the Office by the ACT Audit Office.</w:t>
      </w:r>
    </w:p>
    <w:p w:rsidR="006C17CB" w:rsidRDefault="006C17CB">
      <w:pPr>
        <w:rPr>
          <w:rFonts w:ascii="Calibri" w:hAnsi="Calibri"/>
          <w:sz w:val="20"/>
        </w:rPr>
        <w:sectPr w:rsidR="006C17CB">
          <w:pgSz w:w="11910" w:h="16840"/>
          <w:pgMar w:top="2120" w:right="0" w:bottom="720" w:left="980" w:header="1173" w:footer="523" w:gutter="0"/>
          <w:cols w:space="720"/>
        </w:sectPr>
      </w:pPr>
    </w:p>
    <w:p w:rsidR="006C17CB" w:rsidRDefault="0030091C">
      <w:pPr>
        <w:spacing w:before="76" w:line="267" w:lineRule="exact"/>
        <w:jc w:val="right"/>
        <w:rPr>
          <w:rFonts w:ascii="Calibri"/>
          <w:b/>
          <w:sz w:val="20"/>
        </w:rPr>
      </w:pPr>
      <w:r>
        <w:rPr>
          <w:rFonts w:ascii="Calibri"/>
          <w:b/>
          <w:color w:val="003366"/>
          <w:sz w:val="20"/>
        </w:rPr>
        <w:t>2018</w:t>
      </w:r>
    </w:p>
    <w:p w:rsidR="006C17CB" w:rsidRDefault="0030091C">
      <w:pPr>
        <w:spacing w:line="267" w:lineRule="exact"/>
        <w:jc w:val="right"/>
        <w:rPr>
          <w:rFonts w:ascii="Calibri" w:hAnsi="Calibri"/>
          <w:b/>
          <w:sz w:val="20"/>
        </w:rPr>
      </w:pPr>
      <w:r>
        <w:rPr>
          <w:rFonts w:ascii="Calibri" w:hAnsi="Calibri"/>
          <w:b/>
          <w:color w:val="003366"/>
          <w:sz w:val="20"/>
        </w:rPr>
        <w:t>$’000</w:t>
      </w:r>
    </w:p>
    <w:p w:rsidR="006C17CB" w:rsidRDefault="0030091C">
      <w:pPr>
        <w:spacing w:before="76" w:line="267" w:lineRule="exact"/>
        <w:ind w:left="872" w:right="1384"/>
        <w:jc w:val="center"/>
        <w:rPr>
          <w:rFonts w:ascii="Calibri"/>
          <w:b/>
          <w:sz w:val="20"/>
        </w:rPr>
      </w:pPr>
      <w:r>
        <w:br w:type="column"/>
      </w:r>
      <w:r>
        <w:rPr>
          <w:rFonts w:ascii="Calibri"/>
          <w:b/>
          <w:color w:val="003366"/>
          <w:sz w:val="20"/>
        </w:rPr>
        <w:t>2017</w:t>
      </w:r>
    </w:p>
    <w:p w:rsidR="006C17CB" w:rsidRDefault="0030091C">
      <w:pPr>
        <w:spacing w:line="267" w:lineRule="exact"/>
        <w:ind w:left="872" w:right="1434"/>
        <w:jc w:val="center"/>
        <w:rPr>
          <w:rFonts w:ascii="Calibri" w:hAnsi="Calibri"/>
          <w:b/>
          <w:sz w:val="20"/>
        </w:rPr>
      </w:pPr>
      <w:r>
        <w:rPr>
          <w:rFonts w:ascii="Calibri" w:hAnsi="Calibri"/>
          <w:b/>
          <w:color w:val="003366"/>
          <w:sz w:val="20"/>
        </w:rPr>
        <w:t>$’000</w:t>
      </w:r>
    </w:p>
    <w:p w:rsidR="006C17CB" w:rsidRDefault="006C17CB">
      <w:pPr>
        <w:spacing w:line="267" w:lineRule="exact"/>
        <w:jc w:val="center"/>
        <w:rPr>
          <w:rFonts w:ascii="Calibri" w:hAnsi="Calibri"/>
          <w:sz w:val="20"/>
        </w:rPr>
        <w:sectPr w:rsidR="006C17CB">
          <w:type w:val="continuous"/>
          <w:pgSz w:w="11910" w:h="16840"/>
          <w:pgMar w:top="1580" w:right="0" w:bottom="280" w:left="980" w:header="720" w:footer="720" w:gutter="0"/>
          <w:cols w:num="2" w:space="720" w:equalWidth="0">
            <w:col w:w="8085" w:space="40"/>
            <w:col w:w="2805"/>
          </w:cols>
        </w:sectPr>
      </w:pPr>
    </w:p>
    <w:p w:rsidR="006C17CB" w:rsidRDefault="006C17CB">
      <w:pPr>
        <w:pStyle w:val="BodyText"/>
        <w:spacing w:before="8"/>
        <w:rPr>
          <w:rFonts w:ascii="Calibri"/>
          <w:b/>
          <w:sz w:val="5"/>
        </w:rPr>
      </w:pPr>
    </w:p>
    <w:tbl>
      <w:tblPr>
        <w:tblW w:w="0" w:type="auto"/>
        <w:tblInd w:w="707" w:type="dxa"/>
        <w:tblLayout w:type="fixed"/>
        <w:tblCellMar>
          <w:left w:w="0" w:type="dxa"/>
          <w:right w:w="0" w:type="dxa"/>
        </w:tblCellMar>
        <w:tblLook w:val="01E0" w:firstRow="1" w:lastRow="1" w:firstColumn="1" w:lastColumn="1" w:noHBand="0" w:noVBand="0"/>
      </w:tblPr>
      <w:tblGrid>
        <w:gridCol w:w="6278"/>
        <w:gridCol w:w="2594"/>
      </w:tblGrid>
      <w:tr w:rsidR="006C17CB">
        <w:trPr>
          <w:trHeight w:val="570"/>
        </w:trPr>
        <w:tc>
          <w:tcPr>
            <w:tcW w:w="6278" w:type="dxa"/>
          </w:tcPr>
          <w:p w:rsidR="006C17CB" w:rsidRDefault="0030091C">
            <w:pPr>
              <w:pStyle w:val="TableParagraph"/>
              <w:spacing w:line="202" w:lineRule="exact"/>
              <w:ind w:left="50"/>
              <w:jc w:val="left"/>
              <w:rPr>
                <w:b/>
                <w:sz w:val="20"/>
              </w:rPr>
            </w:pPr>
            <w:r>
              <w:rPr>
                <w:b/>
                <w:color w:val="003366"/>
                <w:sz w:val="20"/>
              </w:rPr>
              <w:t>Audit Services</w:t>
            </w:r>
          </w:p>
          <w:p w:rsidR="006C17CB" w:rsidRDefault="0030091C">
            <w:pPr>
              <w:pStyle w:val="TableParagraph"/>
              <w:spacing w:line="287" w:lineRule="exact"/>
              <w:ind w:left="50"/>
              <w:jc w:val="left"/>
              <w:rPr>
                <w:sz w:val="20"/>
              </w:rPr>
            </w:pPr>
            <w:r>
              <w:rPr>
                <w:color w:val="003366"/>
                <w:sz w:val="20"/>
              </w:rPr>
              <w:t>Audit Fees Paid or Payable to the ACT Audit Office</w:t>
            </w:r>
          </w:p>
        </w:tc>
        <w:tc>
          <w:tcPr>
            <w:tcW w:w="2594" w:type="dxa"/>
          </w:tcPr>
          <w:p w:rsidR="006C17CB" w:rsidRDefault="006C17CB">
            <w:pPr>
              <w:pStyle w:val="TableParagraph"/>
              <w:spacing w:before="10"/>
              <w:jc w:val="left"/>
              <w:rPr>
                <w:b/>
                <w:sz w:val="16"/>
              </w:rPr>
            </w:pPr>
          </w:p>
          <w:p w:rsidR="006C17CB" w:rsidRDefault="0030091C">
            <w:pPr>
              <w:pStyle w:val="TableParagraph"/>
              <w:tabs>
                <w:tab w:val="left" w:pos="899"/>
                <w:tab w:val="left" w:pos="2284"/>
              </w:tabs>
              <w:ind w:right="-15"/>
              <w:rPr>
                <w:sz w:val="20"/>
              </w:rPr>
            </w:pPr>
            <w:r>
              <w:rPr>
                <w:color w:val="003366"/>
                <w:w w:val="99"/>
                <w:sz w:val="20"/>
                <w:u w:val="single" w:color="003366"/>
              </w:rPr>
              <w:t xml:space="preserve"> </w:t>
            </w:r>
            <w:r>
              <w:rPr>
                <w:color w:val="003366"/>
                <w:sz w:val="20"/>
                <w:u w:val="single" w:color="003366"/>
              </w:rPr>
              <w:tab/>
              <w:t>43</w:t>
            </w:r>
            <w:r>
              <w:rPr>
                <w:color w:val="003366"/>
                <w:sz w:val="20"/>
                <w:u w:val="single" w:color="003366"/>
              </w:rPr>
              <w:tab/>
            </w:r>
            <w:r>
              <w:rPr>
                <w:color w:val="003366"/>
                <w:spacing w:val="-1"/>
                <w:sz w:val="20"/>
                <w:u w:val="single" w:color="003366"/>
              </w:rPr>
              <w:t>42</w:t>
            </w:r>
            <w:r>
              <w:rPr>
                <w:color w:val="003366"/>
                <w:spacing w:val="16"/>
                <w:sz w:val="20"/>
                <w:u w:val="single" w:color="003366"/>
              </w:rPr>
              <w:t xml:space="preserve"> </w:t>
            </w:r>
          </w:p>
        </w:tc>
      </w:tr>
      <w:tr w:rsidR="006C17CB">
        <w:trPr>
          <w:trHeight w:val="245"/>
        </w:trPr>
        <w:tc>
          <w:tcPr>
            <w:tcW w:w="6278" w:type="dxa"/>
          </w:tcPr>
          <w:p w:rsidR="006C17CB" w:rsidRDefault="0030091C">
            <w:pPr>
              <w:pStyle w:val="TableParagraph"/>
              <w:spacing w:line="226" w:lineRule="exact"/>
              <w:ind w:left="50"/>
              <w:jc w:val="left"/>
              <w:rPr>
                <w:b/>
                <w:sz w:val="20"/>
              </w:rPr>
            </w:pPr>
            <w:r>
              <w:rPr>
                <w:b/>
                <w:color w:val="003366"/>
                <w:sz w:val="20"/>
              </w:rPr>
              <w:t>Total Audit Fees</w:t>
            </w:r>
          </w:p>
        </w:tc>
        <w:tc>
          <w:tcPr>
            <w:tcW w:w="2594" w:type="dxa"/>
            <w:tcBorders>
              <w:bottom w:val="double" w:sz="1" w:space="0" w:color="003366"/>
            </w:tcBorders>
          </w:tcPr>
          <w:p w:rsidR="006C17CB" w:rsidRDefault="0030091C">
            <w:pPr>
              <w:pStyle w:val="TableParagraph"/>
              <w:tabs>
                <w:tab w:val="left" w:pos="1384"/>
              </w:tabs>
              <w:spacing w:line="226" w:lineRule="exact"/>
              <w:ind w:right="105"/>
              <w:rPr>
                <w:b/>
                <w:sz w:val="20"/>
              </w:rPr>
            </w:pPr>
            <w:r>
              <w:rPr>
                <w:b/>
                <w:color w:val="003366"/>
                <w:sz w:val="20"/>
              </w:rPr>
              <w:t>43</w:t>
            </w:r>
            <w:r>
              <w:rPr>
                <w:b/>
                <w:color w:val="003366"/>
                <w:sz w:val="20"/>
              </w:rPr>
              <w:tab/>
            </w:r>
            <w:r>
              <w:rPr>
                <w:b/>
                <w:color w:val="003366"/>
                <w:spacing w:val="-2"/>
                <w:sz w:val="20"/>
              </w:rPr>
              <w:t>42</w:t>
            </w:r>
          </w:p>
        </w:tc>
      </w:tr>
      <w:tr w:rsidR="006C17CB">
        <w:trPr>
          <w:trHeight w:val="1261"/>
        </w:trPr>
        <w:tc>
          <w:tcPr>
            <w:tcW w:w="6278" w:type="dxa"/>
          </w:tcPr>
          <w:p w:rsidR="006C17CB" w:rsidRDefault="006C17CB">
            <w:pPr>
              <w:pStyle w:val="TableParagraph"/>
              <w:spacing w:before="6"/>
              <w:jc w:val="left"/>
              <w:rPr>
                <w:b/>
                <w:sz w:val="19"/>
              </w:rPr>
            </w:pPr>
          </w:p>
          <w:p w:rsidR="006C17CB" w:rsidRDefault="0030091C">
            <w:pPr>
              <w:pStyle w:val="TableParagraph"/>
              <w:spacing w:before="1"/>
              <w:ind w:left="50"/>
              <w:jc w:val="left"/>
              <w:rPr>
                <w:sz w:val="20"/>
              </w:rPr>
            </w:pPr>
            <w:r>
              <w:rPr>
                <w:color w:val="003366"/>
                <w:sz w:val="20"/>
              </w:rPr>
              <w:t>No other services were provided by the ACT Audit Office.</w:t>
            </w:r>
          </w:p>
          <w:p w:rsidR="006C17CB" w:rsidRDefault="006C17CB">
            <w:pPr>
              <w:pStyle w:val="TableParagraph"/>
              <w:spacing w:before="5"/>
              <w:jc w:val="left"/>
              <w:rPr>
                <w:b/>
                <w:sz w:val="24"/>
              </w:rPr>
            </w:pPr>
          </w:p>
          <w:p w:rsidR="006C17CB" w:rsidRDefault="0030091C">
            <w:pPr>
              <w:pStyle w:val="TableParagraph"/>
              <w:tabs>
                <w:tab w:val="left" w:pos="1182"/>
              </w:tabs>
              <w:spacing w:line="321" w:lineRule="exact"/>
              <w:ind w:left="50"/>
              <w:jc w:val="left"/>
              <w:rPr>
                <w:b/>
                <w:sz w:val="24"/>
              </w:rPr>
            </w:pPr>
            <w:r>
              <w:rPr>
                <w:b/>
                <w:color w:val="003366"/>
                <w:sz w:val="24"/>
              </w:rPr>
              <w:t>NOTE</w:t>
            </w:r>
            <w:r>
              <w:rPr>
                <w:b/>
                <w:color w:val="003366"/>
                <w:spacing w:val="-1"/>
                <w:sz w:val="24"/>
              </w:rPr>
              <w:t xml:space="preserve"> </w:t>
            </w:r>
            <w:r>
              <w:rPr>
                <w:b/>
                <w:color w:val="003366"/>
                <w:sz w:val="24"/>
              </w:rPr>
              <w:t>10.</w:t>
            </w:r>
            <w:r>
              <w:rPr>
                <w:b/>
                <w:color w:val="003366"/>
                <w:sz w:val="24"/>
              </w:rPr>
              <w:tab/>
              <w:t>CASH AND CASH</w:t>
            </w:r>
            <w:r>
              <w:rPr>
                <w:b/>
                <w:color w:val="003366"/>
                <w:spacing w:val="-1"/>
                <w:sz w:val="24"/>
              </w:rPr>
              <w:t xml:space="preserve"> </w:t>
            </w:r>
            <w:r>
              <w:rPr>
                <w:b/>
                <w:color w:val="003366"/>
                <w:sz w:val="24"/>
              </w:rPr>
              <w:t>EQUIVALENTS</w:t>
            </w:r>
          </w:p>
        </w:tc>
        <w:tc>
          <w:tcPr>
            <w:tcW w:w="2594" w:type="dxa"/>
            <w:tcBorders>
              <w:top w:val="double" w:sz="1" w:space="0" w:color="003366"/>
            </w:tcBorders>
          </w:tcPr>
          <w:p w:rsidR="006C17CB" w:rsidRDefault="006C17CB">
            <w:pPr>
              <w:pStyle w:val="TableParagraph"/>
              <w:jc w:val="left"/>
              <w:rPr>
                <w:rFonts w:ascii="Times New Roman"/>
                <w:sz w:val="20"/>
              </w:rPr>
            </w:pPr>
          </w:p>
        </w:tc>
      </w:tr>
    </w:tbl>
    <w:p w:rsidR="006C17CB" w:rsidRDefault="006C17CB">
      <w:pPr>
        <w:pStyle w:val="BodyText"/>
        <w:spacing w:before="4"/>
        <w:rPr>
          <w:rFonts w:ascii="Calibri"/>
          <w:b/>
          <w:sz w:val="16"/>
        </w:rPr>
      </w:pPr>
    </w:p>
    <w:p w:rsidR="006C17CB" w:rsidRDefault="0030091C">
      <w:pPr>
        <w:spacing w:before="1" w:line="204" w:lineRule="auto"/>
        <w:ind w:left="757" w:right="1448"/>
        <w:jc w:val="both"/>
        <w:rPr>
          <w:rFonts w:ascii="Calibri"/>
          <w:sz w:val="20"/>
        </w:rPr>
      </w:pPr>
      <w:r>
        <w:rPr>
          <w:rFonts w:ascii="Calibri"/>
          <w:color w:val="003366"/>
          <w:sz w:val="20"/>
        </w:rPr>
        <w:t>Cash</w:t>
      </w:r>
      <w:r>
        <w:rPr>
          <w:rFonts w:ascii="Calibri"/>
          <w:color w:val="003366"/>
          <w:spacing w:val="-10"/>
          <w:sz w:val="20"/>
        </w:rPr>
        <w:t xml:space="preserve"> </w:t>
      </w:r>
      <w:r>
        <w:rPr>
          <w:rFonts w:ascii="Calibri"/>
          <w:color w:val="003366"/>
          <w:sz w:val="20"/>
        </w:rPr>
        <w:t>includes</w:t>
      </w:r>
      <w:r>
        <w:rPr>
          <w:rFonts w:ascii="Calibri"/>
          <w:color w:val="003366"/>
          <w:spacing w:val="-12"/>
          <w:sz w:val="20"/>
        </w:rPr>
        <w:t xml:space="preserve"> </w:t>
      </w:r>
      <w:r>
        <w:rPr>
          <w:rFonts w:ascii="Calibri"/>
          <w:color w:val="003366"/>
          <w:sz w:val="20"/>
        </w:rPr>
        <w:t>cash</w:t>
      </w:r>
      <w:r>
        <w:rPr>
          <w:rFonts w:ascii="Calibri"/>
          <w:color w:val="003366"/>
          <w:spacing w:val="-10"/>
          <w:sz w:val="20"/>
        </w:rPr>
        <w:t xml:space="preserve"> </w:t>
      </w:r>
      <w:r>
        <w:rPr>
          <w:rFonts w:ascii="Calibri"/>
          <w:color w:val="003366"/>
          <w:sz w:val="20"/>
        </w:rPr>
        <w:t>at</w:t>
      </w:r>
      <w:r>
        <w:rPr>
          <w:rFonts w:ascii="Calibri"/>
          <w:color w:val="003366"/>
          <w:spacing w:val="-11"/>
          <w:sz w:val="20"/>
        </w:rPr>
        <w:t xml:space="preserve"> </w:t>
      </w:r>
      <w:r>
        <w:rPr>
          <w:rFonts w:ascii="Calibri"/>
          <w:color w:val="003366"/>
          <w:sz w:val="20"/>
        </w:rPr>
        <w:t>bank</w:t>
      </w:r>
      <w:r>
        <w:rPr>
          <w:rFonts w:ascii="Calibri"/>
          <w:color w:val="003366"/>
          <w:spacing w:val="-11"/>
          <w:sz w:val="20"/>
        </w:rPr>
        <w:t xml:space="preserve"> </w:t>
      </w:r>
      <w:r>
        <w:rPr>
          <w:rFonts w:ascii="Calibri"/>
          <w:color w:val="003366"/>
          <w:sz w:val="20"/>
        </w:rPr>
        <w:t>and</w:t>
      </w:r>
      <w:r>
        <w:rPr>
          <w:rFonts w:ascii="Calibri"/>
          <w:color w:val="003366"/>
          <w:spacing w:val="-10"/>
          <w:sz w:val="20"/>
        </w:rPr>
        <w:t xml:space="preserve"> </w:t>
      </w:r>
      <w:r>
        <w:rPr>
          <w:rFonts w:ascii="Calibri"/>
          <w:color w:val="003366"/>
          <w:sz w:val="20"/>
        </w:rPr>
        <w:t>cash</w:t>
      </w:r>
      <w:r>
        <w:rPr>
          <w:rFonts w:ascii="Calibri"/>
          <w:color w:val="003366"/>
          <w:spacing w:val="-10"/>
          <w:sz w:val="20"/>
        </w:rPr>
        <w:t xml:space="preserve"> </w:t>
      </w:r>
      <w:r>
        <w:rPr>
          <w:rFonts w:ascii="Calibri"/>
          <w:color w:val="003366"/>
          <w:sz w:val="20"/>
        </w:rPr>
        <w:t>on</w:t>
      </w:r>
      <w:r>
        <w:rPr>
          <w:rFonts w:ascii="Calibri"/>
          <w:color w:val="003366"/>
          <w:spacing w:val="-10"/>
          <w:sz w:val="20"/>
        </w:rPr>
        <w:t xml:space="preserve"> </w:t>
      </w:r>
      <w:r>
        <w:rPr>
          <w:rFonts w:ascii="Calibri"/>
          <w:color w:val="003366"/>
          <w:sz w:val="20"/>
        </w:rPr>
        <w:t>hand.</w:t>
      </w:r>
      <w:r>
        <w:rPr>
          <w:rFonts w:ascii="Calibri"/>
          <w:color w:val="003366"/>
          <w:spacing w:val="-11"/>
          <w:sz w:val="20"/>
        </w:rPr>
        <w:t xml:space="preserve"> </w:t>
      </w:r>
      <w:r>
        <w:rPr>
          <w:rFonts w:ascii="Calibri"/>
          <w:color w:val="003366"/>
          <w:sz w:val="20"/>
        </w:rPr>
        <w:t>Cash</w:t>
      </w:r>
      <w:r>
        <w:rPr>
          <w:rFonts w:ascii="Calibri"/>
          <w:color w:val="003366"/>
          <w:spacing w:val="-10"/>
          <w:sz w:val="20"/>
        </w:rPr>
        <w:t xml:space="preserve"> </w:t>
      </w:r>
      <w:r>
        <w:rPr>
          <w:rFonts w:ascii="Calibri"/>
          <w:color w:val="003366"/>
          <w:sz w:val="20"/>
        </w:rPr>
        <w:t>equivalents</w:t>
      </w:r>
      <w:r>
        <w:rPr>
          <w:rFonts w:ascii="Calibri"/>
          <w:color w:val="003366"/>
          <w:spacing w:val="-12"/>
          <w:sz w:val="20"/>
        </w:rPr>
        <w:t xml:space="preserve"> </w:t>
      </w:r>
      <w:r>
        <w:rPr>
          <w:rFonts w:ascii="Calibri"/>
          <w:color w:val="003366"/>
          <w:sz w:val="20"/>
        </w:rPr>
        <w:t>are</w:t>
      </w:r>
      <w:r>
        <w:rPr>
          <w:rFonts w:ascii="Calibri"/>
          <w:color w:val="003366"/>
          <w:spacing w:val="-12"/>
          <w:sz w:val="20"/>
        </w:rPr>
        <w:t xml:space="preserve"> </w:t>
      </w:r>
      <w:r>
        <w:rPr>
          <w:rFonts w:ascii="Calibri"/>
          <w:color w:val="003366"/>
          <w:sz w:val="20"/>
        </w:rPr>
        <w:t>short-term,</w:t>
      </w:r>
      <w:r>
        <w:rPr>
          <w:rFonts w:ascii="Calibri"/>
          <w:color w:val="003366"/>
          <w:spacing w:val="-11"/>
          <w:sz w:val="20"/>
        </w:rPr>
        <w:t xml:space="preserve"> </w:t>
      </w:r>
      <w:r>
        <w:rPr>
          <w:rFonts w:ascii="Calibri"/>
          <w:color w:val="003366"/>
          <w:sz w:val="20"/>
        </w:rPr>
        <w:t>highly</w:t>
      </w:r>
      <w:r>
        <w:rPr>
          <w:rFonts w:ascii="Calibri"/>
          <w:color w:val="003366"/>
          <w:spacing w:val="-10"/>
          <w:sz w:val="20"/>
        </w:rPr>
        <w:t xml:space="preserve"> </w:t>
      </w:r>
      <w:r>
        <w:rPr>
          <w:rFonts w:ascii="Calibri"/>
          <w:color w:val="003366"/>
          <w:sz w:val="20"/>
        </w:rPr>
        <w:t>liquid</w:t>
      </w:r>
      <w:r>
        <w:rPr>
          <w:rFonts w:ascii="Calibri"/>
          <w:color w:val="003366"/>
          <w:spacing w:val="-10"/>
          <w:sz w:val="20"/>
        </w:rPr>
        <w:t xml:space="preserve"> </w:t>
      </w:r>
      <w:r>
        <w:rPr>
          <w:rFonts w:ascii="Calibri"/>
          <w:color w:val="003366"/>
          <w:sz w:val="20"/>
        </w:rPr>
        <w:t>investments</w:t>
      </w:r>
      <w:r>
        <w:rPr>
          <w:rFonts w:ascii="Calibri"/>
          <w:color w:val="003366"/>
          <w:spacing w:val="-12"/>
          <w:sz w:val="20"/>
        </w:rPr>
        <w:t xml:space="preserve"> </w:t>
      </w:r>
      <w:r>
        <w:rPr>
          <w:rFonts w:ascii="Calibri"/>
          <w:color w:val="003366"/>
          <w:sz w:val="20"/>
        </w:rPr>
        <w:t>that are</w:t>
      </w:r>
      <w:r>
        <w:rPr>
          <w:rFonts w:ascii="Calibri"/>
          <w:color w:val="003366"/>
          <w:spacing w:val="-7"/>
          <w:sz w:val="20"/>
        </w:rPr>
        <w:t xml:space="preserve"> </w:t>
      </w:r>
      <w:r>
        <w:rPr>
          <w:rFonts w:ascii="Calibri"/>
          <w:color w:val="003366"/>
          <w:sz w:val="20"/>
        </w:rPr>
        <w:t>readily</w:t>
      </w:r>
      <w:r>
        <w:rPr>
          <w:rFonts w:ascii="Calibri"/>
          <w:color w:val="003366"/>
          <w:spacing w:val="-5"/>
          <w:sz w:val="20"/>
        </w:rPr>
        <w:t xml:space="preserve"> </w:t>
      </w:r>
      <w:r>
        <w:rPr>
          <w:rFonts w:ascii="Calibri"/>
          <w:color w:val="003366"/>
          <w:sz w:val="20"/>
        </w:rPr>
        <w:t>convertible</w:t>
      </w:r>
      <w:r>
        <w:rPr>
          <w:rFonts w:ascii="Calibri"/>
          <w:color w:val="003366"/>
          <w:spacing w:val="-7"/>
          <w:sz w:val="20"/>
        </w:rPr>
        <w:t xml:space="preserve"> </w:t>
      </w:r>
      <w:r>
        <w:rPr>
          <w:rFonts w:ascii="Calibri"/>
          <w:color w:val="003366"/>
          <w:sz w:val="20"/>
        </w:rPr>
        <w:t>to</w:t>
      </w:r>
      <w:r>
        <w:rPr>
          <w:rFonts w:ascii="Calibri"/>
          <w:color w:val="003366"/>
          <w:spacing w:val="-6"/>
          <w:sz w:val="20"/>
        </w:rPr>
        <w:t xml:space="preserve"> </w:t>
      </w:r>
      <w:r>
        <w:rPr>
          <w:rFonts w:ascii="Calibri"/>
          <w:color w:val="003366"/>
          <w:sz w:val="20"/>
        </w:rPr>
        <w:t>known</w:t>
      </w:r>
      <w:r>
        <w:rPr>
          <w:rFonts w:ascii="Calibri"/>
          <w:color w:val="003366"/>
          <w:spacing w:val="-6"/>
          <w:sz w:val="20"/>
        </w:rPr>
        <w:t xml:space="preserve"> </w:t>
      </w:r>
      <w:r>
        <w:rPr>
          <w:rFonts w:ascii="Calibri"/>
          <w:color w:val="003366"/>
          <w:sz w:val="20"/>
        </w:rPr>
        <w:t>amounts</w:t>
      </w:r>
      <w:r>
        <w:rPr>
          <w:rFonts w:ascii="Calibri"/>
          <w:color w:val="003366"/>
          <w:spacing w:val="-8"/>
          <w:sz w:val="20"/>
        </w:rPr>
        <w:t xml:space="preserve"> </w:t>
      </w:r>
      <w:r>
        <w:rPr>
          <w:rFonts w:ascii="Calibri"/>
          <w:color w:val="003366"/>
          <w:sz w:val="20"/>
        </w:rPr>
        <w:t>of</w:t>
      </w:r>
      <w:r>
        <w:rPr>
          <w:rFonts w:ascii="Calibri"/>
          <w:color w:val="003366"/>
          <w:spacing w:val="-7"/>
          <w:sz w:val="20"/>
        </w:rPr>
        <w:t xml:space="preserve"> </w:t>
      </w:r>
      <w:r>
        <w:rPr>
          <w:rFonts w:ascii="Calibri"/>
          <w:color w:val="003366"/>
          <w:sz w:val="20"/>
        </w:rPr>
        <w:t>cash</w:t>
      </w:r>
      <w:r>
        <w:rPr>
          <w:rFonts w:ascii="Calibri"/>
          <w:color w:val="003366"/>
          <w:spacing w:val="-6"/>
          <w:sz w:val="20"/>
        </w:rPr>
        <w:t xml:space="preserve"> </w:t>
      </w:r>
      <w:r>
        <w:rPr>
          <w:rFonts w:ascii="Calibri"/>
          <w:color w:val="003366"/>
          <w:sz w:val="20"/>
        </w:rPr>
        <w:t>and</w:t>
      </w:r>
      <w:r>
        <w:rPr>
          <w:rFonts w:ascii="Calibri"/>
          <w:color w:val="003366"/>
          <w:spacing w:val="-8"/>
          <w:sz w:val="20"/>
        </w:rPr>
        <w:t xml:space="preserve"> </w:t>
      </w:r>
      <w:r>
        <w:rPr>
          <w:rFonts w:ascii="Calibri"/>
          <w:color w:val="003366"/>
          <w:sz w:val="20"/>
        </w:rPr>
        <w:t>which</w:t>
      </w:r>
      <w:r>
        <w:rPr>
          <w:rFonts w:ascii="Calibri"/>
          <w:color w:val="003366"/>
          <w:spacing w:val="-5"/>
          <w:sz w:val="20"/>
        </w:rPr>
        <w:t xml:space="preserve"> </w:t>
      </w:r>
      <w:r>
        <w:rPr>
          <w:rFonts w:ascii="Calibri"/>
          <w:color w:val="003366"/>
          <w:sz w:val="20"/>
        </w:rPr>
        <w:t>are</w:t>
      </w:r>
      <w:r>
        <w:rPr>
          <w:rFonts w:ascii="Calibri"/>
          <w:color w:val="003366"/>
          <w:spacing w:val="-7"/>
          <w:sz w:val="20"/>
        </w:rPr>
        <w:t xml:space="preserve"> </w:t>
      </w:r>
      <w:r>
        <w:rPr>
          <w:rFonts w:ascii="Calibri"/>
          <w:color w:val="003366"/>
          <w:sz w:val="20"/>
        </w:rPr>
        <w:t>subject</w:t>
      </w:r>
      <w:r>
        <w:rPr>
          <w:rFonts w:ascii="Calibri"/>
          <w:color w:val="003366"/>
          <w:spacing w:val="-6"/>
          <w:sz w:val="20"/>
        </w:rPr>
        <w:t xml:space="preserve"> </w:t>
      </w:r>
      <w:r>
        <w:rPr>
          <w:rFonts w:ascii="Calibri"/>
          <w:color w:val="003366"/>
          <w:sz w:val="20"/>
        </w:rPr>
        <w:t>to</w:t>
      </w:r>
      <w:r>
        <w:rPr>
          <w:rFonts w:ascii="Calibri"/>
          <w:color w:val="003366"/>
          <w:spacing w:val="-8"/>
          <w:sz w:val="20"/>
        </w:rPr>
        <w:t xml:space="preserve"> </w:t>
      </w:r>
      <w:r>
        <w:rPr>
          <w:rFonts w:ascii="Calibri"/>
          <w:color w:val="003366"/>
          <w:sz w:val="20"/>
        </w:rPr>
        <w:t>an</w:t>
      </w:r>
      <w:r>
        <w:rPr>
          <w:rFonts w:ascii="Calibri"/>
          <w:color w:val="003366"/>
          <w:spacing w:val="-8"/>
          <w:sz w:val="20"/>
        </w:rPr>
        <w:t xml:space="preserve"> </w:t>
      </w:r>
      <w:r>
        <w:rPr>
          <w:rFonts w:ascii="Calibri"/>
          <w:color w:val="003366"/>
          <w:sz w:val="20"/>
        </w:rPr>
        <w:t>insignificant</w:t>
      </w:r>
      <w:r>
        <w:rPr>
          <w:rFonts w:ascii="Calibri"/>
          <w:color w:val="003366"/>
          <w:spacing w:val="-6"/>
          <w:sz w:val="20"/>
        </w:rPr>
        <w:t xml:space="preserve"> </w:t>
      </w:r>
      <w:r>
        <w:rPr>
          <w:rFonts w:ascii="Calibri"/>
          <w:color w:val="003366"/>
          <w:sz w:val="20"/>
        </w:rPr>
        <w:t>risk</w:t>
      </w:r>
      <w:r>
        <w:rPr>
          <w:rFonts w:ascii="Calibri"/>
          <w:color w:val="003366"/>
          <w:spacing w:val="-6"/>
          <w:sz w:val="20"/>
        </w:rPr>
        <w:t xml:space="preserve"> </w:t>
      </w:r>
      <w:r>
        <w:rPr>
          <w:rFonts w:ascii="Calibri"/>
          <w:color w:val="003366"/>
          <w:sz w:val="20"/>
        </w:rPr>
        <w:t>of</w:t>
      </w:r>
      <w:r>
        <w:rPr>
          <w:rFonts w:ascii="Calibri"/>
          <w:color w:val="003366"/>
          <w:spacing w:val="-7"/>
          <w:sz w:val="20"/>
        </w:rPr>
        <w:t xml:space="preserve"> </w:t>
      </w:r>
      <w:r>
        <w:rPr>
          <w:rFonts w:ascii="Calibri"/>
          <w:color w:val="003366"/>
          <w:sz w:val="20"/>
        </w:rPr>
        <w:t>changes</w:t>
      </w:r>
      <w:r>
        <w:rPr>
          <w:rFonts w:ascii="Calibri"/>
          <w:color w:val="003366"/>
          <w:spacing w:val="-8"/>
          <w:sz w:val="20"/>
        </w:rPr>
        <w:t xml:space="preserve"> </w:t>
      </w:r>
      <w:r>
        <w:rPr>
          <w:rFonts w:ascii="Calibri"/>
          <w:color w:val="003366"/>
          <w:sz w:val="20"/>
        </w:rPr>
        <w:t>in value. The Office holds one bank account (for the Controlled entity) with the Westpac Bank as part of the whole-of-government banking</w:t>
      </w:r>
      <w:r>
        <w:rPr>
          <w:rFonts w:ascii="Calibri"/>
          <w:color w:val="003366"/>
          <w:spacing w:val="-1"/>
          <w:sz w:val="20"/>
        </w:rPr>
        <w:t xml:space="preserve"> </w:t>
      </w:r>
      <w:r>
        <w:rPr>
          <w:rFonts w:ascii="Calibri"/>
          <w:color w:val="003366"/>
          <w:sz w:val="20"/>
        </w:rPr>
        <w:t>arrangements.</w:t>
      </w:r>
    </w:p>
    <w:p w:rsidR="006C17CB" w:rsidRDefault="006C17CB">
      <w:pPr>
        <w:spacing w:line="204" w:lineRule="auto"/>
        <w:jc w:val="both"/>
        <w:rPr>
          <w:rFonts w:ascii="Calibri"/>
          <w:sz w:val="20"/>
        </w:rPr>
        <w:sectPr w:rsidR="006C17CB">
          <w:type w:val="continuous"/>
          <w:pgSz w:w="11910" w:h="16840"/>
          <w:pgMar w:top="1580" w:right="0" w:bottom="280" w:left="980" w:header="720" w:footer="720" w:gutter="0"/>
          <w:cols w:space="720"/>
        </w:sectPr>
      </w:pPr>
    </w:p>
    <w:p w:rsidR="006C17CB" w:rsidRDefault="0030091C">
      <w:pPr>
        <w:spacing w:before="81" w:line="267" w:lineRule="exact"/>
        <w:jc w:val="right"/>
        <w:rPr>
          <w:rFonts w:ascii="Calibri"/>
          <w:b/>
          <w:sz w:val="20"/>
        </w:rPr>
      </w:pPr>
      <w:r>
        <w:rPr>
          <w:rFonts w:ascii="Calibri"/>
          <w:b/>
          <w:color w:val="003366"/>
          <w:sz w:val="20"/>
        </w:rPr>
        <w:t>2018</w:t>
      </w:r>
    </w:p>
    <w:p w:rsidR="006C17CB" w:rsidRDefault="0030091C">
      <w:pPr>
        <w:spacing w:line="267" w:lineRule="exact"/>
        <w:jc w:val="right"/>
        <w:rPr>
          <w:rFonts w:ascii="Calibri" w:hAnsi="Calibri"/>
          <w:b/>
          <w:sz w:val="20"/>
        </w:rPr>
      </w:pPr>
      <w:r>
        <w:rPr>
          <w:rFonts w:ascii="Calibri" w:hAnsi="Calibri"/>
          <w:b/>
          <w:color w:val="003366"/>
          <w:sz w:val="20"/>
        </w:rPr>
        <w:t>$’000</w:t>
      </w:r>
    </w:p>
    <w:p w:rsidR="006C17CB" w:rsidRDefault="0030091C">
      <w:pPr>
        <w:spacing w:before="81" w:line="267" w:lineRule="exact"/>
        <w:ind w:left="879"/>
        <w:rPr>
          <w:rFonts w:ascii="Calibri"/>
          <w:b/>
          <w:sz w:val="20"/>
        </w:rPr>
      </w:pPr>
      <w:r>
        <w:br w:type="column"/>
      </w:r>
      <w:r>
        <w:rPr>
          <w:rFonts w:ascii="Calibri"/>
          <w:b/>
          <w:color w:val="003366"/>
          <w:sz w:val="20"/>
        </w:rPr>
        <w:t>2017</w:t>
      </w:r>
    </w:p>
    <w:p w:rsidR="006C17CB" w:rsidRDefault="0030091C">
      <w:pPr>
        <w:spacing w:line="267" w:lineRule="exact"/>
        <w:ind w:left="828"/>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2" w:space="720" w:equalWidth="0">
            <w:col w:w="8148" w:space="40"/>
            <w:col w:w="2742"/>
          </w:cols>
        </w:sectPr>
      </w:pPr>
    </w:p>
    <w:p w:rsidR="006C17CB" w:rsidRDefault="0030091C">
      <w:pPr>
        <w:tabs>
          <w:tab w:val="left" w:pos="7947"/>
          <w:tab w:val="right" w:pos="9471"/>
        </w:tabs>
        <w:spacing w:line="284" w:lineRule="exact"/>
        <w:ind w:left="757"/>
        <w:rPr>
          <w:rFonts w:ascii="Calibri"/>
          <w:sz w:val="20"/>
        </w:rPr>
      </w:pPr>
      <w:r>
        <w:rPr>
          <w:rFonts w:ascii="Calibri"/>
          <w:color w:val="003366"/>
          <w:sz w:val="20"/>
        </w:rPr>
        <w:t>Cash at</w:t>
      </w:r>
      <w:r>
        <w:rPr>
          <w:rFonts w:ascii="Calibri"/>
          <w:color w:val="003366"/>
          <w:spacing w:val="-2"/>
          <w:sz w:val="20"/>
        </w:rPr>
        <w:t xml:space="preserve"> </w:t>
      </w:r>
      <w:r>
        <w:rPr>
          <w:rFonts w:ascii="Calibri"/>
          <w:color w:val="003366"/>
          <w:sz w:val="20"/>
        </w:rPr>
        <w:t>Bank</w:t>
      </w:r>
      <w:r>
        <w:rPr>
          <w:rFonts w:ascii="Calibri"/>
          <w:color w:val="003366"/>
          <w:spacing w:val="-2"/>
          <w:sz w:val="20"/>
        </w:rPr>
        <w:t xml:space="preserve"> </w:t>
      </w:r>
      <w:r>
        <w:rPr>
          <w:rFonts w:ascii="Calibri"/>
          <w:color w:val="003366"/>
          <w:sz w:val="20"/>
          <w:vertAlign w:val="superscript"/>
        </w:rPr>
        <w:t>a</w:t>
      </w:r>
      <w:r>
        <w:rPr>
          <w:rFonts w:ascii="Calibri"/>
          <w:color w:val="003366"/>
          <w:sz w:val="20"/>
        </w:rPr>
        <w:tab/>
        <w:t>23</w:t>
      </w:r>
      <w:r>
        <w:rPr>
          <w:rFonts w:ascii="Calibri"/>
          <w:color w:val="003366"/>
          <w:sz w:val="20"/>
        </w:rPr>
        <w:tab/>
        <w:t>84</w:t>
      </w:r>
    </w:p>
    <w:p w:rsidR="006C17CB" w:rsidRDefault="0030091C">
      <w:pPr>
        <w:tabs>
          <w:tab w:val="left" w:pos="7035"/>
          <w:tab w:val="left" w:pos="8048"/>
          <w:tab w:val="left" w:pos="9371"/>
        </w:tabs>
        <w:spacing w:line="286" w:lineRule="exact"/>
        <w:ind w:left="757"/>
        <w:rPr>
          <w:rFonts w:ascii="Calibri"/>
          <w:sz w:val="20"/>
        </w:rPr>
      </w:pPr>
      <w:r>
        <w:rPr>
          <w:rFonts w:ascii="Calibri"/>
          <w:color w:val="003366"/>
          <w:sz w:val="20"/>
        </w:rPr>
        <w:t>Cash</w:t>
      </w:r>
      <w:r>
        <w:rPr>
          <w:rFonts w:ascii="Calibri"/>
          <w:color w:val="003366"/>
          <w:spacing w:val="-1"/>
          <w:sz w:val="20"/>
        </w:rPr>
        <w:t xml:space="preserve"> </w:t>
      </w:r>
      <w:r>
        <w:rPr>
          <w:rFonts w:ascii="Calibri"/>
          <w:color w:val="003366"/>
          <w:sz w:val="20"/>
        </w:rPr>
        <w:t>on</w:t>
      </w:r>
      <w:r>
        <w:rPr>
          <w:rFonts w:ascii="Calibri"/>
          <w:color w:val="003366"/>
          <w:spacing w:val="-1"/>
          <w:sz w:val="20"/>
        </w:rPr>
        <w:t xml:space="preserve"> </w:t>
      </w:r>
      <w:r>
        <w:rPr>
          <w:rFonts w:ascii="Calibri"/>
          <w:color w:val="003366"/>
          <w:sz w:val="20"/>
        </w:rPr>
        <w:t>Hand</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1</w:t>
      </w:r>
      <w:r>
        <w:rPr>
          <w:rFonts w:ascii="Calibri"/>
          <w:color w:val="003366"/>
          <w:sz w:val="20"/>
          <w:u w:val="single" w:color="003366"/>
        </w:rPr>
        <w:tab/>
        <w:t>1</w:t>
      </w:r>
      <w:r>
        <w:rPr>
          <w:rFonts w:ascii="Calibri"/>
          <w:color w:val="003366"/>
          <w:spacing w:val="16"/>
          <w:sz w:val="20"/>
          <w:u w:val="single" w:color="003366"/>
        </w:rPr>
        <w:t xml:space="preserve"> </w:t>
      </w:r>
    </w:p>
    <w:p w:rsidR="006C17CB" w:rsidRDefault="006C17CB">
      <w:pPr>
        <w:pStyle w:val="BodyText"/>
        <w:spacing w:before="12"/>
        <w:rPr>
          <w:rFonts w:ascii="Calibri"/>
          <w:sz w:val="5"/>
        </w:rPr>
      </w:pPr>
    </w:p>
    <w:tbl>
      <w:tblPr>
        <w:tblW w:w="0" w:type="auto"/>
        <w:tblInd w:w="707" w:type="dxa"/>
        <w:tblLayout w:type="fixed"/>
        <w:tblCellMar>
          <w:left w:w="0" w:type="dxa"/>
          <w:right w:w="0" w:type="dxa"/>
        </w:tblCellMar>
        <w:tblLook w:val="01E0" w:firstRow="1" w:lastRow="1" w:firstColumn="1" w:lastColumn="1" w:noHBand="0" w:noVBand="0"/>
      </w:tblPr>
      <w:tblGrid>
        <w:gridCol w:w="6328"/>
        <w:gridCol w:w="1526"/>
        <w:gridCol w:w="1017"/>
      </w:tblGrid>
      <w:tr w:rsidR="006C17CB">
        <w:trPr>
          <w:trHeight w:val="203"/>
        </w:trPr>
        <w:tc>
          <w:tcPr>
            <w:tcW w:w="6328" w:type="dxa"/>
          </w:tcPr>
          <w:p w:rsidR="006C17CB" w:rsidRDefault="0030091C">
            <w:pPr>
              <w:pStyle w:val="TableParagraph"/>
              <w:spacing w:line="184" w:lineRule="exact"/>
              <w:ind w:left="50"/>
              <w:jc w:val="left"/>
              <w:rPr>
                <w:b/>
                <w:sz w:val="20"/>
              </w:rPr>
            </w:pPr>
            <w:r>
              <w:rPr>
                <w:b/>
                <w:color w:val="003366"/>
                <w:sz w:val="20"/>
              </w:rPr>
              <w:t>Total Cash and Cash Equivalents</w:t>
            </w:r>
          </w:p>
        </w:tc>
        <w:tc>
          <w:tcPr>
            <w:tcW w:w="1526" w:type="dxa"/>
            <w:tcBorders>
              <w:bottom w:val="double" w:sz="1" w:space="0" w:color="003366"/>
            </w:tcBorders>
          </w:tcPr>
          <w:p w:rsidR="006C17CB" w:rsidRDefault="0030091C">
            <w:pPr>
              <w:pStyle w:val="TableParagraph"/>
              <w:spacing w:line="184" w:lineRule="exact"/>
              <w:ind w:right="410"/>
              <w:rPr>
                <w:b/>
                <w:sz w:val="20"/>
              </w:rPr>
            </w:pPr>
            <w:r>
              <w:rPr>
                <w:b/>
                <w:color w:val="003366"/>
                <w:w w:val="95"/>
                <w:sz w:val="20"/>
              </w:rPr>
              <w:t>24</w:t>
            </w:r>
          </w:p>
        </w:tc>
        <w:tc>
          <w:tcPr>
            <w:tcW w:w="1017" w:type="dxa"/>
            <w:tcBorders>
              <w:bottom w:val="double" w:sz="1" w:space="0" w:color="003366"/>
            </w:tcBorders>
          </w:tcPr>
          <w:p w:rsidR="006C17CB" w:rsidRDefault="0030091C">
            <w:pPr>
              <w:pStyle w:val="TableParagraph"/>
              <w:spacing w:line="184" w:lineRule="exact"/>
              <w:ind w:right="104"/>
              <w:rPr>
                <w:b/>
                <w:sz w:val="20"/>
              </w:rPr>
            </w:pPr>
            <w:r>
              <w:rPr>
                <w:b/>
                <w:color w:val="003366"/>
                <w:w w:val="95"/>
                <w:sz w:val="20"/>
              </w:rPr>
              <w:t>85</w:t>
            </w:r>
          </w:p>
        </w:tc>
      </w:tr>
      <w:tr w:rsidR="006C17CB">
        <w:trPr>
          <w:trHeight w:val="565"/>
        </w:trPr>
        <w:tc>
          <w:tcPr>
            <w:tcW w:w="6328" w:type="dxa"/>
          </w:tcPr>
          <w:p w:rsidR="006C17CB" w:rsidRDefault="006C17CB">
            <w:pPr>
              <w:pStyle w:val="TableParagraph"/>
              <w:spacing w:before="6"/>
              <w:jc w:val="left"/>
              <w:rPr>
                <w:sz w:val="19"/>
              </w:rPr>
            </w:pPr>
          </w:p>
          <w:p w:rsidR="006C17CB" w:rsidRDefault="0030091C">
            <w:pPr>
              <w:pStyle w:val="TableParagraph"/>
              <w:spacing w:before="1" w:line="264" w:lineRule="exact"/>
              <w:ind w:left="50"/>
              <w:jc w:val="left"/>
              <w:rPr>
                <w:i/>
                <w:sz w:val="20"/>
              </w:rPr>
            </w:pPr>
            <w:r>
              <w:rPr>
                <w:i/>
                <w:color w:val="003366"/>
                <w:sz w:val="20"/>
              </w:rPr>
              <w:t>Weighted Average Interest rate</w:t>
            </w:r>
          </w:p>
        </w:tc>
        <w:tc>
          <w:tcPr>
            <w:tcW w:w="1526" w:type="dxa"/>
            <w:tcBorders>
              <w:top w:val="double" w:sz="1" w:space="0" w:color="003366"/>
            </w:tcBorders>
          </w:tcPr>
          <w:p w:rsidR="006C17CB" w:rsidRDefault="006C17CB">
            <w:pPr>
              <w:pStyle w:val="TableParagraph"/>
              <w:spacing w:before="6"/>
              <w:jc w:val="left"/>
              <w:rPr>
                <w:sz w:val="19"/>
              </w:rPr>
            </w:pPr>
          </w:p>
          <w:p w:rsidR="006C17CB" w:rsidRDefault="0030091C">
            <w:pPr>
              <w:pStyle w:val="TableParagraph"/>
              <w:spacing w:before="1" w:line="264" w:lineRule="exact"/>
              <w:ind w:right="411"/>
              <w:rPr>
                <w:i/>
                <w:sz w:val="20"/>
              </w:rPr>
            </w:pPr>
            <w:r>
              <w:rPr>
                <w:i/>
                <w:color w:val="003366"/>
                <w:w w:val="95"/>
                <w:sz w:val="20"/>
              </w:rPr>
              <w:t>2.35%</w:t>
            </w:r>
          </w:p>
        </w:tc>
        <w:tc>
          <w:tcPr>
            <w:tcW w:w="1017" w:type="dxa"/>
            <w:tcBorders>
              <w:top w:val="double" w:sz="1" w:space="0" w:color="003366"/>
            </w:tcBorders>
          </w:tcPr>
          <w:p w:rsidR="006C17CB" w:rsidRDefault="006C17CB">
            <w:pPr>
              <w:pStyle w:val="TableParagraph"/>
              <w:spacing w:before="6"/>
              <w:jc w:val="left"/>
              <w:rPr>
                <w:sz w:val="19"/>
              </w:rPr>
            </w:pPr>
          </w:p>
          <w:p w:rsidR="006C17CB" w:rsidRDefault="0030091C">
            <w:pPr>
              <w:pStyle w:val="TableParagraph"/>
              <w:spacing w:before="1" w:line="264" w:lineRule="exact"/>
              <w:ind w:right="106"/>
              <w:rPr>
                <w:i/>
                <w:sz w:val="20"/>
              </w:rPr>
            </w:pPr>
            <w:r>
              <w:rPr>
                <w:i/>
                <w:color w:val="003366"/>
                <w:sz w:val="20"/>
              </w:rPr>
              <w:t>2.37%</w:t>
            </w:r>
          </w:p>
        </w:tc>
      </w:tr>
    </w:tbl>
    <w:p w:rsidR="006C17CB" w:rsidRDefault="006C17CB">
      <w:pPr>
        <w:pStyle w:val="BodyText"/>
        <w:spacing w:before="6"/>
        <w:rPr>
          <w:rFonts w:ascii="Calibri"/>
          <w:sz w:val="23"/>
        </w:rPr>
      </w:pPr>
    </w:p>
    <w:p w:rsidR="006C17CB" w:rsidRDefault="0030091C">
      <w:pPr>
        <w:tabs>
          <w:tab w:val="left" w:pos="1184"/>
        </w:tabs>
        <w:spacing w:line="204" w:lineRule="auto"/>
        <w:ind w:left="1184" w:right="1541" w:hanging="428"/>
        <w:rPr>
          <w:rFonts w:ascii="Calibri"/>
          <w:sz w:val="18"/>
        </w:rPr>
      </w:pPr>
      <w:r>
        <w:rPr>
          <w:rFonts w:ascii="Calibri"/>
          <w:color w:val="003366"/>
          <w:sz w:val="18"/>
        </w:rPr>
        <w:t>a)</w:t>
      </w:r>
      <w:r>
        <w:rPr>
          <w:rFonts w:ascii="Calibri"/>
          <w:color w:val="003366"/>
          <w:sz w:val="18"/>
        </w:rPr>
        <w:tab/>
        <w:t>Cash at bank that was not required for immediate operational requirements was placed into investments to maximise the return to the</w:t>
      </w:r>
      <w:r>
        <w:rPr>
          <w:rFonts w:ascii="Calibri"/>
          <w:color w:val="003366"/>
          <w:spacing w:val="-4"/>
          <w:sz w:val="18"/>
        </w:rPr>
        <w:t xml:space="preserve"> </w:t>
      </w:r>
      <w:r>
        <w:rPr>
          <w:rFonts w:ascii="Calibri"/>
          <w:color w:val="003366"/>
          <w:sz w:val="18"/>
        </w:rPr>
        <w:t>Office.</w:t>
      </w:r>
    </w:p>
    <w:p w:rsidR="006C17CB" w:rsidRDefault="0030091C">
      <w:pPr>
        <w:pStyle w:val="Heading6"/>
        <w:tabs>
          <w:tab w:val="left" w:pos="1890"/>
        </w:tabs>
        <w:spacing w:before="136"/>
        <w:ind w:left="757"/>
      </w:pPr>
      <w:r>
        <w:rPr>
          <w:color w:val="003366"/>
        </w:rPr>
        <w:t>NOTE</w:t>
      </w:r>
      <w:r>
        <w:rPr>
          <w:color w:val="003366"/>
          <w:spacing w:val="-1"/>
        </w:rPr>
        <w:t xml:space="preserve"> </w:t>
      </w:r>
      <w:r>
        <w:rPr>
          <w:color w:val="003366"/>
        </w:rPr>
        <w:t>11.</w:t>
      </w:r>
      <w:r>
        <w:rPr>
          <w:color w:val="003366"/>
        </w:rPr>
        <w:tab/>
        <w:t>INVESTMENTS</w:t>
      </w:r>
    </w:p>
    <w:p w:rsidR="006C17CB" w:rsidRDefault="006C17CB">
      <w:pPr>
        <w:pStyle w:val="BodyText"/>
        <w:rPr>
          <w:rFonts w:ascii="Calibri"/>
          <w:b/>
          <w:sz w:val="16"/>
        </w:rPr>
      </w:pPr>
    </w:p>
    <w:p w:rsidR="006C17CB" w:rsidRDefault="0030091C">
      <w:pPr>
        <w:spacing w:line="204" w:lineRule="auto"/>
        <w:ind w:left="757" w:right="1449"/>
        <w:jc w:val="both"/>
        <w:rPr>
          <w:rFonts w:ascii="Calibri"/>
          <w:sz w:val="20"/>
        </w:rPr>
      </w:pPr>
      <w:r>
        <w:rPr>
          <w:rFonts w:ascii="Calibri"/>
          <w:color w:val="003366"/>
          <w:sz w:val="20"/>
        </w:rPr>
        <w:t>Short-term</w:t>
      </w:r>
      <w:r>
        <w:rPr>
          <w:rFonts w:ascii="Calibri"/>
          <w:color w:val="003366"/>
          <w:spacing w:val="-9"/>
          <w:sz w:val="20"/>
        </w:rPr>
        <w:t xml:space="preserve"> </w:t>
      </w:r>
      <w:r>
        <w:rPr>
          <w:rFonts w:ascii="Calibri"/>
          <w:color w:val="003366"/>
          <w:sz w:val="20"/>
        </w:rPr>
        <w:t>investments</w:t>
      </w:r>
      <w:r>
        <w:rPr>
          <w:rFonts w:ascii="Calibri"/>
          <w:color w:val="003366"/>
          <w:spacing w:val="-9"/>
          <w:sz w:val="20"/>
        </w:rPr>
        <w:t xml:space="preserve"> </w:t>
      </w:r>
      <w:r>
        <w:rPr>
          <w:rFonts w:ascii="Calibri"/>
          <w:color w:val="003366"/>
          <w:sz w:val="20"/>
        </w:rPr>
        <w:t>are</w:t>
      </w:r>
      <w:r>
        <w:rPr>
          <w:rFonts w:ascii="Calibri"/>
          <w:color w:val="003366"/>
          <w:spacing w:val="-9"/>
          <w:sz w:val="20"/>
        </w:rPr>
        <w:t xml:space="preserve"> </w:t>
      </w:r>
      <w:r>
        <w:rPr>
          <w:rFonts w:ascii="Calibri"/>
          <w:color w:val="003366"/>
          <w:sz w:val="20"/>
        </w:rPr>
        <w:t>held</w:t>
      </w:r>
      <w:r>
        <w:rPr>
          <w:rFonts w:ascii="Calibri"/>
          <w:color w:val="003366"/>
          <w:spacing w:val="-8"/>
          <w:sz w:val="20"/>
        </w:rPr>
        <w:t xml:space="preserve"> </w:t>
      </w:r>
      <w:r>
        <w:rPr>
          <w:rFonts w:ascii="Calibri"/>
          <w:color w:val="003366"/>
          <w:sz w:val="20"/>
        </w:rPr>
        <w:t>with</w:t>
      </w:r>
      <w:r>
        <w:rPr>
          <w:rFonts w:ascii="Calibri"/>
          <w:color w:val="003366"/>
          <w:spacing w:val="-8"/>
          <w:sz w:val="20"/>
        </w:rPr>
        <w:t xml:space="preserve"> </w:t>
      </w:r>
      <w:r>
        <w:rPr>
          <w:rFonts w:ascii="Calibri"/>
          <w:color w:val="003366"/>
          <w:sz w:val="20"/>
        </w:rPr>
        <w:t>the</w:t>
      </w:r>
      <w:r>
        <w:rPr>
          <w:rFonts w:ascii="Calibri"/>
          <w:color w:val="003366"/>
          <w:spacing w:val="-9"/>
          <w:sz w:val="20"/>
        </w:rPr>
        <w:t xml:space="preserve"> </w:t>
      </w:r>
      <w:r>
        <w:rPr>
          <w:rFonts w:ascii="Calibri"/>
          <w:color w:val="003366"/>
          <w:sz w:val="20"/>
        </w:rPr>
        <w:t>Territory</w:t>
      </w:r>
      <w:r>
        <w:rPr>
          <w:rFonts w:ascii="Calibri"/>
          <w:color w:val="003366"/>
          <w:spacing w:val="-8"/>
          <w:sz w:val="20"/>
        </w:rPr>
        <w:t xml:space="preserve"> </w:t>
      </w:r>
      <w:r>
        <w:rPr>
          <w:rFonts w:ascii="Calibri"/>
          <w:color w:val="003366"/>
          <w:sz w:val="20"/>
        </w:rPr>
        <w:t>Banking</w:t>
      </w:r>
      <w:r>
        <w:rPr>
          <w:rFonts w:ascii="Calibri"/>
          <w:color w:val="003366"/>
          <w:spacing w:val="-7"/>
          <w:sz w:val="20"/>
        </w:rPr>
        <w:t xml:space="preserve"> </w:t>
      </w:r>
      <w:r>
        <w:rPr>
          <w:rFonts w:ascii="Calibri"/>
          <w:color w:val="003366"/>
          <w:sz w:val="20"/>
        </w:rPr>
        <w:t>Account</w:t>
      </w:r>
      <w:r>
        <w:rPr>
          <w:rFonts w:ascii="Calibri"/>
          <w:color w:val="003366"/>
          <w:spacing w:val="-8"/>
          <w:sz w:val="20"/>
        </w:rPr>
        <w:t xml:space="preserve"> </w:t>
      </w:r>
      <w:r>
        <w:rPr>
          <w:rFonts w:ascii="Calibri"/>
          <w:color w:val="003366"/>
          <w:sz w:val="20"/>
        </w:rPr>
        <w:t>in</w:t>
      </w:r>
      <w:r>
        <w:rPr>
          <w:rFonts w:ascii="Calibri"/>
          <w:color w:val="003366"/>
          <w:spacing w:val="-8"/>
          <w:sz w:val="20"/>
        </w:rPr>
        <w:t xml:space="preserve"> </w:t>
      </w:r>
      <w:r>
        <w:rPr>
          <w:rFonts w:ascii="Calibri"/>
          <w:color w:val="003366"/>
          <w:sz w:val="20"/>
        </w:rPr>
        <w:t>a</w:t>
      </w:r>
      <w:r>
        <w:rPr>
          <w:rFonts w:ascii="Calibri"/>
          <w:color w:val="003366"/>
          <w:spacing w:val="-8"/>
          <w:sz w:val="20"/>
        </w:rPr>
        <w:t xml:space="preserve"> </w:t>
      </w:r>
      <w:r>
        <w:rPr>
          <w:rFonts w:ascii="Calibri"/>
          <w:color w:val="003366"/>
          <w:sz w:val="20"/>
        </w:rPr>
        <w:t>unit</w:t>
      </w:r>
      <w:r>
        <w:rPr>
          <w:rFonts w:ascii="Calibri"/>
          <w:color w:val="003366"/>
          <w:spacing w:val="-8"/>
          <w:sz w:val="20"/>
        </w:rPr>
        <w:t xml:space="preserve"> </w:t>
      </w:r>
      <w:r>
        <w:rPr>
          <w:rFonts w:ascii="Calibri"/>
          <w:color w:val="003366"/>
          <w:sz w:val="20"/>
        </w:rPr>
        <w:t>trust</w:t>
      </w:r>
      <w:r>
        <w:rPr>
          <w:rFonts w:ascii="Calibri"/>
          <w:color w:val="003366"/>
          <w:spacing w:val="-8"/>
          <w:sz w:val="20"/>
        </w:rPr>
        <w:t xml:space="preserve"> </w:t>
      </w:r>
      <w:r>
        <w:rPr>
          <w:rFonts w:ascii="Calibri"/>
          <w:color w:val="003366"/>
          <w:sz w:val="20"/>
        </w:rPr>
        <w:t>called</w:t>
      </w:r>
      <w:r>
        <w:rPr>
          <w:rFonts w:ascii="Calibri"/>
          <w:color w:val="003366"/>
          <w:spacing w:val="-8"/>
          <w:sz w:val="20"/>
        </w:rPr>
        <w:t xml:space="preserve"> </w:t>
      </w:r>
      <w:r>
        <w:rPr>
          <w:rFonts w:ascii="Calibri"/>
          <w:color w:val="003366"/>
          <w:sz w:val="20"/>
        </w:rPr>
        <w:t>the</w:t>
      </w:r>
      <w:r>
        <w:rPr>
          <w:rFonts w:ascii="Calibri"/>
          <w:color w:val="003366"/>
          <w:spacing w:val="-9"/>
          <w:sz w:val="20"/>
        </w:rPr>
        <w:t xml:space="preserve"> </w:t>
      </w:r>
      <w:r>
        <w:rPr>
          <w:rFonts w:ascii="Calibri"/>
          <w:color w:val="003366"/>
          <w:sz w:val="20"/>
        </w:rPr>
        <w:t>Cash</w:t>
      </w:r>
      <w:r>
        <w:rPr>
          <w:rFonts w:ascii="Calibri"/>
          <w:color w:val="003366"/>
          <w:spacing w:val="-8"/>
          <w:sz w:val="20"/>
        </w:rPr>
        <w:t xml:space="preserve"> </w:t>
      </w:r>
      <w:r>
        <w:rPr>
          <w:rFonts w:ascii="Calibri"/>
          <w:color w:val="003366"/>
          <w:sz w:val="20"/>
        </w:rPr>
        <w:t>Enhanced Fund. The price of units in the unit trust fluctuates in value. The net gain or loss on investments consists of the fluctuation in price of the unit trust between the end of the last reporting period and the end of this reporting period. As well, any profit on the sale of units in the unit trust (the profit being the difference between the price at the end of last reporting period and the sale price). The net gains or losses do not include interest or dividend</w:t>
      </w:r>
      <w:r>
        <w:rPr>
          <w:rFonts w:ascii="Calibri"/>
          <w:color w:val="003366"/>
          <w:spacing w:val="-1"/>
          <w:sz w:val="20"/>
        </w:rPr>
        <w:t xml:space="preserve"> </w:t>
      </w:r>
      <w:r>
        <w:rPr>
          <w:rFonts w:ascii="Calibri"/>
          <w:color w:val="003366"/>
          <w:sz w:val="20"/>
        </w:rPr>
        <w:t>income.</w:t>
      </w:r>
    </w:p>
    <w:p w:rsidR="006C17CB" w:rsidRDefault="0030091C">
      <w:pPr>
        <w:spacing w:before="114" w:line="204" w:lineRule="auto"/>
        <w:ind w:left="757" w:right="1452"/>
        <w:jc w:val="both"/>
        <w:rPr>
          <w:rFonts w:ascii="Calibri"/>
          <w:sz w:val="20"/>
        </w:rPr>
      </w:pPr>
      <w:r>
        <w:rPr>
          <w:rFonts w:ascii="Calibri"/>
          <w:color w:val="003366"/>
          <w:sz w:val="20"/>
        </w:rPr>
        <w:t>These short-term investments are measured at fair value with any adjustments to the carrying amount recorded in the Operating Statement. Fair value is based on an underlying pool of investments which have quoted market prices at the reporting date.</w:t>
      </w:r>
    </w:p>
    <w:p w:rsidR="006C17CB" w:rsidRDefault="006C17CB">
      <w:pPr>
        <w:pStyle w:val="BodyText"/>
        <w:spacing w:before="7"/>
        <w:rPr>
          <w:rFonts w:ascii="Calibri"/>
          <w:sz w:val="7"/>
        </w:rPr>
      </w:pPr>
    </w:p>
    <w:p w:rsidR="006C17CB" w:rsidRDefault="006C17CB">
      <w:pPr>
        <w:rPr>
          <w:rFonts w:ascii="Calibri"/>
          <w:sz w:val="7"/>
        </w:rPr>
        <w:sectPr w:rsidR="006C17CB">
          <w:type w:val="continuous"/>
          <w:pgSz w:w="11910" w:h="16840"/>
          <w:pgMar w:top="1580" w:right="0" w:bottom="280" w:left="980" w:header="720" w:footer="720" w:gutter="0"/>
          <w:cols w:space="720"/>
        </w:sectPr>
      </w:pPr>
    </w:p>
    <w:p w:rsidR="006C17CB" w:rsidRDefault="006C17CB">
      <w:pPr>
        <w:pStyle w:val="BodyText"/>
        <w:rPr>
          <w:rFonts w:ascii="Calibri"/>
          <w:sz w:val="20"/>
        </w:rPr>
      </w:pPr>
    </w:p>
    <w:p w:rsidR="006C17CB" w:rsidRDefault="006C17CB">
      <w:pPr>
        <w:pStyle w:val="BodyText"/>
        <w:spacing w:before="7"/>
        <w:rPr>
          <w:rFonts w:ascii="Calibri"/>
          <w:sz w:val="20"/>
        </w:rPr>
      </w:pPr>
    </w:p>
    <w:p w:rsidR="006C17CB" w:rsidRDefault="0030091C">
      <w:pPr>
        <w:ind w:left="757"/>
        <w:rPr>
          <w:rFonts w:ascii="Calibri"/>
          <w:b/>
          <w:sz w:val="20"/>
        </w:rPr>
      </w:pPr>
      <w:r>
        <w:rPr>
          <w:rFonts w:ascii="Calibri"/>
          <w:b/>
          <w:color w:val="003366"/>
          <w:sz w:val="20"/>
        </w:rPr>
        <w:t>Current Investments</w:t>
      </w:r>
    </w:p>
    <w:p w:rsidR="006C17CB" w:rsidRDefault="0030091C">
      <w:pPr>
        <w:spacing w:before="15" w:line="287" w:lineRule="exact"/>
        <w:ind w:left="807"/>
        <w:rPr>
          <w:rFonts w:ascii="Calibri"/>
          <w:b/>
          <w:sz w:val="20"/>
        </w:rPr>
      </w:pPr>
      <w:r>
        <w:br w:type="column"/>
      </w:r>
      <w:r>
        <w:rPr>
          <w:rFonts w:ascii="Calibri"/>
          <w:b/>
          <w:color w:val="003366"/>
          <w:sz w:val="20"/>
        </w:rPr>
        <w:t>2018</w:t>
      </w:r>
    </w:p>
    <w:p w:rsidR="006C17CB" w:rsidRDefault="0030091C">
      <w:pPr>
        <w:spacing w:line="287" w:lineRule="exact"/>
        <w:ind w:left="757"/>
        <w:rPr>
          <w:rFonts w:ascii="Calibri" w:hAnsi="Calibri"/>
          <w:b/>
          <w:sz w:val="20"/>
        </w:rPr>
      </w:pPr>
      <w:r>
        <w:rPr>
          <w:rFonts w:ascii="Calibri" w:hAnsi="Calibri"/>
          <w:b/>
          <w:color w:val="003366"/>
          <w:sz w:val="20"/>
        </w:rPr>
        <w:t>$’000</w:t>
      </w:r>
    </w:p>
    <w:p w:rsidR="006C17CB" w:rsidRDefault="0030091C">
      <w:pPr>
        <w:spacing w:before="15" w:line="287" w:lineRule="exact"/>
        <w:ind w:left="807"/>
        <w:rPr>
          <w:rFonts w:ascii="Calibri"/>
          <w:b/>
          <w:sz w:val="20"/>
        </w:rPr>
      </w:pPr>
      <w:r>
        <w:br w:type="column"/>
      </w:r>
      <w:r>
        <w:rPr>
          <w:rFonts w:ascii="Calibri"/>
          <w:b/>
          <w:color w:val="003366"/>
          <w:sz w:val="20"/>
        </w:rPr>
        <w:t>2017</w:t>
      </w:r>
    </w:p>
    <w:p w:rsidR="006C17CB" w:rsidRDefault="0030091C">
      <w:pPr>
        <w:spacing w:line="287" w:lineRule="exact"/>
        <w:ind w:left="757"/>
        <w:rPr>
          <w:rFonts w:ascii="Calibri" w:hAnsi="Calibri"/>
          <w:b/>
          <w:sz w:val="20"/>
        </w:rPr>
      </w:pPr>
      <w:r>
        <w:rPr>
          <w:rFonts w:ascii="Calibri" w:hAnsi="Calibri"/>
          <w:b/>
          <w:color w:val="003366"/>
          <w:sz w:val="20"/>
        </w:rPr>
        <w:t>$’000</w:t>
      </w:r>
    </w:p>
    <w:p w:rsidR="006C17CB" w:rsidRDefault="006C17CB">
      <w:pPr>
        <w:spacing w:line="287" w:lineRule="exact"/>
        <w:rPr>
          <w:rFonts w:ascii="Calibri" w:hAnsi="Calibri"/>
          <w:sz w:val="20"/>
        </w:rPr>
        <w:sectPr w:rsidR="006C17CB">
          <w:type w:val="continuous"/>
          <w:pgSz w:w="11910" w:h="16840"/>
          <w:pgMar w:top="1580" w:right="0" w:bottom="280" w:left="980" w:header="720" w:footer="720" w:gutter="0"/>
          <w:cols w:num="3" w:space="720" w:equalWidth="0">
            <w:col w:w="2502" w:space="4311"/>
            <w:col w:w="1252" w:space="194"/>
            <w:col w:w="2671"/>
          </w:cols>
        </w:sectPr>
      </w:pPr>
    </w:p>
    <w:p w:rsidR="006C17CB" w:rsidRDefault="0030091C">
      <w:pPr>
        <w:tabs>
          <w:tab w:val="left" w:pos="7571"/>
          <w:tab w:val="left" w:pos="9015"/>
        </w:tabs>
        <w:spacing w:line="283" w:lineRule="exact"/>
        <w:ind w:left="757"/>
        <w:rPr>
          <w:rFonts w:ascii="Calibri"/>
          <w:sz w:val="20"/>
        </w:rPr>
      </w:pPr>
      <w:r>
        <w:rPr>
          <w:rFonts w:ascii="Calibri"/>
          <w:color w:val="003366"/>
          <w:sz w:val="20"/>
        </w:rPr>
        <w:t>Investments with the Territory Banking Account - Cash Enhanced</w:t>
      </w:r>
      <w:r>
        <w:rPr>
          <w:rFonts w:ascii="Calibri"/>
          <w:color w:val="003366"/>
          <w:spacing w:val="-23"/>
          <w:sz w:val="20"/>
        </w:rPr>
        <w:t xml:space="preserve"> </w:t>
      </w:r>
      <w:r>
        <w:rPr>
          <w:rFonts w:ascii="Calibri"/>
          <w:color w:val="003366"/>
          <w:sz w:val="20"/>
        </w:rPr>
        <w:t>Fund</w:t>
      </w:r>
      <w:r>
        <w:rPr>
          <w:rFonts w:ascii="Calibri"/>
          <w:color w:val="003366"/>
          <w:spacing w:val="-2"/>
          <w:sz w:val="20"/>
        </w:rPr>
        <w:t xml:space="preserve"> </w:t>
      </w:r>
      <w:r>
        <w:rPr>
          <w:rFonts w:ascii="Calibri"/>
          <w:color w:val="003366"/>
          <w:sz w:val="20"/>
          <w:vertAlign w:val="superscript"/>
        </w:rPr>
        <w:t>a</w:t>
      </w:r>
      <w:r>
        <w:rPr>
          <w:rFonts w:ascii="Calibri"/>
          <w:color w:val="003366"/>
          <w:sz w:val="20"/>
          <w:u w:val="single" w:color="003366"/>
        </w:rPr>
        <w:t xml:space="preserve"> </w:t>
      </w:r>
      <w:r>
        <w:rPr>
          <w:rFonts w:ascii="Calibri"/>
          <w:color w:val="003366"/>
          <w:sz w:val="20"/>
          <w:u w:val="single" w:color="003366"/>
        </w:rPr>
        <w:tab/>
        <w:t>2,251</w:t>
      </w:r>
      <w:r>
        <w:rPr>
          <w:rFonts w:ascii="Calibri"/>
          <w:color w:val="003366"/>
          <w:sz w:val="20"/>
          <w:u w:val="single" w:color="003366"/>
        </w:rPr>
        <w:tab/>
        <w:t>2,058</w:t>
      </w:r>
      <w:r>
        <w:rPr>
          <w:rFonts w:ascii="Calibri"/>
          <w:color w:val="003366"/>
          <w:spacing w:val="18"/>
          <w:sz w:val="20"/>
          <w:u w:val="single" w:color="003366"/>
        </w:rPr>
        <w:t xml:space="preserve"> </w:t>
      </w:r>
    </w:p>
    <w:p w:rsidR="006C17CB" w:rsidRDefault="0030091C">
      <w:pPr>
        <w:tabs>
          <w:tab w:val="left" w:pos="6745"/>
          <w:tab w:val="left" w:pos="7571"/>
          <w:tab w:val="left" w:pos="9015"/>
        </w:tabs>
        <w:spacing w:before="2"/>
        <w:ind w:left="757"/>
        <w:rPr>
          <w:rFonts w:ascii="Calibri"/>
          <w:b/>
          <w:sz w:val="20"/>
        </w:rPr>
      </w:pPr>
      <w:r>
        <w:rPr>
          <w:rFonts w:ascii="Calibri"/>
          <w:b/>
          <w:color w:val="003366"/>
          <w:sz w:val="20"/>
        </w:rPr>
        <w:t>Total</w:t>
      </w:r>
      <w:r>
        <w:rPr>
          <w:rFonts w:ascii="Calibri"/>
          <w:b/>
          <w:color w:val="003366"/>
          <w:spacing w:val="-3"/>
          <w:sz w:val="20"/>
        </w:rPr>
        <w:t xml:space="preserve"> </w:t>
      </w:r>
      <w:r>
        <w:rPr>
          <w:rFonts w:ascii="Calibri"/>
          <w:b/>
          <w:color w:val="003366"/>
          <w:sz w:val="20"/>
        </w:rPr>
        <w:t>Current</w:t>
      </w:r>
      <w:r>
        <w:rPr>
          <w:rFonts w:ascii="Calibri"/>
          <w:b/>
          <w:color w:val="003366"/>
          <w:spacing w:val="-2"/>
          <w:sz w:val="20"/>
        </w:rPr>
        <w:t xml:space="preserve"> </w:t>
      </w:r>
      <w:r>
        <w:rPr>
          <w:rFonts w:ascii="Calibri"/>
          <w:b/>
          <w:color w:val="003366"/>
          <w:sz w:val="20"/>
        </w:rPr>
        <w:t>Investments</w:t>
      </w:r>
      <w:r>
        <w:rPr>
          <w:rFonts w:ascii="Calibri"/>
          <w:b/>
          <w:color w:val="003366"/>
          <w:sz w:val="20"/>
        </w:rPr>
        <w:tab/>
      </w:r>
      <w:r>
        <w:rPr>
          <w:rFonts w:ascii="Calibri"/>
          <w:b/>
          <w:color w:val="003366"/>
          <w:sz w:val="20"/>
          <w:u w:val="single" w:color="003366"/>
        </w:rPr>
        <w:t xml:space="preserve"> </w:t>
      </w:r>
      <w:r>
        <w:rPr>
          <w:rFonts w:ascii="Calibri"/>
          <w:b/>
          <w:color w:val="003366"/>
          <w:sz w:val="20"/>
          <w:u w:val="single" w:color="003366"/>
        </w:rPr>
        <w:tab/>
        <w:t>2,251</w:t>
      </w:r>
      <w:r>
        <w:rPr>
          <w:rFonts w:ascii="Calibri"/>
          <w:b/>
          <w:color w:val="003366"/>
          <w:sz w:val="20"/>
          <w:u w:val="single" w:color="003366"/>
        </w:rPr>
        <w:tab/>
        <w:t>2,058</w:t>
      </w:r>
      <w:r>
        <w:rPr>
          <w:rFonts w:ascii="Calibri"/>
          <w:b/>
          <w:color w:val="003366"/>
          <w:spacing w:val="18"/>
          <w:sz w:val="20"/>
          <w:u w:val="single" w:color="003366"/>
        </w:rPr>
        <w:t xml:space="preserve"> </w:t>
      </w:r>
    </w:p>
    <w:p w:rsidR="006C17CB" w:rsidRDefault="00FE24A7">
      <w:pPr>
        <w:pStyle w:val="BodyText"/>
        <w:spacing w:before="12"/>
        <w:rPr>
          <w:rFonts w:ascii="Calibri"/>
          <w:b/>
          <w:sz w:val="17"/>
        </w:rPr>
      </w:pPr>
      <w:r>
        <w:pict>
          <v:group id="_x0000_s1361" alt="" style="position:absolute;margin-left:386.3pt;margin-top:14.85pt;width:141.75pt;height:.25pt;z-index:2320;mso-wrap-distance-left:0;mso-wrap-distance-right:0;mso-position-horizontal-relative:page" coordorigin="7726,297" coordsize="2835,5">
            <v:line id="_x0000_s1362" alt="" style="position:absolute" from="7726,299" to="9115,299" strokecolor="#036" strokeweight=".08397mm"/>
            <v:rect id="_x0000_s1363" alt="" style="position:absolute;left:9115;top:296;width:5;height:5" fillcolor="#036" stroked="f"/>
            <v:line id="_x0000_s1364" alt="" style="position:absolute" from="9120,299" to="10560,299" strokecolor="#036" strokeweight=".08397mm"/>
            <w10:wrap type="topAndBottom" anchorx="page"/>
          </v:group>
        </w:pict>
      </w:r>
    </w:p>
    <w:p w:rsidR="006C17CB" w:rsidRDefault="0030091C">
      <w:pPr>
        <w:tabs>
          <w:tab w:val="left" w:pos="7571"/>
          <w:tab w:val="left" w:pos="9015"/>
        </w:tabs>
        <w:spacing w:line="255" w:lineRule="exact"/>
        <w:ind w:left="757"/>
        <w:rPr>
          <w:rFonts w:ascii="Calibri"/>
          <w:b/>
          <w:sz w:val="20"/>
        </w:rPr>
      </w:pPr>
      <w:r>
        <w:rPr>
          <w:rFonts w:ascii="Calibri"/>
          <w:b/>
          <w:color w:val="003366"/>
          <w:sz w:val="20"/>
        </w:rPr>
        <w:t>Total</w:t>
      </w:r>
      <w:r>
        <w:rPr>
          <w:rFonts w:ascii="Calibri"/>
          <w:b/>
          <w:color w:val="003366"/>
          <w:spacing w:val="-3"/>
          <w:sz w:val="20"/>
        </w:rPr>
        <w:t xml:space="preserve"> </w:t>
      </w:r>
      <w:r>
        <w:rPr>
          <w:rFonts w:ascii="Calibri"/>
          <w:b/>
          <w:color w:val="003366"/>
          <w:sz w:val="20"/>
        </w:rPr>
        <w:t>Investments</w:t>
      </w:r>
      <w:r>
        <w:rPr>
          <w:rFonts w:ascii="Calibri"/>
          <w:b/>
          <w:color w:val="003366"/>
          <w:sz w:val="20"/>
        </w:rPr>
        <w:tab/>
        <w:t>2,251</w:t>
      </w:r>
      <w:r>
        <w:rPr>
          <w:rFonts w:ascii="Calibri"/>
          <w:b/>
          <w:color w:val="003366"/>
          <w:sz w:val="20"/>
        </w:rPr>
        <w:tab/>
        <w:t>2,058</w:t>
      </w:r>
    </w:p>
    <w:p w:rsidR="006C17CB" w:rsidRDefault="00FE24A7">
      <w:pPr>
        <w:pStyle w:val="BodyText"/>
        <w:spacing w:line="29" w:lineRule="exact"/>
        <w:ind w:left="6740"/>
        <w:rPr>
          <w:rFonts w:ascii="Calibri"/>
          <w:sz w:val="2"/>
        </w:rPr>
      </w:pPr>
      <w:r>
        <w:rPr>
          <w:rFonts w:ascii="Calibri"/>
          <w:sz w:val="2"/>
        </w:rPr>
      </w:r>
      <w:r>
        <w:rPr>
          <w:rFonts w:ascii="Calibri"/>
          <w:sz w:val="2"/>
        </w:rPr>
        <w:pict>
          <v:group id="_x0000_s1354" alt="" style="width:141.75pt;height:1.45pt;mso-position-horizontal-relative:char;mso-position-vertical-relative:line" coordsize="2835,29">
            <v:line id="_x0000_s1355" alt="" style="position:absolute" from="0,5" to="1390,5" strokecolor="#036" strokeweight=".48pt"/>
            <v:line id="_x0000_s1356" alt="" style="position:absolute" from="0,24" to="1390,24" strokecolor="#036" strokeweight=".48pt"/>
            <v:rect id="_x0000_s1357" alt="" style="position:absolute;left:1389;width:29;height:10" fillcolor="#036" stroked="f"/>
            <v:rect id="_x0000_s1358" alt="" style="position:absolute;left:1389;top:19;width:29;height:10" fillcolor="#036" stroked="f"/>
            <v:line id="_x0000_s1359" alt="" style="position:absolute" from="1418,5" to="2834,5" strokecolor="#036" strokeweight=".48pt"/>
            <v:line id="_x0000_s1360" alt="" style="position:absolute" from="1418,24" to="2834,24" strokecolor="#036" strokeweight=".48pt"/>
            <w10:anchorlock/>
          </v:group>
        </w:pict>
      </w:r>
    </w:p>
    <w:p w:rsidR="006C17CB" w:rsidRDefault="0030091C">
      <w:pPr>
        <w:pStyle w:val="ListParagraph"/>
        <w:numPr>
          <w:ilvl w:val="0"/>
          <w:numId w:val="10"/>
        </w:numPr>
        <w:tabs>
          <w:tab w:val="left" w:pos="1117"/>
          <w:tab w:val="left" w:pos="1118"/>
        </w:tabs>
        <w:spacing w:before="72" w:line="240" w:lineRule="auto"/>
        <w:rPr>
          <w:rFonts w:ascii="Calibri"/>
          <w:sz w:val="18"/>
        </w:rPr>
      </w:pPr>
      <w:r>
        <w:rPr>
          <w:rFonts w:ascii="Calibri"/>
          <w:color w:val="003366"/>
          <w:sz w:val="18"/>
        </w:rPr>
        <w:t>The Office has fully funded its employee benefit liabilities by increasing the balance in its investment</w:t>
      </w:r>
      <w:r>
        <w:rPr>
          <w:rFonts w:ascii="Calibri"/>
          <w:color w:val="003366"/>
          <w:spacing w:val="-15"/>
          <w:sz w:val="18"/>
        </w:rPr>
        <w:t xml:space="preserve"> </w:t>
      </w:r>
      <w:r>
        <w:rPr>
          <w:rFonts w:ascii="Calibri"/>
          <w:color w:val="003366"/>
          <w:sz w:val="18"/>
        </w:rPr>
        <w:t>account.</w:t>
      </w:r>
    </w:p>
    <w:p w:rsidR="006C17CB" w:rsidRDefault="006C17CB">
      <w:pPr>
        <w:rPr>
          <w:rFonts w:ascii="Calibri"/>
          <w:sz w:val="18"/>
        </w:rPr>
        <w:sectPr w:rsidR="006C17CB">
          <w:type w:val="continuous"/>
          <w:pgSz w:w="11910" w:h="16840"/>
          <w:pgMar w:top="1580" w:right="0" w:bottom="280" w:left="980" w:header="720" w:footer="720" w:gutter="0"/>
          <w:cols w:space="720"/>
        </w:sectPr>
      </w:pPr>
    </w:p>
    <w:p w:rsidR="006C17CB" w:rsidRDefault="006C17CB">
      <w:pPr>
        <w:pStyle w:val="BodyText"/>
        <w:spacing w:before="9"/>
        <w:rPr>
          <w:rFonts w:ascii="Calibri"/>
          <w:sz w:val="21"/>
        </w:rPr>
      </w:pPr>
    </w:p>
    <w:p w:rsidR="006C17CB" w:rsidRDefault="0030091C">
      <w:pPr>
        <w:pStyle w:val="Heading6"/>
        <w:tabs>
          <w:tab w:val="left" w:pos="1890"/>
        </w:tabs>
        <w:spacing w:line="345" w:lineRule="exact"/>
        <w:ind w:left="757"/>
      </w:pPr>
      <w:r>
        <w:rPr>
          <w:color w:val="003366"/>
        </w:rPr>
        <w:t>NOTE</w:t>
      </w:r>
      <w:r>
        <w:rPr>
          <w:color w:val="003366"/>
          <w:spacing w:val="-1"/>
        </w:rPr>
        <w:t xml:space="preserve"> </w:t>
      </w:r>
      <w:r>
        <w:rPr>
          <w:color w:val="003366"/>
        </w:rPr>
        <w:t>12.</w:t>
      </w:r>
      <w:r>
        <w:rPr>
          <w:color w:val="003366"/>
        </w:rPr>
        <w:tab/>
        <w:t>RECEIVABLES</w:t>
      </w:r>
    </w:p>
    <w:p w:rsidR="006C17CB" w:rsidRDefault="0030091C">
      <w:pPr>
        <w:spacing w:before="195"/>
        <w:ind w:left="757"/>
        <w:rPr>
          <w:rFonts w:ascii="Calibri"/>
          <w:i/>
          <w:sz w:val="20"/>
        </w:rPr>
      </w:pPr>
      <w:r>
        <w:rPr>
          <w:rFonts w:ascii="Calibri"/>
          <w:i/>
          <w:color w:val="003366"/>
          <w:sz w:val="20"/>
        </w:rPr>
        <w:t>Accounts Receivables</w:t>
      </w:r>
    </w:p>
    <w:p w:rsidR="006C17CB" w:rsidRDefault="0030091C">
      <w:pPr>
        <w:spacing w:before="112" w:line="204" w:lineRule="auto"/>
        <w:ind w:left="757" w:right="1451"/>
        <w:jc w:val="both"/>
        <w:rPr>
          <w:rFonts w:ascii="Calibri"/>
          <w:sz w:val="20"/>
        </w:rPr>
      </w:pPr>
      <w:r>
        <w:rPr>
          <w:rFonts w:ascii="Calibri"/>
          <w:color w:val="003366"/>
          <w:sz w:val="20"/>
        </w:rPr>
        <w:t>Accounts receivable (including trade receivables and other receivables) are initially recognised at fair value and are subsequently measured at amortised cost, with any adjustments to the carrying amount being recorded in the Operating Statement.</w:t>
      </w:r>
    </w:p>
    <w:p w:rsidR="006C17CB" w:rsidRDefault="0030091C">
      <w:pPr>
        <w:spacing w:before="81"/>
        <w:ind w:left="757"/>
        <w:rPr>
          <w:rFonts w:ascii="Calibri"/>
          <w:i/>
          <w:sz w:val="20"/>
        </w:rPr>
      </w:pPr>
      <w:r>
        <w:rPr>
          <w:rFonts w:ascii="Calibri"/>
          <w:i/>
          <w:color w:val="003366"/>
          <w:sz w:val="20"/>
        </w:rPr>
        <w:t>Impairment Loss - Receivables</w:t>
      </w:r>
    </w:p>
    <w:p w:rsidR="006C17CB" w:rsidRDefault="0030091C">
      <w:pPr>
        <w:spacing w:before="112" w:line="204" w:lineRule="auto"/>
        <w:ind w:left="757" w:right="1451"/>
        <w:jc w:val="both"/>
        <w:rPr>
          <w:rFonts w:ascii="Calibri"/>
          <w:sz w:val="20"/>
        </w:rPr>
      </w:pPr>
      <w:r>
        <w:rPr>
          <w:rFonts w:ascii="Calibri"/>
          <w:color w:val="003366"/>
          <w:sz w:val="20"/>
        </w:rPr>
        <w:t>The allowance for impairment losses represents the amount of trade receivables the Office estimates will not be repaid. The allowance for impairment losses is based on objective evidence and a review of overdue balances. The Office considers the following is objective evidence of impairment:</w:t>
      </w:r>
    </w:p>
    <w:p w:rsidR="006C17CB" w:rsidRDefault="0030091C">
      <w:pPr>
        <w:pStyle w:val="ListParagraph"/>
        <w:numPr>
          <w:ilvl w:val="1"/>
          <w:numId w:val="10"/>
        </w:numPr>
        <w:tabs>
          <w:tab w:val="left" w:pos="1609"/>
          <w:tab w:val="left" w:pos="1610"/>
        </w:tabs>
        <w:spacing w:before="82" w:line="267" w:lineRule="exact"/>
        <w:rPr>
          <w:rFonts w:ascii="Calibri"/>
          <w:sz w:val="20"/>
        </w:rPr>
      </w:pPr>
      <w:r>
        <w:rPr>
          <w:rFonts w:ascii="Calibri"/>
          <w:color w:val="003366"/>
          <w:sz w:val="20"/>
        </w:rPr>
        <w:t>becoming aware of financial difficulties of</w:t>
      </w:r>
      <w:r>
        <w:rPr>
          <w:rFonts w:ascii="Calibri"/>
          <w:color w:val="003366"/>
          <w:spacing w:val="-28"/>
          <w:sz w:val="20"/>
        </w:rPr>
        <w:t xml:space="preserve"> </w:t>
      </w:r>
      <w:r>
        <w:rPr>
          <w:rFonts w:ascii="Calibri"/>
          <w:color w:val="003366"/>
          <w:sz w:val="20"/>
        </w:rPr>
        <w:t>debtors;</w:t>
      </w:r>
    </w:p>
    <w:p w:rsidR="006C17CB" w:rsidRDefault="0030091C">
      <w:pPr>
        <w:pStyle w:val="ListParagraph"/>
        <w:numPr>
          <w:ilvl w:val="1"/>
          <w:numId w:val="10"/>
        </w:numPr>
        <w:tabs>
          <w:tab w:val="left" w:pos="1609"/>
          <w:tab w:val="left" w:pos="1610"/>
        </w:tabs>
        <w:spacing w:line="245" w:lineRule="exact"/>
        <w:rPr>
          <w:rFonts w:ascii="Calibri"/>
          <w:sz w:val="20"/>
        </w:rPr>
      </w:pPr>
      <w:r>
        <w:rPr>
          <w:rFonts w:ascii="Calibri"/>
          <w:color w:val="003366"/>
          <w:sz w:val="20"/>
        </w:rPr>
        <w:t>default payments;</w:t>
      </w:r>
      <w:r>
        <w:rPr>
          <w:rFonts w:ascii="Calibri"/>
          <w:color w:val="003366"/>
          <w:spacing w:val="-2"/>
          <w:sz w:val="20"/>
        </w:rPr>
        <w:t xml:space="preserve"> </w:t>
      </w:r>
      <w:r>
        <w:rPr>
          <w:rFonts w:ascii="Calibri"/>
          <w:color w:val="003366"/>
          <w:sz w:val="20"/>
        </w:rPr>
        <w:t>or</w:t>
      </w:r>
    </w:p>
    <w:p w:rsidR="006C17CB" w:rsidRDefault="0030091C">
      <w:pPr>
        <w:pStyle w:val="ListParagraph"/>
        <w:numPr>
          <w:ilvl w:val="1"/>
          <w:numId w:val="10"/>
        </w:numPr>
        <w:tabs>
          <w:tab w:val="left" w:pos="1609"/>
          <w:tab w:val="left" w:pos="1610"/>
        </w:tabs>
        <w:spacing w:line="267" w:lineRule="exact"/>
        <w:rPr>
          <w:rFonts w:ascii="Calibri"/>
          <w:sz w:val="20"/>
        </w:rPr>
      </w:pPr>
      <w:r>
        <w:rPr>
          <w:rFonts w:ascii="Calibri"/>
          <w:color w:val="003366"/>
          <w:sz w:val="20"/>
        </w:rPr>
        <w:t>debts more than 90 days</w:t>
      </w:r>
      <w:r>
        <w:rPr>
          <w:rFonts w:ascii="Calibri"/>
          <w:color w:val="003366"/>
          <w:spacing w:val="-3"/>
          <w:sz w:val="20"/>
        </w:rPr>
        <w:t xml:space="preserve"> </w:t>
      </w:r>
      <w:r>
        <w:rPr>
          <w:rFonts w:ascii="Calibri"/>
          <w:color w:val="003366"/>
          <w:sz w:val="20"/>
        </w:rPr>
        <w:t>overdue.</w:t>
      </w:r>
    </w:p>
    <w:p w:rsidR="006C17CB" w:rsidRDefault="0030091C">
      <w:pPr>
        <w:spacing w:before="109" w:line="204" w:lineRule="auto"/>
        <w:ind w:left="757" w:right="1449"/>
        <w:jc w:val="both"/>
        <w:rPr>
          <w:rFonts w:ascii="Calibri"/>
          <w:sz w:val="20"/>
        </w:rPr>
      </w:pPr>
      <w:r>
        <w:rPr>
          <w:rFonts w:ascii="Calibri"/>
          <w:color w:val="003366"/>
          <w:sz w:val="20"/>
        </w:rPr>
        <w:t>The</w:t>
      </w:r>
      <w:r>
        <w:rPr>
          <w:rFonts w:ascii="Calibri"/>
          <w:color w:val="003366"/>
          <w:spacing w:val="-12"/>
          <w:sz w:val="20"/>
        </w:rPr>
        <w:t xml:space="preserve"> </w:t>
      </w:r>
      <w:r>
        <w:rPr>
          <w:rFonts w:ascii="Calibri"/>
          <w:color w:val="003366"/>
          <w:sz w:val="20"/>
        </w:rPr>
        <w:t>amount</w:t>
      </w:r>
      <w:r>
        <w:rPr>
          <w:rFonts w:ascii="Calibri"/>
          <w:color w:val="003366"/>
          <w:spacing w:val="-11"/>
          <w:sz w:val="20"/>
        </w:rPr>
        <w:t xml:space="preserve"> </w:t>
      </w:r>
      <w:r>
        <w:rPr>
          <w:rFonts w:ascii="Calibri"/>
          <w:color w:val="003366"/>
          <w:sz w:val="20"/>
        </w:rPr>
        <w:t>of</w:t>
      </w:r>
      <w:r>
        <w:rPr>
          <w:rFonts w:ascii="Calibri"/>
          <w:color w:val="003366"/>
          <w:spacing w:val="-12"/>
          <w:sz w:val="20"/>
        </w:rPr>
        <w:t xml:space="preserve"> </w:t>
      </w:r>
      <w:r>
        <w:rPr>
          <w:rFonts w:ascii="Calibri"/>
          <w:color w:val="003366"/>
          <w:sz w:val="20"/>
        </w:rPr>
        <w:t>the</w:t>
      </w:r>
      <w:r>
        <w:rPr>
          <w:rFonts w:ascii="Calibri"/>
          <w:color w:val="003366"/>
          <w:spacing w:val="-12"/>
          <w:sz w:val="20"/>
        </w:rPr>
        <w:t xml:space="preserve"> </w:t>
      </w:r>
      <w:r>
        <w:rPr>
          <w:rFonts w:ascii="Calibri"/>
          <w:color w:val="003366"/>
          <w:sz w:val="20"/>
        </w:rPr>
        <w:t>allowance</w:t>
      </w:r>
      <w:r>
        <w:rPr>
          <w:rFonts w:ascii="Calibri"/>
          <w:color w:val="003366"/>
          <w:spacing w:val="-12"/>
          <w:sz w:val="20"/>
        </w:rPr>
        <w:t xml:space="preserve"> </w:t>
      </w:r>
      <w:r>
        <w:rPr>
          <w:rFonts w:ascii="Calibri"/>
          <w:color w:val="003366"/>
          <w:sz w:val="20"/>
        </w:rPr>
        <w:t>is</w:t>
      </w:r>
      <w:r>
        <w:rPr>
          <w:rFonts w:ascii="Calibri"/>
          <w:color w:val="003366"/>
          <w:spacing w:val="-12"/>
          <w:sz w:val="20"/>
        </w:rPr>
        <w:t xml:space="preserve"> </w:t>
      </w:r>
      <w:r>
        <w:rPr>
          <w:rFonts w:ascii="Calibri"/>
          <w:color w:val="003366"/>
          <w:sz w:val="20"/>
        </w:rPr>
        <w:t>recognised</w:t>
      </w:r>
      <w:r>
        <w:rPr>
          <w:rFonts w:ascii="Calibri"/>
          <w:color w:val="003366"/>
          <w:spacing w:val="-10"/>
          <w:sz w:val="20"/>
        </w:rPr>
        <w:t xml:space="preserve"> </w:t>
      </w:r>
      <w:r>
        <w:rPr>
          <w:rFonts w:ascii="Calibri"/>
          <w:color w:val="003366"/>
          <w:sz w:val="20"/>
        </w:rPr>
        <w:t>in</w:t>
      </w:r>
      <w:r>
        <w:rPr>
          <w:rFonts w:ascii="Calibri"/>
          <w:color w:val="003366"/>
          <w:spacing w:val="-10"/>
          <w:sz w:val="20"/>
        </w:rPr>
        <w:t xml:space="preserve"> </w:t>
      </w:r>
      <w:r>
        <w:rPr>
          <w:rFonts w:ascii="Calibri"/>
          <w:color w:val="003366"/>
          <w:sz w:val="20"/>
        </w:rPr>
        <w:t>the</w:t>
      </w:r>
      <w:r>
        <w:rPr>
          <w:rFonts w:ascii="Calibri"/>
          <w:color w:val="003366"/>
          <w:spacing w:val="-12"/>
          <w:sz w:val="20"/>
        </w:rPr>
        <w:t xml:space="preserve"> </w:t>
      </w:r>
      <w:r>
        <w:rPr>
          <w:rFonts w:ascii="Calibri"/>
          <w:color w:val="003366"/>
          <w:sz w:val="20"/>
        </w:rPr>
        <w:t>Operating</w:t>
      </w:r>
      <w:r>
        <w:rPr>
          <w:rFonts w:ascii="Calibri"/>
          <w:color w:val="003366"/>
          <w:spacing w:val="-11"/>
          <w:sz w:val="20"/>
        </w:rPr>
        <w:t xml:space="preserve"> </w:t>
      </w:r>
      <w:r>
        <w:rPr>
          <w:rFonts w:ascii="Calibri"/>
          <w:color w:val="003366"/>
          <w:sz w:val="20"/>
        </w:rPr>
        <w:t>Statement.</w:t>
      </w:r>
      <w:r>
        <w:rPr>
          <w:rFonts w:ascii="Calibri"/>
          <w:color w:val="003366"/>
          <w:spacing w:val="-11"/>
          <w:sz w:val="20"/>
        </w:rPr>
        <w:t xml:space="preserve"> </w:t>
      </w:r>
      <w:r>
        <w:rPr>
          <w:rFonts w:ascii="Calibri"/>
          <w:color w:val="003366"/>
          <w:sz w:val="20"/>
        </w:rPr>
        <w:t>The</w:t>
      </w:r>
      <w:r>
        <w:rPr>
          <w:rFonts w:ascii="Calibri"/>
          <w:color w:val="003366"/>
          <w:spacing w:val="-12"/>
          <w:sz w:val="20"/>
        </w:rPr>
        <w:t xml:space="preserve"> </w:t>
      </w:r>
      <w:r>
        <w:rPr>
          <w:rFonts w:ascii="Calibri"/>
          <w:color w:val="003366"/>
          <w:sz w:val="20"/>
        </w:rPr>
        <w:t>allowance</w:t>
      </w:r>
      <w:r>
        <w:rPr>
          <w:rFonts w:ascii="Calibri"/>
          <w:color w:val="003366"/>
          <w:spacing w:val="-12"/>
          <w:sz w:val="20"/>
        </w:rPr>
        <w:t xml:space="preserve"> </w:t>
      </w:r>
      <w:r>
        <w:rPr>
          <w:rFonts w:ascii="Calibri"/>
          <w:color w:val="003366"/>
          <w:sz w:val="20"/>
        </w:rPr>
        <w:t>for</w:t>
      </w:r>
      <w:r>
        <w:rPr>
          <w:rFonts w:ascii="Calibri"/>
          <w:color w:val="003366"/>
          <w:spacing w:val="-11"/>
          <w:sz w:val="20"/>
        </w:rPr>
        <w:t xml:space="preserve"> </w:t>
      </w:r>
      <w:r>
        <w:rPr>
          <w:rFonts w:ascii="Calibri"/>
          <w:color w:val="003366"/>
          <w:sz w:val="20"/>
        </w:rPr>
        <w:t>impairment</w:t>
      </w:r>
      <w:r>
        <w:rPr>
          <w:rFonts w:ascii="Calibri"/>
          <w:color w:val="003366"/>
          <w:spacing w:val="-11"/>
          <w:sz w:val="20"/>
        </w:rPr>
        <w:t xml:space="preserve"> </w:t>
      </w:r>
      <w:r>
        <w:rPr>
          <w:rFonts w:ascii="Calibri"/>
          <w:color w:val="003366"/>
          <w:sz w:val="20"/>
        </w:rPr>
        <w:t>losses are written off against the allowance account when the Office ceases action to collect the debt when the cost to recover the debt is more than the debt is</w:t>
      </w:r>
      <w:r>
        <w:rPr>
          <w:rFonts w:ascii="Calibri"/>
          <w:color w:val="003366"/>
          <w:spacing w:val="-5"/>
          <w:sz w:val="20"/>
        </w:rPr>
        <w:t xml:space="preserve"> </w:t>
      </w:r>
      <w:r>
        <w:rPr>
          <w:rFonts w:ascii="Calibri"/>
          <w:color w:val="003366"/>
          <w:sz w:val="20"/>
        </w:rPr>
        <w:t>worth.</w:t>
      </w:r>
    </w:p>
    <w:p w:rsidR="006C17CB" w:rsidRDefault="006C17CB">
      <w:pPr>
        <w:spacing w:line="204" w:lineRule="auto"/>
        <w:jc w:val="both"/>
        <w:rPr>
          <w:rFonts w:ascii="Calibri"/>
          <w:sz w:val="20"/>
        </w:rPr>
        <w:sectPr w:rsidR="006C17CB">
          <w:pgSz w:w="11910" w:h="16840"/>
          <w:pgMar w:top="2120" w:right="0" w:bottom="740" w:left="980" w:header="1187" w:footer="551" w:gutter="0"/>
          <w:cols w:space="720"/>
        </w:sectPr>
      </w:pPr>
    </w:p>
    <w:p w:rsidR="006C17CB" w:rsidRDefault="006C17CB">
      <w:pPr>
        <w:pStyle w:val="BodyText"/>
        <w:rPr>
          <w:rFonts w:ascii="Calibri"/>
          <w:sz w:val="20"/>
        </w:rPr>
      </w:pPr>
    </w:p>
    <w:p w:rsidR="006C17CB" w:rsidRDefault="006C17CB">
      <w:pPr>
        <w:pStyle w:val="BodyText"/>
        <w:spacing w:before="7"/>
        <w:rPr>
          <w:rFonts w:ascii="Calibri"/>
        </w:rPr>
      </w:pPr>
    </w:p>
    <w:p w:rsidR="006C17CB" w:rsidRDefault="0030091C">
      <w:pPr>
        <w:ind w:left="757"/>
        <w:rPr>
          <w:rFonts w:ascii="Calibri"/>
          <w:b/>
          <w:sz w:val="20"/>
        </w:rPr>
      </w:pPr>
      <w:r>
        <w:rPr>
          <w:rFonts w:ascii="Calibri"/>
          <w:b/>
          <w:color w:val="003366"/>
          <w:sz w:val="20"/>
        </w:rPr>
        <w:t>Current Receivables</w:t>
      </w:r>
    </w:p>
    <w:p w:rsidR="006C17CB" w:rsidRDefault="0030091C">
      <w:pPr>
        <w:spacing w:before="82" w:line="267" w:lineRule="exact"/>
        <w:ind w:left="808"/>
        <w:rPr>
          <w:rFonts w:ascii="Calibri"/>
          <w:b/>
          <w:sz w:val="20"/>
        </w:rPr>
      </w:pPr>
      <w:r>
        <w:br w:type="column"/>
      </w:r>
      <w:r>
        <w:rPr>
          <w:rFonts w:ascii="Calibri"/>
          <w:b/>
          <w:color w:val="003366"/>
          <w:sz w:val="20"/>
        </w:rPr>
        <w:t>2018</w:t>
      </w:r>
    </w:p>
    <w:p w:rsidR="006C17CB" w:rsidRDefault="0030091C">
      <w:pPr>
        <w:spacing w:line="267" w:lineRule="exact"/>
        <w:ind w:left="757"/>
        <w:rPr>
          <w:rFonts w:ascii="Calibri" w:hAnsi="Calibri"/>
          <w:b/>
          <w:sz w:val="20"/>
        </w:rPr>
      </w:pPr>
      <w:r>
        <w:rPr>
          <w:rFonts w:ascii="Calibri" w:hAnsi="Calibri"/>
          <w:b/>
          <w:color w:val="003366"/>
          <w:sz w:val="20"/>
        </w:rPr>
        <w:t>$’000</w:t>
      </w:r>
    </w:p>
    <w:p w:rsidR="006C17CB" w:rsidRDefault="0030091C">
      <w:pPr>
        <w:spacing w:before="82" w:line="267" w:lineRule="exact"/>
        <w:ind w:left="807"/>
        <w:rPr>
          <w:rFonts w:ascii="Calibri"/>
          <w:b/>
          <w:sz w:val="20"/>
        </w:rPr>
      </w:pPr>
      <w:r>
        <w:br w:type="column"/>
      </w:r>
      <w:r>
        <w:rPr>
          <w:rFonts w:ascii="Calibri"/>
          <w:b/>
          <w:color w:val="003366"/>
          <w:sz w:val="20"/>
        </w:rPr>
        <w:t>2017</w:t>
      </w:r>
    </w:p>
    <w:p w:rsidR="006C17CB" w:rsidRDefault="0030091C">
      <w:pPr>
        <w:spacing w:line="267" w:lineRule="exact"/>
        <w:ind w:left="757"/>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3" w:space="720" w:equalWidth="0">
            <w:col w:w="2452" w:space="4496"/>
            <w:col w:w="1252" w:space="59"/>
            <w:col w:w="2671"/>
          </w:cols>
        </w:sectPr>
      </w:pPr>
    </w:p>
    <w:p w:rsidR="006C17CB" w:rsidRDefault="0030091C">
      <w:pPr>
        <w:tabs>
          <w:tab w:val="left" w:pos="8060"/>
          <w:tab w:val="right" w:pos="9472"/>
        </w:tabs>
        <w:spacing w:line="282" w:lineRule="exact"/>
        <w:ind w:left="757"/>
        <w:rPr>
          <w:rFonts w:ascii="Calibri"/>
          <w:sz w:val="20"/>
        </w:rPr>
      </w:pPr>
      <w:r>
        <w:rPr>
          <w:rFonts w:ascii="Calibri"/>
          <w:color w:val="003366"/>
          <w:sz w:val="20"/>
        </w:rPr>
        <w:t>Trade</w:t>
      </w:r>
      <w:r>
        <w:rPr>
          <w:rFonts w:ascii="Calibri"/>
          <w:color w:val="003366"/>
          <w:spacing w:val="-4"/>
          <w:sz w:val="20"/>
        </w:rPr>
        <w:t xml:space="preserve"> </w:t>
      </w:r>
      <w:r>
        <w:rPr>
          <w:rFonts w:ascii="Calibri"/>
          <w:color w:val="003366"/>
          <w:sz w:val="20"/>
        </w:rPr>
        <w:t>Receivables</w:t>
      </w:r>
      <w:r>
        <w:rPr>
          <w:rFonts w:ascii="Calibri"/>
          <w:color w:val="003366"/>
          <w:sz w:val="20"/>
        </w:rPr>
        <w:tab/>
        <w:t>1</w:t>
      </w:r>
      <w:r>
        <w:rPr>
          <w:rFonts w:ascii="Calibri"/>
          <w:color w:val="003366"/>
          <w:sz w:val="20"/>
        </w:rPr>
        <w:tab/>
        <w:t>3</w:t>
      </w:r>
    </w:p>
    <w:p w:rsidR="006C17CB" w:rsidRDefault="0030091C">
      <w:pPr>
        <w:tabs>
          <w:tab w:val="left" w:pos="7959"/>
          <w:tab w:val="right" w:pos="9471"/>
        </w:tabs>
        <w:spacing w:line="284" w:lineRule="exact"/>
        <w:ind w:left="757"/>
        <w:rPr>
          <w:rFonts w:ascii="Calibri"/>
          <w:sz w:val="20"/>
        </w:rPr>
      </w:pPr>
      <w:r>
        <w:rPr>
          <w:rFonts w:ascii="Calibri"/>
          <w:color w:val="003366"/>
          <w:sz w:val="20"/>
        </w:rPr>
        <w:t>Accrued</w:t>
      </w:r>
      <w:r>
        <w:rPr>
          <w:rFonts w:ascii="Calibri"/>
          <w:color w:val="003366"/>
          <w:spacing w:val="-2"/>
          <w:sz w:val="20"/>
        </w:rPr>
        <w:t xml:space="preserve"> </w:t>
      </w:r>
      <w:r>
        <w:rPr>
          <w:rFonts w:ascii="Calibri"/>
          <w:color w:val="003366"/>
          <w:sz w:val="20"/>
        </w:rPr>
        <w:t>Revenue</w:t>
      </w:r>
      <w:r>
        <w:rPr>
          <w:rFonts w:ascii="Calibri"/>
          <w:color w:val="003366"/>
          <w:sz w:val="20"/>
        </w:rPr>
        <w:tab/>
        <w:t>26</w:t>
      </w:r>
      <w:r>
        <w:rPr>
          <w:rFonts w:ascii="Calibri"/>
          <w:color w:val="003366"/>
          <w:sz w:val="20"/>
        </w:rPr>
        <w:tab/>
        <w:t>23</w:t>
      </w:r>
    </w:p>
    <w:p w:rsidR="006C17CB" w:rsidRDefault="0030091C">
      <w:pPr>
        <w:tabs>
          <w:tab w:val="left" w:pos="7035"/>
          <w:tab w:val="left" w:pos="8099"/>
          <w:tab w:val="left" w:pos="9270"/>
        </w:tabs>
        <w:spacing w:line="286" w:lineRule="exact"/>
        <w:ind w:left="757"/>
        <w:rPr>
          <w:rFonts w:ascii="Calibri"/>
          <w:sz w:val="20"/>
        </w:rPr>
      </w:pPr>
      <w:r>
        <w:rPr>
          <w:rFonts w:ascii="Calibri"/>
          <w:color w:val="003366"/>
          <w:sz w:val="20"/>
        </w:rPr>
        <w:t>Goods and Services</w:t>
      </w:r>
      <w:r>
        <w:rPr>
          <w:rFonts w:ascii="Calibri"/>
          <w:color w:val="003366"/>
          <w:spacing w:val="-7"/>
          <w:sz w:val="20"/>
        </w:rPr>
        <w:t xml:space="preserve"> </w:t>
      </w:r>
      <w:r>
        <w:rPr>
          <w:rFonts w:ascii="Calibri"/>
          <w:color w:val="003366"/>
          <w:sz w:val="20"/>
        </w:rPr>
        <w:t>Tax</w:t>
      </w:r>
      <w:r>
        <w:rPr>
          <w:rFonts w:ascii="Calibri"/>
          <w:color w:val="003366"/>
          <w:spacing w:val="-2"/>
          <w:sz w:val="20"/>
        </w:rPr>
        <w:t xml:space="preserve"> </w:t>
      </w:r>
      <w:r>
        <w:rPr>
          <w:rFonts w:ascii="Calibri"/>
          <w:color w:val="003366"/>
          <w:sz w:val="20"/>
        </w:rPr>
        <w:t>Receivable</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w:t>
      </w:r>
      <w:r>
        <w:rPr>
          <w:rFonts w:ascii="Calibri"/>
          <w:color w:val="003366"/>
          <w:sz w:val="20"/>
          <w:u w:val="single" w:color="003366"/>
        </w:rPr>
        <w:tab/>
        <w:t>43</w:t>
      </w:r>
      <w:r>
        <w:rPr>
          <w:rFonts w:ascii="Calibri"/>
          <w:color w:val="003366"/>
          <w:spacing w:val="16"/>
          <w:sz w:val="20"/>
          <w:u w:val="single" w:color="003366"/>
        </w:rPr>
        <w:t xml:space="preserve"> </w:t>
      </w:r>
    </w:p>
    <w:p w:rsidR="006C17CB" w:rsidRDefault="0030091C">
      <w:pPr>
        <w:tabs>
          <w:tab w:val="left" w:pos="7035"/>
          <w:tab w:val="left" w:pos="7959"/>
          <w:tab w:val="left" w:pos="9270"/>
        </w:tabs>
        <w:spacing w:before="2"/>
        <w:ind w:left="757"/>
        <w:rPr>
          <w:rFonts w:ascii="Calibri"/>
          <w:b/>
          <w:sz w:val="20"/>
        </w:rPr>
      </w:pPr>
      <w:r>
        <w:rPr>
          <w:rFonts w:ascii="Calibri"/>
          <w:b/>
          <w:color w:val="003366"/>
          <w:sz w:val="20"/>
        </w:rPr>
        <w:t>Total</w:t>
      </w:r>
      <w:r>
        <w:rPr>
          <w:rFonts w:ascii="Calibri"/>
          <w:b/>
          <w:color w:val="003366"/>
          <w:spacing w:val="-3"/>
          <w:sz w:val="20"/>
        </w:rPr>
        <w:t xml:space="preserve"> </w:t>
      </w:r>
      <w:r>
        <w:rPr>
          <w:rFonts w:ascii="Calibri"/>
          <w:b/>
          <w:color w:val="003366"/>
          <w:sz w:val="20"/>
        </w:rPr>
        <w:t>Current</w:t>
      </w:r>
      <w:r>
        <w:rPr>
          <w:rFonts w:ascii="Calibri"/>
          <w:b/>
          <w:color w:val="003366"/>
          <w:spacing w:val="-2"/>
          <w:sz w:val="20"/>
        </w:rPr>
        <w:t xml:space="preserve"> </w:t>
      </w:r>
      <w:r>
        <w:rPr>
          <w:rFonts w:ascii="Calibri"/>
          <w:b/>
          <w:color w:val="003366"/>
          <w:sz w:val="20"/>
        </w:rPr>
        <w:t>Receivables</w:t>
      </w:r>
      <w:r>
        <w:rPr>
          <w:rFonts w:ascii="Calibri"/>
          <w:b/>
          <w:color w:val="003366"/>
          <w:sz w:val="20"/>
        </w:rPr>
        <w:tab/>
      </w:r>
      <w:r>
        <w:rPr>
          <w:rFonts w:ascii="Calibri"/>
          <w:b/>
          <w:color w:val="003366"/>
          <w:sz w:val="20"/>
          <w:u w:val="single" w:color="003366"/>
        </w:rPr>
        <w:t xml:space="preserve"> </w:t>
      </w:r>
      <w:r>
        <w:rPr>
          <w:rFonts w:ascii="Calibri"/>
          <w:b/>
          <w:color w:val="003366"/>
          <w:sz w:val="20"/>
          <w:u w:val="single" w:color="003366"/>
        </w:rPr>
        <w:tab/>
        <w:t>27</w:t>
      </w:r>
      <w:r>
        <w:rPr>
          <w:rFonts w:ascii="Calibri"/>
          <w:b/>
          <w:color w:val="003366"/>
          <w:sz w:val="20"/>
          <w:u w:val="single" w:color="003366"/>
        </w:rPr>
        <w:tab/>
        <w:t>69</w:t>
      </w:r>
      <w:r>
        <w:rPr>
          <w:rFonts w:ascii="Calibri"/>
          <w:b/>
          <w:color w:val="003366"/>
          <w:spacing w:val="16"/>
          <w:sz w:val="20"/>
          <w:u w:val="single" w:color="003366"/>
        </w:rPr>
        <w:t xml:space="preserve"> </w:t>
      </w:r>
    </w:p>
    <w:p w:rsidR="006C17CB" w:rsidRDefault="00FE24A7">
      <w:pPr>
        <w:tabs>
          <w:tab w:val="left" w:pos="7959"/>
          <w:tab w:val="right" w:pos="9472"/>
        </w:tabs>
        <w:spacing w:before="297"/>
        <w:ind w:left="757"/>
        <w:rPr>
          <w:rFonts w:ascii="Calibri"/>
          <w:b/>
          <w:sz w:val="20"/>
        </w:rPr>
      </w:pPr>
      <w:r>
        <w:pict>
          <v:group id="_x0000_s1350" alt="" style="position:absolute;left:0;text-align:left;margin-left:400.8pt;margin-top:14.8pt;width:127.25pt;height:.25pt;z-index:2368;mso-position-horizontal-relative:page" coordorigin="8016,296" coordsize="2545,5">
            <v:line id="_x0000_s1351" alt="" style="position:absolute" from="8016,299" to="9250,299" strokecolor="#036" strokeweight=".08431mm"/>
            <v:rect id="_x0000_s1352" alt="" style="position:absolute;left:9249;top:296;width:5;height:5" fillcolor="#036" stroked="f"/>
            <v:line id="_x0000_s1353" alt="" style="position:absolute" from="9254,299" to="10560,299" strokecolor="#036" strokeweight=".08431mm"/>
            <w10:wrap anchorx="page"/>
          </v:group>
        </w:pict>
      </w:r>
      <w:r>
        <w:pict>
          <v:group id="_x0000_s1344" alt="" style="position:absolute;left:0;text-align:left;margin-left:400.8pt;margin-top:29.35pt;width:127.2pt;height:1.45pt;z-index:2392;mso-position-horizontal-relative:page" coordorigin="8016,587" coordsize="2544,29">
            <v:line id="_x0000_s1345" alt="" style="position:absolute" from="8016,592" to="9250,592" strokecolor="#036" strokeweight=".48pt"/>
            <v:line id="_x0000_s1346" alt="" style="position:absolute" from="8016,611" to="9250,611" strokecolor="#036" strokeweight=".16969mm"/>
            <v:shape id="_x0000_s1347" alt="" style="position:absolute;left:9249;top:586;width:29;height:29" coordorigin="9250,587" coordsize="29,29" o:spt="100" adj="0,,0" path="m9278,606r-28,l9250,616r28,l9278,606t,-19l9250,587r,9l9278,596r,-9e" fillcolor="#036" stroked="f">
              <v:stroke joinstyle="round"/>
              <v:formulas/>
              <v:path arrowok="t" o:connecttype="segments"/>
            </v:shape>
            <v:line id="_x0000_s1348" alt="" style="position:absolute" from="9278,592" to="10560,592" strokecolor="#036" strokeweight=".48pt"/>
            <v:line id="_x0000_s1349" alt="" style="position:absolute" from="9278,611" to="10560,611" strokecolor="#036" strokeweight=".16969mm"/>
            <w10:wrap anchorx="page"/>
          </v:group>
        </w:pict>
      </w:r>
      <w:r w:rsidR="0030091C">
        <w:rPr>
          <w:rFonts w:ascii="Calibri"/>
          <w:b/>
          <w:color w:val="003366"/>
          <w:sz w:val="20"/>
        </w:rPr>
        <w:t>Total</w:t>
      </w:r>
      <w:r w:rsidR="0030091C">
        <w:rPr>
          <w:rFonts w:ascii="Calibri"/>
          <w:b/>
          <w:color w:val="003366"/>
          <w:spacing w:val="-3"/>
          <w:sz w:val="20"/>
        </w:rPr>
        <w:t xml:space="preserve"> </w:t>
      </w:r>
      <w:r w:rsidR="0030091C">
        <w:rPr>
          <w:rFonts w:ascii="Calibri"/>
          <w:b/>
          <w:color w:val="003366"/>
          <w:sz w:val="20"/>
        </w:rPr>
        <w:t>Receivables</w:t>
      </w:r>
      <w:r w:rsidR="0030091C">
        <w:rPr>
          <w:rFonts w:ascii="Calibri"/>
          <w:b/>
          <w:color w:val="003366"/>
          <w:sz w:val="20"/>
        </w:rPr>
        <w:tab/>
        <w:t>27</w:t>
      </w:r>
      <w:r w:rsidR="0030091C">
        <w:rPr>
          <w:rFonts w:ascii="Calibri"/>
          <w:b/>
          <w:color w:val="003366"/>
          <w:sz w:val="20"/>
        </w:rPr>
        <w:tab/>
        <w:t>69</w:t>
      </w:r>
    </w:p>
    <w:p w:rsidR="006C17CB" w:rsidRDefault="006C17CB">
      <w:pPr>
        <w:rPr>
          <w:rFonts w:ascii="Calibri"/>
          <w:sz w:val="20"/>
        </w:rPr>
        <w:sectPr w:rsidR="006C17CB">
          <w:type w:val="continuous"/>
          <w:pgSz w:w="11910" w:h="16840"/>
          <w:pgMar w:top="1580" w:right="0" w:bottom="280" w:left="980" w:header="720" w:footer="720" w:gutter="0"/>
          <w:cols w:space="720"/>
        </w:sectPr>
      </w:pPr>
    </w:p>
    <w:p w:rsidR="006C17CB" w:rsidRDefault="0030091C">
      <w:pPr>
        <w:spacing w:before="343" w:line="235" w:lineRule="auto"/>
        <w:ind w:left="757" w:right="21"/>
        <w:rPr>
          <w:rFonts w:ascii="Calibri"/>
          <w:b/>
          <w:sz w:val="20"/>
        </w:rPr>
      </w:pPr>
      <w:r>
        <w:rPr>
          <w:rFonts w:ascii="Calibri"/>
          <w:b/>
          <w:color w:val="003366"/>
          <w:sz w:val="20"/>
        </w:rPr>
        <w:t>Classification of ACT Government/Non-ACT Government Receivables Receivables with ACT Government Entities</w:t>
      </w:r>
    </w:p>
    <w:p w:rsidR="006C17CB" w:rsidRDefault="0030091C">
      <w:pPr>
        <w:spacing w:before="864" w:line="267" w:lineRule="exact"/>
        <w:ind w:left="808"/>
        <w:rPr>
          <w:rFonts w:ascii="Calibri"/>
          <w:b/>
          <w:sz w:val="20"/>
        </w:rPr>
      </w:pPr>
      <w:r>
        <w:br w:type="column"/>
      </w:r>
      <w:r>
        <w:rPr>
          <w:rFonts w:ascii="Calibri"/>
          <w:b/>
          <w:color w:val="003366"/>
          <w:sz w:val="20"/>
        </w:rPr>
        <w:t>2018</w:t>
      </w:r>
    </w:p>
    <w:p w:rsidR="006C17CB" w:rsidRDefault="0030091C">
      <w:pPr>
        <w:spacing w:line="267" w:lineRule="exact"/>
        <w:ind w:left="757"/>
        <w:rPr>
          <w:rFonts w:ascii="Calibri" w:hAnsi="Calibri"/>
          <w:b/>
          <w:sz w:val="20"/>
        </w:rPr>
      </w:pPr>
      <w:r>
        <w:rPr>
          <w:rFonts w:ascii="Calibri" w:hAnsi="Calibri"/>
          <w:b/>
          <w:color w:val="003366"/>
          <w:sz w:val="20"/>
        </w:rPr>
        <w:t>$’000</w:t>
      </w:r>
    </w:p>
    <w:p w:rsidR="006C17CB" w:rsidRDefault="0030091C">
      <w:pPr>
        <w:spacing w:before="864" w:line="267" w:lineRule="exact"/>
        <w:ind w:left="807"/>
        <w:rPr>
          <w:rFonts w:ascii="Calibri"/>
          <w:b/>
          <w:sz w:val="20"/>
        </w:rPr>
      </w:pPr>
      <w:r>
        <w:br w:type="column"/>
      </w:r>
      <w:r>
        <w:rPr>
          <w:rFonts w:ascii="Calibri"/>
          <w:b/>
          <w:color w:val="003366"/>
          <w:sz w:val="20"/>
        </w:rPr>
        <w:t>2017</w:t>
      </w:r>
    </w:p>
    <w:p w:rsidR="006C17CB" w:rsidRDefault="0030091C">
      <w:pPr>
        <w:spacing w:line="267" w:lineRule="exact"/>
        <w:ind w:left="757"/>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3" w:space="720" w:equalWidth="0">
            <w:col w:w="6506" w:space="442"/>
            <w:col w:w="1252" w:space="59"/>
            <w:col w:w="2671"/>
          </w:cols>
        </w:sectPr>
      </w:pPr>
    </w:p>
    <w:p w:rsidR="006C17CB" w:rsidRDefault="0030091C">
      <w:pPr>
        <w:tabs>
          <w:tab w:val="left" w:pos="8099"/>
          <w:tab w:val="left" w:pos="9371"/>
        </w:tabs>
        <w:spacing w:line="283" w:lineRule="exact"/>
        <w:ind w:left="757"/>
        <w:rPr>
          <w:rFonts w:ascii="Calibri"/>
          <w:sz w:val="20"/>
        </w:rPr>
      </w:pPr>
      <w:r>
        <w:rPr>
          <w:rFonts w:ascii="Calibri"/>
          <w:color w:val="003366"/>
          <w:sz w:val="20"/>
        </w:rPr>
        <w:t>Net</w:t>
      </w:r>
      <w:r>
        <w:rPr>
          <w:rFonts w:ascii="Calibri"/>
          <w:color w:val="003366"/>
          <w:spacing w:val="-3"/>
          <w:sz w:val="20"/>
        </w:rPr>
        <w:t xml:space="preserve"> </w:t>
      </w:r>
      <w:r>
        <w:rPr>
          <w:rFonts w:ascii="Calibri"/>
          <w:color w:val="003366"/>
          <w:sz w:val="20"/>
        </w:rPr>
        <w:t>Trade</w:t>
      </w:r>
      <w:r>
        <w:rPr>
          <w:rFonts w:ascii="Calibri"/>
          <w:color w:val="003366"/>
          <w:spacing w:val="-4"/>
          <w:sz w:val="20"/>
        </w:rPr>
        <w:t xml:space="preserve"> </w:t>
      </w:r>
      <w:r>
        <w:rPr>
          <w:rFonts w:ascii="Calibri"/>
          <w:color w:val="003366"/>
          <w:sz w:val="20"/>
        </w:rPr>
        <w:t>Receivables</w:t>
      </w:r>
      <w:r>
        <w:rPr>
          <w:rFonts w:ascii="Calibri"/>
          <w:color w:val="003366"/>
          <w:sz w:val="20"/>
        </w:rPr>
        <w:tab/>
        <w:t>-</w:t>
      </w:r>
      <w:r>
        <w:rPr>
          <w:rFonts w:ascii="Calibri"/>
          <w:color w:val="003366"/>
          <w:sz w:val="20"/>
        </w:rPr>
        <w:tab/>
        <w:t>2</w:t>
      </w:r>
    </w:p>
    <w:p w:rsidR="006C17CB" w:rsidRDefault="0030091C">
      <w:pPr>
        <w:tabs>
          <w:tab w:val="left" w:pos="7035"/>
          <w:tab w:val="left" w:pos="7959"/>
          <w:tab w:val="left" w:pos="9270"/>
        </w:tabs>
        <w:spacing w:line="286" w:lineRule="exact"/>
        <w:ind w:left="757"/>
        <w:rPr>
          <w:rFonts w:ascii="Calibri"/>
          <w:sz w:val="20"/>
        </w:rPr>
      </w:pPr>
      <w:r>
        <w:rPr>
          <w:rFonts w:ascii="Calibri"/>
          <w:color w:val="003366"/>
          <w:sz w:val="20"/>
        </w:rPr>
        <w:t>Accrued</w:t>
      </w:r>
      <w:r>
        <w:rPr>
          <w:rFonts w:ascii="Calibri"/>
          <w:color w:val="003366"/>
          <w:spacing w:val="-2"/>
          <w:sz w:val="20"/>
        </w:rPr>
        <w:t xml:space="preserve"> </w:t>
      </w:r>
      <w:r>
        <w:rPr>
          <w:rFonts w:ascii="Calibri"/>
          <w:color w:val="003366"/>
          <w:sz w:val="20"/>
        </w:rPr>
        <w:t>Revenue</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26</w:t>
      </w:r>
      <w:r>
        <w:rPr>
          <w:rFonts w:ascii="Calibri"/>
          <w:color w:val="003366"/>
          <w:sz w:val="20"/>
          <w:u w:val="single" w:color="003366"/>
        </w:rPr>
        <w:tab/>
        <w:t>23</w:t>
      </w:r>
      <w:r>
        <w:rPr>
          <w:rFonts w:ascii="Calibri"/>
          <w:color w:val="003366"/>
          <w:spacing w:val="16"/>
          <w:sz w:val="20"/>
          <w:u w:val="single" w:color="003366"/>
        </w:rPr>
        <w:t xml:space="preserve"> </w:t>
      </w:r>
    </w:p>
    <w:p w:rsidR="006C17CB" w:rsidRDefault="0030091C">
      <w:pPr>
        <w:tabs>
          <w:tab w:val="left" w:pos="7035"/>
          <w:tab w:val="left" w:pos="7959"/>
          <w:tab w:val="left" w:pos="9270"/>
        </w:tabs>
        <w:spacing w:before="2"/>
        <w:ind w:left="757"/>
        <w:rPr>
          <w:rFonts w:ascii="Calibri"/>
          <w:b/>
          <w:sz w:val="20"/>
        </w:rPr>
      </w:pPr>
      <w:r>
        <w:rPr>
          <w:rFonts w:ascii="Calibri"/>
          <w:b/>
          <w:color w:val="003366"/>
          <w:sz w:val="20"/>
        </w:rPr>
        <w:t>Total Receivables with ACT</w:t>
      </w:r>
      <w:r>
        <w:rPr>
          <w:rFonts w:ascii="Calibri"/>
          <w:b/>
          <w:color w:val="003366"/>
          <w:spacing w:val="-9"/>
          <w:sz w:val="20"/>
        </w:rPr>
        <w:t xml:space="preserve"> </w:t>
      </w:r>
      <w:r>
        <w:rPr>
          <w:rFonts w:ascii="Calibri"/>
          <w:b/>
          <w:color w:val="003366"/>
          <w:sz w:val="20"/>
        </w:rPr>
        <w:t>Government</w:t>
      </w:r>
      <w:r>
        <w:rPr>
          <w:rFonts w:ascii="Calibri"/>
          <w:b/>
          <w:color w:val="003366"/>
          <w:spacing w:val="-3"/>
          <w:sz w:val="20"/>
        </w:rPr>
        <w:t xml:space="preserve"> </w:t>
      </w:r>
      <w:r>
        <w:rPr>
          <w:rFonts w:ascii="Calibri"/>
          <w:b/>
          <w:color w:val="003366"/>
          <w:sz w:val="20"/>
        </w:rPr>
        <w:t>Entities</w:t>
      </w:r>
      <w:r>
        <w:rPr>
          <w:rFonts w:ascii="Calibri"/>
          <w:b/>
          <w:color w:val="003366"/>
          <w:sz w:val="20"/>
        </w:rPr>
        <w:tab/>
      </w:r>
      <w:r>
        <w:rPr>
          <w:rFonts w:ascii="Calibri"/>
          <w:b/>
          <w:color w:val="003366"/>
          <w:sz w:val="20"/>
          <w:u w:val="single" w:color="003366"/>
        </w:rPr>
        <w:t xml:space="preserve"> </w:t>
      </w:r>
      <w:r>
        <w:rPr>
          <w:rFonts w:ascii="Calibri"/>
          <w:b/>
          <w:color w:val="003366"/>
          <w:sz w:val="20"/>
          <w:u w:val="single" w:color="003366"/>
        </w:rPr>
        <w:tab/>
        <w:t>26</w:t>
      </w:r>
      <w:r>
        <w:rPr>
          <w:rFonts w:ascii="Calibri"/>
          <w:b/>
          <w:color w:val="003366"/>
          <w:sz w:val="20"/>
          <w:u w:val="single" w:color="003366"/>
        </w:rPr>
        <w:tab/>
        <w:t>25</w:t>
      </w:r>
      <w:r>
        <w:rPr>
          <w:rFonts w:ascii="Calibri"/>
          <w:b/>
          <w:color w:val="003366"/>
          <w:spacing w:val="16"/>
          <w:sz w:val="20"/>
          <w:u w:val="single" w:color="003366"/>
        </w:rPr>
        <w:t xml:space="preserve"> </w:t>
      </w:r>
    </w:p>
    <w:p w:rsidR="006C17CB" w:rsidRDefault="006C17CB">
      <w:pPr>
        <w:pStyle w:val="BodyText"/>
        <w:spacing w:before="11"/>
        <w:rPr>
          <w:rFonts w:ascii="Calibri"/>
          <w:b/>
          <w:sz w:val="18"/>
        </w:rPr>
      </w:pPr>
    </w:p>
    <w:p w:rsidR="006C17CB" w:rsidRDefault="0030091C">
      <w:pPr>
        <w:spacing w:before="15" w:line="286" w:lineRule="exact"/>
        <w:ind w:left="757"/>
        <w:rPr>
          <w:rFonts w:ascii="Calibri"/>
          <w:b/>
          <w:sz w:val="20"/>
        </w:rPr>
      </w:pPr>
      <w:r>
        <w:rPr>
          <w:rFonts w:ascii="Calibri"/>
          <w:b/>
          <w:color w:val="003366"/>
          <w:sz w:val="20"/>
        </w:rPr>
        <w:t>Receivables with Non-ACT Government Entities</w:t>
      </w:r>
    </w:p>
    <w:p w:rsidR="006C17CB" w:rsidRDefault="0030091C">
      <w:pPr>
        <w:tabs>
          <w:tab w:val="left" w:pos="8060"/>
          <w:tab w:val="right" w:pos="9472"/>
        </w:tabs>
        <w:spacing w:line="283" w:lineRule="exact"/>
        <w:ind w:left="757"/>
        <w:rPr>
          <w:rFonts w:ascii="Calibri"/>
          <w:sz w:val="20"/>
        </w:rPr>
      </w:pPr>
      <w:r>
        <w:rPr>
          <w:rFonts w:ascii="Calibri"/>
          <w:color w:val="003366"/>
          <w:sz w:val="20"/>
        </w:rPr>
        <w:t>Net</w:t>
      </w:r>
      <w:r>
        <w:rPr>
          <w:rFonts w:ascii="Calibri"/>
          <w:color w:val="003366"/>
          <w:spacing w:val="-3"/>
          <w:sz w:val="20"/>
        </w:rPr>
        <w:t xml:space="preserve"> </w:t>
      </w:r>
      <w:r>
        <w:rPr>
          <w:rFonts w:ascii="Calibri"/>
          <w:color w:val="003366"/>
          <w:sz w:val="20"/>
        </w:rPr>
        <w:t>Trade</w:t>
      </w:r>
      <w:r>
        <w:rPr>
          <w:rFonts w:ascii="Calibri"/>
          <w:color w:val="003366"/>
          <w:spacing w:val="-4"/>
          <w:sz w:val="20"/>
        </w:rPr>
        <w:t xml:space="preserve"> </w:t>
      </w:r>
      <w:r>
        <w:rPr>
          <w:rFonts w:ascii="Calibri"/>
          <w:color w:val="003366"/>
          <w:sz w:val="20"/>
        </w:rPr>
        <w:t>Receivables</w:t>
      </w:r>
      <w:r>
        <w:rPr>
          <w:rFonts w:ascii="Calibri"/>
          <w:color w:val="003366"/>
          <w:sz w:val="20"/>
        </w:rPr>
        <w:tab/>
        <w:t>1</w:t>
      </w:r>
      <w:r>
        <w:rPr>
          <w:rFonts w:ascii="Calibri"/>
          <w:color w:val="003366"/>
          <w:sz w:val="20"/>
        </w:rPr>
        <w:tab/>
        <w:t>1</w:t>
      </w:r>
    </w:p>
    <w:p w:rsidR="006C17CB" w:rsidRDefault="0030091C">
      <w:pPr>
        <w:tabs>
          <w:tab w:val="left" w:pos="7035"/>
          <w:tab w:val="left" w:pos="8099"/>
          <w:tab w:val="left" w:pos="9270"/>
        </w:tabs>
        <w:spacing w:line="286" w:lineRule="exact"/>
        <w:ind w:left="757"/>
        <w:rPr>
          <w:rFonts w:ascii="Calibri"/>
          <w:sz w:val="20"/>
        </w:rPr>
      </w:pPr>
      <w:r>
        <w:rPr>
          <w:rFonts w:ascii="Calibri"/>
          <w:color w:val="003366"/>
          <w:sz w:val="20"/>
        </w:rPr>
        <w:t>Goods and Services</w:t>
      </w:r>
      <w:r>
        <w:rPr>
          <w:rFonts w:ascii="Calibri"/>
          <w:color w:val="003366"/>
          <w:spacing w:val="-7"/>
          <w:sz w:val="20"/>
        </w:rPr>
        <w:t xml:space="preserve"> </w:t>
      </w:r>
      <w:r>
        <w:rPr>
          <w:rFonts w:ascii="Calibri"/>
          <w:color w:val="003366"/>
          <w:sz w:val="20"/>
        </w:rPr>
        <w:t>Tax</w:t>
      </w:r>
      <w:r>
        <w:rPr>
          <w:rFonts w:ascii="Calibri"/>
          <w:color w:val="003366"/>
          <w:spacing w:val="-2"/>
          <w:sz w:val="20"/>
        </w:rPr>
        <w:t xml:space="preserve"> </w:t>
      </w:r>
      <w:r>
        <w:rPr>
          <w:rFonts w:ascii="Calibri"/>
          <w:color w:val="003366"/>
          <w:sz w:val="20"/>
        </w:rPr>
        <w:t>Receivable</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w:t>
      </w:r>
      <w:r>
        <w:rPr>
          <w:rFonts w:ascii="Calibri"/>
          <w:color w:val="003366"/>
          <w:sz w:val="20"/>
          <w:u w:val="single" w:color="003366"/>
        </w:rPr>
        <w:tab/>
        <w:t>43</w:t>
      </w:r>
      <w:r>
        <w:rPr>
          <w:rFonts w:ascii="Calibri"/>
          <w:color w:val="003366"/>
          <w:spacing w:val="16"/>
          <w:sz w:val="20"/>
          <w:u w:val="single" w:color="003366"/>
        </w:rPr>
        <w:t xml:space="preserve"> </w:t>
      </w:r>
    </w:p>
    <w:p w:rsidR="006C17CB" w:rsidRDefault="0030091C">
      <w:pPr>
        <w:tabs>
          <w:tab w:val="left" w:pos="7035"/>
          <w:tab w:val="left" w:pos="8060"/>
          <w:tab w:val="left" w:pos="9270"/>
        </w:tabs>
        <w:spacing w:before="2"/>
        <w:ind w:left="757"/>
        <w:rPr>
          <w:rFonts w:ascii="Calibri"/>
          <w:b/>
          <w:sz w:val="20"/>
        </w:rPr>
      </w:pPr>
      <w:r>
        <w:rPr>
          <w:rFonts w:ascii="Calibri"/>
          <w:b/>
          <w:color w:val="003366"/>
          <w:sz w:val="20"/>
        </w:rPr>
        <w:t>Total Receivables with Non-ACT</w:t>
      </w:r>
      <w:r>
        <w:rPr>
          <w:rFonts w:ascii="Calibri"/>
          <w:b/>
          <w:color w:val="003366"/>
          <w:spacing w:val="-10"/>
          <w:sz w:val="20"/>
        </w:rPr>
        <w:t xml:space="preserve"> </w:t>
      </w:r>
      <w:r>
        <w:rPr>
          <w:rFonts w:ascii="Calibri"/>
          <w:b/>
          <w:color w:val="003366"/>
          <w:sz w:val="20"/>
        </w:rPr>
        <w:t>Government</w:t>
      </w:r>
      <w:r>
        <w:rPr>
          <w:rFonts w:ascii="Calibri"/>
          <w:b/>
          <w:color w:val="003366"/>
          <w:spacing w:val="-3"/>
          <w:sz w:val="20"/>
        </w:rPr>
        <w:t xml:space="preserve"> </w:t>
      </w:r>
      <w:r>
        <w:rPr>
          <w:rFonts w:ascii="Calibri"/>
          <w:b/>
          <w:color w:val="003366"/>
          <w:sz w:val="20"/>
        </w:rPr>
        <w:t>Entities</w:t>
      </w:r>
      <w:r>
        <w:rPr>
          <w:rFonts w:ascii="Calibri"/>
          <w:b/>
          <w:color w:val="003366"/>
          <w:sz w:val="20"/>
        </w:rPr>
        <w:tab/>
      </w:r>
      <w:r>
        <w:rPr>
          <w:rFonts w:ascii="Calibri"/>
          <w:b/>
          <w:color w:val="003366"/>
          <w:sz w:val="20"/>
          <w:u w:val="single" w:color="003366"/>
        </w:rPr>
        <w:t xml:space="preserve"> </w:t>
      </w:r>
      <w:r>
        <w:rPr>
          <w:rFonts w:ascii="Calibri"/>
          <w:b/>
          <w:color w:val="003366"/>
          <w:sz w:val="20"/>
          <w:u w:val="single" w:color="003366"/>
        </w:rPr>
        <w:tab/>
        <w:t>1</w:t>
      </w:r>
      <w:r>
        <w:rPr>
          <w:rFonts w:ascii="Calibri"/>
          <w:b/>
          <w:color w:val="003366"/>
          <w:sz w:val="20"/>
          <w:u w:val="single" w:color="003366"/>
        </w:rPr>
        <w:tab/>
        <w:t>44</w:t>
      </w:r>
      <w:r>
        <w:rPr>
          <w:rFonts w:ascii="Calibri"/>
          <w:b/>
          <w:color w:val="003366"/>
          <w:spacing w:val="16"/>
          <w:sz w:val="20"/>
          <w:u w:val="single" w:color="003366"/>
        </w:rPr>
        <w:t xml:space="preserve"> </w:t>
      </w:r>
    </w:p>
    <w:p w:rsidR="006C17CB" w:rsidRDefault="00FE24A7">
      <w:pPr>
        <w:tabs>
          <w:tab w:val="left" w:pos="7035"/>
          <w:tab w:val="left" w:pos="7959"/>
          <w:tab w:val="left" w:pos="9270"/>
        </w:tabs>
        <w:spacing w:before="290"/>
        <w:ind w:left="757"/>
        <w:rPr>
          <w:rFonts w:ascii="Calibri"/>
          <w:b/>
          <w:sz w:val="20"/>
        </w:rPr>
      </w:pPr>
      <w:r>
        <w:pict>
          <v:group id="_x0000_s1340" alt="" style="position:absolute;left:0;text-align:left;margin-left:400.8pt;margin-top:14.45pt;width:127.25pt;height:.25pt;z-index:2416;mso-position-horizontal-relative:page" coordorigin="8016,289" coordsize="2545,5">
            <v:line id="_x0000_s1341" alt="" style="position:absolute" from="8016,292" to="9250,292" strokecolor="#036" strokeweight=".08397mm"/>
            <v:rect id="_x0000_s1342" alt="" style="position:absolute;left:9249;top:289;width:5;height:5" fillcolor="#036" stroked="f"/>
            <v:line id="_x0000_s1343" alt="" style="position:absolute" from="9254,292" to="10560,292" strokecolor="#036" strokeweight=".08397mm"/>
            <w10:wrap anchorx="page"/>
          </v:group>
        </w:pict>
      </w:r>
      <w:r w:rsidR="0030091C">
        <w:rPr>
          <w:rFonts w:ascii="Calibri"/>
          <w:b/>
          <w:color w:val="003366"/>
          <w:sz w:val="20"/>
        </w:rPr>
        <w:t>Total</w:t>
      </w:r>
      <w:r w:rsidR="0030091C">
        <w:rPr>
          <w:rFonts w:ascii="Calibri"/>
          <w:b/>
          <w:color w:val="003366"/>
          <w:spacing w:val="-3"/>
          <w:sz w:val="20"/>
        </w:rPr>
        <w:t xml:space="preserve"> </w:t>
      </w:r>
      <w:r w:rsidR="0030091C">
        <w:rPr>
          <w:rFonts w:ascii="Calibri"/>
          <w:b/>
          <w:color w:val="003366"/>
          <w:sz w:val="20"/>
        </w:rPr>
        <w:t>Receivables</w:t>
      </w:r>
      <w:r w:rsidR="0030091C">
        <w:rPr>
          <w:rFonts w:ascii="Calibri"/>
          <w:b/>
          <w:color w:val="003366"/>
          <w:sz w:val="20"/>
        </w:rPr>
        <w:tab/>
      </w:r>
      <w:r w:rsidR="0030091C">
        <w:rPr>
          <w:rFonts w:ascii="Calibri"/>
          <w:b/>
          <w:color w:val="003366"/>
          <w:sz w:val="20"/>
          <w:u w:val="single" w:color="003366"/>
        </w:rPr>
        <w:t xml:space="preserve"> </w:t>
      </w:r>
      <w:r w:rsidR="0030091C">
        <w:rPr>
          <w:rFonts w:ascii="Calibri"/>
          <w:b/>
          <w:color w:val="003366"/>
          <w:sz w:val="20"/>
          <w:u w:val="single" w:color="003366"/>
        </w:rPr>
        <w:tab/>
        <w:t>27</w:t>
      </w:r>
      <w:r w:rsidR="0030091C">
        <w:rPr>
          <w:rFonts w:ascii="Calibri"/>
          <w:b/>
          <w:color w:val="003366"/>
          <w:sz w:val="20"/>
          <w:u w:val="single" w:color="003366"/>
        </w:rPr>
        <w:tab/>
        <w:t>69</w:t>
      </w:r>
      <w:r w:rsidR="0030091C">
        <w:rPr>
          <w:rFonts w:ascii="Calibri"/>
          <w:b/>
          <w:color w:val="003366"/>
          <w:spacing w:val="16"/>
          <w:sz w:val="20"/>
          <w:u w:val="single" w:color="003366"/>
        </w:rPr>
        <w:t xml:space="preserve"> </w:t>
      </w:r>
    </w:p>
    <w:p w:rsidR="006C17CB" w:rsidRDefault="0030091C">
      <w:pPr>
        <w:spacing w:before="225"/>
        <w:ind w:left="757"/>
        <w:rPr>
          <w:rFonts w:ascii="Calibri"/>
          <w:sz w:val="20"/>
        </w:rPr>
      </w:pPr>
      <w:r>
        <w:rPr>
          <w:rFonts w:ascii="Calibri"/>
          <w:color w:val="003366"/>
          <w:sz w:val="20"/>
        </w:rPr>
        <w:t>At 30 June 2018, no receivables were overdue or impaired. This was also the case at 30 June 2017.</w:t>
      </w:r>
    </w:p>
    <w:p w:rsidR="006C17CB" w:rsidRDefault="006C17CB">
      <w:pPr>
        <w:rPr>
          <w:rFonts w:ascii="Calibri"/>
          <w:sz w:val="20"/>
        </w:rPr>
        <w:sectPr w:rsidR="006C17CB">
          <w:type w:val="continuous"/>
          <w:pgSz w:w="11910" w:h="16840"/>
          <w:pgMar w:top="1580" w:right="0" w:bottom="280" w:left="980" w:header="720" w:footer="720" w:gutter="0"/>
          <w:cols w:space="720"/>
        </w:sectPr>
      </w:pPr>
    </w:p>
    <w:p w:rsidR="006C17CB" w:rsidRDefault="006C17CB">
      <w:pPr>
        <w:pStyle w:val="BodyText"/>
        <w:spacing w:before="12"/>
        <w:rPr>
          <w:rFonts w:ascii="Calibri"/>
          <w:sz w:val="29"/>
        </w:rPr>
      </w:pPr>
    </w:p>
    <w:p w:rsidR="006C17CB" w:rsidRDefault="0030091C">
      <w:pPr>
        <w:pStyle w:val="Heading6"/>
        <w:tabs>
          <w:tab w:val="left" w:pos="1890"/>
        </w:tabs>
        <w:ind w:left="757"/>
      </w:pPr>
      <w:r>
        <w:rPr>
          <w:color w:val="003366"/>
        </w:rPr>
        <w:t>NOTE</w:t>
      </w:r>
      <w:r>
        <w:rPr>
          <w:color w:val="003366"/>
          <w:spacing w:val="-1"/>
        </w:rPr>
        <w:t xml:space="preserve"> </w:t>
      </w:r>
      <w:r>
        <w:rPr>
          <w:color w:val="003366"/>
        </w:rPr>
        <w:t>13.</w:t>
      </w:r>
      <w:r>
        <w:rPr>
          <w:color w:val="003366"/>
        </w:rPr>
        <w:tab/>
        <w:t>PROPERTY, PLANT AND</w:t>
      </w:r>
      <w:r>
        <w:rPr>
          <w:color w:val="003366"/>
          <w:spacing w:val="-3"/>
        </w:rPr>
        <w:t xml:space="preserve"> </w:t>
      </w:r>
      <w:r>
        <w:rPr>
          <w:color w:val="003366"/>
        </w:rPr>
        <w:t>EQUIPMENT</w:t>
      </w:r>
    </w:p>
    <w:p w:rsidR="006C17CB" w:rsidRDefault="006C17CB">
      <w:pPr>
        <w:pStyle w:val="BodyText"/>
        <w:rPr>
          <w:rFonts w:ascii="Calibri"/>
          <w:b/>
          <w:sz w:val="16"/>
        </w:rPr>
      </w:pPr>
    </w:p>
    <w:p w:rsidR="006C17CB" w:rsidRDefault="0030091C">
      <w:pPr>
        <w:spacing w:line="204" w:lineRule="auto"/>
        <w:ind w:left="757" w:right="1357"/>
        <w:rPr>
          <w:rFonts w:ascii="Calibri"/>
          <w:sz w:val="20"/>
        </w:rPr>
      </w:pPr>
      <w:r>
        <w:rPr>
          <w:rFonts w:ascii="Calibri"/>
          <w:color w:val="003366"/>
          <w:sz w:val="20"/>
        </w:rPr>
        <w:t>Property, plant and equipment include the following classes of assets - plant and equipment, heritage assets and leasehold improvements.</w:t>
      </w:r>
    </w:p>
    <w:p w:rsidR="006C17CB" w:rsidRDefault="0030091C">
      <w:pPr>
        <w:pStyle w:val="ListParagraph"/>
        <w:numPr>
          <w:ilvl w:val="0"/>
          <w:numId w:val="16"/>
        </w:numPr>
        <w:tabs>
          <w:tab w:val="left" w:pos="1117"/>
          <w:tab w:val="left" w:pos="1118"/>
        </w:tabs>
        <w:spacing w:before="97" w:line="240" w:lineRule="auto"/>
        <w:ind w:left="1117"/>
        <w:rPr>
          <w:rFonts w:ascii="Calibri"/>
          <w:sz w:val="20"/>
        </w:rPr>
      </w:pPr>
      <w:r>
        <w:rPr>
          <w:rFonts w:ascii="Calibri"/>
          <w:i/>
          <w:color w:val="003366"/>
          <w:sz w:val="20"/>
        </w:rPr>
        <w:t xml:space="preserve">Plant and equipment </w:t>
      </w:r>
      <w:r>
        <w:rPr>
          <w:rFonts w:ascii="Calibri"/>
          <w:color w:val="003366"/>
          <w:sz w:val="20"/>
        </w:rPr>
        <w:t>includes office equipment and furniture and</w:t>
      </w:r>
      <w:r>
        <w:rPr>
          <w:rFonts w:ascii="Calibri"/>
          <w:color w:val="003366"/>
          <w:spacing w:val="-5"/>
          <w:sz w:val="20"/>
        </w:rPr>
        <w:t xml:space="preserve"> </w:t>
      </w:r>
      <w:r>
        <w:rPr>
          <w:rFonts w:ascii="Calibri"/>
          <w:color w:val="003366"/>
          <w:sz w:val="20"/>
        </w:rPr>
        <w:t>fittings.</w:t>
      </w:r>
    </w:p>
    <w:p w:rsidR="006C17CB" w:rsidRDefault="0030091C">
      <w:pPr>
        <w:pStyle w:val="ListParagraph"/>
        <w:numPr>
          <w:ilvl w:val="0"/>
          <w:numId w:val="16"/>
        </w:numPr>
        <w:tabs>
          <w:tab w:val="left" w:pos="1117"/>
          <w:tab w:val="left" w:pos="1118"/>
        </w:tabs>
        <w:spacing w:before="124" w:line="201" w:lineRule="auto"/>
        <w:ind w:left="1117" w:right="1456"/>
        <w:rPr>
          <w:rFonts w:ascii="Calibri"/>
          <w:sz w:val="20"/>
        </w:rPr>
      </w:pPr>
      <w:r>
        <w:rPr>
          <w:rFonts w:ascii="Calibri"/>
          <w:i/>
          <w:color w:val="003366"/>
          <w:sz w:val="20"/>
        </w:rPr>
        <w:t xml:space="preserve">Leasehold improvements </w:t>
      </w:r>
      <w:r>
        <w:rPr>
          <w:rFonts w:ascii="Calibri"/>
          <w:color w:val="003366"/>
          <w:sz w:val="20"/>
        </w:rPr>
        <w:t>include the fit-out of the tenancy in the North Building and the associated assets included at this</w:t>
      </w:r>
      <w:r>
        <w:rPr>
          <w:rFonts w:ascii="Calibri"/>
          <w:color w:val="003366"/>
          <w:spacing w:val="-2"/>
          <w:sz w:val="20"/>
        </w:rPr>
        <w:t xml:space="preserve"> </w:t>
      </w:r>
      <w:r>
        <w:rPr>
          <w:rFonts w:ascii="Calibri"/>
          <w:color w:val="003366"/>
          <w:sz w:val="20"/>
        </w:rPr>
        <w:t>site.</w:t>
      </w:r>
    </w:p>
    <w:p w:rsidR="006C17CB" w:rsidRDefault="0030091C">
      <w:pPr>
        <w:pStyle w:val="ListParagraph"/>
        <w:numPr>
          <w:ilvl w:val="0"/>
          <w:numId w:val="16"/>
        </w:numPr>
        <w:tabs>
          <w:tab w:val="left" w:pos="1118"/>
        </w:tabs>
        <w:spacing w:before="135" w:line="201" w:lineRule="auto"/>
        <w:ind w:left="1117" w:right="1450"/>
        <w:jc w:val="both"/>
        <w:rPr>
          <w:rFonts w:ascii="Calibri"/>
          <w:sz w:val="20"/>
        </w:rPr>
      </w:pPr>
      <w:r>
        <w:rPr>
          <w:rFonts w:ascii="Calibri"/>
          <w:i/>
          <w:color w:val="003366"/>
          <w:sz w:val="20"/>
        </w:rPr>
        <w:t xml:space="preserve">Heritage assets </w:t>
      </w:r>
      <w:r>
        <w:rPr>
          <w:rFonts w:ascii="Calibri"/>
          <w:color w:val="003366"/>
          <w:sz w:val="20"/>
        </w:rPr>
        <w:t>are defined as those non-current assets that the Territory intends to preserve indefinitely because of their unique historical, cultural or environmental attributes. A common feature of heritage assets is that they cannot be replaced and they are not usually available for sale or for redeployment. Heritage assets held by the Office include an art and library</w:t>
      </w:r>
      <w:r>
        <w:rPr>
          <w:rFonts w:ascii="Calibri"/>
          <w:color w:val="003366"/>
          <w:spacing w:val="-11"/>
          <w:sz w:val="20"/>
        </w:rPr>
        <w:t xml:space="preserve"> </w:t>
      </w:r>
      <w:r>
        <w:rPr>
          <w:rFonts w:ascii="Calibri"/>
          <w:color w:val="003366"/>
          <w:sz w:val="20"/>
        </w:rPr>
        <w:t>collection.</w:t>
      </w:r>
    </w:p>
    <w:p w:rsidR="006C17CB" w:rsidRDefault="0030091C">
      <w:pPr>
        <w:spacing w:before="88"/>
        <w:ind w:left="757"/>
        <w:rPr>
          <w:rFonts w:ascii="Calibri"/>
          <w:i/>
          <w:sz w:val="20"/>
        </w:rPr>
      </w:pPr>
      <w:r>
        <w:rPr>
          <w:rFonts w:ascii="Calibri"/>
          <w:i/>
          <w:color w:val="003366"/>
          <w:sz w:val="20"/>
        </w:rPr>
        <w:t>Acquisition and Recognition of Property, Plant and Equipment</w:t>
      </w:r>
    </w:p>
    <w:p w:rsidR="006C17CB" w:rsidRDefault="0030091C">
      <w:pPr>
        <w:spacing w:before="76"/>
        <w:ind w:left="757"/>
        <w:rPr>
          <w:rFonts w:ascii="Calibri"/>
          <w:sz w:val="20"/>
        </w:rPr>
      </w:pPr>
      <w:r>
        <w:rPr>
          <w:rFonts w:ascii="Calibri"/>
          <w:color w:val="003366"/>
          <w:sz w:val="20"/>
        </w:rPr>
        <w:t>Property, plant and equipment are initially recorded at cost.</w:t>
      </w:r>
    </w:p>
    <w:p w:rsidR="006C17CB" w:rsidRDefault="0030091C">
      <w:pPr>
        <w:spacing w:before="114" w:line="201" w:lineRule="auto"/>
        <w:ind w:left="757" w:right="1177"/>
        <w:rPr>
          <w:rFonts w:ascii="Calibri"/>
          <w:sz w:val="20"/>
        </w:rPr>
      </w:pPr>
      <w:r>
        <w:rPr>
          <w:rFonts w:ascii="Calibri"/>
          <w:color w:val="003366"/>
          <w:sz w:val="20"/>
        </w:rPr>
        <w:t>Where property, plant and equipment are acquired at no cost, or minimal cost, cost is its fair value as at the date of acquisition.</w:t>
      </w:r>
    </w:p>
    <w:p w:rsidR="006C17CB" w:rsidRDefault="0030091C">
      <w:pPr>
        <w:spacing w:before="86"/>
        <w:ind w:left="757"/>
        <w:rPr>
          <w:rFonts w:ascii="Calibri"/>
          <w:sz w:val="20"/>
        </w:rPr>
      </w:pPr>
      <w:r>
        <w:rPr>
          <w:rFonts w:ascii="Calibri"/>
          <w:color w:val="003366"/>
          <w:sz w:val="20"/>
        </w:rPr>
        <w:t>Property, plant and equipment and leasehold improvements with a minimum value of $2,000 are capitalised.</w:t>
      </w:r>
    </w:p>
    <w:p w:rsidR="006C17CB" w:rsidRDefault="0030091C">
      <w:pPr>
        <w:spacing w:before="76"/>
        <w:ind w:left="757"/>
        <w:rPr>
          <w:rFonts w:ascii="Calibri"/>
          <w:i/>
          <w:sz w:val="20"/>
        </w:rPr>
      </w:pPr>
      <w:r>
        <w:rPr>
          <w:rFonts w:ascii="Calibri"/>
          <w:i/>
          <w:color w:val="003366"/>
          <w:sz w:val="20"/>
        </w:rPr>
        <w:t>Measurement of Property, Plant and Equipment After Initial Recognition</w:t>
      </w:r>
    </w:p>
    <w:p w:rsidR="006C17CB" w:rsidRDefault="0030091C">
      <w:pPr>
        <w:spacing w:before="112" w:line="204" w:lineRule="auto"/>
        <w:ind w:left="757" w:right="1451"/>
        <w:jc w:val="both"/>
        <w:rPr>
          <w:rFonts w:ascii="Calibri" w:hAnsi="Calibri"/>
          <w:sz w:val="20"/>
        </w:rPr>
      </w:pPr>
      <w:r>
        <w:rPr>
          <w:rFonts w:ascii="Calibri" w:hAnsi="Calibri"/>
          <w:color w:val="003366"/>
          <w:sz w:val="20"/>
        </w:rPr>
        <w:t>Plant</w:t>
      </w:r>
      <w:r>
        <w:rPr>
          <w:rFonts w:ascii="Calibri" w:hAnsi="Calibri"/>
          <w:color w:val="003366"/>
          <w:spacing w:val="-9"/>
          <w:sz w:val="20"/>
        </w:rPr>
        <w:t xml:space="preserve"> </w:t>
      </w:r>
      <w:r>
        <w:rPr>
          <w:rFonts w:ascii="Calibri" w:hAnsi="Calibri"/>
          <w:color w:val="003366"/>
          <w:sz w:val="20"/>
        </w:rPr>
        <w:t>and</w:t>
      </w:r>
      <w:r>
        <w:rPr>
          <w:rFonts w:ascii="Calibri" w:hAnsi="Calibri"/>
          <w:color w:val="003366"/>
          <w:spacing w:val="-10"/>
          <w:sz w:val="20"/>
        </w:rPr>
        <w:t xml:space="preserve"> </w:t>
      </w:r>
      <w:r>
        <w:rPr>
          <w:rFonts w:ascii="Calibri" w:hAnsi="Calibri"/>
          <w:color w:val="003366"/>
          <w:sz w:val="20"/>
        </w:rPr>
        <w:t>equipment,</w:t>
      </w:r>
      <w:r>
        <w:rPr>
          <w:rFonts w:ascii="Calibri" w:hAnsi="Calibri"/>
          <w:color w:val="003366"/>
          <w:spacing w:val="-9"/>
          <w:sz w:val="20"/>
        </w:rPr>
        <w:t xml:space="preserve"> </w:t>
      </w:r>
      <w:r>
        <w:rPr>
          <w:rFonts w:ascii="Calibri" w:hAnsi="Calibri"/>
          <w:color w:val="003366"/>
          <w:sz w:val="20"/>
        </w:rPr>
        <w:t>leasehold</w:t>
      </w:r>
      <w:r>
        <w:rPr>
          <w:rFonts w:ascii="Calibri" w:hAnsi="Calibri"/>
          <w:color w:val="003366"/>
          <w:spacing w:val="-9"/>
          <w:sz w:val="20"/>
        </w:rPr>
        <w:t xml:space="preserve"> </w:t>
      </w:r>
      <w:r>
        <w:rPr>
          <w:rFonts w:ascii="Calibri" w:hAnsi="Calibri"/>
          <w:color w:val="003366"/>
          <w:sz w:val="20"/>
        </w:rPr>
        <w:t>improvements</w:t>
      </w:r>
      <w:r>
        <w:rPr>
          <w:rFonts w:ascii="Calibri" w:hAnsi="Calibri"/>
          <w:color w:val="003366"/>
          <w:spacing w:val="-10"/>
          <w:sz w:val="20"/>
        </w:rPr>
        <w:t xml:space="preserve"> </w:t>
      </w:r>
      <w:r>
        <w:rPr>
          <w:rFonts w:ascii="Calibri" w:hAnsi="Calibri"/>
          <w:color w:val="003366"/>
          <w:sz w:val="20"/>
        </w:rPr>
        <w:t>and</w:t>
      </w:r>
      <w:r>
        <w:rPr>
          <w:rFonts w:ascii="Calibri" w:hAnsi="Calibri"/>
          <w:color w:val="003366"/>
          <w:spacing w:val="-9"/>
          <w:sz w:val="20"/>
        </w:rPr>
        <w:t xml:space="preserve"> </w:t>
      </w:r>
      <w:r>
        <w:rPr>
          <w:rFonts w:ascii="Calibri" w:hAnsi="Calibri"/>
          <w:color w:val="003366"/>
          <w:sz w:val="20"/>
        </w:rPr>
        <w:t>heritage</w:t>
      </w:r>
      <w:r>
        <w:rPr>
          <w:rFonts w:ascii="Calibri" w:hAnsi="Calibri"/>
          <w:color w:val="003366"/>
          <w:spacing w:val="-8"/>
          <w:sz w:val="20"/>
        </w:rPr>
        <w:t xml:space="preserve"> </w:t>
      </w:r>
      <w:r>
        <w:rPr>
          <w:rFonts w:ascii="Calibri" w:hAnsi="Calibri"/>
          <w:color w:val="003366"/>
          <w:sz w:val="20"/>
        </w:rPr>
        <w:t>assets</w:t>
      </w:r>
      <w:r>
        <w:rPr>
          <w:rFonts w:ascii="Calibri" w:hAnsi="Calibri"/>
          <w:color w:val="003366"/>
          <w:spacing w:val="-10"/>
          <w:sz w:val="20"/>
        </w:rPr>
        <w:t xml:space="preserve"> </w:t>
      </w:r>
      <w:r>
        <w:rPr>
          <w:rFonts w:ascii="Calibri" w:hAnsi="Calibri"/>
          <w:color w:val="003366"/>
          <w:sz w:val="20"/>
        </w:rPr>
        <w:t>are</w:t>
      </w:r>
      <w:r>
        <w:rPr>
          <w:rFonts w:ascii="Calibri" w:hAnsi="Calibri"/>
          <w:color w:val="003366"/>
          <w:spacing w:val="-10"/>
          <w:sz w:val="20"/>
        </w:rPr>
        <w:t xml:space="preserve"> </w:t>
      </w:r>
      <w:r>
        <w:rPr>
          <w:rFonts w:ascii="Calibri" w:hAnsi="Calibri"/>
          <w:color w:val="003366"/>
          <w:sz w:val="20"/>
        </w:rPr>
        <w:t>measured</w:t>
      </w:r>
      <w:r>
        <w:rPr>
          <w:rFonts w:ascii="Calibri" w:hAnsi="Calibri"/>
          <w:color w:val="003366"/>
          <w:spacing w:val="-9"/>
          <w:sz w:val="20"/>
        </w:rPr>
        <w:t xml:space="preserve"> </w:t>
      </w:r>
      <w:r>
        <w:rPr>
          <w:rFonts w:ascii="Calibri" w:hAnsi="Calibri"/>
          <w:color w:val="003366"/>
          <w:sz w:val="20"/>
        </w:rPr>
        <w:t>at</w:t>
      </w:r>
      <w:r>
        <w:rPr>
          <w:rFonts w:ascii="Calibri" w:hAnsi="Calibri"/>
          <w:color w:val="003366"/>
          <w:spacing w:val="-9"/>
          <w:sz w:val="20"/>
        </w:rPr>
        <w:t xml:space="preserve"> </w:t>
      </w:r>
      <w:r>
        <w:rPr>
          <w:rFonts w:ascii="Calibri" w:hAnsi="Calibri"/>
          <w:color w:val="003366"/>
          <w:sz w:val="20"/>
        </w:rPr>
        <w:t>fair</w:t>
      </w:r>
      <w:r>
        <w:rPr>
          <w:rFonts w:ascii="Calibri" w:hAnsi="Calibri"/>
          <w:color w:val="003366"/>
          <w:spacing w:val="-10"/>
          <w:sz w:val="20"/>
        </w:rPr>
        <w:t xml:space="preserve"> </w:t>
      </w:r>
      <w:r>
        <w:rPr>
          <w:rFonts w:ascii="Calibri" w:hAnsi="Calibri"/>
          <w:color w:val="003366"/>
          <w:sz w:val="20"/>
        </w:rPr>
        <w:t>value.</w:t>
      </w:r>
      <w:r>
        <w:rPr>
          <w:rFonts w:ascii="Calibri" w:hAnsi="Calibri"/>
          <w:color w:val="003366"/>
          <w:spacing w:val="-10"/>
          <w:sz w:val="20"/>
        </w:rPr>
        <w:t xml:space="preserve"> </w:t>
      </w:r>
      <w:r>
        <w:rPr>
          <w:rFonts w:ascii="Calibri" w:hAnsi="Calibri"/>
          <w:color w:val="003366"/>
          <w:sz w:val="20"/>
        </w:rPr>
        <w:t>The</w:t>
      </w:r>
      <w:r>
        <w:rPr>
          <w:rFonts w:ascii="Calibri" w:hAnsi="Calibri"/>
          <w:color w:val="003366"/>
          <w:spacing w:val="-10"/>
          <w:sz w:val="20"/>
        </w:rPr>
        <w:t xml:space="preserve"> </w:t>
      </w:r>
      <w:r>
        <w:rPr>
          <w:rFonts w:ascii="Calibri" w:hAnsi="Calibri"/>
          <w:color w:val="003366"/>
          <w:sz w:val="20"/>
        </w:rPr>
        <w:t>fair</w:t>
      </w:r>
      <w:r>
        <w:rPr>
          <w:rFonts w:ascii="Calibri" w:hAnsi="Calibri"/>
          <w:color w:val="003366"/>
          <w:spacing w:val="-10"/>
          <w:sz w:val="20"/>
        </w:rPr>
        <w:t xml:space="preserve"> </w:t>
      </w:r>
      <w:r>
        <w:rPr>
          <w:rFonts w:ascii="Calibri" w:hAnsi="Calibri"/>
          <w:color w:val="003366"/>
          <w:sz w:val="20"/>
        </w:rPr>
        <w:t xml:space="preserve">value measurement of property, plant and equipment is discussed below in </w:t>
      </w:r>
      <w:r>
        <w:rPr>
          <w:rFonts w:ascii="Calibri" w:hAnsi="Calibri"/>
          <w:i/>
          <w:color w:val="003366"/>
          <w:sz w:val="20"/>
        </w:rPr>
        <w:t>Significant Accounting Judgements and Estimates – Fair Value of</w:t>
      </w:r>
      <w:r>
        <w:rPr>
          <w:rFonts w:ascii="Calibri" w:hAnsi="Calibri"/>
          <w:i/>
          <w:color w:val="003366"/>
          <w:spacing w:val="-3"/>
          <w:sz w:val="20"/>
        </w:rPr>
        <w:t xml:space="preserve"> </w:t>
      </w:r>
      <w:r>
        <w:rPr>
          <w:rFonts w:ascii="Calibri" w:hAnsi="Calibri"/>
          <w:i/>
          <w:color w:val="003366"/>
          <w:sz w:val="20"/>
        </w:rPr>
        <w:t>Assets</w:t>
      </w:r>
      <w:r>
        <w:rPr>
          <w:rFonts w:ascii="Calibri" w:hAnsi="Calibri"/>
          <w:color w:val="003366"/>
          <w:sz w:val="20"/>
        </w:rPr>
        <w:t>.</w:t>
      </w:r>
    </w:p>
    <w:p w:rsidR="006C17CB" w:rsidRDefault="0030091C">
      <w:pPr>
        <w:spacing w:before="116" w:line="204" w:lineRule="auto"/>
        <w:ind w:left="757" w:right="1450"/>
        <w:jc w:val="both"/>
        <w:rPr>
          <w:rFonts w:ascii="Calibri"/>
          <w:sz w:val="20"/>
        </w:rPr>
      </w:pPr>
      <w:r>
        <w:rPr>
          <w:rFonts w:ascii="Calibri"/>
          <w:color w:val="003366"/>
          <w:sz w:val="20"/>
        </w:rPr>
        <w:t>Plant and equipment, leasehold improvements and heritage assets are revalued every 3 years. However, if at</w:t>
      </w:r>
      <w:r>
        <w:rPr>
          <w:rFonts w:ascii="Calibri"/>
          <w:color w:val="003366"/>
          <w:spacing w:val="-10"/>
          <w:sz w:val="20"/>
        </w:rPr>
        <w:t xml:space="preserve"> </w:t>
      </w:r>
      <w:r>
        <w:rPr>
          <w:rFonts w:ascii="Calibri"/>
          <w:color w:val="003366"/>
          <w:sz w:val="20"/>
        </w:rPr>
        <w:t>any</w:t>
      </w:r>
      <w:r>
        <w:rPr>
          <w:rFonts w:ascii="Calibri"/>
          <w:color w:val="003366"/>
          <w:spacing w:val="-9"/>
          <w:sz w:val="20"/>
        </w:rPr>
        <w:t xml:space="preserve"> </w:t>
      </w:r>
      <w:r>
        <w:rPr>
          <w:rFonts w:ascii="Calibri"/>
          <w:color w:val="003366"/>
          <w:sz w:val="20"/>
        </w:rPr>
        <w:t>time</w:t>
      </w:r>
      <w:r>
        <w:rPr>
          <w:rFonts w:ascii="Calibri"/>
          <w:color w:val="003366"/>
          <w:spacing w:val="-9"/>
          <w:sz w:val="20"/>
        </w:rPr>
        <w:t xml:space="preserve"> </w:t>
      </w:r>
      <w:r>
        <w:rPr>
          <w:rFonts w:ascii="Calibri"/>
          <w:color w:val="003366"/>
          <w:sz w:val="20"/>
        </w:rPr>
        <w:t>management</w:t>
      </w:r>
      <w:r>
        <w:rPr>
          <w:rFonts w:ascii="Calibri"/>
          <w:color w:val="003366"/>
          <w:spacing w:val="-7"/>
          <w:sz w:val="20"/>
        </w:rPr>
        <w:t xml:space="preserve"> </w:t>
      </w:r>
      <w:r>
        <w:rPr>
          <w:rFonts w:ascii="Calibri"/>
          <w:color w:val="003366"/>
          <w:sz w:val="20"/>
        </w:rPr>
        <w:t>considers</w:t>
      </w:r>
      <w:r>
        <w:rPr>
          <w:rFonts w:ascii="Calibri"/>
          <w:color w:val="003366"/>
          <w:spacing w:val="-11"/>
          <w:sz w:val="20"/>
        </w:rPr>
        <w:t xml:space="preserve"> </w:t>
      </w:r>
      <w:r>
        <w:rPr>
          <w:rFonts w:ascii="Calibri"/>
          <w:color w:val="003366"/>
          <w:sz w:val="20"/>
        </w:rPr>
        <w:t>that</w:t>
      </w:r>
      <w:r>
        <w:rPr>
          <w:rFonts w:ascii="Calibri"/>
          <w:color w:val="003366"/>
          <w:spacing w:val="-10"/>
          <w:sz w:val="20"/>
        </w:rPr>
        <w:t xml:space="preserve"> </w:t>
      </w:r>
      <w:r>
        <w:rPr>
          <w:rFonts w:ascii="Calibri"/>
          <w:color w:val="003366"/>
          <w:sz w:val="20"/>
        </w:rPr>
        <w:t>the</w:t>
      </w:r>
      <w:r>
        <w:rPr>
          <w:rFonts w:ascii="Calibri"/>
          <w:color w:val="003366"/>
          <w:spacing w:val="-9"/>
          <w:sz w:val="20"/>
        </w:rPr>
        <w:t xml:space="preserve"> </w:t>
      </w:r>
      <w:r>
        <w:rPr>
          <w:rFonts w:ascii="Calibri"/>
          <w:color w:val="003366"/>
          <w:sz w:val="20"/>
        </w:rPr>
        <w:t>carrying</w:t>
      </w:r>
      <w:r>
        <w:rPr>
          <w:rFonts w:ascii="Calibri"/>
          <w:color w:val="003366"/>
          <w:spacing w:val="-10"/>
          <w:sz w:val="20"/>
        </w:rPr>
        <w:t xml:space="preserve"> </w:t>
      </w:r>
      <w:r>
        <w:rPr>
          <w:rFonts w:ascii="Calibri"/>
          <w:color w:val="003366"/>
          <w:sz w:val="20"/>
        </w:rPr>
        <w:t>amount</w:t>
      </w:r>
      <w:r>
        <w:rPr>
          <w:rFonts w:ascii="Calibri"/>
          <w:color w:val="003366"/>
          <w:spacing w:val="-10"/>
          <w:sz w:val="20"/>
        </w:rPr>
        <w:t xml:space="preserve"> </w:t>
      </w:r>
      <w:r>
        <w:rPr>
          <w:rFonts w:ascii="Calibri"/>
          <w:color w:val="003366"/>
          <w:sz w:val="20"/>
        </w:rPr>
        <w:t>of</w:t>
      </w:r>
      <w:r>
        <w:rPr>
          <w:rFonts w:ascii="Calibri"/>
          <w:color w:val="003366"/>
          <w:spacing w:val="-11"/>
          <w:sz w:val="20"/>
        </w:rPr>
        <w:t xml:space="preserve"> </w:t>
      </w:r>
      <w:r>
        <w:rPr>
          <w:rFonts w:ascii="Calibri"/>
          <w:color w:val="003366"/>
          <w:sz w:val="20"/>
        </w:rPr>
        <w:t>an</w:t>
      </w:r>
      <w:r>
        <w:rPr>
          <w:rFonts w:ascii="Calibri"/>
          <w:color w:val="003366"/>
          <w:spacing w:val="-9"/>
          <w:sz w:val="20"/>
        </w:rPr>
        <w:t xml:space="preserve"> </w:t>
      </w:r>
      <w:r>
        <w:rPr>
          <w:rFonts w:ascii="Calibri"/>
          <w:color w:val="003366"/>
          <w:sz w:val="20"/>
        </w:rPr>
        <w:t>asset</w:t>
      </w:r>
      <w:r>
        <w:rPr>
          <w:rFonts w:ascii="Calibri"/>
          <w:color w:val="003366"/>
          <w:spacing w:val="-10"/>
          <w:sz w:val="20"/>
        </w:rPr>
        <w:t xml:space="preserve"> </w:t>
      </w:r>
      <w:r>
        <w:rPr>
          <w:rFonts w:ascii="Calibri"/>
          <w:color w:val="003366"/>
          <w:sz w:val="20"/>
        </w:rPr>
        <w:t>materially</w:t>
      </w:r>
      <w:r>
        <w:rPr>
          <w:rFonts w:ascii="Calibri"/>
          <w:color w:val="003366"/>
          <w:spacing w:val="-9"/>
          <w:sz w:val="20"/>
        </w:rPr>
        <w:t xml:space="preserve"> </w:t>
      </w:r>
      <w:r>
        <w:rPr>
          <w:rFonts w:ascii="Calibri"/>
          <w:color w:val="003366"/>
          <w:sz w:val="20"/>
        </w:rPr>
        <w:t>differs</w:t>
      </w:r>
      <w:r>
        <w:rPr>
          <w:rFonts w:ascii="Calibri"/>
          <w:color w:val="003366"/>
          <w:spacing w:val="-9"/>
          <w:sz w:val="20"/>
        </w:rPr>
        <w:t xml:space="preserve"> </w:t>
      </w:r>
      <w:r>
        <w:rPr>
          <w:rFonts w:ascii="Calibri"/>
          <w:color w:val="003366"/>
          <w:sz w:val="20"/>
        </w:rPr>
        <w:t>from</w:t>
      </w:r>
      <w:r>
        <w:rPr>
          <w:rFonts w:ascii="Calibri"/>
          <w:color w:val="003366"/>
          <w:spacing w:val="-11"/>
          <w:sz w:val="20"/>
        </w:rPr>
        <w:t xml:space="preserve"> </w:t>
      </w:r>
      <w:r>
        <w:rPr>
          <w:rFonts w:ascii="Calibri"/>
          <w:color w:val="003366"/>
          <w:sz w:val="20"/>
        </w:rPr>
        <w:t>its</w:t>
      </w:r>
      <w:r>
        <w:rPr>
          <w:rFonts w:ascii="Calibri"/>
          <w:color w:val="003366"/>
          <w:spacing w:val="-11"/>
          <w:sz w:val="20"/>
        </w:rPr>
        <w:t xml:space="preserve"> </w:t>
      </w:r>
      <w:r>
        <w:rPr>
          <w:rFonts w:ascii="Calibri"/>
          <w:color w:val="003366"/>
          <w:sz w:val="20"/>
        </w:rPr>
        <w:t>fair</w:t>
      </w:r>
      <w:r>
        <w:rPr>
          <w:rFonts w:ascii="Calibri"/>
          <w:color w:val="003366"/>
          <w:spacing w:val="-8"/>
          <w:sz w:val="20"/>
        </w:rPr>
        <w:t xml:space="preserve"> </w:t>
      </w:r>
      <w:r>
        <w:rPr>
          <w:rFonts w:ascii="Calibri"/>
          <w:color w:val="003366"/>
          <w:sz w:val="20"/>
        </w:rPr>
        <w:t>value, then the asset will be revalued regardless of when the last valuation took place. Any accumulated depreciation</w:t>
      </w:r>
      <w:r>
        <w:rPr>
          <w:rFonts w:ascii="Calibri"/>
          <w:color w:val="003366"/>
          <w:spacing w:val="-6"/>
          <w:sz w:val="20"/>
        </w:rPr>
        <w:t xml:space="preserve"> </w:t>
      </w:r>
      <w:r>
        <w:rPr>
          <w:rFonts w:ascii="Calibri"/>
          <w:color w:val="003366"/>
          <w:sz w:val="20"/>
        </w:rPr>
        <w:t>relating</w:t>
      </w:r>
      <w:r>
        <w:rPr>
          <w:rFonts w:ascii="Calibri"/>
          <w:color w:val="003366"/>
          <w:spacing w:val="-7"/>
          <w:sz w:val="20"/>
        </w:rPr>
        <w:t xml:space="preserve"> </w:t>
      </w:r>
      <w:r>
        <w:rPr>
          <w:rFonts w:ascii="Calibri"/>
          <w:color w:val="003366"/>
          <w:sz w:val="20"/>
        </w:rPr>
        <w:t>to</w:t>
      </w:r>
      <w:r>
        <w:rPr>
          <w:rFonts w:ascii="Calibri"/>
          <w:color w:val="003366"/>
          <w:spacing w:val="-6"/>
          <w:sz w:val="20"/>
        </w:rPr>
        <w:t xml:space="preserve"> </w:t>
      </w:r>
      <w:r>
        <w:rPr>
          <w:rFonts w:ascii="Calibri"/>
          <w:color w:val="003366"/>
          <w:sz w:val="20"/>
        </w:rPr>
        <w:t>buildings,</w:t>
      </w:r>
      <w:r>
        <w:rPr>
          <w:rFonts w:ascii="Calibri"/>
          <w:color w:val="003366"/>
          <w:spacing w:val="-6"/>
          <w:sz w:val="20"/>
        </w:rPr>
        <w:t xml:space="preserve"> </w:t>
      </w:r>
      <w:r>
        <w:rPr>
          <w:rFonts w:ascii="Calibri"/>
          <w:color w:val="003366"/>
          <w:sz w:val="20"/>
        </w:rPr>
        <w:t>plant</w:t>
      </w:r>
      <w:r>
        <w:rPr>
          <w:rFonts w:ascii="Calibri"/>
          <w:color w:val="003366"/>
          <w:spacing w:val="-6"/>
          <w:sz w:val="20"/>
        </w:rPr>
        <w:t xml:space="preserve"> </w:t>
      </w:r>
      <w:r>
        <w:rPr>
          <w:rFonts w:ascii="Calibri"/>
          <w:color w:val="003366"/>
          <w:sz w:val="20"/>
        </w:rPr>
        <w:t>and</w:t>
      </w:r>
      <w:r>
        <w:rPr>
          <w:rFonts w:ascii="Calibri"/>
          <w:color w:val="003366"/>
          <w:spacing w:val="-6"/>
          <w:sz w:val="20"/>
        </w:rPr>
        <w:t xml:space="preserve"> </w:t>
      </w:r>
      <w:r>
        <w:rPr>
          <w:rFonts w:ascii="Calibri"/>
          <w:color w:val="003366"/>
          <w:sz w:val="20"/>
        </w:rPr>
        <w:t>equipment,</w:t>
      </w:r>
      <w:r>
        <w:rPr>
          <w:rFonts w:ascii="Calibri"/>
          <w:color w:val="003366"/>
          <w:spacing w:val="-6"/>
          <w:sz w:val="20"/>
        </w:rPr>
        <w:t xml:space="preserve"> </w:t>
      </w:r>
      <w:r>
        <w:rPr>
          <w:rFonts w:ascii="Calibri"/>
          <w:color w:val="003366"/>
          <w:sz w:val="20"/>
        </w:rPr>
        <w:t>leasehold</w:t>
      </w:r>
      <w:r>
        <w:rPr>
          <w:rFonts w:ascii="Calibri"/>
          <w:color w:val="003366"/>
          <w:spacing w:val="-6"/>
          <w:sz w:val="20"/>
        </w:rPr>
        <w:t xml:space="preserve"> </w:t>
      </w:r>
      <w:r>
        <w:rPr>
          <w:rFonts w:ascii="Calibri"/>
          <w:color w:val="003366"/>
          <w:sz w:val="20"/>
        </w:rPr>
        <w:t>improvements</w:t>
      </w:r>
      <w:r>
        <w:rPr>
          <w:rFonts w:ascii="Calibri"/>
          <w:color w:val="003366"/>
          <w:spacing w:val="-7"/>
          <w:sz w:val="20"/>
        </w:rPr>
        <w:t xml:space="preserve"> </w:t>
      </w:r>
      <w:r>
        <w:rPr>
          <w:rFonts w:ascii="Calibri"/>
          <w:color w:val="003366"/>
          <w:sz w:val="20"/>
        </w:rPr>
        <w:t>and</w:t>
      </w:r>
      <w:r>
        <w:rPr>
          <w:rFonts w:ascii="Calibri"/>
          <w:color w:val="003366"/>
          <w:spacing w:val="-6"/>
          <w:sz w:val="20"/>
        </w:rPr>
        <w:t xml:space="preserve"> </w:t>
      </w:r>
      <w:r>
        <w:rPr>
          <w:rFonts w:ascii="Calibri"/>
          <w:color w:val="003366"/>
          <w:sz w:val="20"/>
        </w:rPr>
        <w:t>heritage</w:t>
      </w:r>
      <w:r>
        <w:rPr>
          <w:rFonts w:ascii="Calibri"/>
          <w:color w:val="003366"/>
          <w:spacing w:val="-7"/>
          <w:sz w:val="20"/>
        </w:rPr>
        <w:t xml:space="preserve"> </w:t>
      </w:r>
      <w:r>
        <w:rPr>
          <w:rFonts w:ascii="Calibri"/>
          <w:color w:val="003366"/>
          <w:sz w:val="20"/>
        </w:rPr>
        <w:t>assets</w:t>
      </w:r>
      <w:r>
        <w:rPr>
          <w:rFonts w:ascii="Calibri"/>
          <w:color w:val="003366"/>
          <w:spacing w:val="-8"/>
          <w:sz w:val="20"/>
        </w:rPr>
        <w:t xml:space="preserve"> </w:t>
      </w:r>
      <w:r>
        <w:rPr>
          <w:rFonts w:ascii="Calibri"/>
          <w:color w:val="003366"/>
          <w:sz w:val="20"/>
        </w:rPr>
        <w:t>at</w:t>
      </w:r>
      <w:r>
        <w:rPr>
          <w:rFonts w:ascii="Calibri"/>
          <w:color w:val="003366"/>
          <w:spacing w:val="-6"/>
          <w:sz w:val="20"/>
        </w:rPr>
        <w:t xml:space="preserve"> </w:t>
      </w:r>
      <w:r>
        <w:rPr>
          <w:rFonts w:ascii="Calibri"/>
          <w:color w:val="003366"/>
          <w:sz w:val="20"/>
        </w:rPr>
        <w:t>the date of revaluation is written back against the gross carrying amount of the asset and the net amount is restated to the revalued amount of the</w:t>
      </w:r>
      <w:r>
        <w:rPr>
          <w:rFonts w:ascii="Calibri"/>
          <w:color w:val="003366"/>
          <w:spacing w:val="-3"/>
          <w:sz w:val="20"/>
        </w:rPr>
        <w:t xml:space="preserve"> </w:t>
      </w:r>
      <w:r>
        <w:rPr>
          <w:rFonts w:ascii="Calibri"/>
          <w:color w:val="003366"/>
          <w:sz w:val="20"/>
        </w:rPr>
        <w:t>asset.</w:t>
      </w:r>
    </w:p>
    <w:p w:rsidR="006C17CB" w:rsidRDefault="0030091C">
      <w:pPr>
        <w:spacing w:before="79"/>
        <w:ind w:left="757"/>
        <w:rPr>
          <w:rFonts w:ascii="Calibri" w:hAnsi="Calibri"/>
          <w:i/>
          <w:sz w:val="20"/>
        </w:rPr>
      </w:pPr>
      <w:r>
        <w:rPr>
          <w:rFonts w:ascii="Calibri" w:hAnsi="Calibri"/>
          <w:i/>
          <w:color w:val="003366"/>
          <w:sz w:val="20"/>
        </w:rPr>
        <w:t>Significant Accounting Judgements and Estimates – Useful Lives of Property, Plant and Equipment</w:t>
      </w:r>
    </w:p>
    <w:p w:rsidR="006C17CB" w:rsidRDefault="0030091C">
      <w:pPr>
        <w:spacing w:before="112" w:line="204" w:lineRule="auto"/>
        <w:ind w:left="757" w:right="1447"/>
        <w:jc w:val="both"/>
        <w:rPr>
          <w:rFonts w:ascii="Calibri"/>
          <w:sz w:val="20"/>
        </w:rPr>
      </w:pPr>
      <w:r>
        <w:rPr>
          <w:rFonts w:ascii="Calibri"/>
          <w:color w:val="003366"/>
          <w:sz w:val="20"/>
        </w:rPr>
        <w:t>The Office has made a significant estimate in determining the useful lives of its property, plant and equipment.</w:t>
      </w:r>
      <w:r>
        <w:rPr>
          <w:rFonts w:ascii="Calibri"/>
          <w:color w:val="003366"/>
          <w:spacing w:val="-9"/>
          <w:sz w:val="20"/>
        </w:rPr>
        <w:t xml:space="preserve"> </w:t>
      </w:r>
      <w:r>
        <w:rPr>
          <w:rFonts w:ascii="Calibri"/>
          <w:color w:val="003366"/>
          <w:sz w:val="20"/>
        </w:rPr>
        <w:t>The</w:t>
      </w:r>
      <w:r>
        <w:rPr>
          <w:rFonts w:ascii="Calibri"/>
          <w:color w:val="003366"/>
          <w:spacing w:val="-9"/>
          <w:sz w:val="20"/>
        </w:rPr>
        <w:t xml:space="preserve"> </w:t>
      </w:r>
      <w:r>
        <w:rPr>
          <w:rFonts w:ascii="Calibri"/>
          <w:color w:val="003366"/>
          <w:sz w:val="20"/>
        </w:rPr>
        <w:t>estimation</w:t>
      </w:r>
      <w:r>
        <w:rPr>
          <w:rFonts w:ascii="Calibri"/>
          <w:color w:val="003366"/>
          <w:spacing w:val="-8"/>
          <w:sz w:val="20"/>
        </w:rPr>
        <w:t xml:space="preserve"> </w:t>
      </w:r>
      <w:r>
        <w:rPr>
          <w:rFonts w:ascii="Calibri"/>
          <w:color w:val="003366"/>
          <w:sz w:val="20"/>
        </w:rPr>
        <w:t>of</w:t>
      </w:r>
      <w:r>
        <w:rPr>
          <w:rFonts w:ascii="Calibri"/>
          <w:color w:val="003366"/>
          <w:spacing w:val="-7"/>
          <w:sz w:val="20"/>
        </w:rPr>
        <w:t xml:space="preserve"> </w:t>
      </w:r>
      <w:r>
        <w:rPr>
          <w:rFonts w:ascii="Calibri"/>
          <w:color w:val="003366"/>
          <w:sz w:val="20"/>
        </w:rPr>
        <w:t>useful</w:t>
      </w:r>
      <w:r>
        <w:rPr>
          <w:rFonts w:ascii="Calibri"/>
          <w:color w:val="003366"/>
          <w:spacing w:val="-9"/>
          <w:sz w:val="20"/>
        </w:rPr>
        <w:t xml:space="preserve"> </w:t>
      </w:r>
      <w:r>
        <w:rPr>
          <w:rFonts w:ascii="Calibri"/>
          <w:color w:val="003366"/>
          <w:sz w:val="20"/>
        </w:rPr>
        <w:t>lives</w:t>
      </w:r>
      <w:r>
        <w:rPr>
          <w:rFonts w:ascii="Calibri"/>
          <w:color w:val="003366"/>
          <w:spacing w:val="-10"/>
          <w:sz w:val="20"/>
        </w:rPr>
        <w:t xml:space="preserve"> </w:t>
      </w:r>
      <w:r>
        <w:rPr>
          <w:rFonts w:ascii="Calibri"/>
          <w:color w:val="003366"/>
          <w:sz w:val="20"/>
        </w:rPr>
        <w:t>of</w:t>
      </w:r>
      <w:r>
        <w:rPr>
          <w:rFonts w:ascii="Calibri"/>
          <w:color w:val="003366"/>
          <w:spacing w:val="-10"/>
          <w:sz w:val="20"/>
        </w:rPr>
        <w:t xml:space="preserve"> </w:t>
      </w:r>
      <w:r>
        <w:rPr>
          <w:rFonts w:ascii="Calibri"/>
          <w:color w:val="003366"/>
          <w:sz w:val="20"/>
        </w:rPr>
        <w:t>property,</w:t>
      </w:r>
      <w:r>
        <w:rPr>
          <w:rFonts w:ascii="Calibri"/>
          <w:color w:val="003366"/>
          <w:spacing w:val="-8"/>
          <w:sz w:val="20"/>
        </w:rPr>
        <w:t xml:space="preserve"> </w:t>
      </w:r>
      <w:r>
        <w:rPr>
          <w:rFonts w:ascii="Calibri"/>
          <w:color w:val="003366"/>
          <w:sz w:val="20"/>
        </w:rPr>
        <w:t>plant</w:t>
      </w:r>
      <w:r>
        <w:rPr>
          <w:rFonts w:ascii="Calibri"/>
          <w:color w:val="003366"/>
          <w:spacing w:val="-13"/>
          <w:sz w:val="20"/>
        </w:rPr>
        <w:t xml:space="preserve"> </w:t>
      </w:r>
      <w:r>
        <w:rPr>
          <w:rFonts w:ascii="Calibri"/>
          <w:color w:val="003366"/>
          <w:sz w:val="20"/>
        </w:rPr>
        <w:t>and</w:t>
      </w:r>
      <w:r>
        <w:rPr>
          <w:rFonts w:ascii="Calibri"/>
          <w:color w:val="003366"/>
          <w:spacing w:val="-8"/>
          <w:sz w:val="20"/>
        </w:rPr>
        <w:t xml:space="preserve"> </w:t>
      </w:r>
      <w:r>
        <w:rPr>
          <w:rFonts w:ascii="Calibri"/>
          <w:color w:val="003366"/>
          <w:sz w:val="20"/>
        </w:rPr>
        <w:t>equipment</w:t>
      </w:r>
      <w:r>
        <w:rPr>
          <w:rFonts w:ascii="Calibri"/>
          <w:color w:val="003366"/>
          <w:spacing w:val="-8"/>
          <w:sz w:val="20"/>
        </w:rPr>
        <w:t xml:space="preserve"> </w:t>
      </w:r>
      <w:r>
        <w:rPr>
          <w:rFonts w:ascii="Calibri"/>
          <w:color w:val="003366"/>
          <w:sz w:val="20"/>
        </w:rPr>
        <w:t>has</w:t>
      </w:r>
      <w:r>
        <w:rPr>
          <w:rFonts w:ascii="Calibri"/>
          <w:color w:val="003366"/>
          <w:spacing w:val="-10"/>
          <w:sz w:val="20"/>
        </w:rPr>
        <w:t xml:space="preserve"> </w:t>
      </w:r>
      <w:r>
        <w:rPr>
          <w:rFonts w:ascii="Calibri"/>
          <w:color w:val="003366"/>
          <w:sz w:val="20"/>
        </w:rPr>
        <w:t>been</w:t>
      </w:r>
      <w:r>
        <w:rPr>
          <w:rFonts w:ascii="Calibri"/>
          <w:color w:val="003366"/>
          <w:spacing w:val="-8"/>
          <w:sz w:val="20"/>
        </w:rPr>
        <w:t xml:space="preserve"> </w:t>
      </w:r>
      <w:r>
        <w:rPr>
          <w:rFonts w:ascii="Calibri"/>
          <w:color w:val="003366"/>
          <w:sz w:val="20"/>
        </w:rPr>
        <w:t>based</w:t>
      </w:r>
      <w:r>
        <w:rPr>
          <w:rFonts w:ascii="Calibri"/>
          <w:color w:val="003366"/>
          <w:spacing w:val="-8"/>
          <w:sz w:val="20"/>
        </w:rPr>
        <w:t xml:space="preserve"> </w:t>
      </w:r>
      <w:r>
        <w:rPr>
          <w:rFonts w:ascii="Calibri"/>
          <w:color w:val="003366"/>
          <w:sz w:val="20"/>
        </w:rPr>
        <w:t>on</w:t>
      </w:r>
      <w:r>
        <w:rPr>
          <w:rFonts w:ascii="Calibri"/>
          <w:color w:val="003366"/>
          <w:spacing w:val="-8"/>
          <w:sz w:val="20"/>
        </w:rPr>
        <w:t xml:space="preserve"> </w:t>
      </w:r>
      <w:r>
        <w:rPr>
          <w:rFonts w:ascii="Calibri"/>
          <w:color w:val="003366"/>
          <w:sz w:val="20"/>
        </w:rPr>
        <w:t>the</w:t>
      </w:r>
      <w:r>
        <w:rPr>
          <w:rFonts w:ascii="Calibri"/>
          <w:color w:val="003366"/>
          <w:spacing w:val="-10"/>
          <w:sz w:val="20"/>
        </w:rPr>
        <w:t xml:space="preserve"> </w:t>
      </w:r>
      <w:r>
        <w:rPr>
          <w:rFonts w:ascii="Calibri"/>
          <w:color w:val="003366"/>
          <w:sz w:val="20"/>
        </w:rPr>
        <w:t>historical experience of similar assets and, in some cases, has been based on valuations provided by independent valuers,</w:t>
      </w:r>
      <w:r>
        <w:rPr>
          <w:rFonts w:ascii="Calibri"/>
          <w:color w:val="003366"/>
          <w:spacing w:val="-6"/>
          <w:sz w:val="20"/>
        </w:rPr>
        <w:t xml:space="preserve"> </w:t>
      </w:r>
      <w:r>
        <w:rPr>
          <w:rFonts w:ascii="Calibri"/>
          <w:color w:val="003366"/>
          <w:sz w:val="20"/>
        </w:rPr>
        <w:t>Jones</w:t>
      </w:r>
      <w:r>
        <w:rPr>
          <w:rFonts w:ascii="Calibri"/>
          <w:color w:val="003366"/>
          <w:spacing w:val="-8"/>
          <w:sz w:val="20"/>
        </w:rPr>
        <w:t xml:space="preserve"> </w:t>
      </w:r>
      <w:r>
        <w:rPr>
          <w:rFonts w:ascii="Calibri"/>
          <w:color w:val="003366"/>
          <w:sz w:val="20"/>
        </w:rPr>
        <w:t>Lang</w:t>
      </w:r>
      <w:r>
        <w:rPr>
          <w:rFonts w:ascii="Calibri"/>
          <w:color w:val="003366"/>
          <w:spacing w:val="-7"/>
          <w:sz w:val="20"/>
        </w:rPr>
        <w:t xml:space="preserve"> </w:t>
      </w:r>
      <w:r>
        <w:rPr>
          <w:rFonts w:ascii="Calibri"/>
          <w:color w:val="003366"/>
          <w:sz w:val="20"/>
        </w:rPr>
        <w:t>La</w:t>
      </w:r>
      <w:r>
        <w:rPr>
          <w:rFonts w:ascii="Calibri"/>
          <w:color w:val="003366"/>
          <w:spacing w:val="-6"/>
          <w:sz w:val="20"/>
        </w:rPr>
        <w:t xml:space="preserve"> </w:t>
      </w:r>
      <w:r>
        <w:rPr>
          <w:rFonts w:ascii="Calibri"/>
          <w:color w:val="003366"/>
          <w:sz w:val="20"/>
        </w:rPr>
        <w:t>Salle</w:t>
      </w:r>
      <w:r>
        <w:rPr>
          <w:rFonts w:ascii="Calibri"/>
          <w:color w:val="003366"/>
          <w:spacing w:val="-7"/>
          <w:sz w:val="20"/>
        </w:rPr>
        <w:t xml:space="preserve"> </w:t>
      </w:r>
      <w:r>
        <w:rPr>
          <w:rFonts w:ascii="Calibri"/>
          <w:color w:val="003366"/>
          <w:sz w:val="20"/>
        </w:rPr>
        <w:t>Public</w:t>
      </w:r>
      <w:r>
        <w:rPr>
          <w:rFonts w:ascii="Calibri"/>
          <w:color w:val="003366"/>
          <w:spacing w:val="-7"/>
          <w:sz w:val="20"/>
        </w:rPr>
        <w:t xml:space="preserve"> </w:t>
      </w:r>
      <w:r>
        <w:rPr>
          <w:rFonts w:ascii="Calibri"/>
          <w:color w:val="003366"/>
          <w:sz w:val="20"/>
        </w:rPr>
        <w:t>Sector</w:t>
      </w:r>
      <w:r>
        <w:rPr>
          <w:rFonts w:ascii="Calibri"/>
          <w:color w:val="003366"/>
          <w:spacing w:val="-6"/>
          <w:sz w:val="20"/>
        </w:rPr>
        <w:t xml:space="preserve"> </w:t>
      </w:r>
      <w:r>
        <w:rPr>
          <w:rFonts w:ascii="Calibri"/>
          <w:color w:val="003366"/>
          <w:sz w:val="20"/>
        </w:rPr>
        <w:t>Valuations</w:t>
      </w:r>
      <w:r>
        <w:rPr>
          <w:rFonts w:ascii="Calibri"/>
          <w:color w:val="003366"/>
          <w:spacing w:val="-8"/>
          <w:sz w:val="20"/>
        </w:rPr>
        <w:t xml:space="preserve"> </w:t>
      </w:r>
      <w:r>
        <w:rPr>
          <w:rFonts w:ascii="Calibri"/>
          <w:color w:val="003366"/>
          <w:sz w:val="20"/>
        </w:rPr>
        <w:t>Pty</w:t>
      </w:r>
      <w:r>
        <w:rPr>
          <w:rFonts w:ascii="Calibri"/>
          <w:color w:val="003366"/>
          <w:spacing w:val="-5"/>
          <w:sz w:val="20"/>
        </w:rPr>
        <w:t xml:space="preserve"> </w:t>
      </w:r>
      <w:r>
        <w:rPr>
          <w:rFonts w:ascii="Calibri"/>
          <w:color w:val="003366"/>
          <w:sz w:val="20"/>
        </w:rPr>
        <w:t>Ltd.</w:t>
      </w:r>
      <w:r>
        <w:rPr>
          <w:rFonts w:ascii="Calibri"/>
          <w:color w:val="003366"/>
          <w:spacing w:val="-10"/>
          <w:sz w:val="20"/>
        </w:rPr>
        <w:t xml:space="preserve"> </w:t>
      </w:r>
      <w:r>
        <w:rPr>
          <w:rFonts w:ascii="Calibri"/>
          <w:color w:val="003366"/>
          <w:sz w:val="20"/>
        </w:rPr>
        <w:t>The</w:t>
      </w:r>
      <w:r>
        <w:rPr>
          <w:rFonts w:ascii="Calibri"/>
          <w:color w:val="003366"/>
          <w:spacing w:val="-7"/>
          <w:sz w:val="20"/>
        </w:rPr>
        <w:t xml:space="preserve"> </w:t>
      </w:r>
      <w:r>
        <w:rPr>
          <w:rFonts w:ascii="Calibri"/>
          <w:color w:val="003366"/>
          <w:sz w:val="20"/>
        </w:rPr>
        <w:t>useful</w:t>
      </w:r>
      <w:r>
        <w:rPr>
          <w:rFonts w:ascii="Calibri"/>
          <w:color w:val="003366"/>
          <w:spacing w:val="-7"/>
          <w:sz w:val="20"/>
        </w:rPr>
        <w:t xml:space="preserve"> </w:t>
      </w:r>
      <w:r>
        <w:rPr>
          <w:rFonts w:ascii="Calibri"/>
          <w:color w:val="003366"/>
          <w:sz w:val="20"/>
        </w:rPr>
        <w:t>lives</w:t>
      </w:r>
      <w:r>
        <w:rPr>
          <w:rFonts w:ascii="Calibri"/>
          <w:color w:val="003366"/>
          <w:spacing w:val="-8"/>
          <w:sz w:val="20"/>
        </w:rPr>
        <w:t xml:space="preserve"> </w:t>
      </w:r>
      <w:r>
        <w:rPr>
          <w:rFonts w:ascii="Calibri"/>
          <w:color w:val="003366"/>
          <w:sz w:val="20"/>
        </w:rPr>
        <w:t>are</w:t>
      </w:r>
      <w:r>
        <w:rPr>
          <w:rFonts w:ascii="Calibri"/>
          <w:color w:val="003366"/>
          <w:spacing w:val="-7"/>
          <w:sz w:val="20"/>
        </w:rPr>
        <w:t xml:space="preserve"> </w:t>
      </w:r>
      <w:r>
        <w:rPr>
          <w:rFonts w:ascii="Calibri"/>
          <w:color w:val="003366"/>
          <w:sz w:val="20"/>
        </w:rPr>
        <w:t>assessed</w:t>
      </w:r>
      <w:r>
        <w:rPr>
          <w:rFonts w:ascii="Calibri"/>
          <w:color w:val="003366"/>
          <w:spacing w:val="-6"/>
          <w:sz w:val="20"/>
        </w:rPr>
        <w:t xml:space="preserve"> </w:t>
      </w:r>
      <w:r>
        <w:rPr>
          <w:rFonts w:ascii="Calibri"/>
          <w:color w:val="003366"/>
          <w:sz w:val="20"/>
        </w:rPr>
        <w:t>on</w:t>
      </w:r>
      <w:r>
        <w:rPr>
          <w:rFonts w:ascii="Calibri"/>
          <w:color w:val="003366"/>
          <w:spacing w:val="-6"/>
          <w:sz w:val="20"/>
        </w:rPr>
        <w:t xml:space="preserve"> </w:t>
      </w:r>
      <w:r>
        <w:rPr>
          <w:rFonts w:ascii="Calibri"/>
          <w:color w:val="003366"/>
          <w:sz w:val="20"/>
        </w:rPr>
        <w:t>an</w:t>
      </w:r>
      <w:r>
        <w:rPr>
          <w:rFonts w:ascii="Calibri"/>
          <w:color w:val="003366"/>
          <w:spacing w:val="-8"/>
          <w:sz w:val="20"/>
        </w:rPr>
        <w:t xml:space="preserve"> </w:t>
      </w:r>
      <w:r>
        <w:rPr>
          <w:rFonts w:ascii="Calibri"/>
          <w:color w:val="003366"/>
          <w:sz w:val="20"/>
        </w:rPr>
        <w:t>annual</w:t>
      </w:r>
      <w:r>
        <w:rPr>
          <w:rFonts w:ascii="Calibri"/>
          <w:color w:val="003366"/>
          <w:spacing w:val="-8"/>
          <w:sz w:val="20"/>
        </w:rPr>
        <w:t xml:space="preserve"> </w:t>
      </w:r>
      <w:r>
        <w:rPr>
          <w:rFonts w:ascii="Calibri"/>
          <w:color w:val="003366"/>
          <w:sz w:val="20"/>
        </w:rPr>
        <w:t>basis and any adjustments are made when considered necessary.</w:t>
      </w:r>
    </w:p>
    <w:p w:rsidR="006C17CB" w:rsidRDefault="0030091C">
      <w:pPr>
        <w:spacing w:before="79"/>
        <w:ind w:left="757"/>
        <w:rPr>
          <w:rFonts w:ascii="Calibri"/>
          <w:sz w:val="20"/>
        </w:rPr>
      </w:pPr>
      <w:r>
        <w:rPr>
          <w:rFonts w:ascii="Calibri"/>
          <w:color w:val="003366"/>
          <w:sz w:val="20"/>
        </w:rPr>
        <w:t>For disclosures concerning an assets useful life, see Note 8: Depreciation and Amortisation.</w:t>
      </w:r>
    </w:p>
    <w:p w:rsidR="006C17CB" w:rsidRDefault="0030091C">
      <w:pPr>
        <w:spacing w:before="76"/>
        <w:ind w:left="757"/>
        <w:rPr>
          <w:rFonts w:ascii="Calibri" w:hAnsi="Calibri"/>
          <w:i/>
          <w:sz w:val="20"/>
        </w:rPr>
      </w:pPr>
      <w:r>
        <w:rPr>
          <w:rFonts w:ascii="Calibri" w:hAnsi="Calibri"/>
          <w:i/>
          <w:color w:val="003366"/>
          <w:sz w:val="20"/>
        </w:rPr>
        <w:t>Significant Accounting Judgements and Estimates – Impairment of Assets</w:t>
      </w:r>
    </w:p>
    <w:p w:rsidR="006C17CB" w:rsidRDefault="0030091C">
      <w:pPr>
        <w:spacing w:before="112" w:line="204" w:lineRule="auto"/>
        <w:ind w:left="757" w:right="1447"/>
        <w:jc w:val="both"/>
        <w:rPr>
          <w:rFonts w:ascii="Calibri"/>
          <w:sz w:val="20"/>
        </w:rPr>
      </w:pPr>
      <w:r>
        <w:rPr>
          <w:rFonts w:ascii="Calibri"/>
          <w:color w:val="003366"/>
          <w:sz w:val="20"/>
        </w:rPr>
        <w:t>The Office assesses, at each reporting date, whether there is any indication that an asset may be impaired. Assets are also reviewed for impairment whenever events or changes in circumstances indicate that the carrying amount may not be recoverable.</w:t>
      </w:r>
    </w:p>
    <w:p w:rsidR="006C17CB" w:rsidRDefault="0030091C">
      <w:pPr>
        <w:spacing w:before="117" w:line="204" w:lineRule="auto"/>
        <w:ind w:left="757" w:right="1449"/>
        <w:jc w:val="both"/>
        <w:rPr>
          <w:rFonts w:ascii="Calibri"/>
          <w:sz w:val="20"/>
        </w:rPr>
      </w:pPr>
      <w:r>
        <w:rPr>
          <w:rFonts w:ascii="Calibri"/>
          <w:color w:val="003366"/>
          <w:sz w:val="20"/>
        </w:rPr>
        <w:t>Any resulting impairment losses are recognised as a decrease in the Asset Revaluation Surplus relating to these classes of assets. Where the impairment loss is greater than the balance in the Asset Revaluation Surplus for the relevant class of asset, the difference is expensed in the Operating Statement.</w:t>
      </w:r>
    </w:p>
    <w:p w:rsidR="006C17CB" w:rsidRDefault="006C17CB">
      <w:pPr>
        <w:spacing w:line="204" w:lineRule="auto"/>
        <w:jc w:val="both"/>
        <w:rPr>
          <w:rFonts w:ascii="Calibri"/>
          <w:sz w:val="20"/>
        </w:rPr>
        <w:sectPr w:rsidR="006C17CB">
          <w:pgSz w:w="11910" w:h="16840"/>
          <w:pgMar w:top="2120" w:right="0" w:bottom="720" w:left="980" w:header="1173" w:footer="523" w:gutter="0"/>
          <w:cols w:space="720"/>
        </w:sectPr>
      </w:pPr>
    </w:p>
    <w:p w:rsidR="006C17CB" w:rsidRDefault="006C17CB">
      <w:pPr>
        <w:pStyle w:val="BodyText"/>
        <w:rPr>
          <w:rFonts w:ascii="Calibri"/>
          <w:sz w:val="20"/>
        </w:rPr>
      </w:pPr>
    </w:p>
    <w:p w:rsidR="006C17CB" w:rsidRDefault="006C17CB">
      <w:pPr>
        <w:pStyle w:val="BodyText"/>
        <w:spacing w:before="13"/>
        <w:rPr>
          <w:rFonts w:ascii="Calibri"/>
          <w:sz w:val="16"/>
        </w:rPr>
      </w:pPr>
    </w:p>
    <w:tbl>
      <w:tblPr>
        <w:tblW w:w="0" w:type="auto"/>
        <w:tblInd w:w="707" w:type="dxa"/>
        <w:tblLayout w:type="fixed"/>
        <w:tblCellMar>
          <w:left w:w="0" w:type="dxa"/>
          <w:right w:w="0" w:type="dxa"/>
        </w:tblCellMar>
        <w:tblLook w:val="01E0" w:firstRow="1" w:lastRow="1" w:firstColumn="1" w:lastColumn="1" w:noHBand="0" w:noVBand="0"/>
      </w:tblPr>
      <w:tblGrid>
        <w:gridCol w:w="6158"/>
        <w:gridCol w:w="2714"/>
      </w:tblGrid>
      <w:tr w:rsidR="006C17CB">
        <w:trPr>
          <w:trHeight w:val="322"/>
        </w:trPr>
        <w:tc>
          <w:tcPr>
            <w:tcW w:w="6158" w:type="dxa"/>
          </w:tcPr>
          <w:p w:rsidR="006C17CB" w:rsidRDefault="0030091C">
            <w:pPr>
              <w:pStyle w:val="TableParagraph"/>
              <w:spacing w:line="244" w:lineRule="exact"/>
              <w:ind w:left="50" w:right="-29"/>
              <w:jc w:val="left"/>
              <w:rPr>
                <w:b/>
                <w:sz w:val="24"/>
              </w:rPr>
            </w:pPr>
            <w:r>
              <w:rPr>
                <w:b/>
                <w:color w:val="003366"/>
                <w:sz w:val="24"/>
              </w:rPr>
              <w:t>NOTE 13. PROPERTY, PLANT AND EQUIPMENT –</w:t>
            </w:r>
            <w:r>
              <w:rPr>
                <w:b/>
                <w:color w:val="003366"/>
                <w:spacing w:val="-21"/>
                <w:sz w:val="24"/>
              </w:rPr>
              <w:t xml:space="preserve"> </w:t>
            </w:r>
            <w:r>
              <w:rPr>
                <w:b/>
                <w:color w:val="003366"/>
                <w:sz w:val="24"/>
              </w:rPr>
              <w:t>CONTINUED</w:t>
            </w:r>
          </w:p>
        </w:tc>
        <w:tc>
          <w:tcPr>
            <w:tcW w:w="2714" w:type="dxa"/>
          </w:tcPr>
          <w:p w:rsidR="006C17CB" w:rsidRDefault="006C17CB">
            <w:pPr>
              <w:pStyle w:val="TableParagraph"/>
              <w:jc w:val="left"/>
              <w:rPr>
                <w:rFonts w:ascii="Times New Roman"/>
                <w:sz w:val="20"/>
              </w:rPr>
            </w:pPr>
          </w:p>
        </w:tc>
      </w:tr>
      <w:tr w:rsidR="006C17CB">
        <w:trPr>
          <w:trHeight w:val="569"/>
        </w:trPr>
        <w:tc>
          <w:tcPr>
            <w:tcW w:w="6158" w:type="dxa"/>
          </w:tcPr>
          <w:p w:rsidR="006C17CB" w:rsidRDefault="006C17CB">
            <w:pPr>
              <w:pStyle w:val="TableParagraph"/>
              <w:jc w:val="left"/>
              <w:rPr>
                <w:rFonts w:ascii="Times New Roman"/>
                <w:sz w:val="20"/>
              </w:rPr>
            </w:pPr>
          </w:p>
        </w:tc>
        <w:tc>
          <w:tcPr>
            <w:tcW w:w="2714" w:type="dxa"/>
          </w:tcPr>
          <w:p w:rsidR="006C17CB" w:rsidRDefault="0030091C">
            <w:pPr>
              <w:pStyle w:val="TableParagraph"/>
              <w:tabs>
                <w:tab w:val="left" w:pos="2200"/>
              </w:tabs>
              <w:spacing w:line="264" w:lineRule="exact"/>
              <w:ind w:left="804"/>
              <w:jc w:val="left"/>
              <w:rPr>
                <w:b/>
                <w:sz w:val="20"/>
              </w:rPr>
            </w:pPr>
            <w:r>
              <w:rPr>
                <w:b/>
                <w:color w:val="003366"/>
                <w:sz w:val="20"/>
              </w:rPr>
              <w:t>2018</w:t>
            </w:r>
            <w:r>
              <w:rPr>
                <w:b/>
                <w:color w:val="003366"/>
                <w:sz w:val="20"/>
              </w:rPr>
              <w:tab/>
              <w:t>2017</w:t>
            </w:r>
          </w:p>
          <w:p w:rsidR="006C17CB" w:rsidRDefault="0030091C">
            <w:pPr>
              <w:pStyle w:val="TableParagraph"/>
              <w:tabs>
                <w:tab w:val="left" w:pos="2150"/>
              </w:tabs>
              <w:spacing w:line="267" w:lineRule="exact"/>
              <w:ind w:left="753"/>
              <w:jc w:val="left"/>
              <w:rPr>
                <w:b/>
                <w:sz w:val="20"/>
              </w:rPr>
            </w:pPr>
            <w:r>
              <w:rPr>
                <w:b/>
                <w:color w:val="003366"/>
                <w:sz w:val="20"/>
              </w:rPr>
              <w:t>$’000</w:t>
            </w:r>
            <w:r>
              <w:rPr>
                <w:b/>
                <w:color w:val="003366"/>
                <w:sz w:val="20"/>
              </w:rPr>
              <w:tab/>
              <w:t>$’000</w:t>
            </w:r>
          </w:p>
        </w:tc>
      </w:tr>
      <w:tr w:rsidR="006C17CB">
        <w:trPr>
          <w:trHeight w:val="284"/>
        </w:trPr>
        <w:tc>
          <w:tcPr>
            <w:tcW w:w="6158" w:type="dxa"/>
          </w:tcPr>
          <w:p w:rsidR="006C17CB" w:rsidRDefault="0030091C">
            <w:pPr>
              <w:pStyle w:val="TableParagraph"/>
              <w:spacing w:line="246" w:lineRule="exact"/>
              <w:ind w:left="50"/>
              <w:jc w:val="left"/>
              <w:rPr>
                <w:b/>
                <w:sz w:val="20"/>
              </w:rPr>
            </w:pPr>
            <w:r>
              <w:rPr>
                <w:b/>
                <w:color w:val="003366"/>
                <w:sz w:val="20"/>
              </w:rPr>
              <w:t>Plant and Equipment</w:t>
            </w:r>
          </w:p>
        </w:tc>
        <w:tc>
          <w:tcPr>
            <w:tcW w:w="2714" w:type="dxa"/>
          </w:tcPr>
          <w:p w:rsidR="006C17CB" w:rsidRDefault="006C17CB">
            <w:pPr>
              <w:pStyle w:val="TableParagraph"/>
              <w:jc w:val="left"/>
              <w:rPr>
                <w:rFonts w:ascii="Times New Roman"/>
                <w:sz w:val="20"/>
              </w:rPr>
            </w:pPr>
          </w:p>
        </w:tc>
      </w:tr>
      <w:tr w:rsidR="006C17CB">
        <w:trPr>
          <w:trHeight w:val="284"/>
        </w:trPr>
        <w:tc>
          <w:tcPr>
            <w:tcW w:w="6158" w:type="dxa"/>
          </w:tcPr>
          <w:p w:rsidR="006C17CB" w:rsidRDefault="0030091C">
            <w:pPr>
              <w:pStyle w:val="TableParagraph"/>
              <w:spacing w:line="245" w:lineRule="exact"/>
              <w:ind w:left="50"/>
              <w:jc w:val="left"/>
              <w:rPr>
                <w:sz w:val="20"/>
              </w:rPr>
            </w:pPr>
            <w:r>
              <w:rPr>
                <w:color w:val="003366"/>
                <w:sz w:val="20"/>
              </w:rPr>
              <w:t>Plant and Equipment at Fair Value</w:t>
            </w:r>
          </w:p>
        </w:tc>
        <w:tc>
          <w:tcPr>
            <w:tcW w:w="2714" w:type="dxa"/>
          </w:tcPr>
          <w:p w:rsidR="006C17CB" w:rsidRDefault="0030091C">
            <w:pPr>
              <w:pStyle w:val="TableParagraph"/>
              <w:tabs>
                <w:tab w:val="left" w:pos="1396"/>
              </w:tabs>
              <w:spacing w:line="245" w:lineRule="exact"/>
              <w:ind w:right="108"/>
              <w:rPr>
                <w:sz w:val="20"/>
              </w:rPr>
            </w:pPr>
            <w:r>
              <w:rPr>
                <w:color w:val="003366"/>
                <w:sz w:val="20"/>
              </w:rPr>
              <w:t>966</w:t>
            </w:r>
            <w:r>
              <w:rPr>
                <w:color w:val="003366"/>
                <w:sz w:val="20"/>
              </w:rPr>
              <w:tab/>
            </w:r>
            <w:r>
              <w:rPr>
                <w:color w:val="003366"/>
                <w:spacing w:val="-2"/>
                <w:sz w:val="20"/>
              </w:rPr>
              <w:t>975</w:t>
            </w:r>
          </w:p>
        </w:tc>
      </w:tr>
      <w:tr w:rsidR="006C17CB">
        <w:trPr>
          <w:trHeight w:val="289"/>
        </w:trPr>
        <w:tc>
          <w:tcPr>
            <w:tcW w:w="6158" w:type="dxa"/>
          </w:tcPr>
          <w:p w:rsidR="006C17CB" w:rsidRDefault="0030091C">
            <w:pPr>
              <w:pStyle w:val="TableParagraph"/>
              <w:spacing w:line="246" w:lineRule="exact"/>
              <w:ind w:left="50"/>
              <w:jc w:val="left"/>
              <w:rPr>
                <w:sz w:val="20"/>
              </w:rPr>
            </w:pPr>
            <w:r>
              <w:rPr>
                <w:color w:val="003366"/>
                <w:sz w:val="20"/>
              </w:rPr>
              <w:t>Less: Accumulated Depreciation</w:t>
            </w:r>
          </w:p>
        </w:tc>
        <w:tc>
          <w:tcPr>
            <w:tcW w:w="2714" w:type="dxa"/>
          </w:tcPr>
          <w:p w:rsidR="006C17CB" w:rsidRDefault="0030091C">
            <w:pPr>
              <w:pStyle w:val="TableParagraph"/>
              <w:tabs>
                <w:tab w:val="left" w:pos="784"/>
                <w:tab w:val="left" w:pos="2543"/>
              </w:tabs>
              <w:spacing w:line="246" w:lineRule="exact"/>
              <w:ind w:right="-15"/>
              <w:rPr>
                <w:sz w:val="20"/>
              </w:rPr>
            </w:pPr>
            <w:r>
              <w:rPr>
                <w:color w:val="003366"/>
                <w:w w:val="99"/>
                <w:sz w:val="20"/>
                <w:u w:val="single" w:color="000000"/>
              </w:rPr>
              <w:t xml:space="preserve"> </w:t>
            </w:r>
            <w:r>
              <w:rPr>
                <w:color w:val="003366"/>
                <w:sz w:val="20"/>
                <w:u w:val="single" w:color="000000"/>
              </w:rPr>
              <w:tab/>
              <w:t>(141)</w:t>
            </w:r>
            <w:r>
              <w:rPr>
                <w:color w:val="003366"/>
                <w:sz w:val="20"/>
                <w:u w:val="single" w:color="000000"/>
              </w:rPr>
              <w:tab/>
            </w:r>
            <w:r>
              <w:rPr>
                <w:color w:val="003366"/>
                <w:w w:val="95"/>
                <w:sz w:val="20"/>
                <w:u w:val="single" w:color="000000"/>
              </w:rPr>
              <w:t>-</w:t>
            </w:r>
            <w:r>
              <w:rPr>
                <w:color w:val="003366"/>
                <w:spacing w:val="17"/>
                <w:sz w:val="20"/>
                <w:u w:val="single" w:color="000000"/>
              </w:rPr>
              <w:t xml:space="preserve"> </w:t>
            </w:r>
          </w:p>
        </w:tc>
      </w:tr>
      <w:tr w:rsidR="006C17CB">
        <w:trPr>
          <w:trHeight w:val="289"/>
        </w:trPr>
        <w:tc>
          <w:tcPr>
            <w:tcW w:w="6158" w:type="dxa"/>
          </w:tcPr>
          <w:p w:rsidR="006C17CB" w:rsidRDefault="006C17CB">
            <w:pPr>
              <w:pStyle w:val="TableParagraph"/>
              <w:jc w:val="left"/>
              <w:rPr>
                <w:rFonts w:ascii="Times New Roman"/>
                <w:sz w:val="20"/>
              </w:rPr>
            </w:pPr>
          </w:p>
        </w:tc>
        <w:tc>
          <w:tcPr>
            <w:tcW w:w="2714" w:type="dxa"/>
          </w:tcPr>
          <w:p w:rsidR="006C17CB" w:rsidRDefault="0030091C">
            <w:pPr>
              <w:pStyle w:val="TableParagraph"/>
              <w:tabs>
                <w:tab w:val="left" w:pos="1396"/>
              </w:tabs>
              <w:spacing w:line="250" w:lineRule="exact"/>
              <w:ind w:right="108"/>
              <w:rPr>
                <w:sz w:val="20"/>
              </w:rPr>
            </w:pPr>
            <w:r>
              <w:rPr>
                <w:color w:val="003366"/>
                <w:sz w:val="20"/>
              </w:rPr>
              <w:t>825</w:t>
            </w:r>
            <w:r>
              <w:rPr>
                <w:color w:val="003366"/>
                <w:sz w:val="20"/>
              </w:rPr>
              <w:tab/>
            </w:r>
            <w:r>
              <w:rPr>
                <w:color w:val="003366"/>
                <w:spacing w:val="-2"/>
                <w:sz w:val="20"/>
              </w:rPr>
              <w:t>975</w:t>
            </w:r>
          </w:p>
        </w:tc>
      </w:tr>
      <w:tr w:rsidR="006C17CB">
        <w:trPr>
          <w:trHeight w:val="289"/>
        </w:trPr>
        <w:tc>
          <w:tcPr>
            <w:tcW w:w="6158" w:type="dxa"/>
          </w:tcPr>
          <w:p w:rsidR="006C17CB" w:rsidRDefault="0030091C">
            <w:pPr>
              <w:pStyle w:val="TableParagraph"/>
              <w:spacing w:line="246" w:lineRule="exact"/>
              <w:ind w:left="50"/>
              <w:jc w:val="left"/>
              <w:rPr>
                <w:sz w:val="20"/>
              </w:rPr>
            </w:pPr>
            <w:r>
              <w:rPr>
                <w:color w:val="003366"/>
                <w:sz w:val="20"/>
              </w:rPr>
              <w:t>Plant and Equipment at Cost</w:t>
            </w:r>
          </w:p>
        </w:tc>
        <w:tc>
          <w:tcPr>
            <w:tcW w:w="2714" w:type="dxa"/>
          </w:tcPr>
          <w:p w:rsidR="006C17CB" w:rsidRDefault="0030091C">
            <w:pPr>
              <w:pStyle w:val="TableParagraph"/>
              <w:tabs>
                <w:tab w:val="left" w:pos="904"/>
                <w:tab w:val="left" w:pos="2543"/>
              </w:tabs>
              <w:spacing w:line="246" w:lineRule="exact"/>
              <w:ind w:right="-15"/>
              <w:rPr>
                <w:sz w:val="20"/>
              </w:rPr>
            </w:pPr>
            <w:r>
              <w:rPr>
                <w:color w:val="003366"/>
                <w:w w:val="99"/>
                <w:sz w:val="20"/>
                <w:u w:val="single" w:color="003366"/>
              </w:rPr>
              <w:t xml:space="preserve"> </w:t>
            </w:r>
            <w:r>
              <w:rPr>
                <w:color w:val="003366"/>
                <w:sz w:val="20"/>
                <w:u w:val="single" w:color="003366"/>
              </w:rPr>
              <w:tab/>
              <w:t>128</w:t>
            </w:r>
            <w:r>
              <w:rPr>
                <w:color w:val="003366"/>
                <w:sz w:val="20"/>
                <w:u w:val="single" w:color="003366"/>
              </w:rPr>
              <w:tab/>
            </w:r>
            <w:r>
              <w:rPr>
                <w:color w:val="003366"/>
                <w:w w:val="95"/>
                <w:sz w:val="20"/>
                <w:u w:val="single" w:color="003366"/>
              </w:rPr>
              <w:t>-</w:t>
            </w:r>
            <w:r>
              <w:rPr>
                <w:color w:val="003366"/>
                <w:spacing w:val="17"/>
                <w:sz w:val="20"/>
                <w:u w:val="single" w:color="003366"/>
              </w:rPr>
              <w:t xml:space="preserve"> </w:t>
            </w:r>
          </w:p>
        </w:tc>
      </w:tr>
      <w:tr w:rsidR="006C17CB">
        <w:trPr>
          <w:trHeight w:val="435"/>
        </w:trPr>
        <w:tc>
          <w:tcPr>
            <w:tcW w:w="6158" w:type="dxa"/>
          </w:tcPr>
          <w:p w:rsidR="006C17CB" w:rsidRDefault="006C17CB">
            <w:pPr>
              <w:pStyle w:val="TableParagraph"/>
              <w:jc w:val="left"/>
              <w:rPr>
                <w:rFonts w:ascii="Times New Roman"/>
                <w:sz w:val="20"/>
              </w:rPr>
            </w:pPr>
          </w:p>
        </w:tc>
        <w:tc>
          <w:tcPr>
            <w:tcW w:w="2714" w:type="dxa"/>
          </w:tcPr>
          <w:p w:rsidR="006C17CB" w:rsidRDefault="0030091C">
            <w:pPr>
              <w:pStyle w:val="TableParagraph"/>
              <w:tabs>
                <w:tab w:val="left" w:pos="904"/>
                <w:tab w:val="left" w:pos="2301"/>
              </w:tabs>
              <w:spacing w:line="250" w:lineRule="exact"/>
              <w:ind w:right="-15"/>
              <w:rPr>
                <w:b/>
                <w:sz w:val="20"/>
              </w:rPr>
            </w:pPr>
            <w:r>
              <w:rPr>
                <w:b/>
                <w:color w:val="003366"/>
                <w:w w:val="99"/>
                <w:sz w:val="20"/>
                <w:u w:val="single" w:color="003366"/>
              </w:rPr>
              <w:t xml:space="preserve"> </w:t>
            </w:r>
            <w:r>
              <w:rPr>
                <w:b/>
                <w:color w:val="003366"/>
                <w:sz w:val="20"/>
                <w:u w:val="single" w:color="003366"/>
              </w:rPr>
              <w:tab/>
              <w:t>953</w:t>
            </w:r>
            <w:r>
              <w:rPr>
                <w:b/>
                <w:color w:val="003366"/>
                <w:sz w:val="20"/>
                <w:u w:val="single" w:color="003366"/>
              </w:rPr>
              <w:tab/>
            </w:r>
            <w:r>
              <w:rPr>
                <w:b/>
                <w:color w:val="003366"/>
                <w:spacing w:val="-1"/>
                <w:w w:val="95"/>
                <w:sz w:val="20"/>
                <w:u w:val="single" w:color="003366"/>
              </w:rPr>
              <w:t>975</w:t>
            </w:r>
            <w:r>
              <w:rPr>
                <w:b/>
                <w:color w:val="003366"/>
                <w:spacing w:val="18"/>
                <w:sz w:val="20"/>
                <w:u w:val="single" w:color="003366"/>
              </w:rPr>
              <w:t xml:space="preserve"> </w:t>
            </w:r>
          </w:p>
        </w:tc>
      </w:tr>
      <w:tr w:rsidR="006C17CB">
        <w:trPr>
          <w:trHeight w:val="430"/>
        </w:trPr>
        <w:tc>
          <w:tcPr>
            <w:tcW w:w="6158" w:type="dxa"/>
          </w:tcPr>
          <w:p w:rsidR="006C17CB" w:rsidRDefault="0030091C">
            <w:pPr>
              <w:pStyle w:val="TableParagraph"/>
              <w:spacing w:before="104"/>
              <w:ind w:left="50"/>
              <w:jc w:val="left"/>
              <w:rPr>
                <w:sz w:val="20"/>
              </w:rPr>
            </w:pPr>
            <w:r>
              <w:rPr>
                <w:color w:val="003366"/>
                <w:sz w:val="20"/>
              </w:rPr>
              <w:t>Leasehold improvements at Fair Value</w:t>
            </w:r>
          </w:p>
        </w:tc>
        <w:tc>
          <w:tcPr>
            <w:tcW w:w="2714" w:type="dxa"/>
          </w:tcPr>
          <w:p w:rsidR="006C17CB" w:rsidRDefault="0030091C">
            <w:pPr>
              <w:pStyle w:val="TableParagraph"/>
              <w:tabs>
                <w:tab w:val="left" w:pos="1396"/>
              </w:tabs>
              <w:spacing w:before="104"/>
              <w:ind w:right="108"/>
              <w:rPr>
                <w:sz w:val="20"/>
              </w:rPr>
            </w:pPr>
            <w:r>
              <w:rPr>
                <w:color w:val="003366"/>
                <w:sz w:val="20"/>
              </w:rPr>
              <w:t>1,197</w:t>
            </w:r>
            <w:r>
              <w:rPr>
                <w:color w:val="003366"/>
                <w:sz w:val="20"/>
              </w:rPr>
              <w:tab/>
            </w:r>
            <w:r>
              <w:rPr>
                <w:color w:val="003366"/>
                <w:spacing w:val="-1"/>
                <w:w w:val="95"/>
                <w:sz w:val="20"/>
              </w:rPr>
              <w:t>1,197</w:t>
            </w:r>
          </w:p>
        </w:tc>
      </w:tr>
      <w:tr w:rsidR="006C17CB">
        <w:trPr>
          <w:trHeight w:val="289"/>
        </w:trPr>
        <w:tc>
          <w:tcPr>
            <w:tcW w:w="6158" w:type="dxa"/>
          </w:tcPr>
          <w:p w:rsidR="006C17CB" w:rsidRDefault="0030091C">
            <w:pPr>
              <w:pStyle w:val="TableParagraph"/>
              <w:spacing w:line="245" w:lineRule="exact"/>
              <w:ind w:left="50"/>
              <w:jc w:val="left"/>
              <w:rPr>
                <w:sz w:val="20"/>
              </w:rPr>
            </w:pPr>
            <w:r>
              <w:rPr>
                <w:color w:val="003366"/>
                <w:sz w:val="20"/>
              </w:rPr>
              <w:t>Less: Accumulated Depreciation</w:t>
            </w:r>
          </w:p>
        </w:tc>
        <w:tc>
          <w:tcPr>
            <w:tcW w:w="2714" w:type="dxa"/>
          </w:tcPr>
          <w:p w:rsidR="006C17CB" w:rsidRDefault="0030091C">
            <w:pPr>
              <w:pStyle w:val="TableParagraph"/>
              <w:tabs>
                <w:tab w:val="left" w:pos="784"/>
                <w:tab w:val="left" w:pos="2543"/>
              </w:tabs>
              <w:spacing w:line="245" w:lineRule="exact"/>
              <w:ind w:right="-15"/>
              <w:rPr>
                <w:sz w:val="20"/>
              </w:rPr>
            </w:pPr>
            <w:r>
              <w:rPr>
                <w:color w:val="003366"/>
                <w:w w:val="99"/>
                <w:sz w:val="20"/>
                <w:u w:val="single" w:color="003366"/>
              </w:rPr>
              <w:t xml:space="preserve"> </w:t>
            </w:r>
            <w:r>
              <w:rPr>
                <w:color w:val="003366"/>
                <w:sz w:val="20"/>
                <w:u w:val="single" w:color="003366"/>
              </w:rPr>
              <w:tab/>
              <w:t>(150)</w:t>
            </w:r>
            <w:r>
              <w:rPr>
                <w:color w:val="003366"/>
                <w:sz w:val="20"/>
                <w:u w:val="single" w:color="003366"/>
              </w:rPr>
              <w:tab/>
            </w:r>
            <w:r>
              <w:rPr>
                <w:color w:val="003366"/>
                <w:w w:val="95"/>
                <w:sz w:val="20"/>
                <w:u w:val="single" w:color="003366"/>
              </w:rPr>
              <w:t>-</w:t>
            </w:r>
            <w:r>
              <w:rPr>
                <w:color w:val="003366"/>
                <w:spacing w:val="17"/>
                <w:sz w:val="20"/>
                <w:u w:val="single" w:color="003366"/>
              </w:rPr>
              <w:t xml:space="preserve"> </w:t>
            </w:r>
          </w:p>
        </w:tc>
      </w:tr>
      <w:tr w:rsidR="006C17CB">
        <w:trPr>
          <w:trHeight w:val="545"/>
        </w:trPr>
        <w:tc>
          <w:tcPr>
            <w:tcW w:w="6158" w:type="dxa"/>
          </w:tcPr>
          <w:p w:rsidR="006C17CB" w:rsidRDefault="006C17CB">
            <w:pPr>
              <w:pStyle w:val="TableParagraph"/>
              <w:jc w:val="left"/>
              <w:rPr>
                <w:rFonts w:ascii="Times New Roman"/>
                <w:sz w:val="20"/>
              </w:rPr>
            </w:pPr>
          </w:p>
        </w:tc>
        <w:tc>
          <w:tcPr>
            <w:tcW w:w="2714" w:type="dxa"/>
            <w:tcBorders>
              <w:bottom w:val="single" w:sz="4" w:space="0" w:color="003366"/>
            </w:tcBorders>
          </w:tcPr>
          <w:p w:rsidR="006C17CB" w:rsidRDefault="0030091C">
            <w:pPr>
              <w:pStyle w:val="TableParagraph"/>
              <w:tabs>
                <w:tab w:val="left" w:pos="753"/>
                <w:tab w:val="left" w:pos="2150"/>
              </w:tabs>
              <w:spacing w:line="251" w:lineRule="exact"/>
              <w:ind w:right="-15"/>
              <w:rPr>
                <w:b/>
                <w:sz w:val="20"/>
              </w:rPr>
            </w:pPr>
            <w:r>
              <w:rPr>
                <w:b/>
                <w:color w:val="003366"/>
                <w:w w:val="99"/>
                <w:sz w:val="20"/>
                <w:u w:val="single" w:color="003366"/>
              </w:rPr>
              <w:t xml:space="preserve"> </w:t>
            </w:r>
            <w:r>
              <w:rPr>
                <w:b/>
                <w:color w:val="003366"/>
                <w:sz w:val="20"/>
                <w:u w:val="single" w:color="003366"/>
              </w:rPr>
              <w:tab/>
              <w:t>1,047</w:t>
            </w:r>
            <w:r>
              <w:rPr>
                <w:b/>
                <w:color w:val="003366"/>
                <w:sz w:val="20"/>
                <w:u w:val="single" w:color="003366"/>
              </w:rPr>
              <w:tab/>
            </w:r>
            <w:r>
              <w:rPr>
                <w:b/>
                <w:color w:val="003366"/>
                <w:spacing w:val="-1"/>
                <w:w w:val="95"/>
                <w:sz w:val="20"/>
                <w:u w:val="single" w:color="003366"/>
              </w:rPr>
              <w:t>1,197</w:t>
            </w:r>
            <w:r>
              <w:rPr>
                <w:b/>
                <w:color w:val="003366"/>
                <w:spacing w:val="18"/>
                <w:sz w:val="20"/>
                <w:u w:val="single" w:color="003366"/>
              </w:rPr>
              <w:t xml:space="preserve"> </w:t>
            </w:r>
          </w:p>
        </w:tc>
      </w:tr>
      <w:tr w:rsidR="006C17CB">
        <w:trPr>
          <w:trHeight w:val="469"/>
        </w:trPr>
        <w:tc>
          <w:tcPr>
            <w:tcW w:w="6158" w:type="dxa"/>
          </w:tcPr>
          <w:p w:rsidR="006C17CB" w:rsidRDefault="0030091C">
            <w:pPr>
              <w:pStyle w:val="TableParagraph"/>
              <w:spacing w:line="284" w:lineRule="exact"/>
              <w:ind w:left="50"/>
              <w:jc w:val="left"/>
              <w:rPr>
                <w:b/>
                <w:sz w:val="20"/>
              </w:rPr>
            </w:pPr>
            <w:r>
              <w:rPr>
                <w:b/>
                <w:color w:val="003366"/>
                <w:sz w:val="20"/>
              </w:rPr>
              <w:t>Total Written Down Value of Plant and Equipment</w:t>
            </w:r>
          </w:p>
        </w:tc>
        <w:tc>
          <w:tcPr>
            <w:tcW w:w="2714" w:type="dxa"/>
            <w:tcBorders>
              <w:top w:val="single" w:sz="4" w:space="0" w:color="003366"/>
            </w:tcBorders>
          </w:tcPr>
          <w:p w:rsidR="006C17CB" w:rsidRDefault="0030091C">
            <w:pPr>
              <w:pStyle w:val="TableParagraph"/>
              <w:tabs>
                <w:tab w:val="left" w:pos="753"/>
                <w:tab w:val="left" w:pos="2150"/>
              </w:tabs>
              <w:spacing w:line="284" w:lineRule="exact"/>
              <w:ind w:right="-15"/>
              <w:rPr>
                <w:b/>
                <w:sz w:val="20"/>
              </w:rPr>
            </w:pPr>
            <w:r>
              <w:rPr>
                <w:b/>
                <w:color w:val="003366"/>
                <w:w w:val="99"/>
                <w:sz w:val="20"/>
                <w:u w:val="single" w:color="003366"/>
              </w:rPr>
              <w:t xml:space="preserve"> </w:t>
            </w:r>
            <w:r>
              <w:rPr>
                <w:b/>
                <w:color w:val="003366"/>
                <w:sz w:val="20"/>
                <w:u w:val="single" w:color="003366"/>
              </w:rPr>
              <w:tab/>
              <w:t>2,000</w:t>
            </w:r>
            <w:r>
              <w:rPr>
                <w:b/>
                <w:color w:val="003366"/>
                <w:sz w:val="20"/>
                <w:u w:val="single" w:color="003366"/>
              </w:rPr>
              <w:tab/>
            </w:r>
            <w:r>
              <w:rPr>
                <w:b/>
                <w:color w:val="003366"/>
                <w:spacing w:val="-1"/>
                <w:w w:val="95"/>
                <w:sz w:val="20"/>
                <w:u w:val="single" w:color="003366"/>
              </w:rPr>
              <w:t>2,172</w:t>
            </w:r>
            <w:r>
              <w:rPr>
                <w:b/>
                <w:color w:val="003366"/>
                <w:spacing w:val="18"/>
                <w:sz w:val="20"/>
                <w:u w:val="single" w:color="003366"/>
              </w:rPr>
              <w:t xml:space="preserve"> </w:t>
            </w:r>
          </w:p>
        </w:tc>
      </w:tr>
      <w:tr w:rsidR="006C17CB">
        <w:trPr>
          <w:trHeight w:val="430"/>
        </w:trPr>
        <w:tc>
          <w:tcPr>
            <w:tcW w:w="6158" w:type="dxa"/>
          </w:tcPr>
          <w:p w:rsidR="006C17CB" w:rsidRDefault="0030091C">
            <w:pPr>
              <w:pStyle w:val="TableParagraph"/>
              <w:spacing w:before="104"/>
              <w:ind w:left="50"/>
              <w:jc w:val="left"/>
              <w:rPr>
                <w:b/>
                <w:sz w:val="20"/>
              </w:rPr>
            </w:pPr>
            <w:r>
              <w:rPr>
                <w:b/>
                <w:color w:val="003366"/>
                <w:sz w:val="20"/>
              </w:rPr>
              <w:t>Heritage Assets</w:t>
            </w:r>
          </w:p>
        </w:tc>
        <w:tc>
          <w:tcPr>
            <w:tcW w:w="2714" w:type="dxa"/>
          </w:tcPr>
          <w:p w:rsidR="006C17CB" w:rsidRDefault="006C17CB">
            <w:pPr>
              <w:pStyle w:val="TableParagraph"/>
              <w:jc w:val="left"/>
              <w:rPr>
                <w:rFonts w:ascii="Times New Roman"/>
                <w:sz w:val="20"/>
              </w:rPr>
            </w:pPr>
          </w:p>
        </w:tc>
      </w:tr>
      <w:tr w:rsidR="006C17CB">
        <w:trPr>
          <w:trHeight w:val="284"/>
        </w:trPr>
        <w:tc>
          <w:tcPr>
            <w:tcW w:w="6158" w:type="dxa"/>
          </w:tcPr>
          <w:p w:rsidR="006C17CB" w:rsidRDefault="0030091C">
            <w:pPr>
              <w:pStyle w:val="TableParagraph"/>
              <w:spacing w:line="245" w:lineRule="exact"/>
              <w:ind w:left="50"/>
              <w:jc w:val="left"/>
              <w:rPr>
                <w:sz w:val="20"/>
              </w:rPr>
            </w:pPr>
            <w:r>
              <w:rPr>
                <w:color w:val="003366"/>
                <w:sz w:val="20"/>
              </w:rPr>
              <w:t>Artwork at Fair Value</w:t>
            </w:r>
          </w:p>
        </w:tc>
        <w:tc>
          <w:tcPr>
            <w:tcW w:w="2714" w:type="dxa"/>
          </w:tcPr>
          <w:p w:rsidR="006C17CB" w:rsidRDefault="0030091C">
            <w:pPr>
              <w:pStyle w:val="TableParagraph"/>
              <w:tabs>
                <w:tab w:val="left" w:pos="1396"/>
              </w:tabs>
              <w:spacing w:line="245" w:lineRule="exact"/>
              <w:ind w:right="108"/>
              <w:rPr>
                <w:sz w:val="20"/>
              </w:rPr>
            </w:pPr>
            <w:r>
              <w:rPr>
                <w:color w:val="003366"/>
                <w:sz w:val="20"/>
              </w:rPr>
              <w:t>719</w:t>
            </w:r>
            <w:r>
              <w:rPr>
                <w:color w:val="003366"/>
                <w:sz w:val="20"/>
              </w:rPr>
              <w:tab/>
            </w:r>
            <w:r>
              <w:rPr>
                <w:color w:val="003366"/>
                <w:spacing w:val="-2"/>
                <w:sz w:val="20"/>
              </w:rPr>
              <w:t>694</w:t>
            </w:r>
          </w:p>
        </w:tc>
      </w:tr>
      <w:tr w:rsidR="006C17CB">
        <w:trPr>
          <w:trHeight w:val="284"/>
        </w:trPr>
        <w:tc>
          <w:tcPr>
            <w:tcW w:w="6158" w:type="dxa"/>
          </w:tcPr>
          <w:p w:rsidR="006C17CB" w:rsidRDefault="0030091C">
            <w:pPr>
              <w:pStyle w:val="TableParagraph"/>
              <w:spacing w:line="246" w:lineRule="exact"/>
              <w:ind w:left="50"/>
              <w:jc w:val="left"/>
              <w:rPr>
                <w:sz w:val="20"/>
              </w:rPr>
            </w:pPr>
            <w:r>
              <w:rPr>
                <w:color w:val="003366"/>
                <w:sz w:val="20"/>
              </w:rPr>
              <w:t>Library Collection at Fair Value</w:t>
            </w:r>
          </w:p>
        </w:tc>
        <w:tc>
          <w:tcPr>
            <w:tcW w:w="2714" w:type="dxa"/>
          </w:tcPr>
          <w:p w:rsidR="006C17CB" w:rsidRDefault="0030091C">
            <w:pPr>
              <w:pStyle w:val="TableParagraph"/>
              <w:tabs>
                <w:tab w:val="left" w:pos="1396"/>
              </w:tabs>
              <w:spacing w:line="246" w:lineRule="exact"/>
              <w:ind w:right="108"/>
              <w:rPr>
                <w:sz w:val="20"/>
              </w:rPr>
            </w:pPr>
            <w:r>
              <w:rPr>
                <w:color w:val="003366"/>
                <w:sz w:val="20"/>
              </w:rPr>
              <w:t>667</w:t>
            </w:r>
            <w:r>
              <w:rPr>
                <w:color w:val="003366"/>
                <w:sz w:val="20"/>
              </w:rPr>
              <w:tab/>
            </w:r>
            <w:r>
              <w:rPr>
                <w:color w:val="003366"/>
                <w:spacing w:val="-2"/>
                <w:sz w:val="20"/>
              </w:rPr>
              <w:t>662</w:t>
            </w:r>
          </w:p>
        </w:tc>
      </w:tr>
      <w:tr w:rsidR="006C17CB">
        <w:trPr>
          <w:trHeight w:val="289"/>
        </w:trPr>
        <w:tc>
          <w:tcPr>
            <w:tcW w:w="6158" w:type="dxa"/>
          </w:tcPr>
          <w:p w:rsidR="006C17CB" w:rsidRDefault="0030091C">
            <w:pPr>
              <w:pStyle w:val="TableParagraph"/>
              <w:spacing w:line="245" w:lineRule="exact"/>
              <w:ind w:left="50"/>
              <w:jc w:val="left"/>
              <w:rPr>
                <w:sz w:val="20"/>
              </w:rPr>
            </w:pPr>
            <w:r>
              <w:rPr>
                <w:color w:val="003366"/>
                <w:sz w:val="20"/>
              </w:rPr>
              <w:t>Other Collectables at Fair Value</w:t>
            </w:r>
          </w:p>
        </w:tc>
        <w:tc>
          <w:tcPr>
            <w:tcW w:w="2714" w:type="dxa"/>
          </w:tcPr>
          <w:p w:rsidR="006C17CB" w:rsidRDefault="0030091C">
            <w:pPr>
              <w:pStyle w:val="TableParagraph"/>
              <w:tabs>
                <w:tab w:val="left" w:pos="1007"/>
                <w:tab w:val="left" w:pos="2404"/>
              </w:tabs>
              <w:spacing w:line="245" w:lineRule="exact"/>
              <w:ind w:right="-15"/>
              <w:rPr>
                <w:sz w:val="20"/>
              </w:rPr>
            </w:pPr>
            <w:r>
              <w:rPr>
                <w:color w:val="003366"/>
                <w:w w:val="99"/>
                <w:sz w:val="20"/>
                <w:u w:val="single" w:color="003366"/>
              </w:rPr>
              <w:t xml:space="preserve"> </w:t>
            </w:r>
            <w:r>
              <w:rPr>
                <w:color w:val="003366"/>
                <w:sz w:val="20"/>
                <w:u w:val="single" w:color="003366"/>
              </w:rPr>
              <w:tab/>
              <w:t>36</w:t>
            </w:r>
            <w:r>
              <w:rPr>
                <w:color w:val="003366"/>
                <w:sz w:val="20"/>
                <w:u w:val="single" w:color="003366"/>
              </w:rPr>
              <w:tab/>
            </w:r>
            <w:r>
              <w:rPr>
                <w:color w:val="003366"/>
                <w:spacing w:val="-1"/>
                <w:sz w:val="20"/>
                <w:u w:val="single" w:color="003366"/>
              </w:rPr>
              <w:t>36</w:t>
            </w:r>
            <w:r>
              <w:rPr>
                <w:color w:val="003366"/>
                <w:spacing w:val="16"/>
                <w:sz w:val="20"/>
                <w:u w:val="single" w:color="003366"/>
              </w:rPr>
              <w:t xml:space="preserve"> </w:t>
            </w:r>
          </w:p>
        </w:tc>
      </w:tr>
      <w:tr w:rsidR="006C17CB">
        <w:trPr>
          <w:trHeight w:val="593"/>
        </w:trPr>
        <w:tc>
          <w:tcPr>
            <w:tcW w:w="6158" w:type="dxa"/>
          </w:tcPr>
          <w:p w:rsidR="006C17CB" w:rsidRDefault="0030091C">
            <w:pPr>
              <w:pStyle w:val="TableParagraph"/>
              <w:spacing w:line="251" w:lineRule="exact"/>
              <w:ind w:left="50"/>
              <w:jc w:val="left"/>
              <w:rPr>
                <w:b/>
                <w:sz w:val="20"/>
              </w:rPr>
            </w:pPr>
            <w:r>
              <w:rPr>
                <w:b/>
                <w:color w:val="003366"/>
                <w:sz w:val="20"/>
              </w:rPr>
              <w:t>Total Written Down Value of Heritage Assets</w:t>
            </w:r>
          </w:p>
        </w:tc>
        <w:tc>
          <w:tcPr>
            <w:tcW w:w="2714" w:type="dxa"/>
            <w:tcBorders>
              <w:bottom w:val="single" w:sz="4" w:space="0" w:color="003366"/>
            </w:tcBorders>
          </w:tcPr>
          <w:p w:rsidR="006C17CB" w:rsidRDefault="0030091C">
            <w:pPr>
              <w:pStyle w:val="TableParagraph"/>
              <w:tabs>
                <w:tab w:val="left" w:pos="753"/>
                <w:tab w:val="left" w:pos="2150"/>
              </w:tabs>
              <w:spacing w:line="251" w:lineRule="exact"/>
              <w:ind w:right="-15"/>
              <w:rPr>
                <w:b/>
                <w:sz w:val="20"/>
              </w:rPr>
            </w:pPr>
            <w:r>
              <w:rPr>
                <w:b/>
                <w:color w:val="003366"/>
                <w:w w:val="99"/>
                <w:sz w:val="20"/>
                <w:u w:val="single" w:color="003366"/>
              </w:rPr>
              <w:t xml:space="preserve"> </w:t>
            </w:r>
            <w:r>
              <w:rPr>
                <w:b/>
                <w:color w:val="003366"/>
                <w:sz w:val="20"/>
                <w:u w:val="single" w:color="003366"/>
              </w:rPr>
              <w:tab/>
              <w:t>1,422</w:t>
            </w:r>
            <w:r>
              <w:rPr>
                <w:b/>
                <w:color w:val="003366"/>
                <w:sz w:val="20"/>
                <w:u w:val="single" w:color="003366"/>
              </w:rPr>
              <w:tab/>
            </w:r>
            <w:r>
              <w:rPr>
                <w:b/>
                <w:color w:val="003366"/>
                <w:spacing w:val="-1"/>
                <w:w w:val="95"/>
                <w:sz w:val="20"/>
                <w:u w:val="single" w:color="003366"/>
              </w:rPr>
              <w:t>1,392</w:t>
            </w:r>
            <w:r>
              <w:rPr>
                <w:b/>
                <w:color w:val="003366"/>
                <w:spacing w:val="18"/>
                <w:sz w:val="20"/>
                <w:u w:val="single" w:color="003366"/>
              </w:rPr>
              <w:t xml:space="preserve"> </w:t>
            </w:r>
          </w:p>
        </w:tc>
      </w:tr>
      <w:tr w:rsidR="006C17CB">
        <w:trPr>
          <w:trHeight w:val="284"/>
        </w:trPr>
        <w:tc>
          <w:tcPr>
            <w:tcW w:w="6158" w:type="dxa"/>
          </w:tcPr>
          <w:p w:rsidR="006C17CB" w:rsidRDefault="0030091C">
            <w:pPr>
              <w:pStyle w:val="TableParagraph"/>
              <w:spacing w:line="265" w:lineRule="exact"/>
              <w:ind w:left="50"/>
              <w:jc w:val="left"/>
              <w:rPr>
                <w:b/>
                <w:sz w:val="20"/>
              </w:rPr>
            </w:pPr>
            <w:r>
              <w:rPr>
                <w:b/>
                <w:color w:val="003366"/>
                <w:sz w:val="20"/>
              </w:rPr>
              <w:t>Total Written Down Value of Property, Plant and Equipment</w:t>
            </w:r>
          </w:p>
        </w:tc>
        <w:tc>
          <w:tcPr>
            <w:tcW w:w="2714" w:type="dxa"/>
            <w:tcBorders>
              <w:top w:val="single" w:sz="4" w:space="0" w:color="003366"/>
              <w:bottom w:val="double" w:sz="1" w:space="0" w:color="003366"/>
            </w:tcBorders>
          </w:tcPr>
          <w:p w:rsidR="006C17CB" w:rsidRDefault="0030091C">
            <w:pPr>
              <w:pStyle w:val="TableParagraph"/>
              <w:tabs>
                <w:tab w:val="left" w:pos="1396"/>
              </w:tabs>
              <w:spacing w:line="265" w:lineRule="exact"/>
              <w:ind w:right="108"/>
              <w:rPr>
                <w:b/>
                <w:sz w:val="20"/>
              </w:rPr>
            </w:pPr>
            <w:r>
              <w:rPr>
                <w:b/>
                <w:color w:val="003366"/>
                <w:sz w:val="20"/>
              </w:rPr>
              <w:t>3,422</w:t>
            </w:r>
            <w:r>
              <w:rPr>
                <w:b/>
                <w:color w:val="003366"/>
                <w:sz w:val="20"/>
              </w:rPr>
              <w:tab/>
            </w:r>
            <w:r>
              <w:rPr>
                <w:b/>
                <w:color w:val="003366"/>
                <w:spacing w:val="-2"/>
                <w:sz w:val="20"/>
              </w:rPr>
              <w:t>3,564</w:t>
            </w:r>
          </w:p>
        </w:tc>
      </w:tr>
      <w:tr w:rsidR="006C17CB">
        <w:trPr>
          <w:trHeight w:val="579"/>
        </w:trPr>
        <w:tc>
          <w:tcPr>
            <w:tcW w:w="6158" w:type="dxa"/>
          </w:tcPr>
          <w:p w:rsidR="006C17CB" w:rsidRDefault="006C17CB">
            <w:pPr>
              <w:pStyle w:val="TableParagraph"/>
              <w:spacing w:before="6"/>
              <w:jc w:val="left"/>
              <w:rPr>
                <w:sz w:val="20"/>
              </w:rPr>
            </w:pPr>
          </w:p>
          <w:p w:rsidR="006C17CB" w:rsidRDefault="0030091C">
            <w:pPr>
              <w:pStyle w:val="TableParagraph"/>
              <w:spacing w:before="1" w:line="264" w:lineRule="exact"/>
              <w:ind w:left="50"/>
              <w:jc w:val="left"/>
              <w:rPr>
                <w:b/>
                <w:sz w:val="20"/>
              </w:rPr>
            </w:pPr>
            <w:r>
              <w:rPr>
                <w:b/>
                <w:color w:val="003366"/>
                <w:sz w:val="20"/>
              </w:rPr>
              <w:t>Valuation of Non-Current Assets</w:t>
            </w:r>
          </w:p>
        </w:tc>
        <w:tc>
          <w:tcPr>
            <w:tcW w:w="2714" w:type="dxa"/>
            <w:tcBorders>
              <w:top w:val="double" w:sz="1" w:space="0" w:color="003366"/>
            </w:tcBorders>
          </w:tcPr>
          <w:p w:rsidR="006C17CB" w:rsidRDefault="006C17CB">
            <w:pPr>
              <w:pStyle w:val="TableParagraph"/>
              <w:jc w:val="left"/>
              <w:rPr>
                <w:rFonts w:ascii="Times New Roman"/>
                <w:sz w:val="20"/>
              </w:rPr>
            </w:pPr>
          </w:p>
        </w:tc>
      </w:tr>
    </w:tbl>
    <w:p w:rsidR="006C17CB" w:rsidRDefault="006C17CB">
      <w:pPr>
        <w:pStyle w:val="BodyText"/>
        <w:spacing w:before="10"/>
        <w:rPr>
          <w:rFonts w:ascii="Calibri"/>
          <w:sz w:val="12"/>
        </w:rPr>
      </w:pPr>
    </w:p>
    <w:p w:rsidR="006C17CB" w:rsidRDefault="0030091C">
      <w:pPr>
        <w:spacing w:before="50" w:line="204" w:lineRule="auto"/>
        <w:ind w:left="757" w:right="1451"/>
        <w:jc w:val="both"/>
        <w:rPr>
          <w:rFonts w:ascii="Calibri" w:hAnsi="Calibri"/>
          <w:sz w:val="20"/>
        </w:rPr>
      </w:pPr>
      <w:r>
        <w:rPr>
          <w:rFonts w:ascii="Calibri" w:hAnsi="Calibri"/>
          <w:color w:val="003366"/>
          <w:sz w:val="20"/>
        </w:rPr>
        <w:t>Jones Lang LaSalle Public Sector Valuations Pty Ltd performed revaluations of the Office’s assets. All members of the valuation team are Certified Practising Valuers of the Australian Property Institute. The latest valuation of plant and equipment including leasehold improvements and heritage assets was performed as at 30 June 2017.</w:t>
      </w:r>
    </w:p>
    <w:p w:rsidR="006C17CB" w:rsidRDefault="006C17CB">
      <w:pPr>
        <w:pStyle w:val="BodyText"/>
        <w:rPr>
          <w:rFonts w:ascii="Calibri"/>
          <w:sz w:val="14"/>
        </w:rPr>
      </w:pPr>
    </w:p>
    <w:p w:rsidR="006C17CB" w:rsidRDefault="0030091C">
      <w:pPr>
        <w:ind w:left="757"/>
        <w:jc w:val="both"/>
        <w:rPr>
          <w:rFonts w:ascii="Calibri"/>
          <w:b/>
          <w:sz w:val="20"/>
        </w:rPr>
      </w:pPr>
      <w:r>
        <w:rPr>
          <w:rFonts w:ascii="Calibri"/>
          <w:b/>
          <w:color w:val="003366"/>
          <w:sz w:val="20"/>
        </w:rPr>
        <w:t>Reconciliation of Property, Plant and Equipment</w:t>
      </w:r>
    </w:p>
    <w:p w:rsidR="006C17CB" w:rsidRDefault="0030091C">
      <w:pPr>
        <w:spacing w:before="16"/>
        <w:ind w:left="757"/>
        <w:jc w:val="both"/>
        <w:rPr>
          <w:rFonts w:ascii="Calibri"/>
          <w:sz w:val="20"/>
        </w:rPr>
      </w:pPr>
      <w:r>
        <w:rPr>
          <w:rFonts w:ascii="Calibri"/>
          <w:color w:val="003366"/>
          <w:sz w:val="20"/>
        </w:rPr>
        <w:t>The following table shows the movement of Property, Plant and Equipment during 2017-18.</w:t>
      </w:r>
    </w:p>
    <w:p w:rsidR="006C17CB" w:rsidRDefault="006C17CB">
      <w:pPr>
        <w:pStyle w:val="BodyText"/>
        <w:spacing w:before="3"/>
        <w:rPr>
          <w:rFonts w:ascii="Calibri"/>
          <w:sz w:val="11"/>
        </w:rPr>
      </w:pPr>
    </w:p>
    <w:tbl>
      <w:tblPr>
        <w:tblW w:w="0" w:type="auto"/>
        <w:tblInd w:w="707" w:type="dxa"/>
        <w:tblLayout w:type="fixed"/>
        <w:tblCellMar>
          <w:left w:w="0" w:type="dxa"/>
          <w:right w:w="0" w:type="dxa"/>
        </w:tblCellMar>
        <w:tblLook w:val="01E0" w:firstRow="1" w:lastRow="1" w:firstColumn="1" w:lastColumn="1" w:noHBand="0" w:noVBand="0"/>
      </w:tblPr>
      <w:tblGrid>
        <w:gridCol w:w="4036"/>
        <w:gridCol w:w="1127"/>
        <w:gridCol w:w="1616"/>
        <w:gridCol w:w="1262"/>
        <w:gridCol w:w="829"/>
      </w:tblGrid>
      <w:tr w:rsidR="006C17CB">
        <w:trPr>
          <w:trHeight w:val="464"/>
        </w:trPr>
        <w:tc>
          <w:tcPr>
            <w:tcW w:w="4036" w:type="dxa"/>
            <w:vMerge w:val="restart"/>
          </w:tcPr>
          <w:p w:rsidR="006C17CB" w:rsidRDefault="006C17CB">
            <w:pPr>
              <w:pStyle w:val="TableParagraph"/>
              <w:jc w:val="left"/>
              <w:rPr>
                <w:rFonts w:ascii="Times New Roman"/>
                <w:sz w:val="20"/>
              </w:rPr>
            </w:pPr>
          </w:p>
        </w:tc>
        <w:tc>
          <w:tcPr>
            <w:tcW w:w="1127" w:type="dxa"/>
          </w:tcPr>
          <w:p w:rsidR="006C17CB" w:rsidRDefault="0030091C">
            <w:pPr>
              <w:pStyle w:val="TableParagraph"/>
              <w:spacing w:line="180" w:lineRule="exact"/>
              <w:ind w:left="210" w:right="87"/>
              <w:jc w:val="center"/>
              <w:rPr>
                <w:b/>
                <w:sz w:val="20"/>
              </w:rPr>
            </w:pPr>
            <w:r>
              <w:rPr>
                <w:b/>
                <w:color w:val="003366"/>
                <w:sz w:val="20"/>
              </w:rPr>
              <w:t>Plant and</w:t>
            </w:r>
          </w:p>
          <w:p w:rsidR="006C17CB" w:rsidRDefault="0030091C">
            <w:pPr>
              <w:pStyle w:val="TableParagraph"/>
              <w:spacing w:line="264" w:lineRule="exact"/>
              <w:ind w:left="90" w:right="87"/>
              <w:jc w:val="center"/>
              <w:rPr>
                <w:b/>
                <w:sz w:val="20"/>
              </w:rPr>
            </w:pPr>
            <w:r>
              <w:rPr>
                <w:b/>
                <w:color w:val="003366"/>
                <w:sz w:val="20"/>
              </w:rPr>
              <w:t>Equipment</w:t>
            </w:r>
          </w:p>
        </w:tc>
        <w:tc>
          <w:tcPr>
            <w:tcW w:w="1616" w:type="dxa"/>
          </w:tcPr>
          <w:p w:rsidR="006C17CB" w:rsidRDefault="0030091C">
            <w:pPr>
              <w:pStyle w:val="TableParagraph"/>
              <w:spacing w:line="180" w:lineRule="exact"/>
              <w:ind w:left="490"/>
              <w:jc w:val="left"/>
              <w:rPr>
                <w:b/>
                <w:sz w:val="20"/>
              </w:rPr>
            </w:pPr>
            <w:r>
              <w:rPr>
                <w:b/>
                <w:color w:val="003366"/>
                <w:sz w:val="20"/>
              </w:rPr>
              <w:t>Leasehold</w:t>
            </w:r>
          </w:p>
          <w:p w:rsidR="006C17CB" w:rsidRDefault="0030091C">
            <w:pPr>
              <w:pStyle w:val="TableParagraph"/>
              <w:spacing w:line="264" w:lineRule="exact"/>
              <w:ind w:left="109"/>
              <w:jc w:val="left"/>
              <w:rPr>
                <w:b/>
                <w:sz w:val="20"/>
              </w:rPr>
            </w:pPr>
            <w:r>
              <w:rPr>
                <w:b/>
                <w:color w:val="003366"/>
                <w:sz w:val="20"/>
              </w:rPr>
              <w:t>Improvements</w:t>
            </w:r>
          </w:p>
        </w:tc>
        <w:tc>
          <w:tcPr>
            <w:tcW w:w="1262" w:type="dxa"/>
          </w:tcPr>
          <w:p w:rsidR="006C17CB" w:rsidRDefault="0030091C">
            <w:pPr>
              <w:pStyle w:val="TableParagraph"/>
              <w:spacing w:line="180" w:lineRule="exact"/>
              <w:ind w:left="269" w:right="242"/>
              <w:jc w:val="center"/>
              <w:rPr>
                <w:b/>
                <w:sz w:val="20"/>
              </w:rPr>
            </w:pPr>
            <w:r>
              <w:rPr>
                <w:b/>
                <w:color w:val="003366"/>
                <w:sz w:val="20"/>
              </w:rPr>
              <w:t>Heritage</w:t>
            </w:r>
          </w:p>
          <w:p w:rsidR="006C17CB" w:rsidRDefault="0030091C">
            <w:pPr>
              <w:pStyle w:val="TableParagraph"/>
              <w:spacing w:line="264" w:lineRule="exact"/>
              <w:ind w:left="269" w:right="66"/>
              <w:jc w:val="center"/>
              <w:rPr>
                <w:b/>
                <w:sz w:val="20"/>
              </w:rPr>
            </w:pPr>
            <w:r>
              <w:rPr>
                <w:b/>
                <w:color w:val="003366"/>
                <w:sz w:val="20"/>
              </w:rPr>
              <w:t>Assets</w:t>
            </w:r>
          </w:p>
        </w:tc>
        <w:tc>
          <w:tcPr>
            <w:tcW w:w="829" w:type="dxa"/>
          </w:tcPr>
          <w:p w:rsidR="006C17CB" w:rsidRDefault="0030091C">
            <w:pPr>
              <w:pStyle w:val="TableParagraph"/>
              <w:spacing w:before="157" w:line="287" w:lineRule="exact"/>
              <w:ind w:right="105"/>
              <w:rPr>
                <w:b/>
                <w:sz w:val="20"/>
              </w:rPr>
            </w:pPr>
            <w:r>
              <w:rPr>
                <w:b/>
                <w:color w:val="003366"/>
                <w:sz w:val="20"/>
              </w:rPr>
              <w:t>Total</w:t>
            </w:r>
          </w:p>
        </w:tc>
      </w:tr>
      <w:tr w:rsidR="006C17CB">
        <w:trPr>
          <w:trHeight w:val="265"/>
        </w:trPr>
        <w:tc>
          <w:tcPr>
            <w:tcW w:w="4036" w:type="dxa"/>
            <w:vMerge/>
            <w:tcBorders>
              <w:top w:val="nil"/>
            </w:tcBorders>
          </w:tcPr>
          <w:p w:rsidR="006C17CB" w:rsidRDefault="006C17CB">
            <w:pPr>
              <w:rPr>
                <w:sz w:val="2"/>
                <w:szCs w:val="2"/>
              </w:rPr>
            </w:pPr>
          </w:p>
        </w:tc>
        <w:tc>
          <w:tcPr>
            <w:tcW w:w="1127" w:type="dxa"/>
          </w:tcPr>
          <w:p w:rsidR="006C17CB" w:rsidRDefault="0030091C">
            <w:pPr>
              <w:pStyle w:val="TableParagraph"/>
              <w:spacing w:line="226" w:lineRule="exact"/>
              <w:ind w:right="107"/>
              <w:rPr>
                <w:b/>
                <w:sz w:val="20"/>
              </w:rPr>
            </w:pPr>
            <w:r>
              <w:rPr>
                <w:b/>
                <w:color w:val="003366"/>
                <w:w w:val="95"/>
                <w:sz w:val="20"/>
              </w:rPr>
              <w:t>$’000</w:t>
            </w:r>
          </w:p>
        </w:tc>
        <w:tc>
          <w:tcPr>
            <w:tcW w:w="1616" w:type="dxa"/>
          </w:tcPr>
          <w:p w:rsidR="006C17CB" w:rsidRDefault="0030091C">
            <w:pPr>
              <w:pStyle w:val="TableParagraph"/>
              <w:spacing w:line="226" w:lineRule="exact"/>
              <w:ind w:right="290"/>
              <w:rPr>
                <w:b/>
                <w:sz w:val="20"/>
              </w:rPr>
            </w:pPr>
            <w:r>
              <w:rPr>
                <w:b/>
                <w:color w:val="003366"/>
                <w:w w:val="95"/>
                <w:sz w:val="20"/>
              </w:rPr>
              <w:t>$’000</w:t>
            </w:r>
          </w:p>
        </w:tc>
        <w:tc>
          <w:tcPr>
            <w:tcW w:w="1262" w:type="dxa"/>
          </w:tcPr>
          <w:p w:rsidR="006C17CB" w:rsidRDefault="0030091C">
            <w:pPr>
              <w:pStyle w:val="TableParagraph"/>
              <w:spacing w:line="226" w:lineRule="exact"/>
              <w:ind w:right="263"/>
              <w:rPr>
                <w:b/>
                <w:sz w:val="20"/>
              </w:rPr>
            </w:pPr>
            <w:r>
              <w:rPr>
                <w:b/>
                <w:color w:val="003366"/>
                <w:w w:val="95"/>
                <w:sz w:val="20"/>
              </w:rPr>
              <w:t>$’000</w:t>
            </w:r>
          </w:p>
        </w:tc>
        <w:tc>
          <w:tcPr>
            <w:tcW w:w="829" w:type="dxa"/>
          </w:tcPr>
          <w:p w:rsidR="006C17CB" w:rsidRDefault="0030091C">
            <w:pPr>
              <w:pStyle w:val="TableParagraph"/>
              <w:spacing w:line="226" w:lineRule="exact"/>
              <w:ind w:right="106"/>
              <w:rPr>
                <w:b/>
                <w:sz w:val="20"/>
              </w:rPr>
            </w:pPr>
            <w:r>
              <w:rPr>
                <w:b/>
                <w:color w:val="003366"/>
                <w:w w:val="95"/>
                <w:sz w:val="20"/>
              </w:rPr>
              <w:t>$’000</w:t>
            </w:r>
          </w:p>
        </w:tc>
      </w:tr>
      <w:tr w:rsidR="006C17CB">
        <w:trPr>
          <w:trHeight w:val="529"/>
        </w:trPr>
        <w:tc>
          <w:tcPr>
            <w:tcW w:w="4036" w:type="dxa"/>
          </w:tcPr>
          <w:p w:rsidR="006C17CB" w:rsidRDefault="0030091C">
            <w:pPr>
              <w:pStyle w:val="TableParagraph"/>
              <w:spacing w:line="201" w:lineRule="auto"/>
              <w:ind w:left="333" w:right="683" w:hanging="284"/>
              <w:jc w:val="left"/>
              <w:rPr>
                <w:sz w:val="20"/>
              </w:rPr>
            </w:pPr>
            <w:r>
              <w:rPr>
                <w:color w:val="003366"/>
                <w:sz w:val="20"/>
              </w:rPr>
              <w:t>Carrying Amount at the Beginning of the Reporting Period</w:t>
            </w:r>
          </w:p>
        </w:tc>
        <w:tc>
          <w:tcPr>
            <w:tcW w:w="1127" w:type="dxa"/>
          </w:tcPr>
          <w:p w:rsidR="006C17CB" w:rsidRDefault="006C17CB">
            <w:pPr>
              <w:pStyle w:val="TableParagraph"/>
              <w:spacing w:before="1"/>
              <w:jc w:val="left"/>
              <w:rPr>
                <w:sz w:val="14"/>
              </w:rPr>
            </w:pPr>
          </w:p>
          <w:p w:rsidR="006C17CB" w:rsidRDefault="0030091C">
            <w:pPr>
              <w:pStyle w:val="TableParagraph"/>
              <w:ind w:right="107"/>
              <w:rPr>
                <w:sz w:val="20"/>
              </w:rPr>
            </w:pPr>
            <w:r>
              <w:rPr>
                <w:color w:val="003366"/>
                <w:w w:val="95"/>
                <w:sz w:val="20"/>
              </w:rPr>
              <w:t>975</w:t>
            </w:r>
          </w:p>
        </w:tc>
        <w:tc>
          <w:tcPr>
            <w:tcW w:w="1616" w:type="dxa"/>
          </w:tcPr>
          <w:p w:rsidR="006C17CB" w:rsidRDefault="006C17CB">
            <w:pPr>
              <w:pStyle w:val="TableParagraph"/>
              <w:spacing w:before="1"/>
              <w:jc w:val="left"/>
              <w:rPr>
                <w:sz w:val="14"/>
              </w:rPr>
            </w:pPr>
          </w:p>
          <w:p w:rsidR="006C17CB" w:rsidRDefault="0030091C">
            <w:pPr>
              <w:pStyle w:val="TableParagraph"/>
              <w:ind w:right="290"/>
              <w:rPr>
                <w:sz w:val="20"/>
              </w:rPr>
            </w:pPr>
            <w:r>
              <w:rPr>
                <w:color w:val="003366"/>
                <w:w w:val="95"/>
                <w:sz w:val="20"/>
              </w:rPr>
              <w:t>1,197</w:t>
            </w:r>
          </w:p>
        </w:tc>
        <w:tc>
          <w:tcPr>
            <w:tcW w:w="1262" w:type="dxa"/>
          </w:tcPr>
          <w:p w:rsidR="006C17CB" w:rsidRDefault="006C17CB">
            <w:pPr>
              <w:pStyle w:val="TableParagraph"/>
              <w:spacing w:before="1"/>
              <w:jc w:val="left"/>
              <w:rPr>
                <w:sz w:val="14"/>
              </w:rPr>
            </w:pPr>
          </w:p>
          <w:p w:rsidR="006C17CB" w:rsidRDefault="0030091C">
            <w:pPr>
              <w:pStyle w:val="TableParagraph"/>
              <w:ind w:right="263"/>
              <w:rPr>
                <w:sz w:val="20"/>
              </w:rPr>
            </w:pPr>
            <w:r>
              <w:rPr>
                <w:color w:val="003366"/>
                <w:w w:val="95"/>
                <w:sz w:val="20"/>
              </w:rPr>
              <w:t>1,392</w:t>
            </w:r>
          </w:p>
        </w:tc>
        <w:tc>
          <w:tcPr>
            <w:tcW w:w="829" w:type="dxa"/>
          </w:tcPr>
          <w:p w:rsidR="006C17CB" w:rsidRDefault="006C17CB">
            <w:pPr>
              <w:pStyle w:val="TableParagraph"/>
              <w:spacing w:before="1"/>
              <w:jc w:val="left"/>
              <w:rPr>
                <w:sz w:val="14"/>
              </w:rPr>
            </w:pPr>
          </w:p>
          <w:p w:rsidR="006C17CB" w:rsidRDefault="0030091C">
            <w:pPr>
              <w:pStyle w:val="TableParagraph"/>
              <w:ind w:right="106"/>
              <w:rPr>
                <w:sz w:val="20"/>
              </w:rPr>
            </w:pPr>
            <w:r>
              <w:rPr>
                <w:color w:val="003366"/>
                <w:w w:val="95"/>
                <w:sz w:val="20"/>
              </w:rPr>
              <w:t>3,564</w:t>
            </w:r>
          </w:p>
        </w:tc>
      </w:tr>
      <w:tr w:rsidR="006C17CB">
        <w:trPr>
          <w:trHeight w:val="283"/>
        </w:trPr>
        <w:tc>
          <w:tcPr>
            <w:tcW w:w="4036" w:type="dxa"/>
          </w:tcPr>
          <w:p w:rsidR="006C17CB" w:rsidRDefault="0030091C">
            <w:pPr>
              <w:pStyle w:val="TableParagraph"/>
              <w:spacing w:line="245" w:lineRule="exact"/>
              <w:ind w:left="50"/>
              <w:jc w:val="left"/>
              <w:rPr>
                <w:sz w:val="20"/>
              </w:rPr>
            </w:pPr>
            <w:r>
              <w:rPr>
                <w:color w:val="003366"/>
                <w:sz w:val="20"/>
              </w:rPr>
              <w:t>Additions</w:t>
            </w:r>
          </w:p>
        </w:tc>
        <w:tc>
          <w:tcPr>
            <w:tcW w:w="1127" w:type="dxa"/>
          </w:tcPr>
          <w:p w:rsidR="006C17CB" w:rsidRDefault="0030091C">
            <w:pPr>
              <w:pStyle w:val="TableParagraph"/>
              <w:spacing w:line="245" w:lineRule="exact"/>
              <w:ind w:right="106"/>
              <w:rPr>
                <w:sz w:val="20"/>
              </w:rPr>
            </w:pPr>
            <w:r>
              <w:rPr>
                <w:color w:val="003366"/>
                <w:w w:val="95"/>
                <w:sz w:val="20"/>
              </w:rPr>
              <w:t>128</w:t>
            </w:r>
          </w:p>
        </w:tc>
        <w:tc>
          <w:tcPr>
            <w:tcW w:w="1616" w:type="dxa"/>
          </w:tcPr>
          <w:p w:rsidR="006C17CB" w:rsidRDefault="0030091C">
            <w:pPr>
              <w:pStyle w:val="TableParagraph"/>
              <w:spacing w:line="245" w:lineRule="exact"/>
              <w:ind w:right="289"/>
              <w:rPr>
                <w:sz w:val="20"/>
              </w:rPr>
            </w:pPr>
            <w:r>
              <w:rPr>
                <w:color w:val="003366"/>
                <w:w w:val="99"/>
                <w:sz w:val="20"/>
              </w:rPr>
              <w:t>-</w:t>
            </w:r>
          </w:p>
        </w:tc>
        <w:tc>
          <w:tcPr>
            <w:tcW w:w="1262" w:type="dxa"/>
          </w:tcPr>
          <w:p w:rsidR="006C17CB" w:rsidRDefault="0030091C">
            <w:pPr>
              <w:pStyle w:val="TableParagraph"/>
              <w:spacing w:line="245" w:lineRule="exact"/>
              <w:ind w:right="260"/>
              <w:rPr>
                <w:sz w:val="20"/>
              </w:rPr>
            </w:pPr>
            <w:r>
              <w:rPr>
                <w:color w:val="003366"/>
                <w:sz w:val="20"/>
              </w:rPr>
              <w:t>35</w:t>
            </w:r>
          </w:p>
        </w:tc>
        <w:tc>
          <w:tcPr>
            <w:tcW w:w="829" w:type="dxa"/>
          </w:tcPr>
          <w:p w:rsidR="006C17CB" w:rsidRDefault="0030091C">
            <w:pPr>
              <w:pStyle w:val="TableParagraph"/>
              <w:spacing w:line="245" w:lineRule="exact"/>
              <w:ind w:right="105"/>
              <w:rPr>
                <w:sz w:val="20"/>
              </w:rPr>
            </w:pPr>
            <w:r>
              <w:rPr>
                <w:color w:val="003366"/>
                <w:w w:val="95"/>
                <w:sz w:val="20"/>
              </w:rPr>
              <w:t>163</w:t>
            </w:r>
          </w:p>
        </w:tc>
      </w:tr>
      <w:tr w:rsidR="006C17CB">
        <w:trPr>
          <w:trHeight w:val="289"/>
        </w:trPr>
        <w:tc>
          <w:tcPr>
            <w:tcW w:w="4036" w:type="dxa"/>
          </w:tcPr>
          <w:p w:rsidR="006C17CB" w:rsidRDefault="0030091C">
            <w:pPr>
              <w:pStyle w:val="TableParagraph"/>
              <w:spacing w:line="245" w:lineRule="exact"/>
              <w:ind w:left="50"/>
              <w:jc w:val="left"/>
              <w:rPr>
                <w:sz w:val="20"/>
              </w:rPr>
            </w:pPr>
            <w:r>
              <w:rPr>
                <w:color w:val="003366"/>
                <w:sz w:val="20"/>
              </w:rPr>
              <w:t>Disposals</w:t>
            </w:r>
          </w:p>
        </w:tc>
        <w:tc>
          <w:tcPr>
            <w:tcW w:w="1127" w:type="dxa"/>
          </w:tcPr>
          <w:p w:rsidR="006C17CB" w:rsidRDefault="0030091C">
            <w:pPr>
              <w:pStyle w:val="TableParagraph"/>
              <w:spacing w:line="245" w:lineRule="exact"/>
              <w:ind w:right="106"/>
              <w:rPr>
                <w:sz w:val="20"/>
              </w:rPr>
            </w:pPr>
            <w:r>
              <w:rPr>
                <w:color w:val="003366"/>
                <w:sz w:val="20"/>
              </w:rPr>
              <w:t>(3)</w:t>
            </w:r>
          </w:p>
        </w:tc>
        <w:tc>
          <w:tcPr>
            <w:tcW w:w="1616" w:type="dxa"/>
          </w:tcPr>
          <w:p w:rsidR="006C17CB" w:rsidRDefault="0030091C">
            <w:pPr>
              <w:pStyle w:val="TableParagraph"/>
              <w:spacing w:line="245" w:lineRule="exact"/>
              <w:ind w:right="289"/>
              <w:rPr>
                <w:sz w:val="20"/>
              </w:rPr>
            </w:pPr>
            <w:r>
              <w:rPr>
                <w:color w:val="003366"/>
                <w:w w:val="99"/>
                <w:sz w:val="20"/>
              </w:rPr>
              <w:t>-</w:t>
            </w:r>
          </w:p>
        </w:tc>
        <w:tc>
          <w:tcPr>
            <w:tcW w:w="1262" w:type="dxa"/>
          </w:tcPr>
          <w:p w:rsidR="006C17CB" w:rsidRDefault="0030091C">
            <w:pPr>
              <w:pStyle w:val="TableParagraph"/>
              <w:spacing w:line="245" w:lineRule="exact"/>
              <w:ind w:right="262"/>
              <w:rPr>
                <w:sz w:val="20"/>
              </w:rPr>
            </w:pPr>
            <w:r>
              <w:rPr>
                <w:color w:val="003366"/>
                <w:w w:val="99"/>
                <w:sz w:val="20"/>
              </w:rPr>
              <w:t>-</w:t>
            </w:r>
          </w:p>
        </w:tc>
        <w:tc>
          <w:tcPr>
            <w:tcW w:w="829" w:type="dxa"/>
          </w:tcPr>
          <w:p w:rsidR="006C17CB" w:rsidRDefault="0030091C">
            <w:pPr>
              <w:pStyle w:val="TableParagraph"/>
              <w:spacing w:line="245" w:lineRule="exact"/>
              <w:ind w:right="105"/>
              <w:rPr>
                <w:sz w:val="20"/>
              </w:rPr>
            </w:pPr>
            <w:r>
              <w:rPr>
                <w:color w:val="003366"/>
                <w:sz w:val="20"/>
              </w:rPr>
              <w:t>(3)</w:t>
            </w:r>
          </w:p>
        </w:tc>
      </w:tr>
      <w:tr w:rsidR="006C17CB">
        <w:trPr>
          <w:trHeight w:val="289"/>
        </w:trPr>
        <w:tc>
          <w:tcPr>
            <w:tcW w:w="4036" w:type="dxa"/>
          </w:tcPr>
          <w:p w:rsidR="006C17CB" w:rsidRDefault="0030091C">
            <w:pPr>
              <w:pStyle w:val="TableParagraph"/>
              <w:spacing w:line="251" w:lineRule="exact"/>
              <w:ind w:left="50"/>
              <w:jc w:val="left"/>
              <w:rPr>
                <w:sz w:val="20"/>
              </w:rPr>
            </w:pPr>
            <w:r>
              <w:rPr>
                <w:color w:val="003366"/>
                <w:sz w:val="20"/>
              </w:rPr>
              <w:t>Revaluation (Decrement)</w:t>
            </w:r>
          </w:p>
        </w:tc>
        <w:tc>
          <w:tcPr>
            <w:tcW w:w="1127" w:type="dxa"/>
          </w:tcPr>
          <w:p w:rsidR="006C17CB" w:rsidRDefault="0030091C">
            <w:pPr>
              <w:pStyle w:val="TableParagraph"/>
              <w:spacing w:line="251" w:lineRule="exact"/>
              <w:ind w:right="106"/>
              <w:rPr>
                <w:sz w:val="20"/>
              </w:rPr>
            </w:pPr>
            <w:r>
              <w:rPr>
                <w:color w:val="003366"/>
                <w:sz w:val="20"/>
              </w:rPr>
              <w:t>(6)</w:t>
            </w:r>
          </w:p>
        </w:tc>
        <w:tc>
          <w:tcPr>
            <w:tcW w:w="1616" w:type="dxa"/>
          </w:tcPr>
          <w:p w:rsidR="006C17CB" w:rsidRDefault="0030091C">
            <w:pPr>
              <w:pStyle w:val="TableParagraph"/>
              <w:spacing w:line="251" w:lineRule="exact"/>
              <w:ind w:right="289"/>
              <w:rPr>
                <w:sz w:val="20"/>
              </w:rPr>
            </w:pPr>
            <w:r>
              <w:rPr>
                <w:color w:val="003366"/>
                <w:w w:val="99"/>
                <w:sz w:val="20"/>
              </w:rPr>
              <w:t>-</w:t>
            </w:r>
          </w:p>
        </w:tc>
        <w:tc>
          <w:tcPr>
            <w:tcW w:w="1262" w:type="dxa"/>
          </w:tcPr>
          <w:p w:rsidR="006C17CB" w:rsidRDefault="0030091C">
            <w:pPr>
              <w:pStyle w:val="TableParagraph"/>
              <w:spacing w:line="251" w:lineRule="exact"/>
              <w:ind w:right="263"/>
              <w:rPr>
                <w:sz w:val="20"/>
              </w:rPr>
            </w:pPr>
            <w:r>
              <w:rPr>
                <w:color w:val="003366"/>
                <w:sz w:val="20"/>
              </w:rPr>
              <w:t>(5)</w:t>
            </w:r>
          </w:p>
        </w:tc>
        <w:tc>
          <w:tcPr>
            <w:tcW w:w="829" w:type="dxa"/>
          </w:tcPr>
          <w:p w:rsidR="006C17CB" w:rsidRDefault="0030091C">
            <w:pPr>
              <w:pStyle w:val="TableParagraph"/>
              <w:spacing w:line="251" w:lineRule="exact"/>
              <w:ind w:right="105"/>
              <w:rPr>
                <w:sz w:val="20"/>
              </w:rPr>
            </w:pPr>
            <w:r>
              <w:rPr>
                <w:color w:val="003366"/>
                <w:w w:val="95"/>
                <w:sz w:val="20"/>
              </w:rPr>
              <w:t>(11)</w:t>
            </w:r>
          </w:p>
        </w:tc>
      </w:tr>
      <w:tr w:rsidR="006C17CB">
        <w:trPr>
          <w:trHeight w:val="285"/>
        </w:trPr>
        <w:tc>
          <w:tcPr>
            <w:tcW w:w="4036" w:type="dxa"/>
          </w:tcPr>
          <w:p w:rsidR="006C17CB" w:rsidRDefault="0030091C">
            <w:pPr>
              <w:pStyle w:val="TableParagraph"/>
              <w:spacing w:line="245" w:lineRule="exact"/>
              <w:ind w:left="50"/>
              <w:jc w:val="left"/>
              <w:rPr>
                <w:sz w:val="20"/>
              </w:rPr>
            </w:pPr>
            <w:r>
              <w:rPr>
                <w:color w:val="003366"/>
                <w:sz w:val="20"/>
              </w:rPr>
              <w:t>Depreciation</w:t>
            </w:r>
          </w:p>
        </w:tc>
        <w:tc>
          <w:tcPr>
            <w:tcW w:w="4834" w:type="dxa"/>
            <w:gridSpan w:val="4"/>
          </w:tcPr>
          <w:p w:rsidR="006C17CB" w:rsidRDefault="0030091C">
            <w:pPr>
              <w:pStyle w:val="TableParagraph"/>
              <w:tabs>
                <w:tab w:val="left" w:pos="595"/>
                <w:tab w:val="left" w:pos="2028"/>
                <w:tab w:val="left" w:pos="3679"/>
                <w:tab w:val="left" w:pos="4303"/>
              </w:tabs>
              <w:spacing w:line="245" w:lineRule="exact"/>
              <w:ind w:right="-15"/>
              <w:jc w:val="left"/>
              <w:rPr>
                <w:sz w:val="20"/>
              </w:rPr>
            </w:pPr>
            <w:r>
              <w:rPr>
                <w:color w:val="003366"/>
                <w:w w:val="99"/>
                <w:sz w:val="20"/>
                <w:u w:val="single" w:color="003366"/>
              </w:rPr>
              <w:t xml:space="preserve"> </w:t>
            </w:r>
            <w:r>
              <w:rPr>
                <w:color w:val="003366"/>
                <w:sz w:val="20"/>
                <w:u w:val="single" w:color="003366"/>
              </w:rPr>
              <w:tab/>
              <w:t>(141)</w:t>
            </w:r>
            <w:r>
              <w:rPr>
                <w:color w:val="003366"/>
                <w:sz w:val="20"/>
                <w:u w:val="single" w:color="003366"/>
              </w:rPr>
              <w:tab/>
              <w:t>(150)</w:t>
            </w:r>
            <w:r>
              <w:rPr>
                <w:color w:val="003366"/>
                <w:sz w:val="20"/>
                <w:u w:val="single" w:color="003366"/>
              </w:rPr>
              <w:tab/>
              <w:t>-</w:t>
            </w:r>
            <w:r>
              <w:rPr>
                <w:color w:val="003366"/>
                <w:sz w:val="20"/>
                <w:u w:val="single" w:color="003366"/>
              </w:rPr>
              <w:tab/>
              <w:t>(291)</w:t>
            </w:r>
            <w:r>
              <w:rPr>
                <w:color w:val="003366"/>
                <w:spacing w:val="18"/>
                <w:sz w:val="20"/>
                <w:u w:val="single" w:color="003366"/>
              </w:rPr>
              <w:t xml:space="preserve"> </w:t>
            </w:r>
          </w:p>
        </w:tc>
      </w:tr>
      <w:tr w:rsidR="006C17CB">
        <w:trPr>
          <w:trHeight w:val="266"/>
        </w:trPr>
        <w:tc>
          <w:tcPr>
            <w:tcW w:w="4036" w:type="dxa"/>
          </w:tcPr>
          <w:p w:rsidR="006C17CB" w:rsidRDefault="0030091C">
            <w:pPr>
              <w:pStyle w:val="TableParagraph"/>
              <w:spacing w:line="246" w:lineRule="exact"/>
              <w:ind w:left="50"/>
              <w:jc w:val="left"/>
              <w:rPr>
                <w:b/>
                <w:sz w:val="20"/>
              </w:rPr>
            </w:pPr>
            <w:r>
              <w:rPr>
                <w:b/>
                <w:color w:val="003366"/>
                <w:sz w:val="20"/>
              </w:rPr>
              <w:t>Carrying Amount at the End of the Reporting</w:t>
            </w:r>
          </w:p>
        </w:tc>
        <w:tc>
          <w:tcPr>
            <w:tcW w:w="4834" w:type="dxa"/>
            <w:gridSpan w:val="4"/>
          </w:tcPr>
          <w:p w:rsidR="006C17CB" w:rsidRDefault="006C17CB">
            <w:pPr>
              <w:pStyle w:val="TableParagraph"/>
              <w:jc w:val="left"/>
              <w:rPr>
                <w:rFonts w:ascii="Times New Roman"/>
                <w:sz w:val="18"/>
              </w:rPr>
            </w:pPr>
          </w:p>
        </w:tc>
      </w:tr>
      <w:tr w:rsidR="006C17CB">
        <w:trPr>
          <w:trHeight w:val="224"/>
        </w:trPr>
        <w:tc>
          <w:tcPr>
            <w:tcW w:w="4036" w:type="dxa"/>
          </w:tcPr>
          <w:p w:rsidR="006C17CB" w:rsidRDefault="0030091C">
            <w:pPr>
              <w:pStyle w:val="TableParagraph"/>
              <w:spacing w:line="204" w:lineRule="exact"/>
              <w:ind w:left="333"/>
              <w:jc w:val="left"/>
              <w:rPr>
                <w:b/>
                <w:sz w:val="20"/>
              </w:rPr>
            </w:pPr>
            <w:r>
              <w:rPr>
                <w:b/>
                <w:color w:val="003366"/>
                <w:sz w:val="20"/>
              </w:rPr>
              <w:t>Period</w:t>
            </w:r>
          </w:p>
        </w:tc>
        <w:tc>
          <w:tcPr>
            <w:tcW w:w="4834" w:type="dxa"/>
            <w:gridSpan w:val="4"/>
            <w:tcBorders>
              <w:bottom w:val="double" w:sz="1" w:space="0" w:color="003366"/>
            </w:tcBorders>
          </w:tcPr>
          <w:p w:rsidR="006C17CB" w:rsidRDefault="0030091C">
            <w:pPr>
              <w:pStyle w:val="TableParagraph"/>
              <w:tabs>
                <w:tab w:val="left" w:pos="1997"/>
                <w:tab w:val="left" w:pos="3285"/>
                <w:tab w:val="left" w:pos="4272"/>
              </w:tabs>
              <w:spacing w:line="204" w:lineRule="exact"/>
              <w:ind w:left="715"/>
              <w:jc w:val="left"/>
              <w:rPr>
                <w:b/>
                <w:sz w:val="20"/>
              </w:rPr>
            </w:pPr>
            <w:r>
              <w:rPr>
                <w:b/>
                <w:color w:val="003366"/>
                <w:sz w:val="20"/>
              </w:rPr>
              <w:t>953</w:t>
            </w:r>
            <w:r>
              <w:rPr>
                <w:b/>
                <w:color w:val="003366"/>
                <w:sz w:val="20"/>
              </w:rPr>
              <w:tab/>
              <w:t>1,047</w:t>
            </w:r>
            <w:r>
              <w:rPr>
                <w:b/>
                <w:color w:val="003366"/>
                <w:sz w:val="20"/>
              </w:rPr>
              <w:tab/>
              <w:t>1,422</w:t>
            </w:r>
            <w:r>
              <w:rPr>
                <w:b/>
                <w:color w:val="003366"/>
                <w:sz w:val="20"/>
              </w:rPr>
              <w:tab/>
              <w:t>3,422</w:t>
            </w:r>
          </w:p>
        </w:tc>
      </w:tr>
    </w:tbl>
    <w:p w:rsidR="006C17CB" w:rsidRDefault="006C17CB">
      <w:pPr>
        <w:spacing w:line="204" w:lineRule="exact"/>
        <w:rPr>
          <w:sz w:val="20"/>
        </w:rPr>
        <w:sectPr w:rsidR="006C17CB">
          <w:pgSz w:w="11910" w:h="16840"/>
          <w:pgMar w:top="2120" w:right="0" w:bottom="740" w:left="980" w:header="1187" w:footer="551" w:gutter="0"/>
          <w:cols w:space="720"/>
        </w:sectPr>
      </w:pPr>
    </w:p>
    <w:p w:rsidR="006C17CB" w:rsidRDefault="006C17CB">
      <w:pPr>
        <w:pStyle w:val="BodyText"/>
        <w:spacing w:before="14"/>
        <w:rPr>
          <w:rFonts w:ascii="Calibri"/>
          <w:sz w:val="29"/>
        </w:rPr>
      </w:pPr>
    </w:p>
    <w:p w:rsidR="006C17CB" w:rsidRDefault="0030091C">
      <w:pPr>
        <w:pStyle w:val="Heading6"/>
        <w:spacing w:line="345" w:lineRule="exact"/>
        <w:jc w:val="both"/>
      </w:pPr>
      <w:r>
        <w:rPr>
          <w:color w:val="003366"/>
        </w:rPr>
        <w:t>NOTE 13. PROPERTY, PLANT AND EQUIPMENT – CONTINUED</w:t>
      </w:r>
    </w:p>
    <w:p w:rsidR="006C17CB" w:rsidRDefault="006C17CB">
      <w:pPr>
        <w:pStyle w:val="BodyText"/>
        <w:spacing w:before="12"/>
        <w:rPr>
          <w:rFonts w:ascii="Calibri"/>
          <w:b/>
          <w:sz w:val="33"/>
        </w:rPr>
      </w:pPr>
    </w:p>
    <w:p w:rsidR="006C17CB" w:rsidRDefault="0030091C">
      <w:pPr>
        <w:ind w:left="829"/>
        <w:jc w:val="both"/>
        <w:rPr>
          <w:rFonts w:ascii="Calibri"/>
          <w:b/>
          <w:sz w:val="20"/>
        </w:rPr>
      </w:pPr>
      <w:r>
        <w:rPr>
          <w:rFonts w:ascii="Calibri"/>
          <w:b/>
          <w:color w:val="003366"/>
          <w:sz w:val="20"/>
        </w:rPr>
        <w:t>Reconciliation of Property, Plant and Equipment</w:t>
      </w:r>
    </w:p>
    <w:p w:rsidR="006C17CB" w:rsidRDefault="0030091C">
      <w:pPr>
        <w:spacing w:before="17"/>
        <w:ind w:left="829"/>
        <w:jc w:val="both"/>
        <w:rPr>
          <w:rFonts w:ascii="Calibri"/>
          <w:sz w:val="20"/>
        </w:rPr>
      </w:pPr>
      <w:r>
        <w:rPr>
          <w:rFonts w:ascii="Calibri"/>
          <w:color w:val="003366"/>
          <w:sz w:val="20"/>
        </w:rPr>
        <w:t>The following table shows the movement of Property, Plant and Equipment during 2016-17.</w:t>
      </w:r>
    </w:p>
    <w:p w:rsidR="006C17CB" w:rsidRDefault="006C17CB">
      <w:pPr>
        <w:pStyle w:val="BodyText"/>
        <w:spacing w:before="3"/>
        <w:rPr>
          <w:rFonts w:ascii="Calibri"/>
          <w:sz w:val="11"/>
        </w:rPr>
      </w:pPr>
    </w:p>
    <w:tbl>
      <w:tblPr>
        <w:tblW w:w="0" w:type="auto"/>
        <w:tblInd w:w="779" w:type="dxa"/>
        <w:tblLayout w:type="fixed"/>
        <w:tblCellMar>
          <w:left w:w="0" w:type="dxa"/>
          <w:right w:w="0" w:type="dxa"/>
        </w:tblCellMar>
        <w:tblLook w:val="01E0" w:firstRow="1" w:lastRow="1" w:firstColumn="1" w:lastColumn="1" w:noHBand="0" w:noVBand="0"/>
      </w:tblPr>
      <w:tblGrid>
        <w:gridCol w:w="4041"/>
        <w:gridCol w:w="1125"/>
        <w:gridCol w:w="1615"/>
        <w:gridCol w:w="1190"/>
        <w:gridCol w:w="758"/>
      </w:tblGrid>
      <w:tr w:rsidR="006C17CB">
        <w:trPr>
          <w:trHeight w:val="465"/>
        </w:trPr>
        <w:tc>
          <w:tcPr>
            <w:tcW w:w="4041" w:type="dxa"/>
          </w:tcPr>
          <w:p w:rsidR="006C17CB" w:rsidRDefault="006C17CB">
            <w:pPr>
              <w:pStyle w:val="TableParagraph"/>
              <w:jc w:val="left"/>
              <w:rPr>
                <w:rFonts w:ascii="Times New Roman"/>
                <w:sz w:val="20"/>
              </w:rPr>
            </w:pPr>
          </w:p>
        </w:tc>
        <w:tc>
          <w:tcPr>
            <w:tcW w:w="1125" w:type="dxa"/>
          </w:tcPr>
          <w:p w:rsidR="006C17CB" w:rsidRDefault="0030091C">
            <w:pPr>
              <w:pStyle w:val="TableParagraph"/>
              <w:spacing w:line="181" w:lineRule="exact"/>
              <w:ind w:left="207" w:right="88"/>
              <w:jc w:val="center"/>
              <w:rPr>
                <w:b/>
                <w:sz w:val="20"/>
              </w:rPr>
            </w:pPr>
            <w:r>
              <w:rPr>
                <w:b/>
                <w:color w:val="003366"/>
                <w:sz w:val="20"/>
              </w:rPr>
              <w:t>Plant and</w:t>
            </w:r>
          </w:p>
          <w:p w:rsidR="006C17CB" w:rsidRDefault="0030091C">
            <w:pPr>
              <w:pStyle w:val="TableParagraph"/>
              <w:spacing w:line="264" w:lineRule="exact"/>
              <w:ind w:left="88" w:right="88"/>
              <w:jc w:val="center"/>
              <w:rPr>
                <w:b/>
                <w:sz w:val="20"/>
              </w:rPr>
            </w:pPr>
            <w:r>
              <w:rPr>
                <w:b/>
                <w:color w:val="003366"/>
                <w:sz w:val="20"/>
              </w:rPr>
              <w:t>Equipment</w:t>
            </w:r>
          </w:p>
        </w:tc>
        <w:tc>
          <w:tcPr>
            <w:tcW w:w="1615" w:type="dxa"/>
          </w:tcPr>
          <w:p w:rsidR="006C17CB" w:rsidRDefault="0030091C">
            <w:pPr>
              <w:pStyle w:val="TableParagraph"/>
              <w:spacing w:line="181" w:lineRule="exact"/>
              <w:ind w:left="490"/>
              <w:jc w:val="left"/>
              <w:rPr>
                <w:b/>
                <w:sz w:val="20"/>
              </w:rPr>
            </w:pPr>
            <w:r>
              <w:rPr>
                <w:b/>
                <w:color w:val="003366"/>
                <w:sz w:val="20"/>
              </w:rPr>
              <w:t>Leasehold</w:t>
            </w:r>
          </w:p>
          <w:p w:rsidR="006C17CB" w:rsidRDefault="0030091C">
            <w:pPr>
              <w:pStyle w:val="TableParagraph"/>
              <w:spacing w:line="264" w:lineRule="exact"/>
              <w:ind w:left="108"/>
              <w:jc w:val="left"/>
              <w:rPr>
                <w:b/>
                <w:sz w:val="20"/>
              </w:rPr>
            </w:pPr>
            <w:r>
              <w:rPr>
                <w:b/>
                <w:color w:val="003366"/>
                <w:sz w:val="20"/>
              </w:rPr>
              <w:t>Improvements</w:t>
            </w:r>
          </w:p>
        </w:tc>
        <w:tc>
          <w:tcPr>
            <w:tcW w:w="1190" w:type="dxa"/>
          </w:tcPr>
          <w:p w:rsidR="006C17CB" w:rsidRDefault="0030091C">
            <w:pPr>
              <w:pStyle w:val="TableParagraph"/>
              <w:spacing w:line="181" w:lineRule="exact"/>
              <w:ind w:left="242" w:right="147"/>
              <w:jc w:val="center"/>
              <w:rPr>
                <w:b/>
                <w:sz w:val="20"/>
              </w:rPr>
            </w:pPr>
            <w:r>
              <w:rPr>
                <w:b/>
                <w:color w:val="003366"/>
                <w:sz w:val="20"/>
              </w:rPr>
              <w:t>Heritage</w:t>
            </w:r>
          </w:p>
          <w:p w:rsidR="006C17CB" w:rsidRDefault="0030091C">
            <w:pPr>
              <w:pStyle w:val="TableParagraph"/>
              <w:spacing w:line="264" w:lineRule="exact"/>
              <w:ind w:left="443" w:right="172"/>
              <w:jc w:val="center"/>
              <w:rPr>
                <w:b/>
                <w:sz w:val="20"/>
              </w:rPr>
            </w:pPr>
            <w:r>
              <w:rPr>
                <w:b/>
                <w:color w:val="003366"/>
                <w:sz w:val="20"/>
              </w:rPr>
              <w:t>Assets</w:t>
            </w:r>
          </w:p>
        </w:tc>
        <w:tc>
          <w:tcPr>
            <w:tcW w:w="758" w:type="dxa"/>
          </w:tcPr>
          <w:p w:rsidR="006C17CB" w:rsidRDefault="0030091C">
            <w:pPr>
              <w:pStyle w:val="TableParagraph"/>
              <w:spacing w:before="159" w:line="286" w:lineRule="exact"/>
              <w:ind w:right="105"/>
              <w:rPr>
                <w:b/>
                <w:sz w:val="20"/>
              </w:rPr>
            </w:pPr>
            <w:r>
              <w:rPr>
                <w:b/>
                <w:color w:val="003366"/>
                <w:sz w:val="20"/>
              </w:rPr>
              <w:t>Total</w:t>
            </w:r>
          </w:p>
        </w:tc>
      </w:tr>
      <w:tr w:rsidR="006C17CB">
        <w:trPr>
          <w:trHeight w:val="263"/>
        </w:trPr>
        <w:tc>
          <w:tcPr>
            <w:tcW w:w="4041" w:type="dxa"/>
          </w:tcPr>
          <w:p w:rsidR="006C17CB" w:rsidRDefault="006C17CB">
            <w:pPr>
              <w:pStyle w:val="TableParagraph"/>
              <w:jc w:val="left"/>
              <w:rPr>
                <w:rFonts w:ascii="Times New Roman"/>
                <w:sz w:val="18"/>
              </w:rPr>
            </w:pPr>
          </w:p>
        </w:tc>
        <w:tc>
          <w:tcPr>
            <w:tcW w:w="1125" w:type="dxa"/>
          </w:tcPr>
          <w:p w:rsidR="006C17CB" w:rsidRDefault="0030091C">
            <w:pPr>
              <w:pStyle w:val="TableParagraph"/>
              <w:spacing w:line="225" w:lineRule="exact"/>
              <w:ind w:right="107"/>
              <w:rPr>
                <w:b/>
                <w:sz w:val="20"/>
              </w:rPr>
            </w:pPr>
            <w:r>
              <w:rPr>
                <w:b/>
                <w:color w:val="003366"/>
                <w:w w:val="95"/>
                <w:sz w:val="20"/>
              </w:rPr>
              <w:t>$’000</w:t>
            </w:r>
          </w:p>
        </w:tc>
        <w:tc>
          <w:tcPr>
            <w:tcW w:w="1615" w:type="dxa"/>
          </w:tcPr>
          <w:p w:rsidR="006C17CB" w:rsidRDefault="0030091C">
            <w:pPr>
              <w:pStyle w:val="TableParagraph"/>
              <w:spacing w:line="225" w:lineRule="exact"/>
              <w:ind w:right="289"/>
              <w:rPr>
                <w:b/>
                <w:sz w:val="20"/>
              </w:rPr>
            </w:pPr>
            <w:r>
              <w:rPr>
                <w:b/>
                <w:color w:val="003366"/>
                <w:w w:val="95"/>
                <w:sz w:val="20"/>
              </w:rPr>
              <w:t>$’000</w:t>
            </w:r>
          </w:p>
        </w:tc>
        <w:tc>
          <w:tcPr>
            <w:tcW w:w="1190" w:type="dxa"/>
          </w:tcPr>
          <w:p w:rsidR="006C17CB" w:rsidRDefault="0030091C">
            <w:pPr>
              <w:pStyle w:val="TableParagraph"/>
              <w:spacing w:line="225" w:lineRule="exact"/>
              <w:ind w:right="193"/>
              <w:rPr>
                <w:b/>
                <w:sz w:val="20"/>
              </w:rPr>
            </w:pPr>
            <w:r>
              <w:rPr>
                <w:b/>
                <w:color w:val="003366"/>
                <w:w w:val="95"/>
                <w:sz w:val="20"/>
              </w:rPr>
              <w:t>$’000</w:t>
            </w:r>
          </w:p>
        </w:tc>
        <w:tc>
          <w:tcPr>
            <w:tcW w:w="758" w:type="dxa"/>
          </w:tcPr>
          <w:p w:rsidR="006C17CB" w:rsidRDefault="0030091C">
            <w:pPr>
              <w:pStyle w:val="TableParagraph"/>
              <w:spacing w:line="225" w:lineRule="exact"/>
              <w:ind w:right="106"/>
              <w:rPr>
                <w:b/>
                <w:sz w:val="20"/>
              </w:rPr>
            </w:pPr>
            <w:r>
              <w:rPr>
                <w:b/>
                <w:color w:val="003366"/>
                <w:w w:val="95"/>
                <w:sz w:val="20"/>
              </w:rPr>
              <w:t>$’000</w:t>
            </w:r>
          </w:p>
        </w:tc>
      </w:tr>
      <w:tr w:rsidR="006C17CB">
        <w:trPr>
          <w:trHeight w:val="529"/>
        </w:trPr>
        <w:tc>
          <w:tcPr>
            <w:tcW w:w="4041" w:type="dxa"/>
          </w:tcPr>
          <w:p w:rsidR="006C17CB" w:rsidRDefault="0030091C">
            <w:pPr>
              <w:pStyle w:val="TableParagraph"/>
              <w:spacing w:line="201" w:lineRule="auto"/>
              <w:ind w:left="333" w:right="688" w:hanging="284"/>
              <w:jc w:val="left"/>
              <w:rPr>
                <w:sz w:val="20"/>
              </w:rPr>
            </w:pPr>
            <w:r>
              <w:rPr>
                <w:color w:val="003366"/>
                <w:sz w:val="20"/>
              </w:rPr>
              <w:t>Carrying Amount at the Beginning of the Reporting Period</w:t>
            </w:r>
          </w:p>
        </w:tc>
        <w:tc>
          <w:tcPr>
            <w:tcW w:w="1125" w:type="dxa"/>
          </w:tcPr>
          <w:p w:rsidR="006C17CB" w:rsidRDefault="006C17CB">
            <w:pPr>
              <w:pStyle w:val="TableParagraph"/>
              <w:spacing w:before="1"/>
              <w:jc w:val="left"/>
              <w:rPr>
                <w:sz w:val="14"/>
              </w:rPr>
            </w:pPr>
          </w:p>
          <w:p w:rsidR="006C17CB" w:rsidRDefault="0030091C">
            <w:pPr>
              <w:pStyle w:val="TableParagraph"/>
              <w:ind w:right="107"/>
              <w:rPr>
                <w:sz w:val="20"/>
              </w:rPr>
            </w:pPr>
            <w:r>
              <w:rPr>
                <w:color w:val="003366"/>
                <w:w w:val="95"/>
                <w:sz w:val="20"/>
              </w:rPr>
              <w:t>399</w:t>
            </w:r>
          </w:p>
        </w:tc>
        <w:tc>
          <w:tcPr>
            <w:tcW w:w="1615" w:type="dxa"/>
          </w:tcPr>
          <w:p w:rsidR="006C17CB" w:rsidRDefault="006C17CB">
            <w:pPr>
              <w:pStyle w:val="TableParagraph"/>
              <w:spacing w:before="1"/>
              <w:jc w:val="left"/>
              <w:rPr>
                <w:sz w:val="14"/>
              </w:rPr>
            </w:pPr>
          </w:p>
          <w:p w:rsidR="006C17CB" w:rsidRDefault="0030091C">
            <w:pPr>
              <w:pStyle w:val="TableParagraph"/>
              <w:ind w:right="289"/>
              <w:rPr>
                <w:sz w:val="20"/>
              </w:rPr>
            </w:pPr>
            <w:r>
              <w:rPr>
                <w:color w:val="003366"/>
                <w:w w:val="95"/>
                <w:sz w:val="20"/>
              </w:rPr>
              <w:t>1,413</w:t>
            </w:r>
          </w:p>
        </w:tc>
        <w:tc>
          <w:tcPr>
            <w:tcW w:w="1190" w:type="dxa"/>
          </w:tcPr>
          <w:p w:rsidR="006C17CB" w:rsidRDefault="006C17CB">
            <w:pPr>
              <w:pStyle w:val="TableParagraph"/>
              <w:spacing w:before="1"/>
              <w:jc w:val="left"/>
              <w:rPr>
                <w:sz w:val="14"/>
              </w:rPr>
            </w:pPr>
          </w:p>
          <w:p w:rsidR="006C17CB" w:rsidRDefault="0030091C">
            <w:pPr>
              <w:pStyle w:val="TableParagraph"/>
              <w:ind w:right="193"/>
              <w:rPr>
                <w:sz w:val="20"/>
              </w:rPr>
            </w:pPr>
            <w:r>
              <w:rPr>
                <w:color w:val="003366"/>
                <w:w w:val="95"/>
                <w:sz w:val="20"/>
              </w:rPr>
              <w:t>1,126</w:t>
            </w:r>
          </w:p>
        </w:tc>
        <w:tc>
          <w:tcPr>
            <w:tcW w:w="758" w:type="dxa"/>
          </w:tcPr>
          <w:p w:rsidR="006C17CB" w:rsidRDefault="006C17CB">
            <w:pPr>
              <w:pStyle w:val="TableParagraph"/>
              <w:spacing w:before="1"/>
              <w:jc w:val="left"/>
              <w:rPr>
                <w:sz w:val="14"/>
              </w:rPr>
            </w:pPr>
          </w:p>
          <w:p w:rsidR="006C17CB" w:rsidRDefault="0030091C">
            <w:pPr>
              <w:pStyle w:val="TableParagraph"/>
              <w:ind w:right="106"/>
              <w:rPr>
                <w:sz w:val="20"/>
              </w:rPr>
            </w:pPr>
            <w:r>
              <w:rPr>
                <w:color w:val="003366"/>
                <w:w w:val="95"/>
                <w:sz w:val="20"/>
              </w:rPr>
              <w:t>2,938</w:t>
            </w:r>
          </w:p>
        </w:tc>
      </w:tr>
      <w:tr w:rsidR="006C17CB">
        <w:trPr>
          <w:trHeight w:val="284"/>
        </w:trPr>
        <w:tc>
          <w:tcPr>
            <w:tcW w:w="4041" w:type="dxa"/>
          </w:tcPr>
          <w:p w:rsidR="006C17CB" w:rsidRDefault="0030091C">
            <w:pPr>
              <w:pStyle w:val="TableParagraph"/>
              <w:spacing w:line="245" w:lineRule="exact"/>
              <w:ind w:left="50"/>
              <w:jc w:val="left"/>
              <w:rPr>
                <w:sz w:val="20"/>
              </w:rPr>
            </w:pPr>
            <w:r>
              <w:rPr>
                <w:color w:val="003366"/>
                <w:sz w:val="20"/>
              </w:rPr>
              <w:t>Additions</w:t>
            </w:r>
          </w:p>
        </w:tc>
        <w:tc>
          <w:tcPr>
            <w:tcW w:w="1125" w:type="dxa"/>
          </w:tcPr>
          <w:p w:rsidR="006C17CB" w:rsidRDefault="0030091C">
            <w:pPr>
              <w:pStyle w:val="TableParagraph"/>
              <w:spacing w:line="245" w:lineRule="exact"/>
              <w:ind w:right="107"/>
              <w:rPr>
                <w:sz w:val="20"/>
              </w:rPr>
            </w:pPr>
            <w:r>
              <w:rPr>
                <w:color w:val="003366"/>
                <w:w w:val="95"/>
                <w:sz w:val="20"/>
              </w:rPr>
              <w:t>481</w:t>
            </w:r>
          </w:p>
        </w:tc>
        <w:tc>
          <w:tcPr>
            <w:tcW w:w="1615" w:type="dxa"/>
          </w:tcPr>
          <w:p w:rsidR="006C17CB" w:rsidRDefault="0030091C">
            <w:pPr>
              <w:pStyle w:val="TableParagraph"/>
              <w:spacing w:line="245" w:lineRule="exact"/>
              <w:ind w:right="287"/>
              <w:rPr>
                <w:sz w:val="20"/>
              </w:rPr>
            </w:pPr>
            <w:r>
              <w:rPr>
                <w:color w:val="003366"/>
                <w:w w:val="99"/>
                <w:sz w:val="20"/>
              </w:rPr>
              <w:t>3</w:t>
            </w:r>
          </w:p>
        </w:tc>
        <w:tc>
          <w:tcPr>
            <w:tcW w:w="1190" w:type="dxa"/>
          </w:tcPr>
          <w:p w:rsidR="006C17CB" w:rsidRDefault="0030091C">
            <w:pPr>
              <w:pStyle w:val="TableParagraph"/>
              <w:spacing w:line="245" w:lineRule="exact"/>
              <w:ind w:right="191"/>
              <w:rPr>
                <w:sz w:val="20"/>
              </w:rPr>
            </w:pPr>
            <w:r>
              <w:rPr>
                <w:color w:val="003366"/>
                <w:w w:val="95"/>
                <w:sz w:val="20"/>
              </w:rPr>
              <w:t>39</w:t>
            </w:r>
          </w:p>
        </w:tc>
        <w:tc>
          <w:tcPr>
            <w:tcW w:w="758" w:type="dxa"/>
          </w:tcPr>
          <w:p w:rsidR="006C17CB" w:rsidRDefault="0030091C">
            <w:pPr>
              <w:pStyle w:val="TableParagraph"/>
              <w:spacing w:line="245" w:lineRule="exact"/>
              <w:ind w:right="106"/>
              <w:rPr>
                <w:sz w:val="20"/>
              </w:rPr>
            </w:pPr>
            <w:r>
              <w:rPr>
                <w:color w:val="003366"/>
                <w:w w:val="95"/>
                <w:sz w:val="20"/>
              </w:rPr>
              <w:t>523</w:t>
            </w:r>
          </w:p>
        </w:tc>
      </w:tr>
      <w:tr w:rsidR="006C17CB">
        <w:trPr>
          <w:trHeight w:val="289"/>
        </w:trPr>
        <w:tc>
          <w:tcPr>
            <w:tcW w:w="4041" w:type="dxa"/>
          </w:tcPr>
          <w:p w:rsidR="006C17CB" w:rsidRDefault="0030091C">
            <w:pPr>
              <w:pStyle w:val="TableParagraph"/>
              <w:spacing w:line="246" w:lineRule="exact"/>
              <w:ind w:left="50"/>
              <w:jc w:val="left"/>
              <w:rPr>
                <w:sz w:val="20"/>
              </w:rPr>
            </w:pPr>
            <w:r>
              <w:rPr>
                <w:color w:val="003366"/>
                <w:sz w:val="20"/>
              </w:rPr>
              <w:t>Disposals</w:t>
            </w:r>
          </w:p>
        </w:tc>
        <w:tc>
          <w:tcPr>
            <w:tcW w:w="1125" w:type="dxa"/>
          </w:tcPr>
          <w:p w:rsidR="006C17CB" w:rsidRDefault="0030091C">
            <w:pPr>
              <w:pStyle w:val="TableParagraph"/>
              <w:spacing w:line="246" w:lineRule="exact"/>
              <w:ind w:right="107"/>
              <w:rPr>
                <w:sz w:val="20"/>
              </w:rPr>
            </w:pPr>
            <w:r>
              <w:rPr>
                <w:color w:val="003366"/>
                <w:sz w:val="20"/>
              </w:rPr>
              <w:t>(9)</w:t>
            </w:r>
          </w:p>
        </w:tc>
        <w:tc>
          <w:tcPr>
            <w:tcW w:w="1615" w:type="dxa"/>
          </w:tcPr>
          <w:p w:rsidR="006C17CB" w:rsidRDefault="0030091C">
            <w:pPr>
              <w:pStyle w:val="TableParagraph"/>
              <w:spacing w:line="246" w:lineRule="exact"/>
              <w:ind w:right="288"/>
              <w:rPr>
                <w:sz w:val="20"/>
              </w:rPr>
            </w:pPr>
            <w:r>
              <w:rPr>
                <w:color w:val="003366"/>
                <w:w w:val="99"/>
                <w:sz w:val="20"/>
              </w:rPr>
              <w:t>-</w:t>
            </w:r>
          </w:p>
        </w:tc>
        <w:tc>
          <w:tcPr>
            <w:tcW w:w="1190" w:type="dxa"/>
          </w:tcPr>
          <w:p w:rsidR="006C17CB" w:rsidRDefault="0030091C">
            <w:pPr>
              <w:pStyle w:val="TableParagraph"/>
              <w:spacing w:line="246" w:lineRule="exact"/>
              <w:ind w:right="192"/>
              <w:rPr>
                <w:sz w:val="20"/>
              </w:rPr>
            </w:pPr>
            <w:r>
              <w:rPr>
                <w:color w:val="003366"/>
                <w:w w:val="99"/>
                <w:sz w:val="20"/>
              </w:rPr>
              <w:t>-</w:t>
            </w:r>
          </w:p>
        </w:tc>
        <w:tc>
          <w:tcPr>
            <w:tcW w:w="758" w:type="dxa"/>
          </w:tcPr>
          <w:p w:rsidR="006C17CB" w:rsidRDefault="0030091C">
            <w:pPr>
              <w:pStyle w:val="TableParagraph"/>
              <w:spacing w:line="246" w:lineRule="exact"/>
              <w:ind w:right="106"/>
              <w:rPr>
                <w:sz w:val="20"/>
              </w:rPr>
            </w:pPr>
            <w:r>
              <w:rPr>
                <w:color w:val="003366"/>
                <w:sz w:val="20"/>
              </w:rPr>
              <w:t>(9)</w:t>
            </w:r>
          </w:p>
        </w:tc>
      </w:tr>
      <w:tr w:rsidR="006C17CB">
        <w:trPr>
          <w:trHeight w:val="288"/>
        </w:trPr>
        <w:tc>
          <w:tcPr>
            <w:tcW w:w="4041" w:type="dxa"/>
          </w:tcPr>
          <w:p w:rsidR="006C17CB" w:rsidRDefault="0030091C">
            <w:pPr>
              <w:pStyle w:val="TableParagraph"/>
              <w:spacing w:line="250" w:lineRule="exact"/>
              <w:ind w:left="50"/>
              <w:jc w:val="left"/>
              <w:rPr>
                <w:sz w:val="20"/>
              </w:rPr>
            </w:pPr>
            <w:r>
              <w:rPr>
                <w:color w:val="003366"/>
                <w:sz w:val="20"/>
              </w:rPr>
              <w:t>Revaluation Increment/(Decrement)</w:t>
            </w:r>
          </w:p>
        </w:tc>
        <w:tc>
          <w:tcPr>
            <w:tcW w:w="1125" w:type="dxa"/>
          </w:tcPr>
          <w:p w:rsidR="006C17CB" w:rsidRDefault="0030091C">
            <w:pPr>
              <w:pStyle w:val="TableParagraph"/>
              <w:spacing w:line="250" w:lineRule="exact"/>
              <w:ind w:right="107"/>
              <w:rPr>
                <w:sz w:val="20"/>
              </w:rPr>
            </w:pPr>
            <w:r>
              <w:rPr>
                <w:color w:val="003366"/>
                <w:w w:val="95"/>
                <w:sz w:val="20"/>
              </w:rPr>
              <w:t>148</w:t>
            </w:r>
          </w:p>
        </w:tc>
        <w:tc>
          <w:tcPr>
            <w:tcW w:w="1615" w:type="dxa"/>
          </w:tcPr>
          <w:p w:rsidR="006C17CB" w:rsidRDefault="0030091C">
            <w:pPr>
              <w:pStyle w:val="TableParagraph"/>
              <w:spacing w:line="250" w:lineRule="exact"/>
              <w:ind w:right="289"/>
              <w:rPr>
                <w:sz w:val="20"/>
              </w:rPr>
            </w:pPr>
            <w:r>
              <w:rPr>
                <w:color w:val="003366"/>
                <w:w w:val="95"/>
                <w:sz w:val="20"/>
              </w:rPr>
              <w:t>(62)</w:t>
            </w:r>
          </w:p>
        </w:tc>
        <w:tc>
          <w:tcPr>
            <w:tcW w:w="1190" w:type="dxa"/>
          </w:tcPr>
          <w:p w:rsidR="006C17CB" w:rsidRDefault="0030091C">
            <w:pPr>
              <w:pStyle w:val="TableParagraph"/>
              <w:spacing w:line="250" w:lineRule="exact"/>
              <w:ind w:right="193"/>
              <w:rPr>
                <w:sz w:val="20"/>
              </w:rPr>
            </w:pPr>
            <w:r>
              <w:rPr>
                <w:color w:val="003366"/>
                <w:w w:val="95"/>
                <w:sz w:val="20"/>
              </w:rPr>
              <w:t>227</w:t>
            </w:r>
          </w:p>
        </w:tc>
        <w:tc>
          <w:tcPr>
            <w:tcW w:w="758" w:type="dxa"/>
          </w:tcPr>
          <w:p w:rsidR="006C17CB" w:rsidRDefault="0030091C">
            <w:pPr>
              <w:pStyle w:val="TableParagraph"/>
              <w:spacing w:line="250" w:lineRule="exact"/>
              <w:ind w:right="106"/>
              <w:rPr>
                <w:sz w:val="20"/>
              </w:rPr>
            </w:pPr>
            <w:r>
              <w:rPr>
                <w:color w:val="003366"/>
                <w:w w:val="95"/>
                <w:sz w:val="20"/>
              </w:rPr>
              <w:t>313</w:t>
            </w:r>
          </w:p>
        </w:tc>
      </w:tr>
      <w:tr w:rsidR="006C17CB">
        <w:trPr>
          <w:trHeight w:val="285"/>
        </w:trPr>
        <w:tc>
          <w:tcPr>
            <w:tcW w:w="4041" w:type="dxa"/>
          </w:tcPr>
          <w:p w:rsidR="006C17CB" w:rsidRDefault="0030091C">
            <w:pPr>
              <w:pStyle w:val="TableParagraph"/>
              <w:spacing w:line="245" w:lineRule="exact"/>
              <w:ind w:left="50"/>
              <w:jc w:val="left"/>
              <w:rPr>
                <w:sz w:val="20"/>
              </w:rPr>
            </w:pPr>
            <w:r>
              <w:rPr>
                <w:color w:val="003366"/>
                <w:sz w:val="20"/>
              </w:rPr>
              <w:t>Depreciation</w:t>
            </w:r>
          </w:p>
        </w:tc>
        <w:tc>
          <w:tcPr>
            <w:tcW w:w="4688" w:type="dxa"/>
            <w:gridSpan w:val="4"/>
          </w:tcPr>
          <w:p w:rsidR="006C17CB" w:rsidRDefault="0030091C">
            <w:pPr>
              <w:pStyle w:val="TableParagraph"/>
              <w:tabs>
                <w:tab w:val="left" w:pos="693"/>
                <w:tab w:val="left" w:pos="2025"/>
                <w:tab w:val="left" w:pos="3674"/>
                <w:tab w:val="left" w:pos="4156"/>
              </w:tabs>
              <w:spacing w:line="245" w:lineRule="exact"/>
              <w:ind w:right="-15"/>
              <w:jc w:val="left"/>
              <w:rPr>
                <w:sz w:val="20"/>
              </w:rPr>
            </w:pPr>
            <w:r>
              <w:rPr>
                <w:color w:val="003366"/>
                <w:w w:val="99"/>
                <w:sz w:val="20"/>
                <w:u w:val="single" w:color="003366"/>
              </w:rPr>
              <w:t xml:space="preserve"> </w:t>
            </w:r>
            <w:r>
              <w:rPr>
                <w:color w:val="003366"/>
                <w:sz w:val="20"/>
                <w:u w:val="single" w:color="003366"/>
              </w:rPr>
              <w:tab/>
              <w:t>(44)</w:t>
            </w:r>
            <w:r>
              <w:rPr>
                <w:color w:val="003366"/>
                <w:sz w:val="20"/>
                <w:u w:val="single" w:color="003366"/>
              </w:rPr>
              <w:tab/>
              <w:t>(157)</w:t>
            </w:r>
            <w:r>
              <w:rPr>
                <w:color w:val="003366"/>
                <w:sz w:val="20"/>
                <w:u w:val="single" w:color="003366"/>
              </w:rPr>
              <w:tab/>
              <w:t>-</w:t>
            </w:r>
            <w:r>
              <w:rPr>
                <w:color w:val="003366"/>
                <w:sz w:val="20"/>
                <w:u w:val="single" w:color="003366"/>
              </w:rPr>
              <w:tab/>
              <w:t>(201)</w:t>
            </w:r>
            <w:r>
              <w:rPr>
                <w:color w:val="003366"/>
                <w:spacing w:val="18"/>
                <w:sz w:val="20"/>
                <w:u w:val="single" w:color="003366"/>
              </w:rPr>
              <w:t xml:space="preserve"> </w:t>
            </w:r>
          </w:p>
        </w:tc>
      </w:tr>
      <w:tr w:rsidR="006C17CB">
        <w:trPr>
          <w:trHeight w:val="266"/>
        </w:trPr>
        <w:tc>
          <w:tcPr>
            <w:tcW w:w="4041" w:type="dxa"/>
          </w:tcPr>
          <w:p w:rsidR="006C17CB" w:rsidRDefault="0030091C">
            <w:pPr>
              <w:pStyle w:val="TableParagraph"/>
              <w:spacing w:line="246" w:lineRule="exact"/>
              <w:ind w:left="50"/>
              <w:jc w:val="left"/>
              <w:rPr>
                <w:b/>
                <w:sz w:val="20"/>
              </w:rPr>
            </w:pPr>
            <w:r>
              <w:rPr>
                <w:b/>
                <w:color w:val="003366"/>
                <w:sz w:val="20"/>
              </w:rPr>
              <w:t>Carrying Amount at the End of the Reporting</w:t>
            </w:r>
          </w:p>
        </w:tc>
        <w:tc>
          <w:tcPr>
            <w:tcW w:w="4688" w:type="dxa"/>
            <w:gridSpan w:val="4"/>
          </w:tcPr>
          <w:p w:rsidR="006C17CB" w:rsidRDefault="006C17CB">
            <w:pPr>
              <w:pStyle w:val="TableParagraph"/>
              <w:jc w:val="left"/>
              <w:rPr>
                <w:rFonts w:ascii="Times New Roman"/>
                <w:sz w:val="18"/>
              </w:rPr>
            </w:pPr>
          </w:p>
        </w:tc>
      </w:tr>
      <w:tr w:rsidR="006C17CB">
        <w:trPr>
          <w:trHeight w:val="226"/>
        </w:trPr>
        <w:tc>
          <w:tcPr>
            <w:tcW w:w="4041" w:type="dxa"/>
          </w:tcPr>
          <w:p w:rsidR="006C17CB" w:rsidRDefault="0030091C">
            <w:pPr>
              <w:pStyle w:val="TableParagraph"/>
              <w:spacing w:line="207" w:lineRule="exact"/>
              <w:ind w:left="333"/>
              <w:jc w:val="left"/>
              <w:rPr>
                <w:b/>
                <w:sz w:val="20"/>
              </w:rPr>
            </w:pPr>
            <w:r>
              <w:rPr>
                <w:b/>
                <w:color w:val="003366"/>
                <w:sz w:val="20"/>
              </w:rPr>
              <w:t>Period</w:t>
            </w:r>
          </w:p>
        </w:tc>
        <w:tc>
          <w:tcPr>
            <w:tcW w:w="4688" w:type="dxa"/>
            <w:gridSpan w:val="4"/>
            <w:tcBorders>
              <w:bottom w:val="double" w:sz="1" w:space="0" w:color="003366"/>
            </w:tcBorders>
          </w:tcPr>
          <w:p w:rsidR="006C17CB" w:rsidRDefault="0030091C">
            <w:pPr>
              <w:pStyle w:val="TableParagraph"/>
              <w:tabs>
                <w:tab w:val="left" w:pos="1994"/>
                <w:tab w:val="left" w:pos="3280"/>
                <w:tab w:val="left" w:pos="4125"/>
              </w:tabs>
              <w:spacing w:line="207" w:lineRule="exact"/>
              <w:ind w:left="712"/>
              <w:jc w:val="left"/>
              <w:rPr>
                <w:b/>
                <w:sz w:val="20"/>
              </w:rPr>
            </w:pPr>
            <w:r>
              <w:rPr>
                <w:b/>
                <w:color w:val="003366"/>
                <w:sz w:val="20"/>
              </w:rPr>
              <w:t>975</w:t>
            </w:r>
            <w:r>
              <w:rPr>
                <w:b/>
                <w:color w:val="003366"/>
                <w:sz w:val="20"/>
              </w:rPr>
              <w:tab/>
              <w:t>1,197</w:t>
            </w:r>
            <w:r>
              <w:rPr>
                <w:b/>
                <w:color w:val="003366"/>
                <w:sz w:val="20"/>
              </w:rPr>
              <w:tab/>
              <w:t>1,392</w:t>
            </w:r>
            <w:r>
              <w:rPr>
                <w:b/>
                <w:color w:val="003366"/>
                <w:sz w:val="20"/>
              </w:rPr>
              <w:tab/>
              <w:t>3,564</w:t>
            </w:r>
          </w:p>
        </w:tc>
      </w:tr>
    </w:tbl>
    <w:p w:rsidR="006C17CB" w:rsidRDefault="0030091C">
      <w:pPr>
        <w:spacing w:before="80"/>
        <w:ind w:left="829"/>
        <w:jc w:val="both"/>
        <w:rPr>
          <w:rFonts w:ascii="Calibri"/>
          <w:b/>
          <w:sz w:val="20"/>
        </w:rPr>
      </w:pPr>
      <w:r>
        <w:rPr>
          <w:rFonts w:ascii="Calibri"/>
          <w:b/>
          <w:color w:val="17365D"/>
          <w:sz w:val="20"/>
        </w:rPr>
        <w:t>Fair Value Hierarchy</w:t>
      </w:r>
    </w:p>
    <w:p w:rsidR="006C17CB" w:rsidRDefault="0030091C">
      <w:pPr>
        <w:spacing w:before="51" w:line="204" w:lineRule="auto"/>
        <w:ind w:left="829" w:right="1522"/>
        <w:jc w:val="both"/>
        <w:rPr>
          <w:rFonts w:ascii="Calibri"/>
          <w:sz w:val="20"/>
        </w:rPr>
      </w:pPr>
      <w:r>
        <w:rPr>
          <w:rFonts w:ascii="Calibri"/>
          <w:color w:val="17365D"/>
          <w:sz w:val="20"/>
        </w:rPr>
        <w:t>The Office is required to classify property, plant and equipment into a Fair Value Hierarchy that reflects the significance of the inputs used in determining their fair value. The Fair Value Hierarchy is made up of the following three levels:</w:t>
      </w:r>
    </w:p>
    <w:p w:rsidR="006C17CB" w:rsidRDefault="0030091C">
      <w:pPr>
        <w:pStyle w:val="ListParagraph"/>
        <w:numPr>
          <w:ilvl w:val="1"/>
          <w:numId w:val="16"/>
        </w:numPr>
        <w:tabs>
          <w:tab w:val="left" w:pos="1549"/>
          <w:tab w:val="left" w:pos="1550"/>
        </w:tabs>
        <w:spacing w:before="11" w:line="201" w:lineRule="auto"/>
        <w:ind w:right="1521"/>
        <w:rPr>
          <w:rFonts w:ascii="Calibri" w:hAnsi="Calibri"/>
          <w:sz w:val="20"/>
        </w:rPr>
      </w:pPr>
      <w:r>
        <w:rPr>
          <w:rFonts w:ascii="Calibri" w:hAnsi="Calibri"/>
          <w:color w:val="17365D"/>
          <w:sz w:val="20"/>
        </w:rPr>
        <w:t>Level 1 – quoted prices (unadjusted) in active markets for identical assets or liabilities that the Office can access at the measurement</w:t>
      </w:r>
      <w:r>
        <w:rPr>
          <w:rFonts w:ascii="Calibri" w:hAnsi="Calibri"/>
          <w:color w:val="17365D"/>
          <w:spacing w:val="-3"/>
          <w:sz w:val="20"/>
        </w:rPr>
        <w:t xml:space="preserve"> </w:t>
      </w:r>
      <w:r>
        <w:rPr>
          <w:rFonts w:ascii="Calibri" w:hAnsi="Calibri"/>
          <w:color w:val="17365D"/>
          <w:sz w:val="20"/>
        </w:rPr>
        <w:t>date;</w:t>
      </w:r>
    </w:p>
    <w:p w:rsidR="006C17CB" w:rsidRDefault="0030091C">
      <w:pPr>
        <w:pStyle w:val="ListParagraph"/>
        <w:numPr>
          <w:ilvl w:val="1"/>
          <w:numId w:val="16"/>
        </w:numPr>
        <w:tabs>
          <w:tab w:val="left" w:pos="1549"/>
          <w:tab w:val="left" w:pos="1550"/>
        </w:tabs>
        <w:spacing w:before="15" w:line="201" w:lineRule="auto"/>
        <w:ind w:right="1524"/>
        <w:rPr>
          <w:rFonts w:ascii="Calibri" w:hAnsi="Calibri"/>
          <w:sz w:val="20"/>
        </w:rPr>
      </w:pPr>
      <w:r>
        <w:rPr>
          <w:rFonts w:ascii="Calibri" w:hAnsi="Calibri"/>
          <w:color w:val="17365D"/>
          <w:sz w:val="20"/>
        </w:rPr>
        <w:t>Level</w:t>
      </w:r>
      <w:r>
        <w:rPr>
          <w:rFonts w:ascii="Calibri" w:hAnsi="Calibri"/>
          <w:color w:val="17365D"/>
          <w:spacing w:val="-8"/>
          <w:sz w:val="20"/>
        </w:rPr>
        <w:t xml:space="preserve"> </w:t>
      </w:r>
      <w:r>
        <w:rPr>
          <w:rFonts w:ascii="Calibri" w:hAnsi="Calibri"/>
          <w:color w:val="17365D"/>
          <w:sz w:val="20"/>
        </w:rPr>
        <w:t>2</w:t>
      </w:r>
      <w:r>
        <w:rPr>
          <w:rFonts w:ascii="Calibri" w:hAnsi="Calibri"/>
          <w:color w:val="17365D"/>
          <w:spacing w:val="-8"/>
          <w:sz w:val="20"/>
        </w:rPr>
        <w:t xml:space="preserve"> </w:t>
      </w:r>
      <w:r>
        <w:rPr>
          <w:rFonts w:ascii="Calibri" w:hAnsi="Calibri"/>
          <w:color w:val="17365D"/>
          <w:sz w:val="20"/>
        </w:rPr>
        <w:t>–</w:t>
      </w:r>
      <w:r>
        <w:rPr>
          <w:rFonts w:ascii="Calibri" w:hAnsi="Calibri"/>
          <w:color w:val="17365D"/>
          <w:spacing w:val="-9"/>
          <w:sz w:val="20"/>
        </w:rPr>
        <w:t xml:space="preserve"> </w:t>
      </w:r>
      <w:r>
        <w:rPr>
          <w:rFonts w:ascii="Calibri" w:hAnsi="Calibri"/>
          <w:color w:val="17365D"/>
          <w:sz w:val="20"/>
        </w:rPr>
        <w:t>inputs</w:t>
      </w:r>
      <w:r>
        <w:rPr>
          <w:rFonts w:ascii="Calibri" w:hAnsi="Calibri"/>
          <w:color w:val="17365D"/>
          <w:spacing w:val="-9"/>
          <w:sz w:val="20"/>
        </w:rPr>
        <w:t xml:space="preserve"> </w:t>
      </w:r>
      <w:r>
        <w:rPr>
          <w:rFonts w:ascii="Calibri" w:hAnsi="Calibri"/>
          <w:color w:val="17365D"/>
          <w:sz w:val="20"/>
        </w:rPr>
        <w:t>other</w:t>
      </w:r>
      <w:r>
        <w:rPr>
          <w:rFonts w:ascii="Calibri" w:hAnsi="Calibri"/>
          <w:color w:val="17365D"/>
          <w:spacing w:val="-8"/>
          <w:sz w:val="20"/>
        </w:rPr>
        <w:t xml:space="preserve"> </w:t>
      </w:r>
      <w:r>
        <w:rPr>
          <w:rFonts w:ascii="Calibri" w:hAnsi="Calibri"/>
          <w:color w:val="17365D"/>
          <w:sz w:val="20"/>
        </w:rPr>
        <w:t>than</w:t>
      </w:r>
      <w:r>
        <w:rPr>
          <w:rFonts w:ascii="Calibri" w:hAnsi="Calibri"/>
          <w:color w:val="17365D"/>
          <w:spacing w:val="-7"/>
          <w:sz w:val="20"/>
        </w:rPr>
        <w:t xml:space="preserve"> </w:t>
      </w:r>
      <w:r>
        <w:rPr>
          <w:rFonts w:ascii="Calibri" w:hAnsi="Calibri"/>
          <w:color w:val="17365D"/>
          <w:sz w:val="20"/>
        </w:rPr>
        <w:t>quoted</w:t>
      </w:r>
      <w:r>
        <w:rPr>
          <w:rFonts w:ascii="Calibri" w:hAnsi="Calibri"/>
          <w:color w:val="17365D"/>
          <w:spacing w:val="-7"/>
          <w:sz w:val="20"/>
        </w:rPr>
        <w:t xml:space="preserve"> </w:t>
      </w:r>
      <w:r>
        <w:rPr>
          <w:rFonts w:ascii="Calibri" w:hAnsi="Calibri"/>
          <w:color w:val="17365D"/>
          <w:sz w:val="20"/>
        </w:rPr>
        <w:t>prices</w:t>
      </w:r>
      <w:r>
        <w:rPr>
          <w:rFonts w:ascii="Calibri" w:hAnsi="Calibri"/>
          <w:color w:val="17365D"/>
          <w:spacing w:val="-9"/>
          <w:sz w:val="20"/>
        </w:rPr>
        <w:t xml:space="preserve"> </w:t>
      </w:r>
      <w:r>
        <w:rPr>
          <w:rFonts w:ascii="Calibri" w:hAnsi="Calibri"/>
          <w:color w:val="17365D"/>
          <w:sz w:val="20"/>
        </w:rPr>
        <w:t>included</w:t>
      </w:r>
      <w:r>
        <w:rPr>
          <w:rFonts w:ascii="Calibri" w:hAnsi="Calibri"/>
          <w:color w:val="17365D"/>
          <w:spacing w:val="-7"/>
          <w:sz w:val="20"/>
        </w:rPr>
        <w:t xml:space="preserve"> </w:t>
      </w:r>
      <w:r>
        <w:rPr>
          <w:rFonts w:ascii="Calibri" w:hAnsi="Calibri"/>
          <w:color w:val="17365D"/>
          <w:sz w:val="20"/>
        </w:rPr>
        <w:t>within</w:t>
      </w:r>
      <w:r>
        <w:rPr>
          <w:rFonts w:ascii="Calibri" w:hAnsi="Calibri"/>
          <w:color w:val="17365D"/>
          <w:spacing w:val="-7"/>
          <w:sz w:val="20"/>
        </w:rPr>
        <w:t xml:space="preserve"> </w:t>
      </w:r>
      <w:r>
        <w:rPr>
          <w:rFonts w:ascii="Calibri" w:hAnsi="Calibri"/>
          <w:color w:val="17365D"/>
          <w:sz w:val="20"/>
        </w:rPr>
        <w:t>Level</w:t>
      </w:r>
      <w:r>
        <w:rPr>
          <w:rFonts w:ascii="Calibri" w:hAnsi="Calibri"/>
          <w:color w:val="17365D"/>
          <w:spacing w:val="-8"/>
          <w:sz w:val="20"/>
        </w:rPr>
        <w:t xml:space="preserve"> </w:t>
      </w:r>
      <w:r>
        <w:rPr>
          <w:rFonts w:ascii="Calibri" w:hAnsi="Calibri"/>
          <w:color w:val="17365D"/>
          <w:sz w:val="20"/>
        </w:rPr>
        <w:t>1</w:t>
      </w:r>
      <w:r>
        <w:rPr>
          <w:rFonts w:ascii="Calibri" w:hAnsi="Calibri"/>
          <w:color w:val="17365D"/>
          <w:spacing w:val="-8"/>
          <w:sz w:val="20"/>
        </w:rPr>
        <w:t xml:space="preserve"> </w:t>
      </w:r>
      <w:r>
        <w:rPr>
          <w:rFonts w:ascii="Calibri" w:hAnsi="Calibri"/>
          <w:color w:val="17365D"/>
          <w:sz w:val="20"/>
        </w:rPr>
        <w:t>that</w:t>
      </w:r>
      <w:r>
        <w:rPr>
          <w:rFonts w:ascii="Calibri" w:hAnsi="Calibri"/>
          <w:color w:val="17365D"/>
          <w:spacing w:val="-6"/>
          <w:sz w:val="20"/>
        </w:rPr>
        <w:t xml:space="preserve"> </w:t>
      </w:r>
      <w:r>
        <w:rPr>
          <w:rFonts w:ascii="Calibri" w:hAnsi="Calibri"/>
          <w:color w:val="17365D"/>
          <w:sz w:val="20"/>
        </w:rPr>
        <w:t>are</w:t>
      </w:r>
      <w:r>
        <w:rPr>
          <w:rFonts w:ascii="Calibri" w:hAnsi="Calibri"/>
          <w:color w:val="17365D"/>
          <w:spacing w:val="-8"/>
          <w:sz w:val="20"/>
        </w:rPr>
        <w:t xml:space="preserve"> </w:t>
      </w:r>
      <w:r>
        <w:rPr>
          <w:rFonts w:ascii="Calibri" w:hAnsi="Calibri"/>
          <w:color w:val="17365D"/>
          <w:sz w:val="20"/>
        </w:rPr>
        <w:t>observable</w:t>
      </w:r>
      <w:r>
        <w:rPr>
          <w:rFonts w:ascii="Calibri" w:hAnsi="Calibri"/>
          <w:color w:val="17365D"/>
          <w:spacing w:val="-6"/>
          <w:sz w:val="20"/>
        </w:rPr>
        <w:t xml:space="preserve"> </w:t>
      </w:r>
      <w:r>
        <w:rPr>
          <w:rFonts w:ascii="Calibri" w:hAnsi="Calibri"/>
          <w:color w:val="17365D"/>
          <w:sz w:val="20"/>
        </w:rPr>
        <w:t>for</w:t>
      </w:r>
      <w:r>
        <w:rPr>
          <w:rFonts w:ascii="Calibri" w:hAnsi="Calibri"/>
          <w:color w:val="17365D"/>
          <w:spacing w:val="-8"/>
          <w:sz w:val="20"/>
        </w:rPr>
        <w:t xml:space="preserve"> </w:t>
      </w:r>
      <w:r>
        <w:rPr>
          <w:rFonts w:ascii="Calibri" w:hAnsi="Calibri"/>
          <w:color w:val="17365D"/>
          <w:sz w:val="20"/>
        </w:rPr>
        <w:t>the</w:t>
      </w:r>
      <w:r>
        <w:rPr>
          <w:rFonts w:ascii="Calibri" w:hAnsi="Calibri"/>
          <w:color w:val="17365D"/>
          <w:spacing w:val="-8"/>
          <w:sz w:val="20"/>
        </w:rPr>
        <w:t xml:space="preserve"> </w:t>
      </w:r>
      <w:r>
        <w:rPr>
          <w:rFonts w:ascii="Calibri" w:hAnsi="Calibri"/>
          <w:color w:val="17365D"/>
          <w:sz w:val="20"/>
        </w:rPr>
        <w:t>asset or liability, either directly or indirectly;</w:t>
      </w:r>
      <w:r>
        <w:rPr>
          <w:rFonts w:ascii="Calibri" w:hAnsi="Calibri"/>
          <w:color w:val="17365D"/>
          <w:spacing w:val="-1"/>
          <w:sz w:val="20"/>
        </w:rPr>
        <w:t xml:space="preserve"> </w:t>
      </w:r>
      <w:r>
        <w:rPr>
          <w:rFonts w:ascii="Calibri" w:hAnsi="Calibri"/>
          <w:color w:val="17365D"/>
          <w:sz w:val="20"/>
        </w:rPr>
        <w:t>and</w:t>
      </w:r>
    </w:p>
    <w:p w:rsidR="006C17CB" w:rsidRDefault="0030091C">
      <w:pPr>
        <w:pStyle w:val="ListParagraph"/>
        <w:numPr>
          <w:ilvl w:val="1"/>
          <w:numId w:val="16"/>
        </w:numPr>
        <w:tabs>
          <w:tab w:val="left" w:pos="1549"/>
          <w:tab w:val="left" w:pos="1550"/>
        </w:tabs>
        <w:spacing w:line="266" w:lineRule="exact"/>
        <w:rPr>
          <w:rFonts w:ascii="Calibri" w:hAnsi="Calibri"/>
          <w:sz w:val="20"/>
        </w:rPr>
      </w:pPr>
      <w:r>
        <w:rPr>
          <w:rFonts w:ascii="Calibri" w:hAnsi="Calibri"/>
          <w:color w:val="17365D"/>
          <w:sz w:val="20"/>
        </w:rPr>
        <w:t>Level 3 – inputs that are unobservable for particular assets or</w:t>
      </w:r>
      <w:r>
        <w:rPr>
          <w:rFonts w:ascii="Calibri" w:hAnsi="Calibri"/>
          <w:color w:val="17365D"/>
          <w:spacing w:val="-8"/>
          <w:sz w:val="20"/>
        </w:rPr>
        <w:t xml:space="preserve"> </w:t>
      </w:r>
      <w:r>
        <w:rPr>
          <w:rFonts w:ascii="Calibri" w:hAnsi="Calibri"/>
          <w:color w:val="17365D"/>
          <w:sz w:val="20"/>
        </w:rPr>
        <w:t>liabilities.</w:t>
      </w:r>
    </w:p>
    <w:p w:rsidR="006C17CB" w:rsidRDefault="006C17CB">
      <w:pPr>
        <w:pStyle w:val="BodyText"/>
        <w:spacing w:before="6"/>
        <w:rPr>
          <w:rFonts w:ascii="Calibri"/>
          <w:sz w:val="12"/>
        </w:rPr>
      </w:pPr>
    </w:p>
    <w:p w:rsidR="006C17CB" w:rsidRDefault="0030091C">
      <w:pPr>
        <w:spacing w:before="51" w:line="204" w:lineRule="auto"/>
        <w:ind w:left="829" w:right="1412"/>
        <w:rPr>
          <w:rFonts w:ascii="Calibri" w:hAnsi="Calibri"/>
          <w:sz w:val="20"/>
        </w:rPr>
      </w:pPr>
      <w:r>
        <w:rPr>
          <w:rFonts w:ascii="Calibri" w:hAnsi="Calibri"/>
          <w:color w:val="17365D"/>
          <w:sz w:val="20"/>
        </w:rPr>
        <w:t>Details of the Office’s property, plant and equipment at fair value and information about the Fair Value Hierarchy as at 30 June 2018 are shown below.</w:t>
      </w:r>
    </w:p>
    <w:p w:rsidR="006C17CB" w:rsidRDefault="006C17CB">
      <w:pPr>
        <w:pStyle w:val="BodyText"/>
        <w:spacing w:before="2"/>
        <w:rPr>
          <w:rFonts w:ascii="Calibri"/>
          <w:sz w:val="25"/>
        </w:rPr>
      </w:pPr>
    </w:p>
    <w:p w:rsidR="006C17CB" w:rsidRDefault="0030091C">
      <w:pPr>
        <w:spacing w:line="204" w:lineRule="auto"/>
        <w:ind w:left="4669" w:right="3197"/>
        <w:rPr>
          <w:rFonts w:ascii="Calibri"/>
          <w:b/>
          <w:sz w:val="18"/>
        </w:rPr>
      </w:pPr>
      <w:r>
        <w:rPr>
          <w:rFonts w:ascii="Calibri"/>
          <w:b/>
          <w:color w:val="003366"/>
          <w:sz w:val="18"/>
        </w:rPr>
        <w:t>Classification According to the Fair Value Hierarchy</w:t>
      </w:r>
    </w:p>
    <w:p w:rsidR="006C17CB" w:rsidRDefault="006C17CB">
      <w:pPr>
        <w:spacing w:line="204" w:lineRule="auto"/>
        <w:rPr>
          <w:rFonts w:ascii="Calibri"/>
          <w:sz w:val="18"/>
        </w:rPr>
        <w:sectPr w:rsidR="006C17CB">
          <w:pgSz w:w="11910" w:h="16840"/>
          <w:pgMar w:top="2120" w:right="0" w:bottom="720" w:left="980" w:header="1173" w:footer="523" w:gutter="0"/>
          <w:cols w:space="720"/>
        </w:sectPr>
      </w:pPr>
    </w:p>
    <w:p w:rsidR="006C17CB" w:rsidRDefault="006C17CB">
      <w:pPr>
        <w:pStyle w:val="BodyText"/>
        <w:spacing w:before="5"/>
        <w:rPr>
          <w:rFonts w:ascii="Calibri"/>
          <w:b/>
          <w:sz w:val="14"/>
        </w:rPr>
      </w:pPr>
    </w:p>
    <w:p w:rsidR="006C17CB" w:rsidRDefault="0030091C">
      <w:pPr>
        <w:ind w:left="829"/>
        <w:rPr>
          <w:rFonts w:ascii="Calibri"/>
          <w:b/>
          <w:sz w:val="20"/>
        </w:rPr>
      </w:pPr>
      <w:r>
        <w:rPr>
          <w:rFonts w:ascii="Calibri"/>
          <w:b/>
          <w:color w:val="17365D"/>
          <w:sz w:val="20"/>
        </w:rPr>
        <w:t>2018</w:t>
      </w:r>
    </w:p>
    <w:p w:rsidR="006C17CB" w:rsidRDefault="0030091C">
      <w:pPr>
        <w:spacing w:before="114" w:line="201" w:lineRule="auto"/>
        <w:ind w:left="1112" w:right="22" w:hanging="284"/>
        <w:rPr>
          <w:rFonts w:ascii="Calibri"/>
          <w:b/>
          <w:sz w:val="20"/>
        </w:rPr>
      </w:pPr>
      <w:r>
        <w:rPr>
          <w:rFonts w:ascii="Calibri"/>
          <w:b/>
          <w:color w:val="003366"/>
          <w:sz w:val="20"/>
        </w:rPr>
        <w:t>Property, Plant and Equipment at Fair Value</w:t>
      </w:r>
    </w:p>
    <w:p w:rsidR="006C17CB" w:rsidRDefault="0030091C">
      <w:pPr>
        <w:spacing w:line="229" w:lineRule="exact"/>
        <w:jc w:val="right"/>
        <w:rPr>
          <w:rFonts w:ascii="Calibri"/>
          <w:b/>
          <w:sz w:val="20"/>
        </w:rPr>
      </w:pPr>
      <w:r>
        <w:br w:type="column"/>
      </w:r>
      <w:r>
        <w:rPr>
          <w:rFonts w:ascii="Calibri"/>
          <w:b/>
          <w:color w:val="003366"/>
          <w:sz w:val="20"/>
        </w:rPr>
        <w:t>Level 1</w:t>
      </w:r>
    </w:p>
    <w:p w:rsidR="006C17CB" w:rsidRDefault="0030091C">
      <w:pPr>
        <w:spacing w:line="267" w:lineRule="exact"/>
        <w:jc w:val="right"/>
        <w:rPr>
          <w:rFonts w:ascii="Calibri" w:hAnsi="Calibri"/>
          <w:b/>
          <w:sz w:val="20"/>
        </w:rPr>
      </w:pPr>
      <w:r>
        <w:rPr>
          <w:rFonts w:ascii="Calibri" w:hAnsi="Calibri"/>
          <w:b/>
          <w:color w:val="003366"/>
          <w:sz w:val="20"/>
        </w:rPr>
        <w:t>$’000</w:t>
      </w:r>
    </w:p>
    <w:p w:rsidR="006C17CB" w:rsidRDefault="0030091C">
      <w:pPr>
        <w:spacing w:line="229" w:lineRule="exact"/>
        <w:ind w:left="624"/>
        <w:jc w:val="center"/>
        <w:rPr>
          <w:rFonts w:ascii="Calibri"/>
          <w:b/>
          <w:sz w:val="20"/>
        </w:rPr>
      </w:pPr>
      <w:r>
        <w:br w:type="column"/>
      </w:r>
      <w:r>
        <w:rPr>
          <w:rFonts w:ascii="Calibri"/>
          <w:b/>
          <w:color w:val="003366"/>
          <w:sz w:val="20"/>
        </w:rPr>
        <w:t>Level</w:t>
      </w:r>
      <w:r>
        <w:rPr>
          <w:rFonts w:ascii="Calibri"/>
          <w:b/>
          <w:color w:val="003366"/>
          <w:spacing w:val="-6"/>
          <w:sz w:val="20"/>
        </w:rPr>
        <w:t xml:space="preserve"> </w:t>
      </w:r>
      <w:r>
        <w:rPr>
          <w:rFonts w:ascii="Calibri"/>
          <w:b/>
          <w:color w:val="003366"/>
          <w:sz w:val="20"/>
        </w:rPr>
        <w:t>2</w:t>
      </w:r>
    </w:p>
    <w:p w:rsidR="006C17CB" w:rsidRDefault="0030091C">
      <w:pPr>
        <w:spacing w:line="267" w:lineRule="exact"/>
        <w:ind w:left="744"/>
        <w:jc w:val="center"/>
        <w:rPr>
          <w:rFonts w:ascii="Calibri" w:hAnsi="Calibri"/>
          <w:b/>
          <w:sz w:val="20"/>
        </w:rPr>
      </w:pPr>
      <w:r>
        <w:rPr>
          <w:rFonts w:ascii="Calibri" w:hAnsi="Calibri"/>
          <w:b/>
          <w:color w:val="003366"/>
          <w:w w:val="95"/>
          <w:sz w:val="20"/>
        </w:rPr>
        <w:t>$’000</w:t>
      </w:r>
    </w:p>
    <w:p w:rsidR="006C17CB" w:rsidRDefault="0030091C">
      <w:pPr>
        <w:spacing w:line="229" w:lineRule="exact"/>
        <w:ind w:left="622"/>
        <w:jc w:val="center"/>
        <w:rPr>
          <w:rFonts w:ascii="Calibri"/>
          <w:b/>
          <w:sz w:val="20"/>
        </w:rPr>
      </w:pPr>
      <w:r>
        <w:br w:type="column"/>
      </w:r>
      <w:r>
        <w:rPr>
          <w:rFonts w:ascii="Calibri"/>
          <w:b/>
          <w:color w:val="003366"/>
          <w:sz w:val="20"/>
        </w:rPr>
        <w:t>Level</w:t>
      </w:r>
      <w:r>
        <w:rPr>
          <w:rFonts w:ascii="Calibri"/>
          <w:b/>
          <w:color w:val="003366"/>
          <w:spacing w:val="-6"/>
          <w:sz w:val="20"/>
        </w:rPr>
        <w:t xml:space="preserve"> </w:t>
      </w:r>
      <w:r>
        <w:rPr>
          <w:rFonts w:ascii="Calibri"/>
          <w:b/>
          <w:color w:val="003366"/>
          <w:sz w:val="20"/>
        </w:rPr>
        <w:t>3</w:t>
      </w:r>
    </w:p>
    <w:p w:rsidR="006C17CB" w:rsidRDefault="0030091C">
      <w:pPr>
        <w:spacing w:line="267" w:lineRule="exact"/>
        <w:ind w:left="742"/>
        <w:jc w:val="center"/>
        <w:rPr>
          <w:rFonts w:ascii="Calibri" w:hAnsi="Calibri"/>
          <w:b/>
          <w:sz w:val="20"/>
        </w:rPr>
      </w:pPr>
      <w:r>
        <w:rPr>
          <w:rFonts w:ascii="Calibri" w:hAnsi="Calibri"/>
          <w:b/>
          <w:color w:val="003366"/>
          <w:w w:val="95"/>
          <w:sz w:val="20"/>
        </w:rPr>
        <w:t>$’000</w:t>
      </w:r>
    </w:p>
    <w:p w:rsidR="006C17CB" w:rsidRDefault="0030091C">
      <w:pPr>
        <w:spacing w:line="229" w:lineRule="exact"/>
        <w:ind w:left="773"/>
        <w:rPr>
          <w:rFonts w:ascii="Calibri"/>
          <w:b/>
          <w:sz w:val="20"/>
        </w:rPr>
      </w:pPr>
      <w:r>
        <w:br w:type="column"/>
      </w:r>
      <w:r>
        <w:rPr>
          <w:rFonts w:ascii="Calibri"/>
          <w:b/>
          <w:color w:val="003366"/>
          <w:sz w:val="20"/>
        </w:rPr>
        <w:t>Total</w:t>
      </w:r>
    </w:p>
    <w:p w:rsidR="006C17CB" w:rsidRDefault="0030091C">
      <w:pPr>
        <w:spacing w:line="267" w:lineRule="exact"/>
        <w:ind w:left="742"/>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5" w:space="720" w:equalWidth="0">
            <w:col w:w="4008" w:space="276"/>
            <w:col w:w="1404" w:space="40"/>
            <w:col w:w="1199" w:space="39"/>
            <w:col w:w="1196" w:space="39"/>
            <w:col w:w="2729"/>
          </w:cols>
        </w:sectPr>
      </w:pPr>
    </w:p>
    <w:p w:rsidR="006C17CB" w:rsidRDefault="006C17CB">
      <w:pPr>
        <w:pStyle w:val="BodyText"/>
        <w:spacing w:before="10"/>
        <w:rPr>
          <w:rFonts w:ascii="Calibri"/>
          <w:b/>
          <w:sz w:val="14"/>
        </w:rPr>
      </w:pPr>
    </w:p>
    <w:tbl>
      <w:tblPr>
        <w:tblW w:w="0" w:type="auto"/>
        <w:tblInd w:w="779" w:type="dxa"/>
        <w:tblLayout w:type="fixed"/>
        <w:tblCellMar>
          <w:left w:w="0" w:type="dxa"/>
          <w:right w:w="0" w:type="dxa"/>
        </w:tblCellMar>
        <w:tblLook w:val="01E0" w:firstRow="1" w:lastRow="1" w:firstColumn="1" w:lastColumn="1" w:noHBand="0" w:noVBand="0"/>
      </w:tblPr>
      <w:tblGrid>
        <w:gridCol w:w="3782"/>
        <w:gridCol w:w="4949"/>
      </w:tblGrid>
      <w:tr w:rsidR="006C17CB">
        <w:trPr>
          <w:trHeight w:val="241"/>
        </w:trPr>
        <w:tc>
          <w:tcPr>
            <w:tcW w:w="3782" w:type="dxa"/>
          </w:tcPr>
          <w:p w:rsidR="006C17CB" w:rsidRDefault="0030091C">
            <w:pPr>
              <w:pStyle w:val="TableParagraph"/>
              <w:spacing w:line="203" w:lineRule="exact"/>
              <w:ind w:left="50"/>
              <w:jc w:val="left"/>
              <w:rPr>
                <w:sz w:val="20"/>
              </w:rPr>
            </w:pPr>
            <w:r>
              <w:rPr>
                <w:color w:val="003366"/>
                <w:sz w:val="20"/>
              </w:rPr>
              <w:t>Plant and Equipment</w:t>
            </w:r>
          </w:p>
        </w:tc>
        <w:tc>
          <w:tcPr>
            <w:tcW w:w="4949" w:type="dxa"/>
          </w:tcPr>
          <w:p w:rsidR="006C17CB" w:rsidRDefault="0030091C">
            <w:pPr>
              <w:pStyle w:val="TableParagraph"/>
              <w:tabs>
                <w:tab w:val="left" w:pos="995"/>
                <w:tab w:val="left" w:pos="2231"/>
                <w:tab w:val="left" w:pos="3467"/>
              </w:tabs>
              <w:spacing w:line="203" w:lineRule="exact"/>
              <w:ind w:right="111"/>
              <w:rPr>
                <w:sz w:val="20"/>
              </w:rPr>
            </w:pPr>
            <w:r>
              <w:rPr>
                <w:color w:val="003366"/>
                <w:sz w:val="20"/>
              </w:rPr>
              <w:t>-</w:t>
            </w:r>
            <w:r>
              <w:rPr>
                <w:color w:val="003366"/>
                <w:sz w:val="20"/>
              </w:rPr>
              <w:tab/>
              <w:t>697</w:t>
            </w:r>
            <w:r>
              <w:rPr>
                <w:color w:val="003366"/>
                <w:sz w:val="20"/>
              </w:rPr>
              <w:tab/>
              <w:t>128</w:t>
            </w:r>
            <w:r>
              <w:rPr>
                <w:color w:val="003366"/>
                <w:sz w:val="20"/>
              </w:rPr>
              <w:tab/>
            </w:r>
            <w:r>
              <w:rPr>
                <w:color w:val="003366"/>
                <w:spacing w:val="-2"/>
                <w:sz w:val="20"/>
              </w:rPr>
              <w:t>825</w:t>
            </w:r>
          </w:p>
        </w:tc>
      </w:tr>
      <w:tr w:rsidR="006C17CB">
        <w:trPr>
          <w:trHeight w:val="284"/>
        </w:trPr>
        <w:tc>
          <w:tcPr>
            <w:tcW w:w="3782" w:type="dxa"/>
          </w:tcPr>
          <w:p w:rsidR="006C17CB" w:rsidRDefault="0030091C">
            <w:pPr>
              <w:pStyle w:val="TableParagraph"/>
              <w:spacing w:line="245" w:lineRule="exact"/>
              <w:ind w:left="50"/>
              <w:jc w:val="left"/>
              <w:rPr>
                <w:sz w:val="20"/>
              </w:rPr>
            </w:pPr>
            <w:r>
              <w:rPr>
                <w:color w:val="003366"/>
                <w:sz w:val="20"/>
              </w:rPr>
              <w:t>Leasehold Improvements</w:t>
            </w:r>
          </w:p>
        </w:tc>
        <w:tc>
          <w:tcPr>
            <w:tcW w:w="4949" w:type="dxa"/>
          </w:tcPr>
          <w:p w:rsidR="006C17CB" w:rsidRDefault="0030091C">
            <w:pPr>
              <w:pStyle w:val="TableParagraph"/>
              <w:tabs>
                <w:tab w:val="left" w:pos="1238"/>
                <w:tab w:val="left" w:pos="2080"/>
                <w:tab w:val="left" w:pos="3316"/>
              </w:tabs>
              <w:spacing w:line="245" w:lineRule="exact"/>
              <w:ind w:right="111"/>
              <w:rPr>
                <w:sz w:val="20"/>
              </w:rPr>
            </w:pPr>
            <w:r>
              <w:rPr>
                <w:color w:val="003366"/>
                <w:sz w:val="20"/>
              </w:rPr>
              <w:t>-</w:t>
            </w:r>
            <w:r>
              <w:rPr>
                <w:color w:val="003366"/>
                <w:sz w:val="20"/>
              </w:rPr>
              <w:tab/>
              <w:t>-</w:t>
            </w:r>
            <w:r>
              <w:rPr>
                <w:color w:val="003366"/>
                <w:sz w:val="20"/>
              </w:rPr>
              <w:tab/>
              <w:t>1,047</w:t>
            </w:r>
            <w:r>
              <w:rPr>
                <w:color w:val="003366"/>
                <w:sz w:val="20"/>
              </w:rPr>
              <w:tab/>
            </w:r>
            <w:r>
              <w:rPr>
                <w:color w:val="003366"/>
                <w:spacing w:val="-1"/>
                <w:w w:val="95"/>
                <w:sz w:val="20"/>
              </w:rPr>
              <w:t>1,047</w:t>
            </w:r>
          </w:p>
        </w:tc>
      </w:tr>
      <w:tr w:rsidR="006C17CB">
        <w:trPr>
          <w:trHeight w:val="286"/>
        </w:trPr>
        <w:tc>
          <w:tcPr>
            <w:tcW w:w="3782" w:type="dxa"/>
          </w:tcPr>
          <w:p w:rsidR="006C17CB" w:rsidRDefault="0030091C">
            <w:pPr>
              <w:pStyle w:val="TableParagraph"/>
              <w:spacing w:line="246" w:lineRule="exact"/>
              <w:ind w:left="50"/>
              <w:jc w:val="left"/>
              <w:rPr>
                <w:sz w:val="20"/>
              </w:rPr>
            </w:pPr>
            <w:r>
              <w:rPr>
                <w:color w:val="003366"/>
                <w:sz w:val="20"/>
              </w:rPr>
              <w:t>Heritage Assets</w:t>
            </w:r>
          </w:p>
        </w:tc>
        <w:tc>
          <w:tcPr>
            <w:tcW w:w="4949" w:type="dxa"/>
          </w:tcPr>
          <w:p w:rsidR="006C17CB" w:rsidRDefault="0030091C">
            <w:pPr>
              <w:pStyle w:val="TableParagraph"/>
              <w:tabs>
                <w:tab w:val="left" w:pos="1065"/>
                <w:tab w:val="left" w:pos="2061"/>
                <w:tab w:val="left" w:pos="3297"/>
                <w:tab w:val="left" w:pos="4382"/>
              </w:tabs>
              <w:spacing w:line="246" w:lineRule="exact"/>
              <w:rPr>
                <w:sz w:val="20"/>
              </w:rPr>
            </w:pPr>
            <w:r>
              <w:rPr>
                <w:color w:val="003366"/>
                <w:w w:val="99"/>
                <w:sz w:val="20"/>
                <w:u w:val="single" w:color="003366"/>
              </w:rPr>
              <w:t xml:space="preserve"> </w:t>
            </w:r>
            <w:r>
              <w:rPr>
                <w:color w:val="003366"/>
                <w:sz w:val="20"/>
                <w:u w:val="single" w:color="003366"/>
              </w:rPr>
              <w:tab/>
              <w:t>-</w:t>
            </w:r>
            <w:r>
              <w:rPr>
                <w:color w:val="003366"/>
                <w:sz w:val="20"/>
                <w:u w:val="single" w:color="003366"/>
              </w:rPr>
              <w:tab/>
              <w:t>755</w:t>
            </w:r>
            <w:r>
              <w:rPr>
                <w:color w:val="003366"/>
                <w:sz w:val="20"/>
                <w:u w:val="single" w:color="003366"/>
              </w:rPr>
              <w:tab/>
              <w:t>667</w:t>
            </w:r>
            <w:r>
              <w:rPr>
                <w:color w:val="003366"/>
                <w:sz w:val="20"/>
                <w:u w:val="single" w:color="003366"/>
              </w:rPr>
              <w:tab/>
            </w:r>
            <w:r>
              <w:rPr>
                <w:color w:val="003366"/>
                <w:spacing w:val="-1"/>
                <w:sz w:val="20"/>
                <w:u w:val="single" w:color="003366"/>
              </w:rPr>
              <w:t>1,422</w:t>
            </w:r>
            <w:r>
              <w:rPr>
                <w:color w:val="003366"/>
                <w:spacing w:val="21"/>
                <w:sz w:val="20"/>
                <w:u w:val="single" w:color="003366"/>
              </w:rPr>
              <w:t xml:space="preserve"> </w:t>
            </w:r>
          </w:p>
        </w:tc>
      </w:tr>
      <w:tr w:rsidR="006C17CB">
        <w:trPr>
          <w:trHeight w:val="248"/>
        </w:trPr>
        <w:tc>
          <w:tcPr>
            <w:tcW w:w="3782" w:type="dxa"/>
          </w:tcPr>
          <w:p w:rsidR="006C17CB" w:rsidRDefault="006C17CB">
            <w:pPr>
              <w:pStyle w:val="TableParagraph"/>
              <w:jc w:val="left"/>
              <w:rPr>
                <w:rFonts w:ascii="Times New Roman"/>
                <w:sz w:val="18"/>
              </w:rPr>
            </w:pPr>
          </w:p>
        </w:tc>
        <w:tc>
          <w:tcPr>
            <w:tcW w:w="4949" w:type="dxa"/>
            <w:tcBorders>
              <w:bottom w:val="double" w:sz="1" w:space="0" w:color="003366"/>
            </w:tcBorders>
          </w:tcPr>
          <w:p w:rsidR="006C17CB" w:rsidRDefault="0030091C">
            <w:pPr>
              <w:pStyle w:val="TableParagraph"/>
              <w:tabs>
                <w:tab w:val="left" w:pos="844"/>
                <w:tab w:val="left" w:pos="2080"/>
                <w:tab w:val="left" w:pos="3316"/>
              </w:tabs>
              <w:spacing w:line="228" w:lineRule="exact"/>
              <w:ind w:right="111"/>
              <w:rPr>
                <w:b/>
                <w:sz w:val="20"/>
              </w:rPr>
            </w:pPr>
            <w:r>
              <w:rPr>
                <w:b/>
                <w:color w:val="003366"/>
                <w:sz w:val="20"/>
              </w:rPr>
              <w:t>-</w:t>
            </w:r>
            <w:r>
              <w:rPr>
                <w:b/>
                <w:color w:val="003366"/>
                <w:sz w:val="20"/>
              </w:rPr>
              <w:tab/>
              <w:t>1,452</w:t>
            </w:r>
            <w:r>
              <w:rPr>
                <w:b/>
                <w:color w:val="003366"/>
                <w:sz w:val="20"/>
              </w:rPr>
              <w:tab/>
              <w:t>1,842</w:t>
            </w:r>
            <w:r>
              <w:rPr>
                <w:b/>
                <w:color w:val="003366"/>
                <w:sz w:val="20"/>
              </w:rPr>
              <w:tab/>
            </w:r>
            <w:r>
              <w:rPr>
                <w:b/>
                <w:color w:val="003366"/>
                <w:spacing w:val="-2"/>
                <w:sz w:val="20"/>
              </w:rPr>
              <w:t>3,294</w:t>
            </w:r>
          </w:p>
        </w:tc>
      </w:tr>
    </w:tbl>
    <w:p w:rsidR="006C17CB" w:rsidRDefault="006C17CB">
      <w:pPr>
        <w:spacing w:line="228" w:lineRule="exact"/>
        <w:rPr>
          <w:sz w:val="20"/>
        </w:rPr>
        <w:sectPr w:rsidR="006C17CB">
          <w:type w:val="continuous"/>
          <w:pgSz w:w="11910" w:h="16840"/>
          <w:pgMar w:top="1580" w:right="0" w:bottom="280" w:left="980" w:header="720" w:footer="720" w:gutter="0"/>
          <w:cols w:space="720"/>
        </w:sectPr>
      </w:pPr>
    </w:p>
    <w:p w:rsidR="006C17CB" w:rsidRDefault="006C17CB">
      <w:pPr>
        <w:pStyle w:val="BodyText"/>
        <w:spacing w:before="2"/>
        <w:rPr>
          <w:rFonts w:ascii="Calibri"/>
          <w:b/>
          <w:sz w:val="21"/>
        </w:rPr>
      </w:pPr>
    </w:p>
    <w:p w:rsidR="006C17CB" w:rsidRDefault="0030091C">
      <w:pPr>
        <w:spacing w:before="56" w:line="204" w:lineRule="auto"/>
        <w:ind w:left="4669" w:right="3197"/>
        <w:rPr>
          <w:rFonts w:ascii="Calibri"/>
          <w:b/>
          <w:sz w:val="18"/>
        </w:rPr>
      </w:pPr>
      <w:r>
        <w:rPr>
          <w:rFonts w:ascii="Calibri"/>
          <w:b/>
          <w:color w:val="003366"/>
          <w:sz w:val="18"/>
        </w:rPr>
        <w:t>Classification According to the Fair Value Hierarchy</w:t>
      </w:r>
    </w:p>
    <w:p w:rsidR="006C17CB" w:rsidRDefault="006C17CB">
      <w:pPr>
        <w:spacing w:line="204" w:lineRule="auto"/>
        <w:rPr>
          <w:rFonts w:ascii="Calibri"/>
          <w:sz w:val="18"/>
        </w:rPr>
        <w:sectPr w:rsidR="006C17CB">
          <w:headerReference w:type="even" r:id="rId159"/>
          <w:headerReference w:type="default" r:id="rId160"/>
          <w:pgSz w:w="11910" w:h="16840"/>
          <w:pgMar w:top="2780" w:right="0" w:bottom="740" w:left="980" w:header="1173" w:footer="551" w:gutter="0"/>
          <w:cols w:space="720"/>
        </w:sectPr>
      </w:pPr>
    </w:p>
    <w:p w:rsidR="006C17CB" w:rsidRDefault="006C17CB">
      <w:pPr>
        <w:pStyle w:val="BodyText"/>
        <w:spacing w:before="5"/>
        <w:rPr>
          <w:rFonts w:ascii="Calibri"/>
          <w:b/>
          <w:sz w:val="14"/>
        </w:rPr>
      </w:pPr>
    </w:p>
    <w:p w:rsidR="006C17CB" w:rsidRDefault="0030091C">
      <w:pPr>
        <w:ind w:left="829"/>
        <w:rPr>
          <w:rFonts w:ascii="Calibri"/>
          <w:b/>
          <w:sz w:val="20"/>
        </w:rPr>
      </w:pPr>
      <w:r>
        <w:rPr>
          <w:rFonts w:ascii="Calibri"/>
          <w:b/>
          <w:color w:val="17365D"/>
          <w:sz w:val="20"/>
        </w:rPr>
        <w:t>2017</w:t>
      </w:r>
    </w:p>
    <w:p w:rsidR="006C17CB" w:rsidRDefault="0030091C">
      <w:pPr>
        <w:spacing w:before="114" w:line="201" w:lineRule="auto"/>
        <w:ind w:left="1112" w:right="22" w:hanging="284"/>
        <w:rPr>
          <w:rFonts w:ascii="Calibri"/>
          <w:b/>
          <w:sz w:val="20"/>
        </w:rPr>
      </w:pPr>
      <w:r>
        <w:rPr>
          <w:rFonts w:ascii="Calibri"/>
          <w:b/>
          <w:color w:val="003366"/>
          <w:sz w:val="20"/>
        </w:rPr>
        <w:t>Property, Plant and Equipment at Fair Value</w:t>
      </w:r>
    </w:p>
    <w:p w:rsidR="006C17CB" w:rsidRDefault="0030091C">
      <w:pPr>
        <w:spacing w:line="229" w:lineRule="exact"/>
        <w:jc w:val="right"/>
        <w:rPr>
          <w:rFonts w:ascii="Calibri"/>
          <w:b/>
          <w:sz w:val="20"/>
        </w:rPr>
      </w:pPr>
      <w:r>
        <w:br w:type="column"/>
      </w:r>
      <w:r>
        <w:rPr>
          <w:rFonts w:ascii="Calibri"/>
          <w:b/>
          <w:color w:val="003366"/>
          <w:sz w:val="20"/>
        </w:rPr>
        <w:t>Level 1</w:t>
      </w:r>
    </w:p>
    <w:p w:rsidR="006C17CB" w:rsidRDefault="0030091C">
      <w:pPr>
        <w:spacing w:line="267" w:lineRule="exact"/>
        <w:jc w:val="right"/>
        <w:rPr>
          <w:rFonts w:ascii="Calibri" w:hAnsi="Calibri"/>
          <w:b/>
          <w:sz w:val="20"/>
        </w:rPr>
      </w:pPr>
      <w:r>
        <w:rPr>
          <w:rFonts w:ascii="Calibri" w:hAnsi="Calibri"/>
          <w:b/>
          <w:color w:val="003366"/>
          <w:sz w:val="20"/>
        </w:rPr>
        <w:t>$’000</w:t>
      </w:r>
    </w:p>
    <w:p w:rsidR="006C17CB" w:rsidRDefault="0030091C">
      <w:pPr>
        <w:spacing w:line="229" w:lineRule="exact"/>
        <w:ind w:left="624"/>
        <w:jc w:val="center"/>
        <w:rPr>
          <w:rFonts w:ascii="Calibri"/>
          <w:b/>
          <w:sz w:val="20"/>
        </w:rPr>
      </w:pPr>
      <w:r>
        <w:br w:type="column"/>
      </w:r>
      <w:r>
        <w:rPr>
          <w:rFonts w:ascii="Calibri"/>
          <w:b/>
          <w:color w:val="003366"/>
          <w:sz w:val="20"/>
        </w:rPr>
        <w:t>Level</w:t>
      </w:r>
      <w:r>
        <w:rPr>
          <w:rFonts w:ascii="Calibri"/>
          <w:b/>
          <w:color w:val="003366"/>
          <w:spacing w:val="-6"/>
          <w:sz w:val="20"/>
        </w:rPr>
        <w:t xml:space="preserve"> </w:t>
      </w:r>
      <w:r>
        <w:rPr>
          <w:rFonts w:ascii="Calibri"/>
          <w:b/>
          <w:color w:val="003366"/>
          <w:sz w:val="20"/>
        </w:rPr>
        <w:t>2</w:t>
      </w:r>
    </w:p>
    <w:p w:rsidR="006C17CB" w:rsidRDefault="0030091C">
      <w:pPr>
        <w:spacing w:line="267" w:lineRule="exact"/>
        <w:ind w:left="744"/>
        <w:jc w:val="center"/>
        <w:rPr>
          <w:rFonts w:ascii="Calibri" w:hAnsi="Calibri"/>
          <w:b/>
          <w:sz w:val="20"/>
        </w:rPr>
      </w:pPr>
      <w:r>
        <w:rPr>
          <w:rFonts w:ascii="Calibri" w:hAnsi="Calibri"/>
          <w:b/>
          <w:color w:val="003366"/>
          <w:w w:val="95"/>
          <w:sz w:val="20"/>
        </w:rPr>
        <w:t>$’000</w:t>
      </w:r>
    </w:p>
    <w:p w:rsidR="006C17CB" w:rsidRDefault="0030091C">
      <w:pPr>
        <w:spacing w:line="229" w:lineRule="exact"/>
        <w:ind w:left="622"/>
        <w:jc w:val="center"/>
        <w:rPr>
          <w:rFonts w:ascii="Calibri"/>
          <w:b/>
          <w:sz w:val="20"/>
        </w:rPr>
      </w:pPr>
      <w:r>
        <w:br w:type="column"/>
      </w:r>
      <w:r>
        <w:rPr>
          <w:rFonts w:ascii="Calibri"/>
          <w:b/>
          <w:color w:val="003366"/>
          <w:sz w:val="20"/>
        </w:rPr>
        <w:t>Level</w:t>
      </w:r>
      <w:r>
        <w:rPr>
          <w:rFonts w:ascii="Calibri"/>
          <w:b/>
          <w:color w:val="003366"/>
          <w:spacing w:val="-6"/>
          <w:sz w:val="20"/>
        </w:rPr>
        <w:t xml:space="preserve"> </w:t>
      </w:r>
      <w:r>
        <w:rPr>
          <w:rFonts w:ascii="Calibri"/>
          <w:b/>
          <w:color w:val="003366"/>
          <w:sz w:val="20"/>
        </w:rPr>
        <w:t>3</w:t>
      </w:r>
    </w:p>
    <w:p w:rsidR="006C17CB" w:rsidRDefault="0030091C">
      <w:pPr>
        <w:spacing w:line="267" w:lineRule="exact"/>
        <w:ind w:left="742"/>
        <w:jc w:val="center"/>
        <w:rPr>
          <w:rFonts w:ascii="Calibri" w:hAnsi="Calibri"/>
          <w:b/>
          <w:sz w:val="20"/>
        </w:rPr>
      </w:pPr>
      <w:r>
        <w:rPr>
          <w:rFonts w:ascii="Calibri" w:hAnsi="Calibri"/>
          <w:b/>
          <w:color w:val="003366"/>
          <w:w w:val="95"/>
          <w:sz w:val="20"/>
        </w:rPr>
        <w:t>$’000</w:t>
      </w:r>
    </w:p>
    <w:p w:rsidR="006C17CB" w:rsidRDefault="0030091C">
      <w:pPr>
        <w:spacing w:line="229" w:lineRule="exact"/>
        <w:ind w:left="773"/>
        <w:rPr>
          <w:rFonts w:ascii="Calibri"/>
          <w:b/>
          <w:sz w:val="20"/>
        </w:rPr>
      </w:pPr>
      <w:r>
        <w:br w:type="column"/>
      </w:r>
      <w:r>
        <w:rPr>
          <w:rFonts w:ascii="Calibri"/>
          <w:b/>
          <w:color w:val="003366"/>
          <w:sz w:val="20"/>
        </w:rPr>
        <w:t>Total</w:t>
      </w:r>
    </w:p>
    <w:p w:rsidR="006C17CB" w:rsidRDefault="0030091C">
      <w:pPr>
        <w:spacing w:line="267" w:lineRule="exact"/>
        <w:ind w:left="742"/>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5" w:space="720" w:equalWidth="0">
            <w:col w:w="4008" w:space="276"/>
            <w:col w:w="1404" w:space="40"/>
            <w:col w:w="1199" w:space="39"/>
            <w:col w:w="1196" w:space="39"/>
            <w:col w:w="2729"/>
          </w:cols>
        </w:sectPr>
      </w:pPr>
    </w:p>
    <w:p w:rsidR="006C17CB" w:rsidRDefault="006C17CB">
      <w:pPr>
        <w:pStyle w:val="BodyText"/>
        <w:spacing w:before="9"/>
        <w:rPr>
          <w:rFonts w:ascii="Calibri"/>
          <w:b/>
          <w:sz w:val="14"/>
        </w:rPr>
      </w:pPr>
    </w:p>
    <w:tbl>
      <w:tblPr>
        <w:tblW w:w="0" w:type="auto"/>
        <w:tblInd w:w="779" w:type="dxa"/>
        <w:tblLayout w:type="fixed"/>
        <w:tblCellMar>
          <w:left w:w="0" w:type="dxa"/>
          <w:right w:w="0" w:type="dxa"/>
        </w:tblCellMar>
        <w:tblLook w:val="01E0" w:firstRow="1" w:lastRow="1" w:firstColumn="1" w:lastColumn="1" w:noHBand="0" w:noVBand="0"/>
      </w:tblPr>
      <w:tblGrid>
        <w:gridCol w:w="3782"/>
        <w:gridCol w:w="4949"/>
      </w:tblGrid>
      <w:tr w:rsidR="006C17CB">
        <w:trPr>
          <w:trHeight w:val="241"/>
        </w:trPr>
        <w:tc>
          <w:tcPr>
            <w:tcW w:w="3782" w:type="dxa"/>
          </w:tcPr>
          <w:p w:rsidR="006C17CB" w:rsidRDefault="0030091C">
            <w:pPr>
              <w:pStyle w:val="TableParagraph"/>
              <w:spacing w:line="203" w:lineRule="exact"/>
              <w:ind w:left="50"/>
              <w:jc w:val="left"/>
              <w:rPr>
                <w:sz w:val="20"/>
              </w:rPr>
            </w:pPr>
            <w:r>
              <w:rPr>
                <w:color w:val="003366"/>
                <w:sz w:val="20"/>
              </w:rPr>
              <w:t>Plant and Equipment</w:t>
            </w:r>
          </w:p>
        </w:tc>
        <w:tc>
          <w:tcPr>
            <w:tcW w:w="4949" w:type="dxa"/>
          </w:tcPr>
          <w:p w:rsidR="006C17CB" w:rsidRDefault="0030091C">
            <w:pPr>
              <w:pStyle w:val="TableParagraph"/>
              <w:tabs>
                <w:tab w:val="left" w:pos="995"/>
                <w:tab w:val="left" w:pos="2231"/>
                <w:tab w:val="left" w:pos="3467"/>
              </w:tabs>
              <w:spacing w:line="203" w:lineRule="exact"/>
              <w:ind w:right="111"/>
              <w:rPr>
                <w:sz w:val="20"/>
              </w:rPr>
            </w:pPr>
            <w:r>
              <w:rPr>
                <w:color w:val="003366"/>
                <w:sz w:val="20"/>
              </w:rPr>
              <w:t>-</w:t>
            </w:r>
            <w:r>
              <w:rPr>
                <w:color w:val="003366"/>
                <w:sz w:val="20"/>
              </w:rPr>
              <w:tab/>
              <w:t>752</w:t>
            </w:r>
            <w:r>
              <w:rPr>
                <w:color w:val="003366"/>
                <w:sz w:val="20"/>
              </w:rPr>
              <w:tab/>
              <w:t>223</w:t>
            </w:r>
            <w:r>
              <w:rPr>
                <w:color w:val="003366"/>
                <w:sz w:val="20"/>
              </w:rPr>
              <w:tab/>
            </w:r>
            <w:r>
              <w:rPr>
                <w:color w:val="003366"/>
                <w:spacing w:val="-2"/>
                <w:sz w:val="20"/>
              </w:rPr>
              <w:t>975</w:t>
            </w:r>
          </w:p>
        </w:tc>
      </w:tr>
      <w:tr w:rsidR="006C17CB">
        <w:trPr>
          <w:trHeight w:val="284"/>
        </w:trPr>
        <w:tc>
          <w:tcPr>
            <w:tcW w:w="3782" w:type="dxa"/>
          </w:tcPr>
          <w:p w:rsidR="006C17CB" w:rsidRDefault="0030091C">
            <w:pPr>
              <w:pStyle w:val="TableParagraph"/>
              <w:spacing w:line="245" w:lineRule="exact"/>
              <w:ind w:left="50"/>
              <w:jc w:val="left"/>
              <w:rPr>
                <w:sz w:val="20"/>
              </w:rPr>
            </w:pPr>
            <w:r>
              <w:rPr>
                <w:color w:val="003366"/>
                <w:sz w:val="20"/>
              </w:rPr>
              <w:t>Leasehold Improvements</w:t>
            </w:r>
          </w:p>
        </w:tc>
        <w:tc>
          <w:tcPr>
            <w:tcW w:w="4949" w:type="dxa"/>
          </w:tcPr>
          <w:p w:rsidR="006C17CB" w:rsidRDefault="0030091C">
            <w:pPr>
              <w:pStyle w:val="TableParagraph"/>
              <w:tabs>
                <w:tab w:val="left" w:pos="1238"/>
                <w:tab w:val="left" w:pos="2080"/>
                <w:tab w:val="left" w:pos="3316"/>
              </w:tabs>
              <w:spacing w:line="245" w:lineRule="exact"/>
              <w:ind w:right="111"/>
              <w:rPr>
                <w:sz w:val="20"/>
              </w:rPr>
            </w:pPr>
            <w:r>
              <w:rPr>
                <w:color w:val="003366"/>
                <w:sz w:val="20"/>
              </w:rPr>
              <w:t>-</w:t>
            </w:r>
            <w:r>
              <w:rPr>
                <w:color w:val="003366"/>
                <w:sz w:val="20"/>
              </w:rPr>
              <w:tab/>
              <w:t>-</w:t>
            </w:r>
            <w:r>
              <w:rPr>
                <w:color w:val="003366"/>
                <w:sz w:val="20"/>
              </w:rPr>
              <w:tab/>
              <w:t>1,197</w:t>
            </w:r>
            <w:r>
              <w:rPr>
                <w:color w:val="003366"/>
                <w:sz w:val="20"/>
              </w:rPr>
              <w:tab/>
            </w:r>
            <w:r>
              <w:rPr>
                <w:color w:val="003366"/>
                <w:spacing w:val="-1"/>
                <w:w w:val="95"/>
                <w:sz w:val="20"/>
              </w:rPr>
              <w:t>1,197</w:t>
            </w:r>
          </w:p>
        </w:tc>
      </w:tr>
      <w:tr w:rsidR="006C17CB">
        <w:trPr>
          <w:trHeight w:val="286"/>
        </w:trPr>
        <w:tc>
          <w:tcPr>
            <w:tcW w:w="3782" w:type="dxa"/>
          </w:tcPr>
          <w:p w:rsidR="006C17CB" w:rsidRDefault="0030091C">
            <w:pPr>
              <w:pStyle w:val="TableParagraph"/>
              <w:spacing w:line="246" w:lineRule="exact"/>
              <w:ind w:left="50"/>
              <w:jc w:val="left"/>
              <w:rPr>
                <w:sz w:val="20"/>
              </w:rPr>
            </w:pPr>
            <w:r>
              <w:rPr>
                <w:color w:val="003366"/>
                <w:sz w:val="20"/>
              </w:rPr>
              <w:t>Heritage Assets</w:t>
            </w:r>
          </w:p>
        </w:tc>
        <w:tc>
          <w:tcPr>
            <w:tcW w:w="4949" w:type="dxa"/>
          </w:tcPr>
          <w:p w:rsidR="006C17CB" w:rsidRDefault="0030091C">
            <w:pPr>
              <w:pStyle w:val="TableParagraph"/>
              <w:tabs>
                <w:tab w:val="left" w:pos="1065"/>
                <w:tab w:val="left" w:pos="2061"/>
                <w:tab w:val="left" w:pos="3297"/>
                <w:tab w:val="left" w:pos="4382"/>
              </w:tabs>
              <w:spacing w:line="246" w:lineRule="exact"/>
              <w:rPr>
                <w:sz w:val="20"/>
              </w:rPr>
            </w:pPr>
            <w:r>
              <w:rPr>
                <w:color w:val="003366"/>
                <w:w w:val="99"/>
                <w:sz w:val="20"/>
                <w:u w:val="single" w:color="003366"/>
              </w:rPr>
              <w:t xml:space="preserve"> </w:t>
            </w:r>
            <w:r>
              <w:rPr>
                <w:color w:val="003366"/>
                <w:sz w:val="20"/>
                <w:u w:val="single" w:color="003366"/>
              </w:rPr>
              <w:tab/>
              <w:t>-</w:t>
            </w:r>
            <w:r>
              <w:rPr>
                <w:color w:val="003366"/>
                <w:sz w:val="20"/>
                <w:u w:val="single" w:color="003366"/>
              </w:rPr>
              <w:tab/>
              <w:t>730</w:t>
            </w:r>
            <w:r>
              <w:rPr>
                <w:color w:val="003366"/>
                <w:sz w:val="20"/>
                <w:u w:val="single" w:color="003366"/>
              </w:rPr>
              <w:tab/>
              <w:t>662</w:t>
            </w:r>
            <w:r>
              <w:rPr>
                <w:color w:val="003366"/>
                <w:sz w:val="20"/>
                <w:u w:val="single" w:color="003366"/>
              </w:rPr>
              <w:tab/>
            </w:r>
            <w:r>
              <w:rPr>
                <w:color w:val="003366"/>
                <w:spacing w:val="-1"/>
                <w:sz w:val="20"/>
                <w:u w:val="single" w:color="003366"/>
              </w:rPr>
              <w:t>1,392</w:t>
            </w:r>
            <w:r>
              <w:rPr>
                <w:color w:val="003366"/>
                <w:spacing w:val="21"/>
                <w:sz w:val="20"/>
                <w:u w:val="single" w:color="003366"/>
              </w:rPr>
              <w:t xml:space="preserve"> </w:t>
            </w:r>
          </w:p>
        </w:tc>
      </w:tr>
      <w:tr w:rsidR="006C17CB">
        <w:trPr>
          <w:trHeight w:val="248"/>
        </w:trPr>
        <w:tc>
          <w:tcPr>
            <w:tcW w:w="3782" w:type="dxa"/>
          </w:tcPr>
          <w:p w:rsidR="006C17CB" w:rsidRDefault="006C17CB">
            <w:pPr>
              <w:pStyle w:val="TableParagraph"/>
              <w:jc w:val="left"/>
              <w:rPr>
                <w:rFonts w:ascii="Times New Roman"/>
                <w:sz w:val="18"/>
              </w:rPr>
            </w:pPr>
          </w:p>
        </w:tc>
        <w:tc>
          <w:tcPr>
            <w:tcW w:w="4949" w:type="dxa"/>
            <w:tcBorders>
              <w:bottom w:val="double" w:sz="1" w:space="0" w:color="003366"/>
            </w:tcBorders>
          </w:tcPr>
          <w:p w:rsidR="006C17CB" w:rsidRDefault="0030091C">
            <w:pPr>
              <w:pStyle w:val="TableParagraph"/>
              <w:tabs>
                <w:tab w:val="left" w:pos="844"/>
                <w:tab w:val="left" w:pos="2080"/>
                <w:tab w:val="left" w:pos="3316"/>
              </w:tabs>
              <w:spacing w:line="228" w:lineRule="exact"/>
              <w:ind w:right="111"/>
              <w:rPr>
                <w:b/>
                <w:sz w:val="20"/>
              </w:rPr>
            </w:pPr>
            <w:r>
              <w:rPr>
                <w:b/>
                <w:color w:val="003366"/>
                <w:sz w:val="20"/>
              </w:rPr>
              <w:t>-</w:t>
            </w:r>
            <w:r>
              <w:rPr>
                <w:b/>
                <w:color w:val="003366"/>
                <w:sz w:val="20"/>
              </w:rPr>
              <w:tab/>
              <w:t>1,482</w:t>
            </w:r>
            <w:r>
              <w:rPr>
                <w:b/>
                <w:color w:val="003366"/>
                <w:sz w:val="20"/>
              </w:rPr>
              <w:tab/>
              <w:t>2,082</w:t>
            </w:r>
            <w:r>
              <w:rPr>
                <w:b/>
                <w:color w:val="003366"/>
                <w:sz w:val="20"/>
              </w:rPr>
              <w:tab/>
            </w:r>
            <w:r>
              <w:rPr>
                <w:b/>
                <w:color w:val="003366"/>
                <w:spacing w:val="-2"/>
                <w:sz w:val="20"/>
              </w:rPr>
              <w:t>3,564</w:t>
            </w:r>
          </w:p>
        </w:tc>
      </w:tr>
      <w:tr w:rsidR="006C17CB">
        <w:trPr>
          <w:trHeight w:val="651"/>
        </w:trPr>
        <w:tc>
          <w:tcPr>
            <w:tcW w:w="3782" w:type="dxa"/>
          </w:tcPr>
          <w:p w:rsidR="006C17CB" w:rsidRDefault="006C17CB">
            <w:pPr>
              <w:pStyle w:val="TableParagraph"/>
              <w:spacing w:before="6"/>
              <w:jc w:val="left"/>
              <w:rPr>
                <w:b/>
                <w:sz w:val="25"/>
              </w:rPr>
            </w:pPr>
          </w:p>
          <w:p w:rsidR="006C17CB" w:rsidRDefault="0030091C">
            <w:pPr>
              <w:pStyle w:val="TableParagraph"/>
              <w:spacing w:before="1" w:line="264" w:lineRule="exact"/>
              <w:ind w:left="50"/>
              <w:jc w:val="left"/>
              <w:rPr>
                <w:b/>
                <w:sz w:val="20"/>
              </w:rPr>
            </w:pPr>
            <w:r>
              <w:rPr>
                <w:b/>
                <w:color w:val="003366"/>
                <w:sz w:val="20"/>
              </w:rPr>
              <w:t>Transfers Between Categories</w:t>
            </w:r>
          </w:p>
        </w:tc>
        <w:tc>
          <w:tcPr>
            <w:tcW w:w="4949" w:type="dxa"/>
            <w:tcBorders>
              <w:top w:val="double" w:sz="1" w:space="0" w:color="003366"/>
            </w:tcBorders>
          </w:tcPr>
          <w:p w:rsidR="006C17CB" w:rsidRDefault="006C17CB">
            <w:pPr>
              <w:pStyle w:val="TableParagraph"/>
              <w:jc w:val="left"/>
              <w:rPr>
                <w:rFonts w:ascii="Times New Roman"/>
                <w:sz w:val="20"/>
              </w:rPr>
            </w:pPr>
          </w:p>
        </w:tc>
      </w:tr>
    </w:tbl>
    <w:p w:rsidR="006C17CB" w:rsidRDefault="006C17CB">
      <w:pPr>
        <w:pStyle w:val="BodyText"/>
        <w:spacing w:before="12"/>
        <w:rPr>
          <w:rFonts w:ascii="Calibri"/>
          <w:b/>
          <w:sz w:val="12"/>
        </w:rPr>
      </w:pPr>
    </w:p>
    <w:p w:rsidR="006C17CB" w:rsidRDefault="0030091C">
      <w:pPr>
        <w:spacing w:before="50" w:line="204" w:lineRule="auto"/>
        <w:ind w:left="829" w:right="1522" w:hanging="1"/>
        <w:jc w:val="both"/>
        <w:rPr>
          <w:rFonts w:ascii="Calibri"/>
          <w:sz w:val="20"/>
        </w:rPr>
      </w:pPr>
      <w:r>
        <w:rPr>
          <w:rFonts w:ascii="Calibri"/>
          <w:color w:val="003366"/>
          <w:sz w:val="20"/>
        </w:rPr>
        <w:t>Some plant and equipment assets were reclassified from Level 3 to Level 2 following the revaluation undertaken as at 30 June 2017. No assets have been reclassified in 2017-18.</w:t>
      </w:r>
    </w:p>
    <w:p w:rsidR="006C17CB" w:rsidRDefault="006C17CB">
      <w:pPr>
        <w:pStyle w:val="BodyText"/>
        <w:rPr>
          <w:rFonts w:ascii="Calibri"/>
          <w:sz w:val="14"/>
        </w:rPr>
      </w:pPr>
    </w:p>
    <w:p w:rsidR="006C17CB" w:rsidRDefault="0030091C">
      <w:pPr>
        <w:ind w:left="829"/>
        <w:rPr>
          <w:rFonts w:ascii="Calibri"/>
          <w:b/>
          <w:sz w:val="20"/>
        </w:rPr>
      </w:pPr>
      <w:r>
        <w:rPr>
          <w:rFonts w:ascii="Calibri"/>
          <w:b/>
          <w:color w:val="003366"/>
          <w:sz w:val="20"/>
        </w:rPr>
        <w:t>Valuation Techniques, Inputs and Processes</w:t>
      </w:r>
    </w:p>
    <w:p w:rsidR="006C17CB" w:rsidRDefault="006C17CB">
      <w:pPr>
        <w:pStyle w:val="BodyText"/>
        <w:spacing w:before="10"/>
        <w:rPr>
          <w:rFonts w:ascii="Calibri"/>
          <w:b/>
          <w:sz w:val="16"/>
        </w:rPr>
      </w:pPr>
    </w:p>
    <w:p w:rsidR="006C17CB" w:rsidRDefault="0030091C">
      <w:pPr>
        <w:spacing w:before="1"/>
        <w:ind w:left="829"/>
        <w:rPr>
          <w:rFonts w:ascii="Calibri-BoldItalic"/>
          <w:b/>
          <w:i/>
          <w:sz w:val="20"/>
        </w:rPr>
      </w:pPr>
      <w:r>
        <w:rPr>
          <w:rFonts w:ascii="Calibri-BoldItalic"/>
          <w:b/>
          <w:i/>
          <w:color w:val="003366"/>
          <w:sz w:val="20"/>
        </w:rPr>
        <w:t>Level 2 Valuation Techniques and Inputs</w:t>
      </w:r>
    </w:p>
    <w:p w:rsidR="006C17CB" w:rsidRDefault="006C17CB">
      <w:pPr>
        <w:pStyle w:val="BodyText"/>
        <w:spacing w:before="1"/>
        <w:rPr>
          <w:rFonts w:ascii="Calibri-BoldItalic"/>
          <w:b/>
          <w:i/>
          <w:sz w:val="16"/>
        </w:rPr>
      </w:pPr>
    </w:p>
    <w:p w:rsidR="006C17CB" w:rsidRDefault="0030091C">
      <w:pPr>
        <w:ind w:left="829"/>
        <w:rPr>
          <w:rFonts w:ascii="Calibri" w:hAnsi="Calibri"/>
          <w:i/>
          <w:sz w:val="20"/>
        </w:rPr>
      </w:pPr>
      <w:r>
        <w:rPr>
          <w:rFonts w:ascii="Calibri" w:hAnsi="Calibri"/>
          <w:i/>
          <w:color w:val="003366"/>
          <w:sz w:val="20"/>
        </w:rPr>
        <w:t>Significant Accounting Judgements and Estimates – Fair Value of Assets</w:t>
      </w:r>
    </w:p>
    <w:p w:rsidR="006C17CB" w:rsidRDefault="0030091C">
      <w:pPr>
        <w:spacing w:before="114" w:line="201" w:lineRule="auto"/>
        <w:ind w:left="829" w:right="1520"/>
        <w:jc w:val="both"/>
        <w:rPr>
          <w:rFonts w:ascii="Calibri"/>
          <w:sz w:val="20"/>
        </w:rPr>
      </w:pPr>
      <w:r>
        <w:rPr>
          <w:rFonts w:ascii="Calibri"/>
          <w:color w:val="003366"/>
          <w:sz w:val="20"/>
        </w:rPr>
        <w:t>The</w:t>
      </w:r>
      <w:r>
        <w:rPr>
          <w:rFonts w:ascii="Calibri"/>
          <w:color w:val="003366"/>
          <w:spacing w:val="-6"/>
          <w:sz w:val="20"/>
        </w:rPr>
        <w:t xml:space="preserve"> </w:t>
      </w:r>
      <w:r>
        <w:rPr>
          <w:rFonts w:ascii="Calibri"/>
          <w:color w:val="003366"/>
          <w:sz w:val="20"/>
        </w:rPr>
        <w:t>Office</w:t>
      </w:r>
      <w:r>
        <w:rPr>
          <w:rFonts w:ascii="Calibri"/>
          <w:color w:val="003366"/>
          <w:spacing w:val="-6"/>
          <w:sz w:val="20"/>
        </w:rPr>
        <w:t xml:space="preserve"> </w:t>
      </w:r>
      <w:r>
        <w:rPr>
          <w:rFonts w:ascii="Calibri"/>
          <w:color w:val="003366"/>
          <w:sz w:val="20"/>
        </w:rPr>
        <w:t>has</w:t>
      </w:r>
      <w:r>
        <w:rPr>
          <w:rFonts w:ascii="Calibri"/>
          <w:color w:val="003366"/>
          <w:spacing w:val="-7"/>
          <w:sz w:val="20"/>
        </w:rPr>
        <w:t xml:space="preserve"> </w:t>
      </w:r>
      <w:r>
        <w:rPr>
          <w:rFonts w:ascii="Calibri"/>
          <w:color w:val="003366"/>
          <w:sz w:val="20"/>
        </w:rPr>
        <w:t>made</w:t>
      </w:r>
      <w:r>
        <w:rPr>
          <w:rFonts w:ascii="Calibri"/>
          <w:color w:val="003366"/>
          <w:spacing w:val="-6"/>
          <w:sz w:val="20"/>
        </w:rPr>
        <w:t xml:space="preserve"> </w:t>
      </w:r>
      <w:r>
        <w:rPr>
          <w:rFonts w:ascii="Calibri"/>
          <w:color w:val="003366"/>
          <w:sz w:val="20"/>
        </w:rPr>
        <w:t>the</w:t>
      </w:r>
      <w:r>
        <w:rPr>
          <w:rFonts w:ascii="Calibri"/>
          <w:color w:val="003366"/>
          <w:spacing w:val="-4"/>
          <w:sz w:val="20"/>
        </w:rPr>
        <w:t xml:space="preserve"> </w:t>
      </w:r>
      <w:r>
        <w:rPr>
          <w:rFonts w:ascii="Calibri"/>
          <w:color w:val="003366"/>
          <w:sz w:val="20"/>
        </w:rPr>
        <w:t>following</w:t>
      </w:r>
      <w:r>
        <w:rPr>
          <w:rFonts w:ascii="Calibri"/>
          <w:color w:val="003366"/>
          <w:spacing w:val="-6"/>
          <w:sz w:val="20"/>
        </w:rPr>
        <w:t xml:space="preserve"> </w:t>
      </w:r>
      <w:r>
        <w:rPr>
          <w:rFonts w:ascii="Calibri"/>
          <w:color w:val="003366"/>
          <w:sz w:val="20"/>
        </w:rPr>
        <w:t>significant</w:t>
      </w:r>
      <w:r>
        <w:rPr>
          <w:rFonts w:ascii="Calibri"/>
          <w:color w:val="003366"/>
          <w:spacing w:val="-5"/>
          <w:sz w:val="20"/>
        </w:rPr>
        <w:t xml:space="preserve"> </w:t>
      </w:r>
      <w:r>
        <w:rPr>
          <w:rFonts w:ascii="Calibri"/>
          <w:color w:val="003366"/>
          <w:sz w:val="20"/>
        </w:rPr>
        <w:t>estimates</w:t>
      </w:r>
      <w:r>
        <w:rPr>
          <w:rFonts w:ascii="Calibri"/>
          <w:color w:val="003366"/>
          <w:spacing w:val="-7"/>
          <w:sz w:val="20"/>
        </w:rPr>
        <w:t xml:space="preserve"> </w:t>
      </w:r>
      <w:r>
        <w:rPr>
          <w:rFonts w:ascii="Calibri"/>
          <w:color w:val="003366"/>
          <w:sz w:val="20"/>
        </w:rPr>
        <w:t>regarding</w:t>
      </w:r>
      <w:r>
        <w:rPr>
          <w:rFonts w:ascii="Calibri"/>
          <w:color w:val="003366"/>
          <w:spacing w:val="-6"/>
          <w:sz w:val="20"/>
        </w:rPr>
        <w:t xml:space="preserve"> </w:t>
      </w:r>
      <w:r>
        <w:rPr>
          <w:rFonts w:ascii="Calibri"/>
          <w:color w:val="003366"/>
          <w:sz w:val="20"/>
        </w:rPr>
        <w:t>the</w:t>
      </w:r>
      <w:r>
        <w:rPr>
          <w:rFonts w:ascii="Calibri"/>
          <w:color w:val="003366"/>
          <w:spacing w:val="-6"/>
          <w:sz w:val="20"/>
        </w:rPr>
        <w:t xml:space="preserve"> </w:t>
      </w:r>
      <w:r>
        <w:rPr>
          <w:rFonts w:ascii="Calibri"/>
          <w:color w:val="003366"/>
          <w:sz w:val="20"/>
        </w:rPr>
        <w:t>fair</w:t>
      </w:r>
      <w:r>
        <w:rPr>
          <w:rFonts w:ascii="Calibri"/>
          <w:color w:val="003366"/>
          <w:spacing w:val="-5"/>
          <w:sz w:val="20"/>
        </w:rPr>
        <w:t xml:space="preserve"> </w:t>
      </w:r>
      <w:r>
        <w:rPr>
          <w:rFonts w:ascii="Calibri"/>
          <w:color w:val="003366"/>
          <w:sz w:val="20"/>
        </w:rPr>
        <w:t>value</w:t>
      </w:r>
      <w:r>
        <w:rPr>
          <w:rFonts w:ascii="Calibri"/>
          <w:color w:val="003366"/>
          <w:spacing w:val="-6"/>
          <w:sz w:val="20"/>
        </w:rPr>
        <w:t xml:space="preserve"> </w:t>
      </w:r>
      <w:r>
        <w:rPr>
          <w:rFonts w:ascii="Calibri"/>
          <w:color w:val="003366"/>
          <w:sz w:val="20"/>
        </w:rPr>
        <w:t>of</w:t>
      </w:r>
      <w:r>
        <w:rPr>
          <w:rFonts w:ascii="Calibri"/>
          <w:color w:val="003366"/>
          <w:spacing w:val="-6"/>
          <w:sz w:val="20"/>
        </w:rPr>
        <w:t xml:space="preserve"> </w:t>
      </w:r>
      <w:r>
        <w:rPr>
          <w:rFonts w:ascii="Calibri"/>
          <w:color w:val="003366"/>
          <w:sz w:val="20"/>
        </w:rPr>
        <w:t>its</w:t>
      </w:r>
      <w:r>
        <w:rPr>
          <w:rFonts w:ascii="Calibri"/>
          <w:color w:val="003366"/>
          <w:spacing w:val="-7"/>
          <w:sz w:val="20"/>
        </w:rPr>
        <w:t xml:space="preserve"> </w:t>
      </w:r>
      <w:r>
        <w:rPr>
          <w:rFonts w:ascii="Calibri"/>
          <w:color w:val="003366"/>
          <w:sz w:val="20"/>
        </w:rPr>
        <w:t>assets.</w:t>
      </w:r>
      <w:r>
        <w:rPr>
          <w:rFonts w:ascii="Calibri"/>
          <w:color w:val="003366"/>
          <w:spacing w:val="-6"/>
          <w:sz w:val="20"/>
        </w:rPr>
        <w:t xml:space="preserve"> </w:t>
      </w:r>
      <w:r>
        <w:rPr>
          <w:rFonts w:ascii="Calibri"/>
          <w:color w:val="003366"/>
          <w:sz w:val="20"/>
        </w:rPr>
        <w:t>The</w:t>
      </w:r>
      <w:r>
        <w:rPr>
          <w:rFonts w:ascii="Calibri"/>
          <w:color w:val="003366"/>
          <w:spacing w:val="-6"/>
          <w:sz w:val="20"/>
        </w:rPr>
        <w:t xml:space="preserve"> </w:t>
      </w:r>
      <w:r>
        <w:rPr>
          <w:rFonts w:ascii="Calibri"/>
          <w:color w:val="003366"/>
          <w:sz w:val="20"/>
        </w:rPr>
        <w:t>fair</w:t>
      </w:r>
      <w:r>
        <w:rPr>
          <w:rFonts w:ascii="Calibri"/>
          <w:color w:val="003366"/>
          <w:spacing w:val="-3"/>
          <w:sz w:val="20"/>
        </w:rPr>
        <w:t xml:space="preserve"> </w:t>
      </w:r>
      <w:r>
        <w:rPr>
          <w:rFonts w:ascii="Calibri"/>
          <w:color w:val="003366"/>
          <w:sz w:val="20"/>
        </w:rPr>
        <w:t>value of assets is subject to management assessment between formal</w:t>
      </w:r>
      <w:r>
        <w:rPr>
          <w:rFonts w:ascii="Calibri"/>
          <w:color w:val="003366"/>
          <w:spacing w:val="-7"/>
          <w:sz w:val="20"/>
        </w:rPr>
        <w:t xml:space="preserve"> </w:t>
      </w:r>
      <w:r>
        <w:rPr>
          <w:rFonts w:ascii="Calibri"/>
          <w:color w:val="003366"/>
          <w:sz w:val="20"/>
        </w:rPr>
        <w:t>valuations.</w:t>
      </w:r>
    </w:p>
    <w:p w:rsidR="006C17CB" w:rsidRDefault="006C17CB">
      <w:pPr>
        <w:pStyle w:val="BodyText"/>
        <w:spacing w:before="10"/>
        <w:rPr>
          <w:rFonts w:ascii="Calibri"/>
          <w:sz w:val="16"/>
        </w:rPr>
      </w:pPr>
    </w:p>
    <w:p w:rsidR="006C17CB" w:rsidRDefault="0030091C">
      <w:pPr>
        <w:spacing w:line="204" w:lineRule="auto"/>
        <w:ind w:left="829" w:right="1519"/>
        <w:jc w:val="both"/>
        <w:rPr>
          <w:rFonts w:ascii="Calibri" w:hAnsi="Calibri"/>
          <w:sz w:val="20"/>
        </w:rPr>
      </w:pPr>
      <w:r>
        <w:rPr>
          <w:rFonts w:ascii="Calibri" w:hAnsi="Calibri"/>
          <w:color w:val="003366"/>
          <w:sz w:val="20"/>
        </w:rPr>
        <w:t>Valuation Technique: The valuation technique used to value the heritage assets – (artworks and other collectables) is the market approach that reflects recent transaction prices for similar artworks and other collectables comparable sales in an active market.</w:t>
      </w:r>
    </w:p>
    <w:p w:rsidR="006C17CB" w:rsidRDefault="0030091C">
      <w:pPr>
        <w:spacing w:before="117" w:line="204" w:lineRule="auto"/>
        <w:ind w:left="829" w:right="1523"/>
        <w:jc w:val="both"/>
        <w:rPr>
          <w:rFonts w:ascii="Calibri"/>
          <w:sz w:val="20"/>
        </w:rPr>
      </w:pPr>
      <w:r>
        <w:rPr>
          <w:rFonts w:ascii="Calibri"/>
          <w:color w:val="003366"/>
          <w:sz w:val="20"/>
        </w:rPr>
        <w:t>Inputs: Prices and other relevant information generated by market transactions involving comparable artworks and other collectables were considered.</w:t>
      </w:r>
    </w:p>
    <w:p w:rsidR="006C17CB" w:rsidRDefault="0030091C">
      <w:pPr>
        <w:spacing w:before="119" w:line="204" w:lineRule="auto"/>
        <w:ind w:left="829" w:right="1522"/>
        <w:jc w:val="both"/>
        <w:rPr>
          <w:rFonts w:ascii="Calibri" w:hAnsi="Calibri"/>
          <w:sz w:val="20"/>
        </w:rPr>
      </w:pPr>
      <w:r>
        <w:rPr>
          <w:rFonts w:ascii="Calibri" w:hAnsi="Calibri"/>
          <w:color w:val="003366"/>
          <w:sz w:val="20"/>
        </w:rPr>
        <w:t>Valuation Technique: Plant and Equipment – (furniture and certain plant and equipment) were measured using the market approach that reflects recent transaction prices for similar assets and comparable sales in active second hand equipment markets.</w:t>
      </w:r>
    </w:p>
    <w:p w:rsidR="006C17CB" w:rsidRDefault="0030091C">
      <w:pPr>
        <w:spacing w:before="117" w:line="204" w:lineRule="auto"/>
        <w:ind w:left="829" w:right="1525"/>
        <w:jc w:val="both"/>
        <w:rPr>
          <w:rFonts w:ascii="Calibri"/>
          <w:sz w:val="20"/>
        </w:rPr>
      </w:pPr>
      <w:r>
        <w:rPr>
          <w:rFonts w:ascii="Calibri"/>
          <w:color w:val="003366"/>
          <w:sz w:val="20"/>
        </w:rPr>
        <w:t>Inputs: Prices and other relevant information generated by market transactions involving comparable furniture and plant and equipment assets from national markets were considered.</w:t>
      </w:r>
    </w:p>
    <w:p w:rsidR="006C17CB" w:rsidRDefault="0030091C">
      <w:pPr>
        <w:spacing w:before="117" w:line="204" w:lineRule="auto"/>
        <w:ind w:left="829" w:right="1522"/>
        <w:jc w:val="both"/>
        <w:rPr>
          <w:rFonts w:ascii="Calibri"/>
          <w:sz w:val="20"/>
        </w:rPr>
      </w:pPr>
      <w:r>
        <w:rPr>
          <w:rFonts w:ascii="Calibri"/>
          <w:color w:val="003366"/>
          <w:sz w:val="20"/>
        </w:rPr>
        <w:t>Changes were made to the valuation techniques used for some of the assets in the plant and equipment asset class. During the revaluation process at 30 June 2017, the market approach was considered more appropriate for those assets than the depreciated replacement cost approach.</w:t>
      </w:r>
    </w:p>
    <w:p w:rsidR="006C17CB" w:rsidRDefault="006C17CB">
      <w:pPr>
        <w:spacing w:line="204" w:lineRule="auto"/>
        <w:jc w:val="both"/>
        <w:rPr>
          <w:rFonts w:ascii="Calibri"/>
          <w:sz w:val="20"/>
        </w:rPr>
        <w:sectPr w:rsidR="006C17CB">
          <w:type w:val="continuous"/>
          <w:pgSz w:w="11910" w:h="16840"/>
          <w:pgMar w:top="1580" w:right="0" w:bottom="280" w:left="980" w:header="720" w:footer="720" w:gutter="0"/>
          <w:cols w:space="720"/>
        </w:sectPr>
      </w:pPr>
    </w:p>
    <w:p w:rsidR="006C17CB" w:rsidRDefault="006C17CB">
      <w:pPr>
        <w:pStyle w:val="BodyText"/>
        <w:spacing w:before="9"/>
        <w:rPr>
          <w:rFonts w:ascii="Calibri"/>
          <w:sz w:val="21"/>
        </w:rPr>
      </w:pPr>
    </w:p>
    <w:p w:rsidR="006C17CB" w:rsidRDefault="0030091C">
      <w:pPr>
        <w:pStyle w:val="Heading6"/>
        <w:spacing w:line="345" w:lineRule="exact"/>
        <w:jc w:val="both"/>
      </w:pPr>
      <w:r>
        <w:rPr>
          <w:color w:val="003366"/>
        </w:rPr>
        <w:t>NOTE 13. PROPERTY, PLANT AND EQUIPMENT – CONTINUED</w:t>
      </w:r>
    </w:p>
    <w:p w:rsidR="006C17CB" w:rsidRDefault="006C17CB">
      <w:pPr>
        <w:pStyle w:val="BodyText"/>
        <w:spacing w:before="8"/>
        <w:rPr>
          <w:rFonts w:ascii="Calibri"/>
          <w:b/>
          <w:sz w:val="16"/>
        </w:rPr>
      </w:pPr>
    </w:p>
    <w:p w:rsidR="006C17CB" w:rsidRDefault="0030091C">
      <w:pPr>
        <w:spacing w:before="1"/>
        <w:ind w:left="829"/>
        <w:jc w:val="both"/>
        <w:rPr>
          <w:rFonts w:ascii="Calibri-BoldItalic"/>
          <w:b/>
          <w:i/>
          <w:sz w:val="20"/>
        </w:rPr>
      </w:pPr>
      <w:r>
        <w:rPr>
          <w:rFonts w:ascii="Calibri-BoldItalic"/>
          <w:b/>
          <w:i/>
          <w:color w:val="003366"/>
          <w:sz w:val="20"/>
        </w:rPr>
        <w:t>Level 3 Valuation Techniques and Significant Unobservable Inputs</w:t>
      </w:r>
    </w:p>
    <w:p w:rsidR="006C17CB" w:rsidRDefault="006C17CB">
      <w:pPr>
        <w:pStyle w:val="BodyText"/>
        <w:spacing w:before="11"/>
        <w:rPr>
          <w:rFonts w:ascii="Calibri-BoldItalic"/>
          <w:b/>
          <w:i/>
          <w:sz w:val="18"/>
        </w:rPr>
      </w:pPr>
    </w:p>
    <w:p w:rsidR="006C17CB" w:rsidRDefault="0030091C">
      <w:pPr>
        <w:spacing w:before="1" w:line="204" w:lineRule="auto"/>
        <w:ind w:left="829" w:right="1522"/>
        <w:jc w:val="both"/>
        <w:rPr>
          <w:rFonts w:ascii="Calibri" w:hAnsi="Calibri"/>
          <w:sz w:val="20"/>
        </w:rPr>
      </w:pPr>
      <w:r>
        <w:rPr>
          <w:rFonts w:ascii="Calibri" w:hAnsi="Calibri"/>
          <w:color w:val="003366"/>
          <w:sz w:val="20"/>
        </w:rPr>
        <w:t>Valuation</w:t>
      </w:r>
      <w:r>
        <w:rPr>
          <w:rFonts w:ascii="Calibri" w:hAnsi="Calibri"/>
          <w:color w:val="003366"/>
          <w:spacing w:val="-13"/>
          <w:sz w:val="20"/>
        </w:rPr>
        <w:t xml:space="preserve"> </w:t>
      </w:r>
      <w:r>
        <w:rPr>
          <w:rFonts w:ascii="Calibri" w:hAnsi="Calibri"/>
          <w:color w:val="003366"/>
          <w:sz w:val="20"/>
        </w:rPr>
        <w:t>Technique:</w:t>
      </w:r>
      <w:r>
        <w:rPr>
          <w:rFonts w:ascii="Calibri" w:hAnsi="Calibri"/>
          <w:color w:val="003366"/>
          <w:spacing w:val="-12"/>
          <w:sz w:val="20"/>
        </w:rPr>
        <w:t xml:space="preserve"> </w:t>
      </w:r>
      <w:r>
        <w:rPr>
          <w:rFonts w:ascii="Calibri" w:hAnsi="Calibri"/>
          <w:color w:val="003366"/>
          <w:sz w:val="20"/>
        </w:rPr>
        <w:t>Heritage</w:t>
      </w:r>
      <w:r>
        <w:rPr>
          <w:rFonts w:ascii="Calibri" w:hAnsi="Calibri"/>
          <w:color w:val="003366"/>
          <w:spacing w:val="-12"/>
          <w:sz w:val="20"/>
        </w:rPr>
        <w:t xml:space="preserve"> </w:t>
      </w:r>
      <w:r>
        <w:rPr>
          <w:rFonts w:ascii="Calibri" w:hAnsi="Calibri"/>
          <w:color w:val="003366"/>
          <w:sz w:val="20"/>
        </w:rPr>
        <w:t>Assets</w:t>
      </w:r>
      <w:r>
        <w:rPr>
          <w:rFonts w:ascii="Calibri" w:hAnsi="Calibri"/>
          <w:color w:val="003366"/>
          <w:spacing w:val="-15"/>
          <w:sz w:val="20"/>
        </w:rPr>
        <w:t xml:space="preserve"> </w:t>
      </w:r>
      <w:r>
        <w:rPr>
          <w:rFonts w:ascii="Calibri" w:hAnsi="Calibri"/>
          <w:color w:val="003366"/>
          <w:sz w:val="20"/>
        </w:rPr>
        <w:t>–</w:t>
      </w:r>
      <w:r>
        <w:rPr>
          <w:rFonts w:ascii="Calibri" w:hAnsi="Calibri"/>
          <w:color w:val="003366"/>
          <w:spacing w:val="-12"/>
          <w:sz w:val="20"/>
        </w:rPr>
        <w:t xml:space="preserve"> </w:t>
      </w:r>
      <w:r>
        <w:rPr>
          <w:rFonts w:ascii="Calibri" w:hAnsi="Calibri"/>
          <w:color w:val="003366"/>
          <w:sz w:val="20"/>
        </w:rPr>
        <w:t>(library</w:t>
      </w:r>
      <w:r>
        <w:rPr>
          <w:rFonts w:ascii="Calibri" w:hAnsi="Calibri"/>
          <w:color w:val="003366"/>
          <w:spacing w:val="-13"/>
          <w:sz w:val="20"/>
        </w:rPr>
        <w:t xml:space="preserve"> </w:t>
      </w:r>
      <w:r>
        <w:rPr>
          <w:rFonts w:ascii="Calibri" w:hAnsi="Calibri"/>
          <w:color w:val="003366"/>
          <w:sz w:val="20"/>
        </w:rPr>
        <w:t>collection)</w:t>
      </w:r>
      <w:r>
        <w:rPr>
          <w:rFonts w:ascii="Calibri" w:hAnsi="Calibri"/>
          <w:color w:val="003366"/>
          <w:spacing w:val="-14"/>
          <w:sz w:val="20"/>
        </w:rPr>
        <w:t xml:space="preserve"> </w:t>
      </w:r>
      <w:r>
        <w:rPr>
          <w:rFonts w:ascii="Calibri" w:hAnsi="Calibri"/>
          <w:color w:val="003366"/>
          <w:sz w:val="20"/>
        </w:rPr>
        <w:t>the</w:t>
      </w:r>
      <w:r>
        <w:rPr>
          <w:rFonts w:ascii="Calibri" w:hAnsi="Calibri"/>
          <w:color w:val="003366"/>
          <w:spacing w:val="-14"/>
          <w:sz w:val="20"/>
        </w:rPr>
        <w:t xml:space="preserve"> </w:t>
      </w:r>
      <w:r>
        <w:rPr>
          <w:rFonts w:ascii="Calibri" w:hAnsi="Calibri"/>
          <w:color w:val="003366"/>
          <w:sz w:val="20"/>
        </w:rPr>
        <w:t>valuation</w:t>
      </w:r>
      <w:r>
        <w:rPr>
          <w:rFonts w:ascii="Calibri" w:hAnsi="Calibri"/>
          <w:color w:val="003366"/>
          <w:spacing w:val="-13"/>
          <w:sz w:val="20"/>
        </w:rPr>
        <w:t xml:space="preserve"> </w:t>
      </w:r>
      <w:r>
        <w:rPr>
          <w:rFonts w:ascii="Calibri" w:hAnsi="Calibri"/>
          <w:color w:val="003366"/>
          <w:sz w:val="20"/>
        </w:rPr>
        <w:t>technique</w:t>
      </w:r>
      <w:r>
        <w:rPr>
          <w:rFonts w:ascii="Calibri" w:hAnsi="Calibri"/>
          <w:color w:val="003366"/>
          <w:spacing w:val="-15"/>
          <w:sz w:val="20"/>
        </w:rPr>
        <w:t xml:space="preserve"> </w:t>
      </w:r>
      <w:r>
        <w:rPr>
          <w:rFonts w:ascii="Calibri" w:hAnsi="Calibri"/>
          <w:color w:val="003366"/>
          <w:sz w:val="20"/>
        </w:rPr>
        <w:t>used</w:t>
      </w:r>
      <w:r>
        <w:rPr>
          <w:rFonts w:ascii="Calibri" w:hAnsi="Calibri"/>
          <w:color w:val="003366"/>
          <w:spacing w:val="-13"/>
          <w:sz w:val="20"/>
        </w:rPr>
        <w:t xml:space="preserve"> </w:t>
      </w:r>
      <w:r>
        <w:rPr>
          <w:rFonts w:ascii="Calibri" w:hAnsi="Calibri"/>
          <w:color w:val="003366"/>
          <w:sz w:val="20"/>
        </w:rPr>
        <w:t>to</w:t>
      </w:r>
      <w:r>
        <w:rPr>
          <w:rFonts w:ascii="Calibri" w:hAnsi="Calibri"/>
          <w:color w:val="003366"/>
          <w:spacing w:val="-11"/>
          <w:sz w:val="20"/>
        </w:rPr>
        <w:t xml:space="preserve"> </w:t>
      </w:r>
      <w:r>
        <w:rPr>
          <w:rFonts w:ascii="Calibri" w:hAnsi="Calibri"/>
          <w:color w:val="003366"/>
          <w:sz w:val="20"/>
        </w:rPr>
        <w:t>value</w:t>
      </w:r>
      <w:r>
        <w:rPr>
          <w:rFonts w:ascii="Calibri" w:hAnsi="Calibri"/>
          <w:color w:val="003366"/>
          <w:spacing w:val="-15"/>
          <w:sz w:val="20"/>
        </w:rPr>
        <w:t xml:space="preserve"> </w:t>
      </w:r>
      <w:r>
        <w:rPr>
          <w:rFonts w:ascii="Calibri" w:hAnsi="Calibri"/>
          <w:color w:val="003366"/>
          <w:sz w:val="20"/>
        </w:rPr>
        <w:t>the</w:t>
      </w:r>
      <w:r>
        <w:rPr>
          <w:rFonts w:ascii="Calibri" w:hAnsi="Calibri"/>
          <w:color w:val="003366"/>
          <w:spacing w:val="-11"/>
          <w:sz w:val="20"/>
        </w:rPr>
        <w:t xml:space="preserve"> </w:t>
      </w:r>
      <w:r>
        <w:rPr>
          <w:rFonts w:ascii="Calibri" w:hAnsi="Calibri"/>
          <w:color w:val="003366"/>
          <w:sz w:val="20"/>
        </w:rPr>
        <w:t>library collection is the market approach that reflects recent transaction prices for library assets in active and thinly traded markets.</w:t>
      </w:r>
    </w:p>
    <w:p w:rsidR="006C17CB" w:rsidRDefault="0030091C">
      <w:pPr>
        <w:spacing w:before="116" w:line="204" w:lineRule="auto"/>
        <w:ind w:left="829" w:right="1520"/>
        <w:jc w:val="both"/>
        <w:rPr>
          <w:rFonts w:ascii="Calibri" w:hAnsi="Calibri"/>
          <w:sz w:val="20"/>
        </w:rPr>
      </w:pPr>
      <w:r>
        <w:rPr>
          <w:rFonts w:ascii="Calibri" w:hAnsi="Calibri"/>
          <w:color w:val="003366"/>
          <w:sz w:val="20"/>
        </w:rPr>
        <w:t>Significant</w:t>
      </w:r>
      <w:r>
        <w:rPr>
          <w:rFonts w:ascii="Calibri" w:hAnsi="Calibri"/>
          <w:color w:val="003366"/>
          <w:spacing w:val="-9"/>
          <w:sz w:val="20"/>
        </w:rPr>
        <w:t xml:space="preserve"> </w:t>
      </w:r>
      <w:r>
        <w:rPr>
          <w:rFonts w:ascii="Calibri" w:hAnsi="Calibri"/>
          <w:color w:val="003366"/>
          <w:sz w:val="20"/>
        </w:rPr>
        <w:t>Unobservable</w:t>
      </w:r>
      <w:r>
        <w:rPr>
          <w:rFonts w:ascii="Calibri" w:hAnsi="Calibri"/>
          <w:color w:val="003366"/>
          <w:spacing w:val="-12"/>
          <w:sz w:val="20"/>
        </w:rPr>
        <w:t xml:space="preserve"> </w:t>
      </w:r>
      <w:r>
        <w:rPr>
          <w:rFonts w:ascii="Calibri" w:hAnsi="Calibri"/>
          <w:color w:val="003366"/>
          <w:sz w:val="20"/>
        </w:rPr>
        <w:t>Inputs:</w:t>
      </w:r>
      <w:r>
        <w:rPr>
          <w:rFonts w:ascii="Calibri" w:hAnsi="Calibri"/>
          <w:color w:val="003366"/>
          <w:spacing w:val="-12"/>
          <w:sz w:val="20"/>
        </w:rPr>
        <w:t xml:space="preserve"> </w:t>
      </w:r>
      <w:r>
        <w:rPr>
          <w:rFonts w:ascii="Calibri" w:hAnsi="Calibri"/>
          <w:color w:val="003366"/>
          <w:sz w:val="20"/>
        </w:rPr>
        <w:t>Heritage</w:t>
      </w:r>
      <w:r>
        <w:rPr>
          <w:rFonts w:ascii="Calibri" w:hAnsi="Calibri"/>
          <w:color w:val="003366"/>
          <w:spacing w:val="-12"/>
          <w:sz w:val="20"/>
        </w:rPr>
        <w:t xml:space="preserve"> </w:t>
      </w:r>
      <w:r>
        <w:rPr>
          <w:rFonts w:ascii="Calibri" w:hAnsi="Calibri"/>
          <w:color w:val="003366"/>
          <w:sz w:val="20"/>
        </w:rPr>
        <w:t>Assets</w:t>
      </w:r>
      <w:r>
        <w:rPr>
          <w:rFonts w:ascii="Calibri" w:hAnsi="Calibri"/>
          <w:color w:val="003366"/>
          <w:spacing w:val="-10"/>
          <w:sz w:val="20"/>
        </w:rPr>
        <w:t xml:space="preserve"> </w:t>
      </w:r>
      <w:r>
        <w:rPr>
          <w:rFonts w:ascii="Calibri" w:hAnsi="Calibri"/>
          <w:color w:val="003366"/>
          <w:sz w:val="20"/>
        </w:rPr>
        <w:t>–</w:t>
      </w:r>
      <w:r>
        <w:rPr>
          <w:rFonts w:ascii="Calibri" w:hAnsi="Calibri"/>
          <w:color w:val="003366"/>
          <w:spacing w:val="-12"/>
          <w:sz w:val="20"/>
        </w:rPr>
        <w:t xml:space="preserve"> </w:t>
      </w:r>
      <w:r>
        <w:rPr>
          <w:rFonts w:ascii="Calibri" w:hAnsi="Calibri"/>
          <w:color w:val="003366"/>
          <w:sz w:val="20"/>
        </w:rPr>
        <w:t>Due</w:t>
      </w:r>
      <w:r>
        <w:rPr>
          <w:rFonts w:ascii="Calibri" w:hAnsi="Calibri"/>
          <w:color w:val="003366"/>
          <w:spacing w:val="-12"/>
          <w:sz w:val="20"/>
        </w:rPr>
        <w:t xml:space="preserve"> </w:t>
      </w:r>
      <w:r>
        <w:rPr>
          <w:rFonts w:ascii="Calibri" w:hAnsi="Calibri"/>
          <w:color w:val="003366"/>
          <w:sz w:val="20"/>
        </w:rPr>
        <w:t>to</w:t>
      </w:r>
      <w:r>
        <w:rPr>
          <w:rFonts w:ascii="Calibri" w:hAnsi="Calibri"/>
          <w:color w:val="003366"/>
          <w:spacing w:val="-11"/>
          <w:sz w:val="20"/>
        </w:rPr>
        <w:t xml:space="preserve"> </w:t>
      </w:r>
      <w:r>
        <w:rPr>
          <w:rFonts w:ascii="Calibri" w:hAnsi="Calibri"/>
          <w:color w:val="003366"/>
          <w:sz w:val="20"/>
        </w:rPr>
        <w:t>the</w:t>
      </w:r>
      <w:r>
        <w:rPr>
          <w:rFonts w:ascii="Calibri" w:hAnsi="Calibri"/>
          <w:color w:val="003366"/>
          <w:spacing w:val="-12"/>
          <w:sz w:val="20"/>
        </w:rPr>
        <w:t xml:space="preserve"> </w:t>
      </w:r>
      <w:r>
        <w:rPr>
          <w:rFonts w:ascii="Calibri" w:hAnsi="Calibri"/>
          <w:color w:val="003366"/>
          <w:sz w:val="20"/>
        </w:rPr>
        <w:t>characteristics</w:t>
      </w:r>
      <w:r>
        <w:rPr>
          <w:rFonts w:ascii="Calibri" w:hAnsi="Calibri"/>
          <w:color w:val="003366"/>
          <w:spacing w:val="-12"/>
          <w:sz w:val="20"/>
        </w:rPr>
        <w:t xml:space="preserve"> </w:t>
      </w:r>
      <w:r>
        <w:rPr>
          <w:rFonts w:ascii="Calibri" w:hAnsi="Calibri"/>
          <w:color w:val="003366"/>
          <w:sz w:val="20"/>
        </w:rPr>
        <w:t>of</w:t>
      </w:r>
      <w:r>
        <w:rPr>
          <w:rFonts w:ascii="Calibri" w:hAnsi="Calibri"/>
          <w:color w:val="003366"/>
          <w:spacing w:val="-12"/>
          <w:sz w:val="20"/>
        </w:rPr>
        <w:t xml:space="preserve"> </w:t>
      </w:r>
      <w:r>
        <w:rPr>
          <w:rFonts w:ascii="Calibri" w:hAnsi="Calibri"/>
          <w:color w:val="003366"/>
          <w:sz w:val="20"/>
        </w:rPr>
        <w:t>the</w:t>
      </w:r>
      <w:r>
        <w:rPr>
          <w:rFonts w:ascii="Calibri" w:hAnsi="Calibri"/>
          <w:color w:val="003366"/>
          <w:spacing w:val="-10"/>
          <w:sz w:val="20"/>
        </w:rPr>
        <w:t xml:space="preserve"> </w:t>
      </w:r>
      <w:r>
        <w:rPr>
          <w:rFonts w:ascii="Calibri" w:hAnsi="Calibri"/>
          <w:color w:val="003366"/>
          <w:sz w:val="20"/>
        </w:rPr>
        <w:t>library</w:t>
      </w:r>
      <w:r>
        <w:rPr>
          <w:rFonts w:ascii="Calibri" w:hAnsi="Calibri"/>
          <w:color w:val="003366"/>
          <w:spacing w:val="-10"/>
          <w:sz w:val="20"/>
        </w:rPr>
        <w:t xml:space="preserve"> </w:t>
      </w:r>
      <w:r>
        <w:rPr>
          <w:rFonts w:ascii="Calibri" w:hAnsi="Calibri"/>
          <w:color w:val="003366"/>
          <w:sz w:val="20"/>
        </w:rPr>
        <w:t>collection,</w:t>
      </w:r>
      <w:r>
        <w:rPr>
          <w:rFonts w:ascii="Calibri" w:hAnsi="Calibri"/>
          <w:color w:val="003366"/>
          <w:spacing w:val="-10"/>
          <w:sz w:val="20"/>
        </w:rPr>
        <w:t xml:space="preserve"> </w:t>
      </w:r>
      <w:r>
        <w:rPr>
          <w:rFonts w:ascii="Calibri" w:hAnsi="Calibri"/>
          <w:color w:val="003366"/>
          <w:sz w:val="20"/>
        </w:rPr>
        <w:t>there was insufficient market evidence of directly comparable transactions to determine fair value. Reference was</w:t>
      </w:r>
      <w:r>
        <w:rPr>
          <w:rFonts w:ascii="Calibri" w:hAnsi="Calibri"/>
          <w:color w:val="003366"/>
          <w:spacing w:val="-12"/>
          <w:sz w:val="20"/>
        </w:rPr>
        <w:t xml:space="preserve"> </w:t>
      </w:r>
      <w:r>
        <w:rPr>
          <w:rFonts w:ascii="Calibri" w:hAnsi="Calibri"/>
          <w:color w:val="003366"/>
          <w:sz w:val="20"/>
        </w:rPr>
        <w:t>made</w:t>
      </w:r>
      <w:r>
        <w:rPr>
          <w:rFonts w:ascii="Calibri" w:hAnsi="Calibri"/>
          <w:color w:val="003366"/>
          <w:spacing w:val="-14"/>
          <w:sz w:val="20"/>
        </w:rPr>
        <w:t xml:space="preserve"> </w:t>
      </w:r>
      <w:r>
        <w:rPr>
          <w:rFonts w:ascii="Calibri" w:hAnsi="Calibri"/>
          <w:color w:val="003366"/>
          <w:sz w:val="20"/>
        </w:rPr>
        <w:t>to</w:t>
      </w:r>
      <w:r>
        <w:rPr>
          <w:rFonts w:ascii="Calibri" w:hAnsi="Calibri"/>
          <w:color w:val="003366"/>
          <w:spacing w:val="-13"/>
          <w:sz w:val="20"/>
        </w:rPr>
        <w:t xml:space="preserve"> </w:t>
      </w:r>
      <w:r>
        <w:rPr>
          <w:rFonts w:ascii="Calibri" w:hAnsi="Calibri"/>
          <w:color w:val="003366"/>
          <w:sz w:val="20"/>
        </w:rPr>
        <w:t>transactions</w:t>
      </w:r>
      <w:r>
        <w:rPr>
          <w:rFonts w:ascii="Calibri" w:hAnsi="Calibri"/>
          <w:color w:val="003366"/>
          <w:spacing w:val="-12"/>
          <w:sz w:val="20"/>
        </w:rPr>
        <w:t xml:space="preserve"> </w:t>
      </w:r>
      <w:r>
        <w:rPr>
          <w:rFonts w:ascii="Calibri" w:hAnsi="Calibri"/>
          <w:color w:val="003366"/>
          <w:sz w:val="20"/>
        </w:rPr>
        <w:t>with</w:t>
      </w:r>
      <w:r>
        <w:rPr>
          <w:rFonts w:ascii="Calibri" w:hAnsi="Calibri"/>
          <w:color w:val="003366"/>
          <w:spacing w:val="-13"/>
          <w:sz w:val="20"/>
        </w:rPr>
        <w:t xml:space="preserve"> </w:t>
      </w:r>
      <w:r>
        <w:rPr>
          <w:rFonts w:ascii="Calibri" w:hAnsi="Calibri"/>
          <w:color w:val="003366"/>
          <w:sz w:val="20"/>
        </w:rPr>
        <w:t>limited</w:t>
      </w:r>
      <w:r>
        <w:rPr>
          <w:rFonts w:ascii="Calibri" w:hAnsi="Calibri"/>
          <w:color w:val="003366"/>
          <w:spacing w:val="-10"/>
          <w:sz w:val="20"/>
        </w:rPr>
        <w:t xml:space="preserve"> </w:t>
      </w:r>
      <w:r>
        <w:rPr>
          <w:rFonts w:ascii="Calibri" w:hAnsi="Calibri"/>
          <w:color w:val="003366"/>
          <w:sz w:val="20"/>
        </w:rPr>
        <w:t>levels</w:t>
      </w:r>
      <w:r>
        <w:rPr>
          <w:rFonts w:ascii="Calibri" w:hAnsi="Calibri"/>
          <w:color w:val="003366"/>
          <w:spacing w:val="-14"/>
          <w:sz w:val="20"/>
        </w:rPr>
        <w:t xml:space="preserve"> </w:t>
      </w:r>
      <w:r>
        <w:rPr>
          <w:rFonts w:ascii="Calibri" w:hAnsi="Calibri"/>
          <w:color w:val="003366"/>
          <w:sz w:val="20"/>
        </w:rPr>
        <w:t>of</w:t>
      </w:r>
      <w:r>
        <w:rPr>
          <w:rFonts w:ascii="Calibri" w:hAnsi="Calibri"/>
          <w:color w:val="003366"/>
          <w:spacing w:val="-12"/>
          <w:sz w:val="20"/>
        </w:rPr>
        <w:t xml:space="preserve"> </w:t>
      </w:r>
      <w:r>
        <w:rPr>
          <w:rFonts w:ascii="Calibri" w:hAnsi="Calibri"/>
          <w:color w:val="003366"/>
          <w:sz w:val="20"/>
        </w:rPr>
        <w:t>comparability</w:t>
      </w:r>
      <w:r>
        <w:rPr>
          <w:rFonts w:ascii="Calibri" w:hAnsi="Calibri"/>
          <w:color w:val="003366"/>
          <w:spacing w:val="-13"/>
          <w:sz w:val="20"/>
        </w:rPr>
        <w:t xml:space="preserve"> </w:t>
      </w:r>
      <w:r>
        <w:rPr>
          <w:rFonts w:ascii="Calibri" w:hAnsi="Calibri"/>
          <w:color w:val="003366"/>
          <w:sz w:val="20"/>
        </w:rPr>
        <w:t>and</w:t>
      </w:r>
      <w:r>
        <w:rPr>
          <w:rFonts w:ascii="Calibri" w:hAnsi="Calibri"/>
          <w:color w:val="003366"/>
          <w:spacing w:val="-13"/>
          <w:sz w:val="20"/>
        </w:rPr>
        <w:t xml:space="preserve"> </w:t>
      </w:r>
      <w:r>
        <w:rPr>
          <w:rFonts w:ascii="Calibri" w:hAnsi="Calibri"/>
          <w:color w:val="003366"/>
          <w:sz w:val="20"/>
        </w:rPr>
        <w:t>adjusted</w:t>
      </w:r>
      <w:r>
        <w:rPr>
          <w:rFonts w:ascii="Calibri" w:hAnsi="Calibri"/>
          <w:color w:val="003366"/>
          <w:spacing w:val="-13"/>
          <w:sz w:val="20"/>
        </w:rPr>
        <w:t xml:space="preserve"> </w:t>
      </w:r>
      <w:r>
        <w:rPr>
          <w:rFonts w:ascii="Calibri" w:hAnsi="Calibri"/>
          <w:color w:val="003366"/>
          <w:sz w:val="20"/>
        </w:rPr>
        <w:t>by</w:t>
      </w:r>
      <w:r>
        <w:rPr>
          <w:rFonts w:ascii="Calibri" w:hAnsi="Calibri"/>
          <w:color w:val="003366"/>
          <w:spacing w:val="-13"/>
          <w:sz w:val="20"/>
        </w:rPr>
        <w:t xml:space="preserve"> </w:t>
      </w:r>
      <w:r>
        <w:rPr>
          <w:rFonts w:ascii="Calibri" w:hAnsi="Calibri"/>
          <w:color w:val="003366"/>
          <w:sz w:val="20"/>
        </w:rPr>
        <w:t>the</w:t>
      </w:r>
      <w:r>
        <w:rPr>
          <w:rFonts w:ascii="Calibri" w:hAnsi="Calibri"/>
          <w:color w:val="003366"/>
          <w:spacing w:val="-14"/>
          <w:sz w:val="20"/>
        </w:rPr>
        <w:t xml:space="preserve"> </w:t>
      </w:r>
      <w:r>
        <w:rPr>
          <w:rFonts w:ascii="Calibri" w:hAnsi="Calibri"/>
          <w:color w:val="003366"/>
          <w:sz w:val="20"/>
        </w:rPr>
        <w:t>valuer</w:t>
      </w:r>
      <w:r>
        <w:rPr>
          <w:rFonts w:ascii="Calibri" w:hAnsi="Calibri"/>
          <w:color w:val="003366"/>
          <w:spacing w:val="-14"/>
          <w:sz w:val="20"/>
        </w:rPr>
        <w:t xml:space="preserve"> </w:t>
      </w:r>
      <w:r>
        <w:rPr>
          <w:rFonts w:ascii="Calibri" w:hAnsi="Calibri"/>
          <w:color w:val="003366"/>
          <w:sz w:val="20"/>
        </w:rPr>
        <w:t>using</w:t>
      </w:r>
      <w:r>
        <w:rPr>
          <w:rFonts w:ascii="Calibri" w:hAnsi="Calibri"/>
          <w:color w:val="003366"/>
          <w:spacing w:val="-14"/>
          <w:sz w:val="20"/>
        </w:rPr>
        <w:t xml:space="preserve"> </w:t>
      </w:r>
      <w:r>
        <w:rPr>
          <w:rFonts w:ascii="Calibri" w:hAnsi="Calibri"/>
          <w:color w:val="003366"/>
          <w:sz w:val="20"/>
        </w:rPr>
        <w:t>professional judgement to take account of the differing characteristics. These adjustments were evaluated for reasonableness against academic and market research as well as the value for other library collection assets held by other entities.</w:t>
      </w:r>
    </w:p>
    <w:p w:rsidR="006C17CB" w:rsidRDefault="0030091C">
      <w:pPr>
        <w:spacing w:before="117" w:line="204" w:lineRule="auto"/>
        <w:ind w:left="829" w:right="1521"/>
        <w:jc w:val="both"/>
        <w:rPr>
          <w:rFonts w:ascii="Calibri" w:hAnsi="Calibri"/>
          <w:sz w:val="20"/>
        </w:rPr>
      </w:pPr>
      <w:r>
        <w:rPr>
          <w:rFonts w:ascii="Calibri" w:hAnsi="Calibri"/>
          <w:color w:val="003366"/>
          <w:sz w:val="20"/>
        </w:rPr>
        <w:t>Valuation Technique: Plant and Equipment – (plant and equipment) were measured using the cost approach that reflects the cost to a market participant to construct assets of comparable utility adjusted for obsolescence.</w:t>
      </w:r>
    </w:p>
    <w:p w:rsidR="006C17CB" w:rsidRDefault="0030091C">
      <w:pPr>
        <w:spacing w:before="116" w:line="204" w:lineRule="auto"/>
        <w:ind w:left="829" w:right="1522"/>
        <w:jc w:val="both"/>
        <w:rPr>
          <w:rFonts w:ascii="Calibri"/>
          <w:sz w:val="20"/>
        </w:rPr>
      </w:pPr>
      <w:r>
        <w:rPr>
          <w:rFonts w:ascii="Calibri"/>
          <w:color w:val="003366"/>
          <w:sz w:val="20"/>
        </w:rPr>
        <w:t>Significant Unobservable Inputs: Plant and Equipment - In determining the value of plant and equipment, regard</w:t>
      </w:r>
      <w:r>
        <w:rPr>
          <w:rFonts w:ascii="Calibri"/>
          <w:color w:val="003366"/>
          <w:spacing w:val="-8"/>
          <w:sz w:val="20"/>
        </w:rPr>
        <w:t xml:space="preserve"> </w:t>
      </w:r>
      <w:r>
        <w:rPr>
          <w:rFonts w:ascii="Calibri"/>
          <w:color w:val="003366"/>
          <w:sz w:val="20"/>
        </w:rPr>
        <w:t>was</w:t>
      </w:r>
      <w:r>
        <w:rPr>
          <w:rFonts w:ascii="Calibri"/>
          <w:color w:val="003366"/>
          <w:spacing w:val="-10"/>
          <w:sz w:val="20"/>
        </w:rPr>
        <w:t xml:space="preserve"> </w:t>
      </w:r>
      <w:r>
        <w:rPr>
          <w:rFonts w:ascii="Calibri"/>
          <w:color w:val="003366"/>
          <w:sz w:val="20"/>
        </w:rPr>
        <w:t>given</w:t>
      </w:r>
      <w:r>
        <w:rPr>
          <w:rFonts w:ascii="Calibri"/>
          <w:color w:val="003366"/>
          <w:spacing w:val="-8"/>
          <w:sz w:val="20"/>
        </w:rPr>
        <w:t xml:space="preserve"> </w:t>
      </w:r>
      <w:r>
        <w:rPr>
          <w:rFonts w:ascii="Calibri"/>
          <w:color w:val="003366"/>
          <w:sz w:val="20"/>
        </w:rPr>
        <w:t>to</w:t>
      </w:r>
      <w:r>
        <w:rPr>
          <w:rFonts w:ascii="Calibri"/>
          <w:color w:val="003366"/>
          <w:spacing w:val="-8"/>
          <w:sz w:val="20"/>
        </w:rPr>
        <w:t xml:space="preserve"> </w:t>
      </w:r>
      <w:r>
        <w:rPr>
          <w:rFonts w:ascii="Calibri"/>
          <w:color w:val="003366"/>
          <w:sz w:val="20"/>
        </w:rPr>
        <w:t>the</w:t>
      </w:r>
      <w:r>
        <w:rPr>
          <w:rFonts w:ascii="Calibri"/>
          <w:color w:val="003366"/>
          <w:spacing w:val="-10"/>
          <w:sz w:val="20"/>
        </w:rPr>
        <w:t xml:space="preserve"> </w:t>
      </w:r>
      <w:r>
        <w:rPr>
          <w:rFonts w:ascii="Calibri"/>
          <w:color w:val="003366"/>
          <w:sz w:val="20"/>
        </w:rPr>
        <w:t>age</w:t>
      </w:r>
      <w:r>
        <w:rPr>
          <w:rFonts w:ascii="Calibri"/>
          <w:color w:val="003366"/>
          <w:spacing w:val="-10"/>
          <w:sz w:val="20"/>
        </w:rPr>
        <w:t xml:space="preserve"> </w:t>
      </w:r>
      <w:r>
        <w:rPr>
          <w:rFonts w:ascii="Calibri"/>
          <w:color w:val="003366"/>
          <w:sz w:val="20"/>
        </w:rPr>
        <w:t>and</w:t>
      </w:r>
      <w:r>
        <w:rPr>
          <w:rFonts w:ascii="Calibri"/>
          <w:color w:val="003366"/>
          <w:spacing w:val="-8"/>
          <w:sz w:val="20"/>
        </w:rPr>
        <w:t xml:space="preserve"> </w:t>
      </w:r>
      <w:r>
        <w:rPr>
          <w:rFonts w:ascii="Calibri"/>
          <w:color w:val="003366"/>
          <w:sz w:val="20"/>
        </w:rPr>
        <w:t>condition</w:t>
      </w:r>
      <w:r>
        <w:rPr>
          <w:rFonts w:ascii="Calibri"/>
          <w:color w:val="003366"/>
          <w:spacing w:val="-8"/>
          <w:sz w:val="20"/>
        </w:rPr>
        <w:t xml:space="preserve"> </w:t>
      </w:r>
      <w:r>
        <w:rPr>
          <w:rFonts w:ascii="Calibri"/>
          <w:color w:val="003366"/>
          <w:sz w:val="20"/>
        </w:rPr>
        <w:t>of</w:t>
      </w:r>
      <w:r>
        <w:rPr>
          <w:rFonts w:ascii="Calibri"/>
          <w:color w:val="003366"/>
          <w:spacing w:val="-10"/>
          <w:sz w:val="20"/>
        </w:rPr>
        <w:t xml:space="preserve"> </w:t>
      </w:r>
      <w:r>
        <w:rPr>
          <w:rFonts w:ascii="Calibri"/>
          <w:color w:val="003366"/>
          <w:sz w:val="20"/>
        </w:rPr>
        <w:t>the</w:t>
      </w:r>
      <w:r>
        <w:rPr>
          <w:rFonts w:ascii="Calibri"/>
          <w:color w:val="003366"/>
          <w:spacing w:val="-10"/>
          <w:sz w:val="20"/>
        </w:rPr>
        <w:t xml:space="preserve"> </w:t>
      </w:r>
      <w:r>
        <w:rPr>
          <w:rFonts w:ascii="Calibri"/>
          <w:color w:val="003366"/>
          <w:sz w:val="20"/>
        </w:rPr>
        <w:t>assets,</w:t>
      </w:r>
      <w:r>
        <w:rPr>
          <w:rFonts w:ascii="Calibri"/>
          <w:color w:val="003366"/>
          <w:spacing w:val="-8"/>
          <w:sz w:val="20"/>
        </w:rPr>
        <w:t xml:space="preserve"> </w:t>
      </w:r>
      <w:r>
        <w:rPr>
          <w:rFonts w:ascii="Calibri"/>
          <w:color w:val="003366"/>
          <w:sz w:val="20"/>
        </w:rPr>
        <w:t>their</w:t>
      </w:r>
      <w:r>
        <w:rPr>
          <w:rFonts w:ascii="Calibri"/>
          <w:color w:val="003366"/>
          <w:spacing w:val="-9"/>
          <w:sz w:val="20"/>
        </w:rPr>
        <w:t xml:space="preserve"> </w:t>
      </w:r>
      <w:r>
        <w:rPr>
          <w:rFonts w:ascii="Calibri"/>
          <w:color w:val="003366"/>
          <w:sz w:val="20"/>
        </w:rPr>
        <w:t>estimated</w:t>
      </w:r>
      <w:r>
        <w:rPr>
          <w:rFonts w:ascii="Calibri"/>
          <w:color w:val="003366"/>
          <w:spacing w:val="-8"/>
          <w:sz w:val="20"/>
        </w:rPr>
        <w:t xml:space="preserve"> </w:t>
      </w:r>
      <w:r>
        <w:rPr>
          <w:rFonts w:ascii="Calibri"/>
          <w:color w:val="003366"/>
          <w:sz w:val="20"/>
        </w:rPr>
        <w:t>replacement</w:t>
      </w:r>
      <w:r>
        <w:rPr>
          <w:rFonts w:ascii="Calibri"/>
          <w:color w:val="003366"/>
          <w:spacing w:val="-8"/>
          <w:sz w:val="20"/>
        </w:rPr>
        <w:t xml:space="preserve"> </w:t>
      </w:r>
      <w:r>
        <w:rPr>
          <w:rFonts w:ascii="Calibri"/>
          <w:color w:val="003366"/>
          <w:sz w:val="20"/>
        </w:rPr>
        <w:t>cost</w:t>
      </w:r>
      <w:r>
        <w:rPr>
          <w:rFonts w:ascii="Calibri"/>
          <w:color w:val="003366"/>
          <w:spacing w:val="-8"/>
          <w:sz w:val="20"/>
        </w:rPr>
        <w:t xml:space="preserve"> </w:t>
      </w:r>
      <w:r>
        <w:rPr>
          <w:rFonts w:ascii="Calibri"/>
          <w:color w:val="003366"/>
          <w:sz w:val="20"/>
        </w:rPr>
        <w:t>and</w:t>
      </w:r>
      <w:r>
        <w:rPr>
          <w:rFonts w:ascii="Calibri"/>
          <w:color w:val="003366"/>
          <w:spacing w:val="-8"/>
          <w:sz w:val="20"/>
        </w:rPr>
        <w:t xml:space="preserve"> </w:t>
      </w:r>
      <w:r>
        <w:rPr>
          <w:rFonts w:ascii="Calibri"/>
          <w:color w:val="003366"/>
          <w:sz w:val="20"/>
        </w:rPr>
        <w:t>current</w:t>
      </w:r>
      <w:r>
        <w:rPr>
          <w:rFonts w:ascii="Calibri"/>
          <w:color w:val="003366"/>
          <w:spacing w:val="-8"/>
          <w:sz w:val="20"/>
        </w:rPr>
        <w:t xml:space="preserve"> </w:t>
      </w:r>
      <w:r>
        <w:rPr>
          <w:rFonts w:ascii="Calibri"/>
          <w:color w:val="003366"/>
          <w:sz w:val="20"/>
        </w:rPr>
        <w:t>use. This required the use of data internal to the Office. The fair value of plant and equipment is affected by the obsolescence of the assets and the consumption of their economic benefits over</w:t>
      </w:r>
      <w:r>
        <w:rPr>
          <w:rFonts w:ascii="Calibri"/>
          <w:color w:val="003366"/>
          <w:spacing w:val="-16"/>
          <w:sz w:val="20"/>
        </w:rPr>
        <w:t xml:space="preserve"> </w:t>
      </w:r>
      <w:r>
        <w:rPr>
          <w:rFonts w:ascii="Calibri"/>
          <w:color w:val="003366"/>
          <w:sz w:val="20"/>
        </w:rPr>
        <w:t>time.</w:t>
      </w:r>
    </w:p>
    <w:p w:rsidR="006C17CB" w:rsidRDefault="0030091C">
      <w:pPr>
        <w:spacing w:before="117" w:line="204" w:lineRule="auto"/>
        <w:ind w:left="829" w:right="1518" w:hanging="1"/>
        <w:jc w:val="both"/>
        <w:rPr>
          <w:rFonts w:ascii="Calibri"/>
          <w:sz w:val="20"/>
        </w:rPr>
      </w:pPr>
      <w:r>
        <w:rPr>
          <w:rFonts w:ascii="Calibri"/>
          <w:color w:val="003366"/>
          <w:sz w:val="20"/>
        </w:rPr>
        <w:t>During the course of the revaluation performed at 30 June 2017, comparable market evidence was identified</w:t>
      </w:r>
      <w:r>
        <w:rPr>
          <w:rFonts w:ascii="Calibri"/>
          <w:color w:val="003366"/>
          <w:spacing w:val="-10"/>
          <w:sz w:val="20"/>
        </w:rPr>
        <w:t xml:space="preserve"> </w:t>
      </w:r>
      <w:r>
        <w:rPr>
          <w:rFonts w:ascii="Calibri"/>
          <w:color w:val="003366"/>
          <w:sz w:val="20"/>
        </w:rPr>
        <w:t>for</w:t>
      </w:r>
      <w:r>
        <w:rPr>
          <w:rFonts w:ascii="Calibri"/>
          <w:color w:val="003366"/>
          <w:spacing w:val="-11"/>
          <w:sz w:val="20"/>
        </w:rPr>
        <w:t xml:space="preserve"> </w:t>
      </w:r>
      <w:r>
        <w:rPr>
          <w:rFonts w:ascii="Calibri"/>
          <w:color w:val="003366"/>
          <w:sz w:val="20"/>
        </w:rPr>
        <w:t>some</w:t>
      </w:r>
      <w:r>
        <w:rPr>
          <w:rFonts w:ascii="Calibri"/>
          <w:color w:val="003366"/>
          <w:spacing w:val="-12"/>
          <w:sz w:val="20"/>
        </w:rPr>
        <w:t xml:space="preserve"> </w:t>
      </w:r>
      <w:r>
        <w:rPr>
          <w:rFonts w:ascii="Calibri"/>
          <w:color w:val="003366"/>
          <w:sz w:val="20"/>
        </w:rPr>
        <w:t>plant</w:t>
      </w:r>
      <w:r>
        <w:rPr>
          <w:rFonts w:ascii="Calibri"/>
          <w:color w:val="003366"/>
          <w:spacing w:val="-11"/>
          <w:sz w:val="20"/>
        </w:rPr>
        <w:t xml:space="preserve"> </w:t>
      </w:r>
      <w:r>
        <w:rPr>
          <w:rFonts w:ascii="Calibri"/>
          <w:color w:val="003366"/>
          <w:sz w:val="20"/>
        </w:rPr>
        <w:t>and</w:t>
      </w:r>
      <w:r>
        <w:rPr>
          <w:rFonts w:ascii="Calibri"/>
          <w:color w:val="003366"/>
          <w:spacing w:val="-15"/>
          <w:sz w:val="20"/>
        </w:rPr>
        <w:t xml:space="preserve"> </w:t>
      </w:r>
      <w:r>
        <w:rPr>
          <w:rFonts w:ascii="Calibri"/>
          <w:color w:val="003366"/>
          <w:sz w:val="20"/>
        </w:rPr>
        <w:t>equipment</w:t>
      </w:r>
      <w:r>
        <w:rPr>
          <w:rFonts w:ascii="Calibri"/>
          <w:color w:val="003366"/>
          <w:spacing w:val="-11"/>
          <w:sz w:val="20"/>
        </w:rPr>
        <w:t xml:space="preserve"> </w:t>
      </w:r>
      <w:r>
        <w:rPr>
          <w:rFonts w:ascii="Calibri"/>
          <w:color w:val="003366"/>
          <w:sz w:val="20"/>
        </w:rPr>
        <w:t>assets.</w:t>
      </w:r>
      <w:r>
        <w:rPr>
          <w:rFonts w:ascii="Calibri"/>
          <w:color w:val="003366"/>
          <w:spacing w:val="-11"/>
          <w:sz w:val="20"/>
        </w:rPr>
        <w:t xml:space="preserve"> </w:t>
      </w:r>
      <w:r>
        <w:rPr>
          <w:rFonts w:ascii="Calibri"/>
          <w:color w:val="003366"/>
          <w:sz w:val="20"/>
        </w:rPr>
        <w:t>These</w:t>
      </w:r>
      <w:r>
        <w:rPr>
          <w:rFonts w:ascii="Calibri"/>
          <w:color w:val="003366"/>
          <w:spacing w:val="-12"/>
          <w:sz w:val="20"/>
        </w:rPr>
        <w:t xml:space="preserve"> </w:t>
      </w:r>
      <w:r>
        <w:rPr>
          <w:rFonts w:ascii="Calibri"/>
          <w:color w:val="003366"/>
          <w:sz w:val="20"/>
        </w:rPr>
        <w:t>assets</w:t>
      </w:r>
      <w:r>
        <w:rPr>
          <w:rFonts w:ascii="Calibri"/>
          <w:color w:val="003366"/>
          <w:spacing w:val="-12"/>
          <w:sz w:val="20"/>
        </w:rPr>
        <w:t xml:space="preserve"> </w:t>
      </w:r>
      <w:r>
        <w:rPr>
          <w:rFonts w:ascii="Calibri"/>
          <w:color w:val="003366"/>
          <w:sz w:val="20"/>
        </w:rPr>
        <w:t>were</w:t>
      </w:r>
      <w:r>
        <w:rPr>
          <w:rFonts w:ascii="Calibri"/>
          <w:color w:val="003366"/>
          <w:spacing w:val="-12"/>
          <w:sz w:val="20"/>
        </w:rPr>
        <w:t xml:space="preserve"> </w:t>
      </w:r>
      <w:r>
        <w:rPr>
          <w:rFonts w:ascii="Calibri"/>
          <w:color w:val="003366"/>
          <w:sz w:val="20"/>
        </w:rPr>
        <w:t>previously</w:t>
      </w:r>
      <w:r>
        <w:rPr>
          <w:rFonts w:ascii="Calibri"/>
          <w:color w:val="003366"/>
          <w:spacing w:val="-10"/>
          <w:sz w:val="20"/>
        </w:rPr>
        <w:t xml:space="preserve"> </w:t>
      </w:r>
      <w:r>
        <w:rPr>
          <w:rFonts w:ascii="Calibri"/>
          <w:color w:val="003366"/>
          <w:sz w:val="20"/>
        </w:rPr>
        <w:t>classified</w:t>
      </w:r>
      <w:r>
        <w:rPr>
          <w:rFonts w:ascii="Calibri"/>
          <w:color w:val="003366"/>
          <w:spacing w:val="-10"/>
          <w:sz w:val="20"/>
        </w:rPr>
        <w:t xml:space="preserve"> </w:t>
      </w:r>
      <w:r>
        <w:rPr>
          <w:rFonts w:ascii="Calibri"/>
          <w:color w:val="003366"/>
          <w:sz w:val="20"/>
        </w:rPr>
        <w:t>as</w:t>
      </w:r>
      <w:r>
        <w:rPr>
          <w:rFonts w:ascii="Calibri"/>
          <w:color w:val="003366"/>
          <w:spacing w:val="-10"/>
          <w:sz w:val="20"/>
        </w:rPr>
        <w:t xml:space="preserve"> </w:t>
      </w:r>
      <w:r>
        <w:rPr>
          <w:rFonts w:ascii="Calibri"/>
          <w:color w:val="003366"/>
          <w:sz w:val="20"/>
        </w:rPr>
        <w:t>Level</w:t>
      </w:r>
      <w:r>
        <w:rPr>
          <w:rFonts w:ascii="Calibri"/>
          <w:color w:val="003366"/>
          <w:spacing w:val="-11"/>
          <w:sz w:val="20"/>
        </w:rPr>
        <w:t xml:space="preserve"> </w:t>
      </w:r>
      <w:r>
        <w:rPr>
          <w:rFonts w:ascii="Calibri"/>
          <w:color w:val="003366"/>
          <w:sz w:val="20"/>
        </w:rPr>
        <w:t>3</w:t>
      </w:r>
      <w:r>
        <w:rPr>
          <w:rFonts w:ascii="Calibri"/>
          <w:color w:val="003366"/>
          <w:spacing w:val="-11"/>
          <w:sz w:val="20"/>
        </w:rPr>
        <w:t xml:space="preserve"> </w:t>
      </w:r>
      <w:r>
        <w:rPr>
          <w:rFonts w:ascii="Calibri"/>
          <w:color w:val="003366"/>
          <w:sz w:val="20"/>
        </w:rPr>
        <w:t>and</w:t>
      </w:r>
      <w:r>
        <w:rPr>
          <w:rFonts w:ascii="Calibri"/>
          <w:color w:val="003366"/>
          <w:spacing w:val="-10"/>
          <w:sz w:val="20"/>
        </w:rPr>
        <w:t xml:space="preserve"> </w:t>
      </w:r>
      <w:r>
        <w:rPr>
          <w:rFonts w:ascii="Calibri"/>
          <w:color w:val="003366"/>
          <w:sz w:val="20"/>
        </w:rPr>
        <w:t>have been transferred to Level 2.</w:t>
      </w:r>
    </w:p>
    <w:p w:rsidR="006C17CB" w:rsidRDefault="006C17CB">
      <w:pPr>
        <w:pStyle w:val="BodyText"/>
        <w:rPr>
          <w:rFonts w:ascii="Calibri"/>
          <w:sz w:val="14"/>
        </w:rPr>
      </w:pPr>
    </w:p>
    <w:p w:rsidR="006C17CB" w:rsidRDefault="0030091C">
      <w:pPr>
        <w:ind w:left="829"/>
        <w:jc w:val="both"/>
        <w:rPr>
          <w:rFonts w:ascii="Calibri"/>
          <w:b/>
          <w:sz w:val="20"/>
        </w:rPr>
      </w:pPr>
      <w:r>
        <w:rPr>
          <w:rFonts w:ascii="Calibri"/>
          <w:b/>
          <w:color w:val="003366"/>
          <w:sz w:val="20"/>
        </w:rPr>
        <w:t>Fair Value Measurements using Significant Unobservable Inputs (Level 3)</w:t>
      </w:r>
    </w:p>
    <w:p w:rsidR="006C17CB" w:rsidRDefault="006C17CB">
      <w:pPr>
        <w:pStyle w:val="BodyText"/>
        <w:spacing w:after="1"/>
        <w:rPr>
          <w:rFonts w:ascii="Calibri"/>
          <w:b/>
          <w:sz w:val="28"/>
        </w:rPr>
      </w:pPr>
    </w:p>
    <w:tbl>
      <w:tblPr>
        <w:tblW w:w="0" w:type="auto"/>
        <w:tblInd w:w="779" w:type="dxa"/>
        <w:tblLayout w:type="fixed"/>
        <w:tblCellMar>
          <w:left w:w="0" w:type="dxa"/>
          <w:right w:w="0" w:type="dxa"/>
        </w:tblCellMar>
        <w:tblLook w:val="01E0" w:firstRow="1" w:lastRow="1" w:firstColumn="1" w:lastColumn="1" w:noHBand="0" w:noVBand="0"/>
      </w:tblPr>
      <w:tblGrid>
        <w:gridCol w:w="3939"/>
        <w:gridCol w:w="1402"/>
        <w:gridCol w:w="1506"/>
        <w:gridCol w:w="1078"/>
        <w:gridCol w:w="747"/>
      </w:tblGrid>
      <w:tr w:rsidR="006C17CB">
        <w:trPr>
          <w:trHeight w:val="466"/>
        </w:trPr>
        <w:tc>
          <w:tcPr>
            <w:tcW w:w="3939" w:type="dxa"/>
          </w:tcPr>
          <w:p w:rsidR="006C17CB" w:rsidRDefault="006C17CB">
            <w:pPr>
              <w:pStyle w:val="TableParagraph"/>
              <w:jc w:val="left"/>
              <w:rPr>
                <w:rFonts w:ascii="Times New Roman"/>
                <w:sz w:val="20"/>
              </w:rPr>
            </w:pPr>
          </w:p>
        </w:tc>
        <w:tc>
          <w:tcPr>
            <w:tcW w:w="1402" w:type="dxa"/>
          </w:tcPr>
          <w:p w:rsidR="006C17CB" w:rsidRDefault="0030091C">
            <w:pPr>
              <w:pStyle w:val="TableParagraph"/>
              <w:spacing w:line="181" w:lineRule="exact"/>
              <w:ind w:left="315" w:right="19"/>
              <w:jc w:val="center"/>
              <w:rPr>
                <w:b/>
                <w:sz w:val="20"/>
              </w:rPr>
            </w:pPr>
            <w:r>
              <w:rPr>
                <w:b/>
                <w:color w:val="003366"/>
                <w:sz w:val="20"/>
              </w:rPr>
              <w:t>Plant and</w:t>
            </w:r>
          </w:p>
          <w:p w:rsidR="006C17CB" w:rsidRDefault="0030091C">
            <w:pPr>
              <w:pStyle w:val="TableParagraph"/>
              <w:spacing w:line="265" w:lineRule="exact"/>
              <w:ind w:left="315" w:right="138"/>
              <w:jc w:val="center"/>
              <w:rPr>
                <w:b/>
                <w:sz w:val="20"/>
              </w:rPr>
            </w:pPr>
            <w:r>
              <w:rPr>
                <w:b/>
                <w:color w:val="003366"/>
                <w:sz w:val="20"/>
              </w:rPr>
              <w:t>Equipment</w:t>
            </w:r>
          </w:p>
        </w:tc>
        <w:tc>
          <w:tcPr>
            <w:tcW w:w="1506" w:type="dxa"/>
          </w:tcPr>
          <w:p w:rsidR="006C17CB" w:rsidRDefault="0030091C">
            <w:pPr>
              <w:pStyle w:val="TableParagraph"/>
              <w:spacing w:line="181" w:lineRule="exact"/>
              <w:ind w:left="541"/>
              <w:jc w:val="left"/>
              <w:rPr>
                <w:b/>
                <w:sz w:val="20"/>
              </w:rPr>
            </w:pPr>
            <w:r>
              <w:rPr>
                <w:b/>
                <w:color w:val="003366"/>
                <w:sz w:val="20"/>
              </w:rPr>
              <w:t>Leasehold</w:t>
            </w:r>
          </w:p>
          <w:p w:rsidR="006C17CB" w:rsidRDefault="0030091C">
            <w:pPr>
              <w:pStyle w:val="TableParagraph"/>
              <w:spacing w:line="265" w:lineRule="exact"/>
              <w:ind w:left="159"/>
              <w:jc w:val="left"/>
              <w:rPr>
                <w:b/>
                <w:sz w:val="20"/>
              </w:rPr>
            </w:pPr>
            <w:r>
              <w:rPr>
                <w:b/>
                <w:color w:val="003366"/>
                <w:sz w:val="20"/>
              </w:rPr>
              <w:t>Improvements</w:t>
            </w:r>
          </w:p>
        </w:tc>
        <w:tc>
          <w:tcPr>
            <w:tcW w:w="1078" w:type="dxa"/>
          </w:tcPr>
          <w:p w:rsidR="006C17CB" w:rsidRDefault="0030091C">
            <w:pPr>
              <w:pStyle w:val="TableParagraph"/>
              <w:spacing w:line="181" w:lineRule="exact"/>
              <w:ind w:left="109" w:right="218"/>
              <w:jc w:val="center"/>
              <w:rPr>
                <w:b/>
                <w:sz w:val="20"/>
              </w:rPr>
            </w:pPr>
            <w:r>
              <w:rPr>
                <w:b/>
                <w:color w:val="003366"/>
                <w:sz w:val="20"/>
              </w:rPr>
              <w:t>Heritage</w:t>
            </w:r>
          </w:p>
          <w:p w:rsidR="006C17CB" w:rsidRDefault="0030091C">
            <w:pPr>
              <w:pStyle w:val="TableParagraph"/>
              <w:spacing w:line="265" w:lineRule="exact"/>
              <w:ind w:left="109" w:right="45"/>
              <w:jc w:val="center"/>
              <w:rPr>
                <w:b/>
                <w:sz w:val="20"/>
              </w:rPr>
            </w:pPr>
            <w:r>
              <w:rPr>
                <w:b/>
                <w:color w:val="003366"/>
                <w:sz w:val="20"/>
              </w:rPr>
              <w:t>Assets</w:t>
            </w:r>
          </w:p>
        </w:tc>
        <w:tc>
          <w:tcPr>
            <w:tcW w:w="747" w:type="dxa"/>
          </w:tcPr>
          <w:p w:rsidR="006C17CB" w:rsidRDefault="0030091C">
            <w:pPr>
              <w:pStyle w:val="TableParagraph"/>
              <w:spacing w:before="159" w:line="287" w:lineRule="exact"/>
              <w:ind w:right="48"/>
              <w:rPr>
                <w:b/>
                <w:sz w:val="20"/>
              </w:rPr>
            </w:pPr>
            <w:r>
              <w:rPr>
                <w:b/>
                <w:color w:val="003366"/>
                <w:sz w:val="20"/>
              </w:rPr>
              <w:t>Total</w:t>
            </w:r>
          </w:p>
        </w:tc>
      </w:tr>
      <w:tr w:rsidR="006C17CB">
        <w:trPr>
          <w:trHeight w:val="263"/>
        </w:trPr>
        <w:tc>
          <w:tcPr>
            <w:tcW w:w="3939" w:type="dxa"/>
          </w:tcPr>
          <w:p w:rsidR="006C17CB" w:rsidRDefault="0030091C">
            <w:pPr>
              <w:pStyle w:val="TableParagraph"/>
              <w:spacing w:line="226" w:lineRule="exact"/>
              <w:ind w:left="50"/>
              <w:jc w:val="left"/>
              <w:rPr>
                <w:b/>
                <w:sz w:val="20"/>
              </w:rPr>
            </w:pPr>
            <w:r>
              <w:rPr>
                <w:b/>
                <w:color w:val="003366"/>
                <w:sz w:val="20"/>
              </w:rPr>
              <w:t>2018</w:t>
            </w:r>
          </w:p>
        </w:tc>
        <w:tc>
          <w:tcPr>
            <w:tcW w:w="1402" w:type="dxa"/>
          </w:tcPr>
          <w:p w:rsidR="006C17CB" w:rsidRDefault="0030091C">
            <w:pPr>
              <w:pStyle w:val="TableParagraph"/>
              <w:spacing w:line="226" w:lineRule="exact"/>
              <w:ind w:right="157"/>
              <w:rPr>
                <w:b/>
                <w:sz w:val="20"/>
              </w:rPr>
            </w:pPr>
            <w:r>
              <w:rPr>
                <w:b/>
                <w:color w:val="003366"/>
                <w:w w:val="95"/>
                <w:sz w:val="20"/>
              </w:rPr>
              <w:t>$’000</w:t>
            </w:r>
          </w:p>
        </w:tc>
        <w:tc>
          <w:tcPr>
            <w:tcW w:w="1506" w:type="dxa"/>
          </w:tcPr>
          <w:p w:rsidR="006C17CB" w:rsidRDefault="0030091C">
            <w:pPr>
              <w:pStyle w:val="TableParagraph"/>
              <w:spacing w:line="226" w:lineRule="exact"/>
              <w:ind w:right="130"/>
              <w:rPr>
                <w:b/>
                <w:sz w:val="20"/>
              </w:rPr>
            </w:pPr>
            <w:r>
              <w:rPr>
                <w:b/>
                <w:color w:val="003366"/>
                <w:w w:val="95"/>
                <w:sz w:val="20"/>
              </w:rPr>
              <w:t>$’000</w:t>
            </w:r>
          </w:p>
        </w:tc>
        <w:tc>
          <w:tcPr>
            <w:tcW w:w="1078" w:type="dxa"/>
          </w:tcPr>
          <w:p w:rsidR="006C17CB" w:rsidRDefault="0030091C">
            <w:pPr>
              <w:pStyle w:val="TableParagraph"/>
              <w:spacing w:line="226" w:lineRule="exact"/>
              <w:ind w:right="241"/>
              <w:rPr>
                <w:b/>
                <w:sz w:val="20"/>
              </w:rPr>
            </w:pPr>
            <w:r>
              <w:rPr>
                <w:b/>
                <w:color w:val="003366"/>
                <w:w w:val="95"/>
                <w:sz w:val="20"/>
              </w:rPr>
              <w:t>$’000</w:t>
            </w:r>
          </w:p>
        </w:tc>
        <w:tc>
          <w:tcPr>
            <w:tcW w:w="747" w:type="dxa"/>
          </w:tcPr>
          <w:p w:rsidR="006C17CB" w:rsidRDefault="0030091C">
            <w:pPr>
              <w:pStyle w:val="TableParagraph"/>
              <w:spacing w:line="226" w:lineRule="exact"/>
              <w:ind w:right="49"/>
              <w:rPr>
                <w:b/>
                <w:sz w:val="20"/>
              </w:rPr>
            </w:pPr>
            <w:r>
              <w:rPr>
                <w:b/>
                <w:color w:val="003366"/>
                <w:w w:val="95"/>
                <w:sz w:val="20"/>
              </w:rPr>
              <w:t>$’000</w:t>
            </w:r>
          </w:p>
        </w:tc>
      </w:tr>
      <w:tr w:rsidR="006C17CB">
        <w:trPr>
          <w:trHeight w:val="529"/>
        </w:trPr>
        <w:tc>
          <w:tcPr>
            <w:tcW w:w="3939" w:type="dxa"/>
          </w:tcPr>
          <w:p w:rsidR="006C17CB" w:rsidRDefault="0030091C">
            <w:pPr>
              <w:pStyle w:val="TableParagraph"/>
              <w:spacing w:line="204" w:lineRule="auto"/>
              <w:ind w:left="333" w:right="313" w:hanging="284"/>
              <w:jc w:val="left"/>
              <w:rPr>
                <w:sz w:val="20"/>
              </w:rPr>
            </w:pPr>
            <w:r>
              <w:rPr>
                <w:color w:val="003366"/>
                <w:sz w:val="20"/>
              </w:rPr>
              <w:t>Fair Value at the Beginning of the Reporting Period</w:t>
            </w:r>
          </w:p>
        </w:tc>
        <w:tc>
          <w:tcPr>
            <w:tcW w:w="1402" w:type="dxa"/>
          </w:tcPr>
          <w:p w:rsidR="006C17CB" w:rsidRDefault="006C17CB">
            <w:pPr>
              <w:pStyle w:val="TableParagraph"/>
              <w:spacing w:before="14"/>
              <w:jc w:val="left"/>
              <w:rPr>
                <w:b/>
                <w:sz w:val="13"/>
              </w:rPr>
            </w:pPr>
          </w:p>
          <w:p w:rsidR="006C17CB" w:rsidRDefault="0030091C">
            <w:pPr>
              <w:pStyle w:val="TableParagraph"/>
              <w:ind w:right="157"/>
              <w:rPr>
                <w:sz w:val="20"/>
              </w:rPr>
            </w:pPr>
            <w:r>
              <w:rPr>
                <w:color w:val="003366"/>
                <w:w w:val="95"/>
                <w:sz w:val="20"/>
              </w:rPr>
              <w:t>223</w:t>
            </w:r>
          </w:p>
        </w:tc>
        <w:tc>
          <w:tcPr>
            <w:tcW w:w="1506" w:type="dxa"/>
          </w:tcPr>
          <w:p w:rsidR="006C17CB" w:rsidRDefault="006C17CB">
            <w:pPr>
              <w:pStyle w:val="TableParagraph"/>
              <w:spacing w:before="14"/>
              <w:jc w:val="left"/>
              <w:rPr>
                <w:b/>
                <w:sz w:val="13"/>
              </w:rPr>
            </w:pPr>
          </w:p>
          <w:p w:rsidR="006C17CB" w:rsidRDefault="0030091C">
            <w:pPr>
              <w:pStyle w:val="TableParagraph"/>
              <w:ind w:right="130"/>
              <w:rPr>
                <w:sz w:val="20"/>
              </w:rPr>
            </w:pPr>
            <w:r>
              <w:rPr>
                <w:color w:val="003366"/>
                <w:w w:val="95"/>
                <w:sz w:val="20"/>
              </w:rPr>
              <w:t>1,197</w:t>
            </w:r>
          </w:p>
        </w:tc>
        <w:tc>
          <w:tcPr>
            <w:tcW w:w="1078" w:type="dxa"/>
          </w:tcPr>
          <w:p w:rsidR="006C17CB" w:rsidRDefault="006C17CB">
            <w:pPr>
              <w:pStyle w:val="TableParagraph"/>
              <w:spacing w:before="14"/>
              <w:jc w:val="left"/>
              <w:rPr>
                <w:b/>
                <w:sz w:val="13"/>
              </w:rPr>
            </w:pPr>
          </w:p>
          <w:p w:rsidR="006C17CB" w:rsidRDefault="0030091C">
            <w:pPr>
              <w:pStyle w:val="TableParagraph"/>
              <w:ind w:right="241"/>
              <w:rPr>
                <w:sz w:val="20"/>
              </w:rPr>
            </w:pPr>
            <w:r>
              <w:rPr>
                <w:color w:val="003366"/>
                <w:w w:val="95"/>
                <w:sz w:val="20"/>
              </w:rPr>
              <w:t>662</w:t>
            </w:r>
          </w:p>
        </w:tc>
        <w:tc>
          <w:tcPr>
            <w:tcW w:w="747" w:type="dxa"/>
          </w:tcPr>
          <w:p w:rsidR="006C17CB" w:rsidRDefault="006C17CB">
            <w:pPr>
              <w:pStyle w:val="TableParagraph"/>
              <w:spacing w:before="14"/>
              <w:jc w:val="left"/>
              <w:rPr>
                <w:b/>
                <w:sz w:val="13"/>
              </w:rPr>
            </w:pPr>
          </w:p>
          <w:p w:rsidR="006C17CB" w:rsidRDefault="0030091C">
            <w:pPr>
              <w:pStyle w:val="TableParagraph"/>
              <w:ind w:right="49"/>
              <w:rPr>
                <w:sz w:val="20"/>
              </w:rPr>
            </w:pPr>
            <w:r>
              <w:rPr>
                <w:color w:val="003366"/>
                <w:w w:val="95"/>
                <w:sz w:val="20"/>
              </w:rPr>
              <w:t>2,082</w:t>
            </w:r>
          </w:p>
        </w:tc>
      </w:tr>
      <w:tr w:rsidR="006C17CB">
        <w:trPr>
          <w:trHeight w:val="242"/>
        </w:trPr>
        <w:tc>
          <w:tcPr>
            <w:tcW w:w="3939" w:type="dxa"/>
          </w:tcPr>
          <w:p w:rsidR="006C17CB" w:rsidRDefault="0030091C">
            <w:pPr>
              <w:pStyle w:val="TableParagraph"/>
              <w:spacing w:line="222" w:lineRule="exact"/>
              <w:ind w:left="50"/>
              <w:jc w:val="left"/>
              <w:rPr>
                <w:sz w:val="20"/>
              </w:rPr>
            </w:pPr>
            <w:r>
              <w:rPr>
                <w:color w:val="003366"/>
                <w:sz w:val="20"/>
              </w:rPr>
              <w:t>Additions</w:t>
            </w:r>
          </w:p>
        </w:tc>
        <w:tc>
          <w:tcPr>
            <w:tcW w:w="1402" w:type="dxa"/>
          </w:tcPr>
          <w:p w:rsidR="006C17CB" w:rsidRDefault="0030091C">
            <w:pPr>
              <w:pStyle w:val="TableParagraph"/>
              <w:spacing w:line="222" w:lineRule="exact"/>
              <w:ind w:right="156"/>
              <w:rPr>
                <w:sz w:val="20"/>
              </w:rPr>
            </w:pPr>
            <w:r>
              <w:rPr>
                <w:color w:val="003366"/>
                <w:w w:val="99"/>
                <w:sz w:val="20"/>
              </w:rPr>
              <w:t>-</w:t>
            </w:r>
          </w:p>
        </w:tc>
        <w:tc>
          <w:tcPr>
            <w:tcW w:w="1506" w:type="dxa"/>
          </w:tcPr>
          <w:p w:rsidR="006C17CB" w:rsidRDefault="0030091C">
            <w:pPr>
              <w:pStyle w:val="TableParagraph"/>
              <w:spacing w:line="222" w:lineRule="exact"/>
              <w:ind w:right="129"/>
              <w:rPr>
                <w:sz w:val="20"/>
              </w:rPr>
            </w:pPr>
            <w:r>
              <w:rPr>
                <w:color w:val="003366"/>
                <w:w w:val="99"/>
                <w:sz w:val="20"/>
              </w:rPr>
              <w:t>-</w:t>
            </w:r>
          </w:p>
        </w:tc>
        <w:tc>
          <w:tcPr>
            <w:tcW w:w="1078" w:type="dxa"/>
          </w:tcPr>
          <w:p w:rsidR="006C17CB" w:rsidRDefault="0030091C">
            <w:pPr>
              <w:pStyle w:val="TableParagraph"/>
              <w:spacing w:line="222" w:lineRule="exact"/>
              <w:ind w:right="238"/>
              <w:rPr>
                <w:sz w:val="20"/>
              </w:rPr>
            </w:pPr>
            <w:r>
              <w:rPr>
                <w:color w:val="003366"/>
                <w:w w:val="99"/>
                <w:sz w:val="20"/>
              </w:rPr>
              <w:t>5</w:t>
            </w:r>
          </w:p>
        </w:tc>
        <w:tc>
          <w:tcPr>
            <w:tcW w:w="747" w:type="dxa"/>
          </w:tcPr>
          <w:p w:rsidR="006C17CB" w:rsidRDefault="0030091C">
            <w:pPr>
              <w:pStyle w:val="TableParagraph"/>
              <w:spacing w:line="222" w:lineRule="exact"/>
              <w:ind w:right="47"/>
              <w:rPr>
                <w:sz w:val="20"/>
              </w:rPr>
            </w:pPr>
            <w:r>
              <w:rPr>
                <w:color w:val="003366"/>
                <w:w w:val="99"/>
                <w:sz w:val="20"/>
              </w:rPr>
              <w:t>5</w:t>
            </w:r>
          </w:p>
        </w:tc>
      </w:tr>
    </w:tbl>
    <w:p w:rsidR="006C17CB" w:rsidRDefault="0030091C">
      <w:pPr>
        <w:tabs>
          <w:tab w:val="left" w:pos="5739"/>
          <w:tab w:val="left" w:pos="7434"/>
          <w:tab w:val="left" w:pos="8401"/>
          <w:tab w:val="left" w:pos="9179"/>
        </w:tabs>
        <w:spacing w:line="285" w:lineRule="exact"/>
        <w:ind w:left="829"/>
        <w:rPr>
          <w:rFonts w:ascii="Calibri"/>
          <w:sz w:val="20"/>
        </w:rPr>
      </w:pPr>
      <w:r>
        <w:rPr>
          <w:rFonts w:ascii="Calibri"/>
          <w:color w:val="003366"/>
          <w:sz w:val="20"/>
        </w:rPr>
        <w:t>Revaluation</w:t>
      </w:r>
      <w:r>
        <w:rPr>
          <w:rFonts w:ascii="Calibri"/>
          <w:color w:val="003366"/>
          <w:spacing w:val="-3"/>
          <w:sz w:val="20"/>
        </w:rPr>
        <w:t xml:space="preserve"> </w:t>
      </w:r>
      <w:r>
        <w:rPr>
          <w:rFonts w:ascii="Calibri"/>
          <w:color w:val="003366"/>
          <w:sz w:val="20"/>
        </w:rPr>
        <w:t>(Decrement)</w:t>
      </w:r>
      <w:r>
        <w:rPr>
          <w:rFonts w:ascii="Calibri"/>
          <w:color w:val="003366"/>
          <w:sz w:val="20"/>
        </w:rPr>
        <w:tab/>
        <w:t>(6)</w:t>
      </w:r>
      <w:r>
        <w:rPr>
          <w:rFonts w:ascii="Calibri"/>
          <w:color w:val="003366"/>
          <w:sz w:val="20"/>
        </w:rPr>
        <w:tab/>
        <w:t>-</w:t>
      </w:r>
      <w:r>
        <w:rPr>
          <w:rFonts w:ascii="Calibri"/>
          <w:color w:val="003366"/>
          <w:sz w:val="20"/>
        </w:rPr>
        <w:tab/>
        <w:t>-</w:t>
      </w:r>
      <w:r>
        <w:rPr>
          <w:rFonts w:ascii="Calibri"/>
          <w:color w:val="003366"/>
          <w:sz w:val="20"/>
        </w:rPr>
        <w:tab/>
        <w:t>(6)</w:t>
      </w:r>
    </w:p>
    <w:p w:rsidR="006C17CB" w:rsidRDefault="0030091C">
      <w:pPr>
        <w:tabs>
          <w:tab w:val="left" w:pos="4863"/>
          <w:tab w:val="left" w:pos="5639"/>
          <w:tab w:val="left" w:pos="7071"/>
          <w:tab w:val="left" w:pos="8401"/>
          <w:tab w:val="left" w:pos="8977"/>
        </w:tabs>
        <w:spacing w:line="286" w:lineRule="exact"/>
        <w:ind w:left="829"/>
        <w:rPr>
          <w:rFonts w:ascii="Calibri"/>
          <w:sz w:val="20"/>
        </w:rPr>
      </w:pPr>
      <w:r>
        <w:rPr>
          <w:rFonts w:ascii="Calibri"/>
          <w:color w:val="003366"/>
          <w:sz w:val="20"/>
        </w:rPr>
        <w:t>Depreciation</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(89)</w:t>
      </w:r>
      <w:r>
        <w:rPr>
          <w:rFonts w:ascii="Calibri"/>
          <w:color w:val="003366"/>
          <w:sz w:val="20"/>
          <w:u w:val="single" w:color="003366"/>
        </w:rPr>
        <w:tab/>
        <w:t>(150)</w:t>
      </w:r>
      <w:r>
        <w:rPr>
          <w:rFonts w:ascii="Calibri"/>
          <w:color w:val="003366"/>
          <w:sz w:val="20"/>
          <w:u w:val="single" w:color="003366"/>
        </w:rPr>
        <w:tab/>
        <w:t>-</w:t>
      </w:r>
      <w:r>
        <w:rPr>
          <w:rFonts w:ascii="Calibri"/>
          <w:color w:val="003366"/>
          <w:sz w:val="20"/>
          <w:u w:val="single" w:color="003366"/>
        </w:rPr>
        <w:tab/>
        <w:t>(239)</w:t>
      </w:r>
      <w:r>
        <w:rPr>
          <w:rFonts w:ascii="Calibri"/>
          <w:color w:val="003366"/>
          <w:spacing w:val="18"/>
          <w:sz w:val="20"/>
          <w:u w:val="single" w:color="003366"/>
        </w:rPr>
        <w:t xml:space="preserve"> </w:t>
      </w:r>
    </w:p>
    <w:p w:rsidR="006C17CB" w:rsidRDefault="0030091C">
      <w:pPr>
        <w:tabs>
          <w:tab w:val="left" w:pos="5658"/>
          <w:tab w:val="left" w:pos="7040"/>
          <w:tab w:val="left" w:pos="8159"/>
          <w:tab w:val="left" w:pos="8946"/>
        </w:tabs>
        <w:spacing w:before="2"/>
        <w:ind w:left="829"/>
        <w:rPr>
          <w:rFonts w:ascii="Calibri"/>
          <w:b/>
          <w:sz w:val="20"/>
        </w:rPr>
      </w:pPr>
      <w:r>
        <w:rPr>
          <w:rFonts w:ascii="Calibri"/>
          <w:b/>
          <w:color w:val="003366"/>
          <w:sz w:val="20"/>
        </w:rPr>
        <w:t>Fair Value at the End of the</w:t>
      </w:r>
      <w:r>
        <w:rPr>
          <w:rFonts w:ascii="Calibri"/>
          <w:b/>
          <w:color w:val="003366"/>
          <w:spacing w:val="-10"/>
          <w:sz w:val="20"/>
        </w:rPr>
        <w:t xml:space="preserve"> </w:t>
      </w:r>
      <w:r>
        <w:rPr>
          <w:rFonts w:ascii="Calibri"/>
          <w:b/>
          <w:color w:val="003366"/>
          <w:sz w:val="20"/>
        </w:rPr>
        <w:t>Reporting</w:t>
      </w:r>
      <w:r>
        <w:rPr>
          <w:rFonts w:ascii="Calibri"/>
          <w:b/>
          <w:color w:val="003366"/>
          <w:spacing w:val="-3"/>
          <w:sz w:val="20"/>
        </w:rPr>
        <w:t xml:space="preserve"> </w:t>
      </w:r>
      <w:r>
        <w:rPr>
          <w:rFonts w:ascii="Calibri"/>
          <w:b/>
          <w:color w:val="003366"/>
          <w:sz w:val="20"/>
        </w:rPr>
        <w:t>Period</w:t>
      </w:r>
      <w:r>
        <w:rPr>
          <w:rFonts w:ascii="Calibri"/>
          <w:b/>
          <w:color w:val="003366"/>
          <w:sz w:val="20"/>
        </w:rPr>
        <w:tab/>
        <w:t>128</w:t>
      </w:r>
      <w:r>
        <w:rPr>
          <w:rFonts w:ascii="Calibri"/>
          <w:b/>
          <w:color w:val="003366"/>
          <w:sz w:val="20"/>
        </w:rPr>
        <w:tab/>
        <w:t>1,047</w:t>
      </w:r>
      <w:r>
        <w:rPr>
          <w:rFonts w:ascii="Calibri"/>
          <w:b/>
          <w:color w:val="003366"/>
          <w:sz w:val="20"/>
        </w:rPr>
        <w:tab/>
        <w:t>667</w:t>
      </w:r>
      <w:r>
        <w:rPr>
          <w:rFonts w:ascii="Calibri"/>
          <w:b/>
          <w:color w:val="003366"/>
          <w:sz w:val="20"/>
        </w:rPr>
        <w:tab/>
        <w:t>1,842</w:t>
      </w:r>
    </w:p>
    <w:p w:rsidR="006C17CB" w:rsidRDefault="00FE24A7">
      <w:pPr>
        <w:pStyle w:val="BodyText"/>
        <w:spacing w:line="29" w:lineRule="exact"/>
        <w:ind w:left="4859"/>
        <w:rPr>
          <w:rFonts w:ascii="Calibri"/>
          <w:sz w:val="2"/>
        </w:rPr>
      </w:pPr>
      <w:r>
        <w:rPr>
          <w:rFonts w:ascii="Calibri"/>
          <w:sz w:val="2"/>
        </w:rPr>
      </w:r>
      <w:r>
        <w:rPr>
          <w:rFonts w:ascii="Calibri"/>
          <w:sz w:val="2"/>
        </w:rPr>
        <w:pict>
          <v:group id="_x0000_s1325" alt="" style="width:232.35pt;height:1.45pt;mso-position-horizontal-relative:char;mso-position-vertical-relative:line" coordsize="4647,29">
            <v:line id="_x0000_s1326" alt="" style="position:absolute" from="0,5" to="1207,5" strokecolor="#036" strokeweight=".48pt"/>
            <v:line id="_x0000_s1327" alt="" style="position:absolute" from="0,24" to="1207,24" strokecolor="#036" strokeweight=".48pt"/>
            <v:rect id="_x0000_s1328" alt="" style="position:absolute;left:1207;width:29;height:10" fillcolor="#036" stroked="f"/>
            <v:rect id="_x0000_s1329" alt="" style="position:absolute;left:1207;top:19;width:29;height:10" fillcolor="#036" stroked="f"/>
            <v:line id="_x0000_s1330" alt="" style="position:absolute" from="1236,5" to="2743,5" strokecolor="#036" strokeweight=".48pt"/>
            <v:line id="_x0000_s1331" alt="" style="position:absolute" from="1236,24" to="2743,24" strokecolor="#036" strokeweight=".48pt"/>
            <v:rect id="_x0000_s1332" alt="" style="position:absolute;left:2743;width:29;height:10" fillcolor="#036" stroked="f"/>
            <v:rect id="_x0000_s1333" alt="" style="position:absolute;left:2743;top:19;width:29;height:10" fillcolor="#036" stroked="f"/>
            <v:line id="_x0000_s1334" alt="" style="position:absolute" from="2772,5" to="3710,5" strokecolor="#036" strokeweight=".48pt"/>
            <v:line id="_x0000_s1335" alt="" style="position:absolute" from="2772,24" to="3710,24" strokecolor="#036" strokeweight=".48pt"/>
            <v:rect id="_x0000_s1336" alt="" style="position:absolute;left:3710;width:29;height:10" fillcolor="#036" stroked="f"/>
            <v:rect id="_x0000_s1337" alt="" style="position:absolute;left:3710;top:19;width:29;height:10" fillcolor="#036" stroked="f"/>
            <v:line id="_x0000_s1338" alt="" style="position:absolute" from="3739,5" to="4646,5" strokecolor="#036" strokeweight=".48pt"/>
            <v:line id="_x0000_s1339" alt="" style="position:absolute" from="3739,24" to="4646,24" strokecolor="#036" strokeweight=".48pt"/>
            <w10:anchorlock/>
          </v:group>
        </w:pict>
      </w:r>
    </w:p>
    <w:p w:rsidR="006C17CB" w:rsidRDefault="006C17CB">
      <w:pPr>
        <w:spacing w:line="29" w:lineRule="exact"/>
        <w:rPr>
          <w:rFonts w:ascii="Calibri"/>
          <w:sz w:val="2"/>
        </w:rPr>
        <w:sectPr w:rsidR="006C17CB">
          <w:pgSz w:w="11910" w:h="16840"/>
          <w:pgMar w:top="2120" w:right="0" w:bottom="720" w:left="980" w:header="1173" w:footer="523" w:gutter="0"/>
          <w:cols w:space="720"/>
        </w:sectPr>
      </w:pPr>
    </w:p>
    <w:p w:rsidR="006C17CB" w:rsidRDefault="006C17CB">
      <w:pPr>
        <w:pStyle w:val="BodyText"/>
        <w:spacing w:before="6"/>
        <w:rPr>
          <w:rFonts w:ascii="Calibri"/>
          <w:b/>
          <w:sz w:val="11"/>
        </w:rPr>
      </w:pPr>
    </w:p>
    <w:tbl>
      <w:tblPr>
        <w:tblW w:w="0" w:type="auto"/>
        <w:tblInd w:w="779" w:type="dxa"/>
        <w:tblLayout w:type="fixed"/>
        <w:tblCellMar>
          <w:left w:w="0" w:type="dxa"/>
          <w:right w:w="0" w:type="dxa"/>
        </w:tblCellMar>
        <w:tblLook w:val="01E0" w:firstRow="1" w:lastRow="1" w:firstColumn="1" w:lastColumn="1" w:noHBand="0" w:noVBand="0"/>
      </w:tblPr>
      <w:tblGrid>
        <w:gridCol w:w="4084"/>
        <w:gridCol w:w="1257"/>
        <w:gridCol w:w="1506"/>
        <w:gridCol w:w="1078"/>
        <w:gridCol w:w="805"/>
      </w:tblGrid>
      <w:tr w:rsidR="006C17CB">
        <w:trPr>
          <w:trHeight w:val="466"/>
        </w:trPr>
        <w:tc>
          <w:tcPr>
            <w:tcW w:w="4084" w:type="dxa"/>
          </w:tcPr>
          <w:p w:rsidR="006C17CB" w:rsidRDefault="006C17CB">
            <w:pPr>
              <w:pStyle w:val="TableParagraph"/>
              <w:jc w:val="left"/>
              <w:rPr>
                <w:rFonts w:ascii="Times New Roman"/>
                <w:sz w:val="20"/>
              </w:rPr>
            </w:pPr>
          </w:p>
        </w:tc>
        <w:tc>
          <w:tcPr>
            <w:tcW w:w="1257" w:type="dxa"/>
          </w:tcPr>
          <w:p w:rsidR="006C17CB" w:rsidRDefault="0030091C">
            <w:pPr>
              <w:pStyle w:val="TableParagraph"/>
              <w:spacing w:line="181" w:lineRule="exact"/>
              <w:ind w:left="170" w:right="19"/>
              <w:jc w:val="center"/>
              <w:rPr>
                <w:b/>
                <w:sz w:val="20"/>
              </w:rPr>
            </w:pPr>
            <w:r>
              <w:rPr>
                <w:b/>
                <w:color w:val="003366"/>
                <w:sz w:val="20"/>
              </w:rPr>
              <w:t>Plant and</w:t>
            </w:r>
          </w:p>
          <w:p w:rsidR="006C17CB" w:rsidRDefault="0030091C">
            <w:pPr>
              <w:pStyle w:val="TableParagraph"/>
              <w:spacing w:line="265" w:lineRule="exact"/>
              <w:ind w:left="170" w:right="138"/>
              <w:jc w:val="center"/>
              <w:rPr>
                <w:b/>
                <w:sz w:val="20"/>
              </w:rPr>
            </w:pPr>
            <w:r>
              <w:rPr>
                <w:b/>
                <w:color w:val="003366"/>
                <w:sz w:val="20"/>
              </w:rPr>
              <w:t>Equipment</w:t>
            </w:r>
          </w:p>
        </w:tc>
        <w:tc>
          <w:tcPr>
            <w:tcW w:w="1506" w:type="dxa"/>
          </w:tcPr>
          <w:p w:rsidR="006C17CB" w:rsidRDefault="0030091C">
            <w:pPr>
              <w:pStyle w:val="TableParagraph"/>
              <w:spacing w:line="181" w:lineRule="exact"/>
              <w:ind w:left="540"/>
              <w:jc w:val="left"/>
              <w:rPr>
                <w:b/>
                <w:sz w:val="20"/>
              </w:rPr>
            </w:pPr>
            <w:r>
              <w:rPr>
                <w:b/>
                <w:color w:val="003366"/>
                <w:sz w:val="20"/>
              </w:rPr>
              <w:t>Leasehold</w:t>
            </w:r>
          </w:p>
          <w:p w:rsidR="006C17CB" w:rsidRDefault="0030091C">
            <w:pPr>
              <w:pStyle w:val="TableParagraph"/>
              <w:spacing w:line="265" w:lineRule="exact"/>
              <w:ind w:left="159"/>
              <w:jc w:val="left"/>
              <w:rPr>
                <w:b/>
                <w:sz w:val="20"/>
              </w:rPr>
            </w:pPr>
            <w:r>
              <w:rPr>
                <w:b/>
                <w:color w:val="003366"/>
                <w:sz w:val="20"/>
              </w:rPr>
              <w:t>Improvements</w:t>
            </w:r>
          </w:p>
        </w:tc>
        <w:tc>
          <w:tcPr>
            <w:tcW w:w="1078" w:type="dxa"/>
          </w:tcPr>
          <w:p w:rsidR="006C17CB" w:rsidRDefault="0030091C">
            <w:pPr>
              <w:pStyle w:val="TableParagraph"/>
              <w:spacing w:line="181" w:lineRule="exact"/>
              <w:ind w:left="109" w:right="218"/>
              <w:jc w:val="center"/>
              <w:rPr>
                <w:b/>
                <w:sz w:val="20"/>
              </w:rPr>
            </w:pPr>
            <w:r>
              <w:rPr>
                <w:b/>
                <w:color w:val="003366"/>
                <w:sz w:val="20"/>
              </w:rPr>
              <w:t>Heritage</w:t>
            </w:r>
          </w:p>
          <w:p w:rsidR="006C17CB" w:rsidRDefault="0030091C">
            <w:pPr>
              <w:pStyle w:val="TableParagraph"/>
              <w:spacing w:line="265" w:lineRule="exact"/>
              <w:ind w:left="109" w:right="45"/>
              <w:jc w:val="center"/>
              <w:rPr>
                <w:b/>
                <w:sz w:val="20"/>
              </w:rPr>
            </w:pPr>
            <w:r>
              <w:rPr>
                <w:b/>
                <w:color w:val="003366"/>
                <w:sz w:val="20"/>
              </w:rPr>
              <w:t>Assets</w:t>
            </w:r>
          </w:p>
        </w:tc>
        <w:tc>
          <w:tcPr>
            <w:tcW w:w="805" w:type="dxa"/>
          </w:tcPr>
          <w:p w:rsidR="006C17CB" w:rsidRDefault="0030091C">
            <w:pPr>
              <w:pStyle w:val="TableParagraph"/>
              <w:spacing w:before="159" w:line="287" w:lineRule="exact"/>
              <w:ind w:right="106"/>
              <w:rPr>
                <w:b/>
                <w:sz w:val="20"/>
              </w:rPr>
            </w:pPr>
            <w:r>
              <w:rPr>
                <w:b/>
                <w:color w:val="003366"/>
                <w:sz w:val="20"/>
              </w:rPr>
              <w:t>Total</w:t>
            </w:r>
          </w:p>
        </w:tc>
      </w:tr>
      <w:tr w:rsidR="006C17CB">
        <w:trPr>
          <w:trHeight w:val="264"/>
        </w:trPr>
        <w:tc>
          <w:tcPr>
            <w:tcW w:w="4084" w:type="dxa"/>
          </w:tcPr>
          <w:p w:rsidR="006C17CB" w:rsidRDefault="0030091C">
            <w:pPr>
              <w:pStyle w:val="TableParagraph"/>
              <w:spacing w:line="226" w:lineRule="exact"/>
              <w:ind w:left="50"/>
              <w:jc w:val="left"/>
              <w:rPr>
                <w:b/>
                <w:sz w:val="20"/>
              </w:rPr>
            </w:pPr>
            <w:r>
              <w:rPr>
                <w:b/>
                <w:color w:val="003366"/>
                <w:sz w:val="20"/>
              </w:rPr>
              <w:t>2017</w:t>
            </w:r>
          </w:p>
        </w:tc>
        <w:tc>
          <w:tcPr>
            <w:tcW w:w="1257" w:type="dxa"/>
          </w:tcPr>
          <w:p w:rsidR="006C17CB" w:rsidRDefault="0030091C">
            <w:pPr>
              <w:pStyle w:val="TableParagraph"/>
              <w:spacing w:line="226" w:lineRule="exact"/>
              <w:ind w:right="157"/>
              <w:rPr>
                <w:b/>
                <w:sz w:val="20"/>
              </w:rPr>
            </w:pPr>
            <w:r>
              <w:rPr>
                <w:b/>
                <w:color w:val="003366"/>
                <w:w w:val="95"/>
                <w:sz w:val="20"/>
              </w:rPr>
              <w:t>$’000</w:t>
            </w:r>
          </w:p>
        </w:tc>
        <w:tc>
          <w:tcPr>
            <w:tcW w:w="1506" w:type="dxa"/>
          </w:tcPr>
          <w:p w:rsidR="006C17CB" w:rsidRDefault="0030091C">
            <w:pPr>
              <w:pStyle w:val="TableParagraph"/>
              <w:spacing w:line="226" w:lineRule="exact"/>
              <w:ind w:right="130"/>
              <w:rPr>
                <w:b/>
                <w:sz w:val="20"/>
              </w:rPr>
            </w:pPr>
            <w:r>
              <w:rPr>
                <w:b/>
                <w:color w:val="003366"/>
                <w:w w:val="95"/>
                <w:sz w:val="20"/>
              </w:rPr>
              <w:t>$’000</w:t>
            </w:r>
          </w:p>
        </w:tc>
        <w:tc>
          <w:tcPr>
            <w:tcW w:w="1078" w:type="dxa"/>
          </w:tcPr>
          <w:p w:rsidR="006C17CB" w:rsidRDefault="0030091C">
            <w:pPr>
              <w:pStyle w:val="TableParagraph"/>
              <w:spacing w:line="226" w:lineRule="exact"/>
              <w:ind w:right="241"/>
              <w:rPr>
                <w:b/>
                <w:sz w:val="20"/>
              </w:rPr>
            </w:pPr>
            <w:r>
              <w:rPr>
                <w:b/>
                <w:color w:val="003366"/>
                <w:w w:val="95"/>
                <w:sz w:val="20"/>
              </w:rPr>
              <w:t>$’000</w:t>
            </w:r>
          </w:p>
        </w:tc>
        <w:tc>
          <w:tcPr>
            <w:tcW w:w="805" w:type="dxa"/>
          </w:tcPr>
          <w:p w:rsidR="006C17CB" w:rsidRDefault="0030091C">
            <w:pPr>
              <w:pStyle w:val="TableParagraph"/>
              <w:spacing w:line="226" w:lineRule="exact"/>
              <w:ind w:right="107"/>
              <w:rPr>
                <w:b/>
                <w:sz w:val="20"/>
              </w:rPr>
            </w:pPr>
            <w:r>
              <w:rPr>
                <w:b/>
                <w:color w:val="003366"/>
                <w:w w:val="95"/>
                <w:sz w:val="20"/>
              </w:rPr>
              <w:t>$’000</w:t>
            </w:r>
          </w:p>
        </w:tc>
      </w:tr>
      <w:tr w:rsidR="006C17CB">
        <w:trPr>
          <w:trHeight w:val="529"/>
        </w:trPr>
        <w:tc>
          <w:tcPr>
            <w:tcW w:w="4084" w:type="dxa"/>
          </w:tcPr>
          <w:p w:rsidR="006C17CB" w:rsidRDefault="0030091C">
            <w:pPr>
              <w:pStyle w:val="TableParagraph"/>
              <w:spacing w:line="204" w:lineRule="auto"/>
              <w:ind w:left="333" w:right="458" w:hanging="284"/>
              <w:jc w:val="left"/>
              <w:rPr>
                <w:sz w:val="20"/>
              </w:rPr>
            </w:pPr>
            <w:r>
              <w:rPr>
                <w:color w:val="003366"/>
                <w:sz w:val="20"/>
              </w:rPr>
              <w:t>Fair Value at the Beginning of the Reporting Period</w:t>
            </w:r>
          </w:p>
        </w:tc>
        <w:tc>
          <w:tcPr>
            <w:tcW w:w="1257" w:type="dxa"/>
          </w:tcPr>
          <w:p w:rsidR="006C17CB" w:rsidRDefault="006C17CB">
            <w:pPr>
              <w:pStyle w:val="TableParagraph"/>
              <w:spacing w:before="14"/>
              <w:jc w:val="left"/>
              <w:rPr>
                <w:b/>
                <w:sz w:val="13"/>
              </w:rPr>
            </w:pPr>
          </w:p>
          <w:p w:rsidR="006C17CB" w:rsidRDefault="0030091C">
            <w:pPr>
              <w:pStyle w:val="TableParagraph"/>
              <w:ind w:right="157"/>
              <w:rPr>
                <w:sz w:val="20"/>
              </w:rPr>
            </w:pPr>
            <w:r>
              <w:rPr>
                <w:color w:val="003366"/>
                <w:w w:val="95"/>
                <w:sz w:val="20"/>
              </w:rPr>
              <w:t>399</w:t>
            </w:r>
          </w:p>
        </w:tc>
        <w:tc>
          <w:tcPr>
            <w:tcW w:w="1506" w:type="dxa"/>
          </w:tcPr>
          <w:p w:rsidR="006C17CB" w:rsidRDefault="006C17CB">
            <w:pPr>
              <w:pStyle w:val="TableParagraph"/>
              <w:spacing w:before="14"/>
              <w:jc w:val="left"/>
              <w:rPr>
                <w:b/>
                <w:sz w:val="13"/>
              </w:rPr>
            </w:pPr>
          </w:p>
          <w:p w:rsidR="006C17CB" w:rsidRDefault="0030091C">
            <w:pPr>
              <w:pStyle w:val="TableParagraph"/>
              <w:ind w:right="129"/>
              <w:rPr>
                <w:sz w:val="20"/>
              </w:rPr>
            </w:pPr>
            <w:r>
              <w:rPr>
                <w:color w:val="003366"/>
                <w:w w:val="99"/>
                <w:sz w:val="20"/>
              </w:rPr>
              <w:t>-</w:t>
            </w:r>
          </w:p>
        </w:tc>
        <w:tc>
          <w:tcPr>
            <w:tcW w:w="1078" w:type="dxa"/>
          </w:tcPr>
          <w:p w:rsidR="006C17CB" w:rsidRDefault="006C17CB">
            <w:pPr>
              <w:pStyle w:val="TableParagraph"/>
              <w:spacing w:before="14"/>
              <w:jc w:val="left"/>
              <w:rPr>
                <w:b/>
                <w:sz w:val="13"/>
              </w:rPr>
            </w:pPr>
          </w:p>
          <w:p w:rsidR="006C17CB" w:rsidRDefault="0030091C">
            <w:pPr>
              <w:pStyle w:val="TableParagraph"/>
              <w:ind w:right="241"/>
              <w:rPr>
                <w:sz w:val="20"/>
              </w:rPr>
            </w:pPr>
            <w:r>
              <w:rPr>
                <w:color w:val="003366"/>
                <w:w w:val="95"/>
                <w:sz w:val="20"/>
              </w:rPr>
              <w:t>466</w:t>
            </w:r>
          </w:p>
        </w:tc>
        <w:tc>
          <w:tcPr>
            <w:tcW w:w="805" w:type="dxa"/>
          </w:tcPr>
          <w:p w:rsidR="006C17CB" w:rsidRDefault="006C17CB">
            <w:pPr>
              <w:pStyle w:val="TableParagraph"/>
              <w:spacing w:before="14"/>
              <w:jc w:val="left"/>
              <w:rPr>
                <w:b/>
                <w:sz w:val="13"/>
              </w:rPr>
            </w:pPr>
          </w:p>
          <w:p w:rsidR="006C17CB" w:rsidRDefault="0030091C">
            <w:pPr>
              <w:pStyle w:val="TableParagraph"/>
              <w:ind w:right="107"/>
              <w:rPr>
                <w:sz w:val="20"/>
              </w:rPr>
            </w:pPr>
            <w:r>
              <w:rPr>
                <w:color w:val="003366"/>
                <w:w w:val="95"/>
                <w:sz w:val="20"/>
              </w:rPr>
              <w:t>865</w:t>
            </w:r>
          </w:p>
        </w:tc>
      </w:tr>
      <w:tr w:rsidR="006C17CB">
        <w:trPr>
          <w:trHeight w:val="284"/>
        </w:trPr>
        <w:tc>
          <w:tcPr>
            <w:tcW w:w="4084" w:type="dxa"/>
          </w:tcPr>
          <w:p w:rsidR="006C17CB" w:rsidRDefault="0030091C">
            <w:pPr>
              <w:pStyle w:val="TableParagraph"/>
              <w:spacing w:line="246" w:lineRule="exact"/>
              <w:ind w:left="50"/>
              <w:jc w:val="left"/>
              <w:rPr>
                <w:sz w:val="20"/>
              </w:rPr>
            </w:pPr>
            <w:r>
              <w:rPr>
                <w:color w:val="003366"/>
                <w:sz w:val="20"/>
              </w:rPr>
              <w:t>Additions</w:t>
            </w:r>
          </w:p>
        </w:tc>
        <w:tc>
          <w:tcPr>
            <w:tcW w:w="1257" w:type="dxa"/>
          </w:tcPr>
          <w:p w:rsidR="006C17CB" w:rsidRDefault="0030091C">
            <w:pPr>
              <w:pStyle w:val="TableParagraph"/>
              <w:spacing w:line="246" w:lineRule="exact"/>
              <w:ind w:right="157"/>
              <w:rPr>
                <w:sz w:val="20"/>
              </w:rPr>
            </w:pPr>
            <w:r>
              <w:rPr>
                <w:color w:val="003366"/>
                <w:w w:val="95"/>
                <w:sz w:val="20"/>
              </w:rPr>
              <w:t>481</w:t>
            </w:r>
          </w:p>
        </w:tc>
        <w:tc>
          <w:tcPr>
            <w:tcW w:w="1506" w:type="dxa"/>
          </w:tcPr>
          <w:p w:rsidR="006C17CB" w:rsidRDefault="0030091C">
            <w:pPr>
              <w:pStyle w:val="TableParagraph"/>
              <w:spacing w:line="246" w:lineRule="exact"/>
              <w:ind w:right="130"/>
              <w:rPr>
                <w:sz w:val="20"/>
              </w:rPr>
            </w:pPr>
            <w:r>
              <w:rPr>
                <w:color w:val="003366"/>
                <w:w w:val="95"/>
                <w:sz w:val="20"/>
              </w:rPr>
              <w:t>1,416</w:t>
            </w:r>
          </w:p>
        </w:tc>
        <w:tc>
          <w:tcPr>
            <w:tcW w:w="1078" w:type="dxa"/>
          </w:tcPr>
          <w:p w:rsidR="006C17CB" w:rsidRDefault="0030091C">
            <w:pPr>
              <w:pStyle w:val="TableParagraph"/>
              <w:spacing w:line="246" w:lineRule="exact"/>
              <w:ind w:right="238"/>
              <w:rPr>
                <w:sz w:val="20"/>
              </w:rPr>
            </w:pPr>
            <w:r>
              <w:rPr>
                <w:color w:val="003366"/>
                <w:w w:val="99"/>
                <w:sz w:val="20"/>
              </w:rPr>
              <w:t>5</w:t>
            </w:r>
          </w:p>
        </w:tc>
        <w:tc>
          <w:tcPr>
            <w:tcW w:w="805" w:type="dxa"/>
          </w:tcPr>
          <w:p w:rsidR="006C17CB" w:rsidRDefault="0030091C">
            <w:pPr>
              <w:pStyle w:val="TableParagraph"/>
              <w:spacing w:line="246" w:lineRule="exact"/>
              <w:ind w:right="107"/>
              <w:rPr>
                <w:sz w:val="20"/>
              </w:rPr>
            </w:pPr>
            <w:r>
              <w:rPr>
                <w:color w:val="003366"/>
                <w:w w:val="95"/>
                <w:sz w:val="20"/>
              </w:rPr>
              <w:t>1,902</w:t>
            </w:r>
          </w:p>
        </w:tc>
      </w:tr>
      <w:tr w:rsidR="006C17CB">
        <w:trPr>
          <w:trHeight w:val="283"/>
        </w:trPr>
        <w:tc>
          <w:tcPr>
            <w:tcW w:w="4084" w:type="dxa"/>
          </w:tcPr>
          <w:p w:rsidR="006C17CB" w:rsidRDefault="0030091C">
            <w:pPr>
              <w:pStyle w:val="TableParagraph"/>
              <w:spacing w:line="245" w:lineRule="exact"/>
              <w:ind w:left="50"/>
              <w:jc w:val="left"/>
              <w:rPr>
                <w:sz w:val="20"/>
              </w:rPr>
            </w:pPr>
            <w:r>
              <w:rPr>
                <w:color w:val="003366"/>
                <w:sz w:val="20"/>
              </w:rPr>
              <w:t>Disposals</w:t>
            </w:r>
          </w:p>
        </w:tc>
        <w:tc>
          <w:tcPr>
            <w:tcW w:w="1257" w:type="dxa"/>
          </w:tcPr>
          <w:p w:rsidR="006C17CB" w:rsidRDefault="0030091C">
            <w:pPr>
              <w:pStyle w:val="TableParagraph"/>
              <w:spacing w:line="245" w:lineRule="exact"/>
              <w:ind w:right="157"/>
              <w:rPr>
                <w:sz w:val="20"/>
              </w:rPr>
            </w:pPr>
            <w:r>
              <w:rPr>
                <w:color w:val="003366"/>
                <w:sz w:val="20"/>
              </w:rPr>
              <w:t>(9)</w:t>
            </w:r>
          </w:p>
        </w:tc>
        <w:tc>
          <w:tcPr>
            <w:tcW w:w="1506" w:type="dxa"/>
          </w:tcPr>
          <w:p w:rsidR="006C17CB" w:rsidRDefault="0030091C">
            <w:pPr>
              <w:pStyle w:val="TableParagraph"/>
              <w:spacing w:line="245" w:lineRule="exact"/>
              <w:ind w:right="129"/>
              <w:rPr>
                <w:sz w:val="20"/>
              </w:rPr>
            </w:pPr>
            <w:r>
              <w:rPr>
                <w:color w:val="003366"/>
                <w:w w:val="99"/>
                <w:sz w:val="20"/>
              </w:rPr>
              <w:t>-</w:t>
            </w:r>
          </w:p>
        </w:tc>
        <w:tc>
          <w:tcPr>
            <w:tcW w:w="1078" w:type="dxa"/>
          </w:tcPr>
          <w:p w:rsidR="006C17CB" w:rsidRDefault="0030091C">
            <w:pPr>
              <w:pStyle w:val="TableParagraph"/>
              <w:spacing w:line="245" w:lineRule="exact"/>
              <w:ind w:right="240"/>
              <w:rPr>
                <w:sz w:val="20"/>
              </w:rPr>
            </w:pPr>
            <w:r>
              <w:rPr>
                <w:color w:val="003366"/>
                <w:w w:val="99"/>
                <w:sz w:val="20"/>
              </w:rPr>
              <w:t>-</w:t>
            </w:r>
          </w:p>
        </w:tc>
        <w:tc>
          <w:tcPr>
            <w:tcW w:w="805" w:type="dxa"/>
          </w:tcPr>
          <w:p w:rsidR="006C17CB" w:rsidRDefault="0030091C">
            <w:pPr>
              <w:pStyle w:val="TableParagraph"/>
              <w:spacing w:line="245" w:lineRule="exact"/>
              <w:ind w:right="107"/>
              <w:rPr>
                <w:sz w:val="20"/>
              </w:rPr>
            </w:pPr>
            <w:r>
              <w:rPr>
                <w:color w:val="003366"/>
                <w:sz w:val="20"/>
              </w:rPr>
              <w:t>(9)</w:t>
            </w:r>
          </w:p>
        </w:tc>
      </w:tr>
      <w:tr w:rsidR="006C17CB">
        <w:trPr>
          <w:trHeight w:val="292"/>
        </w:trPr>
        <w:tc>
          <w:tcPr>
            <w:tcW w:w="4084" w:type="dxa"/>
          </w:tcPr>
          <w:p w:rsidR="006C17CB" w:rsidRDefault="0030091C">
            <w:pPr>
              <w:pStyle w:val="TableParagraph"/>
              <w:spacing w:line="255" w:lineRule="exact"/>
              <w:ind w:left="50"/>
              <w:jc w:val="left"/>
              <w:rPr>
                <w:sz w:val="20"/>
              </w:rPr>
            </w:pPr>
            <w:r>
              <w:rPr>
                <w:color w:val="003366"/>
                <w:sz w:val="20"/>
              </w:rPr>
              <w:t>Revaluation Increment/(Decrement)</w:t>
            </w:r>
          </w:p>
        </w:tc>
        <w:tc>
          <w:tcPr>
            <w:tcW w:w="1257" w:type="dxa"/>
          </w:tcPr>
          <w:p w:rsidR="006C17CB" w:rsidRDefault="0030091C">
            <w:pPr>
              <w:pStyle w:val="TableParagraph"/>
              <w:spacing w:line="255" w:lineRule="exact"/>
              <w:ind w:right="157"/>
              <w:rPr>
                <w:sz w:val="20"/>
              </w:rPr>
            </w:pPr>
            <w:r>
              <w:rPr>
                <w:color w:val="003366"/>
                <w:w w:val="95"/>
                <w:sz w:val="20"/>
              </w:rPr>
              <w:t>148</w:t>
            </w:r>
          </w:p>
        </w:tc>
        <w:tc>
          <w:tcPr>
            <w:tcW w:w="1506" w:type="dxa"/>
          </w:tcPr>
          <w:p w:rsidR="006C17CB" w:rsidRDefault="0030091C">
            <w:pPr>
              <w:pStyle w:val="TableParagraph"/>
              <w:spacing w:line="245" w:lineRule="exact"/>
              <w:ind w:right="129"/>
              <w:rPr>
                <w:sz w:val="20"/>
              </w:rPr>
            </w:pPr>
            <w:r>
              <w:rPr>
                <w:color w:val="003366"/>
                <w:w w:val="95"/>
                <w:sz w:val="20"/>
              </w:rPr>
              <w:t>(62)</w:t>
            </w:r>
          </w:p>
        </w:tc>
        <w:tc>
          <w:tcPr>
            <w:tcW w:w="1078" w:type="dxa"/>
          </w:tcPr>
          <w:p w:rsidR="006C17CB" w:rsidRDefault="0030091C">
            <w:pPr>
              <w:pStyle w:val="TableParagraph"/>
              <w:spacing w:line="255" w:lineRule="exact"/>
              <w:ind w:right="241"/>
              <w:rPr>
                <w:sz w:val="20"/>
              </w:rPr>
            </w:pPr>
            <w:r>
              <w:rPr>
                <w:color w:val="003366"/>
                <w:w w:val="95"/>
                <w:sz w:val="20"/>
              </w:rPr>
              <w:t>191</w:t>
            </w:r>
          </w:p>
        </w:tc>
        <w:tc>
          <w:tcPr>
            <w:tcW w:w="805" w:type="dxa"/>
          </w:tcPr>
          <w:p w:rsidR="006C17CB" w:rsidRDefault="0030091C">
            <w:pPr>
              <w:pStyle w:val="TableParagraph"/>
              <w:spacing w:line="255" w:lineRule="exact"/>
              <w:ind w:right="107"/>
              <w:rPr>
                <w:sz w:val="20"/>
              </w:rPr>
            </w:pPr>
            <w:r>
              <w:rPr>
                <w:color w:val="003366"/>
                <w:w w:val="95"/>
                <w:sz w:val="20"/>
              </w:rPr>
              <w:t>277</w:t>
            </w:r>
          </w:p>
        </w:tc>
      </w:tr>
      <w:tr w:rsidR="006C17CB">
        <w:trPr>
          <w:trHeight w:val="241"/>
        </w:trPr>
        <w:tc>
          <w:tcPr>
            <w:tcW w:w="4084" w:type="dxa"/>
          </w:tcPr>
          <w:p w:rsidR="006C17CB" w:rsidRDefault="0030091C">
            <w:pPr>
              <w:pStyle w:val="TableParagraph"/>
              <w:spacing w:line="221" w:lineRule="exact"/>
              <w:ind w:left="50"/>
              <w:jc w:val="left"/>
              <w:rPr>
                <w:sz w:val="20"/>
              </w:rPr>
            </w:pPr>
            <w:r>
              <w:rPr>
                <w:color w:val="003366"/>
                <w:sz w:val="20"/>
              </w:rPr>
              <w:t>Depreciation</w:t>
            </w:r>
          </w:p>
        </w:tc>
        <w:tc>
          <w:tcPr>
            <w:tcW w:w="1257" w:type="dxa"/>
          </w:tcPr>
          <w:p w:rsidR="006C17CB" w:rsidRDefault="0030091C">
            <w:pPr>
              <w:pStyle w:val="TableParagraph"/>
              <w:spacing w:line="221" w:lineRule="exact"/>
              <w:ind w:right="157"/>
              <w:rPr>
                <w:sz w:val="20"/>
              </w:rPr>
            </w:pPr>
            <w:r>
              <w:rPr>
                <w:color w:val="003366"/>
                <w:w w:val="95"/>
                <w:sz w:val="20"/>
              </w:rPr>
              <w:t>(44)</w:t>
            </w:r>
          </w:p>
        </w:tc>
        <w:tc>
          <w:tcPr>
            <w:tcW w:w="1506" w:type="dxa"/>
          </w:tcPr>
          <w:p w:rsidR="006C17CB" w:rsidRDefault="0030091C">
            <w:pPr>
              <w:pStyle w:val="TableParagraph"/>
              <w:spacing w:line="221" w:lineRule="exact"/>
              <w:ind w:right="129"/>
              <w:rPr>
                <w:sz w:val="20"/>
              </w:rPr>
            </w:pPr>
            <w:r>
              <w:rPr>
                <w:color w:val="003366"/>
                <w:w w:val="95"/>
                <w:sz w:val="20"/>
              </w:rPr>
              <w:t>(157)</w:t>
            </w:r>
          </w:p>
        </w:tc>
        <w:tc>
          <w:tcPr>
            <w:tcW w:w="1078" w:type="dxa"/>
          </w:tcPr>
          <w:p w:rsidR="006C17CB" w:rsidRDefault="0030091C">
            <w:pPr>
              <w:pStyle w:val="TableParagraph"/>
              <w:spacing w:line="221" w:lineRule="exact"/>
              <w:ind w:right="240"/>
              <w:rPr>
                <w:sz w:val="20"/>
              </w:rPr>
            </w:pPr>
            <w:r>
              <w:rPr>
                <w:color w:val="003366"/>
                <w:w w:val="99"/>
                <w:sz w:val="20"/>
              </w:rPr>
              <w:t>-</w:t>
            </w:r>
          </w:p>
        </w:tc>
        <w:tc>
          <w:tcPr>
            <w:tcW w:w="805" w:type="dxa"/>
          </w:tcPr>
          <w:p w:rsidR="006C17CB" w:rsidRDefault="0030091C">
            <w:pPr>
              <w:pStyle w:val="TableParagraph"/>
              <w:spacing w:line="221" w:lineRule="exact"/>
              <w:ind w:right="107"/>
              <w:rPr>
                <w:sz w:val="20"/>
              </w:rPr>
            </w:pPr>
            <w:r>
              <w:rPr>
                <w:color w:val="003366"/>
                <w:w w:val="95"/>
                <w:sz w:val="20"/>
              </w:rPr>
              <w:t>(201)</w:t>
            </w:r>
          </w:p>
        </w:tc>
      </w:tr>
      <w:tr w:rsidR="006C17CB">
        <w:trPr>
          <w:trHeight w:val="329"/>
        </w:trPr>
        <w:tc>
          <w:tcPr>
            <w:tcW w:w="8730" w:type="dxa"/>
            <w:gridSpan w:val="5"/>
          </w:tcPr>
          <w:p w:rsidR="006C17CB" w:rsidRDefault="0030091C">
            <w:pPr>
              <w:pStyle w:val="TableParagraph"/>
              <w:tabs>
                <w:tab w:val="left" w:pos="4084"/>
                <w:tab w:val="left" w:pos="4758"/>
                <w:tab w:val="left" w:pos="6654"/>
                <w:tab w:val="left" w:pos="7621"/>
                <w:tab w:val="left" w:pos="8197"/>
              </w:tabs>
              <w:spacing w:before="1"/>
              <w:ind w:left="50" w:right="-15"/>
              <w:jc w:val="left"/>
              <w:rPr>
                <w:sz w:val="20"/>
              </w:rPr>
            </w:pPr>
            <w:r>
              <w:rPr>
                <w:color w:val="003366"/>
                <w:sz w:val="20"/>
              </w:rPr>
              <w:t>Transfer from Level 3 to</w:t>
            </w:r>
            <w:r>
              <w:rPr>
                <w:color w:val="003366"/>
                <w:spacing w:val="-9"/>
                <w:sz w:val="20"/>
              </w:rPr>
              <w:t xml:space="preserve"> </w:t>
            </w:r>
            <w:r>
              <w:rPr>
                <w:color w:val="003366"/>
                <w:sz w:val="20"/>
              </w:rPr>
              <w:t>Level 2</w:t>
            </w:r>
            <w:r>
              <w:rPr>
                <w:color w:val="003366"/>
                <w:sz w:val="20"/>
              </w:rPr>
              <w:tab/>
            </w:r>
            <w:r>
              <w:rPr>
                <w:color w:val="003366"/>
                <w:sz w:val="20"/>
                <w:u w:val="single" w:color="003366"/>
              </w:rPr>
              <w:t xml:space="preserve"> </w:t>
            </w:r>
            <w:r>
              <w:rPr>
                <w:color w:val="003366"/>
                <w:sz w:val="20"/>
                <w:u w:val="single" w:color="003366"/>
              </w:rPr>
              <w:tab/>
              <w:t>(752)</w:t>
            </w:r>
            <w:r>
              <w:rPr>
                <w:color w:val="003366"/>
                <w:sz w:val="20"/>
                <w:u w:val="single" w:color="003366"/>
              </w:rPr>
              <w:tab/>
              <w:t>-</w:t>
            </w:r>
            <w:r>
              <w:rPr>
                <w:color w:val="003366"/>
                <w:sz w:val="20"/>
                <w:u w:val="single" w:color="003366"/>
              </w:rPr>
              <w:tab/>
              <w:t>-</w:t>
            </w:r>
            <w:r>
              <w:rPr>
                <w:color w:val="003366"/>
                <w:sz w:val="20"/>
                <w:u w:val="single" w:color="003366"/>
              </w:rPr>
              <w:tab/>
              <w:t>(752)</w:t>
            </w:r>
            <w:r>
              <w:rPr>
                <w:color w:val="003366"/>
                <w:spacing w:val="18"/>
                <w:sz w:val="20"/>
                <w:u w:val="single" w:color="003366"/>
              </w:rPr>
              <w:t xml:space="preserve"> </w:t>
            </w:r>
          </w:p>
        </w:tc>
      </w:tr>
      <w:tr w:rsidR="006C17CB">
        <w:trPr>
          <w:trHeight w:val="248"/>
        </w:trPr>
        <w:tc>
          <w:tcPr>
            <w:tcW w:w="4084" w:type="dxa"/>
          </w:tcPr>
          <w:p w:rsidR="006C17CB" w:rsidRDefault="0030091C">
            <w:pPr>
              <w:pStyle w:val="TableParagraph"/>
              <w:spacing w:line="228" w:lineRule="exact"/>
              <w:ind w:left="50"/>
              <w:jc w:val="left"/>
              <w:rPr>
                <w:b/>
                <w:sz w:val="20"/>
              </w:rPr>
            </w:pPr>
            <w:r>
              <w:rPr>
                <w:b/>
                <w:color w:val="003366"/>
                <w:sz w:val="20"/>
              </w:rPr>
              <w:t>Fair Value at the End of the Reporting Period</w:t>
            </w:r>
          </w:p>
        </w:tc>
        <w:tc>
          <w:tcPr>
            <w:tcW w:w="1257" w:type="dxa"/>
            <w:tcBorders>
              <w:bottom w:val="double" w:sz="1" w:space="0" w:color="003366"/>
            </w:tcBorders>
          </w:tcPr>
          <w:p w:rsidR="006C17CB" w:rsidRDefault="0030091C">
            <w:pPr>
              <w:pStyle w:val="TableParagraph"/>
              <w:spacing w:line="228" w:lineRule="exact"/>
              <w:ind w:right="157"/>
              <w:rPr>
                <w:b/>
                <w:sz w:val="20"/>
              </w:rPr>
            </w:pPr>
            <w:r>
              <w:rPr>
                <w:b/>
                <w:color w:val="003366"/>
                <w:w w:val="95"/>
                <w:sz w:val="20"/>
              </w:rPr>
              <w:t>223</w:t>
            </w:r>
          </w:p>
        </w:tc>
        <w:tc>
          <w:tcPr>
            <w:tcW w:w="1506" w:type="dxa"/>
            <w:tcBorders>
              <w:bottom w:val="double" w:sz="1" w:space="0" w:color="003366"/>
            </w:tcBorders>
          </w:tcPr>
          <w:p w:rsidR="006C17CB" w:rsidRDefault="0030091C">
            <w:pPr>
              <w:pStyle w:val="TableParagraph"/>
              <w:spacing w:line="228" w:lineRule="exact"/>
              <w:ind w:right="130"/>
              <w:rPr>
                <w:b/>
                <w:sz w:val="20"/>
              </w:rPr>
            </w:pPr>
            <w:r>
              <w:rPr>
                <w:b/>
                <w:color w:val="003366"/>
                <w:w w:val="95"/>
                <w:sz w:val="20"/>
              </w:rPr>
              <w:t>1,197</w:t>
            </w:r>
          </w:p>
        </w:tc>
        <w:tc>
          <w:tcPr>
            <w:tcW w:w="1078" w:type="dxa"/>
            <w:tcBorders>
              <w:bottom w:val="double" w:sz="1" w:space="0" w:color="003366"/>
            </w:tcBorders>
          </w:tcPr>
          <w:p w:rsidR="006C17CB" w:rsidRDefault="0030091C">
            <w:pPr>
              <w:pStyle w:val="TableParagraph"/>
              <w:spacing w:line="228" w:lineRule="exact"/>
              <w:ind w:right="241"/>
              <w:rPr>
                <w:b/>
                <w:sz w:val="20"/>
              </w:rPr>
            </w:pPr>
            <w:r>
              <w:rPr>
                <w:b/>
                <w:color w:val="003366"/>
                <w:w w:val="95"/>
                <w:sz w:val="20"/>
              </w:rPr>
              <w:t>662</w:t>
            </w:r>
          </w:p>
        </w:tc>
        <w:tc>
          <w:tcPr>
            <w:tcW w:w="805" w:type="dxa"/>
            <w:tcBorders>
              <w:bottom w:val="double" w:sz="1" w:space="0" w:color="003366"/>
            </w:tcBorders>
          </w:tcPr>
          <w:p w:rsidR="006C17CB" w:rsidRDefault="0030091C">
            <w:pPr>
              <w:pStyle w:val="TableParagraph"/>
              <w:spacing w:line="228" w:lineRule="exact"/>
              <w:ind w:right="107"/>
              <w:rPr>
                <w:b/>
                <w:sz w:val="20"/>
              </w:rPr>
            </w:pPr>
            <w:r>
              <w:rPr>
                <w:b/>
                <w:color w:val="003366"/>
                <w:w w:val="95"/>
                <w:sz w:val="20"/>
              </w:rPr>
              <w:t>2,082</w:t>
            </w:r>
          </w:p>
        </w:tc>
      </w:tr>
    </w:tbl>
    <w:p w:rsidR="006C17CB" w:rsidRDefault="006C17CB">
      <w:pPr>
        <w:pStyle w:val="BodyText"/>
        <w:rPr>
          <w:rFonts w:ascii="Calibri"/>
          <w:b/>
          <w:sz w:val="20"/>
        </w:rPr>
      </w:pPr>
    </w:p>
    <w:p w:rsidR="006C17CB" w:rsidRDefault="006C17CB">
      <w:pPr>
        <w:pStyle w:val="BodyText"/>
        <w:spacing w:before="9"/>
        <w:rPr>
          <w:rFonts w:ascii="Calibri"/>
          <w:b/>
          <w:sz w:val="25"/>
        </w:rPr>
      </w:pPr>
    </w:p>
    <w:p w:rsidR="006C17CB" w:rsidRDefault="0030091C">
      <w:pPr>
        <w:pStyle w:val="Heading6"/>
        <w:tabs>
          <w:tab w:val="left" w:pos="1931"/>
        </w:tabs>
        <w:spacing w:line="345" w:lineRule="exact"/>
        <w:ind w:left="798"/>
      </w:pPr>
      <w:r>
        <w:rPr>
          <w:color w:val="003366"/>
        </w:rPr>
        <w:t>NOTE</w:t>
      </w:r>
      <w:r>
        <w:rPr>
          <w:color w:val="003366"/>
          <w:spacing w:val="-1"/>
        </w:rPr>
        <w:t xml:space="preserve"> </w:t>
      </w:r>
      <w:r>
        <w:rPr>
          <w:color w:val="003366"/>
        </w:rPr>
        <w:t>14.</w:t>
      </w:r>
      <w:r>
        <w:rPr>
          <w:color w:val="003366"/>
        </w:rPr>
        <w:tab/>
        <w:t>INTANGIBLE</w:t>
      </w:r>
      <w:r>
        <w:rPr>
          <w:color w:val="003366"/>
          <w:spacing w:val="-2"/>
        </w:rPr>
        <w:t xml:space="preserve"> </w:t>
      </w:r>
      <w:r>
        <w:rPr>
          <w:color w:val="003366"/>
        </w:rPr>
        <w:t>ASSETS</w:t>
      </w:r>
    </w:p>
    <w:p w:rsidR="006C17CB" w:rsidRDefault="006C17CB">
      <w:pPr>
        <w:pStyle w:val="BodyText"/>
        <w:spacing w:before="14"/>
        <w:rPr>
          <w:rFonts w:ascii="Calibri"/>
          <w:b/>
          <w:sz w:val="15"/>
        </w:rPr>
      </w:pPr>
    </w:p>
    <w:p w:rsidR="006C17CB" w:rsidRDefault="0030091C">
      <w:pPr>
        <w:spacing w:line="204" w:lineRule="auto"/>
        <w:ind w:left="798" w:right="1488" w:hanging="1"/>
        <w:jc w:val="both"/>
        <w:rPr>
          <w:rFonts w:ascii="Calibri" w:hAnsi="Calibri"/>
          <w:sz w:val="20"/>
        </w:rPr>
      </w:pPr>
      <w:r>
        <w:rPr>
          <w:rFonts w:ascii="Calibri" w:hAnsi="Calibri"/>
          <w:color w:val="003366"/>
          <w:sz w:val="20"/>
        </w:rPr>
        <w:t>The Office’s intangible assets are comprised of internally generated and externally acquired computer software for internal use. Externally acquired computer software is recognised and capitalised when:</w:t>
      </w:r>
    </w:p>
    <w:p w:rsidR="006C17CB" w:rsidRDefault="0030091C">
      <w:pPr>
        <w:pStyle w:val="ListParagraph"/>
        <w:numPr>
          <w:ilvl w:val="0"/>
          <w:numId w:val="9"/>
        </w:numPr>
        <w:tabs>
          <w:tab w:val="left" w:pos="1650"/>
          <w:tab w:val="left" w:pos="1651"/>
        </w:tabs>
        <w:spacing w:before="120" w:line="204" w:lineRule="auto"/>
        <w:ind w:right="1493"/>
        <w:rPr>
          <w:rFonts w:ascii="Calibri"/>
          <w:sz w:val="20"/>
        </w:rPr>
      </w:pPr>
      <w:r>
        <w:rPr>
          <w:rFonts w:ascii="Calibri"/>
          <w:color w:val="003366"/>
          <w:sz w:val="20"/>
        </w:rPr>
        <w:t>it is probable that the expected future economic benefits that are attributable to the software will flow to the</w:t>
      </w:r>
      <w:r>
        <w:rPr>
          <w:rFonts w:ascii="Calibri"/>
          <w:color w:val="003366"/>
          <w:spacing w:val="-3"/>
          <w:sz w:val="20"/>
        </w:rPr>
        <w:t xml:space="preserve"> </w:t>
      </w:r>
      <w:r>
        <w:rPr>
          <w:rFonts w:ascii="Calibri"/>
          <w:color w:val="003366"/>
          <w:sz w:val="20"/>
        </w:rPr>
        <w:t>Office;</w:t>
      </w:r>
    </w:p>
    <w:p w:rsidR="006C17CB" w:rsidRDefault="0030091C">
      <w:pPr>
        <w:pStyle w:val="ListParagraph"/>
        <w:numPr>
          <w:ilvl w:val="0"/>
          <w:numId w:val="9"/>
        </w:numPr>
        <w:tabs>
          <w:tab w:val="left" w:pos="1650"/>
          <w:tab w:val="left" w:pos="1651"/>
        </w:tabs>
        <w:spacing w:before="21" w:line="240" w:lineRule="auto"/>
        <w:rPr>
          <w:rFonts w:ascii="Calibri"/>
          <w:sz w:val="20"/>
        </w:rPr>
      </w:pPr>
      <w:r>
        <w:rPr>
          <w:rFonts w:ascii="Calibri"/>
          <w:color w:val="003366"/>
          <w:sz w:val="20"/>
        </w:rPr>
        <w:t>the cost of the software can be measured reliably;</w:t>
      </w:r>
      <w:r>
        <w:rPr>
          <w:rFonts w:ascii="Calibri"/>
          <w:color w:val="003366"/>
          <w:spacing w:val="-6"/>
          <w:sz w:val="20"/>
        </w:rPr>
        <w:t xml:space="preserve"> </w:t>
      </w:r>
      <w:r>
        <w:rPr>
          <w:rFonts w:ascii="Calibri"/>
          <w:color w:val="003366"/>
          <w:sz w:val="20"/>
        </w:rPr>
        <w:t>and</w:t>
      </w:r>
    </w:p>
    <w:p w:rsidR="006C17CB" w:rsidRDefault="0030091C">
      <w:pPr>
        <w:pStyle w:val="ListParagraph"/>
        <w:numPr>
          <w:ilvl w:val="0"/>
          <w:numId w:val="9"/>
        </w:numPr>
        <w:tabs>
          <w:tab w:val="left" w:pos="1650"/>
          <w:tab w:val="left" w:pos="1651"/>
        </w:tabs>
        <w:spacing w:before="17" w:line="240" w:lineRule="auto"/>
        <w:rPr>
          <w:rFonts w:ascii="Calibri"/>
          <w:sz w:val="20"/>
        </w:rPr>
      </w:pPr>
      <w:r>
        <w:rPr>
          <w:rFonts w:ascii="Calibri"/>
          <w:color w:val="003366"/>
          <w:sz w:val="20"/>
        </w:rPr>
        <w:t>the acquisition cost is equal to or exceeds</w:t>
      </w:r>
      <w:r>
        <w:rPr>
          <w:rFonts w:ascii="Calibri"/>
          <w:color w:val="003366"/>
          <w:spacing w:val="-2"/>
          <w:sz w:val="20"/>
        </w:rPr>
        <w:t xml:space="preserve"> </w:t>
      </w:r>
      <w:r>
        <w:rPr>
          <w:rFonts w:ascii="Calibri"/>
          <w:color w:val="003366"/>
          <w:sz w:val="20"/>
        </w:rPr>
        <w:t>$50,000.</w:t>
      </w:r>
    </w:p>
    <w:p w:rsidR="006C17CB" w:rsidRDefault="0030091C">
      <w:pPr>
        <w:spacing w:before="112" w:line="204" w:lineRule="auto"/>
        <w:ind w:left="798" w:right="1489"/>
        <w:jc w:val="both"/>
        <w:rPr>
          <w:rFonts w:ascii="Calibri"/>
          <w:sz w:val="20"/>
        </w:rPr>
      </w:pPr>
      <w:r>
        <w:rPr>
          <w:rFonts w:ascii="Calibri"/>
          <w:color w:val="003366"/>
          <w:sz w:val="20"/>
        </w:rPr>
        <w:t>Internally generated software is recognised when it meets the general recognition criteria outlined above and where it also meets the specific recognition criteria relating to intangible assets arising from the development phase of an internal project.</w:t>
      </w:r>
    </w:p>
    <w:p w:rsidR="006C17CB" w:rsidRDefault="0030091C">
      <w:pPr>
        <w:spacing w:before="116" w:line="204" w:lineRule="auto"/>
        <w:ind w:left="798" w:right="1488"/>
        <w:jc w:val="both"/>
        <w:rPr>
          <w:rFonts w:ascii="Calibri"/>
          <w:sz w:val="20"/>
        </w:rPr>
      </w:pPr>
      <w:r>
        <w:rPr>
          <w:rFonts w:ascii="Calibri"/>
          <w:color w:val="003366"/>
          <w:sz w:val="20"/>
        </w:rPr>
        <w:t>Capitalised</w:t>
      </w:r>
      <w:r>
        <w:rPr>
          <w:rFonts w:ascii="Calibri"/>
          <w:color w:val="003366"/>
          <w:spacing w:val="-3"/>
          <w:sz w:val="20"/>
        </w:rPr>
        <w:t xml:space="preserve"> </w:t>
      </w:r>
      <w:r>
        <w:rPr>
          <w:rFonts w:ascii="Calibri"/>
          <w:color w:val="003366"/>
          <w:sz w:val="20"/>
        </w:rPr>
        <w:t>computer</w:t>
      </w:r>
      <w:r>
        <w:rPr>
          <w:rFonts w:ascii="Calibri"/>
          <w:color w:val="003366"/>
          <w:spacing w:val="-4"/>
          <w:sz w:val="20"/>
        </w:rPr>
        <w:t xml:space="preserve"> </w:t>
      </w:r>
      <w:r>
        <w:rPr>
          <w:rFonts w:ascii="Calibri"/>
          <w:color w:val="003366"/>
          <w:sz w:val="20"/>
        </w:rPr>
        <w:t>software</w:t>
      </w:r>
      <w:r>
        <w:rPr>
          <w:rFonts w:ascii="Calibri"/>
          <w:color w:val="003366"/>
          <w:spacing w:val="-6"/>
          <w:sz w:val="20"/>
        </w:rPr>
        <w:t xml:space="preserve"> </w:t>
      </w:r>
      <w:r>
        <w:rPr>
          <w:rFonts w:ascii="Calibri"/>
          <w:color w:val="003366"/>
          <w:sz w:val="20"/>
        </w:rPr>
        <w:t>has</w:t>
      </w:r>
      <w:r>
        <w:rPr>
          <w:rFonts w:ascii="Calibri"/>
          <w:color w:val="003366"/>
          <w:spacing w:val="-7"/>
          <w:sz w:val="20"/>
        </w:rPr>
        <w:t xml:space="preserve"> </w:t>
      </w:r>
      <w:r>
        <w:rPr>
          <w:rFonts w:ascii="Calibri"/>
          <w:color w:val="003366"/>
          <w:sz w:val="20"/>
        </w:rPr>
        <w:t>a</w:t>
      </w:r>
      <w:r>
        <w:rPr>
          <w:rFonts w:ascii="Calibri"/>
          <w:color w:val="003366"/>
          <w:spacing w:val="-4"/>
          <w:sz w:val="20"/>
        </w:rPr>
        <w:t xml:space="preserve"> </w:t>
      </w:r>
      <w:r>
        <w:rPr>
          <w:rFonts w:ascii="Calibri"/>
          <w:color w:val="003366"/>
          <w:sz w:val="20"/>
        </w:rPr>
        <w:t>finite</w:t>
      </w:r>
      <w:r>
        <w:rPr>
          <w:rFonts w:ascii="Calibri"/>
          <w:color w:val="003366"/>
          <w:spacing w:val="-5"/>
          <w:sz w:val="20"/>
        </w:rPr>
        <w:t xml:space="preserve"> </w:t>
      </w:r>
      <w:r>
        <w:rPr>
          <w:rFonts w:ascii="Calibri"/>
          <w:color w:val="003366"/>
          <w:sz w:val="20"/>
        </w:rPr>
        <w:t>useful</w:t>
      </w:r>
      <w:r>
        <w:rPr>
          <w:rFonts w:ascii="Calibri"/>
          <w:color w:val="003366"/>
          <w:spacing w:val="-6"/>
          <w:sz w:val="20"/>
        </w:rPr>
        <w:t xml:space="preserve"> </w:t>
      </w:r>
      <w:r>
        <w:rPr>
          <w:rFonts w:ascii="Calibri"/>
          <w:color w:val="003366"/>
          <w:sz w:val="20"/>
        </w:rPr>
        <w:t>life.</w:t>
      </w:r>
      <w:r>
        <w:rPr>
          <w:rFonts w:ascii="Calibri"/>
          <w:color w:val="003366"/>
          <w:spacing w:val="-4"/>
          <w:sz w:val="20"/>
        </w:rPr>
        <w:t xml:space="preserve"> </w:t>
      </w:r>
      <w:r>
        <w:rPr>
          <w:rFonts w:ascii="Calibri"/>
          <w:color w:val="003366"/>
          <w:sz w:val="20"/>
        </w:rPr>
        <w:t>Software</w:t>
      </w:r>
      <w:r>
        <w:rPr>
          <w:rFonts w:ascii="Calibri"/>
          <w:color w:val="003366"/>
          <w:spacing w:val="-6"/>
          <w:sz w:val="20"/>
        </w:rPr>
        <w:t xml:space="preserve"> </w:t>
      </w:r>
      <w:r>
        <w:rPr>
          <w:rFonts w:ascii="Calibri"/>
          <w:color w:val="003366"/>
          <w:sz w:val="20"/>
        </w:rPr>
        <w:t>is</w:t>
      </w:r>
      <w:r>
        <w:rPr>
          <w:rFonts w:ascii="Calibri"/>
          <w:color w:val="003366"/>
          <w:spacing w:val="-5"/>
          <w:sz w:val="20"/>
        </w:rPr>
        <w:t xml:space="preserve"> </w:t>
      </w:r>
      <w:r>
        <w:rPr>
          <w:rFonts w:ascii="Calibri"/>
          <w:color w:val="003366"/>
          <w:sz w:val="20"/>
        </w:rPr>
        <w:t>amortised</w:t>
      </w:r>
      <w:r>
        <w:rPr>
          <w:rFonts w:ascii="Calibri"/>
          <w:color w:val="003366"/>
          <w:spacing w:val="-5"/>
          <w:sz w:val="20"/>
        </w:rPr>
        <w:t xml:space="preserve"> </w:t>
      </w:r>
      <w:r>
        <w:rPr>
          <w:rFonts w:ascii="Calibri"/>
          <w:color w:val="003366"/>
          <w:sz w:val="20"/>
        </w:rPr>
        <w:t>on</w:t>
      </w:r>
      <w:r>
        <w:rPr>
          <w:rFonts w:ascii="Calibri"/>
          <w:color w:val="003366"/>
          <w:spacing w:val="-6"/>
          <w:sz w:val="20"/>
        </w:rPr>
        <w:t xml:space="preserve"> </w:t>
      </w:r>
      <w:r>
        <w:rPr>
          <w:rFonts w:ascii="Calibri"/>
          <w:color w:val="003366"/>
          <w:sz w:val="20"/>
        </w:rPr>
        <w:t>a</w:t>
      </w:r>
      <w:r>
        <w:rPr>
          <w:rFonts w:ascii="Calibri"/>
          <w:color w:val="003366"/>
          <w:spacing w:val="-4"/>
          <w:sz w:val="20"/>
        </w:rPr>
        <w:t xml:space="preserve"> </w:t>
      </w:r>
      <w:r>
        <w:rPr>
          <w:rFonts w:ascii="Calibri"/>
          <w:color w:val="003366"/>
          <w:sz w:val="20"/>
        </w:rPr>
        <w:t>straight-line</w:t>
      </w:r>
      <w:r>
        <w:rPr>
          <w:rFonts w:ascii="Calibri"/>
          <w:color w:val="003366"/>
          <w:spacing w:val="-6"/>
          <w:sz w:val="20"/>
        </w:rPr>
        <w:t xml:space="preserve"> </w:t>
      </w:r>
      <w:r>
        <w:rPr>
          <w:rFonts w:ascii="Calibri"/>
          <w:color w:val="003366"/>
          <w:sz w:val="20"/>
        </w:rPr>
        <w:t>basis</w:t>
      </w:r>
      <w:r>
        <w:rPr>
          <w:rFonts w:ascii="Calibri"/>
          <w:color w:val="003366"/>
          <w:spacing w:val="-7"/>
          <w:sz w:val="20"/>
        </w:rPr>
        <w:t xml:space="preserve"> </w:t>
      </w:r>
      <w:r>
        <w:rPr>
          <w:rFonts w:ascii="Calibri"/>
          <w:color w:val="003366"/>
          <w:sz w:val="20"/>
        </w:rPr>
        <w:t>over</w:t>
      </w:r>
      <w:r>
        <w:rPr>
          <w:rFonts w:ascii="Calibri"/>
          <w:color w:val="003366"/>
          <w:spacing w:val="-4"/>
          <w:sz w:val="20"/>
        </w:rPr>
        <w:t xml:space="preserve"> </w:t>
      </w:r>
      <w:r>
        <w:rPr>
          <w:rFonts w:ascii="Calibri"/>
          <w:color w:val="003366"/>
          <w:sz w:val="20"/>
        </w:rPr>
        <w:t>its useful life a period not exceeding 5</w:t>
      </w:r>
      <w:r>
        <w:rPr>
          <w:rFonts w:ascii="Calibri"/>
          <w:color w:val="003366"/>
          <w:spacing w:val="-2"/>
          <w:sz w:val="20"/>
        </w:rPr>
        <w:t xml:space="preserve"> </w:t>
      </w:r>
      <w:r>
        <w:rPr>
          <w:rFonts w:ascii="Calibri"/>
          <w:color w:val="003366"/>
          <w:sz w:val="20"/>
        </w:rPr>
        <w:t>years.</w:t>
      </w:r>
    </w:p>
    <w:p w:rsidR="006C17CB" w:rsidRDefault="0030091C">
      <w:pPr>
        <w:spacing w:before="82"/>
        <w:ind w:left="798"/>
        <w:jc w:val="both"/>
        <w:rPr>
          <w:rFonts w:ascii="Calibri"/>
          <w:sz w:val="20"/>
        </w:rPr>
      </w:pPr>
      <w:r>
        <w:rPr>
          <w:rFonts w:ascii="Calibri"/>
          <w:color w:val="003366"/>
          <w:sz w:val="20"/>
        </w:rPr>
        <w:t>Intangible Assets are measured at cost.</w:t>
      </w:r>
    </w:p>
    <w:p w:rsidR="006C17CB" w:rsidRDefault="006C17CB">
      <w:pPr>
        <w:pStyle w:val="BodyText"/>
        <w:spacing w:before="3" w:after="1"/>
        <w:rPr>
          <w:rFonts w:ascii="Calibri"/>
          <w:sz w:val="11"/>
        </w:rPr>
      </w:pPr>
    </w:p>
    <w:tbl>
      <w:tblPr>
        <w:tblW w:w="0" w:type="auto"/>
        <w:tblInd w:w="748" w:type="dxa"/>
        <w:tblLayout w:type="fixed"/>
        <w:tblCellMar>
          <w:left w:w="0" w:type="dxa"/>
          <w:right w:w="0" w:type="dxa"/>
        </w:tblCellMar>
        <w:tblLook w:val="01E0" w:firstRow="1" w:lastRow="1" w:firstColumn="1" w:lastColumn="1" w:noHBand="0" w:noVBand="0"/>
      </w:tblPr>
      <w:tblGrid>
        <w:gridCol w:w="6134"/>
        <w:gridCol w:w="1648"/>
        <w:gridCol w:w="1012"/>
      </w:tblGrid>
      <w:tr w:rsidR="006C17CB">
        <w:trPr>
          <w:trHeight w:val="222"/>
        </w:trPr>
        <w:tc>
          <w:tcPr>
            <w:tcW w:w="6134" w:type="dxa"/>
            <w:vMerge w:val="restart"/>
          </w:tcPr>
          <w:p w:rsidR="006C17CB" w:rsidRDefault="006C17CB">
            <w:pPr>
              <w:pStyle w:val="TableParagraph"/>
              <w:jc w:val="left"/>
              <w:rPr>
                <w:rFonts w:ascii="Times New Roman"/>
                <w:sz w:val="20"/>
              </w:rPr>
            </w:pPr>
          </w:p>
        </w:tc>
        <w:tc>
          <w:tcPr>
            <w:tcW w:w="1648" w:type="dxa"/>
          </w:tcPr>
          <w:p w:rsidR="006C17CB" w:rsidRDefault="0030091C">
            <w:pPr>
              <w:pStyle w:val="TableParagraph"/>
              <w:spacing w:line="202" w:lineRule="exact"/>
              <w:ind w:right="443"/>
              <w:rPr>
                <w:b/>
                <w:sz w:val="20"/>
              </w:rPr>
            </w:pPr>
            <w:r>
              <w:rPr>
                <w:b/>
                <w:color w:val="003366"/>
                <w:w w:val="95"/>
                <w:sz w:val="20"/>
              </w:rPr>
              <w:t>2018</w:t>
            </w:r>
          </w:p>
        </w:tc>
        <w:tc>
          <w:tcPr>
            <w:tcW w:w="1012" w:type="dxa"/>
          </w:tcPr>
          <w:p w:rsidR="006C17CB" w:rsidRDefault="0030091C">
            <w:pPr>
              <w:pStyle w:val="TableParagraph"/>
              <w:spacing w:line="202" w:lineRule="exact"/>
              <w:ind w:right="111"/>
              <w:rPr>
                <w:b/>
                <w:sz w:val="20"/>
              </w:rPr>
            </w:pPr>
            <w:r>
              <w:rPr>
                <w:b/>
                <w:color w:val="003366"/>
                <w:w w:val="95"/>
                <w:sz w:val="20"/>
              </w:rPr>
              <w:t>2017</w:t>
            </w:r>
          </w:p>
        </w:tc>
      </w:tr>
      <w:tr w:rsidR="006C17CB">
        <w:trPr>
          <w:trHeight w:val="265"/>
        </w:trPr>
        <w:tc>
          <w:tcPr>
            <w:tcW w:w="6134" w:type="dxa"/>
            <w:vMerge/>
            <w:tcBorders>
              <w:top w:val="nil"/>
            </w:tcBorders>
          </w:tcPr>
          <w:p w:rsidR="006C17CB" w:rsidRDefault="006C17CB">
            <w:pPr>
              <w:rPr>
                <w:sz w:val="2"/>
                <w:szCs w:val="2"/>
              </w:rPr>
            </w:pPr>
          </w:p>
        </w:tc>
        <w:tc>
          <w:tcPr>
            <w:tcW w:w="1648" w:type="dxa"/>
          </w:tcPr>
          <w:p w:rsidR="006C17CB" w:rsidRDefault="0030091C">
            <w:pPr>
              <w:pStyle w:val="TableParagraph"/>
              <w:spacing w:line="226" w:lineRule="exact"/>
              <w:ind w:right="443"/>
              <w:rPr>
                <w:b/>
                <w:sz w:val="20"/>
              </w:rPr>
            </w:pPr>
            <w:r>
              <w:rPr>
                <w:b/>
                <w:color w:val="003366"/>
                <w:w w:val="95"/>
                <w:sz w:val="20"/>
              </w:rPr>
              <w:t>$’000</w:t>
            </w:r>
          </w:p>
        </w:tc>
        <w:tc>
          <w:tcPr>
            <w:tcW w:w="1012" w:type="dxa"/>
          </w:tcPr>
          <w:p w:rsidR="006C17CB" w:rsidRDefault="0030091C">
            <w:pPr>
              <w:pStyle w:val="TableParagraph"/>
              <w:spacing w:line="226" w:lineRule="exact"/>
              <w:ind w:right="111"/>
              <w:rPr>
                <w:b/>
                <w:sz w:val="20"/>
              </w:rPr>
            </w:pPr>
            <w:r>
              <w:rPr>
                <w:b/>
                <w:color w:val="003366"/>
                <w:w w:val="95"/>
                <w:sz w:val="20"/>
              </w:rPr>
              <w:t>$’000</w:t>
            </w:r>
          </w:p>
        </w:tc>
      </w:tr>
      <w:tr w:rsidR="006C17CB">
        <w:trPr>
          <w:trHeight w:val="851"/>
        </w:trPr>
        <w:tc>
          <w:tcPr>
            <w:tcW w:w="6134" w:type="dxa"/>
          </w:tcPr>
          <w:p w:rsidR="006C17CB" w:rsidRDefault="0030091C">
            <w:pPr>
              <w:pStyle w:val="TableParagraph"/>
              <w:spacing w:line="244" w:lineRule="exact"/>
              <w:ind w:left="50"/>
              <w:jc w:val="left"/>
              <w:rPr>
                <w:b/>
                <w:sz w:val="20"/>
              </w:rPr>
            </w:pPr>
            <w:r>
              <w:rPr>
                <w:b/>
                <w:color w:val="003366"/>
                <w:sz w:val="20"/>
              </w:rPr>
              <w:t>Computer Software</w:t>
            </w:r>
          </w:p>
          <w:p w:rsidR="006C17CB" w:rsidRDefault="0030091C">
            <w:pPr>
              <w:pStyle w:val="TableParagraph"/>
              <w:spacing w:line="283" w:lineRule="exact"/>
              <w:ind w:left="50"/>
              <w:jc w:val="left"/>
              <w:rPr>
                <w:i/>
                <w:sz w:val="20"/>
              </w:rPr>
            </w:pPr>
            <w:r>
              <w:rPr>
                <w:i/>
                <w:color w:val="003366"/>
                <w:sz w:val="20"/>
              </w:rPr>
              <w:t>Externally Purchased Software</w:t>
            </w:r>
          </w:p>
          <w:p w:rsidR="006C17CB" w:rsidRDefault="0030091C">
            <w:pPr>
              <w:pStyle w:val="TableParagraph"/>
              <w:spacing w:line="286" w:lineRule="exact"/>
              <w:ind w:left="50"/>
              <w:jc w:val="left"/>
              <w:rPr>
                <w:sz w:val="20"/>
              </w:rPr>
            </w:pPr>
            <w:r>
              <w:rPr>
                <w:color w:val="003366"/>
                <w:sz w:val="20"/>
              </w:rPr>
              <w:t>Computer Software at Cost</w:t>
            </w:r>
          </w:p>
        </w:tc>
        <w:tc>
          <w:tcPr>
            <w:tcW w:w="1648" w:type="dxa"/>
          </w:tcPr>
          <w:p w:rsidR="006C17CB" w:rsidRDefault="006C17CB">
            <w:pPr>
              <w:pStyle w:val="TableParagraph"/>
              <w:jc w:val="left"/>
              <w:rPr>
                <w:sz w:val="20"/>
              </w:rPr>
            </w:pPr>
          </w:p>
          <w:p w:rsidR="006C17CB" w:rsidRDefault="006C17CB">
            <w:pPr>
              <w:pStyle w:val="TableParagraph"/>
              <w:spacing w:before="5"/>
              <w:jc w:val="left"/>
              <w:rPr>
                <w:sz w:val="16"/>
              </w:rPr>
            </w:pPr>
          </w:p>
          <w:p w:rsidR="006C17CB" w:rsidRDefault="0030091C">
            <w:pPr>
              <w:pStyle w:val="TableParagraph"/>
              <w:ind w:right="443"/>
              <w:rPr>
                <w:sz w:val="20"/>
              </w:rPr>
            </w:pPr>
            <w:r>
              <w:rPr>
                <w:color w:val="003366"/>
                <w:w w:val="95"/>
                <w:sz w:val="20"/>
              </w:rPr>
              <w:t>337</w:t>
            </w:r>
          </w:p>
        </w:tc>
        <w:tc>
          <w:tcPr>
            <w:tcW w:w="1012" w:type="dxa"/>
          </w:tcPr>
          <w:p w:rsidR="006C17CB" w:rsidRDefault="006C17CB">
            <w:pPr>
              <w:pStyle w:val="TableParagraph"/>
              <w:jc w:val="left"/>
              <w:rPr>
                <w:sz w:val="20"/>
              </w:rPr>
            </w:pPr>
          </w:p>
          <w:p w:rsidR="006C17CB" w:rsidRDefault="006C17CB">
            <w:pPr>
              <w:pStyle w:val="TableParagraph"/>
              <w:spacing w:before="5"/>
              <w:jc w:val="left"/>
              <w:rPr>
                <w:sz w:val="16"/>
              </w:rPr>
            </w:pPr>
          </w:p>
          <w:p w:rsidR="006C17CB" w:rsidRDefault="0030091C">
            <w:pPr>
              <w:pStyle w:val="TableParagraph"/>
              <w:ind w:right="111"/>
              <w:rPr>
                <w:sz w:val="20"/>
              </w:rPr>
            </w:pPr>
            <w:r>
              <w:rPr>
                <w:color w:val="003366"/>
                <w:w w:val="95"/>
                <w:sz w:val="20"/>
              </w:rPr>
              <w:t>318</w:t>
            </w:r>
          </w:p>
        </w:tc>
      </w:tr>
      <w:tr w:rsidR="006C17CB">
        <w:trPr>
          <w:trHeight w:val="289"/>
        </w:trPr>
        <w:tc>
          <w:tcPr>
            <w:tcW w:w="6134" w:type="dxa"/>
          </w:tcPr>
          <w:p w:rsidR="006C17CB" w:rsidRDefault="0030091C">
            <w:pPr>
              <w:pStyle w:val="TableParagraph"/>
              <w:spacing w:line="246" w:lineRule="exact"/>
              <w:ind w:left="50"/>
              <w:jc w:val="left"/>
              <w:rPr>
                <w:sz w:val="20"/>
              </w:rPr>
            </w:pPr>
            <w:r>
              <w:rPr>
                <w:color w:val="003366"/>
                <w:sz w:val="20"/>
              </w:rPr>
              <w:t>Less: Accumulated Amortisation</w:t>
            </w:r>
          </w:p>
        </w:tc>
        <w:tc>
          <w:tcPr>
            <w:tcW w:w="2660" w:type="dxa"/>
            <w:gridSpan w:val="2"/>
          </w:tcPr>
          <w:p w:rsidR="006C17CB" w:rsidRDefault="0030091C">
            <w:pPr>
              <w:pStyle w:val="TableParagraph"/>
              <w:tabs>
                <w:tab w:val="left" w:pos="779"/>
                <w:tab w:val="left" w:pos="2224"/>
              </w:tabs>
              <w:spacing w:line="246" w:lineRule="exact"/>
              <w:jc w:val="left"/>
              <w:rPr>
                <w:sz w:val="20"/>
              </w:rPr>
            </w:pPr>
            <w:r>
              <w:rPr>
                <w:color w:val="003366"/>
                <w:w w:val="99"/>
                <w:sz w:val="20"/>
                <w:u w:val="single" w:color="000000"/>
              </w:rPr>
              <w:t xml:space="preserve"> </w:t>
            </w:r>
            <w:r>
              <w:rPr>
                <w:color w:val="003366"/>
                <w:sz w:val="20"/>
                <w:u w:val="single" w:color="000000"/>
              </w:rPr>
              <w:tab/>
              <w:t>(106)</w:t>
            </w:r>
            <w:r>
              <w:rPr>
                <w:color w:val="003366"/>
                <w:sz w:val="20"/>
                <w:u w:val="single" w:color="000000"/>
              </w:rPr>
              <w:tab/>
              <w:t>(49)</w:t>
            </w:r>
            <w:r>
              <w:rPr>
                <w:color w:val="003366"/>
                <w:spacing w:val="20"/>
                <w:sz w:val="20"/>
                <w:u w:val="single" w:color="000000"/>
              </w:rPr>
              <w:t xml:space="preserve"> </w:t>
            </w:r>
          </w:p>
        </w:tc>
      </w:tr>
      <w:tr w:rsidR="006C17CB">
        <w:trPr>
          <w:trHeight w:val="534"/>
        </w:trPr>
        <w:tc>
          <w:tcPr>
            <w:tcW w:w="6134" w:type="dxa"/>
          </w:tcPr>
          <w:p w:rsidR="006C17CB" w:rsidRDefault="0030091C">
            <w:pPr>
              <w:pStyle w:val="TableParagraph"/>
              <w:spacing w:line="250" w:lineRule="exact"/>
              <w:ind w:left="50"/>
              <w:jc w:val="left"/>
              <w:rPr>
                <w:i/>
                <w:sz w:val="20"/>
              </w:rPr>
            </w:pPr>
            <w:r>
              <w:rPr>
                <w:i/>
                <w:color w:val="003366"/>
                <w:sz w:val="20"/>
              </w:rPr>
              <w:t>Total Externally Purchased Software</w:t>
            </w:r>
          </w:p>
        </w:tc>
        <w:tc>
          <w:tcPr>
            <w:tcW w:w="2660" w:type="dxa"/>
            <w:gridSpan w:val="2"/>
            <w:tcBorders>
              <w:bottom w:val="single" w:sz="4" w:space="0" w:color="000000"/>
            </w:tcBorders>
          </w:tcPr>
          <w:p w:rsidR="006C17CB" w:rsidRDefault="0030091C">
            <w:pPr>
              <w:pStyle w:val="TableParagraph"/>
              <w:tabs>
                <w:tab w:val="left" w:pos="2243"/>
              </w:tabs>
              <w:spacing w:line="250" w:lineRule="exact"/>
              <w:ind w:left="900"/>
              <w:jc w:val="left"/>
              <w:rPr>
                <w:sz w:val="20"/>
              </w:rPr>
            </w:pPr>
            <w:r>
              <w:rPr>
                <w:color w:val="003366"/>
                <w:sz w:val="20"/>
              </w:rPr>
              <w:t>231</w:t>
            </w:r>
            <w:r>
              <w:rPr>
                <w:color w:val="003366"/>
                <w:sz w:val="20"/>
              </w:rPr>
              <w:tab/>
              <w:t>269</w:t>
            </w:r>
          </w:p>
        </w:tc>
      </w:tr>
      <w:tr w:rsidR="006C17CB">
        <w:trPr>
          <w:trHeight w:val="577"/>
        </w:trPr>
        <w:tc>
          <w:tcPr>
            <w:tcW w:w="6134" w:type="dxa"/>
          </w:tcPr>
          <w:p w:rsidR="006C17CB" w:rsidRDefault="0030091C">
            <w:pPr>
              <w:pStyle w:val="TableParagraph"/>
              <w:spacing w:line="284" w:lineRule="exact"/>
              <w:ind w:left="50"/>
              <w:jc w:val="left"/>
              <w:rPr>
                <w:b/>
                <w:sz w:val="20"/>
              </w:rPr>
            </w:pPr>
            <w:r>
              <w:rPr>
                <w:b/>
                <w:color w:val="003366"/>
                <w:sz w:val="20"/>
              </w:rPr>
              <w:t>Total Computer Software</w:t>
            </w:r>
          </w:p>
        </w:tc>
        <w:tc>
          <w:tcPr>
            <w:tcW w:w="2660" w:type="dxa"/>
            <w:gridSpan w:val="2"/>
            <w:tcBorders>
              <w:top w:val="single" w:sz="4" w:space="0" w:color="000000"/>
              <w:bottom w:val="single" w:sz="4" w:space="0" w:color="000000"/>
            </w:tcBorders>
          </w:tcPr>
          <w:p w:rsidR="006C17CB" w:rsidRDefault="0030091C">
            <w:pPr>
              <w:pStyle w:val="TableParagraph"/>
              <w:tabs>
                <w:tab w:val="left" w:pos="899"/>
                <w:tab w:val="left" w:pos="2243"/>
              </w:tabs>
              <w:spacing w:line="284" w:lineRule="exact"/>
              <w:jc w:val="left"/>
              <w:rPr>
                <w:b/>
                <w:sz w:val="20"/>
              </w:rPr>
            </w:pPr>
            <w:r>
              <w:rPr>
                <w:b/>
                <w:color w:val="003366"/>
                <w:w w:val="99"/>
                <w:sz w:val="20"/>
                <w:u w:val="single" w:color="000000"/>
              </w:rPr>
              <w:t xml:space="preserve"> </w:t>
            </w:r>
            <w:r>
              <w:rPr>
                <w:b/>
                <w:color w:val="003366"/>
                <w:sz w:val="20"/>
                <w:u w:val="single" w:color="000000"/>
              </w:rPr>
              <w:tab/>
              <w:t>231</w:t>
            </w:r>
            <w:r>
              <w:rPr>
                <w:b/>
                <w:color w:val="003366"/>
                <w:sz w:val="20"/>
                <w:u w:val="single" w:color="000000"/>
              </w:rPr>
              <w:tab/>
              <w:t>269</w:t>
            </w:r>
            <w:r>
              <w:rPr>
                <w:b/>
                <w:color w:val="003366"/>
                <w:spacing w:val="21"/>
                <w:sz w:val="20"/>
                <w:u w:val="single" w:color="000000"/>
              </w:rPr>
              <w:t xml:space="preserve"> </w:t>
            </w:r>
          </w:p>
        </w:tc>
      </w:tr>
      <w:tr w:rsidR="006C17CB">
        <w:trPr>
          <w:trHeight w:val="284"/>
        </w:trPr>
        <w:tc>
          <w:tcPr>
            <w:tcW w:w="6134" w:type="dxa"/>
          </w:tcPr>
          <w:p w:rsidR="006C17CB" w:rsidRDefault="0030091C">
            <w:pPr>
              <w:pStyle w:val="TableParagraph"/>
              <w:spacing w:line="265" w:lineRule="exact"/>
              <w:ind w:left="50"/>
              <w:jc w:val="left"/>
              <w:rPr>
                <w:b/>
                <w:sz w:val="20"/>
              </w:rPr>
            </w:pPr>
            <w:r>
              <w:rPr>
                <w:b/>
                <w:color w:val="003366"/>
                <w:sz w:val="20"/>
              </w:rPr>
              <w:t>Total Intangible Assets</w:t>
            </w:r>
          </w:p>
        </w:tc>
        <w:tc>
          <w:tcPr>
            <w:tcW w:w="2660" w:type="dxa"/>
            <w:gridSpan w:val="2"/>
            <w:tcBorders>
              <w:top w:val="single" w:sz="4" w:space="0" w:color="000000"/>
              <w:bottom w:val="double" w:sz="1" w:space="0" w:color="000000"/>
            </w:tcBorders>
          </w:tcPr>
          <w:p w:rsidR="006C17CB" w:rsidRDefault="0030091C">
            <w:pPr>
              <w:pStyle w:val="TableParagraph"/>
              <w:tabs>
                <w:tab w:val="left" w:pos="2243"/>
              </w:tabs>
              <w:spacing w:line="265" w:lineRule="exact"/>
              <w:ind w:left="900"/>
              <w:jc w:val="left"/>
              <w:rPr>
                <w:b/>
                <w:sz w:val="20"/>
              </w:rPr>
            </w:pPr>
            <w:r>
              <w:rPr>
                <w:b/>
                <w:color w:val="003366"/>
                <w:sz w:val="20"/>
              </w:rPr>
              <w:t>231</w:t>
            </w:r>
            <w:r>
              <w:rPr>
                <w:b/>
                <w:color w:val="003366"/>
                <w:sz w:val="20"/>
              </w:rPr>
              <w:tab/>
              <w:t>269</w:t>
            </w:r>
          </w:p>
        </w:tc>
      </w:tr>
    </w:tbl>
    <w:p w:rsidR="006C17CB" w:rsidRDefault="006C17CB">
      <w:pPr>
        <w:spacing w:line="265" w:lineRule="exact"/>
        <w:rPr>
          <w:sz w:val="20"/>
        </w:rPr>
        <w:sectPr w:rsidR="006C17CB">
          <w:pgSz w:w="11910" w:h="16840"/>
          <w:pgMar w:top="2780" w:right="0" w:bottom="740" w:left="980" w:header="1173" w:footer="551" w:gutter="0"/>
          <w:cols w:space="720"/>
        </w:sectPr>
      </w:pPr>
    </w:p>
    <w:p w:rsidR="006C17CB" w:rsidRDefault="006C17CB">
      <w:pPr>
        <w:pStyle w:val="BodyText"/>
        <w:spacing w:before="9"/>
        <w:rPr>
          <w:rFonts w:ascii="Calibri"/>
          <w:sz w:val="21"/>
        </w:rPr>
      </w:pPr>
    </w:p>
    <w:p w:rsidR="006C17CB" w:rsidRDefault="0030091C">
      <w:pPr>
        <w:pStyle w:val="Heading6"/>
        <w:spacing w:line="345" w:lineRule="exact"/>
        <w:ind w:left="793"/>
      </w:pPr>
      <w:r>
        <w:rPr>
          <w:color w:val="003366"/>
        </w:rPr>
        <w:t>NOTE 14. INTANGIBLE ASSETS – CONTINUED</w:t>
      </w:r>
    </w:p>
    <w:p w:rsidR="006C17CB" w:rsidRDefault="0030091C">
      <w:pPr>
        <w:spacing w:before="195"/>
        <w:ind w:left="793"/>
        <w:rPr>
          <w:rFonts w:ascii="Calibri"/>
          <w:b/>
          <w:sz w:val="20"/>
        </w:rPr>
      </w:pPr>
      <w:r>
        <w:rPr>
          <w:rFonts w:ascii="Calibri"/>
          <w:b/>
          <w:color w:val="003366"/>
          <w:sz w:val="20"/>
        </w:rPr>
        <w:t>Reconciliation of Intangible Assets</w:t>
      </w:r>
    </w:p>
    <w:p w:rsidR="006C17CB" w:rsidRDefault="0030091C">
      <w:pPr>
        <w:spacing w:before="77"/>
        <w:ind w:left="793"/>
        <w:rPr>
          <w:rFonts w:ascii="Calibri"/>
          <w:sz w:val="20"/>
        </w:rPr>
      </w:pPr>
      <w:r>
        <w:rPr>
          <w:rFonts w:ascii="Calibri"/>
          <w:color w:val="003366"/>
          <w:sz w:val="20"/>
        </w:rPr>
        <w:t>The following table shows the movement of the Intangible Assets during 2017-18.</w:t>
      </w:r>
    </w:p>
    <w:p w:rsidR="006C17CB" w:rsidRDefault="006C17CB">
      <w:pPr>
        <w:pStyle w:val="BodyText"/>
        <w:rPr>
          <w:rFonts w:ascii="Calibri"/>
          <w:sz w:val="14"/>
        </w:rPr>
      </w:pPr>
    </w:p>
    <w:tbl>
      <w:tblPr>
        <w:tblW w:w="0" w:type="auto"/>
        <w:tblInd w:w="743" w:type="dxa"/>
        <w:tblLayout w:type="fixed"/>
        <w:tblCellMar>
          <w:left w:w="0" w:type="dxa"/>
          <w:right w:w="0" w:type="dxa"/>
        </w:tblCellMar>
        <w:tblLook w:val="01E0" w:firstRow="1" w:lastRow="1" w:firstColumn="1" w:lastColumn="1" w:noHBand="0" w:noVBand="0"/>
      </w:tblPr>
      <w:tblGrid>
        <w:gridCol w:w="5596"/>
        <w:gridCol w:w="2175"/>
        <w:gridCol w:w="971"/>
      </w:tblGrid>
      <w:tr w:rsidR="006C17CB">
        <w:trPr>
          <w:trHeight w:val="729"/>
        </w:trPr>
        <w:tc>
          <w:tcPr>
            <w:tcW w:w="5596" w:type="dxa"/>
            <w:vMerge w:val="restart"/>
          </w:tcPr>
          <w:p w:rsidR="006C17CB" w:rsidRDefault="006C17CB">
            <w:pPr>
              <w:pStyle w:val="TableParagraph"/>
              <w:jc w:val="left"/>
              <w:rPr>
                <w:rFonts w:ascii="Times New Roman"/>
                <w:sz w:val="20"/>
              </w:rPr>
            </w:pPr>
          </w:p>
        </w:tc>
        <w:tc>
          <w:tcPr>
            <w:tcW w:w="2175" w:type="dxa"/>
          </w:tcPr>
          <w:p w:rsidR="006C17CB" w:rsidRDefault="0030091C">
            <w:pPr>
              <w:pStyle w:val="TableParagraph"/>
              <w:spacing w:line="180" w:lineRule="exact"/>
              <w:ind w:left="881"/>
              <w:jc w:val="left"/>
              <w:rPr>
                <w:b/>
                <w:sz w:val="20"/>
              </w:rPr>
            </w:pPr>
            <w:r>
              <w:rPr>
                <w:b/>
                <w:color w:val="003366"/>
                <w:sz w:val="20"/>
              </w:rPr>
              <w:t>Externally</w:t>
            </w:r>
          </w:p>
          <w:p w:rsidR="006C17CB" w:rsidRDefault="0030091C">
            <w:pPr>
              <w:pStyle w:val="TableParagraph"/>
              <w:spacing w:before="12" w:line="204" w:lineRule="auto"/>
              <w:ind w:left="955" w:right="448" w:hanging="111"/>
              <w:jc w:val="left"/>
              <w:rPr>
                <w:b/>
                <w:sz w:val="20"/>
              </w:rPr>
            </w:pPr>
            <w:r>
              <w:rPr>
                <w:b/>
                <w:color w:val="003366"/>
                <w:sz w:val="20"/>
              </w:rPr>
              <w:t xml:space="preserve">Purchased </w:t>
            </w:r>
            <w:r>
              <w:rPr>
                <w:b/>
                <w:color w:val="003366"/>
                <w:w w:val="95"/>
                <w:sz w:val="20"/>
              </w:rPr>
              <w:t>Software</w:t>
            </w:r>
          </w:p>
        </w:tc>
        <w:tc>
          <w:tcPr>
            <w:tcW w:w="971" w:type="dxa"/>
          </w:tcPr>
          <w:p w:rsidR="006C17CB" w:rsidRDefault="006C17CB">
            <w:pPr>
              <w:pStyle w:val="TableParagraph"/>
              <w:spacing w:before="12"/>
              <w:jc w:val="left"/>
              <w:rPr>
                <w:sz w:val="27"/>
              </w:rPr>
            </w:pPr>
          </w:p>
          <w:p w:rsidR="006C17CB" w:rsidRDefault="0030091C">
            <w:pPr>
              <w:pStyle w:val="TableParagraph"/>
              <w:spacing w:before="1"/>
              <w:ind w:right="49"/>
              <w:rPr>
                <w:b/>
                <w:sz w:val="20"/>
              </w:rPr>
            </w:pPr>
            <w:r>
              <w:rPr>
                <w:b/>
                <w:color w:val="003366"/>
                <w:sz w:val="20"/>
              </w:rPr>
              <w:t>Total</w:t>
            </w:r>
          </w:p>
        </w:tc>
      </w:tr>
      <w:tr w:rsidR="006C17CB">
        <w:trPr>
          <w:trHeight w:val="392"/>
        </w:trPr>
        <w:tc>
          <w:tcPr>
            <w:tcW w:w="5596" w:type="dxa"/>
            <w:vMerge/>
            <w:tcBorders>
              <w:top w:val="nil"/>
            </w:tcBorders>
          </w:tcPr>
          <w:p w:rsidR="006C17CB" w:rsidRDefault="006C17CB">
            <w:pPr>
              <w:rPr>
                <w:sz w:val="2"/>
                <w:szCs w:val="2"/>
              </w:rPr>
            </w:pPr>
          </w:p>
        </w:tc>
        <w:tc>
          <w:tcPr>
            <w:tcW w:w="2175" w:type="dxa"/>
          </w:tcPr>
          <w:p w:rsidR="006C17CB" w:rsidRDefault="0030091C">
            <w:pPr>
              <w:pStyle w:val="TableParagraph"/>
              <w:spacing w:line="246" w:lineRule="exact"/>
              <w:ind w:right="466"/>
              <w:rPr>
                <w:b/>
                <w:sz w:val="20"/>
              </w:rPr>
            </w:pPr>
            <w:r>
              <w:rPr>
                <w:b/>
                <w:color w:val="003366"/>
                <w:w w:val="95"/>
                <w:sz w:val="20"/>
              </w:rPr>
              <w:t>$’000</w:t>
            </w:r>
          </w:p>
        </w:tc>
        <w:tc>
          <w:tcPr>
            <w:tcW w:w="971" w:type="dxa"/>
          </w:tcPr>
          <w:p w:rsidR="006C17CB" w:rsidRDefault="0030091C">
            <w:pPr>
              <w:pStyle w:val="TableParagraph"/>
              <w:spacing w:line="246" w:lineRule="exact"/>
              <w:ind w:right="50"/>
              <w:rPr>
                <w:b/>
                <w:sz w:val="20"/>
              </w:rPr>
            </w:pPr>
            <w:r>
              <w:rPr>
                <w:b/>
                <w:color w:val="003366"/>
                <w:w w:val="95"/>
                <w:sz w:val="20"/>
              </w:rPr>
              <w:t>$’000</w:t>
            </w:r>
          </w:p>
        </w:tc>
      </w:tr>
      <w:tr w:rsidR="006C17CB">
        <w:trPr>
          <w:trHeight w:val="392"/>
        </w:trPr>
        <w:tc>
          <w:tcPr>
            <w:tcW w:w="5596" w:type="dxa"/>
          </w:tcPr>
          <w:p w:rsidR="006C17CB" w:rsidRDefault="0030091C">
            <w:pPr>
              <w:pStyle w:val="TableParagraph"/>
              <w:spacing w:before="65"/>
              <w:ind w:left="50"/>
              <w:jc w:val="left"/>
              <w:rPr>
                <w:sz w:val="20"/>
              </w:rPr>
            </w:pPr>
            <w:r>
              <w:rPr>
                <w:color w:val="003366"/>
                <w:sz w:val="20"/>
              </w:rPr>
              <w:t>Carrying Amount at the Beginning of the Reporting Period</w:t>
            </w:r>
          </w:p>
        </w:tc>
        <w:tc>
          <w:tcPr>
            <w:tcW w:w="2175" w:type="dxa"/>
          </w:tcPr>
          <w:p w:rsidR="006C17CB" w:rsidRDefault="0030091C">
            <w:pPr>
              <w:pStyle w:val="TableParagraph"/>
              <w:spacing w:before="65"/>
              <w:ind w:right="466"/>
              <w:rPr>
                <w:sz w:val="20"/>
              </w:rPr>
            </w:pPr>
            <w:r>
              <w:rPr>
                <w:color w:val="003366"/>
                <w:w w:val="95"/>
                <w:sz w:val="20"/>
              </w:rPr>
              <w:t>269</w:t>
            </w:r>
          </w:p>
        </w:tc>
        <w:tc>
          <w:tcPr>
            <w:tcW w:w="971" w:type="dxa"/>
          </w:tcPr>
          <w:p w:rsidR="006C17CB" w:rsidRDefault="0030091C">
            <w:pPr>
              <w:pStyle w:val="TableParagraph"/>
              <w:spacing w:before="65"/>
              <w:ind w:right="50"/>
              <w:rPr>
                <w:sz w:val="20"/>
              </w:rPr>
            </w:pPr>
            <w:r>
              <w:rPr>
                <w:color w:val="003366"/>
                <w:w w:val="95"/>
                <w:sz w:val="20"/>
              </w:rPr>
              <w:t>269</w:t>
            </w:r>
          </w:p>
        </w:tc>
      </w:tr>
      <w:tr w:rsidR="006C17CB">
        <w:trPr>
          <w:trHeight w:val="242"/>
        </w:trPr>
        <w:tc>
          <w:tcPr>
            <w:tcW w:w="5596" w:type="dxa"/>
          </w:tcPr>
          <w:p w:rsidR="006C17CB" w:rsidRDefault="0030091C">
            <w:pPr>
              <w:pStyle w:val="TableParagraph"/>
              <w:spacing w:line="222" w:lineRule="exact"/>
              <w:ind w:left="50"/>
              <w:jc w:val="left"/>
              <w:rPr>
                <w:sz w:val="20"/>
              </w:rPr>
            </w:pPr>
            <w:r>
              <w:rPr>
                <w:color w:val="003366"/>
                <w:sz w:val="20"/>
              </w:rPr>
              <w:t>Additions</w:t>
            </w:r>
          </w:p>
        </w:tc>
        <w:tc>
          <w:tcPr>
            <w:tcW w:w="2175" w:type="dxa"/>
          </w:tcPr>
          <w:p w:rsidR="006C17CB" w:rsidRDefault="0030091C">
            <w:pPr>
              <w:pStyle w:val="TableParagraph"/>
              <w:spacing w:line="222" w:lineRule="exact"/>
              <w:ind w:right="463"/>
              <w:rPr>
                <w:sz w:val="20"/>
              </w:rPr>
            </w:pPr>
            <w:r>
              <w:rPr>
                <w:color w:val="003366"/>
                <w:w w:val="95"/>
                <w:sz w:val="20"/>
              </w:rPr>
              <w:t>19</w:t>
            </w:r>
          </w:p>
        </w:tc>
        <w:tc>
          <w:tcPr>
            <w:tcW w:w="971" w:type="dxa"/>
          </w:tcPr>
          <w:p w:rsidR="006C17CB" w:rsidRDefault="0030091C">
            <w:pPr>
              <w:pStyle w:val="TableParagraph"/>
              <w:spacing w:line="222" w:lineRule="exact"/>
              <w:ind w:right="47"/>
              <w:rPr>
                <w:sz w:val="20"/>
              </w:rPr>
            </w:pPr>
            <w:r>
              <w:rPr>
                <w:color w:val="003366"/>
                <w:w w:val="95"/>
                <w:sz w:val="20"/>
              </w:rPr>
              <w:t>68</w:t>
            </w:r>
          </w:p>
        </w:tc>
      </w:tr>
    </w:tbl>
    <w:p w:rsidR="006C17CB" w:rsidRDefault="0030091C">
      <w:pPr>
        <w:tabs>
          <w:tab w:val="left" w:pos="6894"/>
          <w:tab w:val="left" w:pos="7724"/>
          <w:tab w:val="left" w:pos="9011"/>
        </w:tabs>
        <w:ind w:left="793"/>
        <w:rPr>
          <w:rFonts w:ascii="Calibri"/>
          <w:sz w:val="20"/>
        </w:rPr>
      </w:pPr>
      <w:r>
        <w:rPr>
          <w:rFonts w:ascii="Calibri"/>
          <w:color w:val="003366"/>
          <w:sz w:val="20"/>
        </w:rPr>
        <w:t>Amortisation</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(57)</w:t>
      </w:r>
      <w:r>
        <w:rPr>
          <w:rFonts w:ascii="Calibri"/>
          <w:color w:val="003366"/>
          <w:sz w:val="20"/>
          <w:u w:val="single" w:color="003366"/>
        </w:rPr>
        <w:tab/>
        <w:t>(106)</w:t>
      </w:r>
      <w:r>
        <w:rPr>
          <w:rFonts w:ascii="Calibri"/>
          <w:color w:val="003366"/>
          <w:spacing w:val="18"/>
          <w:sz w:val="20"/>
          <w:u w:val="single" w:color="003366"/>
        </w:rPr>
        <w:t xml:space="preserve"> </w:t>
      </w:r>
    </w:p>
    <w:p w:rsidR="006C17CB" w:rsidRDefault="0030091C">
      <w:pPr>
        <w:tabs>
          <w:tab w:val="left" w:pos="7743"/>
          <w:tab w:val="right" w:pos="9433"/>
        </w:tabs>
        <w:spacing w:before="7"/>
        <w:ind w:left="793"/>
        <w:rPr>
          <w:rFonts w:ascii="Calibri"/>
          <w:b/>
          <w:sz w:val="20"/>
        </w:rPr>
      </w:pPr>
      <w:r>
        <w:rPr>
          <w:rFonts w:ascii="Calibri"/>
          <w:b/>
          <w:color w:val="003366"/>
          <w:sz w:val="20"/>
        </w:rPr>
        <w:t>Carrying Amount at the End of the</w:t>
      </w:r>
      <w:r>
        <w:rPr>
          <w:rFonts w:ascii="Calibri"/>
          <w:b/>
          <w:color w:val="003366"/>
          <w:spacing w:val="-12"/>
          <w:sz w:val="20"/>
        </w:rPr>
        <w:t xml:space="preserve"> </w:t>
      </w:r>
      <w:r>
        <w:rPr>
          <w:rFonts w:ascii="Calibri"/>
          <w:b/>
          <w:color w:val="003366"/>
          <w:sz w:val="20"/>
        </w:rPr>
        <w:t>Reporting</w:t>
      </w:r>
      <w:r>
        <w:rPr>
          <w:rFonts w:ascii="Calibri"/>
          <w:b/>
          <w:color w:val="003366"/>
          <w:spacing w:val="-3"/>
          <w:sz w:val="20"/>
        </w:rPr>
        <w:t xml:space="preserve"> </w:t>
      </w:r>
      <w:r>
        <w:rPr>
          <w:rFonts w:ascii="Calibri"/>
          <w:b/>
          <w:color w:val="003366"/>
          <w:sz w:val="20"/>
        </w:rPr>
        <w:t>Period</w:t>
      </w:r>
      <w:r>
        <w:rPr>
          <w:rFonts w:ascii="Calibri"/>
          <w:b/>
          <w:color w:val="003366"/>
          <w:sz w:val="20"/>
        </w:rPr>
        <w:tab/>
        <w:t>231</w:t>
      </w:r>
      <w:r>
        <w:rPr>
          <w:rFonts w:ascii="Calibri"/>
          <w:b/>
          <w:color w:val="003366"/>
          <w:sz w:val="20"/>
        </w:rPr>
        <w:tab/>
        <w:t>231</w:t>
      </w:r>
    </w:p>
    <w:p w:rsidR="006C17CB" w:rsidRDefault="00FE24A7">
      <w:pPr>
        <w:pStyle w:val="BodyText"/>
        <w:spacing w:line="29" w:lineRule="exact"/>
        <w:ind w:left="6889"/>
        <w:rPr>
          <w:rFonts w:ascii="Calibri"/>
          <w:sz w:val="2"/>
        </w:rPr>
      </w:pPr>
      <w:r>
        <w:rPr>
          <w:rFonts w:ascii="Calibri"/>
          <w:sz w:val="2"/>
        </w:rPr>
      </w:r>
      <w:r>
        <w:rPr>
          <w:rFonts w:ascii="Calibri"/>
          <w:sz w:val="2"/>
        </w:rPr>
        <w:pict>
          <v:group id="_x0000_s1318" alt="" style="width:132.5pt;height:1.45pt;mso-position-horizontal-relative:char;mso-position-vertical-relative:line" coordsize="2650,29">
            <v:line id="_x0000_s1319" alt="" style="position:absolute" from="0,5" to="1262,5" strokecolor="#036" strokeweight=".48pt"/>
            <v:line id="_x0000_s1320" alt="" style="position:absolute" from="0,24" to="1262,24" strokecolor="#036" strokeweight=".16969mm"/>
            <v:rect id="_x0000_s1321" alt="" style="position:absolute;left:1262;width:29;height:10" fillcolor="#036" stroked="f"/>
            <v:rect id="_x0000_s1322" alt="" style="position:absolute;left:1262;top:19;width:29;height:10" fillcolor="#036" stroked="f"/>
            <v:line id="_x0000_s1323" alt="" style="position:absolute" from="1291,5" to="2650,5" strokecolor="#036" strokeweight=".48pt"/>
            <v:line id="_x0000_s1324" alt="" style="position:absolute" from="1291,24" to="2650,24" strokecolor="#036" strokeweight=".16969mm"/>
            <w10:anchorlock/>
          </v:group>
        </w:pict>
      </w:r>
    </w:p>
    <w:p w:rsidR="006C17CB" w:rsidRDefault="006C17CB">
      <w:pPr>
        <w:pStyle w:val="BodyText"/>
        <w:spacing w:before="1"/>
        <w:rPr>
          <w:rFonts w:ascii="Calibri"/>
          <w:b/>
        </w:rPr>
      </w:pPr>
    </w:p>
    <w:p w:rsidR="006C17CB" w:rsidRDefault="0030091C">
      <w:pPr>
        <w:ind w:left="793"/>
        <w:rPr>
          <w:rFonts w:ascii="Calibri"/>
          <w:b/>
          <w:sz w:val="20"/>
        </w:rPr>
      </w:pPr>
      <w:r>
        <w:rPr>
          <w:rFonts w:ascii="Calibri"/>
          <w:b/>
          <w:color w:val="003366"/>
          <w:sz w:val="20"/>
        </w:rPr>
        <w:t>Reconciliation of Intangible Assets</w:t>
      </w:r>
    </w:p>
    <w:p w:rsidR="006C17CB" w:rsidRDefault="0030091C">
      <w:pPr>
        <w:spacing w:before="77"/>
        <w:ind w:left="793"/>
        <w:rPr>
          <w:rFonts w:ascii="Calibri"/>
          <w:sz w:val="20"/>
        </w:rPr>
      </w:pPr>
      <w:r>
        <w:rPr>
          <w:rFonts w:ascii="Calibri"/>
          <w:color w:val="003366"/>
          <w:sz w:val="20"/>
        </w:rPr>
        <w:t>The following table shows the movement of the Intangible Assets during 2016-17.</w:t>
      </w:r>
    </w:p>
    <w:p w:rsidR="006C17CB" w:rsidRDefault="006C17CB">
      <w:pPr>
        <w:pStyle w:val="BodyText"/>
        <w:rPr>
          <w:rFonts w:ascii="Calibri"/>
          <w:sz w:val="14"/>
        </w:rPr>
      </w:pPr>
    </w:p>
    <w:tbl>
      <w:tblPr>
        <w:tblW w:w="0" w:type="auto"/>
        <w:tblInd w:w="743" w:type="dxa"/>
        <w:tblLayout w:type="fixed"/>
        <w:tblCellMar>
          <w:left w:w="0" w:type="dxa"/>
          <w:right w:w="0" w:type="dxa"/>
        </w:tblCellMar>
        <w:tblLook w:val="01E0" w:firstRow="1" w:lastRow="1" w:firstColumn="1" w:lastColumn="1" w:noHBand="0" w:noVBand="0"/>
      </w:tblPr>
      <w:tblGrid>
        <w:gridCol w:w="5596"/>
        <w:gridCol w:w="2175"/>
        <w:gridCol w:w="971"/>
      </w:tblGrid>
      <w:tr w:rsidR="006C17CB">
        <w:trPr>
          <w:trHeight w:val="729"/>
        </w:trPr>
        <w:tc>
          <w:tcPr>
            <w:tcW w:w="5596" w:type="dxa"/>
            <w:vMerge w:val="restart"/>
          </w:tcPr>
          <w:p w:rsidR="006C17CB" w:rsidRDefault="006C17CB">
            <w:pPr>
              <w:pStyle w:val="TableParagraph"/>
              <w:jc w:val="left"/>
              <w:rPr>
                <w:rFonts w:ascii="Times New Roman"/>
                <w:sz w:val="20"/>
              </w:rPr>
            </w:pPr>
          </w:p>
        </w:tc>
        <w:tc>
          <w:tcPr>
            <w:tcW w:w="2175" w:type="dxa"/>
          </w:tcPr>
          <w:p w:rsidR="006C17CB" w:rsidRDefault="0030091C">
            <w:pPr>
              <w:pStyle w:val="TableParagraph"/>
              <w:spacing w:line="180" w:lineRule="exact"/>
              <w:ind w:left="881"/>
              <w:jc w:val="left"/>
              <w:rPr>
                <w:b/>
                <w:sz w:val="20"/>
              </w:rPr>
            </w:pPr>
            <w:r>
              <w:rPr>
                <w:b/>
                <w:color w:val="003366"/>
                <w:sz w:val="20"/>
              </w:rPr>
              <w:t>Externally</w:t>
            </w:r>
          </w:p>
          <w:p w:rsidR="006C17CB" w:rsidRDefault="0030091C">
            <w:pPr>
              <w:pStyle w:val="TableParagraph"/>
              <w:spacing w:before="12" w:line="204" w:lineRule="auto"/>
              <w:ind w:left="955" w:right="448" w:hanging="111"/>
              <w:jc w:val="left"/>
              <w:rPr>
                <w:b/>
                <w:sz w:val="20"/>
              </w:rPr>
            </w:pPr>
            <w:r>
              <w:rPr>
                <w:b/>
                <w:color w:val="003366"/>
                <w:sz w:val="20"/>
              </w:rPr>
              <w:t xml:space="preserve">Purchased </w:t>
            </w:r>
            <w:r>
              <w:rPr>
                <w:b/>
                <w:color w:val="003366"/>
                <w:w w:val="95"/>
                <w:sz w:val="20"/>
              </w:rPr>
              <w:t>Software</w:t>
            </w:r>
          </w:p>
        </w:tc>
        <w:tc>
          <w:tcPr>
            <w:tcW w:w="971" w:type="dxa"/>
          </w:tcPr>
          <w:p w:rsidR="006C17CB" w:rsidRDefault="006C17CB">
            <w:pPr>
              <w:pStyle w:val="TableParagraph"/>
              <w:spacing w:before="12"/>
              <w:jc w:val="left"/>
              <w:rPr>
                <w:sz w:val="27"/>
              </w:rPr>
            </w:pPr>
          </w:p>
          <w:p w:rsidR="006C17CB" w:rsidRDefault="0030091C">
            <w:pPr>
              <w:pStyle w:val="TableParagraph"/>
              <w:spacing w:before="1"/>
              <w:ind w:right="49"/>
              <w:rPr>
                <w:b/>
                <w:sz w:val="20"/>
              </w:rPr>
            </w:pPr>
            <w:r>
              <w:rPr>
                <w:b/>
                <w:color w:val="003366"/>
                <w:sz w:val="20"/>
              </w:rPr>
              <w:t>Total</w:t>
            </w:r>
          </w:p>
        </w:tc>
      </w:tr>
      <w:tr w:rsidR="006C17CB">
        <w:trPr>
          <w:trHeight w:val="392"/>
        </w:trPr>
        <w:tc>
          <w:tcPr>
            <w:tcW w:w="5596" w:type="dxa"/>
            <w:vMerge/>
            <w:tcBorders>
              <w:top w:val="nil"/>
            </w:tcBorders>
          </w:tcPr>
          <w:p w:rsidR="006C17CB" w:rsidRDefault="006C17CB">
            <w:pPr>
              <w:rPr>
                <w:sz w:val="2"/>
                <w:szCs w:val="2"/>
              </w:rPr>
            </w:pPr>
          </w:p>
        </w:tc>
        <w:tc>
          <w:tcPr>
            <w:tcW w:w="2175" w:type="dxa"/>
          </w:tcPr>
          <w:p w:rsidR="006C17CB" w:rsidRDefault="0030091C">
            <w:pPr>
              <w:pStyle w:val="TableParagraph"/>
              <w:spacing w:line="246" w:lineRule="exact"/>
              <w:ind w:right="466"/>
              <w:rPr>
                <w:b/>
                <w:sz w:val="20"/>
              </w:rPr>
            </w:pPr>
            <w:r>
              <w:rPr>
                <w:b/>
                <w:color w:val="003366"/>
                <w:w w:val="95"/>
                <w:sz w:val="20"/>
              </w:rPr>
              <w:t>$’000</w:t>
            </w:r>
          </w:p>
        </w:tc>
        <w:tc>
          <w:tcPr>
            <w:tcW w:w="971" w:type="dxa"/>
          </w:tcPr>
          <w:p w:rsidR="006C17CB" w:rsidRDefault="0030091C">
            <w:pPr>
              <w:pStyle w:val="TableParagraph"/>
              <w:spacing w:line="246" w:lineRule="exact"/>
              <w:ind w:right="50"/>
              <w:rPr>
                <w:b/>
                <w:sz w:val="20"/>
              </w:rPr>
            </w:pPr>
            <w:r>
              <w:rPr>
                <w:b/>
                <w:color w:val="003366"/>
                <w:w w:val="95"/>
                <w:sz w:val="20"/>
              </w:rPr>
              <w:t>$’000</w:t>
            </w:r>
          </w:p>
        </w:tc>
      </w:tr>
      <w:tr w:rsidR="006C17CB">
        <w:trPr>
          <w:trHeight w:val="392"/>
        </w:trPr>
        <w:tc>
          <w:tcPr>
            <w:tcW w:w="5596" w:type="dxa"/>
          </w:tcPr>
          <w:p w:rsidR="006C17CB" w:rsidRDefault="0030091C">
            <w:pPr>
              <w:pStyle w:val="TableParagraph"/>
              <w:spacing w:before="65"/>
              <w:ind w:left="50"/>
              <w:jc w:val="left"/>
              <w:rPr>
                <w:sz w:val="20"/>
              </w:rPr>
            </w:pPr>
            <w:r>
              <w:rPr>
                <w:color w:val="003366"/>
                <w:sz w:val="20"/>
              </w:rPr>
              <w:t>Carrying Amount at the Beginning of the Reporting Period</w:t>
            </w:r>
          </w:p>
        </w:tc>
        <w:tc>
          <w:tcPr>
            <w:tcW w:w="2175" w:type="dxa"/>
          </w:tcPr>
          <w:p w:rsidR="006C17CB" w:rsidRDefault="0030091C">
            <w:pPr>
              <w:pStyle w:val="TableParagraph"/>
              <w:spacing w:before="65"/>
              <w:ind w:right="463"/>
              <w:rPr>
                <w:sz w:val="20"/>
              </w:rPr>
            </w:pPr>
            <w:r>
              <w:rPr>
                <w:color w:val="003366"/>
                <w:w w:val="95"/>
                <w:sz w:val="20"/>
              </w:rPr>
              <w:t>14</w:t>
            </w:r>
          </w:p>
        </w:tc>
        <w:tc>
          <w:tcPr>
            <w:tcW w:w="971" w:type="dxa"/>
          </w:tcPr>
          <w:p w:rsidR="006C17CB" w:rsidRDefault="0030091C">
            <w:pPr>
              <w:pStyle w:val="TableParagraph"/>
              <w:spacing w:before="65"/>
              <w:ind w:right="47"/>
              <w:rPr>
                <w:sz w:val="20"/>
              </w:rPr>
            </w:pPr>
            <w:r>
              <w:rPr>
                <w:color w:val="003366"/>
                <w:w w:val="95"/>
                <w:sz w:val="20"/>
              </w:rPr>
              <w:t>14</w:t>
            </w:r>
          </w:p>
        </w:tc>
      </w:tr>
      <w:tr w:rsidR="006C17CB">
        <w:trPr>
          <w:trHeight w:val="242"/>
        </w:trPr>
        <w:tc>
          <w:tcPr>
            <w:tcW w:w="5596" w:type="dxa"/>
          </w:tcPr>
          <w:p w:rsidR="006C17CB" w:rsidRDefault="0030091C">
            <w:pPr>
              <w:pStyle w:val="TableParagraph"/>
              <w:spacing w:line="222" w:lineRule="exact"/>
              <w:ind w:left="50"/>
              <w:jc w:val="left"/>
              <w:rPr>
                <w:sz w:val="20"/>
              </w:rPr>
            </w:pPr>
            <w:r>
              <w:rPr>
                <w:color w:val="003366"/>
                <w:sz w:val="20"/>
              </w:rPr>
              <w:t>Additions</w:t>
            </w:r>
          </w:p>
        </w:tc>
        <w:tc>
          <w:tcPr>
            <w:tcW w:w="2175" w:type="dxa"/>
          </w:tcPr>
          <w:p w:rsidR="006C17CB" w:rsidRDefault="0030091C">
            <w:pPr>
              <w:pStyle w:val="TableParagraph"/>
              <w:spacing w:line="222" w:lineRule="exact"/>
              <w:ind w:right="466"/>
              <w:rPr>
                <w:sz w:val="20"/>
              </w:rPr>
            </w:pPr>
            <w:r>
              <w:rPr>
                <w:color w:val="003366"/>
                <w:w w:val="95"/>
                <w:sz w:val="20"/>
              </w:rPr>
              <w:t>266</w:t>
            </w:r>
          </w:p>
        </w:tc>
        <w:tc>
          <w:tcPr>
            <w:tcW w:w="971" w:type="dxa"/>
          </w:tcPr>
          <w:p w:rsidR="006C17CB" w:rsidRDefault="0030091C">
            <w:pPr>
              <w:pStyle w:val="TableParagraph"/>
              <w:spacing w:line="222" w:lineRule="exact"/>
              <w:ind w:right="50"/>
              <w:rPr>
                <w:sz w:val="20"/>
              </w:rPr>
            </w:pPr>
            <w:r>
              <w:rPr>
                <w:color w:val="003366"/>
                <w:w w:val="95"/>
                <w:sz w:val="20"/>
              </w:rPr>
              <w:t>266</w:t>
            </w:r>
          </w:p>
        </w:tc>
      </w:tr>
    </w:tbl>
    <w:p w:rsidR="006C17CB" w:rsidRDefault="0030091C">
      <w:pPr>
        <w:tabs>
          <w:tab w:val="left" w:pos="6894"/>
          <w:tab w:val="left" w:pos="7724"/>
          <w:tab w:val="left" w:pos="9111"/>
        </w:tabs>
        <w:ind w:left="793"/>
        <w:rPr>
          <w:rFonts w:ascii="Calibri"/>
          <w:sz w:val="20"/>
        </w:rPr>
      </w:pPr>
      <w:r>
        <w:rPr>
          <w:rFonts w:ascii="Calibri"/>
          <w:color w:val="003366"/>
          <w:sz w:val="20"/>
        </w:rPr>
        <w:t>Amortisation</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(11)</w:t>
      </w:r>
      <w:r>
        <w:rPr>
          <w:rFonts w:ascii="Calibri"/>
          <w:color w:val="003366"/>
          <w:sz w:val="20"/>
          <w:u w:val="single" w:color="003366"/>
        </w:rPr>
        <w:tab/>
        <w:t>(11)</w:t>
      </w:r>
      <w:r>
        <w:rPr>
          <w:rFonts w:ascii="Calibri"/>
          <w:color w:val="003366"/>
          <w:spacing w:val="18"/>
          <w:sz w:val="20"/>
          <w:u w:val="single" w:color="003366"/>
        </w:rPr>
        <w:t xml:space="preserve"> </w:t>
      </w:r>
    </w:p>
    <w:p w:rsidR="006C17CB" w:rsidRDefault="0030091C">
      <w:pPr>
        <w:tabs>
          <w:tab w:val="left" w:pos="7743"/>
          <w:tab w:val="left" w:pos="9131"/>
        </w:tabs>
        <w:spacing w:before="7"/>
        <w:ind w:left="793"/>
        <w:rPr>
          <w:rFonts w:ascii="Calibri"/>
          <w:b/>
          <w:sz w:val="20"/>
        </w:rPr>
      </w:pPr>
      <w:r>
        <w:rPr>
          <w:rFonts w:ascii="Calibri"/>
          <w:b/>
          <w:color w:val="003366"/>
          <w:sz w:val="20"/>
        </w:rPr>
        <w:t>Carrying Amount at the End of the</w:t>
      </w:r>
      <w:r>
        <w:rPr>
          <w:rFonts w:ascii="Calibri"/>
          <w:b/>
          <w:color w:val="003366"/>
          <w:spacing w:val="-12"/>
          <w:sz w:val="20"/>
        </w:rPr>
        <w:t xml:space="preserve"> </w:t>
      </w:r>
      <w:r>
        <w:rPr>
          <w:rFonts w:ascii="Calibri"/>
          <w:b/>
          <w:color w:val="003366"/>
          <w:sz w:val="20"/>
        </w:rPr>
        <w:t>Reporting</w:t>
      </w:r>
      <w:r>
        <w:rPr>
          <w:rFonts w:ascii="Calibri"/>
          <w:b/>
          <w:color w:val="003366"/>
          <w:spacing w:val="-3"/>
          <w:sz w:val="20"/>
        </w:rPr>
        <w:t xml:space="preserve"> </w:t>
      </w:r>
      <w:r>
        <w:rPr>
          <w:rFonts w:ascii="Calibri"/>
          <w:b/>
          <w:color w:val="003366"/>
          <w:sz w:val="20"/>
        </w:rPr>
        <w:t>Period</w:t>
      </w:r>
      <w:r>
        <w:rPr>
          <w:rFonts w:ascii="Calibri"/>
          <w:b/>
          <w:color w:val="003366"/>
          <w:sz w:val="20"/>
        </w:rPr>
        <w:tab/>
        <w:t>269</w:t>
      </w:r>
      <w:r>
        <w:rPr>
          <w:rFonts w:ascii="Calibri"/>
          <w:b/>
          <w:color w:val="003366"/>
          <w:sz w:val="20"/>
        </w:rPr>
        <w:tab/>
        <w:t>269</w:t>
      </w:r>
    </w:p>
    <w:p w:rsidR="006C17CB" w:rsidRDefault="00FE24A7">
      <w:pPr>
        <w:pStyle w:val="BodyText"/>
        <w:spacing w:line="29" w:lineRule="exact"/>
        <w:ind w:left="6889"/>
        <w:rPr>
          <w:rFonts w:ascii="Calibri"/>
          <w:sz w:val="2"/>
        </w:rPr>
      </w:pPr>
      <w:r>
        <w:rPr>
          <w:rFonts w:ascii="Calibri"/>
          <w:sz w:val="2"/>
        </w:rPr>
      </w:r>
      <w:r>
        <w:rPr>
          <w:rFonts w:ascii="Calibri"/>
          <w:sz w:val="2"/>
        </w:rPr>
        <w:pict>
          <v:group id="_x0000_s1311" alt="" style="width:132.5pt;height:1.45pt;mso-position-horizontal-relative:char;mso-position-vertical-relative:line" coordsize="2650,29">
            <v:line id="_x0000_s1312" alt="" style="position:absolute" from="0,5" to="1262,5" strokecolor="#036" strokeweight=".48pt"/>
            <v:line id="_x0000_s1313" alt="" style="position:absolute" from="0,24" to="1262,24" strokecolor="#036" strokeweight=".17003mm"/>
            <v:rect id="_x0000_s1314" alt="" style="position:absolute;left:1262;width:29;height:10" fillcolor="#036" stroked="f"/>
            <v:rect id="_x0000_s1315" alt="" style="position:absolute;left:1262;top:19;width:29;height:10" fillcolor="#036" stroked="f"/>
            <v:line id="_x0000_s1316" alt="" style="position:absolute" from="1291,5" to="2650,5" strokecolor="#036" strokeweight=".48pt"/>
            <v:line id="_x0000_s1317" alt="" style="position:absolute" from="1291,24" to="2650,24" strokecolor="#036" strokeweight=".17003mm"/>
            <w10:anchorlock/>
          </v:group>
        </w:pict>
      </w:r>
    </w:p>
    <w:p w:rsidR="006C17CB" w:rsidRDefault="006C17CB">
      <w:pPr>
        <w:spacing w:line="29" w:lineRule="exact"/>
        <w:rPr>
          <w:rFonts w:ascii="Calibri"/>
          <w:sz w:val="2"/>
        </w:rPr>
        <w:sectPr w:rsidR="006C17CB">
          <w:pgSz w:w="11910" w:h="16840"/>
          <w:pgMar w:top="2120" w:right="0" w:bottom="720" w:left="980" w:header="1173" w:footer="523" w:gutter="0"/>
          <w:cols w:space="720"/>
        </w:sectPr>
      </w:pPr>
    </w:p>
    <w:p w:rsidR="006C17CB" w:rsidRDefault="006C17CB">
      <w:pPr>
        <w:pStyle w:val="BodyText"/>
        <w:spacing w:before="8"/>
        <w:rPr>
          <w:rFonts w:ascii="Calibri"/>
          <w:b/>
          <w:sz w:val="28"/>
        </w:rPr>
      </w:pPr>
    </w:p>
    <w:tbl>
      <w:tblPr>
        <w:tblW w:w="0" w:type="auto"/>
        <w:tblInd w:w="777" w:type="dxa"/>
        <w:tblLayout w:type="fixed"/>
        <w:tblCellMar>
          <w:left w:w="0" w:type="dxa"/>
          <w:right w:w="0" w:type="dxa"/>
        </w:tblCellMar>
        <w:tblLook w:val="01E0" w:firstRow="1" w:lastRow="1" w:firstColumn="1" w:lastColumn="1" w:noHBand="0" w:noVBand="0"/>
      </w:tblPr>
      <w:tblGrid>
        <w:gridCol w:w="6085"/>
        <w:gridCol w:w="1571"/>
        <w:gridCol w:w="1018"/>
      </w:tblGrid>
      <w:tr w:rsidR="006C17CB">
        <w:trPr>
          <w:trHeight w:val="382"/>
        </w:trPr>
        <w:tc>
          <w:tcPr>
            <w:tcW w:w="6085" w:type="dxa"/>
          </w:tcPr>
          <w:p w:rsidR="006C17CB" w:rsidRDefault="0030091C">
            <w:pPr>
              <w:pStyle w:val="TableParagraph"/>
              <w:tabs>
                <w:tab w:val="left" w:pos="1182"/>
              </w:tabs>
              <w:spacing w:line="244" w:lineRule="exact"/>
              <w:ind w:left="50"/>
              <w:jc w:val="left"/>
              <w:rPr>
                <w:b/>
                <w:sz w:val="24"/>
              </w:rPr>
            </w:pPr>
            <w:r>
              <w:rPr>
                <w:b/>
                <w:color w:val="003366"/>
                <w:sz w:val="24"/>
              </w:rPr>
              <w:t>NOTE</w:t>
            </w:r>
            <w:r>
              <w:rPr>
                <w:b/>
                <w:color w:val="003366"/>
                <w:spacing w:val="-1"/>
                <w:sz w:val="24"/>
              </w:rPr>
              <w:t xml:space="preserve"> </w:t>
            </w:r>
            <w:r>
              <w:rPr>
                <w:b/>
                <w:color w:val="003366"/>
                <w:sz w:val="24"/>
              </w:rPr>
              <w:t>15.</w:t>
            </w:r>
            <w:r>
              <w:rPr>
                <w:b/>
                <w:color w:val="003366"/>
                <w:sz w:val="24"/>
              </w:rPr>
              <w:tab/>
              <w:t>CAPITAL WORKS IN</w:t>
            </w:r>
            <w:r>
              <w:rPr>
                <w:b/>
                <w:color w:val="003366"/>
                <w:spacing w:val="-6"/>
                <w:sz w:val="24"/>
              </w:rPr>
              <w:t xml:space="preserve"> </w:t>
            </w:r>
            <w:r>
              <w:rPr>
                <w:b/>
                <w:color w:val="003366"/>
                <w:sz w:val="24"/>
              </w:rPr>
              <w:t>PROGRESS</w:t>
            </w:r>
          </w:p>
        </w:tc>
        <w:tc>
          <w:tcPr>
            <w:tcW w:w="2589" w:type="dxa"/>
            <w:gridSpan w:val="2"/>
            <w:vMerge w:val="restart"/>
          </w:tcPr>
          <w:p w:rsidR="006C17CB" w:rsidRDefault="006C17CB">
            <w:pPr>
              <w:pStyle w:val="TableParagraph"/>
              <w:jc w:val="left"/>
              <w:rPr>
                <w:rFonts w:ascii="Times New Roman"/>
                <w:sz w:val="18"/>
              </w:rPr>
            </w:pPr>
          </w:p>
        </w:tc>
      </w:tr>
      <w:tr w:rsidR="006C17CB">
        <w:trPr>
          <w:trHeight w:val="424"/>
        </w:trPr>
        <w:tc>
          <w:tcPr>
            <w:tcW w:w="6085" w:type="dxa"/>
          </w:tcPr>
          <w:p w:rsidR="006C17CB" w:rsidRDefault="0030091C">
            <w:pPr>
              <w:pStyle w:val="TableParagraph"/>
              <w:spacing w:before="57"/>
              <w:ind w:left="50"/>
              <w:jc w:val="left"/>
              <w:rPr>
                <w:sz w:val="20"/>
              </w:rPr>
            </w:pPr>
            <w:r>
              <w:rPr>
                <w:color w:val="003366"/>
                <w:sz w:val="20"/>
              </w:rPr>
              <w:t>Assets under construction includes audio equipment and software.</w:t>
            </w:r>
          </w:p>
        </w:tc>
        <w:tc>
          <w:tcPr>
            <w:tcW w:w="2589" w:type="dxa"/>
            <w:gridSpan w:val="2"/>
            <w:vMerge/>
            <w:tcBorders>
              <w:top w:val="nil"/>
            </w:tcBorders>
          </w:tcPr>
          <w:p w:rsidR="006C17CB" w:rsidRDefault="006C17CB">
            <w:pPr>
              <w:rPr>
                <w:sz w:val="2"/>
                <w:szCs w:val="2"/>
              </w:rPr>
            </w:pPr>
          </w:p>
        </w:tc>
      </w:tr>
      <w:tr w:rsidR="006C17CB">
        <w:trPr>
          <w:trHeight w:val="702"/>
        </w:trPr>
        <w:tc>
          <w:tcPr>
            <w:tcW w:w="6085" w:type="dxa"/>
          </w:tcPr>
          <w:p w:rsidR="006C17CB" w:rsidRDefault="006C17CB">
            <w:pPr>
              <w:pStyle w:val="TableParagraph"/>
              <w:jc w:val="left"/>
              <w:rPr>
                <w:rFonts w:ascii="Times New Roman"/>
                <w:sz w:val="18"/>
              </w:rPr>
            </w:pPr>
          </w:p>
        </w:tc>
        <w:tc>
          <w:tcPr>
            <w:tcW w:w="1571" w:type="dxa"/>
          </w:tcPr>
          <w:p w:rsidR="006C17CB" w:rsidRDefault="0030091C">
            <w:pPr>
              <w:pStyle w:val="TableParagraph"/>
              <w:spacing w:line="264" w:lineRule="exact"/>
              <w:ind w:left="653"/>
              <w:jc w:val="left"/>
              <w:rPr>
                <w:b/>
                <w:sz w:val="20"/>
              </w:rPr>
            </w:pPr>
            <w:r>
              <w:rPr>
                <w:b/>
                <w:color w:val="003366"/>
                <w:sz w:val="20"/>
              </w:rPr>
              <w:t>2018</w:t>
            </w:r>
          </w:p>
          <w:p w:rsidR="006C17CB" w:rsidRDefault="0030091C">
            <w:pPr>
              <w:pStyle w:val="TableParagraph"/>
              <w:spacing w:line="267" w:lineRule="exact"/>
              <w:ind w:left="603"/>
              <w:jc w:val="left"/>
              <w:rPr>
                <w:b/>
                <w:sz w:val="20"/>
              </w:rPr>
            </w:pPr>
            <w:r>
              <w:rPr>
                <w:b/>
                <w:color w:val="003366"/>
                <w:sz w:val="20"/>
              </w:rPr>
              <w:t>$’000</w:t>
            </w:r>
          </w:p>
        </w:tc>
        <w:tc>
          <w:tcPr>
            <w:tcW w:w="1018" w:type="dxa"/>
          </w:tcPr>
          <w:p w:rsidR="006C17CB" w:rsidRDefault="0030091C">
            <w:pPr>
              <w:pStyle w:val="TableParagraph"/>
              <w:spacing w:line="264" w:lineRule="exact"/>
              <w:ind w:left="563"/>
              <w:jc w:val="left"/>
              <w:rPr>
                <w:b/>
                <w:sz w:val="20"/>
              </w:rPr>
            </w:pPr>
            <w:r>
              <w:rPr>
                <w:b/>
                <w:color w:val="003366"/>
                <w:sz w:val="20"/>
              </w:rPr>
              <w:t>2017</w:t>
            </w:r>
          </w:p>
          <w:p w:rsidR="006C17CB" w:rsidRDefault="0030091C">
            <w:pPr>
              <w:pStyle w:val="TableParagraph"/>
              <w:spacing w:line="267" w:lineRule="exact"/>
              <w:ind w:left="513"/>
              <w:jc w:val="left"/>
              <w:rPr>
                <w:b/>
                <w:sz w:val="20"/>
              </w:rPr>
            </w:pPr>
            <w:r>
              <w:rPr>
                <w:b/>
                <w:color w:val="003366"/>
                <w:sz w:val="20"/>
              </w:rPr>
              <w:t>$’000</w:t>
            </w:r>
          </w:p>
        </w:tc>
      </w:tr>
      <w:tr w:rsidR="006C17CB">
        <w:trPr>
          <w:trHeight w:val="392"/>
        </w:trPr>
        <w:tc>
          <w:tcPr>
            <w:tcW w:w="6085" w:type="dxa"/>
          </w:tcPr>
          <w:p w:rsidR="006C17CB" w:rsidRDefault="0030091C">
            <w:pPr>
              <w:pStyle w:val="TableParagraph"/>
              <w:spacing w:before="108" w:line="264" w:lineRule="exact"/>
              <w:ind w:left="50"/>
              <w:jc w:val="left"/>
              <w:rPr>
                <w:sz w:val="20"/>
              </w:rPr>
            </w:pPr>
            <w:r>
              <w:rPr>
                <w:color w:val="003366"/>
                <w:sz w:val="20"/>
              </w:rPr>
              <w:t xml:space="preserve">Procedural Document Production System </w:t>
            </w:r>
            <w:r>
              <w:rPr>
                <w:color w:val="003366"/>
                <w:sz w:val="20"/>
                <w:vertAlign w:val="superscript"/>
              </w:rPr>
              <w:t>a</w:t>
            </w:r>
          </w:p>
        </w:tc>
        <w:tc>
          <w:tcPr>
            <w:tcW w:w="1571" w:type="dxa"/>
          </w:tcPr>
          <w:p w:rsidR="006C17CB" w:rsidRDefault="0030091C">
            <w:pPr>
              <w:pStyle w:val="TableParagraph"/>
              <w:spacing w:before="108" w:line="264" w:lineRule="exact"/>
              <w:ind w:left="754"/>
              <w:jc w:val="left"/>
              <w:rPr>
                <w:sz w:val="20"/>
              </w:rPr>
            </w:pPr>
            <w:r>
              <w:rPr>
                <w:color w:val="003366"/>
                <w:sz w:val="20"/>
              </w:rPr>
              <w:t>295</w:t>
            </w:r>
          </w:p>
        </w:tc>
        <w:tc>
          <w:tcPr>
            <w:tcW w:w="1018" w:type="dxa"/>
          </w:tcPr>
          <w:p w:rsidR="006C17CB" w:rsidRDefault="0030091C">
            <w:pPr>
              <w:pStyle w:val="TableParagraph"/>
              <w:spacing w:before="108" w:line="264" w:lineRule="exact"/>
              <w:ind w:left="664"/>
              <w:jc w:val="left"/>
              <w:rPr>
                <w:sz w:val="20"/>
              </w:rPr>
            </w:pPr>
            <w:r>
              <w:rPr>
                <w:color w:val="003366"/>
                <w:sz w:val="20"/>
              </w:rPr>
              <w:t>235</w:t>
            </w:r>
          </w:p>
        </w:tc>
      </w:tr>
    </w:tbl>
    <w:p w:rsidR="006C17CB" w:rsidRDefault="0030091C">
      <w:pPr>
        <w:tabs>
          <w:tab w:val="left" w:pos="6505"/>
          <w:tab w:val="left" w:pos="7859"/>
          <w:tab w:val="left" w:pos="9200"/>
        </w:tabs>
        <w:spacing w:line="287" w:lineRule="exact"/>
        <w:ind w:left="827"/>
        <w:rPr>
          <w:rFonts w:ascii="Calibri"/>
          <w:sz w:val="20"/>
        </w:rPr>
      </w:pPr>
      <w:r>
        <w:rPr>
          <w:rFonts w:ascii="Calibri"/>
          <w:color w:val="003366"/>
          <w:sz w:val="20"/>
        </w:rPr>
        <w:t>Upgrade and Expansion of</w:t>
      </w:r>
      <w:r>
        <w:rPr>
          <w:rFonts w:ascii="Calibri"/>
          <w:color w:val="003366"/>
          <w:spacing w:val="-11"/>
          <w:sz w:val="20"/>
        </w:rPr>
        <w:t xml:space="preserve"> </w:t>
      </w:r>
      <w:r>
        <w:rPr>
          <w:rFonts w:ascii="Calibri"/>
          <w:color w:val="003366"/>
          <w:sz w:val="20"/>
        </w:rPr>
        <w:t>Audio</w:t>
      </w:r>
      <w:r>
        <w:rPr>
          <w:rFonts w:ascii="Calibri"/>
          <w:color w:val="003366"/>
          <w:spacing w:val="-3"/>
          <w:sz w:val="20"/>
        </w:rPr>
        <w:t xml:space="preserve"> </w:t>
      </w:r>
      <w:r>
        <w:rPr>
          <w:rFonts w:ascii="Calibri"/>
          <w:color w:val="003366"/>
          <w:sz w:val="20"/>
        </w:rPr>
        <w:t>System</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w:t>
      </w:r>
      <w:r>
        <w:rPr>
          <w:rFonts w:ascii="Calibri"/>
          <w:color w:val="003366"/>
          <w:sz w:val="20"/>
          <w:u w:val="single" w:color="003366"/>
        </w:rPr>
        <w:tab/>
        <w:t>45</w:t>
      </w:r>
      <w:r>
        <w:rPr>
          <w:rFonts w:ascii="Calibri"/>
          <w:color w:val="003366"/>
          <w:spacing w:val="16"/>
          <w:sz w:val="20"/>
          <w:u w:val="single" w:color="003366"/>
        </w:rPr>
        <w:t xml:space="preserve"> </w:t>
      </w:r>
    </w:p>
    <w:p w:rsidR="006C17CB" w:rsidRDefault="0030091C">
      <w:pPr>
        <w:tabs>
          <w:tab w:val="left" w:pos="7616"/>
          <w:tab w:val="right" w:pos="9399"/>
        </w:tabs>
        <w:spacing w:before="7"/>
        <w:ind w:left="827"/>
        <w:rPr>
          <w:rFonts w:ascii="Calibri"/>
          <w:b/>
          <w:sz w:val="20"/>
        </w:rPr>
      </w:pPr>
      <w:r>
        <w:rPr>
          <w:rFonts w:ascii="Calibri"/>
          <w:b/>
          <w:color w:val="003366"/>
          <w:sz w:val="20"/>
        </w:rPr>
        <w:t>Total Capital Works</w:t>
      </w:r>
      <w:r>
        <w:rPr>
          <w:rFonts w:ascii="Calibri"/>
          <w:b/>
          <w:color w:val="003366"/>
          <w:spacing w:val="-6"/>
          <w:sz w:val="20"/>
        </w:rPr>
        <w:t xml:space="preserve"> </w:t>
      </w:r>
      <w:r>
        <w:rPr>
          <w:rFonts w:ascii="Calibri"/>
          <w:b/>
          <w:color w:val="003366"/>
          <w:sz w:val="20"/>
        </w:rPr>
        <w:t>in</w:t>
      </w:r>
      <w:r>
        <w:rPr>
          <w:rFonts w:ascii="Calibri"/>
          <w:b/>
          <w:color w:val="003366"/>
          <w:spacing w:val="-1"/>
          <w:sz w:val="20"/>
        </w:rPr>
        <w:t xml:space="preserve"> </w:t>
      </w:r>
      <w:r>
        <w:rPr>
          <w:rFonts w:ascii="Calibri"/>
          <w:b/>
          <w:color w:val="003366"/>
          <w:sz w:val="20"/>
        </w:rPr>
        <w:t>Progress</w:t>
      </w:r>
      <w:r>
        <w:rPr>
          <w:rFonts w:ascii="Calibri"/>
          <w:b/>
          <w:color w:val="003366"/>
          <w:sz w:val="20"/>
        </w:rPr>
        <w:tab/>
        <w:t>295</w:t>
      </w:r>
      <w:r>
        <w:rPr>
          <w:rFonts w:ascii="Calibri"/>
          <w:b/>
          <w:color w:val="003366"/>
          <w:sz w:val="20"/>
        </w:rPr>
        <w:tab/>
        <w:t>280</w:t>
      </w:r>
    </w:p>
    <w:p w:rsidR="006C17CB" w:rsidRDefault="00FE24A7">
      <w:pPr>
        <w:pStyle w:val="BodyText"/>
        <w:spacing w:line="29" w:lineRule="exact"/>
        <w:ind w:left="6500"/>
        <w:rPr>
          <w:rFonts w:ascii="Calibri"/>
          <w:sz w:val="2"/>
        </w:rPr>
      </w:pPr>
      <w:r>
        <w:rPr>
          <w:rFonts w:ascii="Calibri"/>
          <w:sz w:val="2"/>
        </w:rPr>
      </w:r>
      <w:r>
        <w:rPr>
          <w:rFonts w:ascii="Calibri"/>
          <w:sz w:val="2"/>
        </w:rPr>
        <w:pict>
          <v:group id="_x0000_s1304" alt="" style="width:150.25pt;height:1.45pt;mso-position-horizontal-relative:char;mso-position-vertical-relative:line" coordsize="3005,29">
            <v:line id="_x0000_s1305" alt="" style="position:absolute" from="0,5" to="1524,5" strokecolor="#036" strokeweight=".16969mm"/>
            <v:line id="_x0000_s1306" alt="" style="position:absolute" from="0,24" to="1524,24" strokecolor="#036" strokeweight=".48pt"/>
            <v:rect id="_x0000_s1307" alt="" style="position:absolute;left:1524;width:29;height:10" fillcolor="#036" stroked="f"/>
            <v:rect id="_x0000_s1308" alt="" style="position:absolute;left:1524;top:19;width:29;height:10" fillcolor="#036" stroked="f"/>
            <v:line id="_x0000_s1309" alt="" style="position:absolute" from="1553,5" to="3005,5" strokecolor="#036" strokeweight=".16969mm"/>
            <v:line id="_x0000_s1310" alt="" style="position:absolute" from="1553,24" to="3005,24" strokecolor="#036" strokeweight=".48pt"/>
            <w10:anchorlock/>
          </v:group>
        </w:pict>
      </w:r>
    </w:p>
    <w:p w:rsidR="006C17CB" w:rsidRDefault="006C17CB">
      <w:pPr>
        <w:pStyle w:val="BodyText"/>
        <w:spacing w:before="8"/>
        <w:rPr>
          <w:rFonts w:ascii="Calibri"/>
          <w:b/>
          <w:sz w:val="24"/>
        </w:rPr>
      </w:pPr>
    </w:p>
    <w:p w:rsidR="006C17CB" w:rsidRDefault="0030091C">
      <w:pPr>
        <w:tabs>
          <w:tab w:val="left" w:pos="1187"/>
        </w:tabs>
        <w:spacing w:line="204" w:lineRule="auto"/>
        <w:ind w:left="1187" w:right="1541" w:hanging="360"/>
        <w:rPr>
          <w:rFonts w:ascii="Calibri"/>
          <w:sz w:val="18"/>
        </w:rPr>
      </w:pPr>
      <w:r>
        <w:rPr>
          <w:rFonts w:ascii="Calibri"/>
          <w:color w:val="003366"/>
          <w:sz w:val="18"/>
        </w:rPr>
        <w:t>a)</w:t>
      </w:r>
      <w:r>
        <w:rPr>
          <w:rFonts w:ascii="Calibri"/>
          <w:color w:val="003366"/>
          <w:sz w:val="18"/>
        </w:rPr>
        <w:tab/>
        <w:t>There have been ongoing delays with the development and testing of the Procedural Document Production System. The Office is working with all parties to seek a resolution to finalise the</w:t>
      </w:r>
      <w:r>
        <w:rPr>
          <w:rFonts w:ascii="Calibri"/>
          <w:color w:val="003366"/>
          <w:spacing w:val="-16"/>
          <w:sz w:val="18"/>
        </w:rPr>
        <w:t xml:space="preserve"> </w:t>
      </w:r>
      <w:r>
        <w:rPr>
          <w:rFonts w:ascii="Calibri"/>
          <w:color w:val="003366"/>
          <w:sz w:val="18"/>
        </w:rPr>
        <w:t>project.</w:t>
      </w:r>
    </w:p>
    <w:p w:rsidR="006C17CB" w:rsidRDefault="006C17CB">
      <w:pPr>
        <w:pStyle w:val="BodyText"/>
        <w:spacing w:before="3"/>
        <w:rPr>
          <w:rFonts w:ascii="Calibri"/>
          <w:sz w:val="14"/>
        </w:rPr>
      </w:pPr>
    </w:p>
    <w:p w:rsidR="006C17CB" w:rsidRDefault="0030091C">
      <w:pPr>
        <w:ind w:left="827"/>
        <w:rPr>
          <w:rFonts w:ascii="Calibri"/>
          <w:b/>
          <w:sz w:val="20"/>
        </w:rPr>
      </w:pPr>
      <w:r>
        <w:rPr>
          <w:rFonts w:ascii="Calibri"/>
          <w:b/>
          <w:color w:val="003366"/>
          <w:sz w:val="20"/>
        </w:rPr>
        <w:t>Reconciliation Capital Works in Progress</w:t>
      </w:r>
    </w:p>
    <w:p w:rsidR="006C17CB" w:rsidRDefault="0030091C">
      <w:pPr>
        <w:spacing w:before="74"/>
        <w:ind w:left="827"/>
        <w:rPr>
          <w:rFonts w:ascii="Calibri"/>
          <w:sz w:val="20"/>
        </w:rPr>
      </w:pPr>
      <w:r>
        <w:rPr>
          <w:rFonts w:ascii="Calibri"/>
          <w:color w:val="003366"/>
          <w:sz w:val="20"/>
        </w:rPr>
        <w:t>The following table shows the movement of the Capital Works in Progress during 2017-18.</w:t>
      </w:r>
    </w:p>
    <w:p w:rsidR="006C17CB" w:rsidRDefault="006C17CB">
      <w:pPr>
        <w:pStyle w:val="BodyText"/>
        <w:spacing w:before="9" w:after="1"/>
        <w:rPr>
          <w:rFonts w:ascii="Calibri"/>
          <w:sz w:val="12"/>
        </w:rPr>
      </w:pPr>
    </w:p>
    <w:tbl>
      <w:tblPr>
        <w:tblW w:w="0" w:type="auto"/>
        <w:tblInd w:w="777" w:type="dxa"/>
        <w:tblLayout w:type="fixed"/>
        <w:tblCellMar>
          <w:left w:w="0" w:type="dxa"/>
          <w:right w:w="0" w:type="dxa"/>
        </w:tblCellMar>
        <w:tblLook w:val="01E0" w:firstRow="1" w:lastRow="1" w:firstColumn="1" w:lastColumn="1" w:noHBand="0" w:noVBand="0"/>
      </w:tblPr>
      <w:tblGrid>
        <w:gridCol w:w="2500"/>
        <w:gridCol w:w="2572"/>
        <w:gridCol w:w="1333"/>
        <w:gridCol w:w="892"/>
      </w:tblGrid>
      <w:tr w:rsidR="006C17CB">
        <w:trPr>
          <w:trHeight w:val="419"/>
        </w:trPr>
        <w:tc>
          <w:tcPr>
            <w:tcW w:w="2500" w:type="dxa"/>
            <w:vMerge w:val="restart"/>
          </w:tcPr>
          <w:p w:rsidR="006C17CB" w:rsidRDefault="006C17CB">
            <w:pPr>
              <w:pStyle w:val="TableParagraph"/>
              <w:jc w:val="left"/>
              <w:rPr>
                <w:rFonts w:ascii="Times New Roman"/>
                <w:sz w:val="18"/>
              </w:rPr>
            </w:pPr>
          </w:p>
        </w:tc>
        <w:tc>
          <w:tcPr>
            <w:tcW w:w="2572" w:type="dxa"/>
          </w:tcPr>
          <w:p w:rsidR="006C17CB" w:rsidRDefault="0030091C">
            <w:pPr>
              <w:pStyle w:val="TableParagraph"/>
              <w:spacing w:before="160" w:line="240" w:lineRule="exact"/>
              <w:ind w:right="197"/>
              <w:rPr>
                <w:b/>
                <w:sz w:val="18"/>
              </w:rPr>
            </w:pPr>
            <w:r>
              <w:rPr>
                <w:b/>
                <w:color w:val="003366"/>
                <w:sz w:val="18"/>
              </w:rPr>
              <w:t>Procedural</w:t>
            </w:r>
          </w:p>
        </w:tc>
        <w:tc>
          <w:tcPr>
            <w:tcW w:w="1333" w:type="dxa"/>
          </w:tcPr>
          <w:p w:rsidR="006C17CB" w:rsidRDefault="0030091C">
            <w:pPr>
              <w:pStyle w:val="TableParagraph"/>
              <w:spacing w:line="178" w:lineRule="exact"/>
              <w:ind w:left="317"/>
              <w:jc w:val="left"/>
              <w:rPr>
                <w:b/>
                <w:sz w:val="18"/>
              </w:rPr>
            </w:pPr>
            <w:r>
              <w:rPr>
                <w:b/>
                <w:color w:val="003366"/>
                <w:sz w:val="18"/>
              </w:rPr>
              <w:t>Upgrade</w:t>
            </w:r>
          </w:p>
          <w:p w:rsidR="006C17CB" w:rsidRDefault="0030091C">
            <w:pPr>
              <w:pStyle w:val="TableParagraph"/>
              <w:spacing w:line="222" w:lineRule="exact"/>
              <w:ind w:left="677"/>
              <w:jc w:val="left"/>
              <w:rPr>
                <w:b/>
                <w:sz w:val="18"/>
              </w:rPr>
            </w:pPr>
            <w:r>
              <w:rPr>
                <w:b/>
                <w:color w:val="003366"/>
                <w:sz w:val="18"/>
              </w:rPr>
              <w:t>and</w:t>
            </w:r>
          </w:p>
        </w:tc>
        <w:tc>
          <w:tcPr>
            <w:tcW w:w="892" w:type="dxa"/>
          </w:tcPr>
          <w:p w:rsidR="006C17CB" w:rsidRDefault="006C17CB">
            <w:pPr>
              <w:pStyle w:val="TableParagraph"/>
              <w:jc w:val="left"/>
              <w:rPr>
                <w:rFonts w:ascii="Times New Roman"/>
                <w:sz w:val="18"/>
              </w:rPr>
            </w:pPr>
          </w:p>
        </w:tc>
      </w:tr>
      <w:tr w:rsidR="006C17CB">
        <w:trPr>
          <w:trHeight w:val="678"/>
        </w:trPr>
        <w:tc>
          <w:tcPr>
            <w:tcW w:w="2500" w:type="dxa"/>
            <w:vMerge/>
            <w:tcBorders>
              <w:top w:val="nil"/>
            </w:tcBorders>
          </w:tcPr>
          <w:p w:rsidR="006C17CB" w:rsidRDefault="006C17CB">
            <w:pPr>
              <w:rPr>
                <w:sz w:val="2"/>
                <w:szCs w:val="2"/>
              </w:rPr>
            </w:pPr>
          </w:p>
        </w:tc>
        <w:tc>
          <w:tcPr>
            <w:tcW w:w="2572" w:type="dxa"/>
          </w:tcPr>
          <w:p w:rsidR="006C17CB" w:rsidRDefault="0030091C">
            <w:pPr>
              <w:pStyle w:val="TableParagraph"/>
              <w:spacing w:line="201" w:lineRule="auto"/>
              <w:ind w:left="1548" w:right="197" w:firstLine="48"/>
              <w:rPr>
                <w:b/>
                <w:sz w:val="18"/>
              </w:rPr>
            </w:pPr>
            <w:r>
              <w:rPr>
                <w:b/>
                <w:color w:val="003366"/>
                <w:sz w:val="18"/>
              </w:rPr>
              <w:t>Document Production</w:t>
            </w:r>
          </w:p>
          <w:p w:rsidR="006C17CB" w:rsidRDefault="0030091C">
            <w:pPr>
              <w:pStyle w:val="TableParagraph"/>
              <w:spacing w:line="229" w:lineRule="exact"/>
              <w:ind w:right="198"/>
              <w:rPr>
                <w:b/>
                <w:sz w:val="18"/>
              </w:rPr>
            </w:pPr>
            <w:r>
              <w:rPr>
                <w:b/>
                <w:color w:val="003366"/>
                <w:sz w:val="18"/>
              </w:rPr>
              <w:t>System</w:t>
            </w:r>
          </w:p>
        </w:tc>
        <w:tc>
          <w:tcPr>
            <w:tcW w:w="1333" w:type="dxa"/>
          </w:tcPr>
          <w:p w:rsidR="006C17CB" w:rsidRDefault="0030091C">
            <w:pPr>
              <w:pStyle w:val="TableParagraph"/>
              <w:spacing w:line="204" w:lineRule="auto"/>
              <w:ind w:left="322" w:right="371" w:hanging="123"/>
              <w:jc w:val="both"/>
              <w:rPr>
                <w:b/>
                <w:sz w:val="18"/>
              </w:rPr>
            </w:pPr>
            <w:r>
              <w:rPr>
                <w:b/>
                <w:color w:val="003366"/>
                <w:sz w:val="18"/>
              </w:rPr>
              <w:t>Expansion of Audio System</w:t>
            </w:r>
          </w:p>
        </w:tc>
        <w:tc>
          <w:tcPr>
            <w:tcW w:w="892" w:type="dxa"/>
          </w:tcPr>
          <w:p w:rsidR="006C17CB" w:rsidRDefault="006C17CB">
            <w:pPr>
              <w:pStyle w:val="TableParagraph"/>
              <w:jc w:val="left"/>
              <w:rPr>
                <w:sz w:val="18"/>
              </w:rPr>
            </w:pPr>
          </w:p>
          <w:p w:rsidR="006C17CB" w:rsidRDefault="0030091C">
            <w:pPr>
              <w:pStyle w:val="TableParagraph"/>
              <w:spacing w:before="138"/>
              <w:ind w:right="106"/>
              <w:rPr>
                <w:b/>
                <w:sz w:val="18"/>
              </w:rPr>
            </w:pPr>
            <w:r>
              <w:rPr>
                <w:b/>
                <w:color w:val="003366"/>
                <w:sz w:val="18"/>
              </w:rPr>
              <w:t>Total</w:t>
            </w:r>
          </w:p>
        </w:tc>
      </w:tr>
      <w:tr w:rsidR="006C17CB">
        <w:trPr>
          <w:trHeight w:val="260"/>
        </w:trPr>
        <w:tc>
          <w:tcPr>
            <w:tcW w:w="2500" w:type="dxa"/>
            <w:vMerge/>
            <w:tcBorders>
              <w:top w:val="nil"/>
            </w:tcBorders>
          </w:tcPr>
          <w:p w:rsidR="006C17CB" w:rsidRDefault="006C17CB">
            <w:pPr>
              <w:rPr>
                <w:sz w:val="2"/>
                <w:szCs w:val="2"/>
              </w:rPr>
            </w:pPr>
          </w:p>
        </w:tc>
        <w:tc>
          <w:tcPr>
            <w:tcW w:w="2572" w:type="dxa"/>
          </w:tcPr>
          <w:p w:rsidR="006C17CB" w:rsidRDefault="0030091C">
            <w:pPr>
              <w:pStyle w:val="TableParagraph"/>
              <w:spacing w:line="238" w:lineRule="exact"/>
              <w:ind w:right="198"/>
              <w:rPr>
                <w:b/>
                <w:sz w:val="18"/>
              </w:rPr>
            </w:pPr>
            <w:r>
              <w:rPr>
                <w:b/>
                <w:color w:val="003366"/>
                <w:sz w:val="18"/>
              </w:rPr>
              <w:t>$’000</w:t>
            </w:r>
          </w:p>
        </w:tc>
        <w:tc>
          <w:tcPr>
            <w:tcW w:w="1333" w:type="dxa"/>
          </w:tcPr>
          <w:p w:rsidR="006C17CB" w:rsidRDefault="0030091C">
            <w:pPr>
              <w:pStyle w:val="TableParagraph"/>
              <w:spacing w:line="238" w:lineRule="exact"/>
              <w:ind w:right="371"/>
              <w:rPr>
                <w:b/>
                <w:sz w:val="18"/>
              </w:rPr>
            </w:pPr>
            <w:r>
              <w:rPr>
                <w:b/>
                <w:color w:val="003366"/>
                <w:sz w:val="18"/>
              </w:rPr>
              <w:t>$’000</w:t>
            </w:r>
          </w:p>
        </w:tc>
        <w:tc>
          <w:tcPr>
            <w:tcW w:w="892" w:type="dxa"/>
          </w:tcPr>
          <w:p w:rsidR="006C17CB" w:rsidRDefault="0030091C">
            <w:pPr>
              <w:pStyle w:val="TableParagraph"/>
              <w:spacing w:line="238" w:lineRule="exact"/>
              <w:ind w:right="104"/>
              <w:rPr>
                <w:b/>
                <w:sz w:val="18"/>
              </w:rPr>
            </w:pPr>
            <w:r>
              <w:rPr>
                <w:b/>
                <w:color w:val="003366"/>
                <w:sz w:val="18"/>
              </w:rPr>
              <w:t>$’000</w:t>
            </w:r>
          </w:p>
        </w:tc>
      </w:tr>
      <w:tr w:rsidR="006C17CB">
        <w:trPr>
          <w:trHeight w:val="810"/>
        </w:trPr>
        <w:tc>
          <w:tcPr>
            <w:tcW w:w="2500" w:type="dxa"/>
          </w:tcPr>
          <w:p w:rsidR="006C17CB" w:rsidRDefault="0030091C">
            <w:pPr>
              <w:pStyle w:val="TableParagraph"/>
              <w:spacing w:before="13" w:line="201" w:lineRule="auto"/>
              <w:ind w:left="333" w:hanging="284"/>
              <w:jc w:val="left"/>
              <w:rPr>
                <w:b/>
                <w:sz w:val="18"/>
              </w:rPr>
            </w:pPr>
            <w:r>
              <w:rPr>
                <w:b/>
                <w:color w:val="003366"/>
                <w:sz w:val="18"/>
              </w:rPr>
              <w:t>Carrying Amount at the Beginning of the Reporting Period</w:t>
            </w:r>
          </w:p>
        </w:tc>
        <w:tc>
          <w:tcPr>
            <w:tcW w:w="2572" w:type="dxa"/>
          </w:tcPr>
          <w:p w:rsidR="006C17CB" w:rsidRDefault="006C17CB">
            <w:pPr>
              <w:pStyle w:val="TableParagraph"/>
              <w:jc w:val="left"/>
              <w:rPr>
                <w:sz w:val="18"/>
              </w:rPr>
            </w:pPr>
          </w:p>
          <w:p w:rsidR="006C17CB" w:rsidRDefault="0030091C">
            <w:pPr>
              <w:pStyle w:val="TableParagraph"/>
              <w:spacing w:before="159"/>
              <w:ind w:right="198"/>
              <w:rPr>
                <w:b/>
                <w:sz w:val="18"/>
              </w:rPr>
            </w:pPr>
            <w:r>
              <w:rPr>
                <w:b/>
                <w:color w:val="003366"/>
                <w:sz w:val="18"/>
              </w:rPr>
              <w:t>235</w:t>
            </w:r>
          </w:p>
        </w:tc>
        <w:tc>
          <w:tcPr>
            <w:tcW w:w="1333" w:type="dxa"/>
          </w:tcPr>
          <w:p w:rsidR="006C17CB" w:rsidRDefault="006C17CB">
            <w:pPr>
              <w:pStyle w:val="TableParagraph"/>
              <w:jc w:val="left"/>
              <w:rPr>
                <w:sz w:val="18"/>
              </w:rPr>
            </w:pPr>
          </w:p>
          <w:p w:rsidR="006C17CB" w:rsidRDefault="0030091C">
            <w:pPr>
              <w:pStyle w:val="TableParagraph"/>
              <w:spacing w:before="159"/>
              <w:ind w:right="372"/>
              <w:rPr>
                <w:b/>
                <w:sz w:val="18"/>
              </w:rPr>
            </w:pPr>
            <w:r>
              <w:rPr>
                <w:b/>
                <w:color w:val="003366"/>
                <w:sz w:val="18"/>
              </w:rPr>
              <w:t>45</w:t>
            </w:r>
          </w:p>
        </w:tc>
        <w:tc>
          <w:tcPr>
            <w:tcW w:w="892" w:type="dxa"/>
          </w:tcPr>
          <w:p w:rsidR="006C17CB" w:rsidRDefault="006C17CB">
            <w:pPr>
              <w:pStyle w:val="TableParagraph"/>
              <w:jc w:val="left"/>
              <w:rPr>
                <w:sz w:val="18"/>
              </w:rPr>
            </w:pPr>
          </w:p>
          <w:p w:rsidR="006C17CB" w:rsidRDefault="0030091C">
            <w:pPr>
              <w:pStyle w:val="TableParagraph"/>
              <w:spacing w:before="159"/>
              <w:ind w:right="104"/>
              <w:rPr>
                <w:b/>
                <w:sz w:val="18"/>
              </w:rPr>
            </w:pPr>
            <w:r>
              <w:rPr>
                <w:b/>
                <w:color w:val="003366"/>
                <w:sz w:val="18"/>
              </w:rPr>
              <w:t>280</w:t>
            </w:r>
          </w:p>
        </w:tc>
      </w:tr>
      <w:tr w:rsidR="006C17CB">
        <w:trPr>
          <w:trHeight w:val="369"/>
        </w:trPr>
        <w:tc>
          <w:tcPr>
            <w:tcW w:w="2500" w:type="dxa"/>
          </w:tcPr>
          <w:p w:rsidR="006C17CB" w:rsidRDefault="0030091C">
            <w:pPr>
              <w:pStyle w:val="TableParagraph"/>
              <w:spacing w:before="89"/>
              <w:ind w:left="50"/>
              <w:jc w:val="left"/>
              <w:rPr>
                <w:sz w:val="18"/>
              </w:rPr>
            </w:pPr>
            <w:r>
              <w:rPr>
                <w:color w:val="003366"/>
                <w:sz w:val="18"/>
              </w:rPr>
              <w:t>Additions</w:t>
            </w:r>
          </w:p>
        </w:tc>
        <w:tc>
          <w:tcPr>
            <w:tcW w:w="2572" w:type="dxa"/>
          </w:tcPr>
          <w:p w:rsidR="006C17CB" w:rsidRDefault="0030091C">
            <w:pPr>
              <w:pStyle w:val="TableParagraph"/>
              <w:spacing w:before="89"/>
              <w:ind w:right="198"/>
              <w:rPr>
                <w:sz w:val="18"/>
              </w:rPr>
            </w:pPr>
            <w:r>
              <w:rPr>
                <w:color w:val="003366"/>
                <w:sz w:val="18"/>
              </w:rPr>
              <w:t>60</w:t>
            </w:r>
          </w:p>
        </w:tc>
        <w:tc>
          <w:tcPr>
            <w:tcW w:w="1333" w:type="dxa"/>
          </w:tcPr>
          <w:p w:rsidR="006C17CB" w:rsidRDefault="0030091C">
            <w:pPr>
              <w:pStyle w:val="TableParagraph"/>
              <w:spacing w:before="89"/>
              <w:ind w:right="372"/>
              <w:rPr>
                <w:sz w:val="18"/>
              </w:rPr>
            </w:pPr>
            <w:r>
              <w:rPr>
                <w:color w:val="003366"/>
                <w:sz w:val="18"/>
              </w:rPr>
              <w:t>59</w:t>
            </w:r>
          </w:p>
        </w:tc>
        <w:tc>
          <w:tcPr>
            <w:tcW w:w="892" w:type="dxa"/>
          </w:tcPr>
          <w:p w:rsidR="006C17CB" w:rsidRDefault="0030091C">
            <w:pPr>
              <w:pStyle w:val="TableParagraph"/>
              <w:spacing w:before="89"/>
              <w:ind w:right="104"/>
              <w:rPr>
                <w:sz w:val="18"/>
              </w:rPr>
            </w:pPr>
            <w:r>
              <w:rPr>
                <w:color w:val="003366"/>
                <w:sz w:val="18"/>
              </w:rPr>
              <w:t>119</w:t>
            </w:r>
          </w:p>
        </w:tc>
      </w:tr>
      <w:tr w:rsidR="006C17CB">
        <w:trPr>
          <w:trHeight w:val="661"/>
        </w:trPr>
        <w:tc>
          <w:tcPr>
            <w:tcW w:w="2500" w:type="dxa"/>
          </w:tcPr>
          <w:p w:rsidR="006C17CB" w:rsidRDefault="0030091C">
            <w:pPr>
              <w:pStyle w:val="TableParagraph"/>
              <w:spacing w:before="12" w:line="201" w:lineRule="auto"/>
              <w:ind w:left="333" w:right="98" w:hanging="284"/>
              <w:jc w:val="left"/>
              <w:rPr>
                <w:sz w:val="18"/>
              </w:rPr>
            </w:pPr>
            <w:r>
              <w:rPr>
                <w:color w:val="003366"/>
                <w:sz w:val="18"/>
              </w:rPr>
              <w:t>Transfers to Property, Plant and Equipment and Intangibles</w:t>
            </w:r>
          </w:p>
        </w:tc>
        <w:tc>
          <w:tcPr>
            <w:tcW w:w="2572" w:type="dxa"/>
            <w:tcBorders>
              <w:bottom w:val="single" w:sz="4" w:space="0" w:color="003366"/>
            </w:tcBorders>
          </w:tcPr>
          <w:p w:rsidR="006C17CB" w:rsidRDefault="006C17CB">
            <w:pPr>
              <w:pStyle w:val="TableParagraph"/>
              <w:spacing w:before="9"/>
              <w:jc w:val="left"/>
              <w:rPr>
                <w:sz w:val="13"/>
              </w:rPr>
            </w:pPr>
          </w:p>
          <w:p w:rsidR="006C17CB" w:rsidRDefault="0030091C">
            <w:pPr>
              <w:pStyle w:val="TableParagraph"/>
              <w:spacing w:before="1"/>
              <w:ind w:right="198"/>
              <w:rPr>
                <w:sz w:val="18"/>
              </w:rPr>
            </w:pPr>
            <w:r>
              <w:rPr>
                <w:color w:val="003366"/>
                <w:sz w:val="18"/>
              </w:rPr>
              <w:t>-</w:t>
            </w:r>
          </w:p>
        </w:tc>
        <w:tc>
          <w:tcPr>
            <w:tcW w:w="1333" w:type="dxa"/>
            <w:tcBorders>
              <w:bottom w:val="single" w:sz="4" w:space="0" w:color="003366"/>
            </w:tcBorders>
          </w:tcPr>
          <w:p w:rsidR="006C17CB" w:rsidRDefault="006C17CB">
            <w:pPr>
              <w:pStyle w:val="TableParagraph"/>
              <w:spacing w:before="9"/>
              <w:jc w:val="left"/>
              <w:rPr>
                <w:sz w:val="13"/>
              </w:rPr>
            </w:pPr>
          </w:p>
          <w:p w:rsidR="006C17CB" w:rsidRDefault="0030091C">
            <w:pPr>
              <w:pStyle w:val="TableParagraph"/>
              <w:spacing w:before="1"/>
              <w:ind w:right="372"/>
              <w:rPr>
                <w:sz w:val="18"/>
              </w:rPr>
            </w:pPr>
            <w:r>
              <w:rPr>
                <w:color w:val="003366"/>
                <w:sz w:val="18"/>
              </w:rPr>
              <w:t>(104)</w:t>
            </w:r>
          </w:p>
        </w:tc>
        <w:tc>
          <w:tcPr>
            <w:tcW w:w="892" w:type="dxa"/>
            <w:tcBorders>
              <w:bottom w:val="single" w:sz="4" w:space="0" w:color="003366"/>
            </w:tcBorders>
          </w:tcPr>
          <w:p w:rsidR="006C17CB" w:rsidRDefault="006C17CB">
            <w:pPr>
              <w:pStyle w:val="TableParagraph"/>
              <w:spacing w:before="9"/>
              <w:jc w:val="left"/>
              <w:rPr>
                <w:sz w:val="13"/>
              </w:rPr>
            </w:pPr>
          </w:p>
          <w:p w:rsidR="006C17CB" w:rsidRDefault="0030091C">
            <w:pPr>
              <w:pStyle w:val="TableParagraph"/>
              <w:spacing w:before="1"/>
              <w:ind w:right="105"/>
              <w:rPr>
                <w:sz w:val="18"/>
              </w:rPr>
            </w:pPr>
            <w:r>
              <w:rPr>
                <w:color w:val="003366"/>
                <w:sz w:val="18"/>
              </w:rPr>
              <w:t>(104)</w:t>
            </w:r>
          </w:p>
        </w:tc>
      </w:tr>
      <w:tr w:rsidR="006C17CB">
        <w:trPr>
          <w:trHeight w:val="256"/>
        </w:trPr>
        <w:tc>
          <w:tcPr>
            <w:tcW w:w="2500" w:type="dxa"/>
          </w:tcPr>
          <w:p w:rsidR="006C17CB" w:rsidRDefault="0030091C">
            <w:pPr>
              <w:pStyle w:val="TableParagraph"/>
              <w:spacing w:before="15" w:line="221" w:lineRule="exact"/>
              <w:ind w:left="50"/>
              <w:jc w:val="left"/>
              <w:rPr>
                <w:b/>
                <w:sz w:val="18"/>
              </w:rPr>
            </w:pPr>
            <w:r>
              <w:rPr>
                <w:b/>
                <w:color w:val="003366"/>
                <w:sz w:val="18"/>
              </w:rPr>
              <w:t>Carrying Amount at the End of</w:t>
            </w:r>
          </w:p>
        </w:tc>
        <w:tc>
          <w:tcPr>
            <w:tcW w:w="2572" w:type="dxa"/>
            <w:tcBorders>
              <w:top w:val="single" w:sz="4" w:space="0" w:color="003366"/>
            </w:tcBorders>
          </w:tcPr>
          <w:p w:rsidR="006C17CB" w:rsidRDefault="006C17CB">
            <w:pPr>
              <w:pStyle w:val="TableParagraph"/>
              <w:jc w:val="left"/>
              <w:rPr>
                <w:rFonts w:ascii="Times New Roman"/>
                <w:sz w:val="18"/>
              </w:rPr>
            </w:pPr>
          </w:p>
        </w:tc>
        <w:tc>
          <w:tcPr>
            <w:tcW w:w="1333" w:type="dxa"/>
            <w:tcBorders>
              <w:top w:val="single" w:sz="4" w:space="0" w:color="003366"/>
            </w:tcBorders>
          </w:tcPr>
          <w:p w:rsidR="006C17CB" w:rsidRDefault="006C17CB">
            <w:pPr>
              <w:pStyle w:val="TableParagraph"/>
              <w:jc w:val="left"/>
              <w:rPr>
                <w:rFonts w:ascii="Times New Roman"/>
                <w:sz w:val="18"/>
              </w:rPr>
            </w:pPr>
          </w:p>
        </w:tc>
        <w:tc>
          <w:tcPr>
            <w:tcW w:w="892" w:type="dxa"/>
            <w:tcBorders>
              <w:top w:val="single" w:sz="4" w:space="0" w:color="003366"/>
            </w:tcBorders>
          </w:tcPr>
          <w:p w:rsidR="006C17CB" w:rsidRDefault="006C17CB">
            <w:pPr>
              <w:pStyle w:val="TableParagraph"/>
              <w:jc w:val="left"/>
              <w:rPr>
                <w:rFonts w:ascii="Times New Roman"/>
                <w:sz w:val="18"/>
              </w:rPr>
            </w:pPr>
          </w:p>
        </w:tc>
      </w:tr>
    </w:tbl>
    <w:p w:rsidR="006C17CB" w:rsidRDefault="0030091C">
      <w:pPr>
        <w:tabs>
          <w:tab w:val="left" w:pos="5375"/>
          <w:tab w:val="left" w:pos="6752"/>
          <w:tab w:val="left" w:pos="7693"/>
        </w:tabs>
        <w:ind w:left="1110"/>
        <w:rPr>
          <w:rFonts w:ascii="Calibri"/>
          <w:b/>
          <w:sz w:val="18"/>
        </w:rPr>
      </w:pPr>
      <w:r>
        <w:rPr>
          <w:rFonts w:ascii="Calibri"/>
          <w:b/>
          <w:color w:val="003366"/>
          <w:sz w:val="18"/>
        </w:rPr>
        <w:t>the</w:t>
      </w:r>
      <w:r>
        <w:rPr>
          <w:rFonts w:ascii="Calibri"/>
          <w:b/>
          <w:color w:val="003366"/>
          <w:spacing w:val="-2"/>
          <w:sz w:val="18"/>
        </w:rPr>
        <w:t xml:space="preserve"> </w:t>
      </w:r>
      <w:r>
        <w:rPr>
          <w:rFonts w:ascii="Calibri"/>
          <w:b/>
          <w:color w:val="003366"/>
          <w:sz w:val="18"/>
        </w:rPr>
        <w:t>Reporting</w:t>
      </w:r>
      <w:r>
        <w:rPr>
          <w:rFonts w:ascii="Calibri"/>
          <w:b/>
          <w:color w:val="003366"/>
          <w:spacing w:val="-1"/>
          <w:sz w:val="18"/>
        </w:rPr>
        <w:t xml:space="preserve"> </w:t>
      </w:r>
      <w:r>
        <w:rPr>
          <w:rFonts w:ascii="Calibri"/>
          <w:b/>
          <w:color w:val="003366"/>
          <w:sz w:val="18"/>
        </w:rPr>
        <w:t>Period</w:t>
      </w:r>
      <w:r>
        <w:rPr>
          <w:rFonts w:ascii="Calibri"/>
          <w:b/>
          <w:color w:val="003366"/>
          <w:sz w:val="18"/>
        </w:rPr>
        <w:tab/>
        <w:t>295</w:t>
      </w:r>
      <w:r>
        <w:rPr>
          <w:rFonts w:ascii="Calibri"/>
          <w:b/>
          <w:color w:val="003366"/>
          <w:sz w:val="18"/>
        </w:rPr>
        <w:tab/>
        <w:t>-</w:t>
      </w:r>
      <w:r>
        <w:rPr>
          <w:rFonts w:ascii="Calibri"/>
          <w:b/>
          <w:color w:val="003366"/>
          <w:sz w:val="18"/>
        </w:rPr>
        <w:tab/>
        <w:t>295</w:t>
      </w:r>
    </w:p>
    <w:p w:rsidR="006C17CB" w:rsidRDefault="00FE24A7">
      <w:pPr>
        <w:pStyle w:val="BodyText"/>
        <w:spacing w:line="29" w:lineRule="exact"/>
        <w:ind w:left="3258"/>
        <w:rPr>
          <w:rFonts w:ascii="Calibri"/>
          <w:sz w:val="2"/>
        </w:rPr>
      </w:pPr>
      <w:r>
        <w:rPr>
          <w:rFonts w:ascii="Calibri"/>
          <w:sz w:val="2"/>
        </w:rPr>
      </w:r>
      <w:r>
        <w:rPr>
          <w:rFonts w:ascii="Calibri"/>
          <w:sz w:val="2"/>
        </w:rPr>
        <w:pict>
          <v:group id="_x0000_s1289" alt="" style="width:240.6pt;height:1.45pt;mso-position-horizontal-relative:char;mso-position-vertical-relative:line" coordsize="4812,29">
            <v:line id="_x0000_s1290" alt="" style="position:absolute" from="0,24" to="1337,24" strokecolor="#036" strokeweight=".17003mm"/>
            <v:line id="_x0000_s1291" alt="" style="position:absolute" from="0,5" to="1337,5" strokecolor="#036" strokeweight=".48pt"/>
            <v:rect id="_x0000_s1292" alt="" style="position:absolute;left:1322;width:29;height:10" fillcolor="#036" stroked="f"/>
            <v:rect id="_x0000_s1293" alt="" style="position:absolute;left:1322;top:19;width:29;height:10" fillcolor="#036" stroked="f"/>
            <v:line id="_x0000_s1294" alt="" style="position:absolute" from="1351,24" to="2494,24" strokecolor="#036" strokeweight=".17003mm"/>
            <v:line id="_x0000_s1295" alt="" style="position:absolute" from="1351,5" to="2494,5" strokecolor="#036" strokeweight=".48pt"/>
            <v:rect id="_x0000_s1296" alt="" style="position:absolute;left:2479;width:29;height:10" fillcolor="#036" stroked="f"/>
            <v:rect id="_x0000_s1297" alt="" style="position:absolute;left:2479;top:19;width:29;height:10" fillcolor="#036" stroked="f"/>
            <v:line id="_x0000_s1298" alt="" style="position:absolute" from="2508,24" to="3653,24" strokecolor="#036" strokeweight=".17003mm"/>
            <v:line id="_x0000_s1299" alt="" style="position:absolute" from="2508,5" to="3653,5" strokecolor="#036" strokeweight=".48pt"/>
            <v:rect id="_x0000_s1300" alt="" style="position:absolute;left:3638;width:29;height:10" fillcolor="#036" stroked="f"/>
            <v:rect id="_x0000_s1301" alt="" style="position:absolute;left:3638;top:19;width:29;height:10" fillcolor="#036" stroked="f"/>
            <v:line id="_x0000_s1302" alt="" style="position:absolute" from="3667,24" to="4812,24" strokecolor="#036" strokeweight=".17003mm"/>
            <v:line id="_x0000_s1303" alt="" style="position:absolute" from="3667,5" to="4812,5" strokecolor="#036" strokeweight=".48pt"/>
            <w10:anchorlock/>
          </v:group>
        </w:pict>
      </w:r>
    </w:p>
    <w:p w:rsidR="006C17CB" w:rsidRDefault="006C17CB">
      <w:pPr>
        <w:spacing w:line="29" w:lineRule="exact"/>
        <w:rPr>
          <w:rFonts w:ascii="Calibri"/>
          <w:sz w:val="2"/>
        </w:rPr>
        <w:sectPr w:rsidR="006C17CB">
          <w:headerReference w:type="even" r:id="rId161"/>
          <w:headerReference w:type="default" r:id="rId162"/>
          <w:pgSz w:w="11910" w:h="16840"/>
          <w:pgMar w:top="2120" w:right="0" w:bottom="740" w:left="980" w:header="1173" w:footer="551" w:gutter="0"/>
          <w:cols w:space="720"/>
        </w:sectPr>
      </w:pPr>
    </w:p>
    <w:p w:rsidR="006C17CB" w:rsidRDefault="006C17CB">
      <w:pPr>
        <w:pStyle w:val="BodyText"/>
        <w:spacing w:before="9"/>
        <w:rPr>
          <w:rFonts w:ascii="Calibri"/>
          <w:b/>
          <w:sz w:val="21"/>
        </w:rPr>
      </w:pPr>
    </w:p>
    <w:p w:rsidR="006C17CB" w:rsidRDefault="0030091C">
      <w:pPr>
        <w:pStyle w:val="Heading6"/>
        <w:spacing w:line="345" w:lineRule="exact"/>
        <w:ind w:left="812"/>
      </w:pPr>
      <w:r>
        <w:rPr>
          <w:color w:val="003366"/>
        </w:rPr>
        <w:t>NOTE 15. CAPITAL WORKS IN PROGRESS – CONTINUED</w:t>
      </w:r>
    </w:p>
    <w:p w:rsidR="006C17CB" w:rsidRDefault="0030091C">
      <w:pPr>
        <w:spacing w:before="195"/>
        <w:ind w:left="812"/>
        <w:rPr>
          <w:rFonts w:ascii="Calibri"/>
          <w:b/>
          <w:sz w:val="20"/>
        </w:rPr>
      </w:pPr>
      <w:r>
        <w:rPr>
          <w:rFonts w:ascii="Calibri"/>
          <w:b/>
          <w:color w:val="003366"/>
          <w:sz w:val="20"/>
        </w:rPr>
        <w:t>Reconciliation Capital Works in Progress</w:t>
      </w:r>
    </w:p>
    <w:p w:rsidR="006C17CB" w:rsidRDefault="0030091C">
      <w:pPr>
        <w:spacing w:before="77"/>
        <w:ind w:left="812"/>
        <w:rPr>
          <w:rFonts w:ascii="Calibri"/>
          <w:sz w:val="20"/>
        </w:rPr>
      </w:pPr>
      <w:r>
        <w:rPr>
          <w:rFonts w:ascii="Calibri"/>
          <w:color w:val="003366"/>
          <w:sz w:val="20"/>
        </w:rPr>
        <w:t>The following table shows the movement of the Capital Works in Progress during 2016-17.</w:t>
      </w:r>
    </w:p>
    <w:p w:rsidR="006C17CB" w:rsidRDefault="006C17CB">
      <w:pPr>
        <w:pStyle w:val="BodyText"/>
        <w:spacing w:before="9"/>
        <w:rPr>
          <w:rFonts w:ascii="Calibri"/>
          <w:sz w:val="12"/>
        </w:rPr>
      </w:pPr>
    </w:p>
    <w:tbl>
      <w:tblPr>
        <w:tblW w:w="0" w:type="auto"/>
        <w:tblInd w:w="762" w:type="dxa"/>
        <w:tblLayout w:type="fixed"/>
        <w:tblCellMar>
          <w:left w:w="0" w:type="dxa"/>
          <w:right w:w="0" w:type="dxa"/>
        </w:tblCellMar>
        <w:tblLook w:val="01E0" w:firstRow="1" w:lastRow="1" w:firstColumn="1" w:lastColumn="1" w:noHBand="0" w:noVBand="0"/>
      </w:tblPr>
      <w:tblGrid>
        <w:gridCol w:w="2505"/>
        <w:gridCol w:w="1379"/>
        <w:gridCol w:w="1190"/>
        <w:gridCol w:w="1193"/>
        <w:gridCol w:w="1433"/>
        <w:gridCol w:w="1030"/>
      </w:tblGrid>
      <w:tr w:rsidR="006C17CB">
        <w:trPr>
          <w:trHeight w:val="418"/>
        </w:trPr>
        <w:tc>
          <w:tcPr>
            <w:tcW w:w="2505" w:type="dxa"/>
            <w:vMerge w:val="restart"/>
          </w:tcPr>
          <w:p w:rsidR="006C17CB" w:rsidRDefault="006C17CB">
            <w:pPr>
              <w:pStyle w:val="TableParagraph"/>
              <w:jc w:val="left"/>
              <w:rPr>
                <w:rFonts w:ascii="Times New Roman"/>
                <w:sz w:val="18"/>
              </w:rPr>
            </w:pPr>
          </w:p>
        </w:tc>
        <w:tc>
          <w:tcPr>
            <w:tcW w:w="1379" w:type="dxa"/>
          </w:tcPr>
          <w:p w:rsidR="006C17CB" w:rsidRDefault="0030091C">
            <w:pPr>
              <w:pStyle w:val="TableParagraph"/>
              <w:spacing w:before="157" w:line="241" w:lineRule="exact"/>
              <w:ind w:right="165"/>
              <w:rPr>
                <w:b/>
                <w:sz w:val="18"/>
              </w:rPr>
            </w:pPr>
            <w:r>
              <w:rPr>
                <w:b/>
                <w:color w:val="003366"/>
                <w:sz w:val="18"/>
              </w:rPr>
              <w:t>Broadcasting</w:t>
            </w:r>
          </w:p>
        </w:tc>
        <w:tc>
          <w:tcPr>
            <w:tcW w:w="1190" w:type="dxa"/>
          </w:tcPr>
          <w:p w:rsidR="006C17CB" w:rsidRDefault="0030091C">
            <w:pPr>
              <w:pStyle w:val="TableParagraph"/>
              <w:spacing w:before="157" w:line="241" w:lineRule="exact"/>
              <w:ind w:right="196"/>
              <w:rPr>
                <w:b/>
                <w:sz w:val="18"/>
              </w:rPr>
            </w:pPr>
            <w:r>
              <w:rPr>
                <w:b/>
                <w:color w:val="003366"/>
                <w:sz w:val="18"/>
              </w:rPr>
              <w:t>Procedural</w:t>
            </w:r>
          </w:p>
        </w:tc>
        <w:tc>
          <w:tcPr>
            <w:tcW w:w="1193" w:type="dxa"/>
          </w:tcPr>
          <w:p w:rsidR="006C17CB" w:rsidRDefault="0030091C">
            <w:pPr>
              <w:pStyle w:val="TableParagraph"/>
              <w:spacing w:line="178" w:lineRule="exact"/>
              <w:ind w:left="318"/>
              <w:jc w:val="left"/>
              <w:rPr>
                <w:b/>
                <w:sz w:val="18"/>
              </w:rPr>
            </w:pPr>
            <w:r>
              <w:rPr>
                <w:b/>
                <w:color w:val="003366"/>
                <w:sz w:val="18"/>
              </w:rPr>
              <w:t>Upgrade</w:t>
            </w:r>
          </w:p>
          <w:p w:rsidR="006C17CB" w:rsidRDefault="0030091C">
            <w:pPr>
              <w:pStyle w:val="TableParagraph"/>
              <w:spacing w:line="221" w:lineRule="exact"/>
              <w:ind w:left="678"/>
              <w:jc w:val="left"/>
              <w:rPr>
                <w:b/>
                <w:sz w:val="18"/>
              </w:rPr>
            </w:pPr>
            <w:r>
              <w:rPr>
                <w:b/>
                <w:color w:val="003366"/>
                <w:sz w:val="18"/>
              </w:rPr>
              <w:t>and</w:t>
            </w:r>
          </w:p>
        </w:tc>
        <w:tc>
          <w:tcPr>
            <w:tcW w:w="2463" w:type="dxa"/>
            <w:gridSpan w:val="2"/>
          </w:tcPr>
          <w:p w:rsidR="006C17CB" w:rsidRDefault="006C17CB">
            <w:pPr>
              <w:pStyle w:val="TableParagraph"/>
              <w:jc w:val="left"/>
              <w:rPr>
                <w:rFonts w:ascii="Times New Roman"/>
                <w:sz w:val="18"/>
              </w:rPr>
            </w:pPr>
          </w:p>
        </w:tc>
      </w:tr>
      <w:tr w:rsidR="006C17CB">
        <w:trPr>
          <w:trHeight w:val="679"/>
        </w:trPr>
        <w:tc>
          <w:tcPr>
            <w:tcW w:w="2505" w:type="dxa"/>
            <w:vMerge/>
            <w:tcBorders>
              <w:top w:val="nil"/>
            </w:tcBorders>
          </w:tcPr>
          <w:p w:rsidR="006C17CB" w:rsidRDefault="006C17CB">
            <w:pPr>
              <w:rPr>
                <w:sz w:val="2"/>
                <w:szCs w:val="2"/>
              </w:rPr>
            </w:pPr>
          </w:p>
        </w:tc>
        <w:tc>
          <w:tcPr>
            <w:tcW w:w="1379" w:type="dxa"/>
          </w:tcPr>
          <w:p w:rsidR="006C17CB" w:rsidRDefault="0030091C">
            <w:pPr>
              <w:pStyle w:val="TableParagraph"/>
              <w:spacing w:line="204" w:lineRule="auto"/>
              <w:ind w:left="105" w:right="164" w:firstLine="67"/>
              <w:rPr>
                <w:b/>
                <w:sz w:val="18"/>
              </w:rPr>
            </w:pPr>
            <w:r>
              <w:rPr>
                <w:b/>
                <w:color w:val="003366"/>
                <w:sz w:val="18"/>
              </w:rPr>
              <w:t>Infrastructure and Audio Visual Systems</w:t>
            </w:r>
          </w:p>
        </w:tc>
        <w:tc>
          <w:tcPr>
            <w:tcW w:w="1190" w:type="dxa"/>
          </w:tcPr>
          <w:p w:rsidR="006C17CB" w:rsidRDefault="0030091C">
            <w:pPr>
              <w:pStyle w:val="TableParagraph"/>
              <w:spacing w:line="201" w:lineRule="auto"/>
              <w:ind w:left="166" w:right="177" w:firstLine="48"/>
              <w:jc w:val="left"/>
              <w:rPr>
                <w:b/>
                <w:sz w:val="18"/>
              </w:rPr>
            </w:pPr>
            <w:r>
              <w:rPr>
                <w:b/>
                <w:color w:val="003366"/>
                <w:sz w:val="18"/>
              </w:rPr>
              <w:t>Document Production</w:t>
            </w:r>
          </w:p>
          <w:p w:rsidR="006C17CB" w:rsidRDefault="0030091C">
            <w:pPr>
              <w:pStyle w:val="TableParagraph"/>
              <w:spacing w:line="229" w:lineRule="exact"/>
              <w:ind w:left="447"/>
              <w:jc w:val="left"/>
              <w:rPr>
                <w:b/>
                <w:sz w:val="18"/>
              </w:rPr>
            </w:pPr>
            <w:r>
              <w:rPr>
                <w:b/>
                <w:color w:val="003366"/>
                <w:sz w:val="18"/>
              </w:rPr>
              <w:t>System</w:t>
            </w:r>
          </w:p>
        </w:tc>
        <w:tc>
          <w:tcPr>
            <w:tcW w:w="1193" w:type="dxa"/>
          </w:tcPr>
          <w:p w:rsidR="006C17CB" w:rsidRDefault="0030091C">
            <w:pPr>
              <w:pStyle w:val="TableParagraph"/>
              <w:spacing w:line="204" w:lineRule="auto"/>
              <w:ind w:left="323" w:right="231" w:hanging="123"/>
              <w:jc w:val="both"/>
              <w:rPr>
                <w:b/>
                <w:sz w:val="18"/>
              </w:rPr>
            </w:pPr>
            <w:r>
              <w:rPr>
                <w:b/>
                <w:color w:val="003366"/>
                <w:sz w:val="18"/>
              </w:rPr>
              <w:t>Expansion of Audio System</w:t>
            </w:r>
          </w:p>
        </w:tc>
        <w:tc>
          <w:tcPr>
            <w:tcW w:w="1433" w:type="dxa"/>
          </w:tcPr>
          <w:p w:rsidR="006C17CB" w:rsidRDefault="006C17CB">
            <w:pPr>
              <w:pStyle w:val="TableParagraph"/>
              <w:jc w:val="left"/>
              <w:rPr>
                <w:sz w:val="18"/>
              </w:rPr>
            </w:pPr>
          </w:p>
          <w:p w:rsidR="006C17CB" w:rsidRDefault="0030091C">
            <w:pPr>
              <w:pStyle w:val="TableParagraph"/>
              <w:spacing w:before="139"/>
              <w:ind w:right="505"/>
              <w:rPr>
                <w:b/>
                <w:sz w:val="18"/>
              </w:rPr>
            </w:pPr>
            <w:r>
              <w:rPr>
                <w:b/>
                <w:color w:val="003366"/>
                <w:sz w:val="18"/>
              </w:rPr>
              <w:t>Artworks</w:t>
            </w:r>
          </w:p>
        </w:tc>
        <w:tc>
          <w:tcPr>
            <w:tcW w:w="1030" w:type="dxa"/>
          </w:tcPr>
          <w:p w:rsidR="006C17CB" w:rsidRDefault="006C17CB">
            <w:pPr>
              <w:pStyle w:val="TableParagraph"/>
              <w:jc w:val="left"/>
              <w:rPr>
                <w:sz w:val="18"/>
              </w:rPr>
            </w:pPr>
          </w:p>
          <w:p w:rsidR="006C17CB" w:rsidRDefault="0030091C">
            <w:pPr>
              <w:pStyle w:val="TableParagraph"/>
              <w:spacing w:before="139"/>
              <w:ind w:right="106"/>
              <w:rPr>
                <w:b/>
                <w:sz w:val="18"/>
              </w:rPr>
            </w:pPr>
            <w:r>
              <w:rPr>
                <w:b/>
                <w:color w:val="003366"/>
                <w:sz w:val="18"/>
              </w:rPr>
              <w:t>Total</w:t>
            </w:r>
          </w:p>
        </w:tc>
      </w:tr>
      <w:tr w:rsidR="006C17CB">
        <w:trPr>
          <w:trHeight w:val="259"/>
        </w:trPr>
        <w:tc>
          <w:tcPr>
            <w:tcW w:w="2505" w:type="dxa"/>
            <w:vMerge/>
            <w:tcBorders>
              <w:top w:val="nil"/>
            </w:tcBorders>
          </w:tcPr>
          <w:p w:rsidR="006C17CB" w:rsidRDefault="006C17CB">
            <w:pPr>
              <w:rPr>
                <w:sz w:val="2"/>
                <w:szCs w:val="2"/>
              </w:rPr>
            </w:pPr>
          </w:p>
        </w:tc>
        <w:tc>
          <w:tcPr>
            <w:tcW w:w="1379" w:type="dxa"/>
          </w:tcPr>
          <w:p w:rsidR="006C17CB" w:rsidRDefault="0030091C">
            <w:pPr>
              <w:pStyle w:val="TableParagraph"/>
              <w:spacing w:line="238" w:lineRule="exact"/>
              <w:ind w:right="164"/>
              <w:rPr>
                <w:b/>
                <w:sz w:val="18"/>
              </w:rPr>
            </w:pPr>
            <w:r>
              <w:rPr>
                <w:b/>
                <w:color w:val="003366"/>
                <w:sz w:val="18"/>
              </w:rPr>
              <w:t>$’000</w:t>
            </w:r>
          </w:p>
        </w:tc>
        <w:tc>
          <w:tcPr>
            <w:tcW w:w="1190" w:type="dxa"/>
          </w:tcPr>
          <w:p w:rsidR="006C17CB" w:rsidRDefault="0030091C">
            <w:pPr>
              <w:pStyle w:val="TableParagraph"/>
              <w:spacing w:line="238" w:lineRule="exact"/>
              <w:ind w:right="197"/>
              <w:rPr>
                <w:b/>
                <w:sz w:val="18"/>
              </w:rPr>
            </w:pPr>
            <w:r>
              <w:rPr>
                <w:b/>
                <w:color w:val="003366"/>
                <w:sz w:val="18"/>
              </w:rPr>
              <w:t>$’000</w:t>
            </w:r>
          </w:p>
        </w:tc>
        <w:tc>
          <w:tcPr>
            <w:tcW w:w="1193" w:type="dxa"/>
          </w:tcPr>
          <w:p w:rsidR="006C17CB" w:rsidRDefault="0030091C">
            <w:pPr>
              <w:pStyle w:val="TableParagraph"/>
              <w:spacing w:line="238" w:lineRule="exact"/>
              <w:ind w:right="231"/>
              <w:rPr>
                <w:b/>
                <w:sz w:val="18"/>
              </w:rPr>
            </w:pPr>
            <w:r>
              <w:rPr>
                <w:b/>
                <w:color w:val="003366"/>
                <w:sz w:val="18"/>
              </w:rPr>
              <w:t>$’000</w:t>
            </w:r>
          </w:p>
        </w:tc>
        <w:tc>
          <w:tcPr>
            <w:tcW w:w="1433" w:type="dxa"/>
          </w:tcPr>
          <w:p w:rsidR="006C17CB" w:rsidRDefault="0030091C">
            <w:pPr>
              <w:pStyle w:val="TableParagraph"/>
              <w:spacing w:line="238" w:lineRule="exact"/>
              <w:ind w:right="505"/>
              <w:rPr>
                <w:b/>
                <w:sz w:val="18"/>
              </w:rPr>
            </w:pPr>
            <w:r>
              <w:rPr>
                <w:b/>
                <w:color w:val="003366"/>
                <w:sz w:val="18"/>
              </w:rPr>
              <w:t>$‘000</w:t>
            </w:r>
          </w:p>
        </w:tc>
        <w:tc>
          <w:tcPr>
            <w:tcW w:w="1030" w:type="dxa"/>
          </w:tcPr>
          <w:p w:rsidR="006C17CB" w:rsidRDefault="0030091C">
            <w:pPr>
              <w:pStyle w:val="TableParagraph"/>
              <w:spacing w:line="238" w:lineRule="exact"/>
              <w:ind w:right="104"/>
              <w:rPr>
                <w:b/>
                <w:sz w:val="18"/>
              </w:rPr>
            </w:pPr>
            <w:r>
              <w:rPr>
                <w:b/>
                <w:color w:val="003366"/>
                <w:sz w:val="18"/>
              </w:rPr>
              <w:t>$’000</w:t>
            </w:r>
          </w:p>
        </w:tc>
      </w:tr>
      <w:tr w:rsidR="006C17CB">
        <w:trPr>
          <w:trHeight w:val="810"/>
        </w:trPr>
        <w:tc>
          <w:tcPr>
            <w:tcW w:w="2505" w:type="dxa"/>
          </w:tcPr>
          <w:p w:rsidR="006C17CB" w:rsidRDefault="0030091C">
            <w:pPr>
              <w:pStyle w:val="TableParagraph"/>
              <w:spacing w:before="10" w:line="204" w:lineRule="auto"/>
              <w:ind w:left="333" w:right="148" w:hanging="284"/>
              <w:jc w:val="left"/>
              <w:rPr>
                <w:b/>
                <w:sz w:val="18"/>
              </w:rPr>
            </w:pPr>
            <w:r>
              <w:rPr>
                <w:b/>
                <w:color w:val="003366"/>
                <w:sz w:val="18"/>
              </w:rPr>
              <w:t>Carrying Amount at the Beginning of the Reporting Period</w:t>
            </w:r>
          </w:p>
        </w:tc>
        <w:tc>
          <w:tcPr>
            <w:tcW w:w="1379" w:type="dxa"/>
          </w:tcPr>
          <w:p w:rsidR="006C17CB" w:rsidRDefault="006C17CB">
            <w:pPr>
              <w:pStyle w:val="TableParagraph"/>
              <w:jc w:val="left"/>
              <w:rPr>
                <w:sz w:val="18"/>
              </w:rPr>
            </w:pPr>
          </w:p>
          <w:p w:rsidR="006C17CB" w:rsidRDefault="0030091C">
            <w:pPr>
              <w:pStyle w:val="TableParagraph"/>
              <w:spacing w:before="161"/>
              <w:ind w:right="164"/>
              <w:rPr>
                <w:b/>
                <w:sz w:val="18"/>
              </w:rPr>
            </w:pPr>
            <w:r>
              <w:rPr>
                <w:b/>
                <w:color w:val="003366"/>
                <w:sz w:val="18"/>
              </w:rPr>
              <w:t>317</w:t>
            </w:r>
          </w:p>
        </w:tc>
        <w:tc>
          <w:tcPr>
            <w:tcW w:w="1190" w:type="dxa"/>
          </w:tcPr>
          <w:p w:rsidR="006C17CB" w:rsidRDefault="006C17CB">
            <w:pPr>
              <w:pStyle w:val="TableParagraph"/>
              <w:jc w:val="left"/>
              <w:rPr>
                <w:sz w:val="18"/>
              </w:rPr>
            </w:pPr>
          </w:p>
          <w:p w:rsidR="006C17CB" w:rsidRDefault="0030091C">
            <w:pPr>
              <w:pStyle w:val="TableParagraph"/>
              <w:spacing w:before="161"/>
              <w:ind w:right="197"/>
              <w:rPr>
                <w:b/>
                <w:sz w:val="18"/>
              </w:rPr>
            </w:pPr>
            <w:r>
              <w:rPr>
                <w:b/>
                <w:color w:val="003366"/>
                <w:sz w:val="18"/>
              </w:rPr>
              <w:t>144</w:t>
            </w:r>
          </w:p>
        </w:tc>
        <w:tc>
          <w:tcPr>
            <w:tcW w:w="1193" w:type="dxa"/>
          </w:tcPr>
          <w:p w:rsidR="006C17CB" w:rsidRDefault="006C17CB">
            <w:pPr>
              <w:pStyle w:val="TableParagraph"/>
              <w:jc w:val="left"/>
              <w:rPr>
                <w:sz w:val="18"/>
              </w:rPr>
            </w:pPr>
          </w:p>
          <w:p w:rsidR="006C17CB" w:rsidRDefault="0030091C">
            <w:pPr>
              <w:pStyle w:val="TableParagraph"/>
              <w:spacing w:before="161"/>
              <w:ind w:right="231"/>
              <w:rPr>
                <w:b/>
                <w:sz w:val="18"/>
              </w:rPr>
            </w:pPr>
            <w:r>
              <w:rPr>
                <w:b/>
                <w:color w:val="003366"/>
                <w:sz w:val="18"/>
              </w:rPr>
              <w:t>10</w:t>
            </w:r>
          </w:p>
        </w:tc>
        <w:tc>
          <w:tcPr>
            <w:tcW w:w="1433" w:type="dxa"/>
          </w:tcPr>
          <w:p w:rsidR="006C17CB" w:rsidRDefault="006C17CB">
            <w:pPr>
              <w:pStyle w:val="TableParagraph"/>
              <w:jc w:val="left"/>
              <w:rPr>
                <w:sz w:val="18"/>
              </w:rPr>
            </w:pPr>
          </w:p>
          <w:p w:rsidR="006C17CB" w:rsidRDefault="0030091C">
            <w:pPr>
              <w:pStyle w:val="TableParagraph"/>
              <w:spacing w:before="161"/>
              <w:ind w:right="505"/>
              <w:rPr>
                <w:b/>
                <w:sz w:val="18"/>
              </w:rPr>
            </w:pPr>
            <w:r>
              <w:rPr>
                <w:b/>
                <w:color w:val="003366"/>
                <w:sz w:val="18"/>
              </w:rPr>
              <w:t>3</w:t>
            </w:r>
          </w:p>
        </w:tc>
        <w:tc>
          <w:tcPr>
            <w:tcW w:w="1030" w:type="dxa"/>
          </w:tcPr>
          <w:p w:rsidR="006C17CB" w:rsidRDefault="006C17CB">
            <w:pPr>
              <w:pStyle w:val="TableParagraph"/>
              <w:jc w:val="left"/>
              <w:rPr>
                <w:sz w:val="18"/>
              </w:rPr>
            </w:pPr>
          </w:p>
          <w:p w:rsidR="006C17CB" w:rsidRDefault="0030091C">
            <w:pPr>
              <w:pStyle w:val="TableParagraph"/>
              <w:spacing w:before="161"/>
              <w:ind w:right="105"/>
              <w:rPr>
                <w:b/>
                <w:sz w:val="18"/>
              </w:rPr>
            </w:pPr>
            <w:r>
              <w:rPr>
                <w:b/>
                <w:color w:val="003366"/>
                <w:sz w:val="18"/>
              </w:rPr>
              <w:t>474</w:t>
            </w:r>
          </w:p>
        </w:tc>
      </w:tr>
      <w:tr w:rsidR="006C17CB">
        <w:trPr>
          <w:trHeight w:val="369"/>
        </w:trPr>
        <w:tc>
          <w:tcPr>
            <w:tcW w:w="2505" w:type="dxa"/>
          </w:tcPr>
          <w:p w:rsidR="006C17CB" w:rsidRDefault="0030091C">
            <w:pPr>
              <w:pStyle w:val="TableParagraph"/>
              <w:spacing w:before="88"/>
              <w:ind w:left="50"/>
              <w:jc w:val="left"/>
              <w:rPr>
                <w:sz w:val="18"/>
              </w:rPr>
            </w:pPr>
            <w:r>
              <w:rPr>
                <w:color w:val="003366"/>
                <w:sz w:val="18"/>
              </w:rPr>
              <w:t>Additions</w:t>
            </w:r>
          </w:p>
        </w:tc>
        <w:tc>
          <w:tcPr>
            <w:tcW w:w="1379" w:type="dxa"/>
          </w:tcPr>
          <w:p w:rsidR="006C17CB" w:rsidRDefault="0030091C">
            <w:pPr>
              <w:pStyle w:val="TableParagraph"/>
              <w:spacing w:before="88"/>
              <w:ind w:right="164"/>
              <w:rPr>
                <w:sz w:val="18"/>
              </w:rPr>
            </w:pPr>
            <w:r>
              <w:rPr>
                <w:color w:val="003366"/>
                <w:sz w:val="18"/>
              </w:rPr>
              <w:t>29</w:t>
            </w:r>
          </w:p>
        </w:tc>
        <w:tc>
          <w:tcPr>
            <w:tcW w:w="1190" w:type="dxa"/>
          </w:tcPr>
          <w:p w:rsidR="006C17CB" w:rsidRDefault="0030091C">
            <w:pPr>
              <w:pStyle w:val="TableParagraph"/>
              <w:spacing w:before="88"/>
              <w:ind w:right="197"/>
              <w:rPr>
                <w:sz w:val="18"/>
              </w:rPr>
            </w:pPr>
            <w:r>
              <w:rPr>
                <w:color w:val="003366"/>
                <w:sz w:val="18"/>
              </w:rPr>
              <w:t>91</w:t>
            </w:r>
          </w:p>
        </w:tc>
        <w:tc>
          <w:tcPr>
            <w:tcW w:w="1193" w:type="dxa"/>
          </w:tcPr>
          <w:p w:rsidR="006C17CB" w:rsidRDefault="0030091C">
            <w:pPr>
              <w:pStyle w:val="TableParagraph"/>
              <w:spacing w:before="88"/>
              <w:ind w:right="231"/>
              <w:rPr>
                <w:sz w:val="18"/>
              </w:rPr>
            </w:pPr>
            <w:r>
              <w:rPr>
                <w:color w:val="003366"/>
                <w:sz w:val="18"/>
              </w:rPr>
              <w:t>245</w:t>
            </w:r>
          </w:p>
        </w:tc>
        <w:tc>
          <w:tcPr>
            <w:tcW w:w="1433" w:type="dxa"/>
          </w:tcPr>
          <w:p w:rsidR="006C17CB" w:rsidRDefault="0030091C">
            <w:pPr>
              <w:pStyle w:val="TableParagraph"/>
              <w:spacing w:before="88"/>
              <w:ind w:right="505"/>
              <w:rPr>
                <w:sz w:val="18"/>
              </w:rPr>
            </w:pPr>
            <w:r>
              <w:rPr>
                <w:color w:val="003366"/>
                <w:sz w:val="18"/>
              </w:rPr>
              <w:t>-</w:t>
            </w:r>
          </w:p>
        </w:tc>
        <w:tc>
          <w:tcPr>
            <w:tcW w:w="1030" w:type="dxa"/>
          </w:tcPr>
          <w:p w:rsidR="006C17CB" w:rsidRDefault="0030091C">
            <w:pPr>
              <w:pStyle w:val="TableParagraph"/>
              <w:spacing w:before="88"/>
              <w:ind w:right="105"/>
              <w:rPr>
                <w:sz w:val="18"/>
              </w:rPr>
            </w:pPr>
            <w:r>
              <w:rPr>
                <w:color w:val="003366"/>
                <w:sz w:val="18"/>
              </w:rPr>
              <w:t>365</w:t>
            </w:r>
          </w:p>
        </w:tc>
      </w:tr>
      <w:tr w:rsidR="006C17CB">
        <w:trPr>
          <w:trHeight w:val="662"/>
        </w:trPr>
        <w:tc>
          <w:tcPr>
            <w:tcW w:w="2505" w:type="dxa"/>
          </w:tcPr>
          <w:p w:rsidR="006C17CB" w:rsidRDefault="0030091C">
            <w:pPr>
              <w:pStyle w:val="TableParagraph"/>
              <w:spacing w:before="13" w:line="201" w:lineRule="auto"/>
              <w:ind w:left="333" w:right="103" w:hanging="284"/>
              <w:jc w:val="left"/>
              <w:rPr>
                <w:sz w:val="18"/>
              </w:rPr>
            </w:pPr>
            <w:r>
              <w:rPr>
                <w:color w:val="003366"/>
                <w:sz w:val="18"/>
              </w:rPr>
              <w:t>Transfers to Property, Plant and Equipment and Intangibles</w:t>
            </w:r>
          </w:p>
        </w:tc>
        <w:tc>
          <w:tcPr>
            <w:tcW w:w="1379" w:type="dxa"/>
            <w:tcBorders>
              <w:bottom w:val="single" w:sz="4" w:space="0" w:color="003366"/>
            </w:tcBorders>
          </w:tcPr>
          <w:p w:rsidR="006C17CB" w:rsidRDefault="006C17CB">
            <w:pPr>
              <w:pStyle w:val="TableParagraph"/>
              <w:spacing w:before="11"/>
              <w:jc w:val="left"/>
              <w:rPr>
                <w:sz w:val="13"/>
              </w:rPr>
            </w:pPr>
          </w:p>
          <w:p w:rsidR="006C17CB" w:rsidRDefault="0030091C">
            <w:pPr>
              <w:pStyle w:val="TableParagraph"/>
              <w:ind w:right="165"/>
              <w:rPr>
                <w:sz w:val="18"/>
              </w:rPr>
            </w:pPr>
            <w:r>
              <w:rPr>
                <w:color w:val="003366"/>
                <w:sz w:val="18"/>
              </w:rPr>
              <w:t>(346)</w:t>
            </w:r>
          </w:p>
        </w:tc>
        <w:tc>
          <w:tcPr>
            <w:tcW w:w="1190" w:type="dxa"/>
            <w:tcBorders>
              <w:bottom w:val="single" w:sz="4" w:space="0" w:color="003366"/>
            </w:tcBorders>
          </w:tcPr>
          <w:p w:rsidR="006C17CB" w:rsidRDefault="006C17CB">
            <w:pPr>
              <w:pStyle w:val="TableParagraph"/>
              <w:spacing w:before="11"/>
              <w:jc w:val="left"/>
              <w:rPr>
                <w:sz w:val="13"/>
              </w:rPr>
            </w:pPr>
          </w:p>
          <w:p w:rsidR="006C17CB" w:rsidRDefault="0030091C">
            <w:pPr>
              <w:pStyle w:val="TableParagraph"/>
              <w:ind w:right="198"/>
              <w:rPr>
                <w:sz w:val="18"/>
              </w:rPr>
            </w:pPr>
            <w:r>
              <w:rPr>
                <w:color w:val="003366"/>
                <w:sz w:val="18"/>
              </w:rPr>
              <w:t>-</w:t>
            </w:r>
          </w:p>
        </w:tc>
        <w:tc>
          <w:tcPr>
            <w:tcW w:w="1193" w:type="dxa"/>
            <w:tcBorders>
              <w:bottom w:val="single" w:sz="4" w:space="0" w:color="003366"/>
            </w:tcBorders>
          </w:tcPr>
          <w:p w:rsidR="006C17CB" w:rsidRDefault="006C17CB">
            <w:pPr>
              <w:pStyle w:val="TableParagraph"/>
              <w:spacing w:before="11"/>
              <w:jc w:val="left"/>
              <w:rPr>
                <w:sz w:val="13"/>
              </w:rPr>
            </w:pPr>
          </w:p>
          <w:p w:rsidR="006C17CB" w:rsidRDefault="0030091C">
            <w:pPr>
              <w:pStyle w:val="TableParagraph"/>
              <w:ind w:right="232"/>
              <w:rPr>
                <w:sz w:val="18"/>
              </w:rPr>
            </w:pPr>
            <w:r>
              <w:rPr>
                <w:color w:val="003366"/>
                <w:sz w:val="18"/>
              </w:rPr>
              <w:t>(210)</w:t>
            </w:r>
          </w:p>
        </w:tc>
        <w:tc>
          <w:tcPr>
            <w:tcW w:w="1433" w:type="dxa"/>
            <w:tcBorders>
              <w:bottom w:val="single" w:sz="4" w:space="0" w:color="003366"/>
            </w:tcBorders>
          </w:tcPr>
          <w:p w:rsidR="006C17CB" w:rsidRDefault="006C17CB">
            <w:pPr>
              <w:pStyle w:val="TableParagraph"/>
              <w:spacing w:before="11"/>
              <w:jc w:val="left"/>
              <w:rPr>
                <w:sz w:val="13"/>
              </w:rPr>
            </w:pPr>
          </w:p>
          <w:p w:rsidR="006C17CB" w:rsidRDefault="0030091C">
            <w:pPr>
              <w:pStyle w:val="TableParagraph"/>
              <w:ind w:right="506"/>
              <w:rPr>
                <w:sz w:val="18"/>
              </w:rPr>
            </w:pPr>
            <w:r>
              <w:rPr>
                <w:color w:val="003366"/>
                <w:sz w:val="18"/>
              </w:rPr>
              <w:t>(3)</w:t>
            </w:r>
          </w:p>
        </w:tc>
        <w:tc>
          <w:tcPr>
            <w:tcW w:w="1030" w:type="dxa"/>
            <w:tcBorders>
              <w:bottom w:val="single" w:sz="4" w:space="0" w:color="003366"/>
            </w:tcBorders>
          </w:tcPr>
          <w:p w:rsidR="006C17CB" w:rsidRDefault="006C17CB">
            <w:pPr>
              <w:pStyle w:val="TableParagraph"/>
              <w:spacing w:before="11"/>
              <w:jc w:val="left"/>
              <w:rPr>
                <w:sz w:val="13"/>
              </w:rPr>
            </w:pPr>
          </w:p>
          <w:p w:rsidR="006C17CB" w:rsidRDefault="0030091C">
            <w:pPr>
              <w:pStyle w:val="TableParagraph"/>
              <w:ind w:right="105"/>
              <w:rPr>
                <w:sz w:val="18"/>
              </w:rPr>
            </w:pPr>
            <w:r>
              <w:rPr>
                <w:color w:val="003366"/>
                <w:sz w:val="18"/>
              </w:rPr>
              <w:t>(559)</w:t>
            </w:r>
          </w:p>
        </w:tc>
      </w:tr>
      <w:tr w:rsidR="006C17CB">
        <w:trPr>
          <w:trHeight w:val="255"/>
        </w:trPr>
        <w:tc>
          <w:tcPr>
            <w:tcW w:w="2505" w:type="dxa"/>
          </w:tcPr>
          <w:p w:rsidR="006C17CB" w:rsidRDefault="0030091C">
            <w:pPr>
              <w:pStyle w:val="TableParagraph"/>
              <w:spacing w:before="15" w:line="221" w:lineRule="exact"/>
              <w:ind w:left="50"/>
              <w:jc w:val="left"/>
              <w:rPr>
                <w:b/>
                <w:sz w:val="18"/>
              </w:rPr>
            </w:pPr>
            <w:r>
              <w:rPr>
                <w:b/>
                <w:color w:val="003366"/>
                <w:sz w:val="18"/>
              </w:rPr>
              <w:t>Carrying Amount at the End of</w:t>
            </w:r>
          </w:p>
        </w:tc>
        <w:tc>
          <w:tcPr>
            <w:tcW w:w="1379" w:type="dxa"/>
            <w:tcBorders>
              <w:top w:val="single" w:sz="4" w:space="0" w:color="003366"/>
            </w:tcBorders>
          </w:tcPr>
          <w:p w:rsidR="006C17CB" w:rsidRDefault="006C17CB">
            <w:pPr>
              <w:pStyle w:val="TableParagraph"/>
              <w:jc w:val="left"/>
              <w:rPr>
                <w:rFonts w:ascii="Times New Roman"/>
                <w:sz w:val="18"/>
              </w:rPr>
            </w:pPr>
          </w:p>
        </w:tc>
        <w:tc>
          <w:tcPr>
            <w:tcW w:w="1190" w:type="dxa"/>
            <w:tcBorders>
              <w:top w:val="single" w:sz="4" w:space="0" w:color="003366"/>
            </w:tcBorders>
          </w:tcPr>
          <w:p w:rsidR="006C17CB" w:rsidRDefault="006C17CB">
            <w:pPr>
              <w:pStyle w:val="TableParagraph"/>
              <w:jc w:val="left"/>
              <w:rPr>
                <w:rFonts w:ascii="Times New Roman"/>
                <w:sz w:val="18"/>
              </w:rPr>
            </w:pPr>
          </w:p>
        </w:tc>
        <w:tc>
          <w:tcPr>
            <w:tcW w:w="1193" w:type="dxa"/>
            <w:tcBorders>
              <w:top w:val="single" w:sz="4" w:space="0" w:color="003366"/>
            </w:tcBorders>
          </w:tcPr>
          <w:p w:rsidR="006C17CB" w:rsidRDefault="006C17CB">
            <w:pPr>
              <w:pStyle w:val="TableParagraph"/>
              <w:jc w:val="left"/>
              <w:rPr>
                <w:rFonts w:ascii="Times New Roman"/>
                <w:sz w:val="18"/>
              </w:rPr>
            </w:pPr>
          </w:p>
        </w:tc>
        <w:tc>
          <w:tcPr>
            <w:tcW w:w="1433" w:type="dxa"/>
            <w:tcBorders>
              <w:top w:val="single" w:sz="4" w:space="0" w:color="003366"/>
            </w:tcBorders>
          </w:tcPr>
          <w:p w:rsidR="006C17CB" w:rsidRDefault="006C17CB">
            <w:pPr>
              <w:pStyle w:val="TableParagraph"/>
              <w:jc w:val="left"/>
              <w:rPr>
                <w:rFonts w:ascii="Times New Roman"/>
                <w:sz w:val="18"/>
              </w:rPr>
            </w:pPr>
          </w:p>
        </w:tc>
        <w:tc>
          <w:tcPr>
            <w:tcW w:w="1030" w:type="dxa"/>
            <w:tcBorders>
              <w:top w:val="single" w:sz="4" w:space="0" w:color="003366"/>
            </w:tcBorders>
          </w:tcPr>
          <w:p w:rsidR="006C17CB" w:rsidRDefault="006C17CB">
            <w:pPr>
              <w:pStyle w:val="TableParagraph"/>
              <w:jc w:val="left"/>
              <w:rPr>
                <w:rFonts w:ascii="Times New Roman"/>
                <w:sz w:val="18"/>
              </w:rPr>
            </w:pPr>
          </w:p>
        </w:tc>
      </w:tr>
    </w:tbl>
    <w:p w:rsidR="006C17CB" w:rsidRDefault="0030091C">
      <w:pPr>
        <w:tabs>
          <w:tab w:val="left" w:pos="4424"/>
          <w:tab w:val="left" w:pos="5363"/>
          <w:tab w:val="left" w:pos="6613"/>
          <w:tab w:val="left" w:pos="7899"/>
          <w:tab w:val="right" w:pos="9385"/>
        </w:tabs>
        <w:ind w:left="1096"/>
        <w:rPr>
          <w:rFonts w:ascii="Calibri"/>
          <w:b/>
          <w:sz w:val="18"/>
        </w:rPr>
      </w:pPr>
      <w:r>
        <w:rPr>
          <w:rFonts w:ascii="Calibri"/>
          <w:b/>
          <w:color w:val="003366"/>
          <w:sz w:val="18"/>
        </w:rPr>
        <w:t>the</w:t>
      </w:r>
      <w:r>
        <w:rPr>
          <w:rFonts w:ascii="Calibri"/>
          <w:b/>
          <w:color w:val="003366"/>
          <w:spacing w:val="-2"/>
          <w:sz w:val="18"/>
        </w:rPr>
        <w:t xml:space="preserve"> </w:t>
      </w:r>
      <w:r>
        <w:rPr>
          <w:rFonts w:ascii="Calibri"/>
          <w:b/>
          <w:color w:val="003366"/>
          <w:sz w:val="18"/>
        </w:rPr>
        <w:t>Reporting</w:t>
      </w:r>
      <w:r>
        <w:rPr>
          <w:rFonts w:ascii="Calibri"/>
          <w:b/>
          <w:color w:val="003366"/>
          <w:spacing w:val="-1"/>
          <w:sz w:val="18"/>
        </w:rPr>
        <w:t xml:space="preserve"> </w:t>
      </w:r>
      <w:r>
        <w:rPr>
          <w:rFonts w:ascii="Calibri"/>
          <w:b/>
          <w:color w:val="003366"/>
          <w:sz w:val="18"/>
        </w:rPr>
        <w:t>Period</w:t>
      </w:r>
      <w:r>
        <w:rPr>
          <w:rFonts w:ascii="Calibri"/>
          <w:b/>
          <w:color w:val="003366"/>
          <w:sz w:val="18"/>
        </w:rPr>
        <w:tab/>
        <w:t>-</w:t>
      </w:r>
      <w:r>
        <w:rPr>
          <w:rFonts w:ascii="Calibri"/>
          <w:b/>
          <w:color w:val="003366"/>
          <w:sz w:val="18"/>
        </w:rPr>
        <w:tab/>
        <w:t>235</w:t>
      </w:r>
      <w:r>
        <w:rPr>
          <w:rFonts w:ascii="Calibri"/>
          <w:b/>
          <w:color w:val="003366"/>
          <w:sz w:val="18"/>
        </w:rPr>
        <w:tab/>
        <w:t>45</w:t>
      </w:r>
      <w:r>
        <w:rPr>
          <w:rFonts w:ascii="Calibri"/>
          <w:b/>
          <w:color w:val="003366"/>
          <w:sz w:val="18"/>
        </w:rPr>
        <w:tab/>
        <w:t>-</w:t>
      </w:r>
      <w:r>
        <w:rPr>
          <w:rFonts w:ascii="Calibri"/>
          <w:b/>
          <w:color w:val="003366"/>
          <w:sz w:val="18"/>
        </w:rPr>
        <w:tab/>
        <w:t>280</w:t>
      </w:r>
    </w:p>
    <w:p w:rsidR="006C17CB" w:rsidRDefault="00FE24A7">
      <w:pPr>
        <w:pStyle w:val="BodyText"/>
        <w:spacing w:line="29" w:lineRule="exact"/>
        <w:ind w:left="3248"/>
        <w:rPr>
          <w:rFonts w:ascii="Calibri"/>
          <w:sz w:val="2"/>
        </w:rPr>
      </w:pPr>
      <w:r>
        <w:rPr>
          <w:rFonts w:ascii="Calibri"/>
          <w:sz w:val="2"/>
        </w:rPr>
      </w:r>
      <w:r>
        <w:rPr>
          <w:rFonts w:ascii="Calibri"/>
          <w:sz w:val="2"/>
        </w:rPr>
        <w:pict>
          <v:group id="_x0000_s1270" alt="" style="width:312.15pt;height:1.45pt;mso-position-horizontal-relative:char;mso-position-vertical-relative:line" coordsize="6243,29">
            <v:line id="_x0000_s1271" alt="" style="position:absolute" from="0,24" to="1337,24" strokecolor="#036" strokeweight=".17003mm"/>
            <v:line id="_x0000_s1272" alt="" style="position:absolute" from="0,5" to="1337,5" strokecolor="#036" strokeweight=".48pt"/>
            <v:rect id="_x0000_s1273" alt="" style="position:absolute;left:1322;width:29;height:10" fillcolor="#036" stroked="f"/>
            <v:rect id="_x0000_s1274" alt="" style="position:absolute;left:1322;top:19;width:29;height:10" fillcolor="#036" stroked="f"/>
            <v:line id="_x0000_s1275" alt="" style="position:absolute" from="1351,24" to="2494,24" strokecolor="#036" strokeweight=".17003mm"/>
            <v:line id="_x0000_s1276" alt="" style="position:absolute" from="1351,5" to="2494,5" strokecolor="#036" strokeweight=".48pt"/>
            <v:rect id="_x0000_s1277" alt="" style="position:absolute;left:2479;width:29;height:10" fillcolor="#036" stroked="f"/>
            <v:rect id="_x0000_s1278" alt="" style="position:absolute;left:2479;top:19;width:29;height:10" fillcolor="#036" stroked="f"/>
            <v:line id="_x0000_s1279" alt="" style="position:absolute" from="2508,24" to="3653,24" strokecolor="#036" strokeweight=".17003mm"/>
            <v:line id="_x0000_s1280" alt="" style="position:absolute" from="2508,5" to="3653,5" strokecolor="#036" strokeweight=".48pt"/>
            <v:rect id="_x0000_s1281" alt="" style="position:absolute;left:3638;width:29;height:10" fillcolor="#036" stroked="f"/>
            <v:rect id="_x0000_s1282" alt="" style="position:absolute;left:3638;top:19;width:29;height:10" fillcolor="#036" stroked="f"/>
            <v:line id="_x0000_s1283" alt="" style="position:absolute" from="3667,24" to="4812,24" strokecolor="#036" strokeweight=".17003mm"/>
            <v:line id="_x0000_s1284" alt="" style="position:absolute" from="3667,5" to="4812,5" strokecolor="#036" strokeweight=".48pt"/>
            <v:rect id="_x0000_s1285" alt="" style="position:absolute;left:4797;width:29;height:10" fillcolor="#036" stroked="f"/>
            <v:rect id="_x0000_s1286" alt="" style="position:absolute;left:4797;top:19;width:29;height:10" fillcolor="#036" stroked="f"/>
            <v:line id="_x0000_s1287" alt="" style="position:absolute" from="4826,24" to="6242,24" strokecolor="#036" strokeweight=".17003mm"/>
            <v:line id="_x0000_s1288" alt="" style="position:absolute" from="4826,5" to="6242,5" strokecolor="#036" strokeweight=".48pt"/>
            <w10:anchorlock/>
          </v:group>
        </w:pict>
      </w:r>
    </w:p>
    <w:p w:rsidR="006C17CB" w:rsidRDefault="006C17CB">
      <w:pPr>
        <w:pStyle w:val="BodyText"/>
        <w:spacing w:before="12"/>
        <w:rPr>
          <w:rFonts w:ascii="Calibri"/>
          <w:b/>
          <w:sz w:val="24"/>
        </w:rPr>
      </w:pPr>
    </w:p>
    <w:p w:rsidR="006C17CB" w:rsidRDefault="0030091C">
      <w:pPr>
        <w:pStyle w:val="Heading6"/>
        <w:tabs>
          <w:tab w:val="left" w:pos="1962"/>
        </w:tabs>
        <w:spacing w:before="1"/>
      </w:pPr>
      <w:r>
        <w:rPr>
          <w:color w:val="003366"/>
        </w:rPr>
        <w:t>NOTE</w:t>
      </w:r>
      <w:r>
        <w:rPr>
          <w:color w:val="003366"/>
          <w:spacing w:val="-1"/>
        </w:rPr>
        <w:t xml:space="preserve"> </w:t>
      </w:r>
      <w:r>
        <w:rPr>
          <w:color w:val="003366"/>
        </w:rPr>
        <w:t>16.</w:t>
      </w:r>
      <w:r>
        <w:rPr>
          <w:color w:val="003366"/>
        </w:rPr>
        <w:tab/>
        <w:t>PAYABLES</w:t>
      </w:r>
    </w:p>
    <w:p w:rsidR="006C17CB" w:rsidRDefault="006C17CB">
      <w:pPr>
        <w:pStyle w:val="BodyText"/>
        <w:spacing w:before="14"/>
        <w:rPr>
          <w:rFonts w:ascii="Calibri"/>
          <w:b/>
          <w:sz w:val="15"/>
        </w:rPr>
      </w:pPr>
    </w:p>
    <w:p w:rsidR="006C17CB" w:rsidRDefault="0030091C">
      <w:pPr>
        <w:spacing w:line="204" w:lineRule="auto"/>
        <w:ind w:left="829" w:right="1519"/>
        <w:jc w:val="both"/>
        <w:rPr>
          <w:rFonts w:ascii="Calibri"/>
          <w:sz w:val="20"/>
        </w:rPr>
      </w:pPr>
      <w:r>
        <w:rPr>
          <w:rFonts w:ascii="Calibri"/>
          <w:color w:val="003366"/>
          <w:sz w:val="20"/>
        </w:rPr>
        <w:t>Payables are initially recognised at fair value based on the transaction cost and subsequent to initial recognition at amortised cost, with any adjustments to the carrying amount being recorded in the Operating Statement. All amounts are normally settled within 30 days after the invoice date. Payables include Trade Payables and Accrued Expenses.</w:t>
      </w:r>
    </w:p>
    <w:p w:rsidR="006C17CB" w:rsidRDefault="006C17CB">
      <w:pPr>
        <w:pStyle w:val="BodyText"/>
        <w:spacing w:before="8"/>
        <w:rPr>
          <w:rFonts w:ascii="Calibri"/>
          <w:sz w:val="11"/>
        </w:rPr>
      </w:pPr>
    </w:p>
    <w:tbl>
      <w:tblPr>
        <w:tblW w:w="0" w:type="auto"/>
        <w:tblInd w:w="779" w:type="dxa"/>
        <w:tblLayout w:type="fixed"/>
        <w:tblCellMar>
          <w:left w:w="0" w:type="dxa"/>
          <w:right w:w="0" w:type="dxa"/>
        </w:tblCellMar>
        <w:tblLook w:val="01E0" w:firstRow="1" w:lastRow="1" w:firstColumn="1" w:lastColumn="1" w:noHBand="0" w:noVBand="0"/>
      </w:tblPr>
      <w:tblGrid>
        <w:gridCol w:w="6105"/>
        <w:gridCol w:w="2625"/>
      </w:tblGrid>
      <w:tr w:rsidR="006C17CB">
        <w:trPr>
          <w:trHeight w:val="221"/>
        </w:trPr>
        <w:tc>
          <w:tcPr>
            <w:tcW w:w="6105" w:type="dxa"/>
            <w:vMerge w:val="restart"/>
          </w:tcPr>
          <w:p w:rsidR="006C17CB" w:rsidRDefault="006C17CB">
            <w:pPr>
              <w:pStyle w:val="TableParagraph"/>
              <w:jc w:val="left"/>
              <w:rPr>
                <w:rFonts w:ascii="Times New Roman"/>
                <w:sz w:val="18"/>
              </w:rPr>
            </w:pPr>
          </w:p>
        </w:tc>
        <w:tc>
          <w:tcPr>
            <w:tcW w:w="2625" w:type="dxa"/>
          </w:tcPr>
          <w:p w:rsidR="006C17CB" w:rsidRDefault="0030091C">
            <w:pPr>
              <w:pStyle w:val="TableParagraph"/>
              <w:tabs>
                <w:tab w:val="left" w:pos="1358"/>
              </w:tabs>
              <w:spacing w:line="202" w:lineRule="exact"/>
              <w:ind w:right="109"/>
              <w:rPr>
                <w:b/>
                <w:sz w:val="20"/>
              </w:rPr>
            </w:pPr>
            <w:r>
              <w:rPr>
                <w:b/>
                <w:color w:val="003366"/>
                <w:sz w:val="20"/>
              </w:rPr>
              <w:t>2018</w:t>
            </w:r>
            <w:r>
              <w:rPr>
                <w:b/>
                <w:color w:val="003366"/>
                <w:sz w:val="20"/>
              </w:rPr>
              <w:tab/>
            </w:r>
            <w:r>
              <w:rPr>
                <w:b/>
                <w:color w:val="003366"/>
                <w:spacing w:val="-1"/>
                <w:w w:val="95"/>
                <w:sz w:val="20"/>
              </w:rPr>
              <w:t>2017</w:t>
            </w:r>
          </w:p>
        </w:tc>
      </w:tr>
      <w:tr w:rsidR="006C17CB">
        <w:trPr>
          <w:trHeight w:val="265"/>
        </w:trPr>
        <w:tc>
          <w:tcPr>
            <w:tcW w:w="6105" w:type="dxa"/>
            <w:vMerge/>
            <w:tcBorders>
              <w:top w:val="nil"/>
            </w:tcBorders>
          </w:tcPr>
          <w:p w:rsidR="006C17CB" w:rsidRDefault="006C17CB">
            <w:pPr>
              <w:rPr>
                <w:sz w:val="2"/>
                <w:szCs w:val="2"/>
              </w:rPr>
            </w:pPr>
          </w:p>
        </w:tc>
        <w:tc>
          <w:tcPr>
            <w:tcW w:w="2625" w:type="dxa"/>
          </w:tcPr>
          <w:p w:rsidR="006C17CB" w:rsidRDefault="0030091C">
            <w:pPr>
              <w:pStyle w:val="TableParagraph"/>
              <w:tabs>
                <w:tab w:val="left" w:pos="1358"/>
              </w:tabs>
              <w:spacing w:line="226" w:lineRule="exact"/>
              <w:ind w:right="110"/>
              <w:rPr>
                <w:b/>
                <w:sz w:val="20"/>
              </w:rPr>
            </w:pPr>
            <w:r>
              <w:rPr>
                <w:b/>
                <w:color w:val="003366"/>
                <w:sz w:val="20"/>
              </w:rPr>
              <w:t>$’000</w:t>
            </w:r>
            <w:r>
              <w:rPr>
                <w:b/>
                <w:color w:val="003366"/>
                <w:sz w:val="20"/>
              </w:rPr>
              <w:tab/>
            </w:r>
            <w:r>
              <w:rPr>
                <w:b/>
                <w:color w:val="003366"/>
                <w:spacing w:val="-2"/>
                <w:sz w:val="20"/>
              </w:rPr>
              <w:t>$’000</w:t>
            </w:r>
          </w:p>
        </w:tc>
      </w:tr>
      <w:tr w:rsidR="006C17CB">
        <w:trPr>
          <w:trHeight w:val="568"/>
        </w:trPr>
        <w:tc>
          <w:tcPr>
            <w:tcW w:w="6105" w:type="dxa"/>
          </w:tcPr>
          <w:p w:rsidR="006C17CB" w:rsidRDefault="0030091C">
            <w:pPr>
              <w:pStyle w:val="TableParagraph"/>
              <w:spacing w:line="244" w:lineRule="exact"/>
              <w:ind w:left="50"/>
              <w:jc w:val="left"/>
              <w:rPr>
                <w:b/>
                <w:sz w:val="20"/>
              </w:rPr>
            </w:pPr>
            <w:r>
              <w:rPr>
                <w:b/>
                <w:color w:val="003366"/>
                <w:sz w:val="20"/>
              </w:rPr>
              <w:t>Current Payables</w:t>
            </w:r>
          </w:p>
          <w:p w:rsidR="006C17CB" w:rsidRDefault="0030091C">
            <w:pPr>
              <w:pStyle w:val="TableParagraph"/>
              <w:spacing w:line="286" w:lineRule="exact"/>
              <w:ind w:left="50"/>
              <w:jc w:val="left"/>
              <w:rPr>
                <w:sz w:val="20"/>
              </w:rPr>
            </w:pPr>
            <w:r>
              <w:rPr>
                <w:color w:val="003366"/>
                <w:sz w:val="20"/>
              </w:rPr>
              <w:t xml:space="preserve">Trade Payables </w:t>
            </w:r>
            <w:r>
              <w:rPr>
                <w:color w:val="003366"/>
                <w:sz w:val="20"/>
                <w:vertAlign w:val="superscript"/>
              </w:rPr>
              <w:t>a</w:t>
            </w:r>
          </w:p>
        </w:tc>
        <w:tc>
          <w:tcPr>
            <w:tcW w:w="2625" w:type="dxa"/>
          </w:tcPr>
          <w:p w:rsidR="006C17CB" w:rsidRDefault="006C17CB">
            <w:pPr>
              <w:pStyle w:val="TableParagraph"/>
              <w:spacing w:before="10"/>
              <w:jc w:val="left"/>
              <w:rPr>
                <w:sz w:val="16"/>
              </w:rPr>
            </w:pPr>
          </w:p>
          <w:p w:rsidR="006C17CB" w:rsidRDefault="0030091C">
            <w:pPr>
              <w:pStyle w:val="TableParagraph"/>
              <w:tabs>
                <w:tab w:val="left" w:pos="1358"/>
              </w:tabs>
              <w:ind w:right="110"/>
              <w:rPr>
                <w:sz w:val="20"/>
              </w:rPr>
            </w:pPr>
            <w:r>
              <w:rPr>
                <w:color w:val="003366"/>
                <w:sz w:val="20"/>
              </w:rPr>
              <w:t>162</w:t>
            </w:r>
            <w:r>
              <w:rPr>
                <w:color w:val="003366"/>
                <w:sz w:val="20"/>
              </w:rPr>
              <w:tab/>
            </w:r>
            <w:r>
              <w:rPr>
                <w:color w:val="003366"/>
                <w:spacing w:val="-2"/>
                <w:sz w:val="20"/>
              </w:rPr>
              <w:t>405</w:t>
            </w:r>
          </w:p>
        </w:tc>
      </w:tr>
      <w:tr w:rsidR="006C17CB">
        <w:trPr>
          <w:trHeight w:val="286"/>
        </w:trPr>
        <w:tc>
          <w:tcPr>
            <w:tcW w:w="6105" w:type="dxa"/>
          </w:tcPr>
          <w:p w:rsidR="006C17CB" w:rsidRDefault="0030091C">
            <w:pPr>
              <w:pStyle w:val="TableParagraph"/>
              <w:spacing w:line="246" w:lineRule="exact"/>
              <w:ind w:left="50"/>
              <w:jc w:val="left"/>
              <w:rPr>
                <w:sz w:val="20"/>
              </w:rPr>
            </w:pPr>
            <w:r>
              <w:rPr>
                <w:color w:val="003366"/>
                <w:sz w:val="20"/>
              </w:rPr>
              <w:t>Accrued Expenses</w:t>
            </w:r>
          </w:p>
        </w:tc>
        <w:tc>
          <w:tcPr>
            <w:tcW w:w="2625" w:type="dxa"/>
          </w:tcPr>
          <w:p w:rsidR="006C17CB" w:rsidRDefault="0030091C">
            <w:pPr>
              <w:pStyle w:val="TableParagraph"/>
              <w:tabs>
                <w:tab w:val="left" w:pos="851"/>
                <w:tab w:val="left" w:pos="2210"/>
              </w:tabs>
              <w:spacing w:line="246" w:lineRule="exact"/>
              <w:ind w:right="-15"/>
              <w:rPr>
                <w:sz w:val="20"/>
              </w:rPr>
            </w:pPr>
            <w:r>
              <w:rPr>
                <w:color w:val="003366"/>
                <w:w w:val="99"/>
                <w:sz w:val="20"/>
                <w:u w:val="single" w:color="003366"/>
              </w:rPr>
              <w:t xml:space="preserve"> </w:t>
            </w:r>
            <w:r>
              <w:rPr>
                <w:color w:val="003366"/>
                <w:sz w:val="20"/>
                <w:u w:val="single" w:color="003366"/>
              </w:rPr>
              <w:tab/>
              <w:t>126</w:t>
            </w:r>
            <w:r>
              <w:rPr>
                <w:color w:val="003366"/>
                <w:sz w:val="20"/>
                <w:u w:val="single" w:color="003366"/>
              </w:rPr>
              <w:tab/>
            </w:r>
            <w:r>
              <w:rPr>
                <w:color w:val="003366"/>
                <w:spacing w:val="-1"/>
                <w:w w:val="95"/>
                <w:sz w:val="20"/>
                <w:u w:val="single" w:color="003366"/>
              </w:rPr>
              <w:t>141</w:t>
            </w:r>
            <w:r>
              <w:rPr>
                <w:color w:val="003366"/>
                <w:spacing w:val="21"/>
                <w:sz w:val="20"/>
                <w:u w:val="single" w:color="003366"/>
              </w:rPr>
              <w:t xml:space="preserve"> </w:t>
            </w:r>
          </w:p>
        </w:tc>
      </w:tr>
      <w:tr w:rsidR="006C17CB">
        <w:trPr>
          <w:trHeight w:val="536"/>
        </w:trPr>
        <w:tc>
          <w:tcPr>
            <w:tcW w:w="6105" w:type="dxa"/>
          </w:tcPr>
          <w:p w:rsidR="006C17CB" w:rsidRDefault="0030091C">
            <w:pPr>
              <w:pStyle w:val="TableParagraph"/>
              <w:spacing w:line="248" w:lineRule="exact"/>
              <w:ind w:left="50"/>
              <w:jc w:val="left"/>
              <w:rPr>
                <w:b/>
                <w:sz w:val="20"/>
              </w:rPr>
            </w:pPr>
            <w:r>
              <w:rPr>
                <w:b/>
                <w:color w:val="003366"/>
                <w:sz w:val="20"/>
              </w:rPr>
              <w:t>Total Current Payables</w:t>
            </w:r>
          </w:p>
        </w:tc>
        <w:tc>
          <w:tcPr>
            <w:tcW w:w="2625" w:type="dxa"/>
            <w:tcBorders>
              <w:bottom w:val="single" w:sz="2" w:space="0" w:color="003366"/>
            </w:tcBorders>
          </w:tcPr>
          <w:p w:rsidR="006C17CB" w:rsidRDefault="0030091C">
            <w:pPr>
              <w:pStyle w:val="TableParagraph"/>
              <w:tabs>
                <w:tab w:val="left" w:pos="851"/>
                <w:tab w:val="left" w:pos="2210"/>
              </w:tabs>
              <w:spacing w:line="248" w:lineRule="exact"/>
              <w:ind w:right="-15"/>
              <w:rPr>
                <w:b/>
                <w:sz w:val="20"/>
              </w:rPr>
            </w:pPr>
            <w:r>
              <w:rPr>
                <w:b/>
                <w:color w:val="003366"/>
                <w:w w:val="99"/>
                <w:sz w:val="20"/>
                <w:u w:val="single" w:color="003366"/>
              </w:rPr>
              <w:t xml:space="preserve"> </w:t>
            </w:r>
            <w:r>
              <w:rPr>
                <w:b/>
                <w:color w:val="003366"/>
                <w:sz w:val="20"/>
                <w:u w:val="single" w:color="003366"/>
              </w:rPr>
              <w:tab/>
              <w:t>288</w:t>
            </w:r>
            <w:r>
              <w:rPr>
                <w:b/>
                <w:color w:val="003366"/>
                <w:sz w:val="20"/>
                <w:u w:val="single" w:color="003366"/>
              </w:rPr>
              <w:tab/>
            </w:r>
            <w:r>
              <w:rPr>
                <w:b/>
                <w:color w:val="003366"/>
                <w:spacing w:val="-1"/>
                <w:w w:val="95"/>
                <w:sz w:val="20"/>
                <w:u w:val="single" w:color="003366"/>
              </w:rPr>
              <w:t>546</w:t>
            </w:r>
            <w:r>
              <w:rPr>
                <w:b/>
                <w:color w:val="003366"/>
                <w:spacing w:val="21"/>
                <w:sz w:val="20"/>
                <w:u w:val="single" w:color="003366"/>
              </w:rPr>
              <w:t xml:space="preserve"> </w:t>
            </w:r>
          </w:p>
        </w:tc>
      </w:tr>
      <w:tr w:rsidR="006C17CB">
        <w:trPr>
          <w:trHeight w:val="282"/>
        </w:trPr>
        <w:tc>
          <w:tcPr>
            <w:tcW w:w="6105" w:type="dxa"/>
          </w:tcPr>
          <w:p w:rsidR="006C17CB" w:rsidRDefault="0030091C">
            <w:pPr>
              <w:pStyle w:val="TableParagraph"/>
              <w:spacing w:line="262" w:lineRule="exact"/>
              <w:ind w:left="50"/>
              <w:jc w:val="left"/>
              <w:rPr>
                <w:b/>
                <w:sz w:val="20"/>
              </w:rPr>
            </w:pPr>
            <w:r>
              <w:rPr>
                <w:b/>
                <w:color w:val="003366"/>
                <w:sz w:val="20"/>
              </w:rPr>
              <w:t>Total Payables</w:t>
            </w:r>
          </w:p>
        </w:tc>
        <w:tc>
          <w:tcPr>
            <w:tcW w:w="2625" w:type="dxa"/>
            <w:tcBorders>
              <w:top w:val="single" w:sz="2" w:space="0" w:color="003366"/>
              <w:bottom w:val="double" w:sz="1" w:space="0" w:color="003366"/>
            </w:tcBorders>
          </w:tcPr>
          <w:p w:rsidR="006C17CB" w:rsidRDefault="0030091C">
            <w:pPr>
              <w:pStyle w:val="TableParagraph"/>
              <w:tabs>
                <w:tab w:val="left" w:pos="1358"/>
              </w:tabs>
              <w:spacing w:line="262" w:lineRule="exact"/>
              <w:ind w:right="110"/>
              <w:rPr>
                <w:b/>
                <w:sz w:val="20"/>
              </w:rPr>
            </w:pPr>
            <w:r>
              <w:rPr>
                <w:b/>
                <w:color w:val="003366"/>
                <w:sz w:val="20"/>
              </w:rPr>
              <w:t>288</w:t>
            </w:r>
            <w:r>
              <w:rPr>
                <w:b/>
                <w:color w:val="003366"/>
                <w:sz w:val="20"/>
              </w:rPr>
              <w:tab/>
            </w:r>
            <w:r>
              <w:rPr>
                <w:b/>
                <w:color w:val="003366"/>
                <w:spacing w:val="-2"/>
                <w:sz w:val="20"/>
              </w:rPr>
              <w:t>546</w:t>
            </w:r>
          </w:p>
        </w:tc>
      </w:tr>
      <w:tr w:rsidR="006C17CB">
        <w:trPr>
          <w:trHeight w:val="608"/>
        </w:trPr>
        <w:tc>
          <w:tcPr>
            <w:tcW w:w="6105" w:type="dxa"/>
          </w:tcPr>
          <w:p w:rsidR="006C17CB" w:rsidRDefault="006C17CB">
            <w:pPr>
              <w:pStyle w:val="TableParagraph"/>
              <w:spacing w:before="6"/>
              <w:jc w:val="left"/>
              <w:rPr>
                <w:sz w:val="19"/>
              </w:rPr>
            </w:pPr>
          </w:p>
          <w:p w:rsidR="006C17CB" w:rsidRDefault="0030091C">
            <w:pPr>
              <w:pStyle w:val="TableParagraph"/>
              <w:spacing w:before="1"/>
              <w:ind w:left="50"/>
              <w:jc w:val="left"/>
              <w:rPr>
                <w:b/>
                <w:sz w:val="20"/>
              </w:rPr>
            </w:pPr>
            <w:r>
              <w:rPr>
                <w:b/>
                <w:color w:val="003366"/>
                <w:sz w:val="20"/>
              </w:rPr>
              <w:t>Payables are aged as follows:</w:t>
            </w:r>
          </w:p>
        </w:tc>
        <w:tc>
          <w:tcPr>
            <w:tcW w:w="2625" w:type="dxa"/>
            <w:tcBorders>
              <w:top w:val="double" w:sz="1" w:space="0" w:color="003366"/>
            </w:tcBorders>
          </w:tcPr>
          <w:p w:rsidR="006C17CB" w:rsidRDefault="006C17CB">
            <w:pPr>
              <w:pStyle w:val="TableParagraph"/>
              <w:jc w:val="left"/>
              <w:rPr>
                <w:rFonts w:ascii="Times New Roman"/>
                <w:sz w:val="18"/>
              </w:rPr>
            </w:pPr>
          </w:p>
        </w:tc>
      </w:tr>
      <w:tr w:rsidR="006C17CB">
        <w:trPr>
          <w:trHeight w:val="286"/>
        </w:trPr>
        <w:tc>
          <w:tcPr>
            <w:tcW w:w="6105" w:type="dxa"/>
          </w:tcPr>
          <w:p w:rsidR="006C17CB" w:rsidRDefault="0030091C">
            <w:pPr>
              <w:pStyle w:val="TableParagraph"/>
              <w:spacing w:line="246" w:lineRule="exact"/>
              <w:ind w:left="50"/>
              <w:jc w:val="left"/>
              <w:rPr>
                <w:sz w:val="20"/>
              </w:rPr>
            </w:pPr>
            <w:r>
              <w:rPr>
                <w:color w:val="003366"/>
                <w:sz w:val="20"/>
              </w:rPr>
              <w:t>Not Overdue</w:t>
            </w:r>
          </w:p>
        </w:tc>
        <w:tc>
          <w:tcPr>
            <w:tcW w:w="2625" w:type="dxa"/>
          </w:tcPr>
          <w:p w:rsidR="006C17CB" w:rsidRDefault="0030091C">
            <w:pPr>
              <w:pStyle w:val="TableParagraph"/>
              <w:tabs>
                <w:tab w:val="left" w:pos="851"/>
                <w:tab w:val="left" w:pos="2210"/>
              </w:tabs>
              <w:spacing w:line="246" w:lineRule="exact"/>
              <w:ind w:right="-15"/>
              <w:rPr>
                <w:sz w:val="20"/>
              </w:rPr>
            </w:pPr>
            <w:r>
              <w:rPr>
                <w:color w:val="003366"/>
                <w:w w:val="99"/>
                <w:sz w:val="20"/>
                <w:u w:val="single" w:color="003366"/>
              </w:rPr>
              <w:t xml:space="preserve"> </w:t>
            </w:r>
            <w:r>
              <w:rPr>
                <w:color w:val="003366"/>
                <w:sz w:val="20"/>
                <w:u w:val="single" w:color="003366"/>
              </w:rPr>
              <w:tab/>
              <w:t>288</w:t>
            </w:r>
            <w:r>
              <w:rPr>
                <w:color w:val="003366"/>
                <w:sz w:val="20"/>
                <w:u w:val="single" w:color="003366"/>
              </w:rPr>
              <w:tab/>
            </w:r>
            <w:r>
              <w:rPr>
                <w:color w:val="003366"/>
                <w:spacing w:val="-1"/>
                <w:w w:val="95"/>
                <w:sz w:val="20"/>
                <w:u w:val="single" w:color="003366"/>
              </w:rPr>
              <w:t>546</w:t>
            </w:r>
            <w:r>
              <w:rPr>
                <w:color w:val="003366"/>
                <w:spacing w:val="21"/>
                <w:sz w:val="20"/>
                <w:u w:val="single" w:color="003366"/>
              </w:rPr>
              <w:t xml:space="preserve"> </w:t>
            </w:r>
          </w:p>
        </w:tc>
      </w:tr>
      <w:tr w:rsidR="006C17CB">
        <w:trPr>
          <w:trHeight w:val="248"/>
        </w:trPr>
        <w:tc>
          <w:tcPr>
            <w:tcW w:w="6105" w:type="dxa"/>
          </w:tcPr>
          <w:p w:rsidR="006C17CB" w:rsidRDefault="0030091C">
            <w:pPr>
              <w:pStyle w:val="TableParagraph"/>
              <w:spacing w:line="228" w:lineRule="exact"/>
              <w:ind w:left="50"/>
              <w:jc w:val="left"/>
              <w:rPr>
                <w:b/>
                <w:sz w:val="20"/>
              </w:rPr>
            </w:pPr>
            <w:r>
              <w:rPr>
                <w:b/>
                <w:color w:val="003366"/>
                <w:sz w:val="20"/>
              </w:rPr>
              <w:t>Total Payables</w:t>
            </w:r>
          </w:p>
        </w:tc>
        <w:tc>
          <w:tcPr>
            <w:tcW w:w="2625" w:type="dxa"/>
            <w:tcBorders>
              <w:bottom w:val="double" w:sz="1" w:space="0" w:color="003366"/>
            </w:tcBorders>
          </w:tcPr>
          <w:p w:rsidR="006C17CB" w:rsidRDefault="0030091C">
            <w:pPr>
              <w:pStyle w:val="TableParagraph"/>
              <w:tabs>
                <w:tab w:val="left" w:pos="1358"/>
              </w:tabs>
              <w:spacing w:line="228" w:lineRule="exact"/>
              <w:ind w:right="110"/>
              <w:rPr>
                <w:b/>
                <w:sz w:val="20"/>
              </w:rPr>
            </w:pPr>
            <w:r>
              <w:rPr>
                <w:b/>
                <w:color w:val="003366"/>
                <w:sz w:val="20"/>
              </w:rPr>
              <w:t>288</w:t>
            </w:r>
            <w:r>
              <w:rPr>
                <w:b/>
                <w:color w:val="003366"/>
                <w:sz w:val="20"/>
              </w:rPr>
              <w:tab/>
            </w:r>
            <w:r>
              <w:rPr>
                <w:b/>
                <w:color w:val="003366"/>
                <w:spacing w:val="-2"/>
                <w:sz w:val="20"/>
              </w:rPr>
              <w:t>546</w:t>
            </w:r>
          </w:p>
        </w:tc>
      </w:tr>
    </w:tbl>
    <w:p w:rsidR="006C17CB" w:rsidRDefault="006C17CB">
      <w:pPr>
        <w:pStyle w:val="BodyText"/>
        <w:spacing w:before="14"/>
        <w:rPr>
          <w:rFonts w:ascii="Calibri"/>
          <w:sz w:val="20"/>
        </w:rPr>
      </w:pPr>
    </w:p>
    <w:p w:rsidR="006C17CB" w:rsidRDefault="0030091C">
      <w:pPr>
        <w:pStyle w:val="ListParagraph"/>
        <w:numPr>
          <w:ilvl w:val="0"/>
          <w:numId w:val="8"/>
        </w:numPr>
        <w:tabs>
          <w:tab w:val="left" w:pos="1189"/>
          <w:tab w:val="left" w:pos="1190"/>
        </w:tabs>
        <w:spacing w:line="201" w:lineRule="auto"/>
        <w:ind w:right="1523"/>
        <w:rPr>
          <w:rFonts w:ascii="Calibri"/>
          <w:sz w:val="18"/>
        </w:rPr>
      </w:pPr>
      <w:r>
        <w:rPr>
          <w:rFonts w:ascii="Calibri"/>
          <w:color w:val="003366"/>
          <w:sz w:val="18"/>
        </w:rPr>
        <w:t>Trade payables were lower than the previous year mainly due to the payment of the final quarterly invoice from the supplier of information technology running costs before</w:t>
      </w:r>
      <w:r>
        <w:rPr>
          <w:rFonts w:ascii="Calibri"/>
          <w:color w:val="003366"/>
          <w:spacing w:val="-8"/>
          <w:sz w:val="18"/>
        </w:rPr>
        <w:t xml:space="preserve"> </w:t>
      </w:r>
      <w:r>
        <w:rPr>
          <w:rFonts w:ascii="Calibri"/>
          <w:color w:val="003366"/>
          <w:sz w:val="18"/>
        </w:rPr>
        <w:t>year-end.</w:t>
      </w:r>
    </w:p>
    <w:p w:rsidR="006C17CB" w:rsidRDefault="006C17CB">
      <w:pPr>
        <w:pStyle w:val="BodyText"/>
        <w:spacing w:before="13"/>
        <w:rPr>
          <w:rFonts w:ascii="Calibri"/>
          <w:sz w:val="21"/>
        </w:rPr>
      </w:pPr>
    </w:p>
    <w:p w:rsidR="006C17CB" w:rsidRDefault="0030091C">
      <w:pPr>
        <w:spacing w:line="235" w:lineRule="auto"/>
        <w:ind w:left="829" w:right="4614"/>
        <w:rPr>
          <w:rFonts w:ascii="Calibri"/>
          <w:b/>
          <w:sz w:val="20"/>
        </w:rPr>
      </w:pPr>
      <w:r>
        <w:rPr>
          <w:rFonts w:ascii="Calibri"/>
          <w:b/>
          <w:color w:val="003366"/>
          <w:sz w:val="20"/>
        </w:rPr>
        <w:t>Classification of ACT Government/Non-ACT Government Payables Payables with ACT Government Entities</w:t>
      </w:r>
    </w:p>
    <w:p w:rsidR="006C17CB" w:rsidRDefault="0030091C">
      <w:pPr>
        <w:tabs>
          <w:tab w:val="left" w:pos="7940"/>
          <w:tab w:val="left" w:pos="9095"/>
        </w:tabs>
        <w:spacing w:line="284" w:lineRule="exact"/>
        <w:ind w:left="829"/>
        <w:rPr>
          <w:rFonts w:ascii="Calibri"/>
          <w:sz w:val="20"/>
        </w:rPr>
      </w:pPr>
      <w:r>
        <w:rPr>
          <w:rFonts w:ascii="Calibri"/>
          <w:color w:val="003366"/>
          <w:sz w:val="20"/>
        </w:rPr>
        <w:t>Trade</w:t>
      </w:r>
      <w:r>
        <w:rPr>
          <w:rFonts w:ascii="Calibri"/>
          <w:color w:val="003366"/>
          <w:spacing w:val="-3"/>
          <w:sz w:val="20"/>
        </w:rPr>
        <w:t xml:space="preserve"> </w:t>
      </w:r>
      <w:r>
        <w:rPr>
          <w:rFonts w:ascii="Calibri"/>
          <w:color w:val="003366"/>
          <w:sz w:val="20"/>
        </w:rPr>
        <w:t>Payables</w:t>
      </w:r>
      <w:r>
        <w:rPr>
          <w:rFonts w:ascii="Calibri"/>
          <w:color w:val="003366"/>
          <w:sz w:val="20"/>
        </w:rPr>
        <w:tab/>
        <w:t>2</w:t>
      </w:r>
      <w:r>
        <w:rPr>
          <w:rFonts w:ascii="Calibri"/>
          <w:color w:val="003366"/>
          <w:sz w:val="20"/>
        </w:rPr>
        <w:tab/>
        <w:t>267</w:t>
      </w:r>
    </w:p>
    <w:p w:rsidR="006C17CB" w:rsidRDefault="0030091C">
      <w:pPr>
        <w:tabs>
          <w:tab w:val="left" w:pos="6884"/>
          <w:tab w:val="left" w:pos="7839"/>
          <w:tab w:val="left" w:pos="9198"/>
        </w:tabs>
        <w:spacing w:line="287" w:lineRule="exact"/>
        <w:ind w:left="829"/>
        <w:jc w:val="both"/>
        <w:rPr>
          <w:rFonts w:ascii="Calibri"/>
          <w:sz w:val="20"/>
        </w:rPr>
      </w:pPr>
      <w:r>
        <w:rPr>
          <w:rFonts w:ascii="Calibri"/>
          <w:color w:val="003366"/>
          <w:sz w:val="20"/>
        </w:rPr>
        <w:t>Accrued</w:t>
      </w:r>
      <w:r>
        <w:rPr>
          <w:rFonts w:ascii="Calibri"/>
          <w:color w:val="003366"/>
          <w:spacing w:val="-2"/>
          <w:sz w:val="20"/>
        </w:rPr>
        <w:t xml:space="preserve"> </w:t>
      </w:r>
      <w:r>
        <w:rPr>
          <w:rFonts w:ascii="Calibri"/>
          <w:color w:val="003366"/>
          <w:sz w:val="20"/>
        </w:rPr>
        <w:t>Expenses</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55</w:t>
      </w:r>
      <w:r>
        <w:rPr>
          <w:rFonts w:ascii="Calibri"/>
          <w:color w:val="003366"/>
          <w:sz w:val="20"/>
          <w:u w:val="single" w:color="003366"/>
        </w:rPr>
        <w:tab/>
        <w:t xml:space="preserve">80 </w:t>
      </w:r>
      <w:r>
        <w:rPr>
          <w:rFonts w:ascii="Calibri"/>
          <w:color w:val="003366"/>
          <w:spacing w:val="18"/>
          <w:sz w:val="20"/>
          <w:u w:val="single" w:color="003366"/>
        </w:rPr>
        <w:t xml:space="preserve"> </w:t>
      </w:r>
    </w:p>
    <w:p w:rsidR="006C17CB" w:rsidRDefault="0030091C">
      <w:pPr>
        <w:tabs>
          <w:tab w:val="left" w:pos="6884"/>
          <w:tab w:val="left" w:pos="7839"/>
          <w:tab w:val="left" w:pos="9095"/>
        </w:tabs>
        <w:ind w:left="829"/>
        <w:jc w:val="both"/>
        <w:rPr>
          <w:rFonts w:ascii="Calibri"/>
          <w:b/>
          <w:sz w:val="20"/>
        </w:rPr>
      </w:pPr>
      <w:r>
        <w:rPr>
          <w:rFonts w:ascii="Calibri"/>
          <w:b/>
          <w:color w:val="003366"/>
          <w:sz w:val="20"/>
        </w:rPr>
        <w:t>Total Payables with ACT</w:t>
      </w:r>
      <w:r>
        <w:rPr>
          <w:rFonts w:ascii="Calibri"/>
          <w:b/>
          <w:color w:val="003366"/>
          <w:spacing w:val="-7"/>
          <w:sz w:val="20"/>
        </w:rPr>
        <w:t xml:space="preserve"> </w:t>
      </w:r>
      <w:r>
        <w:rPr>
          <w:rFonts w:ascii="Calibri"/>
          <w:b/>
          <w:color w:val="003366"/>
          <w:sz w:val="20"/>
        </w:rPr>
        <w:t>Government</w:t>
      </w:r>
      <w:r>
        <w:rPr>
          <w:rFonts w:ascii="Calibri"/>
          <w:b/>
          <w:color w:val="003366"/>
          <w:spacing w:val="-2"/>
          <w:sz w:val="20"/>
        </w:rPr>
        <w:t xml:space="preserve"> </w:t>
      </w:r>
      <w:r>
        <w:rPr>
          <w:rFonts w:ascii="Calibri"/>
          <w:b/>
          <w:color w:val="003366"/>
          <w:sz w:val="20"/>
        </w:rPr>
        <w:t>Entities</w:t>
      </w:r>
      <w:r>
        <w:rPr>
          <w:rFonts w:ascii="Calibri"/>
          <w:b/>
          <w:color w:val="003366"/>
          <w:sz w:val="20"/>
        </w:rPr>
        <w:tab/>
      </w:r>
      <w:r>
        <w:rPr>
          <w:rFonts w:ascii="Calibri"/>
          <w:b/>
          <w:color w:val="003366"/>
          <w:sz w:val="20"/>
          <w:u w:val="single" w:color="003366"/>
        </w:rPr>
        <w:t xml:space="preserve"> </w:t>
      </w:r>
      <w:r>
        <w:rPr>
          <w:rFonts w:ascii="Calibri"/>
          <w:b/>
          <w:color w:val="003366"/>
          <w:sz w:val="20"/>
          <w:u w:val="single" w:color="003366"/>
        </w:rPr>
        <w:tab/>
        <w:t>57</w:t>
      </w:r>
      <w:r>
        <w:rPr>
          <w:rFonts w:ascii="Calibri"/>
          <w:b/>
          <w:color w:val="003366"/>
          <w:sz w:val="20"/>
          <w:u w:val="single" w:color="003366"/>
        </w:rPr>
        <w:tab/>
        <w:t xml:space="preserve">347 </w:t>
      </w:r>
      <w:r>
        <w:rPr>
          <w:rFonts w:ascii="Calibri"/>
          <w:b/>
          <w:color w:val="003366"/>
          <w:spacing w:val="21"/>
          <w:sz w:val="20"/>
          <w:u w:val="single" w:color="003366"/>
        </w:rPr>
        <w:t xml:space="preserve"> </w:t>
      </w:r>
    </w:p>
    <w:p w:rsidR="006C17CB" w:rsidRDefault="006C17CB">
      <w:pPr>
        <w:jc w:val="both"/>
        <w:rPr>
          <w:rFonts w:ascii="Calibri"/>
          <w:sz w:val="20"/>
        </w:rPr>
        <w:sectPr w:rsidR="006C17CB">
          <w:pgSz w:w="11910" w:h="16840"/>
          <w:pgMar w:top="2120" w:right="0" w:bottom="720" w:left="980" w:header="1173" w:footer="523" w:gutter="0"/>
          <w:cols w:space="720"/>
        </w:sectPr>
      </w:pPr>
    </w:p>
    <w:p w:rsidR="006C17CB" w:rsidRDefault="006C17CB">
      <w:pPr>
        <w:pStyle w:val="BodyText"/>
        <w:spacing w:before="8"/>
        <w:rPr>
          <w:rFonts w:ascii="Calibri"/>
          <w:b/>
          <w:sz w:val="28"/>
        </w:rPr>
      </w:pPr>
    </w:p>
    <w:tbl>
      <w:tblPr>
        <w:tblW w:w="0" w:type="auto"/>
        <w:tblInd w:w="779" w:type="dxa"/>
        <w:tblLayout w:type="fixed"/>
        <w:tblCellMar>
          <w:left w:w="0" w:type="dxa"/>
          <w:right w:w="0" w:type="dxa"/>
        </w:tblCellMar>
        <w:tblLook w:val="01E0" w:firstRow="1" w:lastRow="1" w:firstColumn="1" w:lastColumn="1" w:noHBand="0" w:noVBand="0"/>
      </w:tblPr>
      <w:tblGrid>
        <w:gridCol w:w="5930"/>
        <w:gridCol w:w="2801"/>
      </w:tblGrid>
      <w:tr w:rsidR="006C17CB">
        <w:trPr>
          <w:trHeight w:val="322"/>
        </w:trPr>
        <w:tc>
          <w:tcPr>
            <w:tcW w:w="5930" w:type="dxa"/>
          </w:tcPr>
          <w:p w:rsidR="006C17CB" w:rsidRDefault="0030091C">
            <w:pPr>
              <w:pStyle w:val="TableParagraph"/>
              <w:spacing w:line="244" w:lineRule="exact"/>
              <w:ind w:left="50"/>
              <w:jc w:val="left"/>
              <w:rPr>
                <w:b/>
                <w:sz w:val="24"/>
              </w:rPr>
            </w:pPr>
            <w:r>
              <w:rPr>
                <w:b/>
                <w:color w:val="003366"/>
                <w:sz w:val="24"/>
              </w:rPr>
              <w:t>NOTE 16. PAYABLES – CONTINUED</w:t>
            </w:r>
          </w:p>
        </w:tc>
        <w:tc>
          <w:tcPr>
            <w:tcW w:w="2801" w:type="dxa"/>
          </w:tcPr>
          <w:p w:rsidR="006C17CB" w:rsidRDefault="006C17CB">
            <w:pPr>
              <w:pStyle w:val="TableParagraph"/>
              <w:jc w:val="left"/>
              <w:rPr>
                <w:rFonts w:ascii="Times New Roman"/>
                <w:sz w:val="20"/>
              </w:rPr>
            </w:pPr>
          </w:p>
        </w:tc>
      </w:tr>
      <w:tr w:rsidR="006C17CB">
        <w:trPr>
          <w:trHeight w:val="569"/>
        </w:trPr>
        <w:tc>
          <w:tcPr>
            <w:tcW w:w="5930" w:type="dxa"/>
          </w:tcPr>
          <w:p w:rsidR="006C17CB" w:rsidRDefault="006C17CB">
            <w:pPr>
              <w:pStyle w:val="TableParagraph"/>
              <w:spacing w:before="11"/>
              <w:jc w:val="left"/>
              <w:rPr>
                <w:b/>
                <w:sz w:val="16"/>
              </w:rPr>
            </w:pPr>
          </w:p>
          <w:p w:rsidR="006C17CB" w:rsidRDefault="0030091C">
            <w:pPr>
              <w:pStyle w:val="TableParagraph"/>
              <w:ind w:left="50"/>
              <w:jc w:val="left"/>
              <w:rPr>
                <w:b/>
                <w:sz w:val="20"/>
              </w:rPr>
            </w:pPr>
            <w:r>
              <w:rPr>
                <w:b/>
                <w:color w:val="003366"/>
                <w:sz w:val="20"/>
              </w:rPr>
              <w:t>Payables with Non-ACT Government Entities</w:t>
            </w:r>
          </w:p>
        </w:tc>
        <w:tc>
          <w:tcPr>
            <w:tcW w:w="2801" w:type="dxa"/>
          </w:tcPr>
          <w:p w:rsidR="006C17CB" w:rsidRDefault="0030091C">
            <w:pPr>
              <w:pStyle w:val="TableParagraph"/>
              <w:tabs>
                <w:tab w:val="left" w:pos="2284"/>
              </w:tabs>
              <w:spacing w:line="264" w:lineRule="exact"/>
              <w:ind w:left="842"/>
              <w:jc w:val="left"/>
              <w:rPr>
                <w:b/>
                <w:sz w:val="20"/>
              </w:rPr>
            </w:pPr>
            <w:r>
              <w:rPr>
                <w:b/>
                <w:color w:val="003366"/>
                <w:sz w:val="20"/>
              </w:rPr>
              <w:t>2018</w:t>
            </w:r>
            <w:r>
              <w:rPr>
                <w:b/>
                <w:color w:val="003366"/>
                <w:sz w:val="20"/>
              </w:rPr>
              <w:tab/>
              <w:t>2017</w:t>
            </w:r>
          </w:p>
          <w:p w:rsidR="006C17CB" w:rsidRDefault="0030091C">
            <w:pPr>
              <w:pStyle w:val="TableParagraph"/>
              <w:tabs>
                <w:tab w:val="left" w:pos="2234"/>
              </w:tabs>
              <w:spacing w:line="267" w:lineRule="exact"/>
              <w:ind w:left="791"/>
              <w:jc w:val="left"/>
              <w:rPr>
                <w:b/>
                <w:sz w:val="20"/>
              </w:rPr>
            </w:pPr>
            <w:r>
              <w:rPr>
                <w:b/>
                <w:color w:val="003366"/>
                <w:sz w:val="20"/>
              </w:rPr>
              <w:t>$’000</w:t>
            </w:r>
            <w:r>
              <w:rPr>
                <w:b/>
                <w:color w:val="003366"/>
                <w:sz w:val="20"/>
              </w:rPr>
              <w:tab/>
              <w:t>$’000</w:t>
            </w:r>
          </w:p>
        </w:tc>
      </w:tr>
      <w:tr w:rsidR="006C17CB">
        <w:trPr>
          <w:trHeight w:val="284"/>
        </w:trPr>
        <w:tc>
          <w:tcPr>
            <w:tcW w:w="5930" w:type="dxa"/>
          </w:tcPr>
          <w:p w:rsidR="006C17CB" w:rsidRDefault="0030091C">
            <w:pPr>
              <w:pStyle w:val="TableParagraph"/>
              <w:spacing w:line="246" w:lineRule="exact"/>
              <w:ind w:left="50"/>
              <w:jc w:val="left"/>
              <w:rPr>
                <w:sz w:val="20"/>
              </w:rPr>
            </w:pPr>
            <w:r>
              <w:rPr>
                <w:color w:val="003366"/>
                <w:sz w:val="20"/>
              </w:rPr>
              <w:t>Trade Payables</w:t>
            </w:r>
          </w:p>
        </w:tc>
        <w:tc>
          <w:tcPr>
            <w:tcW w:w="2801" w:type="dxa"/>
          </w:tcPr>
          <w:p w:rsidR="006C17CB" w:rsidRDefault="0030091C">
            <w:pPr>
              <w:pStyle w:val="TableParagraph"/>
              <w:tabs>
                <w:tab w:val="left" w:pos="1442"/>
              </w:tabs>
              <w:spacing w:line="246" w:lineRule="exact"/>
              <w:ind w:right="111"/>
              <w:rPr>
                <w:sz w:val="20"/>
              </w:rPr>
            </w:pPr>
            <w:r>
              <w:rPr>
                <w:color w:val="003366"/>
                <w:sz w:val="20"/>
              </w:rPr>
              <w:t>160</w:t>
            </w:r>
            <w:r>
              <w:rPr>
                <w:color w:val="003366"/>
                <w:sz w:val="20"/>
              </w:rPr>
              <w:tab/>
            </w:r>
            <w:r>
              <w:rPr>
                <w:color w:val="003366"/>
                <w:spacing w:val="-2"/>
                <w:sz w:val="20"/>
              </w:rPr>
              <w:t>138</w:t>
            </w:r>
          </w:p>
        </w:tc>
      </w:tr>
      <w:tr w:rsidR="006C17CB">
        <w:trPr>
          <w:trHeight w:val="286"/>
        </w:trPr>
        <w:tc>
          <w:tcPr>
            <w:tcW w:w="5930" w:type="dxa"/>
          </w:tcPr>
          <w:p w:rsidR="006C17CB" w:rsidRDefault="0030091C">
            <w:pPr>
              <w:pStyle w:val="TableParagraph"/>
              <w:spacing w:line="245" w:lineRule="exact"/>
              <w:ind w:left="50"/>
              <w:jc w:val="left"/>
              <w:rPr>
                <w:sz w:val="20"/>
              </w:rPr>
            </w:pPr>
            <w:r>
              <w:rPr>
                <w:color w:val="003366"/>
                <w:sz w:val="20"/>
              </w:rPr>
              <w:t>Accrued Expenses</w:t>
            </w:r>
          </w:p>
        </w:tc>
        <w:tc>
          <w:tcPr>
            <w:tcW w:w="2801" w:type="dxa"/>
          </w:tcPr>
          <w:p w:rsidR="006C17CB" w:rsidRDefault="0030091C">
            <w:pPr>
              <w:pStyle w:val="TableParagraph"/>
              <w:tabs>
                <w:tab w:val="left" w:pos="1046"/>
                <w:tab w:val="left" w:pos="2488"/>
              </w:tabs>
              <w:spacing w:line="245" w:lineRule="exact"/>
              <w:rPr>
                <w:sz w:val="20"/>
              </w:rPr>
            </w:pPr>
            <w:r>
              <w:rPr>
                <w:color w:val="003366"/>
                <w:w w:val="99"/>
                <w:sz w:val="20"/>
                <w:u w:val="single" w:color="003366"/>
              </w:rPr>
              <w:t xml:space="preserve"> </w:t>
            </w:r>
            <w:r>
              <w:rPr>
                <w:color w:val="003366"/>
                <w:sz w:val="20"/>
                <w:u w:val="single" w:color="003366"/>
              </w:rPr>
              <w:tab/>
              <w:t>71</w:t>
            </w:r>
            <w:r>
              <w:rPr>
                <w:color w:val="003366"/>
                <w:sz w:val="20"/>
                <w:u w:val="single" w:color="003366"/>
              </w:rPr>
              <w:tab/>
            </w:r>
            <w:r>
              <w:rPr>
                <w:color w:val="003366"/>
                <w:spacing w:val="-1"/>
                <w:sz w:val="20"/>
                <w:u w:val="single" w:color="003366"/>
              </w:rPr>
              <w:t>61</w:t>
            </w:r>
            <w:r>
              <w:rPr>
                <w:color w:val="003366"/>
                <w:spacing w:val="18"/>
                <w:sz w:val="20"/>
                <w:u w:val="single" w:color="003366"/>
              </w:rPr>
              <w:t xml:space="preserve"> </w:t>
            </w:r>
          </w:p>
        </w:tc>
      </w:tr>
      <w:tr w:rsidR="006C17CB">
        <w:trPr>
          <w:trHeight w:val="586"/>
        </w:trPr>
        <w:tc>
          <w:tcPr>
            <w:tcW w:w="5930" w:type="dxa"/>
          </w:tcPr>
          <w:p w:rsidR="006C17CB" w:rsidRDefault="0030091C">
            <w:pPr>
              <w:pStyle w:val="TableParagraph"/>
              <w:spacing w:line="249" w:lineRule="exact"/>
              <w:ind w:left="50"/>
              <w:jc w:val="left"/>
              <w:rPr>
                <w:b/>
                <w:sz w:val="20"/>
              </w:rPr>
            </w:pPr>
            <w:r>
              <w:rPr>
                <w:b/>
                <w:color w:val="003366"/>
                <w:sz w:val="20"/>
              </w:rPr>
              <w:t>Total Payables with Non-ACT Government Entities</w:t>
            </w:r>
          </w:p>
        </w:tc>
        <w:tc>
          <w:tcPr>
            <w:tcW w:w="2801" w:type="dxa"/>
            <w:tcBorders>
              <w:bottom w:val="single" w:sz="2" w:space="0" w:color="003366"/>
            </w:tcBorders>
          </w:tcPr>
          <w:p w:rsidR="006C17CB" w:rsidRDefault="0030091C">
            <w:pPr>
              <w:pStyle w:val="TableParagraph"/>
              <w:tabs>
                <w:tab w:val="left" w:pos="943"/>
                <w:tab w:val="left" w:pos="2385"/>
              </w:tabs>
              <w:spacing w:line="249" w:lineRule="exact"/>
              <w:rPr>
                <w:b/>
                <w:sz w:val="20"/>
              </w:rPr>
            </w:pPr>
            <w:r>
              <w:rPr>
                <w:b/>
                <w:color w:val="003366"/>
                <w:w w:val="99"/>
                <w:sz w:val="20"/>
                <w:u w:val="single" w:color="003366"/>
              </w:rPr>
              <w:t xml:space="preserve"> </w:t>
            </w:r>
            <w:r>
              <w:rPr>
                <w:b/>
                <w:color w:val="003366"/>
                <w:sz w:val="20"/>
                <w:u w:val="single" w:color="003366"/>
              </w:rPr>
              <w:tab/>
              <w:t>231</w:t>
            </w:r>
            <w:r>
              <w:rPr>
                <w:b/>
                <w:color w:val="003366"/>
                <w:sz w:val="20"/>
                <w:u w:val="single" w:color="003366"/>
              </w:rPr>
              <w:tab/>
            </w:r>
            <w:r>
              <w:rPr>
                <w:b/>
                <w:color w:val="003366"/>
                <w:spacing w:val="-1"/>
                <w:w w:val="95"/>
                <w:sz w:val="20"/>
                <w:u w:val="single" w:color="003366"/>
              </w:rPr>
              <w:t>199</w:t>
            </w:r>
            <w:r>
              <w:rPr>
                <w:b/>
                <w:color w:val="003366"/>
                <w:spacing w:val="21"/>
                <w:sz w:val="20"/>
                <w:u w:val="single" w:color="003366"/>
              </w:rPr>
              <w:t xml:space="preserve"> </w:t>
            </w:r>
          </w:p>
        </w:tc>
      </w:tr>
      <w:tr w:rsidR="006C17CB">
        <w:trPr>
          <w:trHeight w:val="282"/>
        </w:trPr>
        <w:tc>
          <w:tcPr>
            <w:tcW w:w="5930" w:type="dxa"/>
          </w:tcPr>
          <w:p w:rsidR="006C17CB" w:rsidRDefault="0030091C">
            <w:pPr>
              <w:pStyle w:val="TableParagraph"/>
              <w:spacing w:line="262" w:lineRule="exact"/>
              <w:ind w:left="50"/>
              <w:jc w:val="left"/>
              <w:rPr>
                <w:b/>
                <w:sz w:val="20"/>
              </w:rPr>
            </w:pPr>
            <w:r>
              <w:rPr>
                <w:b/>
                <w:color w:val="003366"/>
                <w:sz w:val="20"/>
              </w:rPr>
              <w:t>Total Payables</w:t>
            </w:r>
          </w:p>
        </w:tc>
        <w:tc>
          <w:tcPr>
            <w:tcW w:w="2801" w:type="dxa"/>
            <w:tcBorders>
              <w:top w:val="single" w:sz="2" w:space="0" w:color="003366"/>
              <w:bottom w:val="double" w:sz="1" w:space="0" w:color="000000"/>
            </w:tcBorders>
          </w:tcPr>
          <w:p w:rsidR="006C17CB" w:rsidRDefault="0030091C">
            <w:pPr>
              <w:pStyle w:val="TableParagraph"/>
              <w:tabs>
                <w:tab w:val="left" w:pos="1442"/>
              </w:tabs>
              <w:spacing w:line="262" w:lineRule="exact"/>
              <w:ind w:right="111"/>
              <w:rPr>
                <w:b/>
                <w:sz w:val="20"/>
              </w:rPr>
            </w:pPr>
            <w:r>
              <w:rPr>
                <w:b/>
                <w:color w:val="003366"/>
                <w:sz w:val="20"/>
              </w:rPr>
              <w:t>288</w:t>
            </w:r>
            <w:r>
              <w:rPr>
                <w:b/>
                <w:color w:val="003366"/>
                <w:sz w:val="20"/>
              </w:rPr>
              <w:tab/>
            </w:r>
            <w:r>
              <w:rPr>
                <w:b/>
                <w:color w:val="003366"/>
                <w:spacing w:val="-2"/>
                <w:sz w:val="20"/>
              </w:rPr>
              <w:t>546</w:t>
            </w:r>
          </w:p>
        </w:tc>
      </w:tr>
      <w:tr w:rsidR="006C17CB">
        <w:trPr>
          <w:trHeight w:val="688"/>
        </w:trPr>
        <w:tc>
          <w:tcPr>
            <w:tcW w:w="5930" w:type="dxa"/>
          </w:tcPr>
          <w:p w:rsidR="006C17CB" w:rsidRDefault="006C17CB">
            <w:pPr>
              <w:pStyle w:val="TableParagraph"/>
              <w:jc w:val="left"/>
              <w:rPr>
                <w:b/>
                <w:sz w:val="24"/>
              </w:rPr>
            </w:pPr>
          </w:p>
          <w:p w:rsidR="006C17CB" w:rsidRDefault="0030091C">
            <w:pPr>
              <w:pStyle w:val="TableParagraph"/>
              <w:tabs>
                <w:tab w:val="left" w:pos="1182"/>
              </w:tabs>
              <w:spacing w:line="321" w:lineRule="exact"/>
              <w:ind w:left="50"/>
              <w:jc w:val="left"/>
              <w:rPr>
                <w:b/>
                <w:sz w:val="24"/>
              </w:rPr>
            </w:pPr>
            <w:r>
              <w:rPr>
                <w:b/>
                <w:color w:val="003366"/>
                <w:sz w:val="24"/>
              </w:rPr>
              <w:t>NOTE</w:t>
            </w:r>
            <w:r>
              <w:rPr>
                <w:b/>
                <w:color w:val="003366"/>
                <w:spacing w:val="-1"/>
                <w:sz w:val="24"/>
              </w:rPr>
              <w:t xml:space="preserve"> </w:t>
            </w:r>
            <w:r>
              <w:rPr>
                <w:b/>
                <w:color w:val="003366"/>
                <w:sz w:val="24"/>
              </w:rPr>
              <w:t>17.</w:t>
            </w:r>
            <w:r>
              <w:rPr>
                <w:b/>
                <w:color w:val="003366"/>
                <w:sz w:val="24"/>
              </w:rPr>
              <w:tab/>
              <w:t>EMPLOYEE BENEFITS</w:t>
            </w:r>
          </w:p>
        </w:tc>
        <w:tc>
          <w:tcPr>
            <w:tcW w:w="2801" w:type="dxa"/>
            <w:tcBorders>
              <w:top w:val="double" w:sz="1" w:space="0" w:color="000000"/>
            </w:tcBorders>
          </w:tcPr>
          <w:p w:rsidR="006C17CB" w:rsidRDefault="006C17CB">
            <w:pPr>
              <w:pStyle w:val="TableParagraph"/>
              <w:jc w:val="left"/>
              <w:rPr>
                <w:rFonts w:ascii="Times New Roman"/>
                <w:sz w:val="20"/>
              </w:rPr>
            </w:pPr>
          </w:p>
        </w:tc>
      </w:tr>
    </w:tbl>
    <w:p w:rsidR="006C17CB" w:rsidRDefault="006C17CB">
      <w:pPr>
        <w:pStyle w:val="BodyText"/>
        <w:spacing w:before="12"/>
        <w:rPr>
          <w:rFonts w:ascii="Calibri"/>
          <w:b/>
          <w:sz w:val="12"/>
        </w:rPr>
      </w:pPr>
    </w:p>
    <w:p w:rsidR="006C17CB" w:rsidRDefault="0030091C">
      <w:pPr>
        <w:spacing w:before="15"/>
        <w:ind w:left="829"/>
        <w:jc w:val="both"/>
        <w:rPr>
          <w:rFonts w:ascii="Calibri"/>
          <w:i/>
          <w:sz w:val="20"/>
        </w:rPr>
      </w:pPr>
      <w:r>
        <w:rPr>
          <w:rFonts w:ascii="Calibri"/>
          <w:i/>
          <w:color w:val="003366"/>
          <w:sz w:val="20"/>
        </w:rPr>
        <w:t>Wages and Salaries</w:t>
      </w:r>
    </w:p>
    <w:p w:rsidR="006C17CB" w:rsidRDefault="0030091C">
      <w:pPr>
        <w:spacing w:before="111" w:line="204" w:lineRule="auto"/>
        <w:ind w:left="829" w:right="1523"/>
        <w:jc w:val="both"/>
        <w:rPr>
          <w:rFonts w:ascii="Calibri"/>
          <w:sz w:val="20"/>
        </w:rPr>
      </w:pPr>
      <w:r>
        <w:rPr>
          <w:rFonts w:ascii="Calibri"/>
          <w:color w:val="003366"/>
          <w:sz w:val="20"/>
        </w:rPr>
        <w:t>Accrued wages and salaries are measured at the amount that remains unpaid to employees at the end of the reporting period.</w:t>
      </w:r>
    </w:p>
    <w:p w:rsidR="006C17CB" w:rsidRDefault="0030091C">
      <w:pPr>
        <w:spacing w:before="84"/>
        <w:ind w:left="829"/>
        <w:jc w:val="both"/>
        <w:rPr>
          <w:rFonts w:ascii="Calibri" w:hAnsi="Calibri"/>
          <w:i/>
          <w:sz w:val="20"/>
        </w:rPr>
      </w:pPr>
      <w:r>
        <w:rPr>
          <w:rFonts w:ascii="Calibri" w:hAnsi="Calibri"/>
          <w:i/>
          <w:color w:val="003366"/>
          <w:sz w:val="20"/>
        </w:rPr>
        <w:t>Annual and Long Service Leave – Office of the Legislative Assembly staff</w:t>
      </w:r>
    </w:p>
    <w:p w:rsidR="006C17CB" w:rsidRDefault="0030091C">
      <w:pPr>
        <w:spacing w:before="110" w:line="204" w:lineRule="auto"/>
        <w:ind w:left="829" w:right="1520"/>
        <w:jc w:val="both"/>
        <w:rPr>
          <w:rFonts w:ascii="Calibri"/>
          <w:sz w:val="20"/>
        </w:rPr>
      </w:pPr>
      <w:r>
        <w:rPr>
          <w:rFonts w:ascii="Calibri"/>
          <w:color w:val="003366"/>
          <w:sz w:val="20"/>
        </w:rPr>
        <w:t>Annual and long service leave including applicable on-costs that are not expected to be wholly settled before twelve months after the end of the reporting period, when the employees render the related service</w:t>
      </w:r>
      <w:r>
        <w:rPr>
          <w:rFonts w:ascii="Calibri"/>
          <w:color w:val="003366"/>
          <w:spacing w:val="-6"/>
          <w:sz w:val="20"/>
        </w:rPr>
        <w:t xml:space="preserve"> </w:t>
      </w:r>
      <w:r>
        <w:rPr>
          <w:rFonts w:ascii="Calibri"/>
          <w:color w:val="003366"/>
          <w:sz w:val="20"/>
        </w:rPr>
        <w:t>are</w:t>
      </w:r>
      <w:r>
        <w:rPr>
          <w:rFonts w:ascii="Calibri"/>
          <w:color w:val="003366"/>
          <w:spacing w:val="-4"/>
          <w:sz w:val="20"/>
        </w:rPr>
        <w:t xml:space="preserve"> </w:t>
      </w:r>
      <w:r>
        <w:rPr>
          <w:rFonts w:ascii="Calibri"/>
          <w:color w:val="003366"/>
          <w:sz w:val="20"/>
        </w:rPr>
        <w:t>measured</w:t>
      </w:r>
      <w:r>
        <w:rPr>
          <w:rFonts w:ascii="Calibri"/>
          <w:color w:val="003366"/>
          <w:spacing w:val="-4"/>
          <w:sz w:val="20"/>
        </w:rPr>
        <w:t xml:space="preserve"> </w:t>
      </w:r>
      <w:r>
        <w:rPr>
          <w:rFonts w:ascii="Calibri"/>
          <w:color w:val="003366"/>
          <w:sz w:val="20"/>
        </w:rPr>
        <w:t>at</w:t>
      </w:r>
      <w:r>
        <w:rPr>
          <w:rFonts w:ascii="Calibri"/>
          <w:color w:val="003366"/>
          <w:spacing w:val="-5"/>
          <w:sz w:val="20"/>
        </w:rPr>
        <w:t xml:space="preserve"> </w:t>
      </w:r>
      <w:r>
        <w:rPr>
          <w:rFonts w:ascii="Calibri"/>
          <w:color w:val="003366"/>
          <w:sz w:val="20"/>
        </w:rPr>
        <w:t>the</w:t>
      </w:r>
      <w:r>
        <w:rPr>
          <w:rFonts w:ascii="Calibri"/>
          <w:color w:val="003366"/>
          <w:spacing w:val="-6"/>
          <w:sz w:val="20"/>
        </w:rPr>
        <w:t xml:space="preserve"> </w:t>
      </w:r>
      <w:r>
        <w:rPr>
          <w:rFonts w:ascii="Calibri"/>
          <w:color w:val="003366"/>
          <w:sz w:val="20"/>
        </w:rPr>
        <w:t>present</w:t>
      </w:r>
      <w:r>
        <w:rPr>
          <w:rFonts w:ascii="Calibri"/>
          <w:color w:val="003366"/>
          <w:spacing w:val="-5"/>
          <w:sz w:val="20"/>
        </w:rPr>
        <w:t xml:space="preserve"> </w:t>
      </w:r>
      <w:r>
        <w:rPr>
          <w:rFonts w:ascii="Calibri"/>
          <w:color w:val="003366"/>
          <w:sz w:val="20"/>
        </w:rPr>
        <w:t>value</w:t>
      </w:r>
      <w:r>
        <w:rPr>
          <w:rFonts w:ascii="Calibri"/>
          <w:color w:val="003366"/>
          <w:spacing w:val="-6"/>
          <w:sz w:val="20"/>
        </w:rPr>
        <w:t xml:space="preserve"> </w:t>
      </w:r>
      <w:r>
        <w:rPr>
          <w:rFonts w:ascii="Calibri"/>
          <w:color w:val="003366"/>
          <w:sz w:val="20"/>
        </w:rPr>
        <w:t>of</w:t>
      </w:r>
      <w:r>
        <w:rPr>
          <w:rFonts w:ascii="Calibri"/>
          <w:color w:val="003366"/>
          <w:spacing w:val="-6"/>
          <w:sz w:val="20"/>
        </w:rPr>
        <w:t xml:space="preserve"> </w:t>
      </w:r>
      <w:r>
        <w:rPr>
          <w:rFonts w:ascii="Calibri"/>
          <w:color w:val="003366"/>
          <w:sz w:val="20"/>
        </w:rPr>
        <w:t>estimated</w:t>
      </w:r>
      <w:r>
        <w:rPr>
          <w:rFonts w:ascii="Calibri"/>
          <w:color w:val="003366"/>
          <w:spacing w:val="-4"/>
          <w:sz w:val="20"/>
        </w:rPr>
        <w:t xml:space="preserve"> </w:t>
      </w:r>
      <w:r>
        <w:rPr>
          <w:rFonts w:ascii="Calibri"/>
          <w:color w:val="003366"/>
          <w:sz w:val="20"/>
        </w:rPr>
        <w:t>future</w:t>
      </w:r>
      <w:r>
        <w:rPr>
          <w:rFonts w:ascii="Calibri"/>
          <w:color w:val="003366"/>
          <w:spacing w:val="-6"/>
          <w:sz w:val="20"/>
        </w:rPr>
        <w:t xml:space="preserve"> </w:t>
      </w:r>
      <w:r>
        <w:rPr>
          <w:rFonts w:ascii="Calibri"/>
          <w:color w:val="003366"/>
          <w:sz w:val="20"/>
        </w:rPr>
        <w:t>payments</w:t>
      </w:r>
      <w:r>
        <w:rPr>
          <w:rFonts w:ascii="Calibri"/>
          <w:color w:val="003366"/>
          <w:spacing w:val="-7"/>
          <w:sz w:val="20"/>
        </w:rPr>
        <w:t xml:space="preserve"> </w:t>
      </w:r>
      <w:r>
        <w:rPr>
          <w:rFonts w:ascii="Calibri"/>
          <w:color w:val="003366"/>
          <w:sz w:val="20"/>
        </w:rPr>
        <w:t>to</w:t>
      </w:r>
      <w:r>
        <w:rPr>
          <w:rFonts w:ascii="Calibri"/>
          <w:color w:val="003366"/>
          <w:spacing w:val="-5"/>
          <w:sz w:val="20"/>
        </w:rPr>
        <w:t xml:space="preserve"> </w:t>
      </w:r>
      <w:r>
        <w:rPr>
          <w:rFonts w:ascii="Calibri"/>
          <w:color w:val="003366"/>
          <w:sz w:val="20"/>
        </w:rPr>
        <w:t>be</w:t>
      </w:r>
      <w:r>
        <w:rPr>
          <w:rFonts w:ascii="Calibri"/>
          <w:color w:val="003366"/>
          <w:spacing w:val="-4"/>
          <w:sz w:val="20"/>
        </w:rPr>
        <w:t xml:space="preserve"> </w:t>
      </w:r>
      <w:r>
        <w:rPr>
          <w:rFonts w:ascii="Calibri"/>
          <w:color w:val="003366"/>
          <w:sz w:val="20"/>
        </w:rPr>
        <w:t>made</w:t>
      </w:r>
      <w:r>
        <w:rPr>
          <w:rFonts w:ascii="Calibri"/>
          <w:color w:val="003366"/>
          <w:spacing w:val="-6"/>
          <w:sz w:val="20"/>
        </w:rPr>
        <w:t xml:space="preserve"> </w:t>
      </w:r>
      <w:r>
        <w:rPr>
          <w:rFonts w:ascii="Calibri"/>
          <w:color w:val="003366"/>
          <w:sz w:val="20"/>
        </w:rPr>
        <w:t>in</w:t>
      </w:r>
      <w:r>
        <w:rPr>
          <w:rFonts w:ascii="Calibri"/>
          <w:color w:val="003366"/>
          <w:spacing w:val="-5"/>
          <w:sz w:val="20"/>
        </w:rPr>
        <w:t xml:space="preserve"> </w:t>
      </w:r>
      <w:r>
        <w:rPr>
          <w:rFonts w:ascii="Calibri"/>
          <w:color w:val="003366"/>
          <w:sz w:val="20"/>
        </w:rPr>
        <w:t>respect</w:t>
      </w:r>
      <w:r>
        <w:rPr>
          <w:rFonts w:ascii="Calibri"/>
          <w:color w:val="003366"/>
          <w:spacing w:val="-5"/>
          <w:sz w:val="20"/>
        </w:rPr>
        <w:t xml:space="preserve"> </w:t>
      </w:r>
      <w:r>
        <w:rPr>
          <w:rFonts w:ascii="Calibri"/>
          <w:color w:val="003366"/>
          <w:sz w:val="20"/>
        </w:rPr>
        <w:t>of</w:t>
      </w:r>
      <w:r>
        <w:rPr>
          <w:rFonts w:ascii="Calibri"/>
          <w:color w:val="003366"/>
          <w:spacing w:val="-4"/>
          <w:sz w:val="20"/>
        </w:rPr>
        <w:t xml:space="preserve"> </w:t>
      </w:r>
      <w:r>
        <w:rPr>
          <w:rFonts w:ascii="Calibri"/>
          <w:color w:val="003366"/>
          <w:sz w:val="20"/>
        </w:rPr>
        <w:t>services provided by employees up to the end of the reporting period. Consideration is given to the future wage and salary levels, experience of employee departures and periods of service. At the end of each reporting period,</w:t>
      </w:r>
      <w:r>
        <w:rPr>
          <w:rFonts w:ascii="Calibri"/>
          <w:color w:val="003366"/>
          <w:spacing w:val="-11"/>
          <w:sz w:val="20"/>
        </w:rPr>
        <w:t xml:space="preserve"> </w:t>
      </w:r>
      <w:r>
        <w:rPr>
          <w:rFonts w:ascii="Calibri"/>
          <w:color w:val="003366"/>
          <w:sz w:val="20"/>
        </w:rPr>
        <w:t>the</w:t>
      </w:r>
      <w:r>
        <w:rPr>
          <w:rFonts w:ascii="Calibri"/>
          <w:color w:val="003366"/>
          <w:spacing w:val="-12"/>
          <w:sz w:val="20"/>
        </w:rPr>
        <w:t xml:space="preserve"> </w:t>
      </w:r>
      <w:r>
        <w:rPr>
          <w:rFonts w:ascii="Calibri"/>
          <w:color w:val="003366"/>
          <w:sz w:val="20"/>
        </w:rPr>
        <w:t>present</w:t>
      </w:r>
      <w:r>
        <w:rPr>
          <w:rFonts w:ascii="Calibri"/>
          <w:color w:val="003366"/>
          <w:spacing w:val="-11"/>
          <w:sz w:val="20"/>
        </w:rPr>
        <w:t xml:space="preserve"> </w:t>
      </w:r>
      <w:r>
        <w:rPr>
          <w:rFonts w:ascii="Calibri"/>
          <w:color w:val="003366"/>
          <w:sz w:val="20"/>
        </w:rPr>
        <w:t>value</w:t>
      </w:r>
      <w:r>
        <w:rPr>
          <w:rFonts w:ascii="Calibri"/>
          <w:color w:val="003366"/>
          <w:spacing w:val="-12"/>
          <w:sz w:val="20"/>
        </w:rPr>
        <w:t xml:space="preserve"> </w:t>
      </w:r>
      <w:r>
        <w:rPr>
          <w:rFonts w:ascii="Calibri"/>
          <w:color w:val="003366"/>
          <w:sz w:val="20"/>
        </w:rPr>
        <w:t>of</w:t>
      </w:r>
      <w:r>
        <w:rPr>
          <w:rFonts w:ascii="Calibri"/>
          <w:color w:val="003366"/>
          <w:spacing w:val="-12"/>
          <w:sz w:val="20"/>
        </w:rPr>
        <w:t xml:space="preserve"> </w:t>
      </w:r>
      <w:r>
        <w:rPr>
          <w:rFonts w:ascii="Calibri"/>
          <w:color w:val="003366"/>
          <w:sz w:val="20"/>
        </w:rPr>
        <w:t>future</w:t>
      </w:r>
      <w:r>
        <w:rPr>
          <w:rFonts w:ascii="Calibri"/>
          <w:color w:val="003366"/>
          <w:spacing w:val="-12"/>
          <w:sz w:val="20"/>
        </w:rPr>
        <w:t xml:space="preserve"> </w:t>
      </w:r>
      <w:r>
        <w:rPr>
          <w:rFonts w:ascii="Calibri"/>
          <w:color w:val="003366"/>
          <w:sz w:val="20"/>
        </w:rPr>
        <w:t>annual</w:t>
      </w:r>
      <w:r>
        <w:rPr>
          <w:rFonts w:ascii="Calibri"/>
          <w:color w:val="003366"/>
          <w:spacing w:val="-14"/>
          <w:sz w:val="20"/>
        </w:rPr>
        <w:t xml:space="preserve"> </w:t>
      </w:r>
      <w:r>
        <w:rPr>
          <w:rFonts w:ascii="Calibri"/>
          <w:color w:val="003366"/>
          <w:sz w:val="20"/>
        </w:rPr>
        <w:t>leave</w:t>
      </w:r>
      <w:r>
        <w:rPr>
          <w:rFonts w:ascii="Calibri"/>
          <w:color w:val="003366"/>
          <w:spacing w:val="-12"/>
          <w:sz w:val="20"/>
        </w:rPr>
        <w:t xml:space="preserve"> </w:t>
      </w:r>
      <w:r>
        <w:rPr>
          <w:rFonts w:ascii="Calibri"/>
          <w:color w:val="003366"/>
          <w:sz w:val="20"/>
        </w:rPr>
        <w:t>and</w:t>
      </w:r>
      <w:r>
        <w:rPr>
          <w:rFonts w:ascii="Calibri"/>
          <w:color w:val="003366"/>
          <w:spacing w:val="-10"/>
          <w:sz w:val="20"/>
        </w:rPr>
        <w:t xml:space="preserve"> </w:t>
      </w:r>
      <w:r>
        <w:rPr>
          <w:rFonts w:ascii="Calibri"/>
          <w:color w:val="003366"/>
          <w:sz w:val="20"/>
        </w:rPr>
        <w:t>long</w:t>
      </w:r>
      <w:r>
        <w:rPr>
          <w:rFonts w:ascii="Calibri"/>
          <w:color w:val="003366"/>
          <w:spacing w:val="-12"/>
          <w:sz w:val="20"/>
        </w:rPr>
        <w:t xml:space="preserve"> </w:t>
      </w:r>
      <w:r>
        <w:rPr>
          <w:rFonts w:ascii="Calibri"/>
          <w:color w:val="003366"/>
          <w:sz w:val="20"/>
        </w:rPr>
        <w:t>service</w:t>
      </w:r>
      <w:r>
        <w:rPr>
          <w:rFonts w:ascii="Calibri"/>
          <w:color w:val="003366"/>
          <w:spacing w:val="-12"/>
          <w:sz w:val="20"/>
        </w:rPr>
        <w:t xml:space="preserve"> </w:t>
      </w:r>
      <w:r>
        <w:rPr>
          <w:rFonts w:ascii="Calibri"/>
          <w:color w:val="003366"/>
          <w:sz w:val="20"/>
        </w:rPr>
        <w:t>leave</w:t>
      </w:r>
      <w:r>
        <w:rPr>
          <w:rFonts w:ascii="Calibri"/>
          <w:color w:val="003366"/>
          <w:spacing w:val="-12"/>
          <w:sz w:val="20"/>
        </w:rPr>
        <w:t xml:space="preserve"> </w:t>
      </w:r>
      <w:r>
        <w:rPr>
          <w:rFonts w:ascii="Calibri"/>
          <w:color w:val="003366"/>
          <w:sz w:val="20"/>
        </w:rPr>
        <w:t>payments</w:t>
      </w:r>
      <w:r>
        <w:rPr>
          <w:rFonts w:ascii="Calibri"/>
          <w:color w:val="003366"/>
          <w:spacing w:val="-12"/>
          <w:sz w:val="20"/>
        </w:rPr>
        <w:t xml:space="preserve"> </w:t>
      </w:r>
      <w:r>
        <w:rPr>
          <w:rFonts w:ascii="Calibri"/>
          <w:color w:val="003366"/>
          <w:sz w:val="20"/>
        </w:rPr>
        <w:t>is</w:t>
      </w:r>
      <w:r>
        <w:rPr>
          <w:rFonts w:ascii="Calibri"/>
          <w:color w:val="003366"/>
          <w:spacing w:val="-12"/>
          <w:sz w:val="20"/>
        </w:rPr>
        <w:t xml:space="preserve"> </w:t>
      </w:r>
      <w:r>
        <w:rPr>
          <w:rFonts w:ascii="Calibri"/>
          <w:color w:val="003366"/>
          <w:sz w:val="20"/>
        </w:rPr>
        <w:t>estimated</w:t>
      </w:r>
      <w:r>
        <w:rPr>
          <w:rFonts w:ascii="Calibri"/>
          <w:color w:val="003366"/>
          <w:spacing w:val="-11"/>
          <w:sz w:val="20"/>
        </w:rPr>
        <w:t xml:space="preserve"> </w:t>
      </w:r>
      <w:r>
        <w:rPr>
          <w:rFonts w:ascii="Calibri"/>
          <w:color w:val="003366"/>
          <w:sz w:val="20"/>
        </w:rPr>
        <w:t>using</w:t>
      </w:r>
      <w:r>
        <w:rPr>
          <w:rFonts w:ascii="Calibri"/>
          <w:color w:val="003366"/>
          <w:spacing w:val="-11"/>
          <w:sz w:val="20"/>
        </w:rPr>
        <w:t xml:space="preserve"> </w:t>
      </w:r>
      <w:r>
        <w:rPr>
          <w:rFonts w:ascii="Calibri"/>
          <w:color w:val="003366"/>
          <w:sz w:val="20"/>
        </w:rPr>
        <w:t>market yields</w:t>
      </w:r>
      <w:r>
        <w:rPr>
          <w:rFonts w:ascii="Calibri"/>
          <w:color w:val="003366"/>
          <w:spacing w:val="-11"/>
          <w:sz w:val="20"/>
        </w:rPr>
        <w:t xml:space="preserve"> </w:t>
      </w:r>
      <w:r>
        <w:rPr>
          <w:rFonts w:ascii="Calibri"/>
          <w:color w:val="003366"/>
          <w:sz w:val="20"/>
        </w:rPr>
        <w:t>on</w:t>
      </w:r>
      <w:r>
        <w:rPr>
          <w:rFonts w:ascii="Calibri"/>
          <w:color w:val="003366"/>
          <w:spacing w:val="-9"/>
          <w:sz w:val="20"/>
        </w:rPr>
        <w:t xml:space="preserve"> </w:t>
      </w:r>
      <w:r>
        <w:rPr>
          <w:rFonts w:ascii="Calibri"/>
          <w:color w:val="003366"/>
          <w:sz w:val="20"/>
        </w:rPr>
        <w:t>Commonwealth</w:t>
      </w:r>
      <w:r>
        <w:rPr>
          <w:rFonts w:ascii="Calibri"/>
          <w:color w:val="003366"/>
          <w:spacing w:val="-7"/>
          <w:sz w:val="20"/>
        </w:rPr>
        <w:t xml:space="preserve"> </w:t>
      </w:r>
      <w:r>
        <w:rPr>
          <w:rFonts w:ascii="Calibri"/>
          <w:color w:val="003366"/>
          <w:sz w:val="20"/>
        </w:rPr>
        <w:t>Government</w:t>
      </w:r>
      <w:r>
        <w:rPr>
          <w:rFonts w:ascii="Calibri"/>
          <w:color w:val="003366"/>
          <w:spacing w:val="-10"/>
          <w:sz w:val="20"/>
        </w:rPr>
        <w:t xml:space="preserve"> </w:t>
      </w:r>
      <w:r>
        <w:rPr>
          <w:rFonts w:ascii="Calibri"/>
          <w:color w:val="003366"/>
          <w:sz w:val="20"/>
        </w:rPr>
        <w:t>bonds</w:t>
      </w:r>
      <w:r>
        <w:rPr>
          <w:rFonts w:ascii="Calibri"/>
          <w:color w:val="003366"/>
          <w:spacing w:val="-9"/>
          <w:sz w:val="20"/>
        </w:rPr>
        <w:t xml:space="preserve"> </w:t>
      </w:r>
      <w:r>
        <w:rPr>
          <w:rFonts w:ascii="Calibri"/>
          <w:color w:val="003366"/>
          <w:sz w:val="20"/>
        </w:rPr>
        <w:t>with</w:t>
      </w:r>
      <w:r>
        <w:rPr>
          <w:rFonts w:ascii="Calibri"/>
          <w:color w:val="003366"/>
          <w:spacing w:val="-9"/>
          <w:sz w:val="20"/>
        </w:rPr>
        <w:t xml:space="preserve"> </w:t>
      </w:r>
      <w:r>
        <w:rPr>
          <w:rFonts w:ascii="Calibri"/>
          <w:color w:val="003366"/>
          <w:sz w:val="20"/>
        </w:rPr>
        <w:t>terms</w:t>
      </w:r>
      <w:r>
        <w:rPr>
          <w:rFonts w:ascii="Calibri"/>
          <w:color w:val="003366"/>
          <w:spacing w:val="-11"/>
          <w:sz w:val="20"/>
        </w:rPr>
        <w:t xml:space="preserve"> </w:t>
      </w:r>
      <w:r>
        <w:rPr>
          <w:rFonts w:ascii="Calibri"/>
          <w:color w:val="003366"/>
          <w:sz w:val="20"/>
        </w:rPr>
        <w:t>to</w:t>
      </w:r>
      <w:r>
        <w:rPr>
          <w:rFonts w:ascii="Calibri"/>
          <w:color w:val="003366"/>
          <w:spacing w:val="-7"/>
          <w:sz w:val="20"/>
        </w:rPr>
        <w:t xml:space="preserve"> </w:t>
      </w:r>
      <w:r>
        <w:rPr>
          <w:rFonts w:ascii="Calibri"/>
          <w:color w:val="003366"/>
          <w:sz w:val="20"/>
        </w:rPr>
        <w:t>maturity</w:t>
      </w:r>
      <w:r>
        <w:rPr>
          <w:rFonts w:ascii="Calibri"/>
          <w:color w:val="003366"/>
          <w:spacing w:val="-9"/>
          <w:sz w:val="20"/>
        </w:rPr>
        <w:t xml:space="preserve"> </w:t>
      </w:r>
      <w:r>
        <w:rPr>
          <w:rFonts w:ascii="Calibri"/>
          <w:color w:val="003366"/>
          <w:sz w:val="20"/>
        </w:rPr>
        <w:t>that</w:t>
      </w:r>
      <w:r>
        <w:rPr>
          <w:rFonts w:ascii="Calibri"/>
          <w:color w:val="003366"/>
          <w:spacing w:val="-10"/>
          <w:sz w:val="20"/>
        </w:rPr>
        <w:t xml:space="preserve"> </w:t>
      </w:r>
      <w:r>
        <w:rPr>
          <w:rFonts w:ascii="Calibri"/>
          <w:color w:val="003366"/>
          <w:sz w:val="20"/>
        </w:rPr>
        <w:t>match,</w:t>
      </w:r>
      <w:r>
        <w:rPr>
          <w:rFonts w:ascii="Calibri"/>
          <w:color w:val="003366"/>
          <w:spacing w:val="-10"/>
          <w:sz w:val="20"/>
        </w:rPr>
        <w:t xml:space="preserve"> </w:t>
      </w:r>
      <w:r>
        <w:rPr>
          <w:rFonts w:ascii="Calibri"/>
          <w:color w:val="003366"/>
          <w:sz w:val="20"/>
        </w:rPr>
        <w:t>as</w:t>
      </w:r>
      <w:r>
        <w:rPr>
          <w:rFonts w:ascii="Calibri"/>
          <w:color w:val="003366"/>
          <w:spacing w:val="-11"/>
          <w:sz w:val="20"/>
        </w:rPr>
        <w:t xml:space="preserve"> </w:t>
      </w:r>
      <w:r>
        <w:rPr>
          <w:rFonts w:ascii="Calibri"/>
          <w:color w:val="003366"/>
          <w:sz w:val="20"/>
        </w:rPr>
        <w:t>closely</w:t>
      </w:r>
      <w:r>
        <w:rPr>
          <w:rFonts w:ascii="Calibri"/>
          <w:color w:val="003366"/>
          <w:spacing w:val="-9"/>
          <w:sz w:val="20"/>
        </w:rPr>
        <w:t xml:space="preserve"> </w:t>
      </w:r>
      <w:r>
        <w:rPr>
          <w:rFonts w:ascii="Calibri"/>
          <w:color w:val="003366"/>
          <w:sz w:val="20"/>
        </w:rPr>
        <w:t>as</w:t>
      </w:r>
      <w:r>
        <w:rPr>
          <w:rFonts w:ascii="Calibri"/>
          <w:color w:val="003366"/>
          <w:spacing w:val="-11"/>
          <w:sz w:val="20"/>
        </w:rPr>
        <w:t xml:space="preserve"> </w:t>
      </w:r>
      <w:r>
        <w:rPr>
          <w:rFonts w:ascii="Calibri"/>
          <w:color w:val="003366"/>
          <w:sz w:val="20"/>
        </w:rPr>
        <w:t>possible,</w:t>
      </w:r>
      <w:r>
        <w:rPr>
          <w:rFonts w:ascii="Calibri"/>
          <w:color w:val="003366"/>
          <w:spacing w:val="-10"/>
          <w:sz w:val="20"/>
        </w:rPr>
        <w:t xml:space="preserve"> </w:t>
      </w:r>
      <w:r>
        <w:rPr>
          <w:rFonts w:ascii="Calibri"/>
          <w:color w:val="003366"/>
          <w:sz w:val="20"/>
        </w:rPr>
        <w:t>the estimated future cash flows.</w:t>
      </w:r>
    </w:p>
    <w:p w:rsidR="006C17CB" w:rsidRDefault="0030091C">
      <w:pPr>
        <w:spacing w:before="113" w:line="204" w:lineRule="auto"/>
        <w:ind w:left="829" w:right="1522"/>
        <w:jc w:val="both"/>
        <w:rPr>
          <w:rFonts w:ascii="Calibri"/>
          <w:sz w:val="20"/>
        </w:rPr>
      </w:pPr>
      <w:r>
        <w:rPr>
          <w:rFonts w:ascii="Calibri"/>
          <w:color w:val="003366"/>
          <w:sz w:val="20"/>
        </w:rPr>
        <w:t>Annual leave liabilities have been estimated on the assumption they will be wholly settled within three years. In 2017-18, the rate used to estimate the present value of future:</w:t>
      </w:r>
    </w:p>
    <w:p w:rsidR="006C17CB" w:rsidRDefault="0030091C">
      <w:pPr>
        <w:pStyle w:val="ListParagraph"/>
        <w:numPr>
          <w:ilvl w:val="1"/>
          <w:numId w:val="8"/>
        </w:numPr>
        <w:tabs>
          <w:tab w:val="left" w:pos="1549"/>
          <w:tab w:val="left" w:pos="1550"/>
        </w:tabs>
        <w:spacing w:before="97" w:line="240" w:lineRule="auto"/>
        <w:rPr>
          <w:rFonts w:ascii="Calibri"/>
          <w:sz w:val="20"/>
        </w:rPr>
      </w:pPr>
      <w:r>
        <w:rPr>
          <w:rFonts w:ascii="Calibri"/>
          <w:color w:val="003366"/>
          <w:sz w:val="20"/>
        </w:rPr>
        <w:t>Annual leave payments is 99.7% (99.8% in 2016-17);</w:t>
      </w:r>
      <w:r>
        <w:rPr>
          <w:rFonts w:ascii="Calibri"/>
          <w:color w:val="003366"/>
          <w:spacing w:val="-7"/>
          <w:sz w:val="20"/>
        </w:rPr>
        <w:t xml:space="preserve"> </w:t>
      </w:r>
      <w:r>
        <w:rPr>
          <w:rFonts w:ascii="Calibri"/>
          <w:color w:val="003366"/>
          <w:sz w:val="20"/>
        </w:rPr>
        <w:t>and</w:t>
      </w:r>
    </w:p>
    <w:p w:rsidR="006C17CB" w:rsidRDefault="0030091C">
      <w:pPr>
        <w:pStyle w:val="ListParagraph"/>
        <w:numPr>
          <w:ilvl w:val="1"/>
          <w:numId w:val="8"/>
        </w:numPr>
        <w:tabs>
          <w:tab w:val="left" w:pos="1549"/>
          <w:tab w:val="left" w:pos="1550"/>
        </w:tabs>
        <w:spacing w:before="86" w:line="240" w:lineRule="auto"/>
        <w:rPr>
          <w:rFonts w:ascii="Calibri"/>
          <w:sz w:val="20"/>
        </w:rPr>
      </w:pPr>
      <w:r>
        <w:rPr>
          <w:rFonts w:ascii="Calibri"/>
          <w:color w:val="003366"/>
          <w:sz w:val="20"/>
        </w:rPr>
        <w:t>Payments for long service leave is 100.9% (103.4% in</w:t>
      </w:r>
      <w:r>
        <w:rPr>
          <w:rFonts w:ascii="Calibri"/>
          <w:color w:val="003366"/>
          <w:spacing w:val="-6"/>
          <w:sz w:val="20"/>
        </w:rPr>
        <w:t xml:space="preserve"> </w:t>
      </w:r>
      <w:r>
        <w:rPr>
          <w:rFonts w:ascii="Calibri"/>
          <w:color w:val="003366"/>
          <w:sz w:val="20"/>
        </w:rPr>
        <w:t>2016-17).</w:t>
      </w:r>
    </w:p>
    <w:p w:rsidR="006C17CB" w:rsidRDefault="0030091C">
      <w:pPr>
        <w:spacing w:before="109" w:line="204" w:lineRule="auto"/>
        <w:ind w:left="829" w:right="1522"/>
        <w:jc w:val="both"/>
        <w:rPr>
          <w:rFonts w:ascii="Calibri"/>
          <w:sz w:val="20"/>
        </w:rPr>
      </w:pPr>
      <w:r>
        <w:rPr>
          <w:rFonts w:ascii="Calibri"/>
          <w:color w:val="003366"/>
          <w:sz w:val="20"/>
        </w:rPr>
        <w:t>The</w:t>
      </w:r>
      <w:r>
        <w:rPr>
          <w:rFonts w:ascii="Calibri"/>
          <w:color w:val="003366"/>
          <w:spacing w:val="-9"/>
          <w:sz w:val="20"/>
        </w:rPr>
        <w:t xml:space="preserve"> </w:t>
      </w:r>
      <w:r>
        <w:rPr>
          <w:rFonts w:ascii="Calibri"/>
          <w:color w:val="003366"/>
          <w:sz w:val="20"/>
        </w:rPr>
        <w:t>long</w:t>
      </w:r>
      <w:r>
        <w:rPr>
          <w:rFonts w:ascii="Calibri"/>
          <w:color w:val="003366"/>
          <w:spacing w:val="-9"/>
          <w:sz w:val="20"/>
        </w:rPr>
        <w:t xml:space="preserve"> </w:t>
      </w:r>
      <w:r>
        <w:rPr>
          <w:rFonts w:ascii="Calibri"/>
          <w:color w:val="003366"/>
          <w:sz w:val="20"/>
        </w:rPr>
        <w:t>service</w:t>
      </w:r>
      <w:r>
        <w:rPr>
          <w:rFonts w:ascii="Calibri"/>
          <w:color w:val="003366"/>
          <w:spacing w:val="-9"/>
          <w:sz w:val="20"/>
        </w:rPr>
        <w:t xml:space="preserve"> </w:t>
      </w:r>
      <w:r>
        <w:rPr>
          <w:rFonts w:ascii="Calibri"/>
          <w:color w:val="003366"/>
          <w:sz w:val="20"/>
        </w:rPr>
        <w:t>leave</w:t>
      </w:r>
      <w:r>
        <w:rPr>
          <w:rFonts w:ascii="Calibri"/>
          <w:color w:val="003366"/>
          <w:spacing w:val="-9"/>
          <w:sz w:val="20"/>
        </w:rPr>
        <w:t xml:space="preserve"> </w:t>
      </w:r>
      <w:r>
        <w:rPr>
          <w:rFonts w:ascii="Calibri"/>
          <w:color w:val="003366"/>
          <w:sz w:val="20"/>
        </w:rPr>
        <w:t>liability</w:t>
      </w:r>
      <w:r>
        <w:rPr>
          <w:rFonts w:ascii="Calibri"/>
          <w:color w:val="003366"/>
          <w:spacing w:val="-8"/>
          <w:sz w:val="20"/>
        </w:rPr>
        <w:t xml:space="preserve"> </w:t>
      </w:r>
      <w:r>
        <w:rPr>
          <w:rFonts w:ascii="Calibri"/>
          <w:color w:val="003366"/>
          <w:sz w:val="20"/>
        </w:rPr>
        <w:t>is</w:t>
      </w:r>
      <w:r>
        <w:rPr>
          <w:rFonts w:ascii="Calibri"/>
          <w:color w:val="003366"/>
          <w:spacing w:val="-10"/>
          <w:sz w:val="20"/>
        </w:rPr>
        <w:t xml:space="preserve"> </w:t>
      </w:r>
      <w:r>
        <w:rPr>
          <w:rFonts w:ascii="Calibri"/>
          <w:color w:val="003366"/>
          <w:sz w:val="20"/>
        </w:rPr>
        <w:t>estimated</w:t>
      </w:r>
      <w:r>
        <w:rPr>
          <w:rFonts w:ascii="Calibri"/>
          <w:color w:val="003366"/>
          <w:spacing w:val="-8"/>
          <w:sz w:val="20"/>
        </w:rPr>
        <w:t xml:space="preserve"> </w:t>
      </w:r>
      <w:r>
        <w:rPr>
          <w:rFonts w:ascii="Calibri"/>
          <w:color w:val="003366"/>
          <w:sz w:val="20"/>
        </w:rPr>
        <w:t>with</w:t>
      </w:r>
      <w:r>
        <w:rPr>
          <w:rFonts w:ascii="Calibri"/>
          <w:color w:val="003366"/>
          <w:spacing w:val="-8"/>
          <w:sz w:val="20"/>
        </w:rPr>
        <w:t xml:space="preserve"> </w:t>
      </w:r>
      <w:r>
        <w:rPr>
          <w:rFonts w:ascii="Calibri"/>
          <w:color w:val="003366"/>
          <w:sz w:val="20"/>
        </w:rPr>
        <w:t>reference</w:t>
      </w:r>
      <w:r>
        <w:rPr>
          <w:rFonts w:ascii="Calibri"/>
          <w:color w:val="003366"/>
          <w:spacing w:val="-9"/>
          <w:sz w:val="20"/>
        </w:rPr>
        <w:t xml:space="preserve"> </w:t>
      </w:r>
      <w:r>
        <w:rPr>
          <w:rFonts w:ascii="Calibri"/>
          <w:color w:val="003366"/>
          <w:sz w:val="20"/>
        </w:rPr>
        <w:t>to</w:t>
      </w:r>
      <w:r>
        <w:rPr>
          <w:rFonts w:ascii="Calibri"/>
          <w:color w:val="003366"/>
          <w:spacing w:val="-6"/>
          <w:sz w:val="20"/>
        </w:rPr>
        <w:t xml:space="preserve"> </w:t>
      </w:r>
      <w:r>
        <w:rPr>
          <w:rFonts w:ascii="Calibri"/>
          <w:color w:val="003366"/>
          <w:sz w:val="20"/>
        </w:rPr>
        <w:t>the</w:t>
      </w:r>
      <w:r>
        <w:rPr>
          <w:rFonts w:ascii="Calibri"/>
          <w:color w:val="003366"/>
          <w:spacing w:val="-10"/>
          <w:sz w:val="20"/>
        </w:rPr>
        <w:t xml:space="preserve"> </w:t>
      </w:r>
      <w:r>
        <w:rPr>
          <w:rFonts w:ascii="Calibri"/>
          <w:color w:val="003366"/>
          <w:sz w:val="20"/>
        </w:rPr>
        <w:t>minimum</w:t>
      </w:r>
      <w:r>
        <w:rPr>
          <w:rFonts w:ascii="Calibri"/>
          <w:color w:val="003366"/>
          <w:spacing w:val="-10"/>
          <w:sz w:val="20"/>
        </w:rPr>
        <w:t xml:space="preserve"> </w:t>
      </w:r>
      <w:r>
        <w:rPr>
          <w:rFonts w:ascii="Calibri"/>
          <w:color w:val="003366"/>
          <w:sz w:val="20"/>
        </w:rPr>
        <w:t>period</w:t>
      </w:r>
      <w:r>
        <w:rPr>
          <w:rFonts w:ascii="Calibri"/>
          <w:color w:val="003366"/>
          <w:spacing w:val="-8"/>
          <w:sz w:val="20"/>
        </w:rPr>
        <w:t xml:space="preserve"> </w:t>
      </w:r>
      <w:r>
        <w:rPr>
          <w:rFonts w:ascii="Calibri"/>
          <w:color w:val="003366"/>
          <w:sz w:val="20"/>
        </w:rPr>
        <w:t>of</w:t>
      </w:r>
      <w:r>
        <w:rPr>
          <w:rFonts w:ascii="Calibri"/>
          <w:color w:val="003366"/>
          <w:spacing w:val="-10"/>
          <w:sz w:val="20"/>
        </w:rPr>
        <w:t xml:space="preserve"> </w:t>
      </w:r>
      <w:r>
        <w:rPr>
          <w:rFonts w:ascii="Calibri"/>
          <w:color w:val="003366"/>
          <w:sz w:val="20"/>
        </w:rPr>
        <w:t>qualifying</w:t>
      </w:r>
      <w:r>
        <w:rPr>
          <w:rFonts w:ascii="Calibri"/>
          <w:color w:val="003366"/>
          <w:spacing w:val="-9"/>
          <w:sz w:val="20"/>
        </w:rPr>
        <w:t xml:space="preserve"> </w:t>
      </w:r>
      <w:r>
        <w:rPr>
          <w:rFonts w:ascii="Calibri"/>
          <w:color w:val="003366"/>
          <w:sz w:val="20"/>
        </w:rPr>
        <w:t>service.</w:t>
      </w:r>
      <w:r>
        <w:rPr>
          <w:rFonts w:ascii="Calibri"/>
          <w:color w:val="003366"/>
          <w:spacing w:val="-9"/>
          <w:sz w:val="20"/>
        </w:rPr>
        <w:t xml:space="preserve"> </w:t>
      </w:r>
      <w:r>
        <w:rPr>
          <w:rFonts w:ascii="Calibri"/>
          <w:color w:val="003366"/>
          <w:sz w:val="20"/>
        </w:rPr>
        <w:t>For employees</w:t>
      </w:r>
      <w:r>
        <w:rPr>
          <w:rFonts w:ascii="Calibri"/>
          <w:color w:val="003366"/>
          <w:spacing w:val="-12"/>
          <w:sz w:val="20"/>
        </w:rPr>
        <w:t xml:space="preserve"> </w:t>
      </w:r>
      <w:r>
        <w:rPr>
          <w:rFonts w:ascii="Calibri"/>
          <w:color w:val="003366"/>
          <w:sz w:val="20"/>
        </w:rPr>
        <w:t>with</w:t>
      </w:r>
      <w:r>
        <w:rPr>
          <w:rFonts w:ascii="Calibri"/>
          <w:color w:val="003366"/>
          <w:spacing w:val="-10"/>
          <w:sz w:val="20"/>
        </w:rPr>
        <w:t xml:space="preserve"> </w:t>
      </w:r>
      <w:r>
        <w:rPr>
          <w:rFonts w:ascii="Calibri"/>
          <w:color w:val="003366"/>
          <w:sz w:val="20"/>
        </w:rPr>
        <w:t>less</w:t>
      </w:r>
      <w:r>
        <w:rPr>
          <w:rFonts w:ascii="Calibri"/>
          <w:color w:val="003366"/>
          <w:spacing w:val="-12"/>
          <w:sz w:val="20"/>
        </w:rPr>
        <w:t xml:space="preserve"> </w:t>
      </w:r>
      <w:r>
        <w:rPr>
          <w:rFonts w:ascii="Calibri"/>
          <w:color w:val="003366"/>
          <w:sz w:val="20"/>
        </w:rPr>
        <w:t>than</w:t>
      </w:r>
      <w:r>
        <w:rPr>
          <w:rFonts w:ascii="Calibri"/>
          <w:color w:val="003366"/>
          <w:spacing w:val="-10"/>
          <w:sz w:val="20"/>
        </w:rPr>
        <w:t xml:space="preserve"> </w:t>
      </w:r>
      <w:r>
        <w:rPr>
          <w:rFonts w:ascii="Calibri"/>
          <w:color w:val="003366"/>
          <w:sz w:val="20"/>
        </w:rPr>
        <w:t>the</w:t>
      </w:r>
      <w:r>
        <w:rPr>
          <w:rFonts w:ascii="Calibri"/>
          <w:color w:val="003366"/>
          <w:spacing w:val="-12"/>
          <w:sz w:val="20"/>
        </w:rPr>
        <w:t xml:space="preserve"> </w:t>
      </w:r>
      <w:r>
        <w:rPr>
          <w:rFonts w:ascii="Calibri"/>
          <w:color w:val="003366"/>
          <w:sz w:val="20"/>
        </w:rPr>
        <w:t>required</w:t>
      </w:r>
      <w:r>
        <w:rPr>
          <w:rFonts w:ascii="Calibri"/>
          <w:color w:val="003366"/>
          <w:spacing w:val="-10"/>
          <w:sz w:val="20"/>
        </w:rPr>
        <w:t xml:space="preserve"> </w:t>
      </w:r>
      <w:r>
        <w:rPr>
          <w:rFonts w:ascii="Calibri"/>
          <w:color w:val="003366"/>
          <w:sz w:val="20"/>
        </w:rPr>
        <w:t>minimum</w:t>
      </w:r>
      <w:r>
        <w:rPr>
          <w:rFonts w:ascii="Calibri"/>
          <w:color w:val="003366"/>
          <w:spacing w:val="-12"/>
          <w:sz w:val="20"/>
        </w:rPr>
        <w:t xml:space="preserve"> </w:t>
      </w:r>
      <w:r>
        <w:rPr>
          <w:rFonts w:ascii="Calibri"/>
          <w:color w:val="003366"/>
          <w:sz w:val="20"/>
        </w:rPr>
        <w:t>period</w:t>
      </w:r>
      <w:r>
        <w:rPr>
          <w:rFonts w:ascii="Calibri"/>
          <w:color w:val="003366"/>
          <w:spacing w:val="-10"/>
          <w:sz w:val="20"/>
        </w:rPr>
        <w:t xml:space="preserve"> </w:t>
      </w:r>
      <w:r>
        <w:rPr>
          <w:rFonts w:ascii="Calibri"/>
          <w:color w:val="003366"/>
          <w:sz w:val="20"/>
        </w:rPr>
        <w:t>of</w:t>
      </w:r>
      <w:r>
        <w:rPr>
          <w:rFonts w:ascii="Calibri"/>
          <w:color w:val="003366"/>
          <w:spacing w:val="-12"/>
          <w:sz w:val="20"/>
        </w:rPr>
        <w:t xml:space="preserve"> </w:t>
      </w:r>
      <w:r>
        <w:rPr>
          <w:rFonts w:ascii="Calibri"/>
          <w:color w:val="003366"/>
          <w:sz w:val="20"/>
        </w:rPr>
        <w:t>7</w:t>
      </w:r>
      <w:r>
        <w:rPr>
          <w:rFonts w:ascii="Calibri"/>
          <w:color w:val="003366"/>
          <w:spacing w:val="-11"/>
          <w:sz w:val="20"/>
        </w:rPr>
        <w:t xml:space="preserve"> </w:t>
      </w:r>
      <w:r>
        <w:rPr>
          <w:rFonts w:ascii="Calibri"/>
          <w:color w:val="003366"/>
          <w:sz w:val="20"/>
        </w:rPr>
        <w:t>years</w:t>
      </w:r>
      <w:r>
        <w:rPr>
          <w:rFonts w:ascii="Calibri"/>
          <w:color w:val="003366"/>
          <w:spacing w:val="-12"/>
          <w:sz w:val="20"/>
        </w:rPr>
        <w:t xml:space="preserve"> </w:t>
      </w:r>
      <w:r>
        <w:rPr>
          <w:rFonts w:ascii="Calibri"/>
          <w:color w:val="003366"/>
          <w:sz w:val="20"/>
        </w:rPr>
        <w:t>of</w:t>
      </w:r>
      <w:r>
        <w:rPr>
          <w:rFonts w:ascii="Calibri"/>
          <w:color w:val="003366"/>
          <w:spacing w:val="-12"/>
          <w:sz w:val="20"/>
        </w:rPr>
        <w:t xml:space="preserve"> </w:t>
      </w:r>
      <w:r>
        <w:rPr>
          <w:rFonts w:ascii="Calibri"/>
          <w:color w:val="003366"/>
          <w:sz w:val="20"/>
        </w:rPr>
        <w:t>qualifying</w:t>
      </w:r>
      <w:r>
        <w:rPr>
          <w:rFonts w:ascii="Calibri"/>
          <w:color w:val="003366"/>
          <w:spacing w:val="-12"/>
          <w:sz w:val="20"/>
        </w:rPr>
        <w:t xml:space="preserve"> </w:t>
      </w:r>
      <w:r>
        <w:rPr>
          <w:rFonts w:ascii="Calibri"/>
          <w:color w:val="003366"/>
          <w:sz w:val="20"/>
        </w:rPr>
        <w:t>service,</w:t>
      </w:r>
      <w:r>
        <w:rPr>
          <w:rFonts w:ascii="Calibri"/>
          <w:color w:val="003366"/>
          <w:spacing w:val="-11"/>
          <w:sz w:val="20"/>
        </w:rPr>
        <w:t xml:space="preserve"> </w:t>
      </w:r>
      <w:r>
        <w:rPr>
          <w:rFonts w:ascii="Calibri"/>
          <w:color w:val="003366"/>
          <w:sz w:val="20"/>
        </w:rPr>
        <w:t>the</w:t>
      </w:r>
      <w:r>
        <w:rPr>
          <w:rFonts w:ascii="Calibri"/>
          <w:color w:val="003366"/>
          <w:spacing w:val="-12"/>
          <w:sz w:val="20"/>
        </w:rPr>
        <w:t xml:space="preserve"> </w:t>
      </w:r>
      <w:r>
        <w:rPr>
          <w:rFonts w:ascii="Calibri"/>
          <w:color w:val="003366"/>
          <w:sz w:val="20"/>
        </w:rPr>
        <w:t>probability</w:t>
      </w:r>
      <w:r>
        <w:rPr>
          <w:rFonts w:ascii="Calibri"/>
          <w:color w:val="003366"/>
          <w:spacing w:val="-10"/>
          <w:sz w:val="20"/>
        </w:rPr>
        <w:t xml:space="preserve"> </w:t>
      </w:r>
      <w:r>
        <w:rPr>
          <w:rFonts w:ascii="Calibri"/>
          <w:color w:val="003366"/>
          <w:sz w:val="20"/>
        </w:rPr>
        <w:t>that employees</w:t>
      </w:r>
      <w:r>
        <w:rPr>
          <w:rFonts w:ascii="Calibri"/>
          <w:color w:val="003366"/>
          <w:spacing w:val="-15"/>
          <w:sz w:val="20"/>
        </w:rPr>
        <w:t xml:space="preserve"> </w:t>
      </w:r>
      <w:r>
        <w:rPr>
          <w:rFonts w:ascii="Calibri"/>
          <w:color w:val="003366"/>
          <w:sz w:val="20"/>
        </w:rPr>
        <w:t>will</w:t>
      </w:r>
      <w:r>
        <w:rPr>
          <w:rFonts w:ascii="Calibri"/>
          <w:color w:val="003366"/>
          <w:spacing w:val="-14"/>
          <w:sz w:val="20"/>
        </w:rPr>
        <w:t xml:space="preserve"> </w:t>
      </w:r>
      <w:r>
        <w:rPr>
          <w:rFonts w:ascii="Calibri"/>
          <w:color w:val="003366"/>
          <w:sz w:val="20"/>
        </w:rPr>
        <w:t>reach</w:t>
      </w:r>
      <w:r>
        <w:rPr>
          <w:rFonts w:ascii="Calibri"/>
          <w:color w:val="003366"/>
          <w:spacing w:val="-13"/>
          <w:sz w:val="20"/>
        </w:rPr>
        <w:t xml:space="preserve"> </w:t>
      </w:r>
      <w:r>
        <w:rPr>
          <w:rFonts w:ascii="Calibri"/>
          <w:color w:val="003366"/>
          <w:sz w:val="20"/>
        </w:rPr>
        <w:t>the</w:t>
      </w:r>
      <w:r>
        <w:rPr>
          <w:rFonts w:ascii="Calibri"/>
          <w:color w:val="003366"/>
          <w:spacing w:val="-15"/>
          <w:sz w:val="20"/>
        </w:rPr>
        <w:t xml:space="preserve"> </w:t>
      </w:r>
      <w:r>
        <w:rPr>
          <w:rFonts w:ascii="Calibri"/>
          <w:color w:val="003366"/>
          <w:sz w:val="20"/>
        </w:rPr>
        <w:t>required</w:t>
      </w:r>
      <w:r>
        <w:rPr>
          <w:rFonts w:ascii="Calibri"/>
          <w:color w:val="003366"/>
          <w:spacing w:val="-13"/>
          <w:sz w:val="20"/>
        </w:rPr>
        <w:t xml:space="preserve"> </w:t>
      </w:r>
      <w:r>
        <w:rPr>
          <w:rFonts w:ascii="Calibri"/>
          <w:color w:val="003366"/>
          <w:sz w:val="20"/>
        </w:rPr>
        <w:t>minimum</w:t>
      </w:r>
      <w:r>
        <w:rPr>
          <w:rFonts w:ascii="Calibri"/>
          <w:color w:val="003366"/>
          <w:spacing w:val="-14"/>
          <w:sz w:val="20"/>
        </w:rPr>
        <w:t xml:space="preserve"> </w:t>
      </w:r>
      <w:r>
        <w:rPr>
          <w:rFonts w:ascii="Calibri"/>
          <w:color w:val="003366"/>
          <w:sz w:val="20"/>
        </w:rPr>
        <w:t>period</w:t>
      </w:r>
      <w:r>
        <w:rPr>
          <w:rFonts w:ascii="Calibri"/>
          <w:color w:val="003366"/>
          <w:spacing w:val="-13"/>
          <w:sz w:val="20"/>
        </w:rPr>
        <w:t xml:space="preserve"> </w:t>
      </w:r>
      <w:r>
        <w:rPr>
          <w:rFonts w:ascii="Calibri"/>
          <w:color w:val="003366"/>
          <w:sz w:val="20"/>
        </w:rPr>
        <w:t>has</w:t>
      </w:r>
      <w:r>
        <w:rPr>
          <w:rFonts w:ascii="Calibri"/>
          <w:color w:val="003366"/>
          <w:spacing w:val="-15"/>
          <w:sz w:val="20"/>
        </w:rPr>
        <w:t xml:space="preserve"> </w:t>
      </w:r>
      <w:r>
        <w:rPr>
          <w:rFonts w:ascii="Calibri"/>
          <w:color w:val="003366"/>
          <w:sz w:val="20"/>
        </w:rPr>
        <w:t>been</w:t>
      </w:r>
      <w:r>
        <w:rPr>
          <w:rFonts w:ascii="Calibri"/>
          <w:color w:val="003366"/>
          <w:spacing w:val="-13"/>
          <w:sz w:val="20"/>
        </w:rPr>
        <w:t xml:space="preserve"> </w:t>
      </w:r>
      <w:r>
        <w:rPr>
          <w:rFonts w:ascii="Calibri"/>
          <w:color w:val="003366"/>
          <w:sz w:val="20"/>
        </w:rPr>
        <w:t>taken</w:t>
      </w:r>
      <w:r>
        <w:rPr>
          <w:rFonts w:ascii="Calibri"/>
          <w:color w:val="003366"/>
          <w:spacing w:val="-13"/>
          <w:sz w:val="20"/>
        </w:rPr>
        <w:t xml:space="preserve"> </w:t>
      </w:r>
      <w:r>
        <w:rPr>
          <w:rFonts w:ascii="Calibri"/>
          <w:color w:val="003366"/>
          <w:sz w:val="20"/>
        </w:rPr>
        <w:t>into</w:t>
      </w:r>
      <w:r>
        <w:rPr>
          <w:rFonts w:ascii="Calibri"/>
          <w:color w:val="003366"/>
          <w:spacing w:val="-13"/>
          <w:sz w:val="20"/>
        </w:rPr>
        <w:t xml:space="preserve"> </w:t>
      </w:r>
      <w:r>
        <w:rPr>
          <w:rFonts w:ascii="Calibri"/>
          <w:color w:val="003366"/>
          <w:sz w:val="20"/>
        </w:rPr>
        <w:t>account</w:t>
      </w:r>
      <w:r>
        <w:rPr>
          <w:rFonts w:ascii="Calibri"/>
          <w:color w:val="003366"/>
          <w:spacing w:val="-13"/>
          <w:sz w:val="20"/>
        </w:rPr>
        <w:t xml:space="preserve"> </w:t>
      </w:r>
      <w:r>
        <w:rPr>
          <w:rFonts w:ascii="Calibri"/>
          <w:color w:val="003366"/>
          <w:sz w:val="20"/>
        </w:rPr>
        <w:t>in</w:t>
      </w:r>
      <w:r>
        <w:rPr>
          <w:rFonts w:ascii="Calibri"/>
          <w:color w:val="003366"/>
          <w:spacing w:val="-15"/>
          <w:sz w:val="20"/>
        </w:rPr>
        <w:t xml:space="preserve"> </w:t>
      </w:r>
      <w:r>
        <w:rPr>
          <w:rFonts w:ascii="Calibri"/>
          <w:color w:val="003366"/>
          <w:sz w:val="20"/>
        </w:rPr>
        <w:t>estimating</w:t>
      </w:r>
      <w:r>
        <w:rPr>
          <w:rFonts w:ascii="Calibri"/>
          <w:color w:val="003366"/>
          <w:spacing w:val="-14"/>
          <w:sz w:val="20"/>
        </w:rPr>
        <w:t xml:space="preserve"> </w:t>
      </w:r>
      <w:r>
        <w:rPr>
          <w:rFonts w:ascii="Calibri"/>
          <w:color w:val="003366"/>
          <w:sz w:val="20"/>
        </w:rPr>
        <w:t>the</w:t>
      </w:r>
      <w:r>
        <w:rPr>
          <w:rFonts w:ascii="Calibri"/>
          <w:color w:val="003366"/>
          <w:spacing w:val="-15"/>
          <w:sz w:val="20"/>
        </w:rPr>
        <w:t xml:space="preserve"> </w:t>
      </w:r>
      <w:r>
        <w:rPr>
          <w:rFonts w:ascii="Calibri"/>
          <w:color w:val="003366"/>
          <w:sz w:val="20"/>
        </w:rPr>
        <w:t>provision for long service leave and applicable</w:t>
      </w:r>
      <w:r>
        <w:rPr>
          <w:rFonts w:ascii="Calibri"/>
          <w:color w:val="003366"/>
          <w:spacing w:val="-4"/>
          <w:sz w:val="20"/>
        </w:rPr>
        <w:t xml:space="preserve"> </w:t>
      </w:r>
      <w:r>
        <w:rPr>
          <w:rFonts w:ascii="Calibri"/>
          <w:color w:val="003366"/>
          <w:sz w:val="20"/>
        </w:rPr>
        <w:t>on-costs.</w:t>
      </w:r>
    </w:p>
    <w:p w:rsidR="006C17CB" w:rsidRDefault="0030091C">
      <w:pPr>
        <w:spacing w:before="117" w:line="204" w:lineRule="auto"/>
        <w:ind w:left="828" w:right="1520"/>
        <w:jc w:val="both"/>
        <w:rPr>
          <w:rFonts w:ascii="Calibri"/>
          <w:sz w:val="20"/>
        </w:rPr>
      </w:pPr>
      <w:r>
        <w:rPr>
          <w:rFonts w:ascii="Calibri"/>
          <w:color w:val="003366"/>
          <w:sz w:val="20"/>
        </w:rPr>
        <w:t>The provision for annual leave and long service leave includes estimated on-costs. As these on-costs only become payable if the employee takes annual and long service leave while in-service, the probability that employees will take annual and long service leave while in-service has been taken into account in estimating the liability for on-costs.</w:t>
      </w:r>
    </w:p>
    <w:p w:rsidR="006C17CB" w:rsidRDefault="0030091C">
      <w:pPr>
        <w:spacing w:before="116" w:line="204" w:lineRule="auto"/>
        <w:ind w:left="828" w:right="1521"/>
        <w:jc w:val="both"/>
        <w:rPr>
          <w:rFonts w:ascii="Calibri"/>
          <w:sz w:val="20"/>
        </w:rPr>
      </w:pPr>
      <w:r>
        <w:rPr>
          <w:rFonts w:ascii="Calibri"/>
          <w:color w:val="003366"/>
          <w:sz w:val="20"/>
        </w:rPr>
        <w:t>Annual</w:t>
      </w:r>
      <w:r>
        <w:rPr>
          <w:rFonts w:ascii="Calibri"/>
          <w:color w:val="003366"/>
          <w:spacing w:val="-8"/>
          <w:sz w:val="20"/>
        </w:rPr>
        <w:t xml:space="preserve"> </w:t>
      </w:r>
      <w:r>
        <w:rPr>
          <w:rFonts w:ascii="Calibri"/>
          <w:color w:val="003366"/>
          <w:sz w:val="20"/>
        </w:rPr>
        <w:t>leave</w:t>
      </w:r>
      <w:r>
        <w:rPr>
          <w:rFonts w:ascii="Calibri"/>
          <w:color w:val="003366"/>
          <w:spacing w:val="-9"/>
          <w:sz w:val="20"/>
        </w:rPr>
        <w:t xml:space="preserve"> </w:t>
      </w:r>
      <w:r>
        <w:rPr>
          <w:rFonts w:ascii="Calibri"/>
          <w:color w:val="003366"/>
          <w:sz w:val="20"/>
        </w:rPr>
        <w:t>and</w:t>
      </w:r>
      <w:r>
        <w:rPr>
          <w:rFonts w:ascii="Calibri"/>
          <w:color w:val="003366"/>
          <w:spacing w:val="-8"/>
          <w:sz w:val="20"/>
        </w:rPr>
        <w:t xml:space="preserve"> </w:t>
      </w:r>
      <w:r>
        <w:rPr>
          <w:rFonts w:ascii="Calibri"/>
          <w:color w:val="003366"/>
          <w:sz w:val="20"/>
        </w:rPr>
        <w:t>long</w:t>
      </w:r>
      <w:r>
        <w:rPr>
          <w:rFonts w:ascii="Calibri"/>
          <w:color w:val="003366"/>
          <w:spacing w:val="-8"/>
          <w:sz w:val="20"/>
        </w:rPr>
        <w:t xml:space="preserve"> </w:t>
      </w:r>
      <w:r>
        <w:rPr>
          <w:rFonts w:ascii="Calibri"/>
          <w:color w:val="003366"/>
          <w:sz w:val="20"/>
        </w:rPr>
        <w:t>service</w:t>
      </w:r>
      <w:r>
        <w:rPr>
          <w:rFonts w:ascii="Calibri"/>
          <w:color w:val="003366"/>
          <w:spacing w:val="-7"/>
          <w:sz w:val="20"/>
        </w:rPr>
        <w:t xml:space="preserve"> </w:t>
      </w:r>
      <w:r>
        <w:rPr>
          <w:rFonts w:ascii="Calibri"/>
          <w:color w:val="003366"/>
          <w:sz w:val="20"/>
        </w:rPr>
        <w:t>leave</w:t>
      </w:r>
      <w:r>
        <w:rPr>
          <w:rFonts w:ascii="Calibri"/>
          <w:color w:val="003366"/>
          <w:spacing w:val="-9"/>
          <w:sz w:val="20"/>
        </w:rPr>
        <w:t xml:space="preserve"> </w:t>
      </w:r>
      <w:r>
        <w:rPr>
          <w:rFonts w:ascii="Calibri"/>
          <w:color w:val="003366"/>
          <w:sz w:val="20"/>
        </w:rPr>
        <w:t>liabilities</w:t>
      </w:r>
      <w:r>
        <w:rPr>
          <w:rFonts w:ascii="Calibri"/>
          <w:color w:val="003366"/>
          <w:spacing w:val="-9"/>
          <w:sz w:val="20"/>
        </w:rPr>
        <w:t xml:space="preserve"> </w:t>
      </w:r>
      <w:r>
        <w:rPr>
          <w:rFonts w:ascii="Calibri"/>
          <w:color w:val="003366"/>
          <w:sz w:val="20"/>
        </w:rPr>
        <w:t>are</w:t>
      </w:r>
      <w:r>
        <w:rPr>
          <w:rFonts w:ascii="Calibri"/>
          <w:color w:val="003366"/>
          <w:spacing w:val="-9"/>
          <w:sz w:val="20"/>
        </w:rPr>
        <w:t xml:space="preserve"> </w:t>
      </w:r>
      <w:r>
        <w:rPr>
          <w:rFonts w:ascii="Calibri"/>
          <w:color w:val="003366"/>
          <w:sz w:val="20"/>
        </w:rPr>
        <w:t>classified</w:t>
      </w:r>
      <w:r>
        <w:rPr>
          <w:rFonts w:ascii="Calibri"/>
          <w:color w:val="003366"/>
          <w:spacing w:val="-8"/>
          <w:sz w:val="20"/>
        </w:rPr>
        <w:t xml:space="preserve"> </w:t>
      </w:r>
      <w:r>
        <w:rPr>
          <w:rFonts w:ascii="Calibri"/>
          <w:color w:val="003366"/>
          <w:sz w:val="20"/>
        </w:rPr>
        <w:t>as</w:t>
      </w:r>
      <w:r>
        <w:rPr>
          <w:rFonts w:ascii="Calibri"/>
          <w:color w:val="003366"/>
          <w:spacing w:val="-9"/>
          <w:sz w:val="20"/>
        </w:rPr>
        <w:t xml:space="preserve"> </w:t>
      </w:r>
      <w:r>
        <w:rPr>
          <w:rFonts w:ascii="Calibri"/>
          <w:color w:val="003366"/>
          <w:sz w:val="20"/>
        </w:rPr>
        <w:t>current</w:t>
      </w:r>
      <w:r>
        <w:rPr>
          <w:rFonts w:ascii="Calibri"/>
          <w:color w:val="003366"/>
          <w:spacing w:val="-8"/>
          <w:sz w:val="20"/>
        </w:rPr>
        <w:t xml:space="preserve"> </w:t>
      </w:r>
      <w:r>
        <w:rPr>
          <w:rFonts w:ascii="Calibri"/>
          <w:color w:val="003366"/>
          <w:sz w:val="20"/>
        </w:rPr>
        <w:t>liabilities</w:t>
      </w:r>
      <w:r>
        <w:rPr>
          <w:rFonts w:ascii="Calibri"/>
          <w:color w:val="003366"/>
          <w:spacing w:val="-8"/>
          <w:sz w:val="20"/>
        </w:rPr>
        <w:t xml:space="preserve"> </w:t>
      </w:r>
      <w:r>
        <w:rPr>
          <w:rFonts w:ascii="Calibri"/>
          <w:color w:val="003366"/>
          <w:sz w:val="20"/>
        </w:rPr>
        <w:t>in</w:t>
      </w:r>
      <w:r>
        <w:rPr>
          <w:rFonts w:ascii="Calibri"/>
          <w:color w:val="003366"/>
          <w:spacing w:val="-8"/>
          <w:sz w:val="20"/>
        </w:rPr>
        <w:t xml:space="preserve"> </w:t>
      </w:r>
      <w:r>
        <w:rPr>
          <w:rFonts w:ascii="Calibri"/>
          <w:color w:val="003366"/>
          <w:sz w:val="20"/>
        </w:rPr>
        <w:t>the</w:t>
      </w:r>
      <w:r>
        <w:rPr>
          <w:rFonts w:ascii="Calibri"/>
          <w:color w:val="003366"/>
          <w:spacing w:val="-9"/>
          <w:sz w:val="20"/>
        </w:rPr>
        <w:t xml:space="preserve"> </w:t>
      </w:r>
      <w:r>
        <w:rPr>
          <w:rFonts w:ascii="Calibri"/>
          <w:color w:val="003366"/>
          <w:sz w:val="20"/>
        </w:rPr>
        <w:t>Balance</w:t>
      </w:r>
      <w:r>
        <w:rPr>
          <w:rFonts w:ascii="Calibri"/>
          <w:color w:val="003366"/>
          <w:spacing w:val="-9"/>
          <w:sz w:val="20"/>
        </w:rPr>
        <w:t xml:space="preserve"> </w:t>
      </w:r>
      <w:r>
        <w:rPr>
          <w:rFonts w:ascii="Calibri"/>
          <w:color w:val="003366"/>
          <w:sz w:val="20"/>
        </w:rPr>
        <w:t>Sheet</w:t>
      </w:r>
      <w:r>
        <w:rPr>
          <w:rFonts w:ascii="Calibri"/>
          <w:color w:val="003366"/>
          <w:spacing w:val="-8"/>
          <w:sz w:val="20"/>
        </w:rPr>
        <w:t xml:space="preserve"> </w:t>
      </w:r>
      <w:r>
        <w:rPr>
          <w:rFonts w:ascii="Calibri"/>
          <w:color w:val="003366"/>
          <w:sz w:val="20"/>
        </w:rPr>
        <w:t>where there</w:t>
      </w:r>
      <w:r>
        <w:rPr>
          <w:rFonts w:ascii="Calibri"/>
          <w:color w:val="003366"/>
          <w:spacing w:val="-9"/>
          <w:sz w:val="20"/>
        </w:rPr>
        <w:t xml:space="preserve"> </w:t>
      </w:r>
      <w:r>
        <w:rPr>
          <w:rFonts w:ascii="Calibri"/>
          <w:color w:val="003366"/>
          <w:sz w:val="20"/>
        </w:rPr>
        <w:t>are</w:t>
      </w:r>
      <w:r>
        <w:rPr>
          <w:rFonts w:ascii="Calibri"/>
          <w:color w:val="003366"/>
          <w:spacing w:val="-9"/>
          <w:sz w:val="20"/>
        </w:rPr>
        <w:t xml:space="preserve"> </w:t>
      </w:r>
      <w:r>
        <w:rPr>
          <w:rFonts w:ascii="Calibri"/>
          <w:color w:val="003366"/>
          <w:sz w:val="20"/>
        </w:rPr>
        <w:t>no</w:t>
      </w:r>
      <w:r>
        <w:rPr>
          <w:rFonts w:ascii="Calibri"/>
          <w:color w:val="003366"/>
          <w:spacing w:val="-8"/>
          <w:sz w:val="20"/>
        </w:rPr>
        <w:t xml:space="preserve"> </w:t>
      </w:r>
      <w:r>
        <w:rPr>
          <w:rFonts w:ascii="Calibri"/>
          <w:color w:val="003366"/>
          <w:sz w:val="20"/>
        </w:rPr>
        <w:t>unconditional</w:t>
      </w:r>
      <w:r>
        <w:rPr>
          <w:rFonts w:ascii="Calibri"/>
          <w:color w:val="003366"/>
          <w:spacing w:val="-9"/>
          <w:sz w:val="20"/>
        </w:rPr>
        <w:t xml:space="preserve"> </w:t>
      </w:r>
      <w:r>
        <w:rPr>
          <w:rFonts w:ascii="Calibri"/>
          <w:color w:val="003366"/>
          <w:sz w:val="20"/>
        </w:rPr>
        <w:t>rights</w:t>
      </w:r>
      <w:r>
        <w:rPr>
          <w:rFonts w:ascii="Calibri"/>
          <w:color w:val="003366"/>
          <w:spacing w:val="-9"/>
          <w:sz w:val="20"/>
        </w:rPr>
        <w:t xml:space="preserve"> </w:t>
      </w:r>
      <w:r>
        <w:rPr>
          <w:rFonts w:ascii="Calibri"/>
          <w:color w:val="003366"/>
          <w:sz w:val="20"/>
        </w:rPr>
        <w:t>to</w:t>
      </w:r>
      <w:r>
        <w:rPr>
          <w:rFonts w:ascii="Calibri"/>
          <w:color w:val="003366"/>
          <w:spacing w:val="-8"/>
          <w:sz w:val="20"/>
        </w:rPr>
        <w:t xml:space="preserve"> </w:t>
      </w:r>
      <w:r>
        <w:rPr>
          <w:rFonts w:ascii="Calibri"/>
          <w:color w:val="003366"/>
          <w:sz w:val="20"/>
        </w:rPr>
        <w:t>defer</w:t>
      </w:r>
      <w:r>
        <w:rPr>
          <w:rFonts w:ascii="Calibri"/>
          <w:color w:val="003366"/>
          <w:spacing w:val="-9"/>
          <w:sz w:val="20"/>
        </w:rPr>
        <w:t xml:space="preserve"> </w:t>
      </w:r>
      <w:r>
        <w:rPr>
          <w:rFonts w:ascii="Calibri"/>
          <w:color w:val="003366"/>
          <w:sz w:val="20"/>
        </w:rPr>
        <w:t>the</w:t>
      </w:r>
      <w:r>
        <w:rPr>
          <w:rFonts w:ascii="Calibri"/>
          <w:color w:val="003366"/>
          <w:spacing w:val="-7"/>
          <w:sz w:val="20"/>
        </w:rPr>
        <w:t xml:space="preserve"> </w:t>
      </w:r>
      <w:r>
        <w:rPr>
          <w:rFonts w:ascii="Calibri"/>
          <w:color w:val="003366"/>
          <w:sz w:val="20"/>
        </w:rPr>
        <w:t>settlement</w:t>
      </w:r>
      <w:r>
        <w:rPr>
          <w:rFonts w:ascii="Calibri"/>
          <w:color w:val="003366"/>
          <w:spacing w:val="-8"/>
          <w:sz w:val="20"/>
        </w:rPr>
        <w:t xml:space="preserve"> </w:t>
      </w:r>
      <w:r>
        <w:rPr>
          <w:rFonts w:ascii="Calibri"/>
          <w:color w:val="003366"/>
          <w:sz w:val="20"/>
        </w:rPr>
        <w:t>of</w:t>
      </w:r>
      <w:r>
        <w:rPr>
          <w:rFonts w:ascii="Calibri"/>
          <w:color w:val="003366"/>
          <w:spacing w:val="-9"/>
          <w:sz w:val="20"/>
        </w:rPr>
        <w:t xml:space="preserve"> </w:t>
      </w:r>
      <w:r>
        <w:rPr>
          <w:rFonts w:ascii="Calibri"/>
          <w:color w:val="003366"/>
          <w:sz w:val="20"/>
        </w:rPr>
        <w:t>the</w:t>
      </w:r>
      <w:r>
        <w:rPr>
          <w:rFonts w:ascii="Calibri"/>
          <w:color w:val="003366"/>
          <w:spacing w:val="-9"/>
          <w:sz w:val="20"/>
        </w:rPr>
        <w:t xml:space="preserve"> </w:t>
      </w:r>
      <w:r>
        <w:rPr>
          <w:rFonts w:ascii="Calibri"/>
          <w:color w:val="003366"/>
          <w:sz w:val="20"/>
        </w:rPr>
        <w:t>liability</w:t>
      </w:r>
      <w:r>
        <w:rPr>
          <w:rFonts w:ascii="Calibri"/>
          <w:color w:val="003366"/>
          <w:spacing w:val="-8"/>
          <w:sz w:val="20"/>
        </w:rPr>
        <w:t xml:space="preserve"> </w:t>
      </w:r>
      <w:r>
        <w:rPr>
          <w:rFonts w:ascii="Calibri"/>
          <w:color w:val="003366"/>
          <w:sz w:val="20"/>
        </w:rPr>
        <w:t>for</w:t>
      </w:r>
      <w:r>
        <w:rPr>
          <w:rFonts w:ascii="Calibri"/>
          <w:color w:val="003366"/>
          <w:spacing w:val="-9"/>
          <w:sz w:val="20"/>
        </w:rPr>
        <w:t xml:space="preserve"> </w:t>
      </w:r>
      <w:r>
        <w:rPr>
          <w:rFonts w:ascii="Calibri"/>
          <w:color w:val="003366"/>
          <w:sz w:val="20"/>
        </w:rPr>
        <w:t>at</w:t>
      </w:r>
      <w:r>
        <w:rPr>
          <w:rFonts w:ascii="Calibri"/>
          <w:color w:val="003366"/>
          <w:spacing w:val="-8"/>
          <w:sz w:val="20"/>
        </w:rPr>
        <w:t xml:space="preserve"> </w:t>
      </w:r>
      <w:r>
        <w:rPr>
          <w:rFonts w:ascii="Calibri"/>
          <w:color w:val="003366"/>
          <w:sz w:val="20"/>
        </w:rPr>
        <w:t>least</w:t>
      </w:r>
      <w:r>
        <w:rPr>
          <w:rFonts w:ascii="Calibri"/>
          <w:color w:val="003366"/>
          <w:spacing w:val="-8"/>
          <w:sz w:val="20"/>
        </w:rPr>
        <w:t xml:space="preserve"> </w:t>
      </w:r>
      <w:r>
        <w:rPr>
          <w:rFonts w:ascii="Calibri"/>
          <w:color w:val="003366"/>
          <w:sz w:val="20"/>
        </w:rPr>
        <w:t>12</w:t>
      </w:r>
      <w:r>
        <w:rPr>
          <w:rFonts w:ascii="Calibri"/>
          <w:color w:val="003366"/>
          <w:spacing w:val="-7"/>
          <w:sz w:val="20"/>
        </w:rPr>
        <w:t xml:space="preserve"> </w:t>
      </w:r>
      <w:r>
        <w:rPr>
          <w:rFonts w:ascii="Calibri"/>
          <w:color w:val="003366"/>
          <w:sz w:val="20"/>
        </w:rPr>
        <w:t>months.</w:t>
      </w:r>
      <w:r>
        <w:rPr>
          <w:rFonts w:ascii="Calibri"/>
          <w:color w:val="003366"/>
          <w:spacing w:val="-9"/>
          <w:sz w:val="20"/>
        </w:rPr>
        <w:t xml:space="preserve"> </w:t>
      </w:r>
      <w:r>
        <w:rPr>
          <w:rFonts w:ascii="Calibri"/>
          <w:color w:val="003366"/>
          <w:sz w:val="20"/>
        </w:rPr>
        <w:t>Conditional long service leave liabilities are classified as non-current because the Office has an unconditional right to defer the settlement of the liability until the employee has completed the requisite years of</w:t>
      </w:r>
      <w:r>
        <w:rPr>
          <w:rFonts w:ascii="Calibri"/>
          <w:color w:val="003366"/>
          <w:spacing w:val="-27"/>
          <w:sz w:val="20"/>
        </w:rPr>
        <w:t xml:space="preserve"> </w:t>
      </w:r>
      <w:r>
        <w:rPr>
          <w:rFonts w:ascii="Calibri"/>
          <w:color w:val="003366"/>
          <w:sz w:val="20"/>
        </w:rPr>
        <w:t>service.</w:t>
      </w:r>
    </w:p>
    <w:p w:rsidR="006C17CB" w:rsidRDefault="006C17CB">
      <w:pPr>
        <w:spacing w:line="204" w:lineRule="auto"/>
        <w:jc w:val="both"/>
        <w:rPr>
          <w:rFonts w:ascii="Calibri"/>
          <w:sz w:val="20"/>
        </w:rPr>
        <w:sectPr w:rsidR="006C17CB">
          <w:pgSz w:w="11910" w:h="16840"/>
          <w:pgMar w:top="2120" w:right="0" w:bottom="740" w:left="980" w:header="1173" w:footer="551" w:gutter="0"/>
          <w:cols w:space="720"/>
        </w:sectPr>
      </w:pPr>
    </w:p>
    <w:p w:rsidR="006C17CB" w:rsidRDefault="006C17CB">
      <w:pPr>
        <w:pStyle w:val="BodyText"/>
        <w:spacing w:before="9"/>
        <w:rPr>
          <w:rFonts w:ascii="Calibri"/>
          <w:sz w:val="21"/>
        </w:rPr>
      </w:pPr>
    </w:p>
    <w:p w:rsidR="006C17CB" w:rsidRDefault="0030091C">
      <w:pPr>
        <w:pStyle w:val="Heading6"/>
        <w:spacing w:line="345" w:lineRule="exact"/>
      </w:pPr>
      <w:r>
        <w:rPr>
          <w:color w:val="003366"/>
        </w:rPr>
        <w:t>NOTE 17. EMPLOYEE BENEFITS – CONTINUED</w:t>
      </w:r>
    </w:p>
    <w:p w:rsidR="006C17CB" w:rsidRDefault="0030091C">
      <w:pPr>
        <w:spacing w:before="195"/>
        <w:ind w:left="829"/>
        <w:rPr>
          <w:rFonts w:ascii="Calibri" w:hAnsi="Calibri"/>
          <w:i/>
          <w:sz w:val="20"/>
        </w:rPr>
      </w:pPr>
      <w:r>
        <w:rPr>
          <w:rFonts w:ascii="Calibri" w:hAnsi="Calibri"/>
          <w:i/>
          <w:color w:val="003366"/>
          <w:sz w:val="20"/>
        </w:rPr>
        <w:t>Significant Accounting Judgements and Estimates – Employee Benefits</w:t>
      </w:r>
    </w:p>
    <w:p w:rsidR="006C17CB" w:rsidRDefault="0030091C">
      <w:pPr>
        <w:spacing w:before="112" w:line="204" w:lineRule="auto"/>
        <w:ind w:left="829" w:right="1521"/>
        <w:jc w:val="both"/>
        <w:rPr>
          <w:rFonts w:ascii="Calibri"/>
          <w:sz w:val="20"/>
        </w:rPr>
      </w:pPr>
      <w:r>
        <w:rPr>
          <w:rFonts w:ascii="Calibri"/>
          <w:color w:val="003366"/>
          <w:sz w:val="20"/>
        </w:rPr>
        <w:t>Significant judgements have been applied in estimating the liability for employee benefits. The estimated liability for annual and long service leave requires a consideration of the future wage and salary levels, experience of employee departures, probability that leave will be taken in service and periods of service. The</w:t>
      </w:r>
      <w:r>
        <w:rPr>
          <w:rFonts w:ascii="Calibri"/>
          <w:color w:val="003366"/>
          <w:spacing w:val="-12"/>
          <w:sz w:val="20"/>
        </w:rPr>
        <w:t xml:space="preserve"> </w:t>
      </w:r>
      <w:r>
        <w:rPr>
          <w:rFonts w:ascii="Calibri"/>
          <w:color w:val="003366"/>
          <w:sz w:val="20"/>
        </w:rPr>
        <w:t>estimate</w:t>
      </w:r>
      <w:r>
        <w:rPr>
          <w:rFonts w:ascii="Calibri"/>
          <w:color w:val="003366"/>
          <w:spacing w:val="-12"/>
          <w:sz w:val="20"/>
        </w:rPr>
        <w:t xml:space="preserve"> </w:t>
      </w:r>
      <w:r>
        <w:rPr>
          <w:rFonts w:ascii="Calibri"/>
          <w:color w:val="003366"/>
          <w:sz w:val="20"/>
        </w:rPr>
        <w:t>also</w:t>
      </w:r>
      <w:r>
        <w:rPr>
          <w:rFonts w:ascii="Calibri"/>
          <w:color w:val="003366"/>
          <w:spacing w:val="-11"/>
          <w:sz w:val="20"/>
        </w:rPr>
        <w:t xml:space="preserve"> </w:t>
      </w:r>
      <w:r>
        <w:rPr>
          <w:rFonts w:ascii="Calibri"/>
          <w:color w:val="003366"/>
          <w:sz w:val="20"/>
        </w:rPr>
        <w:t>includes</w:t>
      </w:r>
      <w:r>
        <w:rPr>
          <w:rFonts w:ascii="Calibri"/>
          <w:color w:val="003366"/>
          <w:spacing w:val="-12"/>
          <w:sz w:val="20"/>
        </w:rPr>
        <w:t xml:space="preserve"> </w:t>
      </w:r>
      <w:r>
        <w:rPr>
          <w:rFonts w:ascii="Calibri"/>
          <w:color w:val="003366"/>
          <w:sz w:val="20"/>
        </w:rPr>
        <w:t>an</w:t>
      </w:r>
      <w:r>
        <w:rPr>
          <w:rFonts w:ascii="Calibri"/>
          <w:color w:val="003366"/>
          <w:spacing w:val="-12"/>
          <w:sz w:val="20"/>
        </w:rPr>
        <w:t xml:space="preserve"> </w:t>
      </w:r>
      <w:r>
        <w:rPr>
          <w:rFonts w:ascii="Calibri"/>
          <w:color w:val="003366"/>
          <w:sz w:val="20"/>
        </w:rPr>
        <w:t>assessment</w:t>
      </w:r>
      <w:r>
        <w:rPr>
          <w:rFonts w:ascii="Calibri"/>
          <w:color w:val="003366"/>
          <w:spacing w:val="-11"/>
          <w:sz w:val="20"/>
        </w:rPr>
        <w:t xml:space="preserve"> </w:t>
      </w:r>
      <w:r>
        <w:rPr>
          <w:rFonts w:ascii="Calibri"/>
          <w:color w:val="003366"/>
          <w:sz w:val="20"/>
        </w:rPr>
        <w:t>of</w:t>
      </w:r>
      <w:r>
        <w:rPr>
          <w:rFonts w:ascii="Calibri"/>
          <w:color w:val="003366"/>
          <w:spacing w:val="-12"/>
          <w:sz w:val="20"/>
        </w:rPr>
        <w:t xml:space="preserve"> </w:t>
      </w:r>
      <w:r>
        <w:rPr>
          <w:rFonts w:ascii="Calibri"/>
          <w:color w:val="003366"/>
          <w:sz w:val="20"/>
        </w:rPr>
        <w:t>the</w:t>
      </w:r>
      <w:r>
        <w:rPr>
          <w:rFonts w:ascii="Calibri"/>
          <w:color w:val="003366"/>
          <w:spacing w:val="-12"/>
          <w:sz w:val="20"/>
        </w:rPr>
        <w:t xml:space="preserve"> </w:t>
      </w:r>
      <w:r>
        <w:rPr>
          <w:rFonts w:ascii="Calibri"/>
          <w:color w:val="003366"/>
          <w:sz w:val="20"/>
        </w:rPr>
        <w:t>probability</w:t>
      </w:r>
      <w:r>
        <w:rPr>
          <w:rFonts w:ascii="Calibri"/>
          <w:color w:val="003366"/>
          <w:spacing w:val="-14"/>
          <w:sz w:val="20"/>
        </w:rPr>
        <w:t xml:space="preserve"> </w:t>
      </w:r>
      <w:r>
        <w:rPr>
          <w:rFonts w:ascii="Calibri"/>
          <w:color w:val="003366"/>
          <w:sz w:val="20"/>
        </w:rPr>
        <w:t>that</w:t>
      </w:r>
      <w:r>
        <w:rPr>
          <w:rFonts w:ascii="Calibri"/>
          <w:color w:val="003366"/>
          <w:spacing w:val="-11"/>
          <w:sz w:val="20"/>
        </w:rPr>
        <w:t xml:space="preserve"> </w:t>
      </w:r>
      <w:r>
        <w:rPr>
          <w:rFonts w:ascii="Calibri"/>
          <w:color w:val="003366"/>
          <w:sz w:val="20"/>
        </w:rPr>
        <w:t>employees</w:t>
      </w:r>
      <w:r>
        <w:rPr>
          <w:rFonts w:ascii="Calibri"/>
          <w:color w:val="003366"/>
          <w:spacing w:val="-12"/>
          <w:sz w:val="20"/>
        </w:rPr>
        <w:t xml:space="preserve"> </w:t>
      </w:r>
      <w:r>
        <w:rPr>
          <w:rFonts w:ascii="Calibri"/>
          <w:color w:val="003366"/>
          <w:sz w:val="20"/>
        </w:rPr>
        <w:t>will</w:t>
      </w:r>
      <w:r>
        <w:rPr>
          <w:rFonts w:ascii="Calibri"/>
          <w:color w:val="003366"/>
          <w:spacing w:val="-11"/>
          <w:sz w:val="20"/>
        </w:rPr>
        <w:t xml:space="preserve"> </w:t>
      </w:r>
      <w:r>
        <w:rPr>
          <w:rFonts w:ascii="Calibri"/>
          <w:color w:val="003366"/>
          <w:sz w:val="20"/>
        </w:rPr>
        <w:t>meet</w:t>
      </w:r>
      <w:r>
        <w:rPr>
          <w:rFonts w:ascii="Calibri"/>
          <w:color w:val="003366"/>
          <w:spacing w:val="-11"/>
          <w:sz w:val="20"/>
        </w:rPr>
        <w:t xml:space="preserve"> </w:t>
      </w:r>
      <w:r>
        <w:rPr>
          <w:rFonts w:ascii="Calibri"/>
          <w:color w:val="003366"/>
          <w:sz w:val="20"/>
        </w:rPr>
        <w:t>the</w:t>
      </w:r>
      <w:r>
        <w:rPr>
          <w:rFonts w:ascii="Calibri"/>
          <w:color w:val="003366"/>
          <w:spacing w:val="-12"/>
          <w:sz w:val="20"/>
        </w:rPr>
        <w:t xml:space="preserve"> </w:t>
      </w:r>
      <w:r>
        <w:rPr>
          <w:rFonts w:ascii="Calibri"/>
          <w:color w:val="003366"/>
          <w:sz w:val="20"/>
        </w:rPr>
        <w:t>minimum</w:t>
      </w:r>
      <w:r>
        <w:rPr>
          <w:rFonts w:ascii="Calibri"/>
          <w:color w:val="003366"/>
          <w:spacing w:val="-12"/>
          <w:sz w:val="20"/>
        </w:rPr>
        <w:t xml:space="preserve"> </w:t>
      </w:r>
      <w:r>
        <w:rPr>
          <w:rFonts w:ascii="Calibri"/>
          <w:color w:val="003366"/>
          <w:sz w:val="20"/>
        </w:rPr>
        <w:t>service period required to qualify for long service leave and that on-costs will become</w:t>
      </w:r>
      <w:r>
        <w:rPr>
          <w:rFonts w:ascii="Calibri"/>
          <w:color w:val="003366"/>
          <w:spacing w:val="-13"/>
          <w:sz w:val="20"/>
        </w:rPr>
        <w:t xml:space="preserve"> </w:t>
      </w:r>
      <w:r>
        <w:rPr>
          <w:rFonts w:ascii="Calibri"/>
          <w:color w:val="003366"/>
          <w:sz w:val="20"/>
        </w:rPr>
        <w:t>payable.</w:t>
      </w:r>
    </w:p>
    <w:p w:rsidR="006C17CB" w:rsidRDefault="0030091C">
      <w:pPr>
        <w:spacing w:before="116" w:line="204" w:lineRule="auto"/>
        <w:ind w:left="829" w:right="1520"/>
        <w:jc w:val="both"/>
        <w:rPr>
          <w:rFonts w:ascii="Calibri"/>
          <w:sz w:val="20"/>
        </w:rPr>
      </w:pPr>
      <w:r>
        <w:rPr>
          <w:rFonts w:ascii="Calibri"/>
          <w:color w:val="17365D"/>
          <w:sz w:val="20"/>
        </w:rPr>
        <w:t>The significant judgements and assumptions included in the estimation of annual and long service leave liabilities include an assessment by an actuary. The Australian Government Actuary performed this assessment in May 2014. The assessment by an actuary is performed every 5 years. However it may be performed more frequently if there is a significant contextual change in the parameters underlying the 2014 report. The next actuarial review is expected to be undertaken by May 2019.</w:t>
      </w:r>
    </w:p>
    <w:p w:rsidR="006C17CB" w:rsidRDefault="006C17CB">
      <w:pPr>
        <w:pStyle w:val="BodyText"/>
        <w:spacing w:before="5" w:after="1"/>
        <w:rPr>
          <w:rFonts w:ascii="Calibri"/>
          <w:sz w:val="11"/>
        </w:rPr>
      </w:pPr>
    </w:p>
    <w:tbl>
      <w:tblPr>
        <w:tblW w:w="0" w:type="auto"/>
        <w:tblInd w:w="779" w:type="dxa"/>
        <w:tblLayout w:type="fixed"/>
        <w:tblCellMar>
          <w:left w:w="0" w:type="dxa"/>
          <w:right w:w="0" w:type="dxa"/>
        </w:tblCellMar>
        <w:tblLook w:val="01E0" w:firstRow="1" w:lastRow="1" w:firstColumn="1" w:lastColumn="1" w:noHBand="0" w:noVBand="0"/>
      </w:tblPr>
      <w:tblGrid>
        <w:gridCol w:w="5930"/>
        <w:gridCol w:w="2801"/>
      </w:tblGrid>
      <w:tr w:rsidR="006C17CB">
        <w:trPr>
          <w:trHeight w:val="771"/>
        </w:trPr>
        <w:tc>
          <w:tcPr>
            <w:tcW w:w="5930" w:type="dxa"/>
          </w:tcPr>
          <w:p w:rsidR="006C17CB" w:rsidRDefault="006C17CB">
            <w:pPr>
              <w:pStyle w:val="TableParagraph"/>
              <w:jc w:val="left"/>
              <w:rPr>
                <w:sz w:val="20"/>
              </w:rPr>
            </w:pPr>
          </w:p>
          <w:p w:rsidR="006C17CB" w:rsidRDefault="0030091C">
            <w:pPr>
              <w:pStyle w:val="TableParagraph"/>
              <w:spacing w:before="157"/>
              <w:ind w:left="50"/>
              <w:jc w:val="left"/>
              <w:rPr>
                <w:b/>
                <w:sz w:val="20"/>
              </w:rPr>
            </w:pPr>
            <w:r>
              <w:rPr>
                <w:b/>
                <w:color w:val="003366"/>
                <w:sz w:val="20"/>
              </w:rPr>
              <w:t>Current Employee Benefits</w:t>
            </w:r>
          </w:p>
        </w:tc>
        <w:tc>
          <w:tcPr>
            <w:tcW w:w="2801" w:type="dxa"/>
          </w:tcPr>
          <w:p w:rsidR="006C17CB" w:rsidRDefault="0030091C">
            <w:pPr>
              <w:pStyle w:val="TableParagraph"/>
              <w:tabs>
                <w:tab w:val="left" w:pos="2284"/>
              </w:tabs>
              <w:spacing w:line="181" w:lineRule="exact"/>
              <w:ind w:left="842"/>
              <w:jc w:val="left"/>
              <w:rPr>
                <w:b/>
                <w:sz w:val="20"/>
              </w:rPr>
            </w:pPr>
            <w:r>
              <w:rPr>
                <w:b/>
                <w:color w:val="003366"/>
                <w:sz w:val="20"/>
              </w:rPr>
              <w:t>2018</w:t>
            </w:r>
            <w:r>
              <w:rPr>
                <w:b/>
                <w:color w:val="003366"/>
                <w:sz w:val="20"/>
              </w:rPr>
              <w:tab/>
              <w:t>2017</w:t>
            </w:r>
          </w:p>
          <w:p w:rsidR="006C17CB" w:rsidRDefault="0030091C">
            <w:pPr>
              <w:pStyle w:val="TableParagraph"/>
              <w:tabs>
                <w:tab w:val="left" w:pos="2234"/>
              </w:tabs>
              <w:spacing w:line="267" w:lineRule="exact"/>
              <w:ind w:left="791"/>
              <w:jc w:val="left"/>
              <w:rPr>
                <w:b/>
                <w:sz w:val="20"/>
              </w:rPr>
            </w:pPr>
            <w:r>
              <w:rPr>
                <w:b/>
                <w:color w:val="003366"/>
                <w:sz w:val="20"/>
              </w:rPr>
              <w:t>$’000</w:t>
            </w:r>
            <w:r>
              <w:rPr>
                <w:b/>
                <w:color w:val="003366"/>
                <w:sz w:val="20"/>
              </w:rPr>
              <w:tab/>
              <w:t>$’000</w:t>
            </w:r>
          </w:p>
        </w:tc>
      </w:tr>
      <w:tr w:rsidR="006C17CB">
        <w:trPr>
          <w:trHeight w:val="275"/>
        </w:trPr>
        <w:tc>
          <w:tcPr>
            <w:tcW w:w="5930" w:type="dxa"/>
          </w:tcPr>
          <w:p w:rsidR="006C17CB" w:rsidRDefault="0030091C">
            <w:pPr>
              <w:pStyle w:val="TableParagraph"/>
              <w:spacing w:line="245" w:lineRule="exact"/>
              <w:ind w:left="50"/>
              <w:jc w:val="left"/>
              <w:rPr>
                <w:sz w:val="20"/>
              </w:rPr>
            </w:pPr>
            <w:r>
              <w:rPr>
                <w:color w:val="003366"/>
                <w:sz w:val="20"/>
              </w:rPr>
              <w:t>Annual Leave</w:t>
            </w:r>
          </w:p>
        </w:tc>
        <w:tc>
          <w:tcPr>
            <w:tcW w:w="2801" w:type="dxa"/>
          </w:tcPr>
          <w:p w:rsidR="006C17CB" w:rsidRDefault="0030091C">
            <w:pPr>
              <w:pStyle w:val="TableParagraph"/>
              <w:tabs>
                <w:tab w:val="left" w:pos="1442"/>
              </w:tabs>
              <w:spacing w:line="245" w:lineRule="exact"/>
              <w:ind w:right="111"/>
              <w:rPr>
                <w:sz w:val="20"/>
              </w:rPr>
            </w:pPr>
            <w:r>
              <w:rPr>
                <w:color w:val="003366"/>
                <w:sz w:val="20"/>
              </w:rPr>
              <w:t>556</w:t>
            </w:r>
            <w:r>
              <w:rPr>
                <w:color w:val="003366"/>
                <w:sz w:val="20"/>
              </w:rPr>
              <w:tab/>
            </w:r>
            <w:r>
              <w:rPr>
                <w:color w:val="003366"/>
                <w:spacing w:val="-2"/>
                <w:sz w:val="20"/>
              </w:rPr>
              <w:t>610</w:t>
            </w:r>
          </w:p>
        </w:tc>
      </w:tr>
      <w:tr w:rsidR="006C17CB">
        <w:trPr>
          <w:trHeight w:val="293"/>
        </w:trPr>
        <w:tc>
          <w:tcPr>
            <w:tcW w:w="5930" w:type="dxa"/>
          </w:tcPr>
          <w:p w:rsidR="006C17CB" w:rsidRDefault="0030091C">
            <w:pPr>
              <w:pStyle w:val="TableParagraph"/>
              <w:spacing w:line="255" w:lineRule="exact"/>
              <w:ind w:left="50"/>
              <w:jc w:val="left"/>
              <w:rPr>
                <w:sz w:val="20"/>
              </w:rPr>
            </w:pPr>
            <w:r>
              <w:rPr>
                <w:color w:val="003366"/>
                <w:sz w:val="20"/>
              </w:rPr>
              <w:t xml:space="preserve">Long Service Leave </w:t>
            </w:r>
            <w:r>
              <w:rPr>
                <w:color w:val="003366"/>
                <w:sz w:val="20"/>
                <w:vertAlign w:val="superscript"/>
              </w:rPr>
              <w:t>a</w:t>
            </w:r>
          </w:p>
        </w:tc>
        <w:tc>
          <w:tcPr>
            <w:tcW w:w="2801" w:type="dxa"/>
          </w:tcPr>
          <w:p w:rsidR="006C17CB" w:rsidRDefault="0030091C">
            <w:pPr>
              <w:pStyle w:val="TableParagraph"/>
              <w:tabs>
                <w:tab w:val="left" w:pos="1442"/>
              </w:tabs>
              <w:spacing w:line="255" w:lineRule="exact"/>
              <w:ind w:right="111"/>
              <w:rPr>
                <w:sz w:val="20"/>
              </w:rPr>
            </w:pPr>
            <w:r>
              <w:rPr>
                <w:color w:val="003366"/>
                <w:sz w:val="20"/>
              </w:rPr>
              <w:t>1,393</w:t>
            </w:r>
            <w:r>
              <w:rPr>
                <w:color w:val="003366"/>
                <w:sz w:val="20"/>
              </w:rPr>
              <w:tab/>
            </w:r>
            <w:r>
              <w:rPr>
                <w:color w:val="003366"/>
                <w:spacing w:val="-1"/>
                <w:w w:val="95"/>
                <w:sz w:val="20"/>
              </w:rPr>
              <w:t>1,295</w:t>
            </w:r>
          </w:p>
        </w:tc>
      </w:tr>
      <w:tr w:rsidR="006C17CB">
        <w:trPr>
          <w:trHeight w:val="285"/>
        </w:trPr>
        <w:tc>
          <w:tcPr>
            <w:tcW w:w="5930" w:type="dxa"/>
          </w:tcPr>
          <w:p w:rsidR="006C17CB" w:rsidRDefault="0030091C">
            <w:pPr>
              <w:pStyle w:val="TableParagraph"/>
              <w:spacing w:line="245" w:lineRule="exact"/>
              <w:ind w:left="50"/>
              <w:jc w:val="left"/>
              <w:rPr>
                <w:sz w:val="20"/>
              </w:rPr>
            </w:pPr>
            <w:r>
              <w:rPr>
                <w:color w:val="003366"/>
                <w:sz w:val="20"/>
              </w:rPr>
              <w:t>Accrued Salaries</w:t>
            </w:r>
          </w:p>
        </w:tc>
        <w:tc>
          <w:tcPr>
            <w:tcW w:w="2801" w:type="dxa"/>
          </w:tcPr>
          <w:p w:rsidR="006C17CB" w:rsidRDefault="0030091C">
            <w:pPr>
              <w:pStyle w:val="TableParagraph"/>
              <w:tabs>
                <w:tab w:val="left" w:pos="1046"/>
                <w:tab w:val="left" w:pos="2488"/>
              </w:tabs>
              <w:spacing w:line="245" w:lineRule="exact"/>
              <w:rPr>
                <w:sz w:val="20"/>
              </w:rPr>
            </w:pPr>
            <w:r>
              <w:rPr>
                <w:color w:val="003366"/>
                <w:w w:val="99"/>
                <w:sz w:val="20"/>
                <w:u w:val="single" w:color="003366"/>
              </w:rPr>
              <w:t xml:space="preserve"> </w:t>
            </w:r>
            <w:r>
              <w:rPr>
                <w:color w:val="003366"/>
                <w:sz w:val="20"/>
                <w:u w:val="single" w:color="003366"/>
              </w:rPr>
              <w:tab/>
              <w:t>63</w:t>
            </w:r>
            <w:r>
              <w:rPr>
                <w:color w:val="003366"/>
                <w:sz w:val="20"/>
                <w:u w:val="single" w:color="003366"/>
              </w:rPr>
              <w:tab/>
            </w:r>
            <w:r>
              <w:rPr>
                <w:color w:val="003366"/>
                <w:spacing w:val="-1"/>
                <w:sz w:val="20"/>
                <w:u w:val="single" w:color="003366"/>
              </w:rPr>
              <w:t>41</w:t>
            </w:r>
            <w:r>
              <w:rPr>
                <w:color w:val="003366"/>
                <w:spacing w:val="18"/>
                <w:sz w:val="20"/>
                <w:u w:val="single" w:color="003366"/>
              </w:rPr>
              <w:t xml:space="preserve"> </w:t>
            </w:r>
          </w:p>
        </w:tc>
      </w:tr>
      <w:tr w:rsidR="006C17CB">
        <w:trPr>
          <w:trHeight w:val="418"/>
        </w:trPr>
        <w:tc>
          <w:tcPr>
            <w:tcW w:w="5930" w:type="dxa"/>
          </w:tcPr>
          <w:p w:rsidR="006C17CB" w:rsidRDefault="0030091C">
            <w:pPr>
              <w:pStyle w:val="TableParagraph"/>
              <w:spacing w:line="248" w:lineRule="exact"/>
              <w:ind w:left="50"/>
              <w:jc w:val="left"/>
              <w:rPr>
                <w:b/>
                <w:sz w:val="20"/>
              </w:rPr>
            </w:pPr>
            <w:r>
              <w:rPr>
                <w:b/>
                <w:color w:val="003366"/>
                <w:sz w:val="20"/>
              </w:rPr>
              <w:t>Total Current Employee Benefits</w:t>
            </w:r>
          </w:p>
        </w:tc>
        <w:tc>
          <w:tcPr>
            <w:tcW w:w="2801" w:type="dxa"/>
          </w:tcPr>
          <w:p w:rsidR="006C17CB" w:rsidRDefault="0030091C">
            <w:pPr>
              <w:pStyle w:val="TableParagraph"/>
              <w:tabs>
                <w:tab w:val="left" w:pos="791"/>
                <w:tab w:val="left" w:pos="2234"/>
              </w:tabs>
              <w:spacing w:line="248" w:lineRule="exact"/>
              <w:rPr>
                <w:b/>
                <w:sz w:val="20"/>
              </w:rPr>
            </w:pPr>
            <w:r>
              <w:rPr>
                <w:b/>
                <w:color w:val="003366"/>
                <w:w w:val="99"/>
                <w:sz w:val="20"/>
                <w:u w:val="single" w:color="003366"/>
              </w:rPr>
              <w:t xml:space="preserve"> </w:t>
            </w:r>
            <w:r>
              <w:rPr>
                <w:b/>
                <w:color w:val="003366"/>
                <w:sz w:val="20"/>
                <w:u w:val="single" w:color="003366"/>
              </w:rPr>
              <w:tab/>
              <w:t>2,012</w:t>
            </w:r>
            <w:r>
              <w:rPr>
                <w:b/>
                <w:color w:val="003366"/>
                <w:sz w:val="20"/>
                <w:u w:val="single" w:color="003366"/>
              </w:rPr>
              <w:tab/>
            </w:r>
            <w:r>
              <w:rPr>
                <w:b/>
                <w:color w:val="003366"/>
                <w:spacing w:val="-1"/>
                <w:w w:val="95"/>
                <w:sz w:val="20"/>
                <w:u w:val="single" w:color="003366"/>
              </w:rPr>
              <w:t>1,946</w:t>
            </w:r>
            <w:r>
              <w:rPr>
                <w:b/>
                <w:color w:val="003366"/>
                <w:spacing w:val="21"/>
                <w:sz w:val="20"/>
                <w:u w:val="single" w:color="003366"/>
              </w:rPr>
              <w:t xml:space="preserve"> </w:t>
            </w:r>
          </w:p>
        </w:tc>
      </w:tr>
      <w:tr w:rsidR="006C17CB">
        <w:trPr>
          <w:trHeight w:val="416"/>
        </w:trPr>
        <w:tc>
          <w:tcPr>
            <w:tcW w:w="5930" w:type="dxa"/>
          </w:tcPr>
          <w:p w:rsidR="006C17CB" w:rsidRDefault="0030091C">
            <w:pPr>
              <w:pStyle w:val="TableParagraph"/>
              <w:spacing w:before="90"/>
              <w:ind w:left="50"/>
              <w:jc w:val="left"/>
              <w:rPr>
                <w:b/>
                <w:sz w:val="20"/>
              </w:rPr>
            </w:pPr>
            <w:r>
              <w:rPr>
                <w:b/>
                <w:color w:val="003366"/>
                <w:sz w:val="20"/>
              </w:rPr>
              <w:t>Non-Current Employee Benefits</w:t>
            </w:r>
          </w:p>
        </w:tc>
        <w:tc>
          <w:tcPr>
            <w:tcW w:w="2801" w:type="dxa"/>
          </w:tcPr>
          <w:p w:rsidR="006C17CB" w:rsidRDefault="006C17CB">
            <w:pPr>
              <w:pStyle w:val="TableParagraph"/>
              <w:jc w:val="left"/>
              <w:rPr>
                <w:rFonts w:ascii="Times New Roman"/>
                <w:sz w:val="20"/>
              </w:rPr>
            </w:pPr>
          </w:p>
        </w:tc>
      </w:tr>
      <w:tr w:rsidR="006C17CB">
        <w:trPr>
          <w:trHeight w:val="286"/>
        </w:trPr>
        <w:tc>
          <w:tcPr>
            <w:tcW w:w="5930" w:type="dxa"/>
          </w:tcPr>
          <w:p w:rsidR="006C17CB" w:rsidRDefault="0030091C">
            <w:pPr>
              <w:pStyle w:val="TableParagraph"/>
              <w:spacing w:line="245" w:lineRule="exact"/>
              <w:ind w:left="50"/>
              <w:jc w:val="left"/>
              <w:rPr>
                <w:sz w:val="20"/>
              </w:rPr>
            </w:pPr>
            <w:r>
              <w:rPr>
                <w:color w:val="003366"/>
                <w:sz w:val="20"/>
              </w:rPr>
              <w:t>Long Service Leave</w:t>
            </w:r>
          </w:p>
        </w:tc>
        <w:tc>
          <w:tcPr>
            <w:tcW w:w="2801" w:type="dxa"/>
          </w:tcPr>
          <w:p w:rsidR="006C17CB" w:rsidRDefault="0030091C">
            <w:pPr>
              <w:pStyle w:val="TableParagraph"/>
              <w:tabs>
                <w:tab w:val="left" w:pos="1046"/>
                <w:tab w:val="left" w:pos="2488"/>
              </w:tabs>
              <w:spacing w:line="245" w:lineRule="exact"/>
              <w:rPr>
                <w:sz w:val="20"/>
              </w:rPr>
            </w:pPr>
            <w:r>
              <w:rPr>
                <w:color w:val="003366"/>
                <w:w w:val="99"/>
                <w:sz w:val="20"/>
                <w:u w:val="single" w:color="003366"/>
              </w:rPr>
              <w:t xml:space="preserve"> </w:t>
            </w:r>
            <w:r>
              <w:rPr>
                <w:color w:val="003366"/>
                <w:sz w:val="20"/>
                <w:u w:val="single" w:color="003366"/>
              </w:rPr>
              <w:tab/>
              <w:t>90</w:t>
            </w:r>
            <w:r>
              <w:rPr>
                <w:color w:val="003366"/>
                <w:sz w:val="20"/>
                <w:u w:val="single" w:color="003366"/>
              </w:rPr>
              <w:tab/>
            </w:r>
            <w:r>
              <w:rPr>
                <w:color w:val="003366"/>
                <w:spacing w:val="-1"/>
                <w:sz w:val="20"/>
                <w:u w:val="single" w:color="003366"/>
              </w:rPr>
              <w:t>87</w:t>
            </w:r>
            <w:r>
              <w:rPr>
                <w:color w:val="003366"/>
                <w:spacing w:val="18"/>
                <w:sz w:val="20"/>
                <w:u w:val="single" w:color="003366"/>
              </w:rPr>
              <w:t xml:space="preserve"> </w:t>
            </w:r>
          </w:p>
        </w:tc>
      </w:tr>
      <w:tr w:rsidR="006C17CB">
        <w:trPr>
          <w:trHeight w:val="586"/>
        </w:trPr>
        <w:tc>
          <w:tcPr>
            <w:tcW w:w="5930" w:type="dxa"/>
          </w:tcPr>
          <w:p w:rsidR="006C17CB" w:rsidRDefault="0030091C">
            <w:pPr>
              <w:pStyle w:val="TableParagraph"/>
              <w:spacing w:line="249" w:lineRule="exact"/>
              <w:ind w:left="50"/>
              <w:jc w:val="left"/>
              <w:rPr>
                <w:b/>
                <w:sz w:val="20"/>
              </w:rPr>
            </w:pPr>
            <w:r>
              <w:rPr>
                <w:b/>
                <w:color w:val="003366"/>
                <w:sz w:val="20"/>
              </w:rPr>
              <w:t>Total Non-Current Employee Benefits</w:t>
            </w:r>
          </w:p>
        </w:tc>
        <w:tc>
          <w:tcPr>
            <w:tcW w:w="2801" w:type="dxa"/>
            <w:tcBorders>
              <w:bottom w:val="single" w:sz="2" w:space="0" w:color="003366"/>
            </w:tcBorders>
          </w:tcPr>
          <w:p w:rsidR="006C17CB" w:rsidRDefault="0030091C">
            <w:pPr>
              <w:pStyle w:val="TableParagraph"/>
              <w:tabs>
                <w:tab w:val="left" w:pos="1046"/>
                <w:tab w:val="left" w:pos="2488"/>
              </w:tabs>
              <w:spacing w:line="249" w:lineRule="exact"/>
              <w:rPr>
                <w:b/>
                <w:sz w:val="20"/>
              </w:rPr>
            </w:pPr>
            <w:r>
              <w:rPr>
                <w:b/>
                <w:color w:val="003366"/>
                <w:w w:val="99"/>
                <w:sz w:val="20"/>
                <w:u w:val="single" w:color="003366"/>
              </w:rPr>
              <w:t xml:space="preserve"> </w:t>
            </w:r>
            <w:r>
              <w:rPr>
                <w:b/>
                <w:color w:val="003366"/>
                <w:sz w:val="20"/>
                <w:u w:val="single" w:color="003366"/>
              </w:rPr>
              <w:tab/>
              <w:t>90</w:t>
            </w:r>
            <w:r>
              <w:rPr>
                <w:b/>
                <w:color w:val="003366"/>
                <w:sz w:val="20"/>
                <w:u w:val="single" w:color="003366"/>
              </w:rPr>
              <w:tab/>
            </w:r>
            <w:r>
              <w:rPr>
                <w:b/>
                <w:color w:val="003366"/>
                <w:spacing w:val="-1"/>
                <w:sz w:val="20"/>
                <w:u w:val="single" w:color="003366"/>
              </w:rPr>
              <w:t>87</w:t>
            </w:r>
            <w:r>
              <w:rPr>
                <w:b/>
                <w:color w:val="003366"/>
                <w:spacing w:val="18"/>
                <w:sz w:val="20"/>
                <w:u w:val="single" w:color="003366"/>
              </w:rPr>
              <w:t xml:space="preserve"> </w:t>
            </w:r>
          </w:p>
        </w:tc>
      </w:tr>
      <w:tr w:rsidR="006C17CB">
        <w:trPr>
          <w:trHeight w:val="284"/>
        </w:trPr>
        <w:tc>
          <w:tcPr>
            <w:tcW w:w="5930" w:type="dxa"/>
          </w:tcPr>
          <w:p w:rsidR="006C17CB" w:rsidRDefault="0030091C">
            <w:pPr>
              <w:pStyle w:val="TableParagraph"/>
              <w:spacing w:line="265" w:lineRule="exact"/>
              <w:ind w:left="50"/>
              <w:jc w:val="left"/>
              <w:rPr>
                <w:b/>
                <w:sz w:val="20"/>
              </w:rPr>
            </w:pPr>
            <w:r>
              <w:rPr>
                <w:b/>
                <w:color w:val="003366"/>
                <w:sz w:val="20"/>
              </w:rPr>
              <w:t>Total Employee Benefits</w:t>
            </w:r>
          </w:p>
        </w:tc>
        <w:tc>
          <w:tcPr>
            <w:tcW w:w="2801" w:type="dxa"/>
            <w:tcBorders>
              <w:top w:val="single" w:sz="2" w:space="0" w:color="003366"/>
              <w:bottom w:val="double" w:sz="1" w:space="0" w:color="003366"/>
            </w:tcBorders>
          </w:tcPr>
          <w:p w:rsidR="006C17CB" w:rsidRDefault="0030091C">
            <w:pPr>
              <w:pStyle w:val="TableParagraph"/>
              <w:tabs>
                <w:tab w:val="left" w:pos="1442"/>
              </w:tabs>
              <w:spacing w:line="265" w:lineRule="exact"/>
              <w:ind w:right="111"/>
              <w:rPr>
                <w:b/>
                <w:sz w:val="20"/>
              </w:rPr>
            </w:pPr>
            <w:r>
              <w:rPr>
                <w:b/>
                <w:color w:val="003366"/>
                <w:sz w:val="20"/>
              </w:rPr>
              <w:t>2,102</w:t>
            </w:r>
            <w:r>
              <w:rPr>
                <w:b/>
                <w:color w:val="003366"/>
                <w:sz w:val="20"/>
              </w:rPr>
              <w:tab/>
            </w:r>
            <w:r>
              <w:rPr>
                <w:b/>
                <w:color w:val="003366"/>
                <w:spacing w:val="-2"/>
                <w:sz w:val="20"/>
              </w:rPr>
              <w:t>2,033</w:t>
            </w:r>
          </w:p>
        </w:tc>
      </w:tr>
    </w:tbl>
    <w:p w:rsidR="006C17CB" w:rsidRDefault="006C17CB">
      <w:pPr>
        <w:pStyle w:val="BodyText"/>
        <w:spacing w:before="12"/>
        <w:rPr>
          <w:rFonts w:ascii="Calibri"/>
          <w:sz w:val="21"/>
        </w:rPr>
      </w:pPr>
    </w:p>
    <w:p w:rsidR="006C17CB" w:rsidRDefault="0030091C">
      <w:pPr>
        <w:tabs>
          <w:tab w:val="left" w:pos="1189"/>
        </w:tabs>
        <w:spacing w:line="204" w:lineRule="auto"/>
        <w:ind w:left="1189" w:right="1641" w:hanging="360"/>
        <w:rPr>
          <w:rFonts w:ascii="Calibri"/>
          <w:sz w:val="18"/>
        </w:rPr>
      </w:pPr>
      <w:r>
        <w:rPr>
          <w:rFonts w:ascii="Calibri"/>
          <w:color w:val="003366"/>
          <w:sz w:val="18"/>
        </w:rPr>
        <w:t>a)</w:t>
      </w:r>
      <w:r>
        <w:rPr>
          <w:rFonts w:ascii="Calibri"/>
          <w:color w:val="003366"/>
          <w:sz w:val="18"/>
        </w:rPr>
        <w:tab/>
        <w:t>The increase in the long service leave is largely due to the recruitment of staff members with significant long service leave balances from prior service with other Government</w:t>
      </w:r>
      <w:r>
        <w:rPr>
          <w:rFonts w:ascii="Calibri"/>
          <w:color w:val="003366"/>
          <w:spacing w:val="-8"/>
          <w:sz w:val="18"/>
        </w:rPr>
        <w:t xml:space="preserve"> </w:t>
      </w:r>
      <w:r>
        <w:rPr>
          <w:rFonts w:ascii="Calibri"/>
          <w:color w:val="003366"/>
          <w:sz w:val="18"/>
        </w:rPr>
        <w:t>organisations.</w:t>
      </w:r>
    </w:p>
    <w:p w:rsidR="006C17CB" w:rsidRDefault="006C17CB">
      <w:pPr>
        <w:pStyle w:val="BodyText"/>
        <w:spacing w:before="6"/>
        <w:rPr>
          <w:rFonts w:ascii="Calibri"/>
          <w:sz w:val="7"/>
        </w:rPr>
      </w:pPr>
    </w:p>
    <w:tbl>
      <w:tblPr>
        <w:tblW w:w="0" w:type="auto"/>
        <w:tblInd w:w="779" w:type="dxa"/>
        <w:tblLayout w:type="fixed"/>
        <w:tblCellMar>
          <w:left w:w="0" w:type="dxa"/>
          <w:right w:w="0" w:type="dxa"/>
        </w:tblCellMar>
        <w:tblLook w:val="01E0" w:firstRow="1" w:lastRow="1" w:firstColumn="1" w:lastColumn="1" w:noHBand="0" w:noVBand="0"/>
      </w:tblPr>
      <w:tblGrid>
        <w:gridCol w:w="5930"/>
        <w:gridCol w:w="2801"/>
      </w:tblGrid>
      <w:tr w:rsidR="006C17CB">
        <w:trPr>
          <w:trHeight w:val="1056"/>
        </w:trPr>
        <w:tc>
          <w:tcPr>
            <w:tcW w:w="5930" w:type="dxa"/>
          </w:tcPr>
          <w:p w:rsidR="006C17CB" w:rsidRDefault="006C17CB">
            <w:pPr>
              <w:pStyle w:val="TableParagraph"/>
              <w:jc w:val="left"/>
              <w:rPr>
                <w:sz w:val="20"/>
              </w:rPr>
            </w:pPr>
          </w:p>
          <w:p w:rsidR="006C17CB" w:rsidRDefault="0030091C">
            <w:pPr>
              <w:pStyle w:val="TableParagraph"/>
              <w:spacing w:before="157" w:line="286" w:lineRule="exact"/>
              <w:ind w:left="50"/>
              <w:jc w:val="left"/>
              <w:rPr>
                <w:b/>
                <w:sz w:val="20"/>
              </w:rPr>
            </w:pPr>
            <w:r>
              <w:rPr>
                <w:b/>
                <w:color w:val="003366"/>
                <w:sz w:val="20"/>
              </w:rPr>
              <w:t>Estimate of when Leave is Payable</w:t>
            </w:r>
          </w:p>
          <w:p w:rsidR="006C17CB" w:rsidRDefault="0030091C">
            <w:pPr>
              <w:pStyle w:val="TableParagraph"/>
              <w:spacing w:line="286" w:lineRule="exact"/>
              <w:ind w:left="50"/>
              <w:jc w:val="left"/>
              <w:rPr>
                <w:b/>
                <w:sz w:val="20"/>
              </w:rPr>
            </w:pPr>
            <w:r>
              <w:rPr>
                <w:b/>
                <w:color w:val="003366"/>
                <w:sz w:val="20"/>
              </w:rPr>
              <w:t>Estimated Amount Payable within 12 Months</w:t>
            </w:r>
          </w:p>
        </w:tc>
        <w:tc>
          <w:tcPr>
            <w:tcW w:w="2801" w:type="dxa"/>
          </w:tcPr>
          <w:p w:rsidR="006C17CB" w:rsidRDefault="0030091C">
            <w:pPr>
              <w:pStyle w:val="TableParagraph"/>
              <w:tabs>
                <w:tab w:val="left" w:pos="2284"/>
              </w:tabs>
              <w:spacing w:line="181" w:lineRule="exact"/>
              <w:ind w:left="842"/>
              <w:jc w:val="left"/>
              <w:rPr>
                <w:b/>
                <w:sz w:val="20"/>
              </w:rPr>
            </w:pPr>
            <w:r>
              <w:rPr>
                <w:b/>
                <w:color w:val="003366"/>
                <w:sz w:val="20"/>
              </w:rPr>
              <w:t>2018</w:t>
            </w:r>
            <w:r>
              <w:rPr>
                <w:b/>
                <w:color w:val="003366"/>
                <w:sz w:val="20"/>
              </w:rPr>
              <w:tab/>
              <w:t>2017</w:t>
            </w:r>
          </w:p>
          <w:p w:rsidR="006C17CB" w:rsidRDefault="0030091C">
            <w:pPr>
              <w:pStyle w:val="TableParagraph"/>
              <w:tabs>
                <w:tab w:val="left" w:pos="2234"/>
              </w:tabs>
              <w:spacing w:line="267" w:lineRule="exact"/>
              <w:ind w:left="791"/>
              <w:jc w:val="left"/>
              <w:rPr>
                <w:b/>
                <w:sz w:val="20"/>
              </w:rPr>
            </w:pPr>
            <w:r>
              <w:rPr>
                <w:b/>
                <w:color w:val="003366"/>
                <w:sz w:val="20"/>
              </w:rPr>
              <w:t>$’000</w:t>
            </w:r>
            <w:r>
              <w:rPr>
                <w:b/>
                <w:color w:val="003366"/>
                <w:sz w:val="20"/>
              </w:rPr>
              <w:tab/>
              <w:t>$’000</w:t>
            </w:r>
          </w:p>
        </w:tc>
      </w:tr>
      <w:tr w:rsidR="006C17CB">
        <w:trPr>
          <w:trHeight w:val="284"/>
        </w:trPr>
        <w:tc>
          <w:tcPr>
            <w:tcW w:w="5930" w:type="dxa"/>
          </w:tcPr>
          <w:p w:rsidR="006C17CB" w:rsidRDefault="0030091C">
            <w:pPr>
              <w:pStyle w:val="TableParagraph"/>
              <w:spacing w:line="246" w:lineRule="exact"/>
              <w:ind w:left="50"/>
              <w:jc w:val="left"/>
              <w:rPr>
                <w:sz w:val="20"/>
              </w:rPr>
            </w:pPr>
            <w:r>
              <w:rPr>
                <w:color w:val="003366"/>
                <w:sz w:val="20"/>
              </w:rPr>
              <w:t>Annual Leave</w:t>
            </w:r>
          </w:p>
        </w:tc>
        <w:tc>
          <w:tcPr>
            <w:tcW w:w="2801" w:type="dxa"/>
          </w:tcPr>
          <w:p w:rsidR="006C17CB" w:rsidRDefault="0030091C">
            <w:pPr>
              <w:pStyle w:val="TableParagraph"/>
              <w:tabs>
                <w:tab w:val="left" w:pos="1442"/>
              </w:tabs>
              <w:spacing w:line="246" w:lineRule="exact"/>
              <w:ind w:right="111"/>
              <w:rPr>
                <w:sz w:val="20"/>
              </w:rPr>
            </w:pPr>
            <w:r>
              <w:rPr>
                <w:color w:val="003366"/>
                <w:sz w:val="20"/>
              </w:rPr>
              <w:t>407</w:t>
            </w:r>
            <w:r>
              <w:rPr>
                <w:color w:val="003366"/>
                <w:sz w:val="20"/>
              </w:rPr>
              <w:tab/>
            </w:r>
            <w:r>
              <w:rPr>
                <w:color w:val="003366"/>
                <w:spacing w:val="-2"/>
                <w:sz w:val="20"/>
              </w:rPr>
              <w:t>342</w:t>
            </w:r>
          </w:p>
        </w:tc>
      </w:tr>
      <w:tr w:rsidR="006C17CB">
        <w:trPr>
          <w:trHeight w:val="283"/>
        </w:trPr>
        <w:tc>
          <w:tcPr>
            <w:tcW w:w="5930" w:type="dxa"/>
          </w:tcPr>
          <w:p w:rsidR="006C17CB" w:rsidRDefault="0030091C">
            <w:pPr>
              <w:pStyle w:val="TableParagraph"/>
              <w:spacing w:line="245" w:lineRule="exact"/>
              <w:ind w:left="50"/>
              <w:jc w:val="left"/>
              <w:rPr>
                <w:sz w:val="20"/>
              </w:rPr>
            </w:pPr>
            <w:r>
              <w:rPr>
                <w:color w:val="003366"/>
                <w:sz w:val="20"/>
              </w:rPr>
              <w:t>Long Service Leave</w:t>
            </w:r>
          </w:p>
        </w:tc>
        <w:tc>
          <w:tcPr>
            <w:tcW w:w="2801" w:type="dxa"/>
          </w:tcPr>
          <w:p w:rsidR="006C17CB" w:rsidRDefault="0030091C">
            <w:pPr>
              <w:pStyle w:val="TableParagraph"/>
              <w:tabs>
                <w:tab w:val="left" w:pos="1442"/>
              </w:tabs>
              <w:spacing w:line="245" w:lineRule="exact"/>
              <w:ind w:right="111"/>
              <w:rPr>
                <w:sz w:val="20"/>
              </w:rPr>
            </w:pPr>
            <w:r>
              <w:rPr>
                <w:color w:val="003366"/>
                <w:sz w:val="20"/>
              </w:rPr>
              <w:t>258</w:t>
            </w:r>
            <w:r>
              <w:rPr>
                <w:color w:val="003366"/>
                <w:sz w:val="20"/>
              </w:rPr>
              <w:tab/>
            </w:r>
            <w:r>
              <w:rPr>
                <w:color w:val="003366"/>
                <w:spacing w:val="-2"/>
                <w:sz w:val="20"/>
              </w:rPr>
              <w:t>327</w:t>
            </w:r>
          </w:p>
        </w:tc>
      </w:tr>
      <w:tr w:rsidR="006C17CB">
        <w:trPr>
          <w:trHeight w:val="289"/>
        </w:trPr>
        <w:tc>
          <w:tcPr>
            <w:tcW w:w="5930" w:type="dxa"/>
          </w:tcPr>
          <w:p w:rsidR="006C17CB" w:rsidRDefault="0030091C">
            <w:pPr>
              <w:pStyle w:val="TableParagraph"/>
              <w:spacing w:line="245" w:lineRule="exact"/>
              <w:ind w:left="50"/>
              <w:jc w:val="left"/>
              <w:rPr>
                <w:sz w:val="20"/>
              </w:rPr>
            </w:pPr>
            <w:r>
              <w:rPr>
                <w:color w:val="003366"/>
                <w:sz w:val="20"/>
              </w:rPr>
              <w:t>Accrued Salaries</w:t>
            </w:r>
          </w:p>
        </w:tc>
        <w:tc>
          <w:tcPr>
            <w:tcW w:w="2801" w:type="dxa"/>
          </w:tcPr>
          <w:p w:rsidR="006C17CB" w:rsidRDefault="0030091C">
            <w:pPr>
              <w:pStyle w:val="TableParagraph"/>
              <w:tabs>
                <w:tab w:val="left" w:pos="1046"/>
                <w:tab w:val="left" w:pos="2488"/>
              </w:tabs>
              <w:spacing w:line="245" w:lineRule="exact"/>
              <w:rPr>
                <w:sz w:val="20"/>
              </w:rPr>
            </w:pPr>
            <w:r>
              <w:rPr>
                <w:color w:val="003366"/>
                <w:w w:val="99"/>
                <w:sz w:val="20"/>
                <w:u w:val="single" w:color="003366"/>
              </w:rPr>
              <w:t xml:space="preserve"> </w:t>
            </w:r>
            <w:r>
              <w:rPr>
                <w:color w:val="003366"/>
                <w:sz w:val="20"/>
                <w:u w:val="single" w:color="003366"/>
              </w:rPr>
              <w:tab/>
              <w:t>63</w:t>
            </w:r>
            <w:r>
              <w:rPr>
                <w:color w:val="003366"/>
                <w:sz w:val="20"/>
                <w:u w:val="single" w:color="003366"/>
              </w:rPr>
              <w:tab/>
            </w:r>
            <w:r>
              <w:rPr>
                <w:color w:val="003366"/>
                <w:spacing w:val="-1"/>
                <w:sz w:val="20"/>
                <w:u w:val="single" w:color="003366"/>
              </w:rPr>
              <w:t>41</w:t>
            </w:r>
            <w:r>
              <w:rPr>
                <w:color w:val="003366"/>
                <w:spacing w:val="18"/>
                <w:sz w:val="20"/>
                <w:u w:val="single" w:color="003366"/>
              </w:rPr>
              <w:t xml:space="preserve"> </w:t>
            </w:r>
          </w:p>
        </w:tc>
      </w:tr>
      <w:tr w:rsidR="006C17CB">
        <w:trPr>
          <w:trHeight w:val="424"/>
        </w:trPr>
        <w:tc>
          <w:tcPr>
            <w:tcW w:w="5930" w:type="dxa"/>
          </w:tcPr>
          <w:p w:rsidR="006C17CB" w:rsidRDefault="0030091C">
            <w:pPr>
              <w:pStyle w:val="TableParagraph"/>
              <w:spacing w:line="251" w:lineRule="exact"/>
              <w:ind w:left="50"/>
              <w:jc w:val="left"/>
              <w:rPr>
                <w:b/>
                <w:sz w:val="20"/>
              </w:rPr>
            </w:pPr>
            <w:r>
              <w:rPr>
                <w:b/>
                <w:color w:val="003366"/>
                <w:sz w:val="20"/>
              </w:rPr>
              <w:t>Total Employee Benefits Payable within 12 Months</w:t>
            </w:r>
          </w:p>
        </w:tc>
        <w:tc>
          <w:tcPr>
            <w:tcW w:w="2801" w:type="dxa"/>
          </w:tcPr>
          <w:p w:rsidR="006C17CB" w:rsidRDefault="0030091C">
            <w:pPr>
              <w:pStyle w:val="TableParagraph"/>
              <w:tabs>
                <w:tab w:val="left" w:pos="943"/>
                <w:tab w:val="left" w:pos="2385"/>
              </w:tabs>
              <w:spacing w:line="251" w:lineRule="exact"/>
              <w:rPr>
                <w:b/>
                <w:sz w:val="20"/>
              </w:rPr>
            </w:pPr>
            <w:r>
              <w:rPr>
                <w:b/>
                <w:color w:val="003366"/>
                <w:w w:val="99"/>
                <w:sz w:val="20"/>
                <w:u w:val="single" w:color="003366"/>
              </w:rPr>
              <w:t xml:space="preserve"> </w:t>
            </w:r>
            <w:r>
              <w:rPr>
                <w:b/>
                <w:color w:val="003366"/>
                <w:sz w:val="20"/>
                <w:u w:val="single" w:color="003366"/>
              </w:rPr>
              <w:tab/>
              <w:t>728</w:t>
            </w:r>
            <w:r>
              <w:rPr>
                <w:b/>
                <w:color w:val="003366"/>
                <w:sz w:val="20"/>
                <w:u w:val="single" w:color="003366"/>
              </w:rPr>
              <w:tab/>
            </w:r>
            <w:r>
              <w:rPr>
                <w:b/>
                <w:color w:val="003366"/>
                <w:spacing w:val="-1"/>
                <w:w w:val="95"/>
                <w:sz w:val="20"/>
                <w:u w:val="single" w:color="003366"/>
              </w:rPr>
              <w:t>710</w:t>
            </w:r>
            <w:r>
              <w:rPr>
                <w:b/>
                <w:color w:val="003366"/>
                <w:spacing w:val="21"/>
                <w:sz w:val="20"/>
                <w:u w:val="single" w:color="003366"/>
              </w:rPr>
              <w:t xml:space="preserve"> </w:t>
            </w:r>
          </w:p>
        </w:tc>
      </w:tr>
      <w:tr w:rsidR="006C17CB">
        <w:trPr>
          <w:trHeight w:val="703"/>
        </w:trPr>
        <w:tc>
          <w:tcPr>
            <w:tcW w:w="5930" w:type="dxa"/>
          </w:tcPr>
          <w:p w:rsidR="006C17CB" w:rsidRDefault="0030091C">
            <w:pPr>
              <w:pStyle w:val="TableParagraph"/>
              <w:spacing w:before="92" w:line="286" w:lineRule="exact"/>
              <w:ind w:left="50"/>
              <w:jc w:val="left"/>
              <w:rPr>
                <w:b/>
                <w:sz w:val="20"/>
              </w:rPr>
            </w:pPr>
            <w:r>
              <w:rPr>
                <w:b/>
                <w:color w:val="003366"/>
                <w:sz w:val="20"/>
              </w:rPr>
              <w:t>Estimated Amount Payable after 12 Months</w:t>
            </w:r>
          </w:p>
          <w:p w:rsidR="006C17CB" w:rsidRDefault="0030091C">
            <w:pPr>
              <w:pStyle w:val="TableParagraph"/>
              <w:spacing w:line="286" w:lineRule="exact"/>
              <w:ind w:left="50"/>
              <w:jc w:val="left"/>
              <w:rPr>
                <w:sz w:val="20"/>
              </w:rPr>
            </w:pPr>
            <w:r>
              <w:rPr>
                <w:color w:val="003366"/>
                <w:sz w:val="20"/>
              </w:rPr>
              <w:t>Annual Leave</w:t>
            </w:r>
          </w:p>
        </w:tc>
        <w:tc>
          <w:tcPr>
            <w:tcW w:w="2801" w:type="dxa"/>
          </w:tcPr>
          <w:p w:rsidR="006C17CB" w:rsidRDefault="006C17CB">
            <w:pPr>
              <w:pStyle w:val="TableParagraph"/>
              <w:jc w:val="left"/>
              <w:rPr>
                <w:sz w:val="26"/>
              </w:rPr>
            </w:pPr>
          </w:p>
          <w:p w:rsidR="006C17CB" w:rsidRDefault="0030091C">
            <w:pPr>
              <w:pStyle w:val="TableParagraph"/>
              <w:tabs>
                <w:tab w:val="left" w:pos="1442"/>
              </w:tabs>
              <w:spacing w:before="1"/>
              <w:ind w:right="111"/>
              <w:rPr>
                <w:sz w:val="20"/>
              </w:rPr>
            </w:pPr>
            <w:r>
              <w:rPr>
                <w:color w:val="003366"/>
                <w:sz w:val="20"/>
              </w:rPr>
              <w:t>149</w:t>
            </w:r>
            <w:r>
              <w:rPr>
                <w:color w:val="003366"/>
                <w:sz w:val="20"/>
              </w:rPr>
              <w:tab/>
            </w:r>
            <w:r>
              <w:rPr>
                <w:color w:val="003366"/>
                <w:spacing w:val="-2"/>
                <w:sz w:val="20"/>
              </w:rPr>
              <w:t>268</w:t>
            </w:r>
          </w:p>
        </w:tc>
      </w:tr>
      <w:tr w:rsidR="006C17CB">
        <w:trPr>
          <w:trHeight w:val="289"/>
        </w:trPr>
        <w:tc>
          <w:tcPr>
            <w:tcW w:w="5930" w:type="dxa"/>
          </w:tcPr>
          <w:p w:rsidR="006C17CB" w:rsidRDefault="0030091C">
            <w:pPr>
              <w:pStyle w:val="TableParagraph"/>
              <w:spacing w:line="246" w:lineRule="exact"/>
              <w:ind w:left="50"/>
              <w:jc w:val="left"/>
              <w:rPr>
                <w:sz w:val="20"/>
              </w:rPr>
            </w:pPr>
            <w:r>
              <w:rPr>
                <w:color w:val="003366"/>
                <w:sz w:val="20"/>
              </w:rPr>
              <w:t>Long Service Leave</w:t>
            </w:r>
          </w:p>
        </w:tc>
        <w:tc>
          <w:tcPr>
            <w:tcW w:w="2801" w:type="dxa"/>
          </w:tcPr>
          <w:p w:rsidR="006C17CB" w:rsidRDefault="0030091C">
            <w:pPr>
              <w:pStyle w:val="TableParagraph"/>
              <w:tabs>
                <w:tab w:val="left" w:pos="791"/>
                <w:tab w:val="left" w:pos="2234"/>
              </w:tabs>
              <w:spacing w:line="246" w:lineRule="exact"/>
              <w:rPr>
                <w:sz w:val="20"/>
              </w:rPr>
            </w:pPr>
            <w:r>
              <w:rPr>
                <w:color w:val="003366"/>
                <w:w w:val="99"/>
                <w:sz w:val="20"/>
                <w:u w:val="single" w:color="003366"/>
              </w:rPr>
              <w:t xml:space="preserve"> </w:t>
            </w:r>
            <w:r>
              <w:rPr>
                <w:color w:val="003366"/>
                <w:sz w:val="20"/>
                <w:u w:val="single" w:color="003366"/>
              </w:rPr>
              <w:tab/>
              <w:t>1,225</w:t>
            </w:r>
            <w:r>
              <w:rPr>
                <w:color w:val="003366"/>
                <w:sz w:val="20"/>
                <w:u w:val="single" w:color="003366"/>
              </w:rPr>
              <w:tab/>
            </w:r>
            <w:r>
              <w:rPr>
                <w:color w:val="003366"/>
                <w:spacing w:val="-1"/>
                <w:sz w:val="20"/>
                <w:u w:val="single" w:color="003366"/>
              </w:rPr>
              <w:t>1,055</w:t>
            </w:r>
            <w:r>
              <w:rPr>
                <w:color w:val="003366"/>
                <w:spacing w:val="21"/>
                <w:sz w:val="20"/>
                <w:u w:val="single" w:color="003366"/>
              </w:rPr>
              <w:t xml:space="preserve"> </w:t>
            </w:r>
          </w:p>
        </w:tc>
      </w:tr>
      <w:tr w:rsidR="006C17CB">
        <w:trPr>
          <w:trHeight w:val="591"/>
        </w:trPr>
        <w:tc>
          <w:tcPr>
            <w:tcW w:w="5930" w:type="dxa"/>
          </w:tcPr>
          <w:p w:rsidR="006C17CB" w:rsidRDefault="0030091C">
            <w:pPr>
              <w:pStyle w:val="TableParagraph"/>
              <w:spacing w:line="250" w:lineRule="exact"/>
              <w:ind w:left="50"/>
              <w:jc w:val="left"/>
              <w:rPr>
                <w:b/>
                <w:sz w:val="20"/>
              </w:rPr>
            </w:pPr>
            <w:r>
              <w:rPr>
                <w:b/>
                <w:color w:val="003366"/>
                <w:sz w:val="20"/>
              </w:rPr>
              <w:t>Total Employee Benefits Payable after 12 Months</w:t>
            </w:r>
          </w:p>
        </w:tc>
        <w:tc>
          <w:tcPr>
            <w:tcW w:w="2801" w:type="dxa"/>
            <w:tcBorders>
              <w:bottom w:val="single" w:sz="4" w:space="0" w:color="003366"/>
            </w:tcBorders>
          </w:tcPr>
          <w:p w:rsidR="006C17CB" w:rsidRDefault="0030091C">
            <w:pPr>
              <w:pStyle w:val="TableParagraph"/>
              <w:tabs>
                <w:tab w:val="left" w:pos="791"/>
                <w:tab w:val="left" w:pos="2234"/>
              </w:tabs>
              <w:spacing w:line="250" w:lineRule="exact"/>
              <w:rPr>
                <w:b/>
                <w:sz w:val="20"/>
              </w:rPr>
            </w:pPr>
            <w:r>
              <w:rPr>
                <w:b/>
                <w:color w:val="003366"/>
                <w:w w:val="99"/>
                <w:sz w:val="20"/>
                <w:u w:val="single" w:color="003366"/>
              </w:rPr>
              <w:t xml:space="preserve"> </w:t>
            </w:r>
            <w:r>
              <w:rPr>
                <w:b/>
                <w:color w:val="003366"/>
                <w:sz w:val="20"/>
                <w:u w:val="single" w:color="003366"/>
              </w:rPr>
              <w:tab/>
              <w:t>1,374</w:t>
            </w:r>
            <w:r>
              <w:rPr>
                <w:b/>
                <w:color w:val="003366"/>
                <w:sz w:val="20"/>
                <w:u w:val="single" w:color="003366"/>
              </w:rPr>
              <w:tab/>
            </w:r>
            <w:r>
              <w:rPr>
                <w:b/>
                <w:color w:val="003366"/>
                <w:spacing w:val="-1"/>
                <w:w w:val="95"/>
                <w:sz w:val="20"/>
                <w:u w:val="single" w:color="003366"/>
              </w:rPr>
              <w:t>1,323</w:t>
            </w:r>
            <w:r>
              <w:rPr>
                <w:b/>
                <w:color w:val="003366"/>
                <w:spacing w:val="21"/>
                <w:sz w:val="20"/>
                <w:u w:val="single" w:color="003366"/>
              </w:rPr>
              <w:t xml:space="preserve"> </w:t>
            </w:r>
          </w:p>
        </w:tc>
      </w:tr>
      <w:tr w:rsidR="006C17CB">
        <w:trPr>
          <w:trHeight w:val="284"/>
        </w:trPr>
        <w:tc>
          <w:tcPr>
            <w:tcW w:w="5930" w:type="dxa"/>
          </w:tcPr>
          <w:p w:rsidR="006C17CB" w:rsidRDefault="0030091C">
            <w:pPr>
              <w:pStyle w:val="TableParagraph"/>
              <w:spacing w:line="265" w:lineRule="exact"/>
              <w:ind w:left="50"/>
              <w:jc w:val="left"/>
              <w:rPr>
                <w:b/>
                <w:sz w:val="20"/>
              </w:rPr>
            </w:pPr>
            <w:r>
              <w:rPr>
                <w:b/>
                <w:color w:val="003366"/>
                <w:sz w:val="20"/>
              </w:rPr>
              <w:t>Total Employee Benefits</w:t>
            </w:r>
          </w:p>
        </w:tc>
        <w:tc>
          <w:tcPr>
            <w:tcW w:w="2801" w:type="dxa"/>
            <w:tcBorders>
              <w:top w:val="single" w:sz="4" w:space="0" w:color="003366"/>
              <w:bottom w:val="double" w:sz="1" w:space="0" w:color="003366"/>
            </w:tcBorders>
          </w:tcPr>
          <w:p w:rsidR="006C17CB" w:rsidRDefault="0030091C">
            <w:pPr>
              <w:pStyle w:val="TableParagraph"/>
              <w:tabs>
                <w:tab w:val="left" w:pos="1442"/>
              </w:tabs>
              <w:spacing w:line="265" w:lineRule="exact"/>
              <w:ind w:right="110"/>
              <w:rPr>
                <w:b/>
                <w:sz w:val="20"/>
              </w:rPr>
            </w:pPr>
            <w:r>
              <w:rPr>
                <w:b/>
                <w:color w:val="003366"/>
                <w:sz w:val="20"/>
              </w:rPr>
              <w:t>2,102</w:t>
            </w:r>
            <w:r>
              <w:rPr>
                <w:b/>
                <w:color w:val="003366"/>
                <w:sz w:val="20"/>
              </w:rPr>
              <w:tab/>
            </w:r>
            <w:r>
              <w:rPr>
                <w:b/>
                <w:color w:val="003366"/>
                <w:spacing w:val="-1"/>
                <w:w w:val="95"/>
                <w:sz w:val="20"/>
              </w:rPr>
              <w:t>2,033</w:t>
            </w:r>
          </w:p>
        </w:tc>
      </w:tr>
    </w:tbl>
    <w:p w:rsidR="006C17CB" w:rsidRDefault="006C17CB">
      <w:pPr>
        <w:pStyle w:val="BodyText"/>
        <w:spacing w:before="5"/>
        <w:rPr>
          <w:rFonts w:ascii="Calibri"/>
          <w:sz w:val="25"/>
        </w:rPr>
      </w:pPr>
    </w:p>
    <w:p w:rsidR="006C17CB" w:rsidRDefault="0030091C">
      <w:pPr>
        <w:ind w:left="829"/>
        <w:jc w:val="both"/>
        <w:rPr>
          <w:rFonts w:ascii="Calibri"/>
          <w:sz w:val="20"/>
        </w:rPr>
      </w:pPr>
      <w:r>
        <w:rPr>
          <w:rFonts w:ascii="Calibri"/>
          <w:color w:val="003366"/>
          <w:sz w:val="20"/>
        </w:rPr>
        <w:t>At 30 June 2018, the Office employed 49.8 full time equivalent (FTE) staff (49.8 FTE staff at 30 June 2017).</w:t>
      </w:r>
    </w:p>
    <w:p w:rsidR="006C17CB" w:rsidRDefault="006C17CB">
      <w:pPr>
        <w:jc w:val="both"/>
        <w:rPr>
          <w:rFonts w:ascii="Calibri"/>
          <w:sz w:val="20"/>
        </w:rPr>
        <w:sectPr w:rsidR="006C17CB">
          <w:footerReference w:type="even" r:id="rId163"/>
          <w:footerReference w:type="default" r:id="rId164"/>
          <w:pgSz w:w="11910" w:h="16840"/>
          <w:pgMar w:top="2120" w:right="0" w:bottom="720" w:left="980" w:header="1173" w:footer="523" w:gutter="0"/>
          <w:cols w:space="720"/>
        </w:sectPr>
      </w:pPr>
    </w:p>
    <w:p w:rsidR="006C17CB" w:rsidRDefault="006C17CB">
      <w:pPr>
        <w:pStyle w:val="BodyText"/>
        <w:spacing w:before="9"/>
        <w:rPr>
          <w:rFonts w:ascii="Calibri"/>
          <w:sz w:val="21"/>
        </w:rPr>
      </w:pPr>
    </w:p>
    <w:p w:rsidR="006C17CB" w:rsidRDefault="0030091C">
      <w:pPr>
        <w:pStyle w:val="Heading6"/>
        <w:tabs>
          <w:tab w:val="left" w:pos="1962"/>
        </w:tabs>
        <w:spacing w:line="345" w:lineRule="exact"/>
      </w:pPr>
      <w:r>
        <w:rPr>
          <w:color w:val="003366"/>
        </w:rPr>
        <w:t>NOTE</w:t>
      </w:r>
      <w:r>
        <w:rPr>
          <w:color w:val="003366"/>
          <w:spacing w:val="-1"/>
        </w:rPr>
        <w:t xml:space="preserve"> </w:t>
      </w:r>
      <w:r>
        <w:rPr>
          <w:color w:val="003366"/>
        </w:rPr>
        <w:t>18.</w:t>
      </w:r>
      <w:r>
        <w:rPr>
          <w:color w:val="003366"/>
        </w:rPr>
        <w:tab/>
        <w:t>FINANCIAL</w:t>
      </w:r>
      <w:r>
        <w:rPr>
          <w:color w:val="003366"/>
          <w:spacing w:val="-1"/>
        </w:rPr>
        <w:t xml:space="preserve"> </w:t>
      </w:r>
      <w:r>
        <w:rPr>
          <w:color w:val="003366"/>
        </w:rPr>
        <w:t>INSTRUMENTS</w:t>
      </w:r>
    </w:p>
    <w:p w:rsidR="006C17CB" w:rsidRDefault="0030091C">
      <w:pPr>
        <w:spacing w:before="195"/>
        <w:ind w:left="829"/>
        <w:rPr>
          <w:rFonts w:ascii="Calibri"/>
          <w:b/>
          <w:sz w:val="20"/>
        </w:rPr>
      </w:pPr>
      <w:r>
        <w:rPr>
          <w:rFonts w:ascii="Calibri"/>
          <w:b/>
          <w:color w:val="003366"/>
          <w:sz w:val="20"/>
        </w:rPr>
        <w:t>Interest Rate Risk</w:t>
      </w:r>
    </w:p>
    <w:p w:rsidR="006C17CB" w:rsidRDefault="006C17CB">
      <w:pPr>
        <w:pStyle w:val="BodyText"/>
        <w:spacing w:before="1"/>
        <w:rPr>
          <w:rFonts w:ascii="Calibri"/>
          <w:b/>
          <w:sz w:val="16"/>
        </w:rPr>
      </w:pPr>
    </w:p>
    <w:p w:rsidR="006C17CB" w:rsidRDefault="0030091C">
      <w:pPr>
        <w:spacing w:line="204" w:lineRule="auto"/>
        <w:ind w:left="829" w:right="1582"/>
        <w:jc w:val="both"/>
        <w:rPr>
          <w:rFonts w:ascii="Calibri"/>
          <w:sz w:val="20"/>
        </w:rPr>
      </w:pPr>
      <w:r>
        <w:rPr>
          <w:rFonts w:ascii="Calibri"/>
          <w:color w:val="003366"/>
          <w:sz w:val="20"/>
        </w:rPr>
        <w:t>Interest rate risk is the risk that the fair value or future cash flows of a financial instrument will fluctuate because of changes in market interest rates.</w:t>
      </w:r>
    </w:p>
    <w:p w:rsidR="006C17CB" w:rsidRDefault="0030091C">
      <w:pPr>
        <w:spacing w:before="117" w:line="204" w:lineRule="auto"/>
        <w:ind w:left="829" w:right="1577"/>
        <w:jc w:val="both"/>
        <w:rPr>
          <w:rFonts w:ascii="Calibri" w:hAnsi="Calibri"/>
          <w:sz w:val="20"/>
        </w:rPr>
      </w:pPr>
      <w:r>
        <w:rPr>
          <w:rFonts w:ascii="Calibri" w:hAnsi="Calibri"/>
          <w:color w:val="003366"/>
          <w:sz w:val="20"/>
        </w:rPr>
        <w:t>A small portion of the Office’s cash is held in floating interest rate arrangements and the Office has no financial</w:t>
      </w:r>
      <w:r>
        <w:rPr>
          <w:rFonts w:ascii="Calibri" w:hAnsi="Calibri"/>
          <w:color w:val="003366"/>
          <w:spacing w:val="-7"/>
          <w:sz w:val="20"/>
        </w:rPr>
        <w:t xml:space="preserve"> </w:t>
      </w:r>
      <w:r>
        <w:rPr>
          <w:rFonts w:ascii="Calibri" w:hAnsi="Calibri"/>
          <w:color w:val="003366"/>
          <w:sz w:val="20"/>
        </w:rPr>
        <w:t>liabilities</w:t>
      </w:r>
      <w:r>
        <w:rPr>
          <w:rFonts w:ascii="Calibri" w:hAnsi="Calibri"/>
          <w:color w:val="003366"/>
          <w:spacing w:val="-8"/>
          <w:sz w:val="20"/>
        </w:rPr>
        <w:t xml:space="preserve"> </w:t>
      </w:r>
      <w:r>
        <w:rPr>
          <w:rFonts w:ascii="Calibri" w:hAnsi="Calibri"/>
          <w:color w:val="003366"/>
          <w:sz w:val="20"/>
        </w:rPr>
        <w:t>subject</w:t>
      </w:r>
      <w:r>
        <w:rPr>
          <w:rFonts w:ascii="Calibri" w:hAnsi="Calibri"/>
          <w:color w:val="003366"/>
          <w:spacing w:val="-6"/>
          <w:sz w:val="20"/>
        </w:rPr>
        <w:t xml:space="preserve"> </w:t>
      </w:r>
      <w:r>
        <w:rPr>
          <w:rFonts w:ascii="Calibri" w:hAnsi="Calibri"/>
          <w:color w:val="003366"/>
          <w:sz w:val="20"/>
        </w:rPr>
        <w:t>to</w:t>
      </w:r>
      <w:r>
        <w:rPr>
          <w:rFonts w:ascii="Calibri" w:hAnsi="Calibri"/>
          <w:color w:val="003366"/>
          <w:spacing w:val="-6"/>
          <w:sz w:val="20"/>
        </w:rPr>
        <w:t xml:space="preserve"> </w:t>
      </w:r>
      <w:r>
        <w:rPr>
          <w:rFonts w:ascii="Calibri" w:hAnsi="Calibri"/>
          <w:color w:val="003366"/>
          <w:sz w:val="20"/>
        </w:rPr>
        <w:t>floating</w:t>
      </w:r>
      <w:r>
        <w:rPr>
          <w:rFonts w:ascii="Calibri" w:hAnsi="Calibri"/>
          <w:color w:val="003366"/>
          <w:spacing w:val="-7"/>
          <w:sz w:val="20"/>
        </w:rPr>
        <w:t xml:space="preserve"> </w:t>
      </w:r>
      <w:r>
        <w:rPr>
          <w:rFonts w:ascii="Calibri" w:hAnsi="Calibri"/>
          <w:color w:val="003366"/>
          <w:sz w:val="20"/>
        </w:rPr>
        <w:t>interest</w:t>
      </w:r>
      <w:r>
        <w:rPr>
          <w:rFonts w:ascii="Calibri" w:hAnsi="Calibri"/>
          <w:color w:val="003366"/>
          <w:spacing w:val="-6"/>
          <w:sz w:val="20"/>
        </w:rPr>
        <w:t xml:space="preserve"> </w:t>
      </w:r>
      <w:r>
        <w:rPr>
          <w:rFonts w:ascii="Calibri" w:hAnsi="Calibri"/>
          <w:color w:val="003366"/>
          <w:sz w:val="20"/>
        </w:rPr>
        <w:t>rates.</w:t>
      </w:r>
      <w:r>
        <w:rPr>
          <w:rFonts w:ascii="Calibri" w:hAnsi="Calibri"/>
          <w:color w:val="003366"/>
          <w:spacing w:val="-6"/>
          <w:sz w:val="20"/>
        </w:rPr>
        <w:t xml:space="preserve"> </w:t>
      </w:r>
      <w:r>
        <w:rPr>
          <w:rFonts w:ascii="Calibri" w:hAnsi="Calibri"/>
          <w:color w:val="003366"/>
          <w:sz w:val="20"/>
        </w:rPr>
        <w:t>Accordingly,</w:t>
      </w:r>
      <w:r>
        <w:rPr>
          <w:rFonts w:ascii="Calibri" w:hAnsi="Calibri"/>
          <w:color w:val="003366"/>
          <w:spacing w:val="-6"/>
          <w:sz w:val="20"/>
        </w:rPr>
        <w:t xml:space="preserve"> </w:t>
      </w:r>
      <w:r>
        <w:rPr>
          <w:rFonts w:ascii="Calibri" w:hAnsi="Calibri"/>
          <w:color w:val="003366"/>
          <w:sz w:val="20"/>
        </w:rPr>
        <w:t>the</w:t>
      </w:r>
      <w:r>
        <w:rPr>
          <w:rFonts w:ascii="Calibri" w:hAnsi="Calibri"/>
          <w:color w:val="003366"/>
          <w:spacing w:val="-7"/>
          <w:sz w:val="20"/>
        </w:rPr>
        <w:t xml:space="preserve"> </w:t>
      </w:r>
      <w:r>
        <w:rPr>
          <w:rFonts w:ascii="Calibri" w:hAnsi="Calibri"/>
          <w:color w:val="003366"/>
          <w:sz w:val="20"/>
        </w:rPr>
        <w:t>Office</w:t>
      </w:r>
      <w:r>
        <w:rPr>
          <w:rFonts w:ascii="Calibri" w:hAnsi="Calibri"/>
          <w:color w:val="003366"/>
          <w:spacing w:val="-8"/>
          <w:sz w:val="20"/>
        </w:rPr>
        <w:t xml:space="preserve"> </w:t>
      </w:r>
      <w:r>
        <w:rPr>
          <w:rFonts w:ascii="Calibri" w:hAnsi="Calibri"/>
          <w:color w:val="003366"/>
          <w:sz w:val="20"/>
        </w:rPr>
        <w:t>is</w:t>
      </w:r>
      <w:r>
        <w:rPr>
          <w:rFonts w:ascii="Calibri" w:hAnsi="Calibri"/>
          <w:color w:val="003366"/>
          <w:spacing w:val="-8"/>
          <w:sz w:val="20"/>
        </w:rPr>
        <w:t xml:space="preserve"> </w:t>
      </w:r>
      <w:r>
        <w:rPr>
          <w:rFonts w:ascii="Calibri" w:hAnsi="Calibri"/>
          <w:color w:val="003366"/>
          <w:sz w:val="20"/>
        </w:rPr>
        <w:t>exposed</w:t>
      </w:r>
      <w:r>
        <w:rPr>
          <w:rFonts w:ascii="Calibri" w:hAnsi="Calibri"/>
          <w:color w:val="003366"/>
          <w:spacing w:val="-5"/>
          <w:sz w:val="20"/>
        </w:rPr>
        <w:t xml:space="preserve"> </w:t>
      </w:r>
      <w:r>
        <w:rPr>
          <w:rFonts w:ascii="Calibri" w:hAnsi="Calibri"/>
          <w:color w:val="003366"/>
          <w:sz w:val="20"/>
        </w:rPr>
        <w:t>only</w:t>
      </w:r>
      <w:r>
        <w:rPr>
          <w:rFonts w:ascii="Calibri" w:hAnsi="Calibri"/>
          <w:color w:val="003366"/>
          <w:spacing w:val="-6"/>
          <w:sz w:val="20"/>
        </w:rPr>
        <w:t xml:space="preserve"> </w:t>
      </w:r>
      <w:r>
        <w:rPr>
          <w:rFonts w:ascii="Calibri" w:hAnsi="Calibri"/>
          <w:color w:val="003366"/>
          <w:sz w:val="20"/>
        </w:rPr>
        <w:t>to</w:t>
      </w:r>
      <w:r>
        <w:rPr>
          <w:rFonts w:ascii="Calibri" w:hAnsi="Calibri"/>
          <w:color w:val="003366"/>
          <w:spacing w:val="-6"/>
          <w:sz w:val="20"/>
        </w:rPr>
        <w:t xml:space="preserve"> </w:t>
      </w:r>
      <w:r>
        <w:rPr>
          <w:rFonts w:ascii="Calibri" w:hAnsi="Calibri"/>
          <w:color w:val="003366"/>
          <w:sz w:val="20"/>
        </w:rPr>
        <w:t>movements in interest receivable; it is not exposed to movements in interest</w:t>
      </w:r>
      <w:r>
        <w:rPr>
          <w:rFonts w:ascii="Calibri" w:hAnsi="Calibri"/>
          <w:color w:val="003366"/>
          <w:spacing w:val="-7"/>
          <w:sz w:val="20"/>
        </w:rPr>
        <w:t xml:space="preserve"> </w:t>
      </w:r>
      <w:r>
        <w:rPr>
          <w:rFonts w:ascii="Calibri" w:hAnsi="Calibri"/>
          <w:color w:val="003366"/>
          <w:sz w:val="20"/>
        </w:rPr>
        <w:t>payable.</w:t>
      </w:r>
    </w:p>
    <w:p w:rsidR="006C17CB" w:rsidRDefault="0030091C">
      <w:pPr>
        <w:spacing w:before="122" w:line="201" w:lineRule="auto"/>
        <w:ind w:left="829" w:right="1579"/>
        <w:jc w:val="both"/>
        <w:rPr>
          <w:rFonts w:ascii="Calibri"/>
          <w:sz w:val="20"/>
        </w:rPr>
      </w:pPr>
      <w:r>
        <w:rPr>
          <w:rFonts w:ascii="Calibri"/>
          <w:color w:val="003366"/>
          <w:sz w:val="20"/>
        </w:rPr>
        <w:t>There have been no changes in risk exposure or processes for managing risk since last financial reporting period.</w:t>
      </w:r>
    </w:p>
    <w:p w:rsidR="006C17CB" w:rsidRDefault="006C17CB">
      <w:pPr>
        <w:pStyle w:val="BodyText"/>
        <w:spacing w:before="3"/>
        <w:rPr>
          <w:rFonts w:ascii="Calibri"/>
          <w:sz w:val="14"/>
        </w:rPr>
      </w:pPr>
    </w:p>
    <w:p w:rsidR="006C17CB" w:rsidRDefault="0030091C">
      <w:pPr>
        <w:spacing w:before="1"/>
        <w:ind w:left="829"/>
        <w:rPr>
          <w:rFonts w:ascii="Calibri"/>
          <w:i/>
          <w:sz w:val="20"/>
        </w:rPr>
      </w:pPr>
      <w:r>
        <w:rPr>
          <w:rFonts w:ascii="Calibri"/>
          <w:i/>
          <w:color w:val="003366"/>
          <w:sz w:val="20"/>
        </w:rPr>
        <w:t>Sensitivity Analysis</w:t>
      </w:r>
    </w:p>
    <w:p w:rsidR="006C17CB" w:rsidRDefault="006C17CB">
      <w:pPr>
        <w:pStyle w:val="BodyText"/>
        <w:rPr>
          <w:rFonts w:ascii="Calibri"/>
          <w:i/>
          <w:sz w:val="16"/>
        </w:rPr>
      </w:pPr>
    </w:p>
    <w:p w:rsidR="006C17CB" w:rsidRDefault="0030091C">
      <w:pPr>
        <w:spacing w:before="1" w:line="204" w:lineRule="auto"/>
        <w:ind w:left="829" w:right="1580"/>
        <w:jc w:val="both"/>
        <w:rPr>
          <w:rFonts w:ascii="Calibri"/>
          <w:sz w:val="20"/>
        </w:rPr>
      </w:pPr>
      <w:r>
        <w:rPr>
          <w:rFonts w:ascii="Calibri"/>
          <w:color w:val="003366"/>
          <w:sz w:val="20"/>
        </w:rPr>
        <w:t>A sensitivity analysis has not been undertaken for the interest rate risk of the Office as it has been determined</w:t>
      </w:r>
      <w:r>
        <w:rPr>
          <w:rFonts w:ascii="Calibri"/>
          <w:color w:val="003366"/>
          <w:spacing w:val="-5"/>
          <w:sz w:val="20"/>
        </w:rPr>
        <w:t xml:space="preserve"> </w:t>
      </w:r>
      <w:r>
        <w:rPr>
          <w:rFonts w:ascii="Calibri"/>
          <w:color w:val="003366"/>
          <w:sz w:val="20"/>
        </w:rPr>
        <w:t>that</w:t>
      </w:r>
      <w:r>
        <w:rPr>
          <w:rFonts w:ascii="Calibri"/>
          <w:color w:val="003366"/>
          <w:spacing w:val="-5"/>
          <w:sz w:val="20"/>
        </w:rPr>
        <w:t xml:space="preserve"> </w:t>
      </w:r>
      <w:r>
        <w:rPr>
          <w:rFonts w:ascii="Calibri"/>
          <w:color w:val="003366"/>
          <w:sz w:val="20"/>
        </w:rPr>
        <w:t>the</w:t>
      </w:r>
      <w:r>
        <w:rPr>
          <w:rFonts w:ascii="Calibri"/>
          <w:color w:val="003366"/>
          <w:spacing w:val="-6"/>
          <w:sz w:val="20"/>
        </w:rPr>
        <w:t xml:space="preserve"> </w:t>
      </w:r>
      <w:r>
        <w:rPr>
          <w:rFonts w:ascii="Calibri"/>
          <w:color w:val="003366"/>
          <w:sz w:val="20"/>
        </w:rPr>
        <w:t>possible</w:t>
      </w:r>
      <w:r>
        <w:rPr>
          <w:rFonts w:ascii="Calibri"/>
          <w:color w:val="003366"/>
          <w:spacing w:val="-5"/>
          <w:sz w:val="20"/>
        </w:rPr>
        <w:t xml:space="preserve"> </w:t>
      </w:r>
      <w:r>
        <w:rPr>
          <w:rFonts w:ascii="Calibri"/>
          <w:color w:val="003366"/>
          <w:sz w:val="20"/>
        </w:rPr>
        <w:t>impact</w:t>
      </w:r>
      <w:r>
        <w:rPr>
          <w:rFonts w:ascii="Calibri"/>
          <w:color w:val="003366"/>
          <w:spacing w:val="-5"/>
          <w:sz w:val="20"/>
        </w:rPr>
        <w:t xml:space="preserve"> </w:t>
      </w:r>
      <w:r>
        <w:rPr>
          <w:rFonts w:ascii="Calibri"/>
          <w:color w:val="003366"/>
          <w:sz w:val="20"/>
        </w:rPr>
        <w:t>on</w:t>
      </w:r>
      <w:r>
        <w:rPr>
          <w:rFonts w:ascii="Calibri"/>
          <w:color w:val="003366"/>
          <w:spacing w:val="-5"/>
          <w:sz w:val="20"/>
        </w:rPr>
        <w:t xml:space="preserve"> </w:t>
      </w:r>
      <w:r>
        <w:rPr>
          <w:rFonts w:ascii="Calibri"/>
          <w:color w:val="003366"/>
          <w:sz w:val="20"/>
        </w:rPr>
        <w:t>income</w:t>
      </w:r>
      <w:r>
        <w:rPr>
          <w:rFonts w:ascii="Calibri"/>
          <w:color w:val="003366"/>
          <w:spacing w:val="-6"/>
          <w:sz w:val="20"/>
        </w:rPr>
        <w:t xml:space="preserve"> </w:t>
      </w:r>
      <w:r>
        <w:rPr>
          <w:rFonts w:ascii="Calibri"/>
          <w:color w:val="003366"/>
          <w:sz w:val="20"/>
        </w:rPr>
        <w:t>and</w:t>
      </w:r>
      <w:r>
        <w:rPr>
          <w:rFonts w:ascii="Calibri"/>
          <w:color w:val="003366"/>
          <w:spacing w:val="-5"/>
          <w:sz w:val="20"/>
        </w:rPr>
        <w:t xml:space="preserve"> </w:t>
      </w:r>
      <w:r>
        <w:rPr>
          <w:rFonts w:ascii="Calibri"/>
          <w:color w:val="003366"/>
          <w:sz w:val="20"/>
        </w:rPr>
        <w:t>expenses</w:t>
      </w:r>
      <w:r>
        <w:rPr>
          <w:rFonts w:ascii="Calibri"/>
          <w:color w:val="003366"/>
          <w:spacing w:val="-7"/>
          <w:sz w:val="20"/>
        </w:rPr>
        <w:t xml:space="preserve"> </w:t>
      </w:r>
      <w:r>
        <w:rPr>
          <w:rFonts w:ascii="Calibri"/>
          <w:color w:val="003366"/>
          <w:sz w:val="20"/>
        </w:rPr>
        <w:t>or</w:t>
      </w:r>
      <w:r>
        <w:rPr>
          <w:rFonts w:ascii="Calibri"/>
          <w:color w:val="003366"/>
          <w:spacing w:val="-5"/>
          <w:sz w:val="20"/>
        </w:rPr>
        <w:t xml:space="preserve"> </w:t>
      </w:r>
      <w:r>
        <w:rPr>
          <w:rFonts w:ascii="Calibri"/>
          <w:color w:val="003366"/>
          <w:sz w:val="20"/>
        </w:rPr>
        <w:t>total</w:t>
      </w:r>
      <w:r>
        <w:rPr>
          <w:rFonts w:ascii="Calibri"/>
          <w:color w:val="003366"/>
          <w:spacing w:val="-6"/>
          <w:sz w:val="20"/>
        </w:rPr>
        <w:t xml:space="preserve"> </w:t>
      </w:r>
      <w:r>
        <w:rPr>
          <w:rFonts w:ascii="Calibri"/>
          <w:color w:val="003366"/>
          <w:sz w:val="20"/>
        </w:rPr>
        <w:t>equity</w:t>
      </w:r>
      <w:r>
        <w:rPr>
          <w:rFonts w:ascii="Calibri"/>
          <w:color w:val="003366"/>
          <w:spacing w:val="-5"/>
          <w:sz w:val="20"/>
        </w:rPr>
        <w:t xml:space="preserve"> </w:t>
      </w:r>
      <w:r>
        <w:rPr>
          <w:rFonts w:ascii="Calibri"/>
          <w:color w:val="003366"/>
          <w:sz w:val="20"/>
        </w:rPr>
        <w:t>from</w:t>
      </w:r>
      <w:r>
        <w:rPr>
          <w:rFonts w:ascii="Calibri"/>
          <w:color w:val="003366"/>
          <w:spacing w:val="-6"/>
          <w:sz w:val="20"/>
        </w:rPr>
        <w:t xml:space="preserve"> </w:t>
      </w:r>
      <w:r>
        <w:rPr>
          <w:rFonts w:ascii="Calibri"/>
          <w:color w:val="003366"/>
          <w:sz w:val="20"/>
        </w:rPr>
        <w:t>fluctuations</w:t>
      </w:r>
      <w:r>
        <w:rPr>
          <w:rFonts w:ascii="Calibri"/>
          <w:color w:val="003366"/>
          <w:spacing w:val="-7"/>
          <w:sz w:val="20"/>
        </w:rPr>
        <w:t xml:space="preserve"> </w:t>
      </w:r>
      <w:r>
        <w:rPr>
          <w:rFonts w:ascii="Calibri"/>
          <w:color w:val="003366"/>
          <w:sz w:val="20"/>
        </w:rPr>
        <w:t>in</w:t>
      </w:r>
      <w:r>
        <w:rPr>
          <w:rFonts w:ascii="Calibri"/>
          <w:color w:val="003366"/>
          <w:spacing w:val="-5"/>
          <w:sz w:val="20"/>
        </w:rPr>
        <w:t xml:space="preserve"> </w:t>
      </w:r>
      <w:r>
        <w:rPr>
          <w:rFonts w:ascii="Calibri"/>
          <w:color w:val="003366"/>
          <w:sz w:val="20"/>
        </w:rPr>
        <w:t>interest rates is</w:t>
      </w:r>
      <w:r>
        <w:rPr>
          <w:rFonts w:ascii="Calibri"/>
          <w:color w:val="003366"/>
          <w:spacing w:val="-3"/>
          <w:sz w:val="20"/>
        </w:rPr>
        <w:t xml:space="preserve"> </w:t>
      </w:r>
      <w:r>
        <w:rPr>
          <w:rFonts w:ascii="Calibri"/>
          <w:color w:val="003366"/>
          <w:sz w:val="20"/>
        </w:rPr>
        <w:t>immaterial.</w:t>
      </w:r>
    </w:p>
    <w:p w:rsidR="006C17CB" w:rsidRDefault="006C17CB">
      <w:pPr>
        <w:pStyle w:val="BodyText"/>
        <w:spacing w:before="14"/>
        <w:rPr>
          <w:rFonts w:ascii="Calibri"/>
          <w:sz w:val="13"/>
        </w:rPr>
      </w:pPr>
    </w:p>
    <w:p w:rsidR="006C17CB" w:rsidRDefault="0030091C">
      <w:pPr>
        <w:ind w:left="829"/>
        <w:rPr>
          <w:rFonts w:ascii="Calibri"/>
          <w:b/>
          <w:sz w:val="20"/>
        </w:rPr>
      </w:pPr>
      <w:r>
        <w:rPr>
          <w:rFonts w:ascii="Calibri"/>
          <w:b/>
          <w:color w:val="003366"/>
          <w:sz w:val="20"/>
        </w:rPr>
        <w:t>Credit Risk</w:t>
      </w:r>
    </w:p>
    <w:p w:rsidR="006C17CB" w:rsidRDefault="006C17CB">
      <w:pPr>
        <w:pStyle w:val="BodyText"/>
        <w:spacing w:before="1"/>
        <w:rPr>
          <w:rFonts w:ascii="Calibri"/>
          <w:b/>
          <w:sz w:val="16"/>
        </w:rPr>
      </w:pPr>
    </w:p>
    <w:p w:rsidR="006C17CB" w:rsidRDefault="0030091C">
      <w:pPr>
        <w:spacing w:line="204" w:lineRule="auto"/>
        <w:ind w:left="829" w:right="1579"/>
        <w:jc w:val="both"/>
        <w:rPr>
          <w:rFonts w:ascii="Calibri"/>
          <w:sz w:val="20"/>
        </w:rPr>
      </w:pPr>
      <w:r>
        <w:rPr>
          <w:rFonts w:ascii="Calibri"/>
          <w:color w:val="003366"/>
          <w:sz w:val="20"/>
        </w:rPr>
        <w:t>Cash</w:t>
      </w:r>
      <w:r>
        <w:rPr>
          <w:rFonts w:ascii="Calibri"/>
          <w:color w:val="003366"/>
          <w:spacing w:val="-3"/>
          <w:sz w:val="20"/>
        </w:rPr>
        <w:t xml:space="preserve"> </w:t>
      </w:r>
      <w:r>
        <w:rPr>
          <w:rFonts w:ascii="Calibri"/>
          <w:color w:val="003366"/>
          <w:sz w:val="20"/>
        </w:rPr>
        <w:t>and</w:t>
      </w:r>
      <w:r>
        <w:rPr>
          <w:rFonts w:ascii="Calibri"/>
          <w:color w:val="003366"/>
          <w:spacing w:val="-3"/>
          <w:sz w:val="20"/>
        </w:rPr>
        <w:t xml:space="preserve"> </w:t>
      </w:r>
      <w:r>
        <w:rPr>
          <w:rFonts w:ascii="Calibri"/>
          <w:color w:val="003366"/>
          <w:sz w:val="20"/>
        </w:rPr>
        <w:t>investments</w:t>
      </w:r>
      <w:r>
        <w:rPr>
          <w:rFonts w:ascii="Calibri"/>
          <w:color w:val="003366"/>
          <w:spacing w:val="-5"/>
          <w:sz w:val="20"/>
        </w:rPr>
        <w:t xml:space="preserve"> </w:t>
      </w:r>
      <w:r>
        <w:rPr>
          <w:rFonts w:ascii="Calibri"/>
          <w:color w:val="003366"/>
          <w:sz w:val="20"/>
        </w:rPr>
        <w:t>are</w:t>
      </w:r>
      <w:r>
        <w:rPr>
          <w:rFonts w:ascii="Calibri"/>
          <w:color w:val="003366"/>
          <w:spacing w:val="-5"/>
          <w:sz w:val="20"/>
        </w:rPr>
        <w:t xml:space="preserve"> </w:t>
      </w:r>
      <w:r>
        <w:rPr>
          <w:rFonts w:ascii="Calibri"/>
          <w:color w:val="003366"/>
          <w:sz w:val="20"/>
        </w:rPr>
        <w:t>held</w:t>
      </w:r>
      <w:r>
        <w:rPr>
          <w:rFonts w:ascii="Calibri"/>
          <w:color w:val="003366"/>
          <w:spacing w:val="-3"/>
          <w:sz w:val="20"/>
        </w:rPr>
        <w:t xml:space="preserve"> </w:t>
      </w:r>
      <w:r>
        <w:rPr>
          <w:rFonts w:ascii="Calibri"/>
          <w:color w:val="003366"/>
          <w:sz w:val="20"/>
        </w:rPr>
        <w:t>with</w:t>
      </w:r>
      <w:r>
        <w:rPr>
          <w:rFonts w:ascii="Calibri"/>
          <w:color w:val="003366"/>
          <w:spacing w:val="-3"/>
          <w:sz w:val="20"/>
        </w:rPr>
        <w:t xml:space="preserve"> </w:t>
      </w:r>
      <w:r>
        <w:rPr>
          <w:rFonts w:ascii="Calibri"/>
          <w:color w:val="003366"/>
          <w:sz w:val="20"/>
        </w:rPr>
        <w:t>high</w:t>
      </w:r>
      <w:r>
        <w:rPr>
          <w:rFonts w:ascii="Calibri"/>
          <w:color w:val="003366"/>
          <w:spacing w:val="-3"/>
          <w:sz w:val="20"/>
        </w:rPr>
        <w:t xml:space="preserve"> </w:t>
      </w:r>
      <w:r>
        <w:rPr>
          <w:rFonts w:ascii="Calibri"/>
          <w:color w:val="003366"/>
          <w:sz w:val="20"/>
        </w:rPr>
        <w:t>credit</w:t>
      </w:r>
      <w:r>
        <w:rPr>
          <w:rFonts w:ascii="Calibri"/>
          <w:color w:val="003366"/>
          <w:spacing w:val="-4"/>
          <w:sz w:val="20"/>
        </w:rPr>
        <w:t xml:space="preserve"> </w:t>
      </w:r>
      <w:r>
        <w:rPr>
          <w:rFonts w:ascii="Calibri"/>
          <w:color w:val="003366"/>
          <w:sz w:val="20"/>
        </w:rPr>
        <w:t>quality</w:t>
      </w:r>
      <w:r>
        <w:rPr>
          <w:rFonts w:ascii="Calibri"/>
          <w:color w:val="003366"/>
          <w:spacing w:val="-3"/>
          <w:sz w:val="20"/>
        </w:rPr>
        <w:t xml:space="preserve"> </w:t>
      </w:r>
      <w:r>
        <w:rPr>
          <w:rFonts w:ascii="Calibri"/>
          <w:color w:val="003366"/>
          <w:sz w:val="20"/>
        </w:rPr>
        <w:t>financial</w:t>
      </w:r>
      <w:r>
        <w:rPr>
          <w:rFonts w:ascii="Calibri"/>
          <w:color w:val="003366"/>
          <w:spacing w:val="-4"/>
          <w:sz w:val="20"/>
        </w:rPr>
        <w:t xml:space="preserve"> </w:t>
      </w:r>
      <w:r>
        <w:rPr>
          <w:rFonts w:ascii="Calibri"/>
          <w:color w:val="003366"/>
          <w:sz w:val="20"/>
        </w:rPr>
        <w:t>institutions.</w:t>
      </w:r>
      <w:r>
        <w:rPr>
          <w:rFonts w:ascii="Calibri"/>
          <w:color w:val="003366"/>
          <w:spacing w:val="-4"/>
          <w:sz w:val="20"/>
        </w:rPr>
        <w:t xml:space="preserve"> </w:t>
      </w:r>
      <w:r>
        <w:rPr>
          <w:rFonts w:ascii="Calibri"/>
          <w:color w:val="003366"/>
          <w:sz w:val="20"/>
        </w:rPr>
        <w:t>Cash</w:t>
      </w:r>
      <w:r>
        <w:rPr>
          <w:rFonts w:ascii="Calibri"/>
          <w:color w:val="003366"/>
          <w:spacing w:val="-3"/>
          <w:sz w:val="20"/>
        </w:rPr>
        <w:t xml:space="preserve"> </w:t>
      </w:r>
      <w:r>
        <w:rPr>
          <w:rFonts w:ascii="Calibri"/>
          <w:color w:val="003366"/>
          <w:sz w:val="20"/>
        </w:rPr>
        <w:t>at</w:t>
      </w:r>
      <w:r>
        <w:rPr>
          <w:rFonts w:ascii="Calibri"/>
          <w:color w:val="003366"/>
          <w:spacing w:val="-4"/>
          <w:sz w:val="20"/>
        </w:rPr>
        <w:t xml:space="preserve"> </w:t>
      </w:r>
      <w:r>
        <w:rPr>
          <w:rFonts w:ascii="Calibri"/>
          <w:color w:val="003366"/>
          <w:sz w:val="20"/>
        </w:rPr>
        <w:t>bank</w:t>
      </w:r>
      <w:r>
        <w:rPr>
          <w:rFonts w:ascii="Calibri"/>
          <w:color w:val="003366"/>
          <w:spacing w:val="-3"/>
          <w:sz w:val="20"/>
        </w:rPr>
        <w:t xml:space="preserve"> </w:t>
      </w:r>
      <w:r>
        <w:rPr>
          <w:rFonts w:ascii="Calibri"/>
          <w:color w:val="003366"/>
          <w:sz w:val="20"/>
        </w:rPr>
        <w:t>is</w:t>
      </w:r>
      <w:r>
        <w:rPr>
          <w:rFonts w:ascii="Calibri"/>
          <w:color w:val="003366"/>
          <w:spacing w:val="-5"/>
          <w:sz w:val="20"/>
        </w:rPr>
        <w:t xml:space="preserve"> </w:t>
      </w:r>
      <w:r>
        <w:rPr>
          <w:rFonts w:ascii="Calibri"/>
          <w:color w:val="003366"/>
          <w:sz w:val="20"/>
        </w:rPr>
        <w:t>held</w:t>
      </w:r>
      <w:r>
        <w:rPr>
          <w:rFonts w:ascii="Calibri"/>
          <w:color w:val="003366"/>
          <w:spacing w:val="-3"/>
          <w:sz w:val="20"/>
        </w:rPr>
        <w:t xml:space="preserve"> </w:t>
      </w:r>
      <w:r>
        <w:rPr>
          <w:rFonts w:ascii="Calibri"/>
          <w:color w:val="003366"/>
          <w:sz w:val="20"/>
        </w:rPr>
        <w:t>with</w:t>
      </w:r>
      <w:r>
        <w:rPr>
          <w:rFonts w:ascii="Calibri"/>
          <w:color w:val="003366"/>
          <w:spacing w:val="-3"/>
          <w:sz w:val="20"/>
        </w:rPr>
        <w:t xml:space="preserve"> </w:t>
      </w:r>
      <w:r>
        <w:rPr>
          <w:rFonts w:ascii="Calibri"/>
          <w:color w:val="003366"/>
          <w:sz w:val="20"/>
        </w:rPr>
        <w:t>the Westpac Bank and cash not immediately required for operations is invested with the Territory Banking Account. The Territory Banking Account coordinates the investment of this money with various fund managers. These fund managers have the discretion to invest this money in a variety of different investments, within certain</w:t>
      </w:r>
      <w:r>
        <w:rPr>
          <w:rFonts w:ascii="Calibri"/>
          <w:color w:val="003366"/>
          <w:spacing w:val="1"/>
          <w:sz w:val="20"/>
        </w:rPr>
        <w:t xml:space="preserve"> </w:t>
      </w:r>
      <w:r>
        <w:rPr>
          <w:rFonts w:ascii="Calibri"/>
          <w:color w:val="003366"/>
          <w:sz w:val="20"/>
        </w:rPr>
        <w:t>parameters.</w:t>
      </w:r>
    </w:p>
    <w:p w:rsidR="006C17CB" w:rsidRDefault="0030091C">
      <w:pPr>
        <w:spacing w:before="114" w:line="204" w:lineRule="auto"/>
        <w:ind w:left="829" w:right="1580"/>
        <w:jc w:val="both"/>
        <w:rPr>
          <w:rFonts w:ascii="Calibri"/>
          <w:sz w:val="20"/>
        </w:rPr>
      </w:pPr>
      <w:r>
        <w:rPr>
          <w:rFonts w:ascii="Calibri"/>
          <w:color w:val="003366"/>
          <w:sz w:val="20"/>
        </w:rPr>
        <w:t>The Office has assessed its  credit  risk  for  receivables  and  determined  that  high  proportions  are  ACT</w:t>
      </w:r>
      <w:r>
        <w:rPr>
          <w:rFonts w:ascii="Calibri"/>
          <w:color w:val="003366"/>
          <w:spacing w:val="-3"/>
          <w:sz w:val="20"/>
        </w:rPr>
        <w:t xml:space="preserve"> </w:t>
      </w:r>
      <w:r>
        <w:rPr>
          <w:rFonts w:ascii="Calibri"/>
          <w:color w:val="003366"/>
          <w:sz w:val="20"/>
        </w:rPr>
        <w:t>Government</w:t>
      </w:r>
      <w:r>
        <w:rPr>
          <w:rFonts w:ascii="Calibri"/>
          <w:color w:val="003366"/>
          <w:spacing w:val="-4"/>
          <w:sz w:val="20"/>
        </w:rPr>
        <w:t xml:space="preserve"> </w:t>
      </w:r>
      <w:r>
        <w:rPr>
          <w:rFonts w:ascii="Calibri"/>
          <w:color w:val="003366"/>
          <w:sz w:val="20"/>
        </w:rPr>
        <w:t>agencies</w:t>
      </w:r>
      <w:r>
        <w:rPr>
          <w:rFonts w:ascii="Calibri"/>
          <w:color w:val="003366"/>
          <w:spacing w:val="-5"/>
          <w:sz w:val="20"/>
        </w:rPr>
        <w:t xml:space="preserve"> </w:t>
      </w:r>
      <w:r>
        <w:rPr>
          <w:rFonts w:ascii="Calibri"/>
          <w:color w:val="003366"/>
          <w:sz w:val="20"/>
        </w:rPr>
        <w:t>with</w:t>
      </w:r>
      <w:r>
        <w:rPr>
          <w:rFonts w:ascii="Calibri"/>
          <w:color w:val="003366"/>
          <w:spacing w:val="-3"/>
          <w:sz w:val="20"/>
        </w:rPr>
        <w:t xml:space="preserve"> </w:t>
      </w:r>
      <w:r>
        <w:rPr>
          <w:rFonts w:ascii="Calibri"/>
          <w:color w:val="003366"/>
          <w:sz w:val="20"/>
        </w:rPr>
        <w:t>strong</w:t>
      </w:r>
      <w:r>
        <w:rPr>
          <w:rFonts w:ascii="Calibri"/>
          <w:color w:val="003366"/>
          <w:spacing w:val="-4"/>
          <w:sz w:val="20"/>
        </w:rPr>
        <w:t xml:space="preserve"> </w:t>
      </w:r>
      <w:r>
        <w:rPr>
          <w:rFonts w:ascii="Calibri"/>
          <w:color w:val="003366"/>
          <w:sz w:val="20"/>
        </w:rPr>
        <w:t>credit</w:t>
      </w:r>
      <w:r>
        <w:rPr>
          <w:rFonts w:ascii="Calibri"/>
          <w:color w:val="003366"/>
          <w:spacing w:val="-4"/>
          <w:sz w:val="20"/>
        </w:rPr>
        <w:t xml:space="preserve"> </w:t>
      </w:r>
      <w:r>
        <w:rPr>
          <w:rFonts w:ascii="Calibri"/>
          <w:color w:val="003366"/>
          <w:sz w:val="20"/>
        </w:rPr>
        <w:t>worthiness.</w:t>
      </w:r>
      <w:r>
        <w:rPr>
          <w:rFonts w:ascii="Calibri"/>
          <w:color w:val="003366"/>
          <w:spacing w:val="-4"/>
          <w:sz w:val="20"/>
        </w:rPr>
        <w:t xml:space="preserve"> </w:t>
      </w:r>
      <w:r>
        <w:rPr>
          <w:rFonts w:ascii="Calibri"/>
          <w:color w:val="003366"/>
          <w:sz w:val="20"/>
        </w:rPr>
        <w:t>Remaining</w:t>
      </w:r>
      <w:r>
        <w:rPr>
          <w:rFonts w:ascii="Calibri"/>
          <w:color w:val="003366"/>
          <w:spacing w:val="-4"/>
          <w:sz w:val="20"/>
        </w:rPr>
        <w:t xml:space="preserve"> </w:t>
      </w:r>
      <w:r>
        <w:rPr>
          <w:rFonts w:ascii="Calibri"/>
          <w:color w:val="003366"/>
          <w:sz w:val="20"/>
        </w:rPr>
        <w:t>debtors</w:t>
      </w:r>
      <w:r>
        <w:rPr>
          <w:rFonts w:ascii="Calibri"/>
          <w:color w:val="003366"/>
          <w:spacing w:val="-5"/>
          <w:sz w:val="20"/>
        </w:rPr>
        <w:t xml:space="preserve"> </w:t>
      </w:r>
      <w:r>
        <w:rPr>
          <w:rFonts w:ascii="Calibri"/>
          <w:color w:val="003366"/>
          <w:sz w:val="20"/>
        </w:rPr>
        <w:t>are</w:t>
      </w:r>
      <w:r>
        <w:rPr>
          <w:rFonts w:ascii="Calibri"/>
          <w:color w:val="003366"/>
          <w:spacing w:val="-5"/>
          <w:sz w:val="20"/>
        </w:rPr>
        <w:t xml:space="preserve"> </w:t>
      </w:r>
      <w:r>
        <w:rPr>
          <w:rFonts w:ascii="Calibri"/>
          <w:color w:val="003366"/>
          <w:sz w:val="20"/>
        </w:rPr>
        <w:t>assessed</w:t>
      </w:r>
      <w:r>
        <w:rPr>
          <w:rFonts w:ascii="Calibri"/>
          <w:color w:val="003366"/>
          <w:spacing w:val="-1"/>
          <w:sz w:val="20"/>
        </w:rPr>
        <w:t xml:space="preserve"> </w:t>
      </w:r>
      <w:r>
        <w:rPr>
          <w:rFonts w:ascii="Calibri"/>
          <w:color w:val="003366"/>
          <w:sz w:val="20"/>
        </w:rPr>
        <w:t>as</w:t>
      </w:r>
      <w:r>
        <w:rPr>
          <w:rFonts w:ascii="Calibri"/>
          <w:color w:val="003366"/>
          <w:spacing w:val="-5"/>
          <w:sz w:val="20"/>
        </w:rPr>
        <w:t xml:space="preserve"> </w:t>
      </w:r>
      <w:r>
        <w:rPr>
          <w:rFonts w:ascii="Calibri"/>
          <w:color w:val="003366"/>
          <w:sz w:val="20"/>
        </w:rPr>
        <w:t>immaterial.</w:t>
      </w:r>
    </w:p>
    <w:p w:rsidR="006C17CB" w:rsidRDefault="0030091C">
      <w:pPr>
        <w:spacing w:before="84"/>
        <w:ind w:left="829"/>
        <w:rPr>
          <w:rFonts w:ascii="Calibri"/>
          <w:sz w:val="20"/>
        </w:rPr>
      </w:pPr>
      <w:r>
        <w:rPr>
          <w:rFonts w:ascii="Calibri"/>
          <w:color w:val="003366"/>
          <w:sz w:val="20"/>
        </w:rPr>
        <w:t>There have been no changes in credit risk exposure since the last reporting period.</w:t>
      </w:r>
    </w:p>
    <w:p w:rsidR="006C17CB" w:rsidRDefault="006C17CB">
      <w:pPr>
        <w:pStyle w:val="BodyText"/>
        <w:spacing w:before="9"/>
        <w:rPr>
          <w:rFonts w:ascii="Calibri"/>
          <w:sz w:val="13"/>
        </w:rPr>
      </w:pPr>
    </w:p>
    <w:p w:rsidR="006C17CB" w:rsidRDefault="0030091C">
      <w:pPr>
        <w:ind w:left="829"/>
        <w:rPr>
          <w:rFonts w:ascii="Calibri"/>
          <w:b/>
          <w:sz w:val="20"/>
        </w:rPr>
      </w:pPr>
      <w:r>
        <w:rPr>
          <w:rFonts w:ascii="Calibri"/>
          <w:b/>
          <w:color w:val="003366"/>
          <w:sz w:val="20"/>
        </w:rPr>
        <w:t>Liquidity Risk</w:t>
      </w:r>
    </w:p>
    <w:p w:rsidR="006C17CB" w:rsidRDefault="006C17CB">
      <w:pPr>
        <w:pStyle w:val="BodyText"/>
        <w:spacing w:before="13"/>
        <w:rPr>
          <w:rFonts w:ascii="Calibri"/>
          <w:b/>
          <w:sz w:val="15"/>
        </w:rPr>
      </w:pPr>
    </w:p>
    <w:p w:rsidR="006C17CB" w:rsidRDefault="0030091C">
      <w:pPr>
        <w:spacing w:before="1" w:line="204" w:lineRule="auto"/>
        <w:ind w:left="829" w:right="1581"/>
        <w:jc w:val="both"/>
        <w:rPr>
          <w:rFonts w:ascii="Calibri"/>
          <w:sz w:val="20"/>
        </w:rPr>
      </w:pPr>
      <w:r>
        <w:rPr>
          <w:rFonts w:ascii="Calibri"/>
          <w:color w:val="003366"/>
          <w:sz w:val="20"/>
        </w:rPr>
        <w:t>Liquidity risk is the risk that the Office will encounter difficulties in meeting obligations associated with financial liabilities that are settled by delivering cash or another financial asset.</w:t>
      </w:r>
    </w:p>
    <w:p w:rsidR="006C17CB" w:rsidRDefault="0030091C">
      <w:pPr>
        <w:spacing w:before="121" w:line="201" w:lineRule="auto"/>
        <w:ind w:left="829" w:right="1583"/>
        <w:jc w:val="both"/>
        <w:rPr>
          <w:rFonts w:ascii="Calibri" w:hAnsi="Calibri"/>
          <w:sz w:val="20"/>
        </w:rPr>
      </w:pPr>
      <w:r>
        <w:rPr>
          <w:rFonts w:ascii="Calibri" w:hAnsi="Calibri"/>
          <w:color w:val="003366"/>
          <w:sz w:val="20"/>
        </w:rPr>
        <w:t>The Office’s main financial obligations relate to the purchase of supplies and services. These financial obligations are usually met within 30 days of receipt of a tax invoice or receipt of the goods and services.</w:t>
      </w:r>
    </w:p>
    <w:p w:rsidR="006C17CB" w:rsidRDefault="0030091C">
      <w:pPr>
        <w:spacing w:before="121" w:line="204" w:lineRule="auto"/>
        <w:ind w:left="829" w:right="1580"/>
        <w:jc w:val="both"/>
        <w:rPr>
          <w:rFonts w:ascii="Calibri"/>
          <w:sz w:val="20"/>
        </w:rPr>
      </w:pPr>
      <w:r>
        <w:rPr>
          <w:rFonts w:ascii="Calibri"/>
          <w:color w:val="003366"/>
          <w:sz w:val="20"/>
        </w:rPr>
        <w:t>The main source of cash to pay these obligations is appropriation (Controlled Recurrent Payments) from the ACT Government, which is paid on a fortnightly basis during the year. In addition to the receipt of fortnightly appropriation drawdown, the Office also maintains a short-term investment in the Cash Enhanced Fund of the Territory Banking Account and can call on these funds to meet any short-term obligations. The Office manages its liquidity risk through forecasting appropriation drawdown requirements to enable payment of anticipated obligations.</w:t>
      </w:r>
    </w:p>
    <w:p w:rsidR="006C17CB" w:rsidRDefault="0030091C">
      <w:pPr>
        <w:spacing w:before="118" w:line="201" w:lineRule="auto"/>
        <w:ind w:left="829" w:right="1579"/>
        <w:jc w:val="both"/>
        <w:rPr>
          <w:rFonts w:ascii="Calibri" w:hAnsi="Calibri"/>
          <w:sz w:val="20"/>
        </w:rPr>
      </w:pPr>
      <w:r>
        <w:rPr>
          <w:rFonts w:ascii="Calibri" w:hAnsi="Calibri"/>
          <w:color w:val="003366"/>
          <w:sz w:val="20"/>
        </w:rPr>
        <w:t>The</w:t>
      </w:r>
      <w:r>
        <w:rPr>
          <w:rFonts w:ascii="Calibri" w:hAnsi="Calibri"/>
          <w:color w:val="003366"/>
          <w:spacing w:val="-14"/>
          <w:sz w:val="20"/>
        </w:rPr>
        <w:t xml:space="preserve"> </w:t>
      </w:r>
      <w:r>
        <w:rPr>
          <w:rFonts w:ascii="Calibri" w:hAnsi="Calibri"/>
          <w:color w:val="003366"/>
          <w:sz w:val="20"/>
        </w:rPr>
        <w:t>Office’s</w:t>
      </w:r>
      <w:r>
        <w:rPr>
          <w:rFonts w:ascii="Calibri" w:hAnsi="Calibri"/>
          <w:color w:val="003366"/>
          <w:spacing w:val="-15"/>
          <w:sz w:val="20"/>
        </w:rPr>
        <w:t xml:space="preserve"> </w:t>
      </w:r>
      <w:r>
        <w:rPr>
          <w:rFonts w:ascii="Calibri" w:hAnsi="Calibri"/>
          <w:color w:val="003366"/>
          <w:sz w:val="20"/>
        </w:rPr>
        <w:t>exposure</w:t>
      </w:r>
      <w:r>
        <w:rPr>
          <w:rFonts w:ascii="Calibri" w:hAnsi="Calibri"/>
          <w:color w:val="003366"/>
          <w:spacing w:val="-14"/>
          <w:sz w:val="20"/>
        </w:rPr>
        <w:t xml:space="preserve"> </w:t>
      </w:r>
      <w:r>
        <w:rPr>
          <w:rFonts w:ascii="Calibri" w:hAnsi="Calibri"/>
          <w:color w:val="003366"/>
          <w:sz w:val="20"/>
        </w:rPr>
        <w:t>to</w:t>
      </w:r>
      <w:r>
        <w:rPr>
          <w:rFonts w:ascii="Calibri" w:hAnsi="Calibri"/>
          <w:color w:val="003366"/>
          <w:spacing w:val="-13"/>
          <w:sz w:val="20"/>
        </w:rPr>
        <w:t xml:space="preserve"> </w:t>
      </w:r>
      <w:r>
        <w:rPr>
          <w:rFonts w:ascii="Calibri" w:hAnsi="Calibri"/>
          <w:color w:val="003366"/>
          <w:sz w:val="20"/>
        </w:rPr>
        <w:t>liquidity</w:t>
      </w:r>
      <w:r>
        <w:rPr>
          <w:rFonts w:ascii="Calibri" w:hAnsi="Calibri"/>
          <w:color w:val="003366"/>
          <w:spacing w:val="-13"/>
          <w:sz w:val="20"/>
        </w:rPr>
        <w:t xml:space="preserve"> </w:t>
      </w:r>
      <w:r>
        <w:rPr>
          <w:rFonts w:ascii="Calibri" w:hAnsi="Calibri"/>
          <w:color w:val="003366"/>
          <w:sz w:val="20"/>
        </w:rPr>
        <w:t>risk</w:t>
      </w:r>
      <w:r>
        <w:rPr>
          <w:rFonts w:ascii="Calibri" w:hAnsi="Calibri"/>
          <w:color w:val="003366"/>
          <w:spacing w:val="-13"/>
          <w:sz w:val="20"/>
        </w:rPr>
        <w:t xml:space="preserve"> </w:t>
      </w:r>
      <w:r>
        <w:rPr>
          <w:rFonts w:ascii="Calibri" w:hAnsi="Calibri"/>
          <w:color w:val="003366"/>
          <w:sz w:val="20"/>
        </w:rPr>
        <w:t>and</w:t>
      </w:r>
      <w:r>
        <w:rPr>
          <w:rFonts w:ascii="Calibri" w:hAnsi="Calibri"/>
          <w:color w:val="003366"/>
          <w:spacing w:val="-15"/>
          <w:sz w:val="20"/>
        </w:rPr>
        <w:t xml:space="preserve"> </w:t>
      </w:r>
      <w:r>
        <w:rPr>
          <w:rFonts w:ascii="Calibri" w:hAnsi="Calibri"/>
          <w:color w:val="003366"/>
          <w:sz w:val="20"/>
        </w:rPr>
        <w:t>the</w:t>
      </w:r>
      <w:r>
        <w:rPr>
          <w:rFonts w:ascii="Calibri" w:hAnsi="Calibri"/>
          <w:color w:val="003366"/>
          <w:spacing w:val="-15"/>
          <w:sz w:val="20"/>
        </w:rPr>
        <w:t xml:space="preserve"> </w:t>
      </w:r>
      <w:r>
        <w:rPr>
          <w:rFonts w:ascii="Calibri" w:hAnsi="Calibri"/>
          <w:color w:val="003366"/>
          <w:sz w:val="20"/>
        </w:rPr>
        <w:t>management</w:t>
      </w:r>
      <w:r>
        <w:rPr>
          <w:rFonts w:ascii="Calibri" w:hAnsi="Calibri"/>
          <w:color w:val="003366"/>
          <w:spacing w:val="-13"/>
          <w:sz w:val="20"/>
        </w:rPr>
        <w:t xml:space="preserve"> </w:t>
      </w:r>
      <w:r>
        <w:rPr>
          <w:rFonts w:ascii="Calibri" w:hAnsi="Calibri"/>
          <w:color w:val="003366"/>
          <w:sz w:val="20"/>
        </w:rPr>
        <w:t>of</w:t>
      </w:r>
      <w:r>
        <w:rPr>
          <w:rFonts w:ascii="Calibri" w:hAnsi="Calibri"/>
          <w:color w:val="003366"/>
          <w:spacing w:val="-14"/>
          <w:sz w:val="20"/>
        </w:rPr>
        <w:t xml:space="preserve"> </w:t>
      </w:r>
      <w:r>
        <w:rPr>
          <w:rFonts w:ascii="Calibri" w:hAnsi="Calibri"/>
          <w:color w:val="003366"/>
          <w:sz w:val="20"/>
        </w:rPr>
        <w:t>this</w:t>
      </w:r>
      <w:r>
        <w:rPr>
          <w:rFonts w:ascii="Calibri" w:hAnsi="Calibri"/>
          <w:color w:val="003366"/>
          <w:spacing w:val="-15"/>
          <w:sz w:val="20"/>
        </w:rPr>
        <w:t xml:space="preserve"> </w:t>
      </w:r>
      <w:r>
        <w:rPr>
          <w:rFonts w:ascii="Calibri" w:hAnsi="Calibri"/>
          <w:color w:val="003366"/>
          <w:sz w:val="20"/>
        </w:rPr>
        <w:t>risk</w:t>
      </w:r>
      <w:r>
        <w:rPr>
          <w:rFonts w:ascii="Calibri" w:hAnsi="Calibri"/>
          <w:color w:val="003366"/>
          <w:spacing w:val="-13"/>
          <w:sz w:val="20"/>
        </w:rPr>
        <w:t xml:space="preserve"> </w:t>
      </w:r>
      <w:r>
        <w:rPr>
          <w:rFonts w:ascii="Calibri" w:hAnsi="Calibri"/>
          <w:color w:val="003366"/>
          <w:sz w:val="20"/>
        </w:rPr>
        <w:t>have</w:t>
      </w:r>
      <w:r>
        <w:rPr>
          <w:rFonts w:ascii="Calibri" w:hAnsi="Calibri"/>
          <w:color w:val="003366"/>
          <w:spacing w:val="-14"/>
          <w:sz w:val="20"/>
        </w:rPr>
        <w:t xml:space="preserve"> </w:t>
      </w:r>
      <w:r>
        <w:rPr>
          <w:rFonts w:ascii="Calibri" w:hAnsi="Calibri"/>
          <w:color w:val="003366"/>
          <w:sz w:val="20"/>
        </w:rPr>
        <w:t>not</w:t>
      </w:r>
      <w:r>
        <w:rPr>
          <w:rFonts w:ascii="Calibri" w:hAnsi="Calibri"/>
          <w:color w:val="003366"/>
          <w:spacing w:val="-13"/>
          <w:sz w:val="20"/>
        </w:rPr>
        <w:t xml:space="preserve"> </w:t>
      </w:r>
      <w:r>
        <w:rPr>
          <w:rFonts w:ascii="Calibri" w:hAnsi="Calibri"/>
          <w:color w:val="003366"/>
          <w:sz w:val="20"/>
        </w:rPr>
        <w:t>changed</w:t>
      </w:r>
      <w:r>
        <w:rPr>
          <w:rFonts w:ascii="Calibri" w:hAnsi="Calibri"/>
          <w:color w:val="003366"/>
          <w:spacing w:val="-13"/>
          <w:sz w:val="20"/>
        </w:rPr>
        <w:t xml:space="preserve"> </w:t>
      </w:r>
      <w:r>
        <w:rPr>
          <w:rFonts w:ascii="Calibri" w:hAnsi="Calibri"/>
          <w:color w:val="003366"/>
          <w:sz w:val="20"/>
        </w:rPr>
        <w:t>since</w:t>
      </w:r>
      <w:r>
        <w:rPr>
          <w:rFonts w:ascii="Calibri" w:hAnsi="Calibri"/>
          <w:color w:val="003366"/>
          <w:spacing w:val="-14"/>
          <w:sz w:val="20"/>
        </w:rPr>
        <w:t xml:space="preserve"> </w:t>
      </w:r>
      <w:r>
        <w:rPr>
          <w:rFonts w:ascii="Calibri" w:hAnsi="Calibri"/>
          <w:color w:val="003366"/>
          <w:sz w:val="20"/>
        </w:rPr>
        <w:t>the</w:t>
      </w:r>
      <w:r>
        <w:rPr>
          <w:rFonts w:ascii="Calibri" w:hAnsi="Calibri"/>
          <w:color w:val="003366"/>
          <w:spacing w:val="-15"/>
          <w:sz w:val="20"/>
        </w:rPr>
        <w:t xml:space="preserve"> </w:t>
      </w:r>
      <w:r>
        <w:rPr>
          <w:rFonts w:ascii="Calibri" w:hAnsi="Calibri"/>
          <w:color w:val="003366"/>
          <w:sz w:val="20"/>
        </w:rPr>
        <w:t>previous reporting</w:t>
      </w:r>
      <w:r>
        <w:rPr>
          <w:rFonts w:ascii="Calibri" w:hAnsi="Calibri"/>
          <w:color w:val="003366"/>
          <w:spacing w:val="-1"/>
          <w:sz w:val="20"/>
        </w:rPr>
        <w:t xml:space="preserve"> </w:t>
      </w:r>
      <w:r>
        <w:rPr>
          <w:rFonts w:ascii="Calibri" w:hAnsi="Calibri"/>
          <w:color w:val="003366"/>
          <w:sz w:val="20"/>
        </w:rPr>
        <w:t>period.</w:t>
      </w:r>
    </w:p>
    <w:p w:rsidR="006C17CB" w:rsidRDefault="006C17CB">
      <w:pPr>
        <w:spacing w:line="201" w:lineRule="auto"/>
        <w:jc w:val="both"/>
        <w:rPr>
          <w:rFonts w:ascii="Calibri" w:hAnsi="Calibri"/>
          <w:sz w:val="20"/>
        </w:rPr>
        <w:sectPr w:rsidR="006C17CB">
          <w:pgSz w:w="11910" w:h="16840"/>
          <w:pgMar w:top="2120" w:right="0" w:bottom="740" w:left="980" w:header="1173" w:footer="551" w:gutter="0"/>
          <w:cols w:space="720"/>
        </w:sectPr>
      </w:pPr>
    </w:p>
    <w:p w:rsidR="006C17CB" w:rsidRDefault="006C17CB">
      <w:pPr>
        <w:pStyle w:val="BodyText"/>
        <w:spacing w:before="14"/>
        <w:rPr>
          <w:rFonts w:ascii="Calibri"/>
          <w:sz w:val="15"/>
        </w:rPr>
      </w:pPr>
    </w:p>
    <w:p w:rsidR="006C17CB" w:rsidRDefault="0030091C">
      <w:pPr>
        <w:spacing w:before="15"/>
        <w:ind w:left="829"/>
        <w:rPr>
          <w:rFonts w:ascii="Calibri"/>
          <w:b/>
          <w:sz w:val="20"/>
        </w:rPr>
      </w:pPr>
      <w:r>
        <w:rPr>
          <w:rFonts w:ascii="Calibri"/>
          <w:b/>
          <w:color w:val="003366"/>
          <w:sz w:val="20"/>
        </w:rPr>
        <w:t>Price Risk</w:t>
      </w:r>
    </w:p>
    <w:p w:rsidR="006C17CB" w:rsidRDefault="0030091C">
      <w:pPr>
        <w:spacing w:before="112" w:line="204" w:lineRule="auto"/>
        <w:ind w:left="829" w:right="1521"/>
        <w:jc w:val="both"/>
        <w:rPr>
          <w:rFonts w:ascii="Calibri"/>
          <w:sz w:val="20"/>
        </w:rPr>
      </w:pPr>
      <w:r>
        <w:rPr>
          <w:rFonts w:ascii="Calibri"/>
          <w:color w:val="003366"/>
          <w:sz w:val="20"/>
        </w:rPr>
        <w:t>Price risk is the risk that the fair value or future cash flows of a financial instrument will fluctuate because of changes in market prices (other than those arising from interest rate risk or currency risk), whether these changes are caused by factors specific to the individual financial instrument or its issuer, or factors affecting all similar financial instruments traded in the market.</w:t>
      </w:r>
    </w:p>
    <w:p w:rsidR="006C17CB" w:rsidRDefault="0030091C">
      <w:pPr>
        <w:spacing w:before="116" w:line="204" w:lineRule="auto"/>
        <w:ind w:left="829" w:right="1521"/>
        <w:jc w:val="both"/>
        <w:rPr>
          <w:rFonts w:ascii="Calibri" w:hAnsi="Calibri"/>
          <w:sz w:val="20"/>
        </w:rPr>
      </w:pPr>
      <w:r>
        <w:rPr>
          <w:rFonts w:ascii="Calibri" w:hAnsi="Calibri"/>
          <w:color w:val="003366"/>
          <w:sz w:val="20"/>
        </w:rPr>
        <w:t>The only price risk which the Office is exposed to results from its investment in the Cash Enhanced Fund. The Office has units in the Cash Enhanced Fund that fluctuate in value. The price fluctuations in the units of the Fund are caused by movements in the underlying investments of the Fund. The underlying investments are managed by an external fund manager who invests in a variety of different bonds, including bonds issued by the Commonwealth Government, the State Government guaranteed treasury corporations</w:t>
      </w:r>
      <w:r>
        <w:rPr>
          <w:rFonts w:ascii="Calibri" w:hAnsi="Calibri"/>
          <w:color w:val="003366"/>
          <w:spacing w:val="-16"/>
          <w:sz w:val="20"/>
        </w:rPr>
        <w:t xml:space="preserve"> </w:t>
      </w:r>
      <w:r>
        <w:rPr>
          <w:rFonts w:ascii="Calibri" w:hAnsi="Calibri"/>
          <w:color w:val="003366"/>
          <w:sz w:val="20"/>
        </w:rPr>
        <w:t>and</w:t>
      </w:r>
      <w:r>
        <w:rPr>
          <w:rFonts w:ascii="Calibri" w:hAnsi="Calibri"/>
          <w:color w:val="003366"/>
          <w:spacing w:val="-14"/>
          <w:sz w:val="20"/>
        </w:rPr>
        <w:t xml:space="preserve"> </w:t>
      </w:r>
      <w:r>
        <w:rPr>
          <w:rFonts w:ascii="Calibri" w:hAnsi="Calibri"/>
          <w:color w:val="003366"/>
          <w:sz w:val="20"/>
        </w:rPr>
        <w:t>semi-government</w:t>
      </w:r>
      <w:r>
        <w:rPr>
          <w:rFonts w:ascii="Calibri" w:hAnsi="Calibri"/>
          <w:color w:val="003366"/>
          <w:spacing w:val="-14"/>
          <w:sz w:val="20"/>
        </w:rPr>
        <w:t xml:space="preserve"> </w:t>
      </w:r>
      <w:r>
        <w:rPr>
          <w:rFonts w:ascii="Calibri" w:hAnsi="Calibri"/>
          <w:color w:val="003366"/>
          <w:sz w:val="20"/>
        </w:rPr>
        <w:t>authorities,</w:t>
      </w:r>
      <w:r>
        <w:rPr>
          <w:rFonts w:ascii="Calibri" w:hAnsi="Calibri"/>
          <w:color w:val="003366"/>
          <w:spacing w:val="-14"/>
          <w:sz w:val="20"/>
        </w:rPr>
        <w:t xml:space="preserve"> </w:t>
      </w:r>
      <w:r>
        <w:rPr>
          <w:rFonts w:ascii="Calibri" w:hAnsi="Calibri"/>
          <w:color w:val="003366"/>
          <w:sz w:val="20"/>
        </w:rPr>
        <w:t>as</w:t>
      </w:r>
      <w:r>
        <w:rPr>
          <w:rFonts w:ascii="Calibri" w:hAnsi="Calibri"/>
          <w:color w:val="003366"/>
          <w:spacing w:val="-16"/>
          <w:sz w:val="20"/>
        </w:rPr>
        <w:t xml:space="preserve"> </w:t>
      </w:r>
      <w:r>
        <w:rPr>
          <w:rFonts w:ascii="Calibri" w:hAnsi="Calibri"/>
          <w:color w:val="003366"/>
          <w:sz w:val="20"/>
        </w:rPr>
        <w:t>well</w:t>
      </w:r>
      <w:r>
        <w:rPr>
          <w:rFonts w:ascii="Calibri" w:hAnsi="Calibri"/>
          <w:color w:val="003366"/>
          <w:spacing w:val="-15"/>
          <w:sz w:val="20"/>
        </w:rPr>
        <w:t xml:space="preserve"> </w:t>
      </w:r>
      <w:r>
        <w:rPr>
          <w:rFonts w:ascii="Calibri" w:hAnsi="Calibri"/>
          <w:color w:val="003366"/>
          <w:sz w:val="20"/>
        </w:rPr>
        <w:t>as</w:t>
      </w:r>
      <w:r>
        <w:rPr>
          <w:rFonts w:ascii="Calibri" w:hAnsi="Calibri"/>
          <w:color w:val="003366"/>
          <w:spacing w:val="-16"/>
          <w:sz w:val="20"/>
        </w:rPr>
        <w:t xml:space="preserve"> </w:t>
      </w:r>
      <w:r>
        <w:rPr>
          <w:rFonts w:ascii="Calibri" w:hAnsi="Calibri"/>
          <w:color w:val="003366"/>
          <w:sz w:val="20"/>
        </w:rPr>
        <w:t>investment-grade</w:t>
      </w:r>
      <w:r>
        <w:rPr>
          <w:rFonts w:ascii="Calibri" w:hAnsi="Calibri"/>
          <w:color w:val="003366"/>
          <w:spacing w:val="-15"/>
          <w:sz w:val="20"/>
        </w:rPr>
        <w:t xml:space="preserve"> </w:t>
      </w:r>
      <w:r>
        <w:rPr>
          <w:rFonts w:ascii="Calibri" w:hAnsi="Calibri"/>
          <w:color w:val="003366"/>
          <w:sz w:val="20"/>
        </w:rPr>
        <w:t>corporate</w:t>
      </w:r>
      <w:r>
        <w:rPr>
          <w:rFonts w:ascii="Calibri" w:hAnsi="Calibri"/>
          <w:color w:val="003366"/>
          <w:spacing w:val="-15"/>
          <w:sz w:val="20"/>
        </w:rPr>
        <w:t xml:space="preserve"> </w:t>
      </w:r>
      <w:r>
        <w:rPr>
          <w:rFonts w:ascii="Calibri" w:hAnsi="Calibri"/>
          <w:color w:val="003366"/>
          <w:sz w:val="20"/>
        </w:rPr>
        <w:t>issues.</w:t>
      </w:r>
      <w:r>
        <w:rPr>
          <w:rFonts w:ascii="Calibri" w:hAnsi="Calibri"/>
          <w:color w:val="003366"/>
          <w:spacing w:val="-15"/>
          <w:sz w:val="20"/>
        </w:rPr>
        <w:t xml:space="preserve"> </w:t>
      </w:r>
      <w:r>
        <w:rPr>
          <w:rFonts w:ascii="Calibri" w:hAnsi="Calibri"/>
          <w:color w:val="003366"/>
          <w:sz w:val="20"/>
        </w:rPr>
        <w:t>To</w:t>
      </w:r>
      <w:r>
        <w:rPr>
          <w:rFonts w:ascii="Calibri" w:hAnsi="Calibri"/>
          <w:color w:val="003366"/>
          <w:spacing w:val="-14"/>
          <w:sz w:val="20"/>
        </w:rPr>
        <w:t xml:space="preserve"> </w:t>
      </w:r>
      <w:r>
        <w:rPr>
          <w:rFonts w:ascii="Calibri" w:hAnsi="Calibri"/>
          <w:color w:val="003366"/>
          <w:sz w:val="20"/>
        </w:rPr>
        <w:t>limit</w:t>
      </w:r>
      <w:r>
        <w:rPr>
          <w:rFonts w:ascii="Calibri" w:hAnsi="Calibri"/>
          <w:color w:val="003366"/>
          <w:spacing w:val="-14"/>
          <w:sz w:val="20"/>
        </w:rPr>
        <w:t xml:space="preserve"> </w:t>
      </w:r>
      <w:r>
        <w:rPr>
          <w:rFonts w:ascii="Calibri" w:hAnsi="Calibri"/>
          <w:color w:val="003366"/>
          <w:sz w:val="20"/>
        </w:rPr>
        <w:t>price risk,</w:t>
      </w:r>
      <w:r>
        <w:rPr>
          <w:rFonts w:ascii="Calibri" w:hAnsi="Calibri"/>
          <w:color w:val="003366"/>
          <w:spacing w:val="-6"/>
          <w:sz w:val="20"/>
        </w:rPr>
        <w:t xml:space="preserve"> </w:t>
      </w:r>
      <w:r>
        <w:rPr>
          <w:rFonts w:ascii="Calibri" w:hAnsi="Calibri"/>
          <w:color w:val="003366"/>
          <w:sz w:val="20"/>
        </w:rPr>
        <w:t>all</w:t>
      </w:r>
      <w:r>
        <w:rPr>
          <w:rFonts w:ascii="Calibri" w:hAnsi="Calibri"/>
          <w:color w:val="003366"/>
          <w:spacing w:val="-6"/>
          <w:sz w:val="20"/>
        </w:rPr>
        <w:t xml:space="preserve"> </w:t>
      </w:r>
      <w:r>
        <w:rPr>
          <w:rFonts w:ascii="Calibri" w:hAnsi="Calibri"/>
          <w:color w:val="003366"/>
          <w:sz w:val="20"/>
        </w:rPr>
        <w:t>bonds</w:t>
      </w:r>
      <w:r>
        <w:rPr>
          <w:rFonts w:ascii="Calibri" w:hAnsi="Calibri"/>
          <w:color w:val="003366"/>
          <w:spacing w:val="-7"/>
          <w:sz w:val="20"/>
        </w:rPr>
        <w:t xml:space="preserve"> </w:t>
      </w:r>
      <w:r>
        <w:rPr>
          <w:rFonts w:ascii="Calibri" w:hAnsi="Calibri"/>
          <w:color w:val="003366"/>
          <w:sz w:val="20"/>
        </w:rPr>
        <w:t>that</w:t>
      </w:r>
      <w:r>
        <w:rPr>
          <w:rFonts w:ascii="Calibri" w:hAnsi="Calibri"/>
          <w:color w:val="003366"/>
          <w:spacing w:val="-6"/>
          <w:sz w:val="20"/>
        </w:rPr>
        <w:t xml:space="preserve"> </w:t>
      </w:r>
      <w:r>
        <w:rPr>
          <w:rFonts w:ascii="Calibri" w:hAnsi="Calibri"/>
          <w:color w:val="003366"/>
          <w:sz w:val="20"/>
        </w:rPr>
        <w:t>make</w:t>
      </w:r>
      <w:r>
        <w:rPr>
          <w:rFonts w:ascii="Calibri" w:hAnsi="Calibri"/>
          <w:color w:val="003366"/>
          <w:spacing w:val="-6"/>
          <w:sz w:val="20"/>
        </w:rPr>
        <w:t xml:space="preserve"> </w:t>
      </w:r>
      <w:r>
        <w:rPr>
          <w:rFonts w:ascii="Calibri" w:hAnsi="Calibri"/>
          <w:color w:val="003366"/>
          <w:sz w:val="20"/>
        </w:rPr>
        <w:t>up</w:t>
      </w:r>
      <w:r>
        <w:rPr>
          <w:rFonts w:ascii="Calibri" w:hAnsi="Calibri"/>
          <w:color w:val="003366"/>
          <w:spacing w:val="-7"/>
          <w:sz w:val="20"/>
        </w:rPr>
        <w:t xml:space="preserve"> </w:t>
      </w:r>
      <w:r>
        <w:rPr>
          <w:rFonts w:ascii="Calibri" w:hAnsi="Calibri"/>
          <w:color w:val="003366"/>
          <w:sz w:val="20"/>
        </w:rPr>
        <w:t>the</w:t>
      </w:r>
      <w:r>
        <w:rPr>
          <w:rFonts w:ascii="Calibri" w:hAnsi="Calibri"/>
          <w:color w:val="003366"/>
          <w:spacing w:val="-6"/>
          <w:sz w:val="20"/>
        </w:rPr>
        <w:t xml:space="preserve"> </w:t>
      </w:r>
      <w:r>
        <w:rPr>
          <w:rFonts w:ascii="Calibri" w:hAnsi="Calibri"/>
          <w:color w:val="003366"/>
          <w:sz w:val="20"/>
        </w:rPr>
        <w:t>underlying</w:t>
      </w:r>
      <w:r>
        <w:rPr>
          <w:rFonts w:ascii="Calibri" w:hAnsi="Calibri"/>
          <w:color w:val="003366"/>
          <w:spacing w:val="-6"/>
          <w:sz w:val="20"/>
        </w:rPr>
        <w:t xml:space="preserve"> </w:t>
      </w:r>
      <w:r>
        <w:rPr>
          <w:rFonts w:ascii="Calibri" w:hAnsi="Calibri"/>
          <w:color w:val="003366"/>
          <w:sz w:val="20"/>
        </w:rPr>
        <w:t>investments</w:t>
      </w:r>
      <w:r>
        <w:rPr>
          <w:rFonts w:ascii="Calibri" w:hAnsi="Calibri"/>
          <w:color w:val="003366"/>
          <w:spacing w:val="-7"/>
          <w:sz w:val="20"/>
        </w:rPr>
        <w:t xml:space="preserve"> </w:t>
      </w:r>
      <w:r>
        <w:rPr>
          <w:rFonts w:ascii="Calibri" w:hAnsi="Calibri"/>
          <w:color w:val="003366"/>
          <w:sz w:val="20"/>
        </w:rPr>
        <w:t>of</w:t>
      </w:r>
      <w:r>
        <w:rPr>
          <w:rFonts w:ascii="Calibri" w:hAnsi="Calibri"/>
          <w:color w:val="003366"/>
          <w:spacing w:val="-6"/>
          <w:sz w:val="20"/>
        </w:rPr>
        <w:t xml:space="preserve"> </w:t>
      </w:r>
      <w:r>
        <w:rPr>
          <w:rFonts w:ascii="Calibri" w:hAnsi="Calibri"/>
          <w:color w:val="003366"/>
          <w:sz w:val="20"/>
        </w:rPr>
        <w:t>the</w:t>
      </w:r>
      <w:r>
        <w:rPr>
          <w:rFonts w:ascii="Calibri" w:hAnsi="Calibri"/>
          <w:color w:val="003366"/>
          <w:spacing w:val="-6"/>
          <w:sz w:val="20"/>
        </w:rPr>
        <w:t xml:space="preserve"> </w:t>
      </w:r>
      <w:r>
        <w:rPr>
          <w:rFonts w:ascii="Calibri" w:hAnsi="Calibri"/>
          <w:color w:val="003366"/>
          <w:sz w:val="20"/>
        </w:rPr>
        <w:t>Cash</w:t>
      </w:r>
      <w:r>
        <w:rPr>
          <w:rFonts w:ascii="Calibri" w:hAnsi="Calibri"/>
          <w:color w:val="003366"/>
          <w:spacing w:val="-6"/>
          <w:sz w:val="20"/>
        </w:rPr>
        <w:t xml:space="preserve"> </w:t>
      </w:r>
      <w:r>
        <w:rPr>
          <w:rFonts w:ascii="Calibri" w:hAnsi="Calibri"/>
          <w:color w:val="003366"/>
          <w:sz w:val="20"/>
        </w:rPr>
        <w:t>Enhanced</w:t>
      </w:r>
      <w:r>
        <w:rPr>
          <w:rFonts w:ascii="Calibri" w:hAnsi="Calibri"/>
          <w:color w:val="003366"/>
          <w:spacing w:val="-6"/>
          <w:sz w:val="20"/>
        </w:rPr>
        <w:t xml:space="preserve"> </w:t>
      </w:r>
      <w:r>
        <w:rPr>
          <w:rFonts w:ascii="Calibri" w:hAnsi="Calibri"/>
          <w:color w:val="003366"/>
          <w:sz w:val="20"/>
        </w:rPr>
        <w:t>Fund</w:t>
      </w:r>
      <w:r>
        <w:rPr>
          <w:rFonts w:ascii="Calibri" w:hAnsi="Calibri"/>
          <w:color w:val="003366"/>
          <w:spacing w:val="-6"/>
          <w:sz w:val="20"/>
        </w:rPr>
        <w:t xml:space="preserve"> </w:t>
      </w:r>
      <w:r>
        <w:rPr>
          <w:rFonts w:ascii="Calibri" w:hAnsi="Calibri"/>
          <w:color w:val="003366"/>
          <w:sz w:val="20"/>
        </w:rPr>
        <w:t>must</w:t>
      </w:r>
      <w:r>
        <w:rPr>
          <w:rFonts w:ascii="Calibri" w:hAnsi="Calibri"/>
          <w:color w:val="003366"/>
          <w:spacing w:val="-7"/>
          <w:sz w:val="20"/>
        </w:rPr>
        <w:t xml:space="preserve"> </w:t>
      </w:r>
      <w:r>
        <w:rPr>
          <w:rFonts w:ascii="Calibri" w:hAnsi="Calibri"/>
          <w:color w:val="003366"/>
          <w:sz w:val="20"/>
        </w:rPr>
        <w:t>have</w:t>
      </w:r>
      <w:r>
        <w:rPr>
          <w:rFonts w:ascii="Calibri" w:hAnsi="Calibri"/>
          <w:color w:val="003366"/>
          <w:spacing w:val="-6"/>
          <w:sz w:val="20"/>
        </w:rPr>
        <w:t xml:space="preserve"> </w:t>
      </w:r>
      <w:r>
        <w:rPr>
          <w:rFonts w:ascii="Calibri" w:hAnsi="Calibri"/>
          <w:color w:val="003366"/>
          <w:sz w:val="20"/>
        </w:rPr>
        <w:t>a</w:t>
      </w:r>
      <w:r>
        <w:rPr>
          <w:rFonts w:ascii="Calibri" w:hAnsi="Calibri"/>
          <w:color w:val="003366"/>
          <w:spacing w:val="-6"/>
          <w:sz w:val="20"/>
        </w:rPr>
        <w:t xml:space="preserve"> </w:t>
      </w:r>
      <w:r>
        <w:rPr>
          <w:rFonts w:ascii="Calibri" w:hAnsi="Calibri"/>
          <w:color w:val="003366"/>
          <w:sz w:val="20"/>
        </w:rPr>
        <w:t>long</w:t>
      </w:r>
      <w:r>
        <w:rPr>
          <w:rFonts w:ascii="Calibri" w:hAnsi="Calibri"/>
          <w:color w:val="003366"/>
          <w:spacing w:val="-6"/>
          <w:sz w:val="20"/>
        </w:rPr>
        <w:t xml:space="preserve"> </w:t>
      </w:r>
      <w:r>
        <w:rPr>
          <w:rFonts w:ascii="Calibri" w:hAnsi="Calibri"/>
          <w:color w:val="003366"/>
          <w:sz w:val="20"/>
        </w:rPr>
        <w:t>term credit rating of BBB- or greater. Anything rated BBB- or greater is considered ‘investment</w:t>
      </w:r>
      <w:r>
        <w:rPr>
          <w:rFonts w:ascii="Calibri" w:hAnsi="Calibri"/>
          <w:color w:val="003366"/>
          <w:spacing w:val="-19"/>
          <w:sz w:val="20"/>
        </w:rPr>
        <w:t xml:space="preserve"> </w:t>
      </w:r>
      <w:r>
        <w:rPr>
          <w:rFonts w:ascii="Calibri" w:hAnsi="Calibri"/>
          <w:color w:val="003366"/>
          <w:sz w:val="20"/>
        </w:rPr>
        <w:t>grade’.</w:t>
      </w:r>
    </w:p>
    <w:p w:rsidR="006C17CB" w:rsidRDefault="0030091C">
      <w:pPr>
        <w:spacing w:before="116" w:line="201" w:lineRule="auto"/>
        <w:ind w:left="829" w:right="1522"/>
        <w:jc w:val="both"/>
        <w:rPr>
          <w:rFonts w:ascii="Calibri" w:hAnsi="Calibri"/>
          <w:sz w:val="20"/>
        </w:rPr>
      </w:pPr>
      <w:r>
        <w:rPr>
          <w:rFonts w:ascii="Calibri" w:hAnsi="Calibri"/>
          <w:color w:val="003366"/>
          <w:sz w:val="20"/>
        </w:rPr>
        <w:t>The</w:t>
      </w:r>
      <w:r>
        <w:rPr>
          <w:rFonts w:ascii="Calibri" w:hAnsi="Calibri"/>
          <w:color w:val="003366"/>
          <w:spacing w:val="-13"/>
          <w:sz w:val="20"/>
        </w:rPr>
        <w:t xml:space="preserve"> </w:t>
      </w:r>
      <w:r>
        <w:rPr>
          <w:rFonts w:ascii="Calibri" w:hAnsi="Calibri"/>
          <w:color w:val="003366"/>
          <w:sz w:val="20"/>
        </w:rPr>
        <w:t>Office’s</w:t>
      </w:r>
      <w:r>
        <w:rPr>
          <w:rFonts w:ascii="Calibri" w:hAnsi="Calibri"/>
          <w:color w:val="003366"/>
          <w:spacing w:val="-11"/>
          <w:sz w:val="20"/>
        </w:rPr>
        <w:t xml:space="preserve"> </w:t>
      </w:r>
      <w:r>
        <w:rPr>
          <w:rFonts w:ascii="Calibri" w:hAnsi="Calibri"/>
          <w:color w:val="003366"/>
          <w:sz w:val="20"/>
        </w:rPr>
        <w:t>exposure</w:t>
      </w:r>
      <w:r>
        <w:rPr>
          <w:rFonts w:ascii="Calibri" w:hAnsi="Calibri"/>
          <w:color w:val="003366"/>
          <w:spacing w:val="-13"/>
          <w:sz w:val="20"/>
        </w:rPr>
        <w:t xml:space="preserve"> </w:t>
      </w:r>
      <w:r>
        <w:rPr>
          <w:rFonts w:ascii="Calibri" w:hAnsi="Calibri"/>
          <w:color w:val="003366"/>
          <w:sz w:val="20"/>
        </w:rPr>
        <w:t>to</w:t>
      </w:r>
      <w:r>
        <w:rPr>
          <w:rFonts w:ascii="Calibri" w:hAnsi="Calibri"/>
          <w:color w:val="003366"/>
          <w:spacing w:val="-12"/>
          <w:sz w:val="20"/>
        </w:rPr>
        <w:t xml:space="preserve"> </w:t>
      </w:r>
      <w:r>
        <w:rPr>
          <w:rFonts w:ascii="Calibri" w:hAnsi="Calibri"/>
          <w:color w:val="003366"/>
          <w:sz w:val="20"/>
        </w:rPr>
        <w:t>price</w:t>
      </w:r>
      <w:r>
        <w:rPr>
          <w:rFonts w:ascii="Calibri" w:hAnsi="Calibri"/>
          <w:color w:val="003366"/>
          <w:spacing w:val="-11"/>
          <w:sz w:val="20"/>
        </w:rPr>
        <w:t xml:space="preserve"> </w:t>
      </w:r>
      <w:r>
        <w:rPr>
          <w:rFonts w:ascii="Calibri" w:hAnsi="Calibri"/>
          <w:color w:val="003366"/>
          <w:sz w:val="20"/>
        </w:rPr>
        <w:t>risk</w:t>
      </w:r>
      <w:r>
        <w:rPr>
          <w:rFonts w:ascii="Calibri" w:hAnsi="Calibri"/>
          <w:color w:val="003366"/>
          <w:spacing w:val="-12"/>
          <w:sz w:val="20"/>
        </w:rPr>
        <w:t xml:space="preserve"> </w:t>
      </w:r>
      <w:r>
        <w:rPr>
          <w:rFonts w:ascii="Calibri" w:hAnsi="Calibri"/>
          <w:color w:val="003366"/>
          <w:sz w:val="20"/>
        </w:rPr>
        <w:t>and</w:t>
      </w:r>
      <w:r>
        <w:rPr>
          <w:rFonts w:ascii="Calibri" w:hAnsi="Calibri"/>
          <w:color w:val="003366"/>
          <w:spacing w:val="-12"/>
          <w:sz w:val="20"/>
        </w:rPr>
        <w:t xml:space="preserve"> </w:t>
      </w:r>
      <w:r>
        <w:rPr>
          <w:rFonts w:ascii="Calibri" w:hAnsi="Calibri"/>
          <w:color w:val="003366"/>
          <w:sz w:val="20"/>
        </w:rPr>
        <w:t>the</w:t>
      </w:r>
      <w:r>
        <w:rPr>
          <w:rFonts w:ascii="Calibri" w:hAnsi="Calibri"/>
          <w:color w:val="003366"/>
          <w:spacing w:val="-11"/>
          <w:sz w:val="20"/>
        </w:rPr>
        <w:t xml:space="preserve"> </w:t>
      </w:r>
      <w:r>
        <w:rPr>
          <w:rFonts w:ascii="Calibri" w:hAnsi="Calibri"/>
          <w:color w:val="003366"/>
          <w:sz w:val="20"/>
        </w:rPr>
        <w:t>management</w:t>
      </w:r>
      <w:r>
        <w:rPr>
          <w:rFonts w:ascii="Calibri" w:hAnsi="Calibri"/>
          <w:color w:val="003366"/>
          <w:spacing w:val="-12"/>
          <w:sz w:val="20"/>
        </w:rPr>
        <w:t xml:space="preserve"> </w:t>
      </w:r>
      <w:r>
        <w:rPr>
          <w:rFonts w:ascii="Calibri" w:hAnsi="Calibri"/>
          <w:color w:val="003366"/>
          <w:sz w:val="20"/>
        </w:rPr>
        <w:t>of</w:t>
      </w:r>
      <w:r>
        <w:rPr>
          <w:rFonts w:ascii="Calibri" w:hAnsi="Calibri"/>
          <w:color w:val="003366"/>
          <w:spacing w:val="-11"/>
          <w:sz w:val="20"/>
        </w:rPr>
        <w:t xml:space="preserve"> </w:t>
      </w:r>
      <w:r>
        <w:rPr>
          <w:rFonts w:ascii="Calibri" w:hAnsi="Calibri"/>
          <w:color w:val="003366"/>
          <w:sz w:val="20"/>
        </w:rPr>
        <w:t>this</w:t>
      </w:r>
      <w:r>
        <w:rPr>
          <w:rFonts w:ascii="Calibri" w:hAnsi="Calibri"/>
          <w:color w:val="003366"/>
          <w:spacing w:val="-14"/>
          <w:sz w:val="20"/>
        </w:rPr>
        <w:t xml:space="preserve"> </w:t>
      </w:r>
      <w:r>
        <w:rPr>
          <w:rFonts w:ascii="Calibri" w:hAnsi="Calibri"/>
          <w:color w:val="003366"/>
          <w:sz w:val="20"/>
        </w:rPr>
        <w:t>risk</w:t>
      </w:r>
      <w:r>
        <w:rPr>
          <w:rFonts w:ascii="Calibri" w:hAnsi="Calibri"/>
          <w:color w:val="003366"/>
          <w:spacing w:val="-12"/>
          <w:sz w:val="20"/>
        </w:rPr>
        <w:t xml:space="preserve"> </w:t>
      </w:r>
      <w:r>
        <w:rPr>
          <w:rFonts w:ascii="Calibri" w:hAnsi="Calibri"/>
          <w:color w:val="003366"/>
          <w:sz w:val="20"/>
        </w:rPr>
        <w:t>has</w:t>
      </w:r>
      <w:r>
        <w:rPr>
          <w:rFonts w:ascii="Calibri" w:hAnsi="Calibri"/>
          <w:color w:val="003366"/>
          <w:spacing w:val="-14"/>
          <w:sz w:val="20"/>
        </w:rPr>
        <w:t xml:space="preserve"> </w:t>
      </w:r>
      <w:r>
        <w:rPr>
          <w:rFonts w:ascii="Calibri" w:hAnsi="Calibri"/>
          <w:color w:val="003366"/>
          <w:sz w:val="20"/>
        </w:rPr>
        <w:t>not</w:t>
      </w:r>
      <w:r>
        <w:rPr>
          <w:rFonts w:ascii="Calibri" w:hAnsi="Calibri"/>
          <w:color w:val="003366"/>
          <w:spacing w:val="-10"/>
          <w:sz w:val="20"/>
        </w:rPr>
        <w:t xml:space="preserve"> </w:t>
      </w:r>
      <w:r>
        <w:rPr>
          <w:rFonts w:ascii="Calibri" w:hAnsi="Calibri"/>
          <w:color w:val="003366"/>
          <w:sz w:val="20"/>
        </w:rPr>
        <w:t>changed</w:t>
      </w:r>
      <w:r>
        <w:rPr>
          <w:rFonts w:ascii="Calibri" w:hAnsi="Calibri"/>
          <w:color w:val="003366"/>
          <w:spacing w:val="-12"/>
          <w:sz w:val="20"/>
        </w:rPr>
        <w:t xml:space="preserve"> </w:t>
      </w:r>
      <w:r>
        <w:rPr>
          <w:rFonts w:ascii="Calibri" w:hAnsi="Calibri"/>
          <w:color w:val="003366"/>
          <w:sz w:val="20"/>
        </w:rPr>
        <w:t>since</w:t>
      </w:r>
      <w:r>
        <w:rPr>
          <w:rFonts w:ascii="Calibri" w:hAnsi="Calibri"/>
          <w:color w:val="003366"/>
          <w:spacing w:val="-11"/>
          <w:sz w:val="20"/>
        </w:rPr>
        <w:t xml:space="preserve"> </w:t>
      </w:r>
      <w:r>
        <w:rPr>
          <w:rFonts w:ascii="Calibri" w:hAnsi="Calibri"/>
          <w:color w:val="003366"/>
          <w:sz w:val="20"/>
        </w:rPr>
        <w:t>the</w:t>
      </w:r>
      <w:r>
        <w:rPr>
          <w:rFonts w:ascii="Calibri" w:hAnsi="Calibri"/>
          <w:color w:val="003366"/>
          <w:spacing w:val="-14"/>
          <w:sz w:val="20"/>
        </w:rPr>
        <w:t xml:space="preserve"> </w:t>
      </w:r>
      <w:r>
        <w:rPr>
          <w:rFonts w:ascii="Calibri" w:hAnsi="Calibri"/>
          <w:color w:val="003366"/>
          <w:sz w:val="20"/>
        </w:rPr>
        <w:t>last</w:t>
      </w:r>
      <w:r>
        <w:rPr>
          <w:rFonts w:ascii="Calibri" w:hAnsi="Calibri"/>
          <w:color w:val="003366"/>
          <w:spacing w:val="-12"/>
          <w:sz w:val="20"/>
        </w:rPr>
        <w:t xml:space="preserve"> </w:t>
      </w:r>
      <w:r>
        <w:rPr>
          <w:rFonts w:ascii="Calibri" w:hAnsi="Calibri"/>
          <w:color w:val="003366"/>
          <w:sz w:val="20"/>
        </w:rPr>
        <w:t>reporting period.</w:t>
      </w:r>
    </w:p>
    <w:p w:rsidR="006C17CB" w:rsidRDefault="0030091C">
      <w:pPr>
        <w:spacing w:before="85"/>
        <w:ind w:left="829"/>
        <w:rPr>
          <w:rFonts w:ascii="Calibri"/>
          <w:i/>
          <w:sz w:val="20"/>
        </w:rPr>
      </w:pPr>
      <w:r>
        <w:rPr>
          <w:rFonts w:ascii="Calibri"/>
          <w:i/>
          <w:color w:val="003366"/>
          <w:sz w:val="20"/>
        </w:rPr>
        <w:t>Sensitivity Analysis</w:t>
      </w:r>
    </w:p>
    <w:p w:rsidR="006C17CB" w:rsidRDefault="0030091C">
      <w:pPr>
        <w:spacing w:before="114" w:line="201" w:lineRule="auto"/>
        <w:ind w:left="829" w:right="1526"/>
        <w:jc w:val="both"/>
        <w:rPr>
          <w:rFonts w:ascii="Calibri"/>
          <w:sz w:val="20"/>
        </w:rPr>
      </w:pPr>
      <w:r>
        <w:rPr>
          <w:rFonts w:ascii="Calibri"/>
          <w:color w:val="003366"/>
          <w:sz w:val="20"/>
        </w:rPr>
        <w:t>A sensitivity analysis has not been undertaken for the price risk of the Office as it has been determined that the possible impact on profit and loss or total equity from fluctuations in price is immaterial.</w:t>
      </w:r>
    </w:p>
    <w:p w:rsidR="006C17CB" w:rsidRDefault="006C17CB">
      <w:pPr>
        <w:pStyle w:val="BodyText"/>
        <w:spacing w:before="4"/>
        <w:rPr>
          <w:rFonts w:ascii="Calibri"/>
          <w:sz w:val="14"/>
        </w:rPr>
      </w:pPr>
    </w:p>
    <w:p w:rsidR="006C17CB" w:rsidRDefault="0030091C">
      <w:pPr>
        <w:ind w:left="829"/>
        <w:rPr>
          <w:rFonts w:ascii="Calibri"/>
          <w:b/>
          <w:sz w:val="20"/>
        </w:rPr>
      </w:pPr>
      <w:r>
        <w:rPr>
          <w:rFonts w:ascii="Calibri"/>
          <w:b/>
          <w:color w:val="003366"/>
          <w:sz w:val="20"/>
        </w:rPr>
        <w:t>Fair Value of Financial Assets and Liabilities</w:t>
      </w:r>
    </w:p>
    <w:p w:rsidR="006C17CB" w:rsidRDefault="006C17CB">
      <w:pPr>
        <w:pStyle w:val="BodyText"/>
        <w:spacing w:before="1"/>
        <w:rPr>
          <w:rFonts w:ascii="Calibri"/>
          <w:b/>
          <w:sz w:val="16"/>
        </w:rPr>
      </w:pPr>
    </w:p>
    <w:p w:rsidR="006C17CB" w:rsidRDefault="0030091C">
      <w:pPr>
        <w:spacing w:line="204" w:lineRule="auto"/>
        <w:ind w:left="829" w:right="1524"/>
        <w:jc w:val="both"/>
        <w:rPr>
          <w:rFonts w:ascii="Calibri"/>
          <w:sz w:val="20"/>
        </w:rPr>
      </w:pPr>
      <w:r>
        <w:rPr>
          <w:rFonts w:ascii="Calibri"/>
          <w:color w:val="003366"/>
          <w:sz w:val="20"/>
        </w:rPr>
        <w:t>The carrying amounts and fair values of financial assets and liabilities at the end of the reporting period are shown below.</w:t>
      </w:r>
    </w:p>
    <w:p w:rsidR="006C17CB" w:rsidRDefault="006C17CB">
      <w:pPr>
        <w:pStyle w:val="BodyText"/>
        <w:spacing w:before="8"/>
        <w:rPr>
          <w:rFonts w:ascii="Calibri"/>
          <w:sz w:val="11"/>
        </w:rPr>
      </w:pPr>
    </w:p>
    <w:tbl>
      <w:tblPr>
        <w:tblW w:w="0" w:type="auto"/>
        <w:tblInd w:w="779" w:type="dxa"/>
        <w:tblLayout w:type="fixed"/>
        <w:tblCellMar>
          <w:left w:w="0" w:type="dxa"/>
          <w:right w:w="0" w:type="dxa"/>
        </w:tblCellMar>
        <w:tblLook w:val="01E0" w:firstRow="1" w:lastRow="1" w:firstColumn="1" w:lastColumn="1" w:noHBand="0" w:noVBand="0"/>
      </w:tblPr>
      <w:tblGrid>
        <w:gridCol w:w="3326"/>
        <w:gridCol w:w="1561"/>
        <w:gridCol w:w="1395"/>
        <w:gridCol w:w="1243"/>
        <w:gridCol w:w="1205"/>
      </w:tblGrid>
      <w:tr w:rsidR="006C17CB">
        <w:trPr>
          <w:trHeight w:val="466"/>
        </w:trPr>
        <w:tc>
          <w:tcPr>
            <w:tcW w:w="3326" w:type="dxa"/>
            <w:vMerge w:val="restart"/>
          </w:tcPr>
          <w:p w:rsidR="006C17CB" w:rsidRDefault="006C17CB">
            <w:pPr>
              <w:pStyle w:val="TableParagraph"/>
              <w:jc w:val="left"/>
              <w:rPr>
                <w:rFonts w:ascii="Times New Roman"/>
                <w:sz w:val="20"/>
              </w:rPr>
            </w:pPr>
          </w:p>
        </w:tc>
        <w:tc>
          <w:tcPr>
            <w:tcW w:w="1561" w:type="dxa"/>
          </w:tcPr>
          <w:p w:rsidR="006C17CB" w:rsidRDefault="0030091C">
            <w:pPr>
              <w:pStyle w:val="TableParagraph"/>
              <w:spacing w:line="181" w:lineRule="exact"/>
              <w:ind w:left="587"/>
              <w:jc w:val="left"/>
              <w:rPr>
                <w:b/>
                <w:sz w:val="20"/>
              </w:rPr>
            </w:pPr>
            <w:r>
              <w:rPr>
                <w:b/>
                <w:color w:val="003366"/>
                <w:sz w:val="20"/>
              </w:rPr>
              <w:t>Carrying</w:t>
            </w:r>
          </w:p>
          <w:p w:rsidR="006C17CB" w:rsidRDefault="0030091C">
            <w:pPr>
              <w:pStyle w:val="TableParagraph"/>
              <w:spacing w:line="265" w:lineRule="exact"/>
              <w:ind w:left="604"/>
              <w:jc w:val="left"/>
              <w:rPr>
                <w:b/>
                <w:sz w:val="20"/>
              </w:rPr>
            </w:pPr>
            <w:r>
              <w:rPr>
                <w:b/>
                <w:color w:val="003366"/>
                <w:sz w:val="20"/>
              </w:rPr>
              <w:t>Amount</w:t>
            </w:r>
          </w:p>
        </w:tc>
        <w:tc>
          <w:tcPr>
            <w:tcW w:w="1395" w:type="dxa"/>
          </w:tcPr>
          <w:p w:rsidR="006C17CB" w:rsidRDefault="0030091C">
            <w:pPr>
              <w:pStyle w:val="TableParagraph"/>
              <w:spacing w:before="159" w:line="287" w:lineRule="exact"/>
              <w:ind w:right="285"/>
              <w:rPr>
                <w:b/>
                <w:sz w:val="20"/>
              </w:rPr>
            </w:pPr>
            <w:r>
              <w:rPr>
                <w:b/>
                <w:color w:val="003366"/>
                <w:sz w:val="20"/>
              </w:rPr>
              <w:t>Fair Value</w:t>
            </w:r>
          </w:p>
        </w:tc>
        <w:tc>
          <w:tcPr>
            <w:tcW w:w="1243" w:type="dxa"/>
          </w:tcPr>
          <w:p w:rsidR="006C17CB" w:rsidRDefault="0030091C">
            <w:pPr>
              <w:pStyle w:val="TableParagraph"/>
              <w:spacing w:line="181" w:lineRule="exact"/>
              <w:ind w:left="286"/>
              <w:jc w:val="left"/>
              <w:rPr>
                <w:b/>
                <w:sz w:val="20"/>
              </w:rPr>
            </w:pPr>
            <w:r>
              <w:rPr>
                <w:b/>
                <w:color w:val="003366"/>
                <w:sz w:val="20"/>
              </w:rPr>
              <w:t>Carrying</w:t>
            </w:r>
          </w:p>
          <w:p w:rsidR="006C17CB" w:rsidRDefault="0030091C">
            <w:pPr>
              <w:pStyle w:val="TableParagraph"/>
              <w:spacing w:line="265" w:lineRule="exact"/>
              <w:ind w:left="303"/>
              <w:jc w:val="left"/>
              <w:rPr>
                <w:b/>
                <w:sz w:val="20"/>
              </w:rPr>
            </w:pPr>
            <w:r>
              <w:rPr>
                <w:b/>
                <w:color w:val="003366"/>
                <w:sz w:val="20"/>
              </w:rPr>
              <w:t>Amount</w:t>
            </w:r>
          </w:p>
        </w:tc>
        <w:tc>
          <w:tcPr>
            <w:tcW w:w="1205" w:type="dxa"/>
          </w:tcPr>
          <w:p w:rsidR="006C17CB" w:rsidRDefault="0030091C">
            <w:pPr>
              <w:pStyle w:val="TableParagraph"/>
              <w:spacing w:before="159" w:line="287" w:lineRule="exact"/>
              <w:ind w:right="110"/>
              <w:rPr>
                <w:b/>
                <w:sz w:val="20"/>
              </w:rPr>
            </w:pPr>
            <w:r>
              <w:rPr>
                <w:b/>
                <w:color w:val="003366"/>
                <w:sz w:val="20"/>
              </w:rPr>
              <w:t>Fair Value</w:t>
            </w:r>
          </w:p>
        </w:tc>
      </w:tr>
      <w:tr w:rsidR="006C17CB">
        <w:trPr>
          <w:trHeight w:val="507"/>
        </w:trPr>
        <w:tc>
          <w:tcPr>
            <w:tcW w:w="3326" w:type="dxa"/>
            <w:vMerge/>
            <w:tcBorders>
              <w:top w:val="nil"/>
            </w:tcBorders>
          </w:tcPr>
          <w:p w:rsidR="006C17CB" w:rsidRDefault="006C17CB">
            <w:pPr>
              <w:rPr>
                <w:sz w:val="2"/>
                <w:szCs w:val="2"/>
              </w:rPr>
            </w:pPr>
          </w:p>
        </w:tc>
        <w:tc>
          <w:tcPr>
            <w:tcW w:w="1561" w:type="dxa"/>
          </w:tcPr>
          <w:p w:rsidR="006C17CB" w:rsidRDefault="0030091C">
            <w:pPr>
              <w:pStyle w:val="TableParagraph"/>
              <w:spacing w:line="203" w:lineRule="exact"/>
              <w:ind w:left="875"/>
              <w:jc w:val="left"/>
              <w:rPr>
                <w:b/>
                <w:sz w:val="20"/>
              </w:rPr>
            </w:pPr>
            <w:r>
              <w:rPr>
                <w:b/>
                <w:color w:val="003366"/>
                <w:sz w:val="20"/>
              </w:rPr>
              <w:t>2018</w:t>
            </w:r>
          </w:p>
          <w:p w:rsidR="006C17CB" w:rsidRDefault="0030091C">
            <w:pPr>
              <w:pStyle w:val="TableParagraph"/>
              <w:spacing w:line="265" w:lineRule="exact"/>
              <w:ind w:left="827"/>
              <w:jc w:val="left"/>
              <w:rPr>
                <w:b/>
                <w:sz w:val="20"/>
              </w:rPr>
            </w:pPr>
            <w:r>
              <w:rPr>
                <w:b/>
                <w:color w:val="003366"/>
                <w:sz w:val="20"/>
              </w:rPr>
              <w:t>$’000</w:t>
            </w:r>
          </w:p>
        </w:tc>
        <w:tc>
          <w:tcPr>
            <w:tcW w:w="1395" w:type="dxa"/>
          </w:tcPr>
          <w:p w:rsidR="006C17CB" w:rsidRDefault="0030091C">
            <w:pPr>
              <w:pStyle w:val="TableParagraph"/>
              <w:spacing w:line="203" w:lineRule="exact"/>
              <w:ind w:left="704"/>
              <w:jc w:val="left"/>
              <w:rPr>
                <w:b/>
                <w:sz w:val="20"/>
              </w:rPr>
            </w:pPr>
            <w:r>
              <w:rPr>
                <w:b/>
                <w:color w:val="003366"/>
                <w:sz w:val="20"/>
              </w:rPr>
              <w:t>2018</w:t>
            </w:r>
          </w:p>
          <w:p w:rsidR="006C17CB" w:rsidRDefault="0030091C">
            <w:pPr>
              <w:pStyle w:val="TableParagraph"/>
              <w:spacing w:line="265" w:lineRule="exact"/>
              <w:ind w:left="654"/>
              <w:jc w:val="left"/>
              <w:rPr>
                <w:b/>
                <w:sz w:val="20"/>
              </w:rPr>
            </w:pPr>
            <w:r>
              <w:rPr>
                <w:b/>
                <w:color w:val="003366"/>
                <w:sz w:val="20"/>
              </w:rPr>
              <w:t>$’000</w:t>
            </w:r>
          </w:p>
        </w:tc>
        <w:tc>
          <w:tcPr>
            <w:tcW w:w="1243" w:type="dxa"/>
          </w:tcPr>
          <w:p w:rsidR="006C17CB" w:rsidRDefault="0030091C">
            <w:pPr>
              <w:pStyle w:val="TableParagraph"/>
              <w:spacing w:line="203" w:lineRule="exact"/>
              <w:ind w:left="574"/>
              <w:jc w:val="left"/>
              <w:rPr>
                <w:b/>
                <w:sz w:val="20"/>
              </w:rPr>
            </w:pPr>
            <w:r>
              <w:rPr>
                <w:b/>
                <w:color w:val="003366"/>
                <w:sz w:val="20"/>
              </w:rPr>
              <w:t>2017</w:t>
            </w:r>
          </w:p>
          <w:p w:rsidR="006C17CB" w:rsidRDefault="0030091C">
            <w:pPr>
              <w:pStyle w:val="TableParagraph"/>
              <w:spacing w:line="265" w:lineRule="exact"/>
              <w:ind w:left="526"/>
              <w:jc w:val="left"/>
              <w:rPr>
                <w:b/>
                <w:sz w:val="20"/>
              </w:rPr>
            </w:pPr>
            <w:r>
              <w:rPr>
                <w:b/>
                <w:color w:val="003366"/>
                <w:sz w:val="20"/>
              </w:rPr>
              <w:t>$’000</w:t>
            </w:r>
          </w:p>
        </w:tc>
        <w:tc>
          <w:tcPr>
            <w:tcW w:w="1205" w:type="dxa"/>
          </w:tcPr>
          <w:p w:rsidR="006C17CB" w:rsidRDefault="0030091C">
            <w:pPr>
              <w:pStyle w:val="TableParagraph"/>
              <w:spacing w:line="203" w:lineRule="exact"/>
              <w:ind w:left="689"/>
              <w:jc w:val="left"/>
              <w:rPr>
                <w:b/>
                <w:sz w:val="20"/>
              </w:rPr>
            </w:pPr>
            <w:r>
              <w:rPr>
                <w:b/>
                <w:color w:val="003366"/>
                <w:sz w:val="20"/>
              </w:rPr>
              <w:t>2017</w:t>
            </w:r>
          </w:p>
          <w:p w:rsidR="006C17CB" w:rsidRDefault="0030091C">
            <w:pPr>
              <w:pStyle w:val="TableParagraph"/>
              <w:spacing w:line="265" w:lineRule="exact"/>
              <w:ind w:left="639"/>
              <w:jc w:val="left"/>
              <w:rPr>
                <w:b/>
                <w:sz w:val="20"/>
              </w:rPr>
            </w:pPr>
            <w:r>
              <w:rPr>
                <w:b/>
                <w:color w:val="003366"/>
                <w:sz w:val="20"/>
              </w:rPr>
              <w:t>$’000</w:t>
            </w:r>
          </w:p>
        </w:tc>
      </w:tr>
      <w:tr w:rsidR="006C17CB">
        <w:trPr>
          <w:trHeight w:val="427"/>
        </w:trPr>
        <w:tc>
          <w:tcPr>
            <w:tcW w:w="3326" w:type="dxa"/>
          </w:tcPr>
          <w:p w:rsidR="006C17CB" w:rsidRDefault="0030091C">
            <w:pPr>
              <w:pStyle w:val="TableParagraph"/>
              <w:spacing w:line="246" w:lineRule="exact"/>
              <w:ind w:left="50"/>
              <w:jc w:val="left"/>
              <w:rPr>
                <w:b/>
                <w:sz w:val="20"/>
              </w:rPr>
            </w:pPr>
            <w:r>
              <w:rPr>
                <w:b/>
                <w:color w:val="003366"/>
                <w:sz w:val="20"/>
              </w:rPr>
              <w:t>Financial Assets</w:t>
            </w:r>
          </w:p>
        </w:tc>
        <w:tc>
          <w:tcPr>
            <w:tcW w:w="1561" w:type="dxa"/>
          </w:tcPr>
          <w:p w:rsidR="006C17CB" w:rsidRDefault="006C17CB">
            <w:pPr>
              <w:pStyle w:val="TableParagraph"/>
              <w:jc w:val="left"/>
              <w:rPr>
                <w:rFonts w:ascii="Times New Roman"/>
                <w:sz w:val="20"/>
              </w:rPr>
            </w:pPr>
          </w:p>
        </w:tc>
        <w:tc>
          <w:tcPr>
            <w:tcW w:w="1395" w:type="dxa"/>
          </w:tcPr>
          <w:p w:rsidR="006C17CB" w:rsidRDefault="006C17CB">
            <w:pPr>
              <w:pStyle w:val="TableParagraph"/>
              <w:jc w:val="left"/>
              <w:rPr>
                <w:rFonts w:ascii="Times New Roman"/>
                <w:sz w:val="20"/>
              </w:rPr>
            </w:pPr>
          </w:p>
        </w:tc>
        <w:tc>
          <w:tcPr>
            <w:tcW w:w="1243" w:type="dxa"/>
          </w:tcPr>
          <w:p w:rsidR="006C17CB" w:rsidRDefault="006C17CB">
            <w:pPr>
              <w:pStyle w:val="TableParagraph"/>
              <w:jc w:val="left"/>
              <w:rPr>
                <w:rFonts w:ascii="Times New Roman"/>
                <w:sz w:val="20"/>
              </w:rPr>
            </w:pPr>
          </w:p>
        </w:tc>
        <w:tc>
          <w:tcPr>
            <w:tcW w:w="1205" w:type="dxa"/>
          </w:tcPr>
          <w:p w:rsidR="006C17CB" w:rsidRDefault="006C17CB">
            <w:pPr>
              <w:pStyle w:val="TableParagraph"/>
              <w:jc w:val="left"/>
              <w:rPr>
                <w:rFonts w:ascii="Times New Roman"/>
                <w:sz w:val="20"/>
              </w:rPr>
            </w:pPr>
          </w:p>
        </w:tc>
      </w:tr>
      <w:tr w:rsidR="006C17CB">
        <w:trPr>
          <w:trHeight w:val="426"/>
        </w:trPr>
        <w:tc>
          <w:tcPr>
            <w:tcW w:w="3326" w:type="dxa"/>
          </w:tcPr>
          <w:p w:rsidR="006C17CB" w:rsidRDefault="0030091C">
            <w:pPr>
              <w:pStyle w:val="TableParagraph"/>
              <w:spacing w:before="99"/>
              <w:ind w:left="50"/>
              <w:jc w:val="left"/>
              <w:rPr>
                <w:sz w:val="20"/>
              </w:rPr>
            </w:pPr>
            <w:r>
              <w:rPr>
                <w:color w:val="003366"/>
                <w:sz w:val="20"/>
              </w:rPr>
              <w:t>Cash and Cash Equivalents</w:t>
            </w:r>
          </w:p>
        </w:tc>
        <w:tc>
          <w:tcPr>
            <w:tcW w:w="1561" w:type="dxa"/>
          </w:tcPr>
          <w:p w:rsidR="006C17CB" w:rsidRDefault="0030091C">
            <w:pPr>
              <w:pStyle w:val="TableParagraph"/>
              <w:spacing w:before="99"/>
              <w:ind w:right="277"/>
              <w:rPr>
                <w:sz w:val="20"/>
              </w:rPr>
            </w:pPr>
            <w:r>
              <w:rPr>
                <w:color w:val="003366"/>
                <w:w w:val="95"/>
                <w:sz w:val="20"/>
              </w:rPr>
              <w:t>24</w:t>
            </w:r>
          </w:p>
        </w:tc>
        <w:tc>
          <w:tcPr>
            <w:tcW w:w="1395" w:type="dxa"/>
          </w:tcPr>
          <w:p w:rsidR="006C17CB" w:rsidRDefault="0030091C">
            <w:pPr>
              <w:pStyle w:val="TableParagraph"/>
              <w:spacing w:before="99"/>
              <w:ind w:right="282"/>
              <w:rPr>
                <w:sz w:val="20"/>
              </w:rPr>
            </w:pPr>
            <w:r>
              <w:rPr>
                <w:color w:val="003366"/>
                <w:w w:val="95"/>
                <w:sz w:val="20"/>
              </w:rPr>
              <w:t>24</w:t>
            </w:r>
          </w:p>
        </w:tc>
        <w:tc>
          <w:tcPr>
            <w:tcW w:w="1243" w:type="dxa"/>
          </w:tcPr>
          <w:p w:rsidR="006C17CB" w:rsidRDefault="0030091C">
            <w:pPr>
              <w:pStyle w:val="TableParagraph"/>
              <w:spacing w:before="99"/>
              <w:ind w:right="261"/>
              <w:rPr>
                <w:sz w:val="20"/>
              </w:rPr>
            </w:pPr>
            <w:r>
              <w:rPr>
                <w:color w:val="003366"/>
                <w:w w:val="95"/>
                <w:sz w:val="20"/>
              </w:rPr>
              <w:t>85</w:t>
            </w:r>
          </w:p>
        </w:tc>
        <w:tc>
          <w:tcPr>
            <w:tcW w:w="1205" w:type="dxa"/>
          </w:tcPr>
          <w:p w:rsidR="006C17CB" w:rsidRDefault="0030091C">
            <w:pPr>
              <w:pStyle w:val="TableParagraph"/>
              <w:spacing w:before="99"/>
              <w:ind w:right="107"/>
              <w:rPr>
                <w:sz w:val="20"/>
              </w:rPr>
            </w:pPr>
            <w:r>
              <w:rPr>
                <w:color w:val="003366"/>
                <w:w w:val="95"/>
                <w:sz w:val="20"/>
              </w:rPr>
              <w:t>85</w:t>
            </w:r>
          </w:p>
        </w:tc>
      </w:tr>
      <w:tr w:rsidR="006C17CB">
        <w:trPr>
          <w:trHeight w:val="264"/>
        </w:trPr>
        <w:tc>
          <w:tcPr>
            <w:tcW w:w="3326" w:type="dxa"/>
          </w:tcPr>
          <w:p w:rsidR="006C17CB" w:rsidRDefault="0030091C">
            <w:pPr>
              <w:pStyle w:val="TableParagraph"/>
              <w:spacing w:line="244" w:lineRule="exact"/>
              <w:ind w:left="50"/>
              <w:jc w:val="left"/>
              <w:rPr>
                <w:sz w:val="20"/>
              </w:rPr>
            </w:pPr>
            <w:r>
              <w:rPr>
                <w:color w:val="003366"/>
                <w:sz w:val="20"/>
              </w:rPr>
              <w:t>Investments with the Territory</w:t>
            </w:r>
          </w:p>
        </w:tc>
        <w:tc>
          <w:tcPr>
            <w:tcW w:w="1561" w:type="dxa"/>
          </w:tcPr>
          <w:p w:rsidR="006C17CB" w:rsidRDefault="006C17CB">
            <w:pPr>
              <w:pStyle w:val="TableParagraph"/>
              <w:jc w:val="left"/>
              <w:rPr>
                <w:rFonts w:ascii="Times New Roman"/>
                <w:sz w:val="18"/>
              </w:rPr>
            </w:pPr>
          </w:p>
        </w:tc>
        <w:tc>
          <w:tcPr>
            <w:tcW w:w="1395" w:type="dxa"/>
          </w:tcPr>
          <w:p w:rsidR="006C17CB" w:rsidRDefault="006C17CB">
            <w:pPr>
              <w:pStyle w:val="TableParagraph"/>
              <w:jc w:val="left"/>
              <w:rPr>
                <w:rFonts w:ascii="Times New Roman"/>
                <w:sz w:val="18"/>
              </w:rPr>
            </w:pPr>
          </w:p>
        </w:tc>
        <w:tc>
          <w:tcPr>
            <w:tcW w:w="1243" w:type="dxa"/>
          </w:tcPr>
          <w:p w:rsidR="006C17CB" w:rsidRDefault="006C17CB">
            <w:pPr>
              <w:pStyle w:val="TableParagraph"/>
              <w:jc w:val="left"/>
              <w:rPr>
                <w:rFonts w:ascii="Times New Roman"/>
                <w:sz w:val="18"/>
              </w:rPr>
            </w:pPr>
          </w:p>
        </w:tc>
        <w:tc>
          <w:tcPr>
            <w:tcW w:w="1205" w:type="dxa"/>
          </w:tcPr>
          <w:p w:rsidR="006C17CB" w:rsidRDefault="006C17CB">
            <w:pPr>
              <w:pStyle w:val="TableParagraph"/>
              <w:jc w:val="left"/>
              <w:rPr>
                <w:rFonts w:ascii="Times New Roman"/>
                <w:sz w:val="18"/>
              </w:rPr>
            </w:pPr>
          </w:p>
        </w:tc>
      </w:tr>
      <w:tr w:rsidR="006C17CB">
        <w:trPr>
          <w:trHeight w:val="265"/>
        </w:trPr>
        <w:tc>
          <w:tcPr>
            <w:tcW w:w="3326" w:type="dxa"/>
          </w:tcPr>
          <w:p w:rsidR="006C17CB" w:rsidRDefault="0030091C">
            <w:pPr>
              <w:pStyle w:val="TableParagraph"/>
              <w:spacing w:line="226" w:lineRule="exact"/>
              <w:ind w:left="333"/>
              <w:jc w:val="left"/>
              <w:rPr>
                <w:sz w:val="20"/>
              </w:rPr>
            </w:pPr>
            <w:r>
              <w:rPr>
                <w:color w:val="003366"/>
                <w:sz w:val="20"/>
              </w:rPr>
              <w:t>Banking Account</w:t>
            </w:r>
          </w:p>
        </w:tc>
        <w:tc>
          <w:tcPr>
            <w:tcW w:w="1561" w:type="dxa"/>
          </w:tcPr>
          <w:p w:rsidR="006C17CB" w:rsidRDefault="0030091C">
            <w:pPr>
              <w:pStyle w:val="TableParagraph"/>
              <w:spacing w:line="226" w:lineRule="exact"/>
              <w:ind w:right="279"/>
              <w:rPr>
                <w:sz w:val="20"/>
              </w:rPr>
            </w:pPr>
            <w:r>
              <w:rPr>
                <w:color w:val="003366"/>
                <w:w w:val="95"/>
                <w:sz w:val="20"/>
              </w:rPr>
              <w:t>2,251</w:t>
            </w:r>
          </w:p>
        </w:tc>
        <w:tc>
          <w:tcPr>
            <w:tcW w:w="1395" w:type="dxa"/>
          </w:tcPr>
          <w:p w:rsidR="006C17CB" w:rsidRDefault="0030091C">
            <w:pPr>
              <w:pStyle w:val="TableParagraph"/>
              <w:spacing w:line="226" w:lineRule="exact"/>
              <w:ind w:right="285"/>
              <w:rPr>
                <w:sz w:val="20"/>
              </w:rPr>
            </w:pPr>
            <w:r>
              <w:rPr>
                <w:color w:val="003366"/>
                <w:w w:val="95"/>
                <w:sz w:val="20"/>
              </w:rPr>
              <w:t>2,251</w:t>
            </w:r>
          </w:p>
        </w:tc>
        <w:tc>
          <w:tcPr>
            <w:tcW w:w="1243" w:type="dxa"/>
          </w:tcPr>
          <w:p w:rsidR="006C17CB" w:rsidRDefault="0030091C">
            <w:pPr>
              <w:pStyle w:val="TableParagraph"/>
              <w:spacing w:line="226" w:lineRule="exact"/>
              <w:ind w:right="263"/>
              <w:rPr>
                <w:sz w:val="20"/>
              </w:rPr>
            </w:pPr>
            <w:r>
              <w:rPr>
                <w:color w:val="003366"/>
                <w:w w:val="95"/>
                <w:sz w:val="20"/>
              </w:rPr>
              <w:t>2,058</w:t>
            </w:r>
          </w:p>
        </w:tc>
        <w:tc>
          <w:tcPr>
            <w:tcW w:w="1205" w:type="dxa"/>
          </w:tcPr>
          <w:p w:rsidR="006C17CB" w:rsidRDefault="0030091C">
            <w:pPr>
              <w:pStyle w:val="TableParagraph"/>
              <w:spacing w:line="226" w:lineRule="exact"/>
              <w:ind w:right="110"/>
              <w:rPr>
                <w:sz w:val="20"/>
              </w:rPr>
            </w:pPr>
            <w:r>
              <w:rPr>
                <w:color w:val="003366"/>
                <w:w w:val="95"/>
                <w:sz w:val="20"/>
              </w:rPr>
              <w:t>2,058</w:t>
            </w:r>
          </w:p>
        </w:tc>
      </w:tr>
      <w:tr w:rsidR="006C17CB">
        <w:trPr>
          <w:trHeight w:val="286"/>
        </w:trPr>
        <w:tc>
          <w:tcPr>
            <w:tcW w:w="3326" w:type="dxa"/>
          </w:tcPr>
          <w:p w:rsidR="006C17CB" w:rsidRDefault="0030091C">
            <w:pPr>
              <w:pStyle w:val="TableParagraph"/>
              <w:spacing w:line="246" w:lineRule="exact"/>
              <w:ind w:left="50"/>
              <w:jc w:val="left"/>
              <w:rPr>
                <w:sz w:val="20"/>
              </w:rPr>
            </w:pPr>
            <w:r>
              <w:rPr>
                <w:color w:val="003366"/>
                <w:sz w:val="20"/>
              </w:rPr>
              <w:t>Receivables</w:t>
            </w:r>
          </w:p>
        </w:tc>
        <w:tc>
          <w:tcPr>
            <w:tcW w:w="5404" w:type="dxa"/>
            <w:gridSpan w:val="4"/>
          </w:tcPr>
          <w:p w:rsidR="006C17CB" w:rsidRDefault="0030091C">
            <w:pPr>
              <w:pStyle w:val="TableParagraph"/>
              <w:tabs>
                <w:tab w:val="left" w:pos="1079"/>
                <w:tab w:val="left" w:pos="2469"/>
                <w:tab w:val="left" w:pos="3734"/>
                <w:tab w:val="left" w:pos="5092"/>
              </w:tabs>
              <w:spacing w:line="246" w:lineRule="exact"/>
              <w:ind w:left="-1" w:right="-15"/>
              <w:jc w:val="left"/>
              <w:rPr>
                <w:sz w:val="20"/>
              </w:rPr>
            </w:pPr>
            <w:r>
              <w:rPr>
                <w:color w:val="003366"/>
                <w:w w:val="99"/>
                <w:sz w:val="20"/>
                <w:u w:val="single" w:color="003366"/>
              </w:rPr>
              <w:t xml:space="preserve"> </w:t>
            </w:r>
            <w:r>
              <w:rPr>
                <w:color w:val="003366"/>
                <w:sz w:val="20"/>
                <w:u w:val="single" w:color="003366"/>
              </w:rPr>
              <w:tab/>
              <w:t>27</w:t>
            </w:r>
            <w:r>
              <w:rPr>
                <w:color w:val="003366"/>
                <w:sz w:val="20"/>
                <w:u w:val="single" w:color="003366"/>
              </w:rPr>
              <w:tab/>
              <w:t>27</w:t>
            </w:r>
            <w:r>
              <w:rPr>
                <w:color w:val="003366"/>
                <w:sz w:val="20"/>
                <w:u w:val="single" w:color="003366"/>
              </w:rPr>
              <w:tab/>
              <w:t>26</w:t>
            </w:r>
            <w:r>
              <w:rPr>
                <w:color w:val="003366"/>
                <w:sz w:val="20"/>
                <w:u w:val="single" w:color="003366"/>
              </w:rPr>
              <w:tab/>
              <w:t>26</w:t>
            </w:r>
            <w:r>
              <w:rPr>
                <w:color w:val="003366"/>
                <w:spacing w:val="18"/>
                <w:sz w:val="20"/>
                <w:u w:val="single" w:color="003366"/>
              </w:rPr>
              <w:t xml:space="preserve"> </w:t>
            </w:r>
          </w:p>
        </w:tc>
      </w:tr>
      <w:tr w:rsidR="006C17CB">
        <w:trPr>
          <w:trHeight w:val="245"/>
        </w:trPr>
        <w:tc>
          <w:tcPr>
            <w:tcW w:w="3326" w:type="dxa"/>
          </w:tcPr>
          <w:p w:rsidR="006C17CB" w:rsidRDefault="0030091C">
            <w:pPr>
              <w:pStyle w:val="TableParagraph"/>
              <w:spacing w:line="226" w:lineRule="exact"/>
              <w:ind w:left="50"/>
              <w:jc w:val="left"/>
              <w:rPr>
                <w:b/>
                <w:sz w:val="20"/>
              </w:rPr>
            </w:pPr>
            <w:r>
              <w:rPr>
                <w:b/>
                <w:color w:val="003366"/>
                <w:sz w:val="20"/>
              </w:rPr>
              <w:t>Total Financial Assets</w:t>
            </w:r>
          </w:p>
        </w:tc>
        <w:tc>
          <w:tcPr>
            <w:tcW w:w="5404" w:type="dxa"/>
            <w:gridSpan w:val="4"/>
            <w:tcBorders>
              <w:bottom w:val="double" w:sz="1" w:space="0" w:color="003366"/>
            </w:tcBorders>
          </w:tcPr>
          <w:p w:rsidR="006C17CB" w:rsidRDefault="0030091C">
            <w:pPr>
              <w:pStyle w:val="TableParagraph"/>
              <w:tabs>
                <w:tab w:val="left" w:pos="2215"/>
                <w:tab w:val="left" w:pos="3479"/>
                <w:tab w:val="left" w:pos="4838"/>
              </w:tabs>
              <w:spacing w:line="226" w:lineRule="exact"/>
              <w:ind w:left="825"/>
              <w:jc w:val="left"/>
              <w:rPr>
                <w:b/>
                <w:sz w:val="20"/>
              </w:rPr>
            </w:pPr>
            <w:r>
              <w:rPr>
                <w:b/>
                <w:color w:val="003366"/>
                <w:sz w:val="20"/>
              </w:rPr>
              <w:t>2,302</w:t>
            </w:r>
            <w:r>
              <w:rPr>
                <w:b/>
                <w:color w:val="003366"/>
                <w:sz w:val="20"/>
              </w:rPr>
              <w:tab/>
              <w:t>2,302</w:t>
            </w:r>
            <w:r>
              <w:rPr>
                <w:b/>
                <w:color w:val="003366"/>
                <w:sz w:val="20"/>
              </w:rPr>
              <w:tab/>
              <w:t>2,169</w:t>
            </w:r>
            <w:r>
              <w:rPr>
                <w:b/>
                <w:color w:val="003366"/>
                <w:sz w:val="20"/>
              </w:rPr>
              <w:tab/>
              <w:t>2,169</w:t>
            </w:r>
          </w:p>
        </w:tc>
      </w:tr>
      <w:tr w:rsidR="006C17CB">
        <w:trPr>
          <w:trHeight w:val="750"/>
        </w:trPr>
        <w:tc>
          <w:tcPr>
            <w:tcW w:w="3326" w:type="dxa"/>
          </w:tcPr>
          <w:p w:rsidR="006C17CB" w:rsidRDefault="006C17CB">
            <w:pPr>
              <w:pStyle w:val="TableParagraph"/>
              <w:spacing w:before="6"/>
              <w:jc w:val="left"/>
              <w:rPr>
                <w:sz w:val="19"/>
              </w:rPr>
            </w:pPr>
          </w:p>
          <w:p w:rsidR="006C17CB" w:rsidRDefault="0030091C">
            <w:pPr>
              <w:pStyle w:val="TableParagraph"/>
              <w:spacing w:before="1"/>
              <w:ind w:left="50"/>
              <w:jc w:val="left"/>
              <w:rPr>
                <w:b/>
                <w:sz w:val="20"/>
              </w:rPr>
            </w:pPr>
            <w:r>
              <w:rPr>
                <w:b/>
                <w:color w:val="003366"/>
                <w:sz w:val="20"/>
              </w:rPr>
              <w:t>Financial Liabilities</w:t>
            </w:r>
          </w:p>
        </w:tc>
        <w:tc>
          <w:tcPr>
            <w:tcW w:w="5404" w:type="dxa"/>
            <w:gridSpan w:val="4"/>
            <w:tcBorders>
              <w:top w:val="double" w:sz="1" w:space="0" w:color="003366"/>
            </w:tcBorders>
          </w:tcPr>
          <w:p w:rsidR="006C17CB" w:rsidRDefault="006C17CB">
            <w:pPr>
              <w:pStyle w:val="TableParagraph"/>
              <w:jc w:val="left"/>
              <w:rPr>
                <w:rFonts w:ascii="Times New Roman"/>
                <w:sz w:val="20"/>
              </w:rPr>
            </w:pPr>
          </w:p>
        </w:tc>
      </w:tr>
      <w:tr w:rsidR="006C17CB">
        <w:trPr>
          <w:trHeight w:val="429"/>
        </w:trPr>
        <w:tc>
          <w:tcPr>
            <w:tcW w:w="3326" w:type="dxa"/>
          </w:tcPr>
          <w:p w:rsidR="006C17CB" w:rsidRDefault="0030091C">
            <w:pPr>
              <w:pStyle w:val="TableParagraph"/>
              <w:spacing w:before="99"/>
              <w:ind w:left="50"/>
              <w:jc w:val="left"/>
              <w:rPr>
                <w:sz w:val="20"/>
              </w:rPr>
            </w:pPr>
            <w:r>
              <w:rPr>
                <w:color w:val="003366"/>
                <w:sz w:val="20"/>
              </w:rPr>
              <w:t>Payables</w:t>
            </w:r>
          </w:p>
        </w:tc>
        <w:tc>
          <w:tcPr>
            <w:tcW w:w="5404" w:type="dxa"/>
            <w:gridSpan w:val="4"/>
          </w:tcPr>
          <w:p w:rsidR="006C17CB" w:rsidRDefault="0030091C">
            <w:pPr>
              <w:pStyle w:val="TableParagraph"/>
              <w:tabs>
                <w:tab w:val="left" w:pos="976"/>
                <w:tab w:val="left" w:pos="2366"/>
                <w:tab w:val="left" w:pos="3631"/>
                <w:tab w:val="left" w:pos="4989"/>
              </w:tabs>
              <w:spacing w:before="99"/>
              <w:ind w:left="-1" w:right="-15"/>
              <w:jc w:val="left"/>
              <w:rPr>
                <w:sz w:val="20"/>
              </w:rPr>
            </w:pPr>
            <w:r>
              <w:rPr>
                <w:color w:val="003366"/>
                <w:w w:val="99"/>
                <w:sz w:val="20"/>
                <w:u w:val="single" w:color="003366"/>
              </w:rPr>
              <w:t xml:space="preserve"> </w:t>
            </w:r>
            <w:r>
              <w:rPr>
                <w:color w:val="003366"/>
                <w:sz w:val="20"/>
                <w:u w:val="single" w:color="003366"/>
              </w:rPr>
              <w:tab/>
              <w:t>288</w:t>
            </w:r>
            <w:r>
              <w:rPr>
                <w:color w:val="003366"/>
                <w:sz w:val="20"/>
                <w:u w:val="single" w:color="003366"/>
              </w:rPr>
              <w:tab/>
              <w:t>288</w:t>
            </w:r>
            <w:r>
              <w:rPr>
                <w:color w:val="003366"/>
                <w:sz w:val="20"/>
                <w:u w:val="single" w:color="003366"/>
              </w:rPr>
              <w:tab/>
              <w:t>546</w:t>
            </w:r>
            <w:r>
              <w:rPr>
                <w:color w:val="003366"/>
                <w:sz w:val="20"/>
                <w:u w:val="single" w:color="003366"/>
              </w:rPr>
              <w:tab/>
              <w:t>546</w:t>
            </w:r>
            <w:r>
              <w:rPr>
                <w:color w:val="003366"/>
                <w:spacing w:val="21"/>
                <w:sz w:val="20"/>
                <w:u w:val="single" w:color="003366"/>
              </w:rPr>
              <w:t xml:space="preserve"> </w:t>
            </w:r>
          </w:p>
        </w:tc>
      </w:tr>
      <w:tr w:rsidR="006C17CB">
        <w:trPr>
          <w:trHeight w:val="247"/>
        </w:trPr>
        <w:tc>
          <w:tcPr>
            <w:tcW w:w="3326" w:type="dxa"/>
          </w:tcPr>
          <w:p w:rsidR="006C17CB" w:rsidRDefault="0030091C">
            <w:pPr>
              <w:pStyle w:val="TableParagraph"/>
              <w:spacing w:line="227" w:lineRule="exact"/>
              <w:ind w:left="50"/>
              <w:jc w:val="left"/>
              <w:rPr>
                <w:b/>
                <w:sz w:val="20"/>
              </w:rPr>
            </w:pPr>
            <w:r>
              <w:rPr>
                <w:b/>
                <w:color w:val="003366"/>
                <w:sz w:val="20"/>
              </w:rPr>
              <w:t>Total Financial Liabilities</w:t>
            </w:r>
          </w:p>
        </w:tc>
        <w:tc>
          <w:tcPr>
            <w:tcW w:w="5404" w:type="dxa"/>
            <w:gridSpan w:val="4"/>
            <w:tcBorders>
              <w:bottom w:val="double" w:sz="1" w:space="0" w:color="003366"/>
            </w:tcBorders>
          </w:tcPr>
          <w:p w:rsidR="006C17CB" w:rsidRDefault="0030091C">
            <w:pPr>
              <w:pStyle w:val="TableParagraph"/>
              <w:tabs>
                <w:tab w:val="left" w:pos="2366"/>
                <w:tab w:val="left" w:pos="3631"/>
                <w:tab w:val="left" w:pos="4989"/>
              </w:tabs>
              <w:spacing w:line="227" w:lineRule="exact"/>
              <w:ind w:left="976"/>
              <w:jc w:val="left"/>
              <w:rPr>
                <w:b/>
                <w:sz w:val="20"/>
              </w:rPr>
            </w:pPr>
            <w:r>
              <w:rPr>
                <w:b/>
                <w:color w:val="003366"/>
                <w:sz w:val="20"/>
              </w:rPr>
              <w:t>288</w:t>
            </w:r>
            <w:r>
              <w:rPr>
                <w:b/>
                <w:color w:val="003366"/>
                <w:sz w:val="20"/>
              </w:rPr>
              <w:tab/>
              <w:t>288</w:t>
            </w:r>
            <w:r>
              <w:rPr>
                <w:b/>
                <w:color w:val="003366"/>
                <w:sz w:val="20"/>
              </w:rPr>
              <w:tab/>
              <w:t>546</w:t>
            </w:r>
            <w:r>
              <w:rPr>
                <w:b/>
                <w:color w:val="003366"/>
                <w:sz w:val="20"/>
              </w:rPr>
              <w:tab/>
              <w:t>546</w:t>
            </w:r>
          </w:p>
        </w:tc>
      </w:tr>
    </w:tbl>
    <w:p w:rsidR="006C17CB" w:rsidRDefault="006C17CB">
      <w:pPr>
        <w:spacing w:line="227" w:lineRule="exact"/>
        <w:rPr>
          <w:sz w:val="20"/>
        </w:rPr>
        <w:sectPr w:rsidR="006C17CB">
          <w:headerReference w:type="even" r:id="rId165"/>
          <w:headerReference w:type="default" r:id="rId166"/>
          <w:footerReference w:type="even" r:id="rId167"/>
          <w:footerReference w:type="default" r:id="rId168"/>
          <w:pgSz w:w="11910" w:h="16840"/>
          <w:pgMar w:top="2780" w:right="0" w:bottom="720" w:left="980" w:header="1173" w:footer="523" w:gutter="0"/>
          <w:pgNumType w:start="122"/>
          <w:cols w:space="720"/>
        </w:sectPr>
      </w:pPr>
    </w:p>
    <w:p w:rsidR="006C17CB" w:rsidRDefault="006C17CB">
      <w:pPr>
        <w:pStyle w:val="BodyText"/>
        <w:spacing w:before="12"/>
        <w:rPr>
          <w:rFonts w:ascii="Calibri"/>
          <w:sz w:val="12"/>
        </w:rPr>
      </w:pPr>
    </w:p>
    <w:p w:rsidR="006C17CB" w:rsidRDefault="0030091C">
      <w:pPr>
        <w:spacing w:before="15"/>
        <w:ind w:left="829"/>
        <w:rPr>
          <w:rFonts w:ascii="Calibri"/>
          <w:b/>
          <w:sz w:val="20"/>
        </w:rPr>
      </w:pPr>
      <w:r>
        <w:rPr>
          <w:rFonts w:ascii="Calibri"/>
          <w:b/>
          <w:color w:val="003366"/>
          <w:sz w:val="20"/>
        </w:rPr>
        <w:t>Fair Value Hierarchy</w:t>
      </w:r>
    </w:p>
    <w:p w:rsidR="006C17CB" w:rsidRDefault="006C17CB">
      <w:pPr>
        <w:pStyle w:val="BodyText"/>
        <w:rPr>
          <w:rFonts w:ascii="Calibri"/>
          <w:b/>
          <w:sz w:val="16"/>
        </w:rPr>
      </w:pPr>
    </w:p>
    <w:p w:rsidR="006C17CB" w:rsidRDefault="0030091C">
      <w:pPr>
        <w:spacing w:before="1" w:line="204" w:lineRule="auto"/>
        <w:ind w:left="829" w:right="1521"/>
        <w:jc w:val="both"/>
        <w:rPr>
          <w:rFonts w:ascii="Calibri"/>
          <w:sz w:val="20"/>
        </w:rPr>
      </w:pPr>
      <w:r>
        <w:rPr>
          <w:rFonts w:ascii="Calibri"/>
          <w:color w:val="003366"/>
          <w:sz w:val="20"/>
        </w:rPr>
        <w:t>The carrying amount of financial assets measured at fair value, as well as the methods used to estimate the fair value, are summarised in the table below. All other financial assets and liabilities are measured, subsequent to initial recognition, at amortised cost and as such are not included in the table below.</w:t>
      </w:r>
    </w:p>
    <w:p w:rsidR="006C17CB" w:rsidRDefault="0030091C">
      <w:pPr>
        <w:spacing w:before="81"/>
        <w:ind w:left="829"/>
        <w:jc w:val="both"/>
        <w:rPr>
          <w:rFonts w:ascii="Calibri"/>
          <w:b/>
          <w:sz w:val="20"/>
        </w:rPr>
      </w:pPr>
      <w:r>
        <w:rPr>
          <w:rFonts w:ascii="Calibri"/>
          <w:b/>
          <w:color w:val="003366"/>
          <w:sz w:val="20"/>
        </w:rPr>
        <w:t>2018</w:t>
      </w:r>
    </w:p>
    <w:p w:rsidR="006C17CB" w:rsidRDefault="0030091C">
      <w:pPr>
        <w:spacing w:line="245" w:lineRule="exact"/>
        <w:ind w:left="4230"/>
        <w:rPr>
          <w:rFonts w:ascii="Calibri"/>
          <w:b/>
          <w:sz w:val="18"/>
        </w:rPr>
      </w:pPr>
      <w:r>
        <w:rPr>
          <w:rFonts w:ascii="Calibri"/>
          <w:b/>
          <w:color w:val="003366"/>
          <w:sz w:val="18"/>
          <w:u w:val="single" w:color="003366"/>
        </w:rPr>
        <w:t xml:space="preserve">    Classification According to the Fair Value Hierarchy </w:t>
      </w:r>
    </w:p>
    <w:p w:rsidR="006C17CB" w:rsidRDefault="006C17CB">
      <w:pPr>
        <w:spacing w:line="245" w:lineRule="exact"/>
        <w:rPr>
          <w:rFonts w:ascii="Calibri"/>
          <w:sz w:val="18"/>
        </w:rPr>
        <w:sectPr w:rsidR="006C17CB">
          <w:pgSz w:w="11910" w:h="16840"/>
          <w:pgMar w:top="2780" w:right="0" w:bottom="740" w:left="980" w:header="1173" w:footer="551" w:gutter="0"/>
          <w:cols w:space="720"/>
        </w:sectPr>
      </w:pPr>
    </w:p>
    <w:p w:rsidR="006C17CB" w:rsidRDefault="006C17CB">
      <w:pPr>
        <w:pStyle w:val="BodyText"/>
        <w:rPr>
          <w:rFonts w:ascii="Calibri"/>
          <w:b/>
          <w:sz w:val="20"/>
        </w:rPr>
      </w:pPr>
    </w:p>
    <w:p w:rsidR="006C17CB" w:rsidRDefault="006C17CB">
      <w:pPr>
        <w:pStyle w:val="BodyText"/>
        <w:spacing w:before="4"/>
        <w:rPr>
          <w:rFonts w:ascii="Calibri"/>
          <w:b/>
          <w:sz w:val="14"/>
        </w:rPr>
      </w:pPr>
    </w:p>
    <w:p w:rsidR="006C17CB" w:rsidRDefault="0030091C">
      <w:pPr>
        <w:spacing w:line="287" w:lineRule="exact"/>
        <w:ind w:left="829"/>
        <w:rPr>
          <w:rFonts w:ascii="Calibri"/>
          <w:b/>
          <w:sz w:val="20"/>
        </w:rPr>
      </w:pPr>
      <w:r>
        <w:rPr>
          <w:rFonts w:ascii="Calibri"/>
          <w:b/>
          <w:color w:val="003366"/>
          <w:sz w:val="20"/>
        </w:rPr>
        <w:t>Financial Assets</w:t>
      </w:r>
    </w:p>
    <w:p w:rsidR="006C17CB" w:rsidRDefault="0030091C">
      <w:pPr>
        <w:spacing w:before="37" w:line="201" w:lineRule="auto"/>
        <w:ind w:left="1112" w:right="121" w:hanging="284"/>
        <w:rPr>
          <w:rFonts w:ascii="Calibri"/>
          <w:sz w:val="20"/>
        </w:rPr>
      </w:pPr>
      <w:r>
        <w:rPr>
          <w:rFonts w:ascii="Calibri"/>
          <w:color w:val="003366"/>
          <w:sz w:val="20"/>
        </w:rPr>
        <w:t>Financial Assets at Fair Value through the Profit and Loss</w:t>
      </w:r>
    </w:p>
    <w:p w:rsidR="006C17CB" w:rsidRDefault="0030091C">
      <w:pPr>
        <w:spacing w:before="6"/>
        <w:ind w:left="829"/>
        <w:rPr>
          <w:rFonts w:ascii="Calibri"/>
          <w:sz w:val="20"/>
        </w:rPr>
      </w:pPr>
      <w:r>
        <w:rPr>
          <w:rFonts w:ascii="Calibri"/>
          <w:color w:val="003366"/>
          <w:sz w:val="20"/>
        </w:rPr>
        <w:t>Investments with the Territory Banking</w:t>
      </w:r>
    </w:p>
    <w:p w:rsidR="006C17CB" w:rsidRDefault="0030091C">
      <w:pPr>
        <w:spacing w:line="233" w:lineRule="exact"/>
        <w:ind w:left="741" w:right="18"/>
        <w:jc w:val="center"/>
        <w:rPr>
          <w:rFonts w:ascii="Calibri"/>
          <w:b/>
          <w:sz w:val="20"/>
        </w:rPr>
      </w:pPr>
      <w:r>
        <w:br w:type="column"/>
      </w:r>
      <w:r>
        <w:rPr>
          <w:rFonts w:ascii="Calibri"/>
          <w:b/>
          <w:color w:val="003366"/>
          <w:sz w:val="20"/>
        </w:rPr>
        <w:t>Level 1</w:t>
      </w:r>
    </w:p>
    <w:p w:rsidR="006C17CB" w:rsidRDefault="0030091C">
      <w:pPr>
        <w:spacing w:line="267" w:lineRule="exact"/>
        <w:ind w:left="861" w:right="18"/>
        <w:jc w:val="center"/>
        <w:rPr>
          <w:rFonts w:ascii="Calibri" w:hAnsi="Calibri"/>
          <w:b/>
          <w:sz w:val="20"/>
        </w:rPr>
      </w:pPr>
      <w:r>
        <w:rPr>
          <w:rFonts w:ascii="Calibri" w:hAnsi="Calibri"/>
          <w:b/>
          <w:color w:val="003366"/>
          <w:sz w:val="20"/>
        </w:rPr>
        <w:t>$’000</w:t>
      </w:r>
    </w:p>
    <w:p w:rsidR="006C17CB" w:rsidRDefault="0030091C">
      <w:pPr>
        <w:spacing w:line="233" w:lineRule="exact"/>
        <w:jc w:val="right"/>
        <w:rPr>
          <w:rFonts w:ascii="Calibri"/>
          <w:b/>
          <w:sz w:val="20"/>
        </w:rPr>
      </w:pPr>
      <w:r>
        <w:br w:type="column"/>
      </w:r>
      <w:r>
        <w:rPr>
          <w:rFonts w:ascii="Calibri"/>
          <w:b/>
          <w:color w:val="003366"/>
          <w:sz w:val="20"/>
        </w:rPr>
        <w:t>Level 2</w:t>
      </w:r>
    </w:p>
    <w:p w:rsidR="006C17CB" w:rsidRDefault="0030091C">
      <w:pPr>
        <w:spacing w:line="267" w:lineRule="exact"/>
        <w:jc w:val="right"/>
        <w:rPr>
          <w:rFonts w:ascii="Calibri" w:hAnsi="Calibri"/>
          <w:b/>
          <w:sz w:val="20"/>
        </w:rPr>
      </w:pPr>
      <w:r>
        <w:rPr>
          <w:rFonts w:ascii="Calibri" w:hAnsi="Calibri"/>
          <w:b/>
          <w:color w:val="003366"/>
          <w:sz w:val="20"/>
        </w:rPr>
        <w:t>$’000</w:t>
      </w:r>
    </w:p>
    <w:p w:rsidR="006C17CB" w:rsidRDefault="0030091C">
      <w:pPr>
        <w:spacing w:line="233" w:lineRule="exact"/>
        <w:ind w:left="775"/>
        <w:jc w:val="center"/>
        <w:rPr>
          <w:rFonts w:ascii="Calibri"/>
          <w:b/>
          <w:sz w:val="20"/>
        </w:rPr>
      </w:pPr>
      <w:r>
        <w:br w:type="column"/>
      </w:r>
      <w:r>
        <w:rPr>
          <w:rFonts w:ascii="Calibri"/>
          <w:b/>
          <w:color w:val="003366"/>
          <w:sz w:val="20"/>
        </w:rPr>
        <w:t>Level</w:t>
      </w:r>
      <w:r>
        <w:rPr>
          <w:rFonts w:ascii="Calibri"/>
          <w:b/>
          <w:color w:val="003366"/>
          <w:spacing w:val="-6"/>
          <w:sz w:val="20"/>
        </w:rPr>
        <w:t xml:space="preserve"> </w:t>
      </w:r>
      <w:r>
        <w:rPr>
          <w:rFonts w:ascii="Calibri"/>
          <w:b/>
          <w:color w:val="003366"/>
          <w:sz w:val="20"/>
        </w:rPr>
        <w:t>3</w:t>
      </w:r>
    </w:p>
    <w:p w:rsidR="006C17CB" w:rsidRDefault="0030091C">
      <w:pPr>
        <w:spacing w:line="267" w:lineRule="exact"/>
        <w:ind w:left="896"/>
        <w:jc w:val="center"/>
        <w:rPr>
          <w:rFonts w:ascii="Calibri" w:hAnsi="Calibri"/>
          <w:b/>
          <w:sz w:val="20"/>
        </w:rPr>
      </w:pPr>
      <w:r>
        <w:rPr>
          <w:rFonts w:ascii="Calibri" w:hAnsi="Calibri"/>
          <w:b/>
          <w:color w:val="003366"/>
          <w:w w:val="95"/>
          <w:sz w:val="20"/>
        </w:rPr>
        <w:t>$’000</w:t>
      </w:r>
    </w:p>
    <w:p w:rsidR="006C17CB" w:rsidRDefault="0030091C">
      <w:pPr>
        <w:spacing w:line="233" w:lineRule="exact"/>
        <w:ind w:left="646"/>
        <w:rPr>
          <w:rFonts w:ascii="Calibri"/>
          <w:b/>
          <w:sz w:val="20"/>
        </w:rPr>
      </w:pPr>
      <w:r>
        <w:br w:type="column"/>
      </w:r>
      <w:r>
        <w:rPr>
          <w:rFonts w:ascii="Calibri"/>
          <w:b/>
          <w:color w:val="003366"/>
          <w:sz w:val="20"/>
        </w:rPr>
        <w:t>Total</w:t>
      </w:r>
    </w:p>
    <w:p w:rsidR="006C17CB" w:rsidRDefault="0030091C">
      <w:pPr>
        <w:spacing w:line="267" w:lineRule="exact"/>
        <w:ind w:left="615"/>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5" w:space="720" w:equalWidth="0">
            <w:col w:w="4006" w:space="40"/>
            <w:col w:w="1378" w:space="72"/>
            <w:col w:w="1404" w:space="39"/>
            <w:col w:w="1350" w:space="40"/>
            <w:col w:w="2601"/>
          </w:cols>
        </w:sectPr>
      </w:pPr>
    </w:p>
    <w:p w:rsidR="006C17CB" w:rsidRDefault="0030091C">
      <w:pPr>
        <w:tabs>
          <w:tab w:val="left" w:pos="4230"/>
          <w:tab w:val="left" w:pos="5322"/>
          <w:tab w:val="left" w:pos="6445"/>
          <w:tab w:val="left" w:pos="8228"/>
          <w:tab w:val="left" w:pos="8943"/>
        </w:tabs>
        <w:spacing w:line="245" w:lineRule="exact"/>
        <w:ind w:left="1112"/>
        <w:rPr>
          <w:rFonts w:ascii="Calibri"/>
          <w:sz w:val="20"/>
        </w:rPr>
      </w:pPr>
      <w:r>
        <w:rPr>
          <w:rFonts w:ascii="Calibri"/>
          <w:color w:val="003366"/>
          <w:sz w:val="20"/>
        </w:rPr>
        <w:t>Account - Cash</w:t>
      </w:r>
      <w:r>
        <w:rPr>
          <w:rFonts w:ascii="Calibri"/>
          <w:color w:val="003366"/>
          <w:spacing w:val="-8"/>
          <w:sz w:val="20"/>
        </w:rPr>
        <w:t xml:space="preserve"> </w:t>
      </w:r>
      <w:r>
        <w:rPr>
          <w:rFonts w:ascii="Calibri"/>
          <w:color w:val="003366"/>
          <w:sz w:val="20"/>
        </w:rPr>
        <w:t>Enhanced</w:t>
      </w:r>
      <w:r>
        <w:rPr>
          <w:rFonts w:ascii="Calibri"/>
          <w:color w:val="003366"/>
          <w:spacing w:val="-2"/>
          <w:sz w:val="20"/>
        </w:rPr>
        <w:t xml:space="preserve"> </w:t>
      </w:r>
      <w:r>
        <w:rPr>
          <w:rFonts w:ascii="Calibri"/>
          <w:color w:val="003366"/>
          <w:sz w:val="20"/>
        </w:rPr>
        <w:t>Fund</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w:t>
      </w:r>
      <w:r>
        <w:rPr>
          <w:rFonts w:ascii="Calibri"/>
          <w:color w:val="003366"/>
          <w:sz w:val="20"/>
          <w:u w:val="single" w:color="003366"/>
        </w:rPr>
        <w:tab/>
        <w:t>2,251</w:t>
      </w:r>
      <w:r>
        <w:rPr>
          <w:rFonts w:ascii="Calibri"/>
          <w:color w:val="003366"/>
          <w:sz w:val="20"/>
          <w:u w:val="single" w:color="003366"/>
        </w:rPr>
        <w:tab/>
        <w:t>-</w:t>
      </w:r>
      <w:r>
        <w:rPr>
          <w:rFonts w:ascii="Calibri"/>
          <w:color w:val="003366"/>
          <w:sz w:val="20"/>
          <w:u w:val="single" w:color="003366"/>
        </w:rPr>
        <w:tab/>
        <w:t>2,251</w:t>
      </w:r>
      <w:r>
        <w:rPr>
          <w:rFonts w:ascii="Calibri"/>
          <w:color w:val="003366"/>
          <w:spacing w:val="21"/>
          <w:sz w:val="20"/>
          <w:u w:val="single" w:color="003366"/>
        </w:rPr>
        <w:t xml:space="preserve"> </w:t>
      </w:r>
    </w:p>
    <w:p w:rsidR="006C17CB" w:rsidRDefault="0030091C">
      <w:pPr>
        <w:tabs>
          <w:tab w:val="left" w:pos="6445"/>
          <w:tab w:val="left" w:pos="8228"/>
          <w:tab w:val="left" w:pos="8943"/>
        </w:tabs>
        <w:spacing w:before="4"/>
        <w:ind w:left="5322"/>
        <w:rPr>
          <w:rFonts w:ascii="Calibri"/>
          <w:b/>
          <w:sz w:val="20"/>
        </w:rPr>
      </w:pPr>
      <w:r>
        <w:rPr>
          <w:rFonts w:ascii="Calibri"/>
          <w:b/>
          <w:color w:val="003366"/>
          <w:sz w:val="20"/>
        </w:rPr>
        <w:t>-</w:t>
      </w:r>
      <w:r>
        <w:rPr>
          <w:rFonts w:ascii="Calibri"/>
          <w:b/>
          <w:color w:val="003366"/>
          <w:sz w:val="20"/>
        </w:rPr>
        <w:tab/>
        <w:t>2,251</w:t>
      </w:r>
      <w:r>
        <w:rPr>
          <w:rFonts w:ascii="Calibri"/>
          <w:b/>
          <w:color w:val="003366"/>
          <w:sz w:val="20"/>
        </w:rPr>
        <w:tab/>
        <w:t>-</w:t>
      </w:r>
      <w:r>
        <w:rPr>
          <w:rFonts w:ascii="Calibri"/>
          <w:b/>
          <w:color w:val="003366"/>
          <w:sz w:val="20"/>
        </w:rPr>
        <w:tab/>
        <w:t>2,251</w:t>
      </w:r>
    </w:p>
    <w:p w:rsidR="006C17CB" w:rsidRDefault="00FE24A7">
      <w:pPr>
        <w:pStyle w:val="BodyText"/>
        <w:spacing w:line="29" w:lineRule="exact"/>
        <w:ind w:left="4225"/>
        <w:rPr>
          <w:rFonts w:ascii="Calibri"/>
          <w:sz w:val="2"/>
        </w:rPr>
      </w:pPr>
      <w:r>
        <w:rPr>
          <w:rFonts w:ascii="Calibri"/>
          <w:sz w:val="2"/>
        </w:rPr>
      </w:r>
      <w:r>
        <w:rPr>
          <w:rFonts w:ascii="Calibri"/>
          <w:sz w:val="2"/>
        </w:rPr>
        <w:pict>
          <v:group id="_x0000_s1255" alt="" style="width:264pt;height:1.45pt;mso-position-horizontal-relative:char;mso-position-vertical-relative:line" coordsize="5280,29">
            <v:line id="_x0000_s1256" alt="" style="position:absolute" from="0,5" to="1262,5" strokecolor="#17365d" strokeweight=".16969mm"/>
            <v:line id="_x0000_s1257" alt="" style="position:absolute" from="0,24" to="1262,24" strokecolor="#17365d" strokeweight=".48pt"/>
            <v:rect id="_x0000_s1258" alt="" style="position:absolute;left:1262;width:29;height:10" fillcolor="#17365d" stroked="f"/>
            <v:rect id="_x0000_s1259" alt="" style="position:absolute;left:1262;top:19;width:29;height:10" fillcolor="#17365d" stroked="f"/>
            <v:line id="_x0000_s1260" alt="" style="position:absolute" from="1291,5" to="2779,5" strokecolor="#17365d" strokeweight=".16969mm"/>
            <v:line id="_x0000_s1261" alt="" style="position:absolute" from="1291,24" to="2779,24" strokecolor="#17365d" strokeweight=".48pt"/>
            <v:rect id="_x0000_s1262" alt="" style="position:absolute;left:2779;width:29;height:10" fillcolor="#17365d" stroked="f"/>
            <v:rect id="_x0000_s1263" alt="" style="position:absolute;left:2779;top:19;width:29;height:10" fillcolor="#17365d" stroked="f"/>
            <v:line id="_x0000_s1264" alt="" style="position:absolute" from="2808,5" to="4171,5" strokecolor="#17365d" strokeweight=".16969mm"/>
            <v:line id="_x0000_s1265" alt="" style="position:absolute" from="2808,24" to="4171,24" strokecolor="#17365d" strokeweight=".48pt"/>
            <v:rect id="_x0000_s1266" alt="" style="position:absolute;left:4171;width:29;height:10" fillcolor="#17365d" stroked="f"/>
            <v:rect id="_x0000_s1267" alt="" style="position:absolute;left:4171;top:19;width:29;height:10" fillcolor="#17365d" stroked="f"/>
            <v:line id="_x0000_s1268" alt="" style="position:absolute" from="4200,5" to="5280,5" strokecolor="#17365d" strokeweight=".16969mm"/>
            <v:line id="_x0000_s1269" alt="" style="position:absolute" from="4200,24" to="5280,24" strokecolor="#17365d" strokeweight=".48pt"/>
            <w10:anchorlock/>
          </v:group>
        </w:pict>
      </w:r>
    </w:p>
    <w:p w:rsidR="006C17CB" w:rsidRDefault="006C17CB">
      <w:pPr>
        <w:pStyle w:val="BodyText"/>
        <w:spacing w:before="13"/>
        <w:rPr>
          <w:rFonts w:ascii="Calibri"/>
          <w:b/>
          <w:sz w:val="23"/>
        </w:rPr>
      </w:pPr>
    </w:p>
    <w:p w:rsidR="006C17CB" w:rsidRDefault="006C17CB">
      <w:pPr>
        <w:rPr>
          <w:rFonts w:ascii="Calibri"/>
          <w:sz w:val="23"/>
        </w:rPr>
        <w:sectPr w:rsidR="006C17CB">
          <w:type w:val="continuous"/>
          <w:pgSz w:w="11910" w:h="16840"/>
          <w:pgMar w:top="1580" w:right="0" w:bottom="280" w:left="980" w:header="720" w:footer="720" w:gutter="0"/>
          <w:cols w:space="720"/>
        </w:sectPr>
      </w:pPr>
    </w:p>
    <w:p w:rsidR="006C17CB" w:rsidRDefault="0030091C">
      <w:pPr>
        <w:spacing w:before="15"/>
        <w:ind w:left="829"/>
        <w:rPr>
          <w:rFonts w:ascii="Calibri"/>
          <w:b/>
          <w:sz w:val="20"/>
        </w:rPr>
      </w:pPr>
      <w:r>
        <w:rPr>
          <w:rFonts w:ascii="Calibri"/>
          <w:b/>
          <w:color w:val="003366"/>
          <w:sz w:val="20"/>
        </w:rPr>
        <w:t>2017</w:t>
      </w:r>
    </w:p>
    <w:p w:rsidR="006C17CB" w:rsidRDefault="0030091C">
      <w:pPr>
        <w:pStyle w:val="BodyText"/>
        <w:rPr>
          <w:rFonts w:ascii="Calibri"/>
          <w:b/>
          <w:sz w:val="20"/>
        </w:rPr>
      </w:pPr>
      <w:r>
        <w:br w:type="column"/>
      </w:r>
    </w:p>
    <w:p w:rsidR="006C17CB" w:rsidRDefault="0030091C">
      <w:pPr>
        <w:ind w:left="829"/>
        <w:rPr>
          <w:rFonts w:ascii="Calibri"/>
          <w:b/>
          <w:sz w:val="18"/>
        </w:rPr>
      </w:pPr>
      <w:r>
        <w:rPr>
          <w:rFonts w:ascii="Calibri"/>
          <w:b/>
          <w:color w:val="003366"/>
          <w:sz w:val="18"/>
          <w:u w:val="single" w:color="003366"/>
        </w:rPr>
        <w:t xml:space="preserve">    Classification According to the Fair Value Hierarchy </w:t>
      </w:r>
    </w:p>
    <w:p w:rsidR="006C17CB" w:rsidRDefault="006C17CB">
      <w:pPr>
        <w:rPr>
          <w:rFonts w:ascii="Calibri"/>
          <w:sz w:val="18"/>
        </w:rPr>
        <w:sectPr w:rsidR="006C17CB">
          <w:type w:val="continuous"/>
          <w:pgSz w:w="11910" w:h="16840"/>
          <w:pgMar w:top="1580" w:right="0" w:bottom="280" w:left="980" w:header="720" w:footer="720" w:gutter="0"/>
          <w:cols w:num="2" w:space="720" w:equalWidth="0">
            <w:col w:w="1273" w:space="2127"/>
            <w:col w:w="7530"/>
          </w:cols>
        </w:sectPr>
      </w:pPr>
    </w:p>
    <w:p w:rsidR="006C17CB" w:rsidRDefault="006C17CB">
      <w:pPr>
        <w:pStyle w:val="BodyText"/>
        <w:rPr>
          <w:rFonts w:ascii="Calibri"/>
          <w:b/>
          <w:sz w:val="20"/>
        </w:rPr>
      </w:pPr>
    </w:p>
    <w:p w:rsidR="006C17CB" w:rsidRDefault="006C17CB">
      <w:pPr>
        <w:pStyle w:val="BodyText"/>
        <w:spacing w:before="4"/>
        <w:rPr>
          <w:rFonts w:ascii="Calibri"/>
          <w:b/>
          <w:sz w:val="14"/>
        </w:rPr>
      </w:pPr>
    </w:p>
    <w:p w:rsidR="006C17CB" w:rsidRDefault="0030091C">
      <w:pPr>
        <w:spacing w:before="1" w:line="287" w:lineRule="exact"/>
        <w:ind w:left="829"/>
        <w:rPr>
          <w:rFonts w:ascii="Calibri"/>
          <w:b/>
          <w:sz w:val="20"/>
        </w:rPr>
      </w:pPr>
      <w:r>
        <w:rPr>
          <w:rFonts w:ascii="Calibri"/>
          <w:b/>
          <w:color w:val="003366"/>
          <w:sz w:val="20"/>
        </w:rPr>
        <w:t>Financial Assets</w:t>
      </w:r>
    </w:p>
    <w:p w:rsidR="006C17CB" w:rsidRDefault="0030091C">
      <w:pPr>
        <w:spacing w:before="36" w:line="201" w:lineRule="auto"/>
        <w:ind w:left="1112" w:right="121" w:hanging="284"/>
        <w:rPr>
          <w:rFonts w:ascii="Calibri"/>
          <w:sz w:val="20"/>
        </w:rPr>
      </w:pPr>
      <w:r>
        <w:rPr>
          <w:rFonts w:ascii="Calibri"/>
          <w:color w:val="003366"/>
          <w:sz w:val="20"/>
        </w:rPr>
        <w:t>Financial Assets at Fair Value through the Profit and Loss</w:t>
      </w:r>
    </w:p>
    <w:p w:rsidR="006C17CB" w:rsidRDefault="0030091C">
      <w:pPr>
        <w:spacing w:before="6"/>
        <w:ind w:left="829"/>
        <w:rPr>
          <w:rFonts w:ascii="Calibri"/>
          <w:sz w:val="20"/>
        </w:rPr>
      </w:pPr>
      <w:r>
        <w:rPr>
          <w:rFonts w:ascii="Calibri"/>
          <w:color w:val="003366"/>
          <w:sz w:val="20"/>
        </w:rPr>
        <w:t>Investments with the Territory Banking</w:t>
      </w:r>
    </w:p>
    <w:p w:rsidR="006C17CB" w:rsidRDefault="0030091C">
      <w:pPr>
        <w:spacing w:line="234" w:lineRule="exact"/>
        <w:ind w:left="741" w:right="18"/>
        <w:jc w:val="center"/>
        <w:rPr>
          <w:rFonts w:ascii="Calibri"/>
          <w:b/>
          <w:sz w:val="20"/>
        </w:rPr>
      </w:pPr>
      <w:r>
        <w:br w:type="column"/>
      </w:r>
      <w:r>
        <w:rPr>
          <w:rFonts w:ascii="Calibri"/>
          <w:b/>
          <w:color w:val="003366"/>
          <w:sz w:val="20"/>
        </w:rPr>
        <w:t>Level 1</w:t>
      </w:r>
    </w:p>
    <w:p w:rsidR="006C17CB" w:rsidRDefault="0030091C">
      <w:pPr>
        <w:spacing w:line="267" w:lineRule="exact"/>
        <w:ind w:left="861" w:right="18"/>
        <w:jc w:val="center"/>
        <w:rPr>
          <w:rFonts w:ascii="Calibri" w:hAnsi="Calibri"/>
          <w:b/>
          <w:sz w:val="20"/>
        </w:rPr>
      </w:pPr>
      <w:r>
        <w:rPr>
          <w:rFonts w:ascii="Calibri" w:hAnsi="Calibri"/>
          <w:b/>
          <w:color w:val="003366"/>
          <w:sz w:val="20"/>
        </w:rPr>
        <w:t>$’000</w:t>
      </w:r>
    </w:p>
    <w:p w:rsidR="006C17CB" w:rsidRDefault="0030091C">
      <w:pPr>
        <w:spacing w:line="234" w:lineRule="exact"/>
        <w:jc w:val="right"/>
        <w:rPr>
          <w:rFonts w:ascii="Calibri"/>
          <w:b/>
          <w:sz w:val="20"/>
        </w:rPr>
      </w:pPr>
      <w:r>
        <w:br w:type="column"/>
      </w:r>
      <w:r>
        <w:rPr>
          <w:rFonts w:ascii="Calibri"/>
          <w:b/>
          <w:color w:val="003366"/>
          <w:sz w:val="20"/>
        </w:rPr>
        <w:t>Level 2</w:t>
      </w:r>
    </w:p>
    <w:p w:rsidR="006C17CB" w:rsidRDefault="0030091C">
      <w:pPr>
        <w:spacing w:line="267" w:lineRule="exact"/>
        <w:jc w:val="right"/>
        <w:rPr>
          <w:rFonts w:ascii="Calibri" w:hAnsi="Calibri"/>
          <w:b/>
          <w:sz w:val="20"/>
        </w:rPr>
      </w:pPr>
      <w:r>
        <w:rPr>
          <w:rFonts w:ascii="Calibri" w:hAnsi="Calibri"/>
          <w:b/>
          <w:color w:val="003366"/>
          <w:sz w:val="20"/>
        </w:rPr>
        <w:t>$’000</w:t>
      </w:r>
    </w:p>
    <w:p w:rsidR="006C17CB" w:rsidRDefault="0030091C">
      <w:pPr>
        <w:spacing w:line="234" w:lineRule="exact"/>
        <w:ind w:left="775"/>
        <w:jc w:val="center"/>
        <w:rPr>
          <w:rFonts w:ascii="Calibri"/>
          <w:b/>
          <w:sz w:val="20"/>
        </w:rPr>
      </w:pPr>
      <w:r>
        <w:br w:type="column"/>
      </w:r>
      <w:r>
        <w:rPr>
          <w:rFonts w:ascii="Calibri"/>
          <w:b/>
          <w:color w:val="003366"/>
          <w:sz w:val="20"/>
        </w:rPr>
        <w:t>Level</w:t>
      </w:r>
      <w:r>
        <w:rPr>
          <w:rFonts w:ascii="Calibri"/>
          <w:b/>
          <w:color w:val="003366"/>
          <w:spacing w:val="-6"/>
          <w:sz w:val="20"/>
        </w:rPr>
        <w:t xml:space="preserve"> </w:t>
      </w:r>
      <w:r>
        <w:rPr>
          <w:rFonts w:ascii="Calibri"/>
          <w:b/>
          <w:color w:val="003366"/>
          <w:sz w:val="20"/>
        </w:rPr>
        <w:t>3</w:t>
      </w:r>
    </w:p>
    <w:p w:rsidR="006C17CB" w:rsidRDefault="0030091C">
      <w:pPr>
        <w:spacing w:line="267" w:lineRule="exact"/>
        <w:ind w:left="896"/>
        <w:jc w:val="center"/>
        <w:rPr>
          <w:rFonts w:ascii="Calibri" w:hAnsi="Calibri"/>
          <w:b/>
          <w:sz w:val="20"/>
        </w:rPr>
      </w:pPr>
      <w:r>
        <w:rPr>
          <w:rFonts w:ascii="Calibri" w:hAnsi="Calibri"/>
          <w:b/>
          <w:color w:val="003366"/>
          <w:w w:val="95"/>
          <w:sz w:val="20"/>
        </w:rPr>
        <w:t>$’000</w:t>
      </w:r>
    </w:p>
    <w:p w:rsidR="006C17CB" w:rsidRDefault="0030091C">
      <w:pPr>
        <w:spacing w:line="234" w:lineRule="exact"/>
        <w:ind w:left="646"/>
        <w:rPr>
          <w:rFonts w:ascii="Calibri"/>
          <w:b/>
          <w:sz w:val="20"/>
        </w:rPr>
      </w:pPr>
      <w:r>
        <w:br w:type="column"/>
      </w:r>
      <w:r>
        <w:rPr>
          <w:rFonts w:ascii="Calibri"/>
          <w:b/>
          <w:color w:val="003366"/>
          <w:sz w:val="20"/>
        </w:rPr>
        <w:t>Total</w:t>
      </w:r>
    </w:p>
    <w:p w:rsidR="006C17CB" w:rsidRDefault="0030091C">
      <w:pPr>
        <w:spacing w:line="267" w:lineRule="exact"/>
        <w:ind w:left="615"/>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5" w:space="720" w:equalWidth="0">
            <w:col w:w="4006" w:space="40"/>
            <w:col w:w="1378" w:space="72"/>
            <w:col w:w="1404" w:space="39"/>
            <w:col w:w="1350" w:space="40"/>
            <w:col w:w="2601"/>
          </w:cols>
        </w:sectPr>
      </w:pPr>
    </w:p>
    <w:p w:rsidR="006C17CB" w:rsidRDefault="0030091C">
      <w:pPr>
        <w:tabs>
          <w:tab w:val="left" w:pos="4230"/>
          <w:tab w:val="left" w:pos="5322"/>
          <w:tab w:val="left" w:pos="6445"/>
          <w:tab w:val="left" w:pos="8228"/>
          <w:tab w:val="left" w:pos="8943"/>
        </w:tabs>
        <w:spacing w:line="245" w:lineRule="exact"/>
        <w:ind w:left="1112"/>
        <w:rPr>
          <w:rFonts w:ascii="Calibri"/>
          <w:sz w:val="20"/>
        </w:rPr>
      </w:pPr>
      <w:r>
        <w:rPr>
          <w:rFonts w:ascii="Calibri"/>
          <w:color w:val="003366"/>
          <w:sz w:val="20"/>
        </w:rPr>
        <w:t>Account - Cash</w:t>
      </w:r>
      <w:r>
        <w:rPr>
          <w:rFonts w:ascii="Calibri"/>
          <w:color w:val="003366"/>
          <w:spacing w:val="-8"/>
          <w:sz w:val="20"/>
        </w:rPr>
        <w:t xml:space="preserve"> </w:t>
      </w:r>
      <w:r>
        <w:rPr>
          <w:rFonts w:ascii="Calibri"/>
          <w:color w:val="003366"/>
          <w:sz w:val="20"/>
        </w:rPr>
        <w:t>Enhanced</w:t>
      </w:r>
      <w:r>
        <w:rPr>
          <w:rFonts w:ascii="Calibri"/>
          <w:color w:val="003366"/>
          <w:spacing w:val="-2"/>
          <w:sz w:val="20"/>
        </w:rPr>
        <w:t xml:space="preserve"> </w:t>
      </w:r>
      <w:r>
        <w:rPr>
          <w:rFonts w:ascii="Calibri"/>
          <w:color w:val="003366"/>
          <w:sz w:val="20"/>
        </w:rPr>
        <w:t>Fund</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w:t>
      </w:r>
      <w:r>
        <w:rPr>
          <w:rFonts w:ascii="Calibri"/>
          <w:color w:val="003366"/>
          <w:sz w:val="20"/>
          <w:u w:val="single" w:color="003366"/>
        </w:rPr>
        <w:tab/>
        <w:t>2,058</w:t>
      </w:r>
      <w:r>
        <w:rPr>
          <w:rFonts w:ascii="Calibri"/>
          <w:color w:val="003366"/>
          <w:sz w:val="20"/>
          <w:u w:val="single" w:color="003366"/>
        </w:rPr>
        <w:tab/>
        <w:t>-</w:t>
      </w:r>
      <w:r>
        <w:rPr>
          <w:rFonts w:ascii="Calibri"/>
          <w:color w:val="003366"/>
          <w:sz w:val="20"/>
          <w:u w:val="single" w:color="003366"/>
        </w:rPr>
        <w:tab/>
        <w:t>2,058</w:t>
      </w:r>
      <w:r>
        <w:rPr>
          <w:rFonts w:ascii="Calibri"/>
          <w:color w:val="003366"/>
          <w:spacing w:val="21"/>
          <w:sz w:val="20"/>
          <w:u w:val="single" w:color="003366"/>
        </w:rPr>
        <w:t xml:space="preserve"> </w:t>
      </w:r>
    </w:p>
    <w:p w:rsidR="006C17CB" w:rsidRDefault="0030091C">
      <w:pPr>
        <w:tabs>
          <w:tab w:val="left" w:pos="6445"/>
          <w:tab w:val="left" w:pos="8228"/>
          <w:tab w:val="left" w:pos="8943"/>
        </w:tabs>
        <w:spacing w:before="4"/>
        <w:ind w:left="5322"/>
        <w:rPr>
          <w:rFonts w:ascii="Calibri"/>
          <w:b/>
          <w:sz w:val="20"/>
        </w:rPr>
      </w:pPr>
      <w:r>
        <w:rPr>
          <w:rFonts w:ascii="Calibri"/>
          <w:b/>
          <w:color w:val="003366"/>
          <w:sz w:val="20"/>
        </w:rPr>
        <w:t>-</w:t>
      </w:r>
      <w:r>
        <w:rPr>
          <w:rFonts w:ascii="Calibri"/>
          <w:b/>
          <w:color w:val="003366"/>
          <w:sz w:val="20"/>
        </w:rPr>
        <w:tab/>
        <w:t>2,058</w:t>
      </w:r>
      <w:r>
        <w:rPr>
          <w:rFonts w:ascii="Calibri"/>
          <w:b/>
          <w:color w:val="003366"/>
          <w:sz w:val="20"/>
        </w:rPr>
        <w:tab/>
        <w:t>-</w:t>
      </w:r>
      <w:r>
        <w:rPr>
          <w:rFonts w:ascii="Calibri"/>
          <w:b/>
          <w:color w:val="003366"/>
          <w:sz w:val="20"/>
        </w:rPr>
        <w:tab/>
        <w:t>2,058</w:t>
      </w:r>
    </w:p>
    <w:p w:rsidR="006C17CB" w:rsidRDefault="00FE24A7">
      <w:pPr>
        <w:pStyle w:val="BodyText"/>
        <w:spacing w:line="29" w:lineRule="exact"/>
        <w:ind w:left="4225"/>
        <w:rPr>
          <w:rFonts w:ascii="Calibri"/>
          <w:sz w:val="2"/>
        </w:rPr>
      </w:pPr>
      <w:r>
        <w:rPr>
          <w:rFonts w:ascii="Calibri"/>
          <w:sz w:val="2"/>
        </w:rPr>
      </w:r>
      <w:r>
        <w:rPr>
          <w:rFonts w:ascii="Calibri"/>
          <w:sz w:val="2"/>
        </w:rPr>
        <w:pict>
          <v:group id="_x0000_s1240" alt="" style="width:264pt;height:1.45pt;mso-position-horizontal-relative:char;mso-position-vertical-relative:line" coordsize="5280,29">
            <v:line id="_x0000_s1241" alt="" style="position:absolute" from="0,5" to="1262,5" strokecolor="#17365d" strokeweight=".48pt"/>
            <v:line id="_x0000_s1242" alt="" style="position:absolute" from="0,24" to="1262,24" strokecolor="#17365d" strokeweight=".16969mm"/>
            <v:rect id="_x0000_s1243" alt="" style="position:absolute;left:1262;width:29;height:10" fillcolor="#17365d" stroked="f"/>
            <v:rect id="_x0000_s1244" alt="" style="position:absolute;left:1262;top:19;width:29;height:10" fillcolor="#17365d" stroked="f"/>
            <v:line id="_x0000_s1245" alt="" style="position:absolute" from="1291,5" to="2779,5" strokecolor="#17365d" strokeweight=".48pt"/>
            <v:line id="_x0000_s1246" alt="" style="position:absolute" from="1291,24" to="2779,24" strokecolor="#17365d" strokeweight=".16969mm"/>
            <v:rect id="_x0000_s1247" alt="" style="position:absolute;left:2779;width:29;height:10" fillcolor="#17365d" stroked="f"/>
            <v:rect id="_x0000_s1248" alt="" style="position:absolute;left:2779;top:19;width:29;height:10" fillcolor="#17365d" stroked="f"/>
            <v:line id="_x0000_s1249" alt="" style="position:absolute" from="2808,5" to="4171,5" strokecolor="#17365d" strokeweight=".48pt"/>
            <v:line id="_x0000_s1250" alt="" style="position:absolute" from="2808,24" to="4171,24" strokecolor="#17365d" strokeweight=".16969mm"/>
            <v:rect id="_x0000_s1251" alt="" style="position:absolute;left:4171;width:29;height:10" fillcolor="#17365d" stroked="f"/>
            <v:rect id="_x0000_s1252" alt="" style="position:absolute;left:4171;top:19;width:29;height:10" fillcolor="#17365d" stroked="f"/>
            <v:line id="_x0000_s1253" alt="" style="position:absolute" from="4200,5" to="5280,5" strokecolor="#17365d" strokeweight=".48pt"/>
            <v:line id="_x0000_s1254" alt="" style="position:absolute" from="4200,24" to="5280,24" strokecolor="#17365d" strokeweight=".16969mm"/>
            <w10:anchorlock/>
          </v:group>
        </w:pict>
      </w:r>
    </w:p>
    <w:p w:rsidR="006C17CB" w:rsidRDefault="006C17CB">
      <w:pPr>
        <w:pStyle w:val="BodyText"/>
        <w:spacing w:before="11"/>
        <w:rPr>
          <w:rFonts w:ascii="Calibri"/>
          <w:b/>
          <w:sz w:val="21"/>
        </w:rPr>
      </w:pPr>
    </w:p>
    <w:p w:rsidR="006C17CB" w:rsidRDefault="0030091C">
      <w:pPr>
        <w:spacing w:before="15"/>
        <w:ind w:left="829"/>
        <w:rPr>
          <w:rFonts w:ascii="Calibri"/>
          <w:b/>
          <w:sz w:val="20"/>
        </w:rPr>
      </w:pPr>
      <w:r>
        <w:rPr>
          <w:rFonts w:ascii="Calibri"/>
          <w:b/>
          <w:color w:val="003366"/>
          <w:sz w:val="20"/>
        </w:rPr>
        <w:t>Transfer Between Categories</w:t>
      </w:r>
    </w:p>
    <w:p w:rsidR="006C17CB" w:rsidRDefault="0030091C">
      <w:pPr>
        <w:spacing w:before="110" w:line="204" w:lineRule="auto"/>
        <w:ind w:left="829" w:right="1412"/>
        <w:rPr>
          <w:rFonts w:ascii="Calibri"/>
          <w:sz w:val="20"/>
        </w:rPr>
      </w:pPr>
      <w:r>
        <w:rPr>
          <w:rFonts w:ascii="Calibri"/>
          <w:color w:val="003366"/>
          <w:sz w:val="20"/>
        </w:rPr>
        <w:t>There have been no transfers of financial assets or financial liabilities between Level 1 and Level 2 during the current and previous reporting period.</w:t>
      </w:r>
    </w:p>
    <w:p w:rsidR="006C17CB" w:rsidRDefault="006C17CB">
      <w:pPr>
        <w:spacing w:line="204" w:lineRule="auto"/>
        <w:rPr>
          <w:rFonts w:ascii="Calibri"/>
          <w:sz w:val="20"/>
        </w:rPr>
        <w:sectPr w:rsidR="006C17CB">
          <w:type w:val="continuous"/>
          <w:pgSz w:w="11910" w:h="16840"/>
          <w:pgMar w:top="1580" w:right="0" w:bottom="280" w:left="980" w:header="720" w:footer="720" w:gutter="0"/>
          <w:cols w:space="720"/>
        </w:sectPr>
      </w:pPr>
    </w:p>
    <w:p w:rsidR="006C17CB" w:rsidRDefault="006C17CB">
      <w:pPr>
        <w:pStyle w:val="BodyText"/>
        <w:spacing w:before="12"/>
        <w:rPr>
          <w:rFonts w:ascii="Calibri"/>
          <w:sz w:val="12"/>
        </w:rPr>
      </w:pPr>
    </w:p>
    <w:p w:rsidR="006C17CB" w:rsidRDefault="0030091C">
      <w:pPr>
        <w:spacing w:before="15"/>
        <w:ind w:left="829"/>
        <w:rPr>
          <w:rFonts w:ascii="Calibri"/>
          <w:b/>
          <w:sz w:val="20"/>
        </w:rPr>
      </w:pPr>
      <w:r>
        <w:rPr>
          <w:rFonts w:ascii="Calibri"/>
          <w:b/>
          <w:color w:val="003366"/>
          <w:sz w:val="20"/>
        </w:rPr>
        <w:t>Maturity Analysis and Exposure to Interest Rates</w:t>
      </w:r>
    </w:p>
    <w:p w:rsidR="006C17CB" w:rsidRDefault="006C17CB">
      <w:pPr>
        <w:pStyle w:val="BodyText"/>
        <w:rPr>
          <w:rFonts w:ascii="Calibri"/>
          <w:b/>
          <w:sz w:val="16"/>
        </w:rPr>
      </w:pPr>
    </w:p>
    <w:p w:rsidR="006C17CB" w:rsidRDefault="0030091C">
      <w:pPr>
        <w:spacing w:before="1" w:line="204" w:lineRule="auto"/>
        <w:ind w:left="829" w:right="1522"/>
        <w:jc w:val="both"/>
        <w:rPr>
          <w:rFonts w:ascii="Calibri" w:hAnsi="Calibri"/>
          <w:sz w:val="20"/>
        </w:rPr>
      </w:pPr>
      <w:r>
        <w:rPr>
          <w:rFonts w:ascii="Calibri" w:hAnsi="Calibri"/>
          <w:color w:val="003366"/>
          <w:sz w:val="20"/>
        </w:rPr>
        <w:t>The following table sets out the Office’s maturity analysis for financial assets and liabilities as well as the exposure to interest rates,  including  the  weighted  average  interest  rates  by  maturity  period  as  at 30 June 2018. All financial assets and liabilities which have a floating interest rate or are non-interest bearing will mature in 1 year or less. All amounts appearing in the following maturity analysis are shown on an undiscounted cash flow</w:t>
      </w:r>
      <w:r>
        <w:rPr>
          <w:rFonts w:ascii="Calibri" w:hAnsi="Calibri"/>
          <w:color w:val="003366"/>
          <w:spacing w:val="3"/>
          <w:sz w:val="20"/>
        </w:rPr>
        <w:t xml:space="preserve"> </w:t>
      </w:r>
      <w:r>
        <w:rPr>
          <w:rFonts w:ascii="Calibri" w:hAnsi="Calibri"/>
          <w:color w:val="003366"/>
          <w:sz w:val="20"/>
        </w:rPr>
        <w:t>basis.</w:t>
      </w:r>
    </w:p>
    <w:p w:rsidR="006C17CB" w:rsidRDefault="00FE24A7">
      <w:pPr>
        <w:tabs>
          <w:tab w:val="left" w:pos="7923"/>
        </w:tabs>
        <w:spacing w:before="81"/>
        <w:ind w:left="5480"/>
        <w:rPr>
          <w:rFonts w:ascii="Calibri"/>
          <w:b/>
          <w:sz w:val="20"/>
        </w:rPr>
      </w:pPr>
      <w:r>
        <w:pict>
          <v:shape id="_x0000_s1239" type="#_x0000_t202" alt="" style="position:absolute;left:0;text-align:left;margin-left:200.05pt;margin-top:20.65pt;width:321.6pt;height:144.15pt;z-index:2632;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8"/>
                    <w:gridCol w:w="1031"/>
                    <w:gridCol w:w="916"/>
                    <w:gridCol w:w="744"/>
                    <w:gridCol w:w="869"/>
                    <w:gridCol w:w="774"/>
                    <w:gridCol w:w="891"/>
                    <w:gridCol w:w="635"/>
                  </w:tblGrid>
                  <w:tr w:rsidR="0030091C">
                    <w:trPr>
                      <w:trHeight w:val="975"/>
                    </w:trPr>
                    <w:tc>
                      <w:tcPr>
                        <w:tcW w:w="568" w:type="dxa"/>
                      </w:tcPr>
                      <w:p w:rsidR="0030091C" w:rsidRDefault="0030091C">
                        <w:pPr>
                          <w:pStyle w:val="TableParagraph"/>
                          <w:jc w:val="left"/>
                          <w:rPr>
                            <w:sz w:val="20"/>
                          </w:rPr>
                        </w:pPr>
                      </w:p>
                      <w:p w:rsidR="0030091C" w:rsidRDefault="0030091C">
                        <w:pPr>
                          <w:pStyle w:val="TableParagraph"/>
                          <w:spacing w:before="151" w:line="204" w:lineRule="auto"/>
                          <w:ind w:left="107" w:right="89" w:hanging="58"/>
                          <w:jc w:val="left"/>
                          <w:rPr>
                            <w:b/>
                            <w:sz w:val="20"/>
                          </w:rPr>
                        </w:pPr>
                        <w:r>
                          <w:rPr>
                            <w:b/>
                            <w:color w:val="003366"/>
                            <w:sz w:val="20"/>
                          </w:rPr>
                          <w:t>Note No.</w:t>
                        </w:r>
                      </w:p>
                    </w:tc>
                    <w:tc>
                      <w:tcPr>
                        <w:tcW w:w="1031" w:type="dxa"/>
                      </w:tcPr>
                      <w:p w:rsidR="0030091C" w:rsidRDefault="0030091C">
                        <w:pPr>
                          <w:pStyle w:val="TableParagraph"/>
                          <w:spacing w:line="181" w:lineRule="exact"/>
                          <w:ind w:left="108"/>
                          <w:jc w:val="left"/>
                          <w:rPr>
                            <w:b/>
                            <w:sz w:val="20"/>
                          </w:rPr>
                        </w:pPr>
                        <w:r>
                          <w:rPr>
                            <w:b/>
                            <w:color w:val="003366"/>
                            <w:sz w:val="20"/>
                          </w:rPr>
                          <w:t>Weighted</w:t>
                        </w:r>
                      </w:p>
                      <w:p w:rsidR="0030091C" w:rsidRDefault="0030091C">
                        <w:pPr>
                          <w:pStyle w:val="TableParagraph"/>
                          <w:spacing w:before="13" w:line="204" w:lineRule="auto"/>
                          <w:ind w:left="238" w:right="107" w:hanging="6"/>
                          <w:jc w:val="center"/>
                          <w:rPr>
                            <w:b/>
                            <w:sz w:val="20"/>
                          </w:rPr>
                        </w:pPr>
                        <w:r>
                          <w:rPr>
                            <w:b/>
                            <w:color w:val="003366"/>
                            <w:w w:val="95"/>
                            <w:sz w:val="20"/>
                          </w:rPr>
                          <w:t xml:space="preserve">Average </w:t>
                        </w:r>
                        <w:r>
                          <w:rPr>
                            <w:b/>
                            <w:color w:val="003366"/>
                            <w:sz w:val="20"/>
                          </w:rPr>
                          <w:t>Interest</w:t>
                        </w:r>
                      </w:p>
                      <w:p w:rsidR="0030091C" w:rsidRDefault="0030091C">
                        <w:pPr>
                          <w:pStyle w:val="TableParagraph"/>
                          <w:spacing w:line="253" w:lineRule="exact"/>
                          <w:ind w:left="538"/>
                          <w:jc w:val="left"/>
                          <w:rPr>
                            <w:b/>
                            <w:sz w:val="20"/>
                          </w:rPr>
                        </w:pPr>
                        <w:r>
                          <w:rPr>
                            <w:b/>
                            <w:color w:val="003366"/>
                            <w:sz w:val="20"/>
                          </w:rPr>
                          <w:t>Rate</w:t>
                        </w:r>
                      </w:p>
                    </w:tc>
                    <w:tc>
                      <w:tcPr>
                        <w:tcW w:w="916" w:type="dxa"/>
                      </w:tcPr>
                      <w:p w:rsidR="0030091C" w:rsidRDefault="0030091C">
                        <w:pPr>
                          <w:pStyle w:val="TableParagraph"/>
                          <w:spacing w:before="7"/>
                          <w:jc w:val="left"/>
                          <w:rPr>
                            <w:sz w:val="13"/>
                          </w:rPr>
                        </w:pPr>
                      </w:p>
                      <w:p w:rsidR="0030091C" w:rsidRDefault="0030091C">
                        <w:pPr>
                          <w:pStyle w:val="TableParagraph"/>
                          <w:spacing w:line="204" w:lineRule="auto"/>
                          <w:ind w:left="123" w:right="121" w:hanging="15"/>
                          <w:jc w:val="left"/>
                          <w:rPr>
                            <w:b/>
                            <w:sz w:val="20"/>
                          </w:rPr>
                        </w:pPr>
                        <w:r>
                          <w:rPr>
                            <w:b/>
                            <w:color w:val="003366"/>
                            <w:w w:val="95"/>
                            <w:sz w:val="20"/>
                          </w:rPr>
                          <w:t xml:space="preserve">Floating </w:t>
                        </w:r>
                        <w:r>
                          <w:rPr>
                            <w:b/>
                            <w:color w:val="003366"/>
                            <w:sz w:val="20"/>
                          </w:rPr>
                          <w:t>Interest</w:t>
                        </w:r>
                      </w:p>
                      <w:p w:rsidR="0030091C" w:rsidRDefault="0030091C">
                        <w:pPr>
                          <w:pStyle w:val="TableParagraph"/>
                          <w:spacing w:line="253" w:lineRule="exact"/>
                          <w:ind w:left="395"/>
                          <w:jc w:val="left"/>
                          <w:rPr>
                            <w:b/>
                            <w:sz w:val="20"/>
                          </w:rPr>
                        </w:pPr>
                        <w:r>
                          <w:rPr>
                            <w:b/>
                            <w:color w:val="003366"/>
                            <w:sz w:val="20"/>
                          </w:rPr>
                          <w:t>Rate</w:t>
                        </w:r>
                      </w:p>
                    </w:tc>
                    <w:tc>
                      <w:tcPr>
                        <w:tcW w:w="744" w:type="dxa"/>
                      </w:tcPr>
                      <w:p w:rsidR="0030091C" w:rsidRDefault="0030091C">
                        <w:pPr>
                          <w:pStyle w:val="TableParagraph"/>
                          <w:spacing w:line="181" w:lineRule="exact"/>
                          <w:ind w:left="494"/>
                          <w:jc w:val="left"/>
                          <w:rPr>
                            <w:b/>
                            <w:sz w:val="20"/>
                          </w:rPr>
                        </w:pPr>
                        <w:r>
                          <w:rPr>
                            <w:b/>
                            <w:color w:val="003366"/>
                            <w:w w:val="99"/>
                            <w:sz w:val="20"/>
                          </w:rPr>
                          <w:t>1</w:t>
                        </w:r>
                      </w:p>
                      <w:p w:rsidR="0030091C" w:rsidRDefault="0030091C">
                        <w:pPr>
                          <w:pStyle w:val="TableParagraph"/>
                          <w:spacing w:before="13" w:line="204" w:lineRule="auto"/>
                          <w:ind w:left="249" w:right="148" w:hanging="29"/>
                          <w:rPr>
                            <w:b/>
                            <w:sz w:val="20"/>
                          </w:rPr>
                        </w:pPr>
                        <w:r>
                          <w:rPr>
                            <w:b/>
                            <w:color w:val="003366"/>
                            <w:sz w:val="20"/>
                          </w:rPr>
                          <w:t>Year</w:t>
                        </w:r>
                        <w:r>
                          <w:rPr>
                            <w:b/>
                            <w:color w:val="003366"/>
                            <w:w w:val="99"/>
                            <w:sz w:val="20"/>
                          </w:rPr>
                          <w:t xml:space="preserve"> </w:t>
                        </w:r>
                        <w:r>
                          <w:rPr>
                            <w:b/>
                            <w:color w:val="003366"/>
                            <w:w w:val="95"/>
                            <w:sz w:val="20"/>
                          </w:rPr>
                          <w:t>or Less</w:t>
                        </w:r>
                      </w:p>
                    </w:tc>
                    <w:tc>
                      <w:tcPr>
                        <w:tcW w:w="869" w:type="dxa"/>
                      </w:tcPr>
                      <w:p w:rsidR="0030091C" w:rsidRDefault="0030091C">
                        <w:pPr>
                          <w:pStyle w:val="TableParagraph"/>
                          <w:spacing w:before="7"/>
                          <w:jc w:val="left"/>
                          <w:rPr>
                            <w:sz w:val="13"/>
                          </w:rPr>
                        </w:pPr>
                      </w:p>
                      <w:p w:rsidR="0030091C" w:rsidRDefault="0030091C">
                        <w:pPr>
                          <w:pStyle w:val="TableParagraph"/>
                          <w:spacing w:line="204" w:lineRule="auto"/>
                          <w:ind w:left="148" w:right="116" w:firstLine="52"/>
                          <w:jc w:val="both"/>
                          <w:rPr>
                            <w:b/>
                            <w:sz w:val="20"/>
                          </w:rPr>
                        </w:pPr>
                        <w:r>
                          <w:rPr>
                            <w:b/>
                            <w:color w:val="003366"/>
                            <w:sz w:val="20"/>
                          </w:rPr>
                          <w:t>Over 1 Year to 5 Years</w:t>
                        </w:r>
                      </w:p>
                    </w:tc>
                    <w:tc>
                      <w:tcPr>
                        <w:tcW w:w="774" w:type="dxa"/>
                      </w:tcPr>
                      <w:p w:rsidR="0030091C" w:rsidRDefault="0030091C">
                        <w:pPr>
                          <w:pStyle w:val="TableParagraph"/>
                          <w:jc w:val="left"/>
                          <w:rPr>
                            <w:sz w:val="20"/>
                          </w:rPr>
                        </w:pPr>
                      </w:p>
                      <w:p w:rsidR="0030091C" w:rsidRDefault="0030091C">
                        <w:pPr>
                          <w:pStyle w:val="TableParagraph"/>
                          <w:spacing w:before="151" w:line="204" w:lineRule="auto"/>
                          <w:ind w:left="213" w:right="86" w:hanging="94"/>
                          <w:jc w:val="left"/>
                          <w:rPr>
                            <w:b/>
                            <w:sz w:val="20"/>
                          </w:rPr>
                        </w:pPr>
                        <w:r>
                          <w:rPr>
                            <w:b/>
                            <w:color w:val="003366"/>
                            <w:sz w:val="20"/>
                          </w:rPr>
                          <w:t>Over 5 Years</w:t>
                        </w:r>
                      </w:p>
                    </w:tc>
                    <w:tc>
                      <w:tcPr>
                        <w:tcW w:w="891" w:type="dxa"/>
                      </w:tcPr>
                      <w:p w:rsidR="0030091C" w:rsidRDefault="0030091C">
                        <w:pPr>
                          <w:pStyle w:val="TableParagraph"/>
                          <w:spacing w:before="7"/>
                          <w:jc w:val="left"/>
                          <w:rPr>
                            <w:sz w:val="13"/>
                          </w:rPr>
                        </w:pPr>
                      </w:p>
                      <w:p w:rsidR="0030091C" w:rsidRDefault="0030091C">
                        <w:pPr>
                          <w:pStyle w:val="TableParagraph"/>
                          <w:spacing w:line="204" w:lineRule="auto"/>
                          <w:ind w:left="108" w:right="126" w:firstLine="244"/>
                          <w:jc w:val="both"/>
                          <w:rPr>
                            <w:b/>
                            <w:sz w:val="20"/>
                          </w:rPr>
                        </w:pPr>
                        <w:r>
                          <w:rPr>
                            <w:b/>
                            <w:color w:val="003366"/>
                            <w:sz w:val="20"/>
                          </w:rPr>
                          <w:t>Non- Interest Bearing</w:t>
                        </w:r>
                      </w:p>
                    </w:tc>
                    <w:tc>
                      <w:tcPr>
                        <w:tcW w:w="635" w:type="dxa"/>
                      </w:tcPr>
                      <w:p w:rsidR="0030091C" w:rsidRDefault="0030091C">
                        <w:pPr>
                          <w:pStyle w:val="TableParagraph"/>
                          <w:jc w:val="left"/>
                          <w:rPr>
                            <w:sz w:val="20"/>
                          </w:rPr>
                        </w:pPr>
                      </w:p>
                      <w:p w:rsidR="0030091C" w:rsidRDefault="0030091C">
                        <w:pPr>
                          <w:pStyle w:val="TableParagraph"/>
                          <w:jc w:val="left"/>
                          <w:rPr>
                            <w:sz w:val="25"/>
                          </w:rPr>
                        </w:pPr>
                      </w:p>
                      <w:p w:rsidR="0030091C" w:rsidRDefault="0030091C">
                        <w:pPr>
                          <w:pStyle w:val="TableParagraph"/>
                          <w:ind w:right="46"/>
                          <w:rPr>
                            <w:b/>
                            <w:sz w:val="20"/>
                          </w:rPr>
                        </w:pPr>
                        <w:r>
                          <w:rPr>
                            <w:b/>
                            <w:color w:val="003366"/>
                            <w:sz w:val="20"/>
                          </w:rPr>
                          <w:t>Total</w:t>
                        </w:r>
                      </w:p>
                    </w:tc>
                  </w:tr>
                  <w:tr w:rsidR="0030091C">
                    <w:trPr>
                      <w:trHeight w:val="832"/>
                    </w:trPr>
                    <w:tc>
                      <w:tcPr>
                        <w:tcW w:w="568" w:type="dxa"/>
                      </w:tcPr>
                      <w:p w:rsidR="0030091C" w:rsidRDefault="0030091C">
                        <w:pPr>
                          <w:pStyle w:val="TableParagraph"/>
                          <w:jc w:val="left"/>
                          <w:rPr>
                            <w:rFonts w:ascii="Times New Roman"/>
                            <w:sz w:val="20"/>
                          </w:rPr>
                        </w:pPr>
                      </w:p>
                    </w:tc>
                    <w:tc>
                      <w:tcPr>
                        <w:tcW w:w="1031" w:type="dxa"/>
                      </w:tcPr>
                      <w:p w:rsidR="0030091C" w:rsidRDefault="0030091C">
                        <w:pPr>
                          <w:pStyle w:val="TableParagraph"/>
                          <w:jc w:val="left"/>
                          <w:rPr>
                            <w:rFonts w:ascii="Times New Roman"/>
                            <w:sz w:val="20"/>
                          </w:rPr>
                        </w:pPr>
                      </w:p>
                    </w:tc>
                    <w:tc>
                      <w:tcPr>
                        <w:tcW w:w="916" w:type="dxa"/>
                      </w:tcPr>
                      <w:p w:rsidR="0030091C" w:rsidRDefault="0030091C">
                        <w:pPr>
                          <w:pStyle w:val="TableParagraph"/>
                          <w:spacing w:line="245" w:lineRule="exact"/>
                          <w:ind w:right="139"/>
                          <w:rPr>
                            <w:b/>
                            <w:sz w:val="20"/>
                          </w:rPr>
                        </w:pPr>
                        <w:r>
                          <w:rPr>
                            <w:b/>
                            <w:color w:val="003366"/>
                            <w:w w:val="95"/>
                            <w:sz w:val="20"/>
                          </w:rPr>
                          <w:t>$’000</w:t>
                        </w:r>
                      </w:p>
                    </w:tc>
                    <w:tc>
                      <w:tcPr>
                        <w:tcW w:w="744" w:type="dxa"/>
                      </w:tcPr>
                      <w:p w:rsidR="0030091C" w:rsidRDefault="0030091C">
                        <w:pPr>
                          <w:pStyle w:val="TableParagraph"/>
                          <w:spacing w:line="245" w:lineRule="exact"/>
                          <w:ind w:right="149"/>
                          <w:rPr>
                            <w:b/>
                            <w:sz w:val="20"/>
                          </w:rPr>
                        </w:pPr>
                        <w:r>
                          <w:rPr>
                            <w:b/>
                            <w:color w:val="003366"/>
                            <w:w w:val="95"/>
                            <w:sz w:val="20"/>
                          </w:rPr>
                          <w:t>$’000</w:t>
                        </w:r>
                      </w:p>
                    </w:tc>
                    <w:tc>
                      <w:tcPr>
                        <w:tcW w:w="869" w:type="dxa"/>
                      </w:tcPr>
                      <w:p w:rsidR="0030091C" w:rsidRDefault="0030091C">
                        <w:pPr>
                          <w:pStyle w:val="TableParagraph"/>
                          <w:spacing w:line="245" w:lineRule="exact"/>
                          <w:ind w:right="120"/>
                          <w:rPr>
                            <w:b/>
                            <w:sz w:val="20"/>
                          </w:rPr>
                        </w:pPr>
                        <w:r>
                          <w:rPr>
                            <w:b/>
                            <w:color w:val="003366"/>
                            <w:w w:val="95"/>
                            <w:sz w:val="20"/>
                          </w:rPr>
                          <w:t>$’000</w:t>
                        </w:r>
                      </w:p>
                    </w:tc>
                    <w:tc>
                      <w:tcPr>
                        <w:tcW w:w="774" w:type="dxa"/>
                      </w:tcPr>
                      <w:p w:rsidR="0030091C" w:rsidRDefault="0030091C">
                        <w:pPr>
                          <w:pStyle w:val="TableParagraph"/>
                          <w:spacing w:line="245" w:lineRule="exact"/>
                          <w:ind w:right="107"/>
                          <w:rPr>
                            <w:b/>
                            <w:sz w:val="20"/>
                          </w:rPr>
                        </w:pPr>
                        <w:r>
                          <w:rPr>
                            <w:b/>
                            <w:color w:val="003366"/>
                            <w:w w:val="95"/>
                            <w:sz w:val="20"/>
                          </w:rPr>
                          <w:t>$’000</w:t>
                        </w:r>
                      </w:p>
                    </w:tc>
                    <w:tc>
                      <w:tcPr>
                        <w:tcW w:w="891" w:type="dxa"/>
                      </w:tcPr>
                      <w:p w:rsidR="0030091C" w:rsidRDefault="0030091C">
                        <w:pPr>
                          <w:pStyle w:val="TableParagraph"/>
                          <w:spacing w:line="245" w:lineRule="exact"/>
                          <w:ind w:right="129"/>
                          <w:rPr>
                            <w:b/>
                            <w:sz w:val="20"/>
                          </w:rPr>
                        </w:pPr>
                        <w:r>
                          <w:rPr>
                            <w:b/>
                            <w:color w:val="003366"/>
                            <w:w w:val="95"/>
                            <w:sz w:val="20"/>
                          </w:rPr>
                          <w:t>$’000</w:t>
                        </w:r>
                      </w:p>
                    </w:tc>
                    <w:tc>
                      <w:tcPr>
                        <w:tcW w:w="635" w:type="dxa"/>
                      </w:tcPr>
                      <w:p w:rsidR="0030091C" w:rsidRDefault="0030091C">
                        <w:pPr>
                          <w:pStyle w:val="TableParagraph"/>
                          <w:spacing w:line="245" w:lineRule="exact"/>
                          <w:ind w:right="47"/>
                          <w:rPr>
                            <w:b/>
                            <w:sz w:val="20"/>
                          </w:rPr>
                        </w:pPr>
                        <w:r>
                          <w:rPr>
                            <w:b/>
                            <w:color w:val="003366"/>
                            <w:w w:val="95"/>
                            <w:sz w:val="20"/>
                          </w:rPr>
                          <w:t>$’000</w:t>
                        </w:r>
                      </w:p>
                    </w:tc>
                  </w:tr>
                  <w:tr w:rsidR="0030091C">
                    <w:trPr>
                      <w:trHeight w:val="832"/>
                    </w:trPr>
                    <w:tc>
                      <w:tcPr>
                        <w:tcW w:w="568"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left="153"/>
                          <w:jc w:val="left"/>
                          <w:rPr>
                            <w:sz w:val="20"/>
                          </w:rPr>
                        </w:pPr>
                        <w:r>
                          <w:rPr>
                            <w:color w:val="003366"/>
                            <w:sz w:val="20"/>
                          </w:rPr>
                          <w:t>10</w:t>
                        </w:r>
                      </w:p>
                    </w:tc>
                    <w:tc>
                      <w:tcPr>
                        <w:tcW w:w="1031"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left="422"/>
                          <w:jc w:val="left"/>
                          <w:rPr>
                            <w:sz w:val="20"/>
                          </w:rPr>
                        </w:pPr>
                        <w:r>
                          <w:rPr>
                            <w:color w:val="003366"/>
                            <w:sz w:val="20"/>
                          </w:rPr>
                          <w:t>2.35%</w:t>
                        </w:r>
                      </w:p>
                    </w:tc>
                    <w:tc>
                      <w:tcPr>
                        <w:tcW w:w="916"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right="137"/>
                          <w:rPr>
                            <w:sz w:val="20"/>
                          </w:rPr>
                        </w:pPr>
                        <w:r>
                          <w:rPr>
                            <w:color w:val="003366"/>
                            <w:w w:val="95"/>
                            <w:sz w:val="20"/>
                          </w:rPr>
                          <w:t>23</w:t>
                        </w:r>
                      </w:p>
                    </w:tc>
                    <w:tc>
                      <w:tcPr>
                        <w:tcW w:w="744"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right="148"/>
                          <w:rPr>
                            <w:sz w:val="20"/>
                          </w:rPr>
                        </w:pPr>
                        <w:r>
                          <w:rPr>
                            <w:color w:val="003366"/>
                            <w:w w:val="99"/>
                            <w:sz w:val="20"/>
                          </w:rPr>
                          <w:t>-</w:t>
                        </w:r>
                      </w:p>
                    </w:tc>
                    <w:tc>
                      <w:tcPr>
                        <w:tcW w:w="869"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right="119"/>
                          <w:rPr>
                            <w:sz w:val="20"/>
                          </w:rPr>
                        </w:pPr>
                        <w:r>
                          <w:rPr>
                            <w:color w:val="003366"/>
                            <w:w w:val="99"/>
                            <w:sz w:val="20"/>
                          </w:rPr>
                          <w:t>-</w:t>
                        </w:r>
                      </w:p>
                    </w:tc>
                    <w:tc>
                      <w:tcPr>
                        <w:tcW w:w="774"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right="106"/>
                          <w:rPr>
                            <w:sz w:val="20"/>
                          </w:rPr>
                        </w:pPr>
                        <w:r>
                          <w:rPr>
                            <w:color w:val="003366"/>
                            <w:w w:val="99"/>
                            <w:sz w:val="20"/>
                          </w:rPr>
                          <w:t>-</w:t>
                        </w:r>
                      </w:p>
                    </w:tc>
                    <w:tc>
                      <w:tcPr>
                        <w:tcW w:w="891"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right="127"/>
                          <w:rPr>
                            <w:sz w:val="20"/>
                          </w:rPr>
                        </w:pPr>
                        <w:r>
                          <w:rPr>
                            <w:color w:val="003366"/>
                            <w:w w:val="99"/>
                            <w:sz w:val="20"/>
                          </w:rPr>
                          <w:t>1</w:t>
                        </w:r>
                      </w:p>
                    </w:tc>
                    <w:tc>
                      <w:tcPr>
                        <w:tcW w:w="635"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right="44"/>
                          <w:rPr>
                            <w:sz w:val="20"/>
                          </w:rPr>
                        </w:pPr>
                        <w:r>
                          <w:rPr>
                            <w:color w:val="003366"/>
                            <w:w w:val="95"/>
                            <w:sz w:val="20"/>
                          </w:rPr>
                          <w:t>24</w:t>
                        </w:r>
                      </w:p>
                    </w:tc>
                  </w:tr>
                  <w:tr w:rsidR="0030091C">
                    <w:trPr>
                      <w:trHeight w:val="241"/>
                    </w:trPr>
                    <w:tc>
                      <w:tcPr>
                        <w:tcW w:w="568" w:type="dxa"/>
                      </w:tcPr>
                      <w:p w:rsidR="0030091C" w:rsidRDefault="0030091C">
                        <w:pPr>
                          <w:pStyle w:val="TableParagraph"/>
                          <w:spacing w:line="221" w:lineRule="exact"/>
                          <w:ind w:left="153"/>
                          <w:jc w:val="left"/>
                          <w:rPr>
                            <w:sz w:val="20"/>
                          </w:rPr>
                        </w:pPr>
                        <w:r>
                          <w:rPr>
                            <w:color w:val="003366"/>
                            <w:sz w:val="20"/>
                          </w:rPr>
                          <w:t>11</w:t>
                        </w:r>
                      </w:p>
                    </w:tc>
                    <w:tc>
                      <w:tcPr>
                        <w:tcW w:w="1031" w:type="dxa"/>
                      </w:tcPr>
                      <w:p w:rsidR="0030091C" w:rsidRDefault="0030091C">
                        <w:pPr>
                          <w:pStyle w:val="TableParagraph"/>
                          <w:jc w:val="left"/>
                          <w:rPr>
                            <w:rFonts w:ascii="Times New Roman"/>
                            <w:sz w:val="16"/>
                          </w:rPr>
                        </w:pPr>
                      </w:p>
                    </w:tc>
                    <w:tc>
                      <w:tcPr>
                        <w:tcW w:w="916" w:type="dxa"/>
                      </w:tcPr>
                      <w:p w:rsidR="0030091C" w:rsidRDefault="0030091C">
                        <w:pPr>
                          <w:pStyle w:val="TableParagraph"/>
                          <w:spacing w:line="221" w:lineRule="exact"/>
                          <w:ind w:right="138"/>
                          <w:rPr>
                            <w:sz w:val="20"/>
                          </w:rPr>
                        </w:pPr>
                        <w:r>
                          <w:rPr>
                            <w:color w:val="003366"/>
                            <w:w w:val="99"/>
                            <w:sz w:val="20"/>
                          </w:rPr>
                          <w:t>-</w:t>
                        </w:r>
                      </w:p>
                    </w:tc>
                    <w:tc>
                      <w:tcPr>
                        <w:tcW w:w="744" w:type="dxa"/>
                      </w:tcPr>
                      <w:p w:rsidR="0030091C" w:rsidRDefault="0030091C">
                        <w:pPr>
                          <w:pStyle w:val="TableParagraph"/>
                          <w:spacing w:line="221" w:lineRule="exact"/>
                          <w:ind w:right="148"/>
                          <w:rPr>
                            <w:sz w:val="20"/>
                          </w:rPr>
                        </w:pPr>
                        <w:r>
                          <w:rPr>
                            <w:color w:val="003366"/>
                            <w:w w:val="99"/>
                            <w:sz w:val="20"/>
                          </w:rPr>
                          <w:t>-</w:t>
                        </w:r>
                      </w:p>
                    </w:tc>
                    <w:tc>
                      <w:tcPr>
                        <w:tcW w:w="869" w:type="dxa"/>
                      </w:tcPr>
                      <w:p w:rsidR="0030091C" w:rsidRDefault="0030091C">
                        <w:pPr>
                          <w:pStyle w:val="TableParagraph"/>
                          <w:spacing w:line="221" w:lineRule="exact"/>
                          <w:ind w:right="119"/>
                          <w:rPr>
                            <w:sz w:val="20"/>
                          </w:rPr>
                        </w:pPr>
                        <w:r>
                          <w:rPr>
                            <w:color w:val="003366"/>
                            <w:w w:val="99"/>
                            <w:sz w:val="20"/>
                          </w:rPr>
                          <w:t>-</w:t>
                        </w:r>
                      </w:p>
                    </w:tc>
                    <w:tc>
                      <w:tcPr>
                        <w:tcW w:w="774" w:type="dxa"/>
                      </w:tcPr>
                      <w:p w:rsidR="0030091C" w:rsidRDefault="0030091C">
                        <w:pPr>
                          <w:pStyle w:val="TableParagraph"/>
                          <w:spacing w:line="221" w:lineRule="exact"/>
                          <w:ind w:right="106"/>
                          <w:rPr>
                            <w:sz w:val="20"/>
                          </w:rPr>
                        </w:pPr>
                        <w:r>
                          <w:rPr>
                            <w:color w:val="003366"/>
                            <w:w w:val="99"/>
                            <w:sz w:val="20"/>
                          </w:rPr>
                          <w:t>-</w:t>
                        </w:r>
                      </w:p>
                    </w:tc>
                    <w:tc>
                      <w:tcPr>
                        <w:tcW w:w="891" w:type="dxa"/>
                      </w:tcPr>
                      <w:p w:rsidR="0030091C" w:rsidRDefault="0030091C">
                        <w:pPr>
                          <w:pStyle w:val="TableParagraph"/>
                          <w:spacing w:line="221" w:lineRule="exact"/>
                          <w:ind w:right="129"/>
                          <w:rPr>
                            <w:sz w:val="20"/>
                          </w:rPr>
                        </w:pPr>
                        <w:r>
                          <w:rPr>
                            <w:color w:val="003366"/>
                            <w:w w:val="95"/>
                            <w:sz w:val="20"/>
                          </w:rPr>
                          <w:t>2,251</w:t>
                        </w:r>
                      </w:p>
                    </w:tc>
                    <w:tc>
                      <w:tcPr>
                        <w:tcW w:w="635" w:type="dxa"/>
                      </w:tcPr>
                      <w:p w:rsidR="0030091C" w:rsidRDefault="0030091C">
                        <w:pPr>
                          <w:pStyle w:val="TableParagraph"/>
                          <w:spacing w:line="221" w:lineRule="exact"/>
                          <w:ind w:right="47"/>
                          <w:rPr>
                            <w:sz w:val="20"/>
                          </w:rPr>
                        </w:pPr>
                        <w:r>
                          <w:rPr>
                            <w:color w:val="003366"/>
                            <w:w w:val="95"/>
                            <w:sz w:val="20"/>
                          </w:rPr>
                          <w:t>2,251</w:t>
                        </w:r>
                      </w:p>
                    </w:tc>
                  </w:tr>
                </w:tbl>
                <w:p w:rsidR="0030091C" w:rsidRDefault="0030091C">
                  <w:pPr>
                    <w:pStyle w:val="BodyText"/>
                  </w:pPr>
                </w:p>
              </w:txbxContent>
            </v:textbox>
            <w10:wrap anchorx="page"/>
          </v:shape>
        </w:pict>
      </w:r>
      <w:r w:rsidR="0030091C">
        <w:rPr>
          <w:rFonts w:ascii="Calibri"/>
          <w:b/>
          <w:color w:val="003366"/>
          <w:sz w:val="20"/>
          <w:u w:val="single" w:color="003366"/>
        </w:rPr>
        <w:t>Fixed Interest Maturing</w:t>
      </w:r>
      <w:r w:rsidR="0030091C">
        <w:rPr>
          <w:rFonts w:ascii="Calibri"/>
          <w:b/>
          <w:color w:val="003366"/>
          <w:spacing w:val="-10"/>
          <w:sz w:val="20"/>
          <w:u w:val="single" w:color="003366"/>
        </w:rPr>
        <w:t xml:space="preserve"> </w:t>
      </w:r>
      <w:r w:rsidR="0030091C">
        <w:rPr>
          <w:rFonts w:ascii="Calibri"/>
          <w:b/>
          <w:color w:val="003366"/>
          <w:sz w:val="20"/>
          <w:u w:val="single" w:color="003366"/>
        </w:rPr>
        <w:t>In:</w:t>
      </w:r>
      <w:r w:rsidR="0030091C">
        <w:rPr>
          <w:rFonts w:ascii="Calibri"/>
          <w:b/>
          <w:color w:val="003366"/>
          <w:sz w:val="20"/>
          <w:u w:val="single" w:color="003366"/>
        </w:rPr>
        <w:tab/>
      </w:r>
    </w:p>
    <w:p w:rsidR="006C17CB" w:rsidRDefault="006C17CB">
      <w:pPr>
        <w:pStyle w:val="BodyText"/>
        <w:rPr>
          <w:rFonts w:ascii="Calibri"/>
          <w:b/>
          <w:sz w:val="20"/>
        </w:rPr>
      </w:pPr>
    </w:p>
    <w:p w:rsidR="006C17CB" w:rsidRDefault="006C17CB">
      <w:pPr>
        <w:pStyle w:val="BodyText"/>
        <w:spacing w:before="1"/>
        <w:rPr>
          <w:rFonts w:ascii="Calibri"/>
          <w:b/>
          <w:sz w:val="28"/>
        </w:rPr>
      </w:pPr>
    </w:p>
    <w:p w:rsidR="006C17CB" w:rsidRDefault="0030091C">
      <w:pPr>
        <w:ind w:left="829"/>
        <w:rPr>
          <w:rFonts w:ascii="Calibri"/>
          <w:b/>
          <w:sz w:val="20"/>
        </w:rPr>
      </w:pPr>
      <w:r>
        <w:rPr>
          <w:rFonts w:ascii="Calibri"/>
          <w:b/>
          <w:color w:val="003366"/>
          <w:sz w:val="20"/>
        </w:rPr>
        <w:t>2018</w:t>
      </w:r>
    </w:p>
    <w:p w:rsidR="006C17CB" w:rsidRDefault="0030091C">
      <w:pPr>
        <w:spacing w:line="570" w:lineRule="atLeast"/>
        <w:ind w:left="829" w:right="8292"/>
        <w:rPr>
          <w:rFonts w:ascii="Calibri"/>
          <w:b/>
          <w:sz w:val="20"/>
        </w:rPr>
      </w:pPr>
      <w:r>
        <w:rPr>
          <w:rFonts w:ascii="Calibri"/>
          <w:b/>
          <w:color w:val="003366"/>
          <w:sz w:val="20"/>
        </w:rPr>
        <w:t>Financial Instruments Financial Assets</w:t>
      </w:r>
    </w:p>
    <w:p w:rsidR="006C17CB" w:rsidRDefault="0030091C">
      <w:pPr>
        <w:spacing w:before="30" w:line="201" w:lineRule="auto"/>
        <w:ind w:left="1112" w:right="8862" w:hanging="284"/>
        <w:rPr>
          <w:rFonts w:ascii="Calibri"/>
          <w:sz w:val="20"/>
        </w:rPr>
      </w:pPr>
      <w:r>
        <w:rPr>
          <w:rFonts w:ascii="Calibri"/>
          <w:color w:val="003366"/>
          <w:sz w:val="20"/>
        </w:rPr>
        <w:t>Cash and Cash Equivalents</w:t>
      </w:r>
    </w:p>
    <w:p w:rsidR="006C17CB" w:rsidRDefault="0030091C">
      <w:pPr>
        <w:spacing w:before="7"/>
        <w:ind w:left="829"/>
        <w:rPr>
          <w:rFonts w:ascii="Calibri"/>
          <w:sz w:val="20"/>
        </w:rPr>
      </w:pPr>
      <w:r>
        <w:rPr>
          <w:rFonts w:ascii="Calibri"/>
          <w:color w:val="003366"/>
          <w:sz w:val="20"/>
        </w:rPr>
        <w:t>Investments</w:t>
      </w:r>
    </w:p>
    <w:p w:rsidR="006C17CB" w:rsidRDefault="006C17CB">
      <w:pPr>
        <w:pStyle w:val="BodyText"/>
        <w:spacing w:before="10"/>
        <w:rPr>
          <w:rFonts w:ascii="Calibri"/>
          <w:sz w:val="5"/>
        </w:rPr>
      </w:pPr>
    </w:p>
    <w:tbl>
      <w:tblPr>
        <w:tblW w:w="0" w:type="auto"/>
        <w:tblInd w:w="779" w:type="dxa"/>
        <w:tblLayout w:type="fixed"/>
        <w:tblCellMar>
          <w:left w:w="0" w:type="dxa"/>
          <w:right w:w="0" w:type="dxa"/>
        </w:tblCellMar>
        <w:tblLook w:val="01E0" w:firstRow="1" w:lastRow="1" w:firstColumn="1" w:lastColumn="1" w:noHBand="0" w:noVBand="0"/>
      </w:tblPr>
      <w:tblGrid>
        <w:gridCol w:w="2112"/>
        <w:gridCol w:w="1725"/>
        <w:gridCol w:w="4893"/>
      </w:tblGrid>
      <w:tr w:rsidR="006C17CB">
        <w:trPr>
          <w:trHeight w:val="243"/>
        </w:trPr>
        <w:tc>
          <w:tcPr>
            <w:tcW w:w="2112" w:type="dxa"/>
          </w:tcPr>
          <w:p w:rsidR="006C17CB" w:rsidRDefault="0030091C">
            <w:pPr>
              <w:pStyle w:val="TableParagraph"/>
              <w:spacing w:line="203" w:lineRule="exact"/>
              <w:ind w:left="50"/>
              <w:jc w:val="left"/>
              <w:rPr>
                <w:sz w:val="20"/>
              </w:rPr>
            </w:pPr>
            <w:r>
              <w:rPr>
                <w:color w:val="003366"/>
                <w:sz w:val="20"/>
              </w:rPr>
              <w:t>Receivables</w:t>
            </w:r>
          </w:p>
        </w:tc>
        <w:tc>
          <w:tcPr>
            <w:tcW w:w="1725" w:type="dxa"/>
          </w:tcPr>
          <w:p w:rsidR="006C17CB" w:rsidRDefault="0030091C">
            <w:pPr>
              <w:pStyle w:val="TableParagraph"/>
              <w:spacing w:line="203" w:lineRule="exact"/>
              <w:ind w:left="282"/>
              <w:jc w:val="left"/>
              <w:rPr>
                <w:sz w:val="20"/>
              </w:rPr>
            </w:pPr>
            <w:r>
              <w:rPr>
                <w:color w:val="003366"/>
                <w:sz w:val="20"/>
              </w:rPr>
              <w:t>12</w:t>
            </w:r>
          </w:p>
        </w:tc>
        <w:tc>
          <w:tcPr>
            <w:tcW w:w="4893" w:type="dxa"/>
          </w:tcPr>
          <w:p w:rsidR="006C17CB" w:rsidRDefault="0030091C">
            <w:pPr>
              <w:pStyle w:val="TableParagraph"/>
              <w:tabs>
                <w:tab w:val="left" w:pos="717"/>
                <w:tab w:val="left" w:pos="1451"/>
                <w:tab w:val="left" w:pos="2349"/>
                <w:tab w:val="left" w:pos="3136"/>
                <w:tab w:val="left" w:pos="3866"/>
                <w:tab w:val="left" w:pos="4583"/>
              </w:tabs>
              <w:spacing w:line="203" w:lineRule="exact"/>
              <w:ind w:right="-15"/>
              <w:rPr>
                <w:sz w:val="20"/>
              </w:rPr>
            </w:pPr>
            <w:r>
              <w:rPr>
                <w:color w:val="003366"/>
                <w:w w:val="99"/>
                <w:sz w:val="20"/>
                <w:u w:val="single" w:color="003366"/>
              </w:rPr>
              <w:t xml:space="preserve"> </w:t>
            </w:r>
            <w:r>
              <w:rPr>
                <w:color w:val="003366"/>
                <w:sz w:val="20"/>
                <w:u w:val="single" w:color="003366"/>
              </w:rPr>
              <w:tab/>
              <w:t>-</w:t>
            </w:r>
            <w:r>
              <w:rPr>
                <w:color w:val="003366"/>
                <w:sz w:val="20"/>
                <w:u w:val="single" w:color="003366"/>
              </w:rPr>
              <w:tab/>
              <w:t>-</w:t>
            </w:r>
            <w:r>
              <w:rPr>
                <w:color w:val="003366"/>
                <w:sz w:val="20"/>
                <w:u w:val="single" w:color="003366"/>
              </w:rPr>
              <w:tab/>
              <w:t>-</w:t>
            </w:r>
            <w:r>
              <w:rPr>
                <w:color w:val="003366"/>
                <w:sz w:val="20"/>
                <w:u w:val="single" w:color="003366"/>
              </w:rPr>
              <w:tab/>
              <w:t>-</w:t>
            </w:r>
            <w:r>
              <w:rPr>
                <w:color w:val="003366"/>
                <w:sz w:val="20"/>
                <w:u w:val="single" w:color="003366"/>
              </w:rPr>
              <w:tab/>
              <w:t>27</w:t>
            </w:r>
            <w:r>
              <w:rPr>
                <w:color w:val="003366"/>
                <w:sz w:val="20"/>
                <w:u w:val="single" w:color="003366"/>
              </w:rPr>
              <w:tab/>
            </w:r>
            <w:r>
              <w:rPr>
                <w:color w:val="003366"/>
                <w:spacing w:val="-1"/>
                <w:sz w:val="20"/>
                <w:u w:val="single" w:color="003366"/>
              </w:rPr>
              <w:t>27</w:t>
            </w:r>
            <w:r>
              <w:rPr>
                <w:color w:val="003366"/>
                <w:spacing w:val="16"/>
                <w:sz w:val="20"/>
                <w:u w:val="single" w:color="003366"/>
              </w:rPr>
              <w:t xml:space="preserve"> </w:t>
            </w:r>
          </w:p>
        </w:tc>
      </w:tr>
      <w:tr w:rsidR="006C17CB">
        <w:trPr>
          <w:trHeight w:val="430"/>
        </w:trPr>
        <w:tc>
          <w:tcPr>
            <w:tcW w:w="2112" w:type="dxa"/>
          </w:tcPr>
          <w:p w:rsidR="006C17CB" w:rsidRDefault="0030091C">
            <w:pPr>
              <w:pStyle w:val="TableParagraph"/>
              <w:spacing w:line="248" w:lineRule="exact"/>
              <w:ind w:left="50"/>
              <w:jc w:val="left"/>
              <w:rPr>
                <w:b/>
                <w:sz w:val="20"/>
              </w:rPr>
            </w:pPr>
            <w:r>
              <w:rPr>
                <w:b/>
                <w:color w:val="003366"/>
                <w:sz w:val="20"/>
              </w:rPr>
              <w:t>Total Financial Assets</w:t>
            </w:r>
          </w:p>
        </w:tc>
        <w:tc>
          <w:tcPr>
            <w:tcW w:w="1725" w:type="dxa"/>
          </w:tcPr>
          <w:p w:rsidR="006C17CB" w:rsidRDefault="006C17CB">
            <w:pPr>
              <w:pStyle w:val="TableParagraph"/>
              <w:jc w:val="left"/>
              <w:rPr>
                <w:rFonts w:ascii="Times New Roman"/>
                <w:sz w:val="20"/>
              </w:rPr>
            </w:pPr>
          </w:p>
        </w:tc>
        <w:tc>
          <w:tcPr>
            <w:tcW w:w="4893" w:type="dxa"/>
          </w:tcPr>
          <w:p w:rsidR="006C17CB" w:rsidRDefault="0030091C">
            <w:pPr>
              <w:pStyle w:val="TableParagraph"/>
              <w:tabs>
                <w:tab w:val="left" w:pos="578"/>
                <w:tab w:val="left" w:pos="1451"/>
                <w:tab w:val="left" w:pos="2349"/>
                <w:tab w:val="left" w:pos="3136"/>
                <w:tab w:val="left" w:pos="3611"/>
                <w:tab w:val="left" w:pos="4329"/>
              </w:tabs>
              <w:spacing w:line="248" w:lineRule="exact"/>
              <w:ind w:right="-15"/>
              <w:rPr>
                <w:b/>
                <w:sz w:val="20"/>
              </w:rPr>
            </w:pPr>
            <w:r>
              <w:rPr>
                <w:b/>
                <w:color w:val="003366"/>
                <w:w w:val="99"/>
                <w:sz w:val="20"/>
                <w:u w:val="single" w:color="003366"/>
              </w:rPr>
              <w:t xml:space="preserve"> </w:t>
            </w:r>
            <w:r>
              <w:rPr>
                <w:b/>
                <w:color w:val="003366"/>
                <w:sz w:val="20"/>
                <w:u w:val="single" w:color="003366"/>
              </w:rPr>
              <w:tab/>
              <w:t>23</w:t>
            </w:r>
            <w:r>
              <w:rPr>
                <w:b/>
                <w:color w:val="003366"/>
                <w:sz w:val="20"/>
                <w:u w:val="single" w:color="003366"/>
              </w:rPr>
              <w:tab/>
              <w:t>-</w:t>
            </w:r>
            <w:r>
              <w:rPr>
                <w:b/>
                <w:color w:val="003366"/>
                <w:sz w:val="20"/>
                <w:u w:val="single" w:color="003366"/>
              </w:rPr>
              <w:tab/>
              <w:t>-</w:t>
            </w:r>
            <w:r>
              <w:rPr>
                <w:b/>
                <w:color w:val="003366"/>
                <w:sz w:val="20"/>
                <w:u w:val="single" w:color="003366"/>
              </w:rPr>
              <w:tab/>
              <w:t>-</w:t>
            </w:r>
            <w:r>
              <w:rPr>
                <w:b/>
                <w:color w:val="003366"/>
                <w:sz w:val="20"/>
                <w:u w:val="single" w:color="003366"/>
              </w:rPr>
              <w:tab/>
              <w:t>2,279</w:t>
            </w:r>
            <w:r>
              <w:rPr>
                <w:b/>
                <w:color w:val="003366"/>
                <w:sz w:val="20"/>
                <w:u w:val="single" w:color="003366"/>
              </w:rPr>
              <w:tab/>
            </w:r>
            <w:r>
              <w:rPr>
                <w:b/>
                <w:color w:val="003366"/>
                <w:spacing w:val="-1"/>
                <w:w w:val="95"/>
                <w:sz w:val="20"/>
                <w:u w:val="single" w:color="003366"/>
              </w:rPr>
              <w:t>2,302</w:t>
            </w:r>
            <w:r>
              <w:rPr>
                <w:b/>
                <w:color w:val="003366"/>
                <w:spacing w:val="18"/>
                <w:sz w:val="20"/>
                <w:u w:val="single" w:color="003366"/>
              </w:rPr>
              <w:t xml:space="preserve"> </w:t>
            </w:r>
          </w:p>
        </w:tc>
      </w:tr>
      <w:tr w:rsidR="006C17CB">
        <w:trPr>
          <w:trHeight w:val="429"/>
        </w:trPr>
        <w:tc>
          <w:tcPr>
            <w:tcW w:w="2112" w:type="dxa"/>
          </w:tcPr>
          <w:p w:rsidR="006C17CB" w:rsidRDefault="0030091C">
            <w:pPr>
              <w:pStyle w:val="TableParagraph"/>
              <w:spacing w:before="102"/>
              <w:ind w:left="50"/>
              <w:jc w:val="left"/>
              <w:rPr>
                <w:b/>
                <w:sz w:val="20"/>
              </w:rPr>
            </w:pPr>
            <w:r>
              <w:rPr>
                <w:b/>
                <w:color w:val="003366"/>
                <w:sz w:val="20"/>
              </w:rPr>
              <w:t>Financial Liabilities</w:t>
            </w:r>
          </w:p>
        </w:tc>
        <w:tc>
          <w:tcPr>
            <w:tcW w:w="1725" w:type="dxa"/>
          </w:tcPr>
          <w:p w:rsidR="006C17CB" w:rsidRDefault="006C17CB">
            <w:pPr>
              <w:pStyle w:val="TableParagraph"/>
              <w:jc w:val="left"/>
              <w:rPr>
                <w:rFonts w:ascii="Times New Roman"/>
                <w:sz w:val="20"/>
              </w:rPr>
            </w:pPr>
          </w:p>
        </w:tc>
        <w:tc>
          <w:tcPr>
            <w:tcW w:w="4893" w:type="dxa"/>
          </w:tcPr>
          <w:p w:rsidR="006C17CB" w:rsidRDefault="006C17CB">
            <w:pPr>
              <w:pStyle w:val="TableParagraph"/>
              <w:jc w:val="left"/>
              <w:rPr>
                <w:rFonts w:ascii="Times New Roman"/>
                <w:sz w:val="20"/>
              </w:rPr>
            </w:pPr>
          </w:p>
        </w:tc>
      </w:tr>
      <w:tr w:rsidR="006C17CB">
        <w:trPr>
          <w:trHeight w:val="286"/>
        </w:trPr>
        <w:tc>
          <w:tcPr>
            <w:tcW w:w="2112" w:type="dxa"/>
          </w:tcPr>
          <w:p w:rsidR="006C17CB" w:rsidRDefault="0030091C">
            <w:pPr>
              <w:pStyle w:val="TableParagraph"/>
              <w:spacing w:line="246" w:lineRule="exact"/>
              <w:ind w:left="50"/>
              <w:jc w:val="left"/>
              <w:rPr>
                <w:sz w:val="20"/>
              </w:rPr>
            </w:pPr>
            <w:r>
              <w:rPr>
                <w:color w:val="003366"/>
                <w:sz w:val="20"/>
              </w:rPr>
              <w:t>Payables</w:t>
            </w:r>
          </w:p>
        </w:tc>
        <w:tc>
          <w:tcPr>
            <w:tcW w:w="1725" w:type="dxa"/>
          </w:tcPr>
          <w:p w:rsidR="006C17CB" w:rsidRDefault="0030091C">
            <w:pPr>
              <w:pStyle w:val="TableParagraph"/>
              <w:spacing w:line="246" w:lineRule="exact"/>
              <w:ind w:left="282"/>
              <w:jc w:val="left"/>
              <w:rPr>
                <w:sz w:val="20"/>
              </w:rPr>
            </w:pPr>
            <w:r>
              <w:rPr>
                <w:color w:val="003366"/>
                <w:sz w:val="20"/>
              </w:rPr>
              <w:t>16</w:t>
            </w:r>
          </w:p>
        </w:tc>
        <w:tc>
          <w:tcPr>
            <w:tcW w:w="4893" w:type="dxa"/>
          </w:tcPr>
          <w:p w:rsidR="006C17CB" w:rsidRDefault="0030091C">
            <w:pPr>
              <w:pStyle w:val="TableParagraph"/>
              <w:tabs>
                <w:tab w:val="left" w:pos="717"/>
                <w:tab w:val="left" w:pos="1451"/>
                <w:tab w:val="left" w:pos="2349"/>
                <w:tab w:val="left" w:pos="3136"/>
                <w:tab w:val="left" w:pos="3763"/>
                <w:tab w:val="left" w:pos="4480"/>
              </w:tabs>
              <w:spacing w:line="246" w:lineRule="exact"/>
              <w:ind w:right="-15"/>
              <w:rPr>
                <w:sz w:val="20"/>
              </w:rPr>
            </w:pPr>
            <w:r>
              <w:rPr>
                <w:color w:val="003366"/>
                <w:w w:val="99"/>
                <w:sz w:val="20"/>
                <w:u w:val="single" w:color="003366"/>
              </w:rPr>
              <w:t xml:space="preserve"> </w:t>
            </w:r>
            <w:r>
              <w:rPr>
                <w:color w:val="003366"/>
                <w:sz w:val="20"/>
                <w:u w:val="single" w:color="003366"/>
              </w:rPr>
              <w:tab/>
              <w:t>-</w:t>
            </w:r>
            <w:r>
              <w:rPr>
                <w:color w:val="003366"/>
                <w:sz w:val="20"/>
                <w:u w:val="single" w:color="003366"/>
              </w:rPr>
              <w:tab/>
              <w:t>-</w:t>
            </w:r>
            <w:r>
              <w:rPr>
                <w:color w:val="003366"/>
                <w:sz w:val="20"/>
                <w:u w:val="single" w:color="003366"/>
              </w:rPr>
              <w:tab/>
              <w:t>-</w:t>
            </w:r>
            <w:r>
              <w:rPr>
                <w:color w:val="003366"/>
                <w:sz w:val="20"/>
                <w:u w:val="single" w:color="003366"/>
              </w:rPr>
              <w:tab/>
              <w:t>-</w:t>
            </w:r>
            <w:r>
              <w:rPr>
                <w:color w:val="003366"/>
                <w:sz w:val="20"/>
                <w:u w:val="single" w:color="003366"/>
              </w:rPr>
              <w:tab/>
              <w:t>288</w:t>
            </w:r>
            <w:r>
              <w:rPr>
                <w:color w:val="003366"/>
                <w:sz w:val="20"/>
                <w:u w:val="single" w:color="003366"/>
              </w:rPr>
              <w:tab/>
            </w:r>
            <w:r>
              <w:rPr>
                <w:color w:val="003366"/>
                <w:spacing w:val="-1"/>
                <w:w w:val="95"/>
                <w:sz w:val="20"/>
                <w:u w:val="single" w:color="003366"/>
              </w:rPr>
              <w:t>288</w:t>
            </w:r>
            <w:r>
              <w:rPr>
                <w:color w:val="003366"/>
                <w:spacing w:val="18"/>
                <w:sz w:val="20"/>
                <w:u w:val="single" w:color="003366"/>
              </w:rPr>
              <w:t xml:space="preserve"> </w:t>
            </w:r>
          </w:p>
        </w:tc>
      </w:tr>
      <w:tr w:rsidR="006C17CB">
        <w:trPr>
          <w:trHeight w:val="781"/>
        </w:trPr>
        <w:tc>
          <w:tcPr>
            <w:tcW w:w="2112" w:type="dxa"/>
          </w:tcPr>
          <w:p w:rsidR="006C17CB" w:rsidRDefault="0030091C">
            <w:pPr>
              <w:pStyle w:val="TableParagraph"/>
              <w:spacing w:line="201" w:lineRule="auto"/>
              <w:ind w:left="50" w:right="838"/>
              <w:jc w:val="left"/>
              <w:rPr>
                <w:b/>
                <w:sz w:val="20"/>
              </w:rPr>
            </w:pPr>
            <w:r>
              <w:rPr>
                <w:b/>
                <w:color w:val="003366"/>
                <w:sz w:val="20"/>
              </w:rPr>
              <w:t>Total Financial Liabilities</w:t>
            </w:r>
          </w:p>
        </w:tc>
        <w:tc>
          <w:tcPr>
            <w:tcW w:w="1725" w:type="dxa"/>
          </w:tcPr>
          <w:p w:rsidR="006C17CB" w:rsidRDefault="006C17CB">
            <w:pPr>
              <w:pStyle w:val="TableParagraph"/>
              <w:jc w:val="left"/>
              <w:rPr>
                <w:rFonts w:ascii="Times New Roman"/>
                <w:sz w:val="20"/>
              </w:rPr>
            </w:pPr>
          </w:p>
        </w:tc>
        <w:tc>
          <w:tcPr>
            <w:tcW w:w="4893" w:type="dxa"/>
            <w:tcBorders>
              <w:bottom w:val="single" w:sz="2" w:space="0" w:color="003366"/>
            </w:tcBorders>
          </w:tcPr>
          <w:p w:rsidR="006C17CB" w:rsidRDefault="006C17CB">
            <w:pPr>
              <w:pStyle w:val="TableParagraph"/>
              <w:spacing w:before="2"/>
              <w:jc w:val="left"/>
              <w:rPr>
                <w:sz w:val="14"/>
              </w:rPr>
            </w:pPr>
          </w:p>
          <w:p w:rsidR="006C17CB" w:rsidRDefault="0030091C">
            <w:pPr>
              <w:pStyle w:val="TableParagraph"/>
              <w:tabs>
                <w:tab w:val="left" w:pos="717"/>
                <w:tab w:val="left" w:pos="1451"/>
                <w:tab w:val="left" w:pos="2349"/>
                <w:tab w:val="left" w:pos="3136"/>
                <w:tab w:val="left" w:pos="3763"/>
                <w:tab w:val="left" w:pos="4480"/>
              </w:tabs>
              <w:ind w:right="-15"/>
              <w:rPr>
                <w:b/>
                <w:sz w:val="20"/>
              </w:rPr>
            </w:pPr>
            <w:r>
              <w:rPr>
                <w:b/>
                <w:color w:val="003366"/>
                <w:w w:val="99"/>
                <w:sz w:val="20"/>
                <w:u w:val="single" w:color="003366"/>
              </w:rPr>
              <w:t xml:space="preserve"> </w:t>
            </w:r>
            <w:r>
              <w:rPr>
                <w:b/>
                <w:color w:val="003366"/>
                <w:sz w:val="20"/>
                <w:u w:val="single" w:color="003366"/>
              </w:rPr>
              <w:tab/>
              <w:t>-</w:t>
            </w:r>
            <w:r>
              <w:rPr>
                <w:b/>
                <w:color w:val="003366"/>
                <w:sz w:val="20"/>
                <w:u w:val="single" w:color="003366"/>
              </w:rPr>
              <w:tab/>
              <w:t>-</w:t>
            </w:r>
            <w:r>
              <w:rPr>
                <w:b/>
                <w:color w:val="003366"/>
                <w:sz w:val="20"/>
                <w:u w:val="single" w:color="003366"/>
              </w:rPr>
              <w:tab/>
              <w:t>-</w:t>
            </w:r>
            <w:r>
              <w:rPr>
                <w:b/>
                <w:color w:val="003366"/>
                <w:sz w:val="20"/>
                <w:u w:val="single" w:color="003366"/>
              </w:rPr>
              <w:tab/>
              <w:t>-</w:t>
            </w:r>
            <w:r>
              <w:rPr>
                <w:b/>
                <w:color w:val="003366"/>
                <w:sz w:val="20"/>
                <w:u w:val="single" w:color="003366"/>
              </w:rPr>
              <w:tab/>
              <w:t>288</w:t>
            </w:r>
            <w:r>
              <w:rPr>
                <w:b/>
                <w:color w:val="003366"/>
                <w:sz w:val="20"/>
                <w:u w:val="single" w:color="003366"/>
              </w:rPr>
              <w:tab/>
            </w:r>
            <w:r>
              <w:rPr>
                <w:b/>
                <w:color w:val="003366"/>
                <w:spacing w:val="-1"/>
                <w:w w:val="95"/>
                <w:sz w:val="20"/>
                <w:u w:val="single" w:color="003366"/>
              </w:rPr>
              <w:t>288</w:t>
            </w:r>
            <w:r>
              <w:rPr>
                <w:b/>
                <w:color w:val="003366"/>
                <w:spacing w:val="18"/>
                <w:sz w:val="20"/>
                <w:u w:val="single" w:color="003366"/>
              </w:rPr>
              <w:t xml:space="preserve"> </w:t>
            </w:r>
          </w:p>
        </w:tc>
      </w:tr>
      <w:tr w:rsidR="006C17CB">
        <w:trPr>
          <w:trHeight w:val="282"/>
        </w:trPr>
        <w:tc>
          <w:tcPr>
            <w:tcW w:w="2112" w:type="dxa"/>
          </w:tcPr>
          <w:p w:rsidR="006C17CB" w:rsidRDefault="0030091C">
            <w:pPr>
              <w:pStyle w:val="TableParagraph"/>
              <w:spacing w:line="262" w:lineRule="exact"/>
              <w:ind w:left="50"/>
              <w:jc w:val="left"/>
              <w:rPr>
                <w:b/>
                <w:sz w:val="20"/>
              </w:rPr>
            </w:pPr>
            <w:r>
              <w:rPr>
                <w:b/>
                <w:color w:val="003366"/>
                <w:sz w:val="20"/>
              </w:rPr>
              <w:t>Net Financial Assets</w:t>
            </w:r>
          </w:p>
        </w:tc>
        <w:tc>
          <w:tcPr>
            <w:tcW w:w="1725" w:type="dxa"/>
          </w:tcPr>
          <w:p w:rsidR="006C17CB" w:rsidRDefault="006C17CB">
            <w:pPr>
              <w:pStyle w:val="TableParagraph"/>
              <w:jc w:val="left"/>
              <w:rPr>
                <w:rFonts w:ascii="Times New Roman"/>
                <w:sz w:val="20"/>
              </w:rPr>
            </w:pPr>
          </w:p>
        </w:tc>
        <w:tc>
          <w:tcPr>
            <w:tcW w:w="4893" w:type="dxa"/>
            <w:tcBorders>
              <w:top w:val="single" w:sz="2" w:space="0" w:color="003366"/>
              <w:bottom w:val="double" w:sz="1" w:space="0" w:color="17365D"/>
            </w:tcBorders>
          </w:tcPr>
          <w:p w:rsidR="006C17CB" w:rsidRDefault="0030091C">
            <w:pPr>
              <w:pStyle w:val="TableParagraph"/>
              <w:tabs>
                <w:tab w:val="left" w:pos="873"/>
                <w:tab w:val="left" w:pos="1771"/>
                <w:tab w:val="left" w:pos="2558"/>
                <w:tab w:val="left" w:pos="3033"/>
                <w:tab w:val="left" w:pos="3751"/>
              </w:tabs>
              <w:spacing w:line="262" w:lineRule="exact"/>
              <w:ind w:right="107"/>
              <w:rPr>
                <w:b/>
                <w:sz w:val="20"/>
              </w:rPr>
            </w:pPr>
            <w:r>
              <w:rPr>
                <w:b/>
                <w:color w:val="003366"/>
                <w:sz w:val="20"/>
              </w:rPr>
              <w:t>23</w:t>
            </w:r>
            <w:r>
              <w:rPr>
                <w:b/>
                <w:color w:val="003366"/>
                <w:sz w:val="20"/>
              </w:rPr>
              <w:tab/>
              <w:t>-</w:t>
            </w:r>
            <w:r>
              <w:rPr>
                <w:b/>
                <w:color w:val="003366"/>
                <w:sz w:val="20"/>
              </w:rPr>
              <w:tab/>
              <w:t>-</w:t>
            </w:r>
            <w:r>
              <w:rPr>
                <w:b/>
                <w:color w:val="003366"/>
                <w:sz w:val="20"/>
              </w:rPr>
              <w:tab/>
              <w:t>-</w:t>
            </w:r>
            <w:r>
              <w:rPr>
                <w:b/>
                <w:color w:val="003366"/>
                <w:sz w:val="20"/>
              </w:rPr>
              <w:tab/>
              <w:t>1,991</w:t>
            </w:r>
            <w:r>
              <w:rPr>
                <w:b/>
                <w:color w:val="003366"/>
                <w:sz w:val="20"/>
              </w:rPr>
              <w:tab/>
            </w:r>
            <w:r>
              <w:rPr>
                <w:b/>
                <w:color w:val="003366"/>
                <w:spacing w:val="-1"/>
                <w:w w:val="95"/>
                <w:sz w:val="20"/>
              </w:rPr>
              <w:t>2,014</w:t>
            </w:r>
          </w:p>
        </w:tc>
      </w:tr>
    </w:tbl>
    <w:p w:rsidR="006C17CB" w:rsidRDefault="006C17CB">
      <w:pPr>
        <w:spacing w:line="262" w:lineRule="exact"/>
        <w:rPr>
          <w:sz w:val="20"/>
        </w:rPr>
        <w:sectPr w:rsidR="006C17CB">
          <w:pgSz w:w="11910" w:h="16840"/>
          <w:pgMar w:top="2780" w:right="0" w:bottom="720" w:left="980" w:header="1173" w:footer="523" w:gutter="0"/>
          <w:cols w:space="720"/>
        </w:sectPr>
      </w:pPr>
    </w:p>
    <w:p w:rsidR="006C17CB" w:rsidRDefault="006C17CB">
      <w:pPr>
        <w:pStyle w:val="BodyText"/>
        <w:spacing w:before="12"/>
        <w:rPr>
          <w:rFonts w:ascii="Calibri"/>
          <w:sz w:val="12"/>
        </w:rPr>
      </w:pPr>
    </w:p>
    <w:p w:rsidR="006C17CB" w:rsidRDefault="0030091C">
      <w:pPr>
        <w:spacing w:before="15"/>
        <w:ind w:left="829"/>
        <w:rPr>
          <w:rFonts w:ascii="Calibri" w:hAnsi="Calibri"/>
          <w:b/>
          <w:sz w:val="20"/>
        </w:rPr>
      </w:pPr>
      <w:r>
        <w:rPr>
          <w:rFonts w:ascii="Calibri" w:hAnsi="Calibri"/>
          <w:b/>
          <w:color w:val="003366"/>
          <w:sz w:val="20"/>
        </w:rPr>
        <w:t>Maturity Analysis and Exposure to Interest Rates – Continued</w:t>
      </w:r>
    </w:p>
    <w:p w:rsidR="006C17CB" w:rsidRDefault="006C17CB">
      <w:pPr>
        <w:pStyle w:val="BodyText"/>
        <w:rPr>
          <w:rFonts w:ascii="Calibri"/>
          <w:b/>
          <w:sz w:val="16"/>
        </w:rPr>
      </w:pPr>
    </w:p>
    <w:p w:rsidR="006C17CB" w:rsidRDefault="0030091C">
      <w:pPr>
        <w:spacing w:before="1" w:line="204" w:lineRule="auto"/>
        <w:ind w:left="829" w:right="1558"/>
        <w:jc w:val="both"/>
        <w:rPr>
          <w:rFonts w:ascii="Calibri" w:hAnsi="Calibri"/>
          <w:sz w:val="20"/>
        </w:rPr>
      </w:pPr>
      <w:r>
        <w:rPr>
          <w:rFonts w:ascii="Calibri" w:hAnsi="Calibri"/>
          <w:color w:val="003366"/>
          <w:sz w:val="20"/>
        </w:rPr>
        <w:t>The following table sets out the Office’s maturity analysis for financial assets and liabilities as well as the exposure to interest rates, including  the  weighted  average  interest  rates  by  maturity  period  as  at 30 June 2017. All financial assets and liabilities which have a floating interest rate or are non-interest bearing will mature in 1 year or less. All amounts appearing in the following maturity analysis are shown on an undiscounted cash flow</w:t>
      </w:r>
      <w:r>
        <w:rPr>
          <w:rFonts w:ascii="Calibri" w:hAnsi="Calibri"/>
          <w:color w:val="003366"/>
          <w:spacing w:val="3"/>
          <w:sz w:val="20"/>
        </w:rPr>
        <w:t xml:space="preserve"> </w:t>
      </w:r>
      <w:r>
        <w:rPr>
          <w:rFonts w:ascii="Calibri" w:hAnsi="Calibri"/>
          <w:color w:val="003366"/>
          <w:sz w:val="20"/>
        </w:rPr>
        <w:t>basis.</w:t>
      </w:r>
    </w:p>
    <w:p w:rsidR="006C17CB" w:rsidRDefault="00FE24A7">
      <w:pPr>
        <w:tabs>
          <w:tab w:val="left" w:pos="7928"/>
        </w:tabs>
        <w:spacing w:before="81"/>
        <w:ind w:left="5483"/>
        <w:rPr>
          <w:rFonts w:ascii="Calibri"/>
          <w:b/>
          <w:sz w:val="20"/>
        </w:rPr>
      </w:pPr>
      <w:r>
        <w:pict>
          <v:shape id="_x0000_s1238" type="#_x0000_t202" alt="" style="position:absolute;left:0;text-align:left;margin-left:200.3pt;margin-top:20.65pt;width:321.2pt;height:144.15pt;z-index:2656;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7"/>
                    <w:gridCol w:w="1027"/>
                    <w:gridCol w:w="916"/>
                    <w:gridCol w:w="747"/>
                    <w:gridCol w:w="870"/>
                    <w:gridCol w:w="775"/>
                    <w:gridCol w:w="890"/>
                    <w:gridCol w:w="634"/>
                  </w:tblGrid>
                  <w:tr w:rsidR="0030091C">
                    <w:trPr>
                      <w:trHeight w:val="975"/>
                    </w:trPr>
                    <w:tc>
                      <w:tcPr>
                        <w:tcW w:w="567" w:type="dxa"/>
                      </w:tcPr>
                      <w:p w:rsidR="0030091C" w:rsidRDefault="0030091C">
                        <w:pPr>
                          <w:pStyle w:val="TableParagraph"/>
                          <w:jc w:val="left"/>
                          <w:rPr>
                            <w:sz w:val="20"/>
                          </w:rPr>
                        </w:pPr>
                      </w:p>
                      <w:p w:rsidR="0030091C" w:rsidRDefault="0030091C">
                        <w:pPr>
                          <w:pStyle w:val="TableParagraph"/>
                          <w:spacing w:before="151" w:line="204" w:lineRule="auto"/>
                          <w:ind w:left="107" w:right="88" w:hanging="58"/>
                          <w:jc w:val="left"/>
                          <w:rPr>
                            <w:b/>
                            <w:sz w:val="20"/>
                          </w:rPr>
                        </w:pPr>
                        <w:r>
                          <w:rPr>
                            <w:b/>
                            <w:color w:val="003366"/>
                            <w:sz w:val="20"/>
                          </w:rPr>
                          <w:t>Note No.</w:t>
                        </w:r>
                      </w:p>
                    </w:tc>
                    <w:tc>
                      <w:tcPr>
                        <w:tcW w:w="1027" w:type="dxa"/>
                      </w:tcPr>
                      <w:p w:rsidR="0030091C" w:rsidRDefault="0030091C">
                        <w:pPr>
                          <w:pStyle w:val="TableParagraph"/>
                          <w:spacing w:line="181" w:lineRule="exact"/>
                          <w:ind w:left="106"/>
                          <w:jc w:val="left"/>
                          <w:rPr>
                            <w:b/>
                            <w:sz w:val="20"/>
                          </w:rPr>
                        </w:pPr>
                        <w:r>
                          <w:rPr>
                            <w:b/>
                            <w:color w:val="003366"/>
                            <w:sz w:val="20"/>
                          </w:rPr>
                          <w:t>Weighted</w:t>
                        </w:r>
                      </w:p>
                      <w:p w:rsidR="0030091C" w:rsidRDefault="0030091C">
                        <w:pPr>
                          <w:pStyle w:val="TableParagraph"/>
                          <w:spacing w:before="13" w:line="204" w:lineRule="auto"/>
                          <w:ind w:left="236" w:right="104" w:hanging="6"/>
                          <w:jc w:val="center"/>
                          <w:rPr>
                            <w:b/>
                            <w:sz w:val="20"/>
                          </w:rPr>
                        </w:pPr>
                        <w:r>
                          <w:rPr>
                            <w:b/>
                            <w:color w:val="003366"/>
                            <w:w w:val="95"/>
                            <w:sz w:val="20"/>
                          </w:rPr>
                          <w:t xml:space="preserve">Average </w:t>
                        </w:r>
                        <w:r>
                          <w:rPr>
                            <w:b/>
                            <w:color w:val="003366"/>
                            <w:sz w:val="20"/>
                          </w:rPr>
                          <w:t>Interest</w:t>
                        </w:r>
                      </w:p>
                      <w:p w:rsidR="0030091C" w:rsidRDefault="0030091C">
                        <w:pPr>
                          <w:pStyle w:val="TableParagraph"/>
                          <w:spacing w:line="253" w:lineRule="exact"/>
                          <w:ind w:left="536"/>
                          <w:jc w:val="left"/>
                          <w:rPr>
                            <w:b/>
                            <w:sz w:val="20"/>
                          </w:rPr>
                        </w:pPr>
                        <w:r>
                          <w:rPr>
                            <w:b/>
                            <w:color w:val="003366"/>
                            <w:sz w:val="20"/>
                          </w:rPr>
                          <w:t>Rate</w:t>
                        </w:r>
                      </w:p>
                    </w:tc>
                    <w:tc>
                      <w:tcPr>
                        <w:tcW w:w="916" w:type="dxa"/>
                      </w:tcPr>
                      <w:p w:rsidR="0030091C" w:rsidRDefault="0030091C">
                        <w:pPr>
                          <w:pStyle w:val="TableParagraph"/>
                          <w:spacing w:before="7"/>
                          <w:jc w:val="left"/>
                          <w:rPr>
                            <w:sz w:val="13"/>
                          </w:rPr>
                        </w:pPr>
                      </w:p>
                      <w:p w:rsidR="0030091C" w:rsidRDefault="0030091C">
                        <w:pPr>
                          <w:pStyle w:val="TableParagraph"/>
                          <w:spacing w:line="204" w:lineRule="auto"/>
                          <w:ind w:left="121" w:right="123" w:hanging="15"/>
                          <w:jc w:val="left"/>
                          <w:rPr>
                            <w:b/>
                            <w:sz w:val="20"/>
                          </w:rPr>
                        </w:pPr>
                        <w:r>
                          <w:rPr>
                            <w:b/>
                            <w:color w:val="003366"/>
                            <w:w w:val="95"/>
                            <w:sz w:val="20"/>
                          </w:rPr>
                          <w:t xml:space="preserve">Floating </w:t>
                        </w:r>
                        <w:r>
                          <w:rPr>
                            <w:b/>
                            <w:color w:val="003366"/>
                            <w:sz w:val="20"/>
                          </w:rPr>
                          <w:t>Interest</w:t>
                        </w:r>
                      </w:p>
                      <w:p w:rsidR="0030091C" w:rsidRDefault="0030091C">
                        <w:pPr>
                          <w:pStyle w:val="TableParagraph"/>
                          <w:spacing w:line="253" w:lineRule="exact"/>
                          <w:ind w:left="392"/>
                          <w:jc w:val="left"/>
                          <w:rPr>
                            <w:b/>
                            <w:sz w:val="20"/>
                          </w:rPr>
                        </w:pPr>
                        <w:r>
                          <w:rPr>
                            <w:b/>
                            <w:color w:val="003366"/>
                            <w:sz w:val="20"/>
                          </w:rPr>
                          <w:t>Rate</w:t>
                        </w:r>
                      </w:p>
                    </w:tc>
                    <w:tc>
                      <w:tcPr>
                        <w:tcW w:w="747" w:type="dxa"/>
                      </w:tcPr>
                      <w:p w:rsidR="0030091C" w:rsidRDefault="0030091C">
                        <w:pPr>
                          <w:pStyle w:val="TableParagraph"/>
                          <w:spacing w:line="181" w:lineRule="exact"/>
                          <w:ind w:left="496"/>
                          <w:jc w:val="left"/>
                          <w:rPr>
                            <w:b/>
                            <w:sz w:val="20"/>
                          </w:rPr>
                        </w:pPr>
                        <w:r>
                          <w:rPr>
                            <w:b/>
                            <w:color w:val="003366"/>
                            <w:w w:val="99"/>
                            <w:sz w:val="20"/>
                          </w:rPr>
                          <w:t>1</w:t>
                        </w:r>
                      </w:p>
                      <w:p w:rsidR="0030091C" w:rsidRDefault="0030091C">
                        <w:pPr>
                          <w:pStyle w:val="TableParagraph"/>
                          <w:spacing w:before="13" w:line="204" w:lineRule="auto"/>
                          <w:ind w:left="251" w:right="148" w:hanging="29"/>
                          <w:rPr>
                            <w:b/>
                            <w:sz w:val="20"/>
                          </w:rPr>
                        </w:pPr>
                        <w:r>
                          <w:rPr>
                            <w:b/>
                            <w:color w:val="003366"/>
                            <w:sz w:val="20"/>
                          </w:rPr>
                          <w:t>Year</w:t>
                        </w:r>
                        <w:r>
                          <w:rPr>
                            <w:b/>
                            <w:color w:val="003366"/>
                            <w:w w:val="99"/>
                            <w:sz w:val="20"/>
                          </w:rPr>
                          <w:t xml:space="preserve"> </w:t>
                        </w:r>
                        <w:r>
                          <w:rPr>
                            <w:b/>
                            <w:color w:val="003366"/>
                            <w:w w:val="95"/>
                            <w:sz w:val="20"/>
                          </w:rPr>
                          <w:t>or Less</w:t>
                        </w:r>
                      </w:p>
                    </w:tc>
                    <w:tc>
                      <w:tcPr>
                        <w:tcW w:w="870" w:type="dxa"/>
                      </w:tcPr>
                      <w:p w:rsidR="0030091C" w:rsidRDefault="0030091C">
                        <w:pPr>
                          <w:pStyle w:val="TableParagraph"/>
                          <w:spacing w:before="7"/>
                          <w:jc w:val="left"/>
                          <w:rPr>
                            <w:sz w:val="13"/>
                          </w:rPr>
                        </w:pPr>
                      </w:p>
                      <w:p w:rsidR="0030091C" w:rsidRDefault="0030091C">
                        <w:pPr>
                          <w:pStyle w:val="TableParagraph"/>
                          <w:spacing w:line="204" w:lineRule="auto"/>
                          <w:ind w:left="148" w:right="118" w:firstLine="52"/>
                          <w:jc w:val="both"/>
                          <w:rPr>
                            <w:b/>
                            <w:sz w:val="20"/>
                          </w:rPr>
                        </w:pPr>
                        <w:r>
                          <w:rPr>
                            <w:b/>
                            <w:color w:val="003366"/>
                            <w:sz w:val="20"/>
                          </w:rPr>
                          <w:t>Over 1 Year to 5 Years</w:t>
                        </w:r>
                      </w:p>
                    </w:tc>
                    <w:tc>
                      <w:tcPr>
                        <w:tcW w:w="775" w:type="dxa"/>
                      </w:tcPr>
                      <w:p w:rsidR="0030091C" w:rsidRDefault="0030091C">
                        <w:pPr>
                          <w:pStyle w:val="TableParagraph"/>
                          <w:jc w:val="left"/>
                          <w:rPr>
                            <w:sz w:val="20"/>
                          </w:rPr>
                        </w:pPr>
                      </w:p>
                      <w:p w:rsidR="0030091C" w:rsidRDefault="0030091C">
                        <w:pPr>
                          <w:pStyle w:val="TableParagraph"/>
                          <w:spacing w:before="151" w:line="204" w:lineRule="auto"/>
                          <w:ind w:left="211" w:right="89" w:hanging="94"/>
                          <w:jc w:val="left"/>
                          <w:rPr>
                            <w:b/>
                            <w:sz w:val="20"/>
                          </w:rPr>
                        </w:pPr>
                        <w:r>
                          <w:rPr>
                            <w:b/>
                            <w:color w:val="003366"/>
                            <w:sz w:val="20"/>
                          </w:rPr>
                          <w:t>Over 5 Years</w:t>
                        </w:r>
                      </w:p>
                    </w:tc>
                    <w:tc>
                      <w:tcPr>
                        <w:tcW w:w="890" w:type="dxa"/>
                      </w:tcPr>
                      <w:p w:rsidR="0030091C" w:rsidRDefault="0030091C">
                        <w:pPr>
                          <w:pStyle w:val="TableParagraph"/>
                          <w:spacing w:before="7"/>
                          <w:jc w:val="left"/>
                          <w:rPr>
                            <w:sz w:val="13"/>
                          </w:rPr>
                        </w:pPr>
                      </w:p>
                      <w:p w:rsidR="0030091C" w:rsidRDefault="0030091C">
                        <w:pPr>
                          <w:pStyle w:val="TableParagraph"/>
                          <w:spacing w:line="204" w:lineRule="auto"/>
                          <w:ind w:left="106" w:right="127" w:firstLine="244"/>
                          <w:jc w:val="both"/>
                          <w:rPr>
                            <w:b/>
                            <w:sz w:val="20"/>
                          </w:rPr>
                        </w:pPr>
                        <w:r>
                          <w:rPr>
                            <w:b/>
                            <w:color w:val="003366"/>
                            <w:sz w:val="20"/>
                          </w:rPr>
                          <w:t>Non- Interest Bearing</w:t>
                        </w:r>
                      </w:p>
                    </w:tc>
                    <w:tc>
                      <w:tcPr>
                        <w:tcW w:w="634" w:type="dxa"/>
                      </w:tcPr>
                      <w:p w:rsidR="0030091C" w:rsidRDefault="0030091C">
                        <w:pPr>
                          <w:pStyle w:val="TableParagraph"/>
                          <w:jc w:val="left"/>
                          <w:rPr>
                            <w:sz w:val="20"/>
                          </w:rPr>
                        </w:pPr>
                      </w:p>
                      <w:p w:rsidR="0030091C" w:rsidRDefault="0030091C">
                        <w:pPr>
                          <w:pStyle w:val="TableParagraph"/>
                          <w:jc w:val="left"/>
                          <w:rPr>
                            <w:sz w:val="25"/>
                          </w:rPr>
                        </w:pPr>
                      </w:p>
                      <w:p w:rsidR="0030091C" w:rsidRDefault="0030091C">
                        <w:pPr>
                          <w:pStyle w:val="TableParagraph"/>
                          <w:ind w:right="51"/>
                          <w:rPr>
                            <w:b/>
                            <w:sz w:val="20"/>
                          </w:rPr>
                        </w:pPr>
                        <w:r>
                          <w:rPr>
                            <w:b/>
                            <w:color w:val="003366"/>
                            <w:sz w:val="20"/>
                          </w:rPr>
                          <w:t>Total</w:t>
                        </w:r>
                      </w:p>
                    </w:tc>
                  </w:tr>
                  <w:tr w:rsidR="0030091C">
                    <w:trPr>
                      <w:trHeight w:val="832"/>
                    </w:trPr>
                    <w:tc>
                      <w:tcPr>
                        <w:tcW w:w="567" w:type="dxa"/>
                      </w:tcPr>
                      <w:p w:rsidR="0030091C" w:rsidRDefault="0030091C">
                        <w:pPr>
                          <w:pStyle w:val="TableParagraph"/>
                          <w:jc w:val="left"/>
                          <w:rPr>
                            <w:rFonts w:ascii="Times New Roman"/>
                            <w:sz w:val="20"/>
                          </w:rPr>
                        </w:pPr>
                      </w:p>
                    </w:tc>
                    <w:tc>
                      <w:tcPr>
                        <w:tcW w:w="1027" w:type="dxa"/>
                      </w:tcPr>
                      <w:p w:rsidR="0030091C" w:rsidRDefault="0030091C">
                        <w:pPr>
                          <w:pStyle w:val="TableParagraph"/>
                          <w:jc w:val="left"/>
                          <w:rPr>
                            <w:rFonts w:ascii="Times New Roman"/>
                            <w:sz w:val="20"/>
                          </w:rPr>
                        </w:pPr>
                      </w:p>
                    </w:tc>
                    <w:tc>
                      <w:tcPr>
                        <w:tcW w:w="916" w:type="dxa"/>
                      </w:tcPr>
                      <w:p w:rsidR="0030091C" w:rsidRDefault="0030091C">
                        <w:pPr>
                          <w:pStyle w:val="TableParagraph"/>
                          <w:spacing w:line="245" w:lineRule="exact"/>
                          <w:ind w:right="142"/>
                          <w:rPr>
                            <w:b/>
                            <w:sz w:val="20"/>
                          </w:rPr>
                        </w:pPr>
                        <w:r>
                          <w:rPr>
                            <w:b/>
                            <w:color w:val="003366"/>
                            <w:w w:val="95"/>
                            <w:sz w:val="20"/>
                          </w:rPr>
                          <w:t>$’000</w:t>
                        </w:r>
                      </w:p>
                    </w:tc>
                    <w:tc>
                      <w:tcPr>
                        <w:tcW w:w="747" w:type="dxa"/>
                      </w:tcPr>
                      <w:p w:rsidR="0030091C" w:rsidRDefault="0030091C">
                        <w:pPr>
                          <w:pStyle w:val="TableParagraph"/>
                          <w:spacing w:line="245" w:lineRule="exact"/>
                          <w:ind w:right="149"/>
                          <w:rPr>
                            <w:b/>
                            <w:sz w:val="20"/>
                          </w:rPr>
                        </w:pPr>
                        <w:r>
                          <w:rPr>
                            <w:b/>
                            <w:color w:val="003366"/>
                            <w:w w:val="95"/>
                            <w:sz w:val="20"/>
                          </w:rPr>
                          <w:t>$’000</w:t>
                        </w:r>
                      </w:p>
                    </w:tc>
                    <w:tc>
                      <w:tcPr>
                        <w:tcW w:w="870" w:type="dxa"/>
                      </w:tcPr>
                      <w:p w:rsidR="0030091C" w:rsidRDefault="0030091C">
                        <w:pPr>
                          <w:pStyle w:val="TableParagraph"/>
                          <w:spacing w:line="245" w:lineRule="exact"/>
                          <w:ind w:right="122"/>
                          <w:rPr>
                            <w:b/>
                            <w:sz w:val="20"/>
                          </w:rPr>
                        </w:pPr>
                        <w:r>
                          <w:rPr>
                            <w:b/>
                            <w:color w:val="003366"/>
                            <w:w w:val="95"/>
                            <w:sz w:val="20"/>
                          </w:rPr>
                          <w:t>$’000</w:t>
                        </w:r>
                      </w:p>
                    </w:tc>
                    <w:tc>
                      <w:tcPr>
                        <w:tcW w:w="775" w:type="dxa"/>
                      </w:tcPr>
                      <w:p w:rsidR="0030091C" w:rsidRDefault="0030091C">
                        <w:pPr>
                          <w:pStyle w:val="TableParagraph"/>
                          <w:spacing w:line="245" w:lineRule="exact"/>
                          <w:ind w:right="110"/>
                          <w:rPr>
                            <w:b/>
                            <w:sz w:val="20"/>
                          </w:rPr>
                        </w:pPr>
                        <w:r>
                          <w:rPr>
                            <w:b/>
                            <w:color w:val="003366"/>
                            <w:w w:val="95"/>
                            <w:sz w:val="20"/>
                          </w:rPr>
                          <w:t>$’000</w:t>
                        </w:r>
                      </w:p>
                    </w:tc>
                    <w:tc>
                      <w:tcPr>
                        <w:tcW w:w="890" w:type="dxa"/>
                      </w:tcPr>
                      <w:p w:rsidR="0030091C" w:rsidRDefault="0030091C">
                        <w:pPr>
                          <w:pStyle w:val="TableParagraph"/>
                          <w:spacing w:line="245" w:lineRule="exact"/>
                          <w:ind w:right="131"/>
                          <w:rPr>
                            <w:b/>
                            <w:sz w:val="20"/>
                          </w:rPr>
                        </w:pPr>
                        <w:r>
                          <w:rPr>
                            <w:b/>
                            <w:color w:val="003366"/>
                            <w:w w:val="95"/>
                            <w:sz w:val="20"/>
                          </w:rPr>
                          <w:t>$’000</w:t>
                        </w:r>
                      </w:p>
                    </w:tc>
                    <w:tc>
                      <w:tcPr>
                        <w:tcW w:w="634" w:type="dxa"/>
                      </w:tcPr>
                      <w:p w:rsidR="0030091C" w:rsidRDefault="0030091C">
                        <w:pPr>
                          <w:pStyle w:val="TableParagraph"/>
                          <w:spacing w:line="245" w:lineRule="exact"/>
                          <w:ind w:right="52"/>
                          <w:rPr>
                            <w:b/>
                            <w:sz w:val="20"/>
                          </w:rPr>
                        </w:pPr>
                        <w:r>
                          <w:rPr>
                            <w:b/>
                            <w:color w:val="003366"/>
                            <w:w w:val="95"/>
                            <w:sz w:val="20"/>
                          </w:rPr>
                          <w:t>$’000</w:t>
                        </w:r>
                      </w:p>
                    </w:tc>
                  </w:tr>
                  <w:tr w:rsidR="0030091C">
                    <w:trPr>
                      <w:trHeight w:val="832"/>
                    </w:trPr>
                    <w:tc>
                      <w:tcPr>
                        <w:tcW w:w="567"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left="134" w:right="190"/>
                          <w:jc w:val="center"/>
                          <w:rPr>
                            <w:sz w:val="20"/>
                          </w:rPr>
                        </w:pPr>
                        <w:r>
                          <w:rPr>
                            <w:color w:val="003366"/>
                            <w:sz w:val="20"/>
                          </w:rPr>
                          <w:t>10</w:t>
                        </w:r>
                      </w:p>
                    </w:tc>
                    <w:tc>
                      <w:tcPr>
                        <w:tcW w:w="1027"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left="421"/>
                          <w:jc w:val="left"/>
                          <w:rPr>
                            <w:sz w:val="20"/>
                          </w:rPr>
                        </w:pPr>
                        <w:r>
                          <w:rPr>
                            <w:color w:val="003366"/>
                            <w:sz w:val="20"/>
                          </w:rPr>
                          <w:t>2.37%</w:t>
                        </w:r>
                      </w:p>
                    </w:tc>
                    <w:tc>
                      <w:tcPr>
                        <w:tcW w:w="916"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right="139"/>
                          <w:rPr>
                            <w:sz w:val="20"/>
                          </w:rPr>
                        </w:pPr>
                        <w:r>
                          <w:rPr>
                            <w:color w:val="003366"/>
                            <w:w w:val="95"/>
                            <w:sz w:val="20"/>
                          </w:rPr>
                          <w:t>84</w:t>
                        </w:r>
                      </w:p>
                    </w:tc>
                    <w:tc>
                      <w:tcPr>
                        <w:tcW w:w="747"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right="148"/>
                          <w:rPr>
                            <w:sz w:val="20"/>
                          </w:rPr>
                        </w:pPr>
                        <w:r>
                          <w:rPr>
                            <w:color w:val="003366"/>
                            <w:w w:val="99"/>
                            <w:sz w:val="20"/>
                          </w:rPr>
                          <w:t>-</w:t>
                        </w:r>
                      </w:p>
                    </w:tc>
                    <w:tc>
                      <w:tcPr>
                        <w:tcW w:w="870"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right="121"/>
                          <w:rPr>
                            <w:sz w:val="20"/>
                          </w:rPr>
                        </w:pPr>
                        <w:r>
                          <w:rPr>
                            <w:color w:val="003366"/>
                            <w:w w:val="99"/>
                            <w:sz w:val="20"/>
                          </w:rPr>
                          <w:t>-</w:t>
                        </w:r>
                      </w:p>
                    </w:tc>
                    <w:tc>
                      <w:tcPr>
                        <w:tcW w:w="775"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right="109"/>
                          <w:rPr>
                            <w:sz w:val="20"/>
                          </w:rPr>
                        </w:pPr>
                        <w:r>
                          <w:rPr>
                            <w:color w:val="003366"/>
                            <w:w w:val="99"/>
                            <w:sz w:val="20"/>
                          </w:rPr>
                          <w:t>-</w:t>
                        </w:r>
                      </w:p>
                    </w:tc>
                    <w:tc>
                      <w:tcPr>
                        <w:tcW w:w="890"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right="128"/>
                          <w:rPr>
                            <w:sz w:val="20"/>
                          </w:rPr>
                        </w:pPr>
                        <w:r>
                          <w:rPr>
                            <w:color w:val="003366"/>
                            <w:w w:val="99"/>
                            <w:sz w:val="20"/>
                          </w:rPr>
                          <w:t>1</w:t>
                        </w:r>
                      </w:p>
                    </w:tc>
                    <w:tc>
                      <w:tcPr>
                        <w:tcW w:w="634" w:type="dxa"/>
                      </w:tcPr>
                      <w:p w:rsidR="0030091C" w:rsidRDefault="0030091C">
                        <w:pPr>
                          <w:pStyle w:val="TableParagraph"/>
                          <w:jc w:val="left"/>
                          <w:rPr>
                            <w:sz w:val="20"/>
                          </w:rPr>
                        </w:pPr>
                      </w:p>
                      <w:p w:rsidR="0030091C" w:rsidRDefault="0030091C">
                        <w:pPr>
                          <w:pStyle w:val="TableParagraph"/>
                          <w:spacing w:before="1"/>
                          <w:jc w:val="left"/>
                          <w:rPr>
                            <w:sz w:val="15"/>
                          </w:rPr>
                        </w:pPr>
                      </w:p>
                      <w:p w:rsidR="0030091C" w:rsidRDefault="0030091C">
                        <w:pPr>
                          <w:pStyle w:val="TableParagraph"/>
                          <w:spacing w:before="1"/>
                          <w:ind w:right="50"/>
                          <w:rPr>
                            <w:sz w:val="20"/>
                          </w:rPr>
                        </w:pPr>
                        <w:r>
                          <w:rPr>
                            <w:color w:val="003366"/>
                            <w:w w:val="95"/>
                            <w:sz w:val="20"/>
                          </w:rPr>
                          <w:t>85</w:t>
                        </w:r>
                      </w:p>
                    </w:tc>
                  </w:tr>
                  <w:tr w:rsidR="0030091C">
                    <w:trPr>
                      <w:trHeight w:val="241"/>
                    </w:trPr>
                    <w:tc>
                      <w:tcPr>
                        <w:tcW w:w="567" w:type="dxa"/>
                      </w:tcPr>
                      <w:p w:rsidR="0030091C" w:rsidRDefault="0030091C">
                        <w:pPr>
                          <w:pStyle w:val="TableParagraph"/>
                          <w:spacing w:line="221" w:lineRule="exact"/>
                          <w:ind w:left="134" w:right="190"/>
                          <w:jc w:val="center"/>
                          <w:rPr>
                            <w:sz w:val="20"/>
                          </w:rPr>
                        </w:pPr>
                        <w:r>
                          <w:rPr>
                            <w:color w:val="003366"/>
                            <w:sz w:val="20"/>
                          </w:rPr>
                          <w:t>11</w:t>
                        </w:r>
                      </w:p>
                    </w:tc>
                    <w:tc>
                      <w:tcPr>
                        <w:tcW w:w="1027" w:type="dxa"/>
                      </w:tcPr>
                      <w:p w:rsidR="0030091C" w:rsidRDefault="0030091C">
                        <w:pPr>
                          <w:pStyle w:val="TableParagraph"/>
                          <w:jc w:val="left"/>
                          <w:rPr>
                            <w:rFonts w:ascii="Times New Roman"/>
                            <w:sz w:val="16"/>
                          </w:rPr>
                        </w:pPr>
                      </w:p>
                    </w:tc>
                    <w:tc>
                      <w:tcPr>
                        <w:tcW w:w="916" w:type="dxa"/>
                      </w:tcPr>
                      <w:p w:rsidR="0030091C" w:rsidRDefault="0030091C">
                        <w:pPr>
                          <w:pStyle w:val="TableParagraph"/>
                          <w:spacing w:line="221" w:lineRule="exact"/>
                          <w:ind w:right="141"/>
                          <w:rPr>
                            <w:sz w:val="20"/>
                          </w:rPr>
                        </w:pPr>
                        <w:r>
                          <w:rPr>
                            <w:color w:val="003366"/>
                            <w:w w:val="99"/>
                            <w:sz w:val="20"/>
                          </w:rPr>
                          <w:t>-</w:t>
                        </w:r>
                      </w:p>
                    </w:tc>
                    <w:tc>
                      <w:tcPr>
                        <w:tcW w:w="747" w:type="dxa"/>
                      </w:tcPr>
                      <w:p w:rsidR="0030091C" w:rsidRDefault="0030091C">
                        <w:pPr>
                          <w:pStyle w:val="TableParagraph"/>
                          <w:spacing w:line="221" w:lineRule="exact"/>
                          <w:ind w:right="148"/>
                          <w:rPr>
                            <w:sz w:val="20"/>
                          </w:rPr>
                        </w:pPr>
                        <w:r>
                          <w:rPr>
                            <w:color w:val="003366"/>
                            <w:w w:val="99"/>
                            <w:sz w:val="20"/>
                          </w:rPr>
                          <w:t>-</w:t>
                        </w:r>
                      </w:p>
                    </w:tc>
                    <w:tc>
                      <w:tcPr>
                        <w:tcW w:w="870" w:type="dxa"/>
                      </w:tcPr>
                      <w:p w:rsidR="0030091C" w:rsidRDefault="0030091C">
                        <w:pPr>
                          <w:pStyle w:val="TableParagraph"/>
                          <w:spacing w:line="221" w:lineRule="exact"/>
                          <w:ind w:right="121"/>
                          <w:rPr>
                            <w:sz w:val="20"/>
                          </w:rPr>
                        </w:pPr>
                        <w:r>
                          <w:rPr>
                            <w:color w:val="003366"/>
                            <w:w w:val="99"/>
                            <w:sz w:val="20"/>
                          </w:rPr>
                          <w:t>-</w:t>
                        </w:r>
                      </w:p>
                    </w:tc>
                    <w:tc>
                      <w:tcPr>
                        <w:tcW w:w="775" w:type="dxa"/>
                      </w:tcPr>
                      <w:p w:rsidR="0030091C" w:rsidRDefault="0030091C">
                        <w:pPr>
                          <w:pStyle w:val="TableParagraph"/>
                          <w:spacing w:line="221" w:lineRule="exact"/>
                          <w:ind w:right="109"/>
                          <w:rPr>
                            <w:sz w:val="20"/>
                          </w:rPr>
                        </w:pPr>
                        <w:r>
                          <w:rPr>
                            <w:color w:val="003366"/>
                            <w:w w:val="99"/>
                            <w:sz w:val="20"/>
                          </w:rPr>
                          <w:t>-</w:t>
                        </w:r>
                      </w:p>
                    </w:tc>
                    <w:tc>
                      <w:tcPr>
                        <w:tcW w:w="890" w:type="dxa"/>
                      </w:tcPr>
                      <w:p w:rsidR="0030091C" w:rsidRDefault="0030091C">
                        <w:pPr>
                          <w:pStyle w:val="TableParagraph"/>
                          <w:spacing w:line="221" w:lineRule="exact"/>
                          <w:ind w:right="131"/>
                          <w:rPr>
                            <w:sz w:val="20"/>
                          </w:rPr>
                        </w:pPr>
                        <w:r>
                          <w:rPr>
                            <w:color w:val="003366"/>
                            <w:w w:val="95"/>
                            <w:sz w:val="20"/>
                          </w:rPr>
                          <w:t>2,058</w:t>
                        </w:r>
                      </w:p>
                    </w:tc>
                    <w:tc>
                      <w:tcPr>
                        <w:tcW w:w="634" w:type="dxa"/>
                      </w:tcPr>
                      <w:p w:rsidR="0030091C" w:rsidRDefault="0030091C">
                        <w:pPr>
                          <w:pStyle w:val="TableParagraph"/>
                          <w:spacing w:line="221" w:lineRule="exact"/>
                          <w:ind w:right="52"/>
                          <w:rPr>
                            <w:sz w:val="20"/>
                          </w:rPr>
                        </w:pPr>
                        <w:r>
                          <w:rPr>
                            <w:color w:val="003366"/>
                            <w:w w:val="95"/>
                            <w:sz w:val="20"/>
                          </w:rPr>
                          <w:t>2,058</w:t>
                        </w:r>
                      </w:p>
                    </w:tc>
                  </w:tr>
                </w:tbl>
                <w:p w:rsidR="0030091C" w:rsidRDefault="0030091C">
                  <w:pPr>
                    <w:pStyle w:val="BodyText"/>
                  </w:pPr>
                </w:p>
              </w:txbxContent>
            </v:textbox>
            <w10:wrap anchorx="page"/>
          </v:shape>
        </w:pict>
      </w:r>
      <w:r w:rsidR="0030091C">
        <w:rPr>
          <w:rFonts w:ascii="Calibri"/>
          <w:b/>
          <w:color w:val="003366"/>
          <w:sz w:val="20"/>
          <w:u w:val="single" w:color="003366"/>
        </w:rPr>
        <w:t>Fixed Interest Maturing</w:t>
      </w:r>
      <w:r w:rsidR="0030091C">
        <w:rPr>
          <w:rFonts w:ascii="Calibri"/>
          <w:b/>
          <w:color w:val="003366"/>
          <w:spacing w:val="-10"/>
          <w:sz w:val="20"/>
          <w:u w:val="single" w:color="003366"/>
        </w:rPr>
        <w:t xml:space="preserve"> </w:t>
      </w:r>
      <w:r w:rsidR="0030091C">
        <w:rPr>
          <w:rFonts w:ascii="Calibri"/>
          <w:b/>
          <w:color w:val="003366"/>
          <w:sz w:val="20"/>
          <w:u w:val="single" w:color="003366"/>
        </w:rPr>
        <w:t>In:</w:t>
      </w:r>
      <w:r w:rsidR="0030091C">
        <w:rPr>
          <w:rFonts w:ascii="Calibri"/>
          <w:b/>
          <w:color w:val="003366"/>
          <w:sz w:val="20"/>
          <w:u w:val="single" w:color="003366"/>
        </w:rPr>
        <w:tab/>
      </w:r>
    </w:p>
    <w:p w:rsidR="006C17CB" w:rsidRDefault="006C17CB">
      <w:pPr>
        <w:pStyle w:val="BodyText"/>
        <w:rPr>
          <w:rFonts w:ascii="Calibri"/>
          <w:b/>
          <w:sz w:val="20"/>
        </w:rPr>
      </w:pPr>
    </w:p>
    <w:p w:rsidR="006C17CB" w:rsidRDefault="006C17CB">
      <w:pPr>
        <w:pStyle w:val="BodyText"/>
        <w:spacing w:before="1"/>
        <w:rPr>
          <w:rFonts w:ascii="Calibri"/>
          <w:b/>
          <w:sz w:val="28"/>
        </w:rPr>
      </w:pPr>
    </w:p>
    <w:p w:rsidR="006C17CB" w:rsidRDefault="0030091C">
      <w:pPr>
        <w:ind w:left="829"/>
        <w:rPr>
          <w:rFonts w:ascii="Calibri"/>
          <w:b/>
          <w:sz w:val="20"/>
        </w:rPr>
      </w:pPr>
      <w:r>
        <w:rPr>
          <w:rFonts w:ascii="Calibri"/>
          <w:b/>
          <w:color w:val="003366"/>
          <w:sz w:val="20"/>
        </w:rPr>
        <w:t>2017</w:t>
      </w:r>
    </w:p>
    <w:p w:rsidR="006C17CB" w:rsidRDefault="0030091C">
      <w:pPr>
        <w:spacing w:line="570" w:lineRule="atLeast"/>
        <w:ind w:left="829" w:right="8292"/>
        <w:rPr>
          <w:rFonts w:ascii="Calibri"/>
          <w:b/>
          <w:sz w:val="20"/>
        </w:rPr>
      </w:pPr>
      <w:r>
        <w:rPr>
          <w:rFonts w:ascii="Calibri"/>
          <w:b/>
          <w:color w:val="003366"/>
          <w:sz w:val="20"/>
        </w:rPr>
        <w:t>Financial Instruments Financial Assets</w:t>
      </w:r>
    </w:p>
    <w:p w:rsidR="006C17CB" w:rsidRDefault="0030091C">
      <w:pPr>
        <w:spacing w:before="30" w:line="201" w:lineRule="auto"/>
        <w:ind w:left="1112" w:right="8862" w:hanging="284"/>
        <w:rPr>
          <w:rFonts w:ascii="Calibri"/>
          <w:sz w:val="20"/>
        </w:rPr>
      </w:pPr>
      <w:r>
        <w:rPr>
          <w:rFonts w:ascii="Calibri"/>
          <w:color w:val="003366"/>
          <w:sz w:val="20"/>
        </w:rPr>
        <w:t>Cash and Cash Equivalents</w:t>
      </w:r>
    </w:p>
    <w:p w:rsidR="006C17CB" w:rsidRDefault="0030091C">
      <w:pPr>
        <w:spacing w:before="7"/>
        <w:ind w:left="829"/>
        <w:rPr>
          <w:rFonts w:ascii="Calibri"/>
          <w:sz w:val="20"/>
        </w:rPr>
      </w:pPr>
      <w:r>
        <w:rPr>
          <w:rFonts w:ascii="Calibri"/>
          <w:color w:val="003366"/>
          <w:sz w:val="20"/>
        </w:rPr>
        <w:t>Investments</w:t>
      </w:r>
    </w:p>
    <w:p w:rsidR="006C17CB" w:rsidRDefault="006C17CB">
      <w:pPr>
        <w:pStyle w:val="BodyText"/>
        <w:spacing w:before="10"/>
        <w:rPr>
          <w:rFonts w:ascii="Calibri"/>
          <w:sz w:val="5"/>
        </w:rPr>
      </w:pPr>
    </w:p>
    <w:tbl>
      <w:tblPr>
        <w:tblW w:w="0" w:type="auto"/>
        <w:tblInd w:w="779" w:type="dxa"/>
        <w:tblLayout w:type="fixed"/>
        <w:tblCellMar>
          <w:left w:w="0" w:type="dxa"/>
          <w:right w:w="0" w:type="dxa"/>
        </w:tblCellMar>
        <w:tblLook w:val="01E0" w:firstRow="1" w:lastRow="1" w:firstColumn="1" w:lastColumn="1" w:noHBand="0" w:noVBand="0"/>
      </w:tblPr>
      <w:tblGrid>
        <w:gridCol w:w="2114"/>
        <w:gridCol w:w="1727"/>
        <w:gridCol w:w="4888"/>
      </w:tblGrid>
      <w:tr w:rsidR="006C17CB">
        <w:trPr>
          <w:trHeight w:val="243"/>
        </w:trPr>
        <w:tc>
          <w:tcPr>
            <w:tcW w:w="2114" w:type="dxa"/>
          </w:tcPr>
          <w:p w:rsidR="006C17CB" w:rsidRDefault="0030091C">
            <w:pPr>
              <w:pStyle w:val="TableParagraph"/>
              <w:spacing w:line="203" w:lineRule="exact"/>
              <w:ind w:left="50"/>
              <w:jc w:val="left"/>
              <w:rPr>
                <w:sz w:val="20"/>
              </w:rPr>
            </w:pPr>
            <w:r>
              <w:rPr>
                <w:color w:val="003366"/>
                <w:sz w:val="20"/>
              </w:rPr>
              <w:t>Receivables</w:t>
            </w:r>
          </w:p>
        </w:tc>
        <w:tc>
          <w:tcPr>
            <w:tcW w:w="1727" w:type="dxa"/>
          </w:tcPr>
          <w:p w:rsidR="006C17CB" w:rsidRDefault="0030091C">
            <w:pPr>
              <w:pStyle w:val="TableParagraph"/>
              <w:spacing w:line="203" w:lineRule="exact"/>
              <w:ind w:left="285"/>
              <w:jc w:val="left"/>
              <w:rPr>
                <w:sz w:val="20"/>
              </w:rPr>
            </w:pPr>
            <w:r>
              <w:rPr>
                <w:color w:val="003366"/>
                <w:sz w:val="20"/>
              </w:rPr>
              <w:t>12</w:t>
            </w:r>
          </w:p>
        </w:tc>
        <w:tc>
          <w:tcPr>
            <w:tcW w:w="4888" w:type="dxa"/>
          </w:tcPr>
          <w:p w:rsidR="006C17CB" w:rsidRDefault="0030091C">
            <w:pPr>
              <w:pStyle w:val="TableParagraph"/>
              <w:tabs>
                <w:tab w:val="left" w:pos="710"/>
                <w:tab w:val="left" w:pos="1449"/>
                <w:tab w:val="left" w:pos="2347"/>
                <w:tab w:val="left" w:pos="3134"/>
                <w:tab w:val="left" w:pos="3863"/>
                <w:tab w:val="left" w:pos="4576"/>
              </w:tabs>
              <w:spacing w:line="203" w:lineRule="exact"/>
              <w:ind w:right="-15"/>
              <w:rPr>
                <w:sz w:val="20"/>
              </w:rPr>
            </w:pPr>
            <w:r>
              <w:rPr>
                <w:color w:val="003366"/>
                <w:w w:val="99"/>
                <w:sz w:val="20"/>
                <w:u w:val="single" w:color="003366"/>
              </w:rPr>
              <w:t xml:space="preserve"> </w:t>
            </w:r>
            <w:r>
              <w:rPr>
                <w:color w:val="003366"/>
                <w:sz w:val="20"/>
                <w:u w:val="single" w:color="003366"/>
              </w:rPr>
              <w:tab/>
              <w:t>-</w:t>
            </w:r>
            <w:r>
              <w:rPr>
                <w:color w:val="003366"/>
                <w:sz w:val="20"/>
                <w:u w:val="single" w:color="003366"/>
              </w:rPr>
              <w:tab/>
              <w:t>-</w:t>
            </w:r>
            <w:r>
              <w:rPr>
                <w:color w:val="003366"/>
                <w:sz w:val="20"/>
                <w:u w:val="single" w:color="003366"/>
              </w:rPr>
              <w:tab/>
              <w:t>-</w:t>
            </w:r>
            <w:r>
              <w:rPr>
                <w:color w:val="003366"/>
                <w:sz w:val="20"/>
                <w:u w:val="single" w:color="003366"/>
              </w:rPr>
              <w:tab/>
              <w:t>-</w:t>
            </w:r>
            <w:r>
              <w:rPr>
                <w:color w:val="003366"/>
                <w:sz w:val="20"/>
                <w:u w:val="single" w:color="003366"/>
              </w:rPr>
              <w:tab/>
              <w:t>26</w:t>
            </w:r>
            <w:r>
              <w:rPr>
                <w:color w:val="003366"/>
                <w:sz w:val="20"/>
                <w:u w:val="single" w:color="003366"/>
              </w:rPr>
              <w:tab/>
            </w:r>
            <w:r>
              <w:rPr>
                <w:color w:val="003366"/>
                <w:spacing w:val="-1"/>
                <w:sz w:val="20"/>
                <w:u w:val="single" w:color="003366"/>
              </w:rPr>
              <w:t>26</w:t>
            </w:r>
            <w:r>
              <w:rPr>
                <w:color w:val="003366"/>
                <w:spacing w:val="18"/>
                <w:sz w:val="20"/>
                <w:u w:val="single" w:color="003366"/>
              </w:rPr>
              <w:t xml:space="preserve"> </w:t>
            </w:r>
          </w:p>
        </w:tc>
      </w:tr>
      <w:tr w:rsidR="006C17CB">
        <w:trPr>
          <w:trHeight w:val="430"/>
        </w:trPr>
        <w:tc>
          <w:tcPr>
            <w:tcW w:w="2114" w:type="dxa"/>
          </w:tcPr>
          <w:p w:rsidR="006C17CB" w:rsidRDefault="0030091C">
            <w:pPr>
              <w:pStyle w:val="TableParagraph"/>
              <w:spacing w:line="248" w:lineRule="exact"/>
              <w:ind w:left="50"/>
              <w:jc w:val="left"/>
              <w:rPr>
                <w:b/>
                <w:sz w:val="20"/>
              </w:rPr>
            </w:pPr>
            <w:r>
              <w:rPr>
                <w:b/>
                <w:color w:val="003366"/>
                <w:sz w:val="20"/>
              </w:rPr>
              <w:t>Total Financial Assets</w:t>
            </w:r>
          </w:p>
        </w:tc>
        <w:tc>
          <w:tcPr>
            <w:tcW w:w="1727" w:type="dxa"/>
          </w:tcPr>
          <w:p w:rsidR="006C17CB" w:rsidRDefault="006C17CB">
            <w:pPr>
              <w:pStyle w:val="TableParagraph"/>
              <w:jc w:val="left"/>
              <w:rPr>
                <w:rFonts w:ascii="Times New Roman"/>
                <w:sz w:val="20"/>
              </w:rPr>
            </w:pPr>
          </w:p>
        </w:tc>
        <w:tc>
          <w:tcPr>
            <w:tcW w:w="4888" w:type="dxa"/>
          </w:tcPr>
          <w:p w:rsidR="006C17CB" w:rsidRDefault="0030091C">
            <w:pPr>
              <w:pStyle w:val="TableParagraph"/>
              <w:tabs>
                <w:tab w:val="left" w:pos="571"/>
                <w:tab w:val="left" w:pos="1449"/>
                <w:tab w:val="left" w:pos="2347"/>
                <w:tab w:val="left" w:pos="3134"/>
                <w:tab w:val="left" w:pos="3609"/>
                <w:tab w:val="left" w:pos="4322"/>
              </w:tabs>
              <w:spacing w:line="248" w:lineRule="exact"/>
              <w:ind w:right="-15"/>
              <w:rPr>
                <w:b/>
                <w:sz w:val="20"/>
              </w:rPr>
            </w:pPr>
            <w:r>
              <w:rPr>
                <w:b/>
                <w:color w:val="003366"/>
                <w:w w:val="99"/>
                <w:sz w:val="20"/>
                <w:u w:val="single" w:color="003366"/>
              </w:rPr>
              <w:t xml:space="preserve"> </w:t>
            </w:r>
            <w:r>
              <w:rPr>
                <w:b/>
                <w:color w:val="003366"/>
                <w:sz w:val="20"/>
                <w:u w:val="single" w:color="003366"/>
              </w:rPr>
              <w:tab/>
              <w:t>84</w:t>
            </w:r>
            <w:r>
              <w:rPr>
                <w:b/>
                <w:color w:val="003366"/>
                <w:sz w:val="20"/>
                <w:u w:val="single" w:color="003366"/>
              </w:rPr>
              <w:tab/>
              <w:t>-</w:t>
            </w:r>
            <w:r>
              <w:rPr>
                <w:b/>
                <w:color w:val="003366"/>
                <w:sz w:val="20"/>
                <w:u w:val="single" w:color="003366"/>
              </w:rPr>
              <w:tab/>
              <w:t>-</w:t>
            </w:r>
            <w:r>
              <w:rPr>
                <w:b/>
                <w:color w:val="003366"/>
                <w:sz w:val="20"/>
                <w:u w:val="single" w:color="003366"/>
              </w:rPr>
              <w:tab/>
              <w:t>-</w:t>
            </w:r>
            <w:r>
              <w:rPr>
                <w:b/>
                <w:color w:val="003366"/>
                <w:sz w:val="20"/>
                <w:u w:val="single" w:color="003366"/>
              </w:rPr>
              <w:tab/>
              <w:t>2,085</w:t>
            </w:r>
            <w:r>
              <w:rPr>
                <w:b/>
                <w:color w:val="003366"/>
                <w:sz w:val="20"/>
                <w:u w:val="single" w:color="003366"/>
              </w:rPr>
              <w:tab/>
            </w:r>
            <w:r>
              <w:rPr>
                <w:b/>
                <w:color w:val="003366"/>
                <w:spacing w:val="-1"/>
                <w:w w:val="95"/>
                <w:sz w:val="20"/>
                <w:u w:val="single" w:color="003366"/>
              </w:rPr>
              <w:t>2,169</w:t>
            </w:r>
            <w:r>
              <w:rPr>
                <w:b/>
                <w:color w:val="003366"/>
                <w:spacing w:val="21"/>
                <w:sz w:val="20"/>
                <w:u w:val="single" w:color="003366"/>
              </w:rPr>
              <w:t xml:space="preserve"> </w:t>
            </w:r>
          </w:p>
        </w:tc>
      </w:tr>
      <w:tr w:rsidR="006C17CB">
        <w:trPr>
          <w:trHeight w:val="429"/>
        </w:trPr>
        <w:tc>
          <w:tcPr>
            <w:tcW w:w="2114" w:type="dxa"/>
          </w:tcPr>
          <w:p w:rsidR="006C17CB" w:rsidRDefault="0030091C">
            <w:pPr>
              <w:pStyle w:val="TableParagraph"/>
              <w:spacing w:before="102"/>
              <w:ind w:left="50"/>
              <w:jc w:val="left"/>
              <w:rPr>
                <w:b/>
                <w:sz w:val="20"/>
              </w:rPr>
            </w:pPr>
            <w:r>
              <w:rPr>
                <w:b/>
                <w:color w:val="003366"/>
                <w:sz w:val="20"/>
              </w:rPr>
              <w:t>Financial Liabilities</w:t>
            </w:r>
          </w:p>
        </w:tc>
        <w:tc>
          <w:tcPr>
            <w:tcW w:w="1727" w:type="dxa"/>
          </w:tcPr>
          <w:p w:rsidR="006C17CB" w:rsidRDefault="006C17CB">
            <w:pPr>
              <w:pStyle w:val="TableParagraph"/>
              <w:jc w:val="left"/>
              <w:rPr>
                <w:rFonts w:ascii="Times New Roman"/>
                <w:sz w:val="20"/>
              </w:rPr>
            </w:pPr>
          </w:p>
        </w:tc>
        <w:tc>
          <w:tcPr>
            <w:tcW w:w="4888" w:type="dxa"/>
          </w:tcPr>
          <w:p w:rsidR="006C17CB" w:rsidRDefault="006C17CB">
            <w:pPr>
              <w:pStyle w:val="TableParagraph"/>
              <w:jc w:val="left"/>
              <w:rPr>
                <w:rFonts w:ascii="Times New Roman"/>
                <w:sz w:val="20"/>
              </w:rPr>
            </w:pPr>
          </w:p>
        </w:tc>
      </w:tr>
      <w:tr w:rsidR="006C17CB">
        <w:trPr>
          <w:trHeight w:val="286"/>
        </w:trPr>
        <w:tc>
          <w:tcPr>
            <w:tcW w:w="2114" w:type="dxa"/>
          </w:tcPr>
          <w:p w:rsidR="006C17CB" w:rsidRDefault="0030091C">
            <w:pPr>
              <w:pStyle w:val="TableParagraph"/>
              <w:spacing w:line="246" w:lineRule="exact"/>
              <w:ind w:left="50"/>
              <w:jc w:val="left"/>
              <w:rPr>
                <w:sz w:val="20"/>
              </w:rPr>
            </w:pPr>
            <w:r>
              <w:rPr>
                <w:color w:val="003366"/>
                <w:sz w:val="20"/>
              </w:rPr>
              <w:t>Payables</w:t>
            </w:r>
          </w:p>
        </w:tc>
        <w:tc>
          <w:tcPr>
            <w:tcW w:w="1727" w:type="dxa"/>
          </w:tcPr>
          <w:p w:rsidR="006C17CB" w:rsidRDefault="0030091C">
            <w:pPr>
              <w:pStyle w:val="TableParagraph"/>
              <w:spacing w:line="246" w:lineRule="exact"/>
              <w:ind w:left="285"/>
              <w:jc w:val="left"/>
              <w:rPr>
                <w:sz w:val="20"/>
              </w:rPr>
            </w:pPr>
            <w:r>
              <w:rPr>
                <w:color w:val="003366"/>
                <w:sz w:val="20"/>
              </w:rPr>
              <w:t>16</w:t>
            </w:r>
          </w:p>
        </w:tc>
        <w:tc>
          <w:tcPr>
            <w:tcW w:w="4888" w:type="dxa"/>
          </w:tcPr>
          <w:p w:rsidR="006C17CB" w:rsidRDefault="0030091C">
            <w:pPr>
              <w:pStyle w:val="TableParagraph"/>
              <w:tabs>
                <w:tab w:val="left" w:pos="710"/>
                <w:tab w:val="left" w:pos="1449"/>
                <w:tab w:val="left" w:pos="2347"/>
                <w:tab w:val="left" w:pos="3134"/>
                <w:tab w:val="left" w:pos="3760"/>
                <w:tab w:val="left" w:pos="4473"/>
              </w:tabs>
              <w:spacing w:line="246" w:lineRule="exact"/>
              <w:ind w:right="-15"/>
              <w:rPr>
                <w:sz w:val="20"/>
              </w:rPr>
            </w:pPr>
            <w:r>
              <w:rPr>
                <w:color w:val="003366"/>
                <w:w w:val="99"/>
                <w:sz w:val="20"/>
                <w:u w:val="single" w:color="003366"/>
              </w:rPr>
              <w:t xml:space="preserve"> </w:t>
            </w:r>
            <w:r>
              <w:rPr>
                <w:color w:val="003366"/>
                <w:sz w:val="20"/>
                <w:u w:val="single" w:color="003366"/>
              </w:rPr>
              <w:tab/>
              <w:t>-</w:t>
            </w:r>
            <w:r>
              <w:rPr>
                <w:color w:val="003366"/>
                <w:sz w:val="20"/>
                <w:u w:val="single" w:color="003366"/>
              </w:rPr>
              <w:tab/>
              <w:t>-</w:t>
            </w:r>
            <w:r>
              <w:rPr>
                <w:color w:val="003366"/>
                <w:sz w:val="20"/>
                <w:u w:val="single" w:color="003366"/>
              </w:rPr>
              <w:tab/>
              <w:t>-</w:t>
            </w:r>
            <w:r>
              <w:rPr>
                <w:color w:val="003366"/>
                <w:sz w:val="20"/>
                <w:u w:val="single" w:color="003366"/>
              </w:rPr>
              <w:tab/>
              <w:t>-</w:t>
            </w:r>
            <w:r>
              <w:rPr>
                <w:color w:val="003366"/>
                <w:sz w:val="20"/>
                <w:u w:val="single" w:color="003366"/>
              </w:rPr>
              <w:tab/>
              <w:t>546</w:t>
            </w:r>
            <w:r>
              <w:rPr>
                <w:color w:val="003366"/>
                <w:sz w:val="20"/>
                <w:u w:val="single" w:color="003366"/>
              </w:rPr>
              <w:tab/>
            </w:r>
            <w:r>
              <w:rPr>
                <w:color w:val="003366"/>
                <w:spacing w:val="-1"/>
                <w:w w:val="95"/>
                <w:sz w:val="20"/>
                <w:u w:val="single" w:color="003366"/>
              </w:rPr>
              <w:t>546</w:t>
            </w:r>
            <w:r>
              <w:rPr>
                <w:color w:val="003366"/>
                <w:spacing w:val="21"/>
                <w:sz w:val="20"/>
                <w:u w:val="single" w:color="003366"/>
              </w:rPr>
              <w:t xml:space="preserve"> </w:t>
            </w:r>
          </w:p>
        </w:tc>
      </w:tr>
      <w:tr w:rsidR="006C17CB">
        <w:trPr>
          <w:trHeight w:val="781"/>
        </w:trPr>
        <w:tc>
          <w:tcPr>
            <w:tcW w:w="2114" w:type="dxa"/>
          </w:tcPr>
          <w:p w:rsidR="006C17CB" w:rsidRDefault="0030091C">
            <w:pPr>
              <w:pStyle w:val="TableParagraph"/>
              <w:spacing w:line="201" w:lineRule="auto"/>
              <w:ind w:left="50" w:right="840"/>
              <w:jc w:val="left"/>
              <w:rPr>
                <w:b/>
                <w:sz w:val="20"/>
              </w:rPr>
            </w:pPr>
            <w:r>
              <w:rPr>
                <w:b/>
                <w:color w:val="003366"/>
                <w:sz w:val="20"/>
              </w:rPr>
              <w:t>Total Financial Liabilities</w:t>
            </w:r>
          </w:p>
        </w:tc>
        <w:tc>
          <w:tcPr>
            <w:tcW w:w="1727" w:type="dxa"/>
          </w:tcPr>
          <w:p w:rsidR="006C17CB" w:rsidRDefault="006C17CB">
            <w:pPr>
              <w:pStyle w:val="TableParagraph"/>
              <w:jc w:val="left"/>
              <w:rPr>
                <w:rFonts w:ascii="Times New Roman"/>
                <w:sz w:val="20"/>
              </w:rPr>
            </w:pPr>
          </w:p>
        </w:tc>
        <w:tc>
          <w:tcPr>
            <w:tcW w:w="4888" w:type="dxa"/>
            <w:tcBorders>
              <w:bottom w:val="single" w:sz="2" w:space="0" w:color="003366"/>
            </w:tcBorders>
          </w:tcPr>
          <w:p w:rsidR="006C17CB" w:rsidRDefault="006C17CB">
            <w:pPr>
              <w:pStyle w:val="TableParagraph"/>
              <w:spacing w:before="2"/>
              <w:jc w:val="left"/>
              <w:rPr>
                <w:sz w:val="14"/>
              </w:rPr>
            </w:pPr>
          </w:p>
          <w:p w:rsidR="006C17CB" w:rsidRDefault="0030091C">
            <w:pPr>
              <w:pStyle w:val="TableParagraph"/>
              <w:tabs>
                <w:tab w:val="left" w:pos="710"/>
                <w:tab w:val="left" w:pos="1449"/>
                <w:tab w:val="left" w:pos="2347"/>
                <w:tab w:val="left" w:pos="3134"/>
                <w:tab w:val="left" w:pos="3760"/>
                <w:tab w:val="left" w:pos="4473"/>
              </w:tabs>
              <w:ind w:right="-15"/>
              <w:rPr>
                <w:b/>
                <w:sz w:val="20"/>
              </w:rPr>
            </w:pPr>
            <w:r>
              <w:rPr>
                <w:b/>
                <w:color w:val="003366"/>
                <w:w w:val="99"/>
                <w:sz w:val="20"/>
                <w:u w:val="single" w:color="003366"/>
              </w:rPr>
              <w:t xml:space="preserve"> </w:t>
            </w:r>
            <w:r>
              <w:rPr>
                <w:b/>
                <w:color w:val="003366"/>
                <w:sz w:val="20"/>
                <w:u w:val="single" w:color="003366"/>
              </w:rPr>
              <w:tab/>
              <w:t>-</w:t>
            </w:r>
            <w:r>
              <w:rPr>
                <w:b/>
                <w:color w:val="003366"/>
                <w:sz w:val="20"/>
                <w:u w:val="single" w:color="003366"/>
              </w:rPr>
              <w:tab/>
              <w:t>-</w:t>
            </w:r>
            <w:r>
              <w:rPr>
                <w:b/>
                <w:color w:val="003366"/>
                <w:sz w:val="20"/>
                <w:u w:val="single" w:color="003366"/>
              </w:rPr>
              <w:tab/>
              <w:t>-</w:t>
            </w:r>
            <w:r>
              <w:rPr>
                <w:b/>
                <w:color w:val="003366"/>
                <w:sz w:val="20"/>
                <w:u w:val="single" w:color="003366"/>
              </w:rPr>
              <w:tab/>
              <w:t>-</w:t>
            </w:r>
            <w:r>
              <w:rPr>
                <w:b/>
                <w:color w:val="003366"/>
                <w:sz w:val="20"/>
                <w:u w:val="single" w:color="003366"/>
              </w:rPr>
              <w:tab/>
              <w:t>546</w:t>
            </w:r>
            <w:r>
              <w:rPr>
                <w:b/>
                <w:color w:val="003366"/>
                <w:sz w:val="20"/>
                <w:u w:val="single" w:color="003366"/>
              </w:rPr>
              <w:tab/>
            </w:r>
            <w:r>
              <w:rPr>
                <w:b/>
                <w:color w:val="003366"/>
                <w:spacing w:val="-1"/>
                <w:w w:val="95"/>
                <w:sz w:val="20"/>
                <w:u w:val="single" w:color="003366"/>
              </w:rPr>
              <w:t>546</w:t>
            </w:r>
            <w:r>
              <w:rPr>
                <w:b/>
                <w:color w:val="003366"/>
                <w:spacing w:val="21"/>
                <w:sz w:val="20"/>
                <w:u w:val="single" w:color="003366"/>
              </w:rPr>
              <w:t xml:space="preserve"> </w:t>
            </w:r>
          </w:p>
        </w:tc>
      </w:tr>
      <w:tr w:rsidR="006C17CB">
        <w:trPr>
          <w:trHeight w:val="282"/>
        </w:trPr>
        <w:tc>
          <w:tcPr>
            <w:tcW w:w="2114" w:type="dxa"/>
          </w:tcPr>
          <w:p w:rsidR="006C17CB" w:rsidRDefault="0030091C">
            <w:pPr>
              <w:pStyle w:val="TableParagraph"/>
              <w:spacing w:line="262" w:lineRule="exact"/>
              <w:ind w:left="50"/>
              <w:jc w:val="left"/>
              <w:rPr>
                <w:b/>
                <w:sz w:val="20"/>
              </w:rPr>
            </w:pPr>
            <w:r>
              <w:rPr>
                <w:b/>
                <w:color w:val="003366"/>
                <w:sz w:val="20"/>
              </w:rPr>
              <w:t>Net Financial Assets</w:t>
            </w:r>
          </w:p>
        </w:tc>
        <w:tc>
          <w:tcPr>
            <w:tcW w:w="1727" w:type="dxa"/>
          </w:tcPr>
          <w:p w:rsidR="006C17CB" w:rsidRDefault="006C17CB">
            <w:pPr>
              <w:pStyle w:val="TableParagraph"/>
              <w:jc w:val="left"/>
              <w:rPr>
                <w:rFonts w:ascii="Times New Roman"/>
                <w:sz w:val="20"/>
              </w:rPr>
            </w:pPr>
          </w:p>
        </w:tc>
        <w:tc>
          <w:tcPr>
            <w:tcW w:w="4888" w:type="dxa"/>
            <w:tcBorders>
              <w:top w:val="single" w:sz="2" w:space="0" w:color="003366"/>
              <w:bottom w:val="double" w:sz="1" w:space="0" w:color="17365D"/>
            </w:tcBorders>
          </w:tcPr>
          <w:p w:rsidR="006C17CB" w:rsidRDefault="0030091C">
            <w:pPr>
              <w:pStyle w:val="TableParagraph"/>
              <w:tabs>
                <w:tab w:val="left" w:pos="878"/>
                <w:tab w:val="left" w:pos="1775"/>
                <w:tab w:val="left" w:pos="2563"/>
                <w:tab w:val="left" w:pos="3038"/>
                <w:tab w:val="left" w:pos="3751"/>
              </w:tabs>
              <w:spacing w:line="262" w:lineRule="exact"/>
              <w:ind w:right="109"/>
              <w:rPr>
                <w:b/>
                <w:sz w:val="20"/>
              </w:rPr>
            </w:pPr>
            <w:r>
              <w:rPr>
                <w:b/>
                <w:color w:val="003366"/>
                <w:sz w:val="20"/>
              </w:rPr>
              <w:t>84</w:t>
            </w:r>
            <w:r>
              <w:rPr>
                <w:b/>
                <w:color w:val="003366"/>
                <w:sz w:val="20"/>
              </w:rPr>
              <w:tab/>
              <w:t>-</w:t>
            </w:r>
            <w:r>
              <w:rPr>
                <w:b/>
                <w:color w:val="003366"/>
                <w:sz w:val="20"/>
              </w:rPr>
              <w:tab/>
              <w:t>-</w:t>
            </w:r>
            <w:r>
              <w:rPr>
                <w:b/>
                <w:color w:val="003366"/>
                <w:sz w:val="20"/>
              </w:rPr>
              <w:tab/>
              <w:t>-</w:t>
            </w:r>
            <w:r>
              <w:rPr>
                <w:b/>
                <w:color w:val="003366"/>
                <w:sz w:val="20"/>
              </w:rPr>
              <w:tab/>
              <w:t>1,539</w:t>
            </w:r>
            <w:r>
              <w:rPr>
                <w:b/>
                <w:color w:val="003366"/>
                <w:sz w:val="20"/>
              </w:rPr>
              <w:tab/>
            </w:r>
            <w:r>
              <w:rPr>
                <w:b/>
                <w:color w:val="003366"/>
                <w:spacing w:val="-2"/>
                <w:sz w:val="20"/>
              </w:rPr>
              <w:t>1,623</w:t>
            </w:r>
          </w:p>
        </w:tc>
      </w:tr>
    </w:tbl>
    <w:p w:rsidR="006C17CB" w:rsidRDefault="006C17CB">
      <w:pPr>
        <w:spacing w:line="262" w:lineRule="exact"/>
        <w:rPr>
          <w:sz w:val="20"/>
        </w:rPr>
        <w:sectPr w:rsidR="006C17CB">
          <w:pgSz w:w="11910" w:h="16840"/>
          <w:pgMar w:top="2780" w:right="0" w:bottom="740" w:left="980" w:header="1173" w:footer="551" w:gutter="0"/>
          <w:cols w:space="720"/>
        </w:sectPr>
      </w:pPr>
    </w:p>
    <w:p w:rsidR="006C17CB" w:rsidRDefault="006C17CB">
      <w:pPr>
        <w:pStyle w:val="BodyText"/>
        <w:spacing w:before="11"/>
        <w:rPr>
          <w:rFonts w:ascii="Calibri"/>
          <w:sz w:val="19"/>
        </w:rPr>
      </w:pPr>
    </w:p>
    <w:tbl>
      <w:tblPr>
        <w:tblW w:w="0" w:type="auto"/>
        <w:tblInd w:w="777" w:type="dxa"/>
        <w:tblLayout w:type="fixed"/>
        <w:tblCellMar>
          <w:left w:w="0" w:type="dxa"/>
          <w:right w:w="0" w:type="dxa"/>
        </w:tblCellMar>
        <w:tblLook w:val="01E0" w:firstRow="1" w:lastRow="1" w:firstColumn="1" w:lastColumn="1" w:noHBand="0" w:noVBand="0"/>
      </w:tblPr>
      <w:tblGrid>
        <w:gridCol w:w="6517"/>
        <w:gridCol w:w="1201"/>
        <w:gridCol w:w="957"/>
      </w:tblGrid>
      <w:tr w:rsidR="006C17CB">
        <w:trPr>
          <w:trHeight w:val="282"/>
        </w:trPr>
        <w:tc>
          <w:tcPr>
            <w:tcW w:w="6517" w:type="dxa"/>
          </w:tcPr>
          <w:p w:rsidR="006C17CB" w:rsidRDefault="0030091C">
            <w:pPr>
              <w:pStyle w:val="TableParagraph"/>
              <w:spacing w:line="203" w:lineRule="exact"/>
              <w:ind w:left="50"/>
              <w:jc w:val="left"/>
              <w:rPr>
                <w:b/>
                <w:sz w:val="20"/>
              </w:rPr>
            </w:pPr>
            <w:r>
              <w:rPr>
                <w:b/>
                <w:color w:val="003366"/>
                <w:sz w:val="20"/>
              </w:rPr>
              <w:t>Carrying Amount of Each Category of Financial Asset and Financial Liability</w:t>
            </w:r>
          </w:p>
        </w:tc>
        <w:tc>
          <w:tcPr>
            <w:tcW w:w="2158" w:type="dxa"/>
            <w:gridSpan w:val="2"/>
          </w:tcPr>
          <w:p w:rsidR="006C17CB" w:rsidRDefault="006C17CB">
            <w:pPr>
              <w:pStyle w:val="TableParagraph"/>
              <w:jc w:val="left"/>
              <w:rPr>
                <w:rFonts w:ascii="Times New Roman"/>
                <w:sz w:val="20"/>
              </w:rPr>
            </w:pPr>
          </w:p>
        </w:tc>
      </w:tr>
      <w:tr w:rsidR="006C17CB">
        <w:trPr>
          <w:trHeight w:val="568"/>
        </w:trPr>
        <w:tc>
          <w:tcPr>
            <w:tcW w:w="6517" w:type="dxa"/>
          </w:tcPr>
          <w:p w:rsidR="006C17CB" w:rsidRDefault="006C17CB">
            <w:pPr>
              <w:pStyle w:val="TableParagraph"/>
              <w:jc w:val="left"/>
              <w:rPr>
                <w:rFonts w:ascii="Times New Roman"/>
                <w:sz w:val="20"/>
              </w:rPr>
            </w:pPr>
          </w:p>
        </w:tc>
        <w:tc>
          <w:tcPr>
            <w:tcW w:w="1201" w:type="dxa"/>
          </w:tcPr>
          <w:p w:rsidR="006C17CB" w:rsidRDefault="0030091C">
            <w:pPr>
              <w:pStyle w:val="TableParagraph"/>
              <w:spacing w:line="264" w:lineRule="exact"/>
              <w:ind w:left="344"/>
              <w:jc w:val="left"/>
              <w:rPr>
                <w:b/>
                <w:sz w:val="20"/>
              </w:rPr>
            </w:pPr>
            <w:r>
              <w:rPr>
                <w:b/>
                <w:color w:val="003366"/>
                <w:sz w:val="20"/>
              </w:rPr>
              <w:t>2018</w:t>
            </w:r>
          </w:p>
          <w:p w:rsidR="006C17CB" w:rsidRDefault="0030091C">
            <w:pPr>
              <w:pStyle w:val="TableParagraph"/>
              <w:spacing w:line="267" w:lineRule="exact"/>
              <w:ind w:left="293"/>
              <w:jc w:val="left"/>
              <w:rPr>
                <w:b/>
                <w:sz w:val="20"/>
              </w:rPr>
            </w:pPr>
            <w:r>
              <w:rPr>
                <w:b/>
                <w:color w:val="003366"/>
                <w:sz w:val="20"/>
              </w:rPr>
              <w:t>$’000</w:t>
            </w:r>
          </w:p>
        </w:tc>
        <w:tc>
          <w:tcPr>
            <w:tcW w:w="957" w:type="dxa"/>
          </w:tcPr>
          <w:p w:rsidR="006C17CB" w:rsidRDefault="0030091C">
            <w:pPr>
              <w:pStyle w:val="TableParagraph"/>
              <w:spacing w:line="264" w:lineRule="exact"/>
              <w:ind w:left="501"/>
              <w:jc w:val="left"/>
              <w:rPr>
                <w:b/>
                <w:sz w:val="20"/>
              </w:rPr>
            </w:pPr>
            <w:r>
              <w:rPr>
                <w:b/>
                <w:color w:val="003366"/>
                <w:sz w:val="20"/>
              </w:rPr>
              <w:t>2017</w:t>
            </w:r>
          </w:p>
          <w:p w:rsidR="006C17CB" w:rsidRDefault="0030091C">
            <w:pPr>
              <w:pStyle w:val="TableParagraph"/>
              <w:spacing w:line="267" w:lineRule="exact"/>
              <w:ind w:left="451"/>
              <w:jc w:val="left"/>
              <w:rPr>
                <w:b/>
                <w:sz w:val="20"/>
              </w:rPr>
            </w:pPr>
            <w:r>
              <w:rPr>
                <w:b/>
                <w:color w:val="003366"/>
                <w:sz w:val="20"/>
              </w:rPr>
              <w:t>$’000</w:t>
            </w:r>
          </w:p>
        </w:tc>
      </w:tr>
      <w:tr w:rsidR="006C17CB">
        <w:trPr>
          <w:trHeight w:val="426"/>
        </w:trPr>
        <w:tc>
          <w:tcPr>
            <w:tcW w:w="6517" w:type="dxa"/>
          </w:tcPr>
          <w:p w:rsidR="006C17CB" w:rsidRDefault="0030091C">
            <w:pPr>
              <w:pStyle w:val="TableParagraph"/>
              <w:spacing w:line="245" w:lineRule="exact"/>
              <w:ind w:left="50"/>
              <w:jc w:val="left"/>
              <w:rPr>
                <w:b/>
                <w:sz w:val="20"/>
              </w:rPr>
            </w:pPr>
            <w:r>
              <w:rPr>
                <w:b/>
                <w:color w:val="003366"/>
                <w:sz w:val="20"/>
              </w:rPr>
              <w:t>Financial Assets</w:t>
            </w:r>
          </w:p>
        </w:tc>
        <w:tc>
          <w:tcPr>
            <w:tcW w:w="1201" w:type="dxa"/>
          </w:tcPr>
          <w:p w:rsidR="006C17CB" w:rsidRDefault="006C17CB">
            <w:pPr>
              <w:pStyle w:val="TableParagraph"/>
              <w:jc w:val="left"/>
              <w:rPr>
                <w:rFonts w:ascii="Times New Roman"/>
                <w:sz w:val="20"/>
              </w:rPr>
            </w:pPr>
          </w:p>
        </w:tc>
        <w:tc>
          <w:tcPr>
            <w:tcW w:w="957" w:type="dxa"/>
          </w:tcPr>
          <w:p w:rsidR="006C17CB" w:rsidRDefault="006C17CB">
            <w:pPr>
              <w:pStyle w:val="TableParagraph"/>
              <w:jc w:val="left"/>
              <w:rPr>
                <w:rFonts w:ascii="Times New Roman"/>
                <w:sz w:val="20"/>
              </w:rPr>
            </w:pPr>
          </w:p>
        </w:tc>
      </w:tr>
      <w:tr w:rsidR="006C17CB">
        <w:trPr>
          <w:trHeight w:val="670"/>
        </w:trPr>
        <w:tc>
          <w:tcPr>
            <w:tcW w:w="6517" w:type="dxa"/>
          </w:tcPr>
          <w:p w:rsidR="006C17CB" w:rsidRDefault="0030091C">
            <w:pPr>
              <w:pStyle w:val="TableParagraph"/>
              <w:spacing w:before="135" w:line="204" w:lineRule="auto"/>
              <w:ind w:left="621" w:right="893" w:hanging="569"/>
              <w:jc w:val="left"/>
              <w:rPr>
                <w:sz w:val="20"/>
              </w:rPr>
            </w:pPr>
            <w:r>
              <w:rPr>
                <w:color w:val="003366"/>
                <w:sz w:val="20"/>
              </w:rPr>
              <w:t>Financial Assets at Fair Value through the Profit and Loss Designated upon Initial Recognition</w:t>
            </w:r>
          </w:p>
        </w:tc>
        <w:tc>
          <w:tcPr>
            <w:tcW w:w="1201" w:type="dxa"/>
          </w:tcPr>
          <w:p w:rsidR="006C17CB" w:rsidRDefault="006C17CB">
            <w:pPr>
              <w:pStyle w:val="TableParagraph"/>
              <w:spacing w:before="12"/>
              <w:jc w:val="left"/>
              <w:rPr>
                <w:sz w:val="23"/>
              </w:rPr>
            </w:pPr>
          </w:p>
          <w:p w:rsidR="006C17CB" w:rsidRDefault="0030091C">
            <w:pPr>
              <w:pStyle w:val="TableParagraph"/>
              <w:spacing w:before="1"/>
              <w:ind w:right="451"/>
              <w:rPr>
                <w:sz w:val="20"/>
              </w:rPr>
            </w:pPr>
            <w:r>
              <w:rPr>
                <w:color w:val="003366"/>
                <w:w w:val="95"/>
                <w:sz w:val="20"/>
              </w:rPr>
              <w:t>2,251</w:t>
            </w:r>
          </w:p>
        </w:tc>
        <w:tc>
          <w:tcPr>
            <w:tcW w:w="957" w:type="dxa"/>
          </w:tcPr>
          <w:p w:rsidR="006C17CB" w:rsidRDefault="006C17CB">
            <w:pPr>
              <w:pStyle w:val="TableParagraph"/>
              <w:spacing w:before="12"/>
              <w:jc w:val="left"/>
              <w:rPr>
                <w:sz w:val="23"/>
              </w:rPr>
            </w:pPr>
          </w:p>
          <w:p w:rsidR="006C17CB" w:rsidRDefault="0030091C">
            <w:pPr>
              <w:pStyle w:val="TableParagraph"/>
              <w:spacing w:before="1"/>
              <w:ind w:right="50"/>
              <w:rPr>
                <w:sz w:val="20"/>
              </w:rPr>
            </w:pPr>
            <w:r>
              <w:rPr>
                <w:color w:val="003366"/>
                <w:w w:val="95"/>
                <w:sz w:val="20"/>
              </w:rPr>
              <w:t>2,058</w:t>
            </w:r>
          </w:p>
        </w:tc>
      </w:tr>
      <w:tr w:rsidR="006C17CB">
        <w:trPr>
          <w:trHeight w:val="406"/>
        </w:trPr>
        <w:tc>
          <w:tcPr>
            <w:tcW w:w="6517" w:type="dxa"/>
          </w:tcPr>
          <w:p w:rsidR="006C17CB" w:rsidRDefault="0030091C">
            <w:pPr>
              <w:pStyle w:val="TableParagraph"/>
              <w:spacing w:line="245" w:lineRule="exact"/>
              <w:ind w:left="50"/>
              <w:jc w:val="left"/>
              <w:rPr>
                <w:sz w:val="20"/>
              </w:rPr>
            </w:pPr>
            <w:r>
              <w:rPr>
                <w:color w:val="003366"/>
                <w:sz w:val="20"/>
              </w:rPr>
              <w:t>Loans and Receivables Measured at Amortised Cost</w:t>
            </w:r>
          </w:p>
        </w:tc>
        <w:tc>
          <w:tcPr>
            <w:tcW w:w="1201" w:type="dxa"/>
          </w:tcPr>
          <w:p w:rsidR="006C17CB" w:rsidRDefault="0030091C">
            <w:pPr>
              <w:pStyle w:val="TableParagraph"/>
              <w:spacing w:line="245" w:lineRule="exact"/>
              <w:ind w:right="449"/>
              <w:rPr>
                <w:sz w:val="20"/>
              </w:rPr>
            </w:pPr>
            <w:r>
              <w:rPr>
                <w:color w:val="003366"/>
                <w:w w:val="95"/>
                <w:sz w:val="20"/>
              </w:rPr>
              <w:t>27</w:t>
            </w:r>
          </w:p>
        </w:tc>
        <w:tc>
          <w:tcPr>
            <w:tcW w:w="957" w:type="dxa"/>
          </w:tcPr>
          <w:p w:rsidR="006C17CB" w:rsidRDefault="0030091C">
            <w:pPr>
              <w:pStyle w:val="TableParagraph"/>
              <w:spacing w:line="245" w:lineRule="exact"/>
              <w:ind w:right="47"/>
              <w:rPr>
                <w:sz w:val="20"/>
              </w:rPr>
            </w:pPr>
            <w:r>
              <w:rPr>
                <w:color w:val="003366"/>
                <w:w w:val="95"/>
                <w:sz w:val="20"/>
              </w:rPr>
              <w:t>26</w:t>
            </w:r>
          </w:p>
        </w:tc>
      </w:tr>
      <w:tr w:rsidR="006C17CB">
        <w:trPr>
          <w:trHeight w:val="406"/>
        </w:trPr>
        <w:tc>
          <w:tcPr>
            <w:tcW w:w="6517" w:type="dxa"/>
          </w:tcPr>
          <w:p w:rsidR="006C17CB" w:rsidRDefault="0030091C">
            <w:pPr>
              <w:pStyle w:val="TableParagraph"/>
              <w:spacing w:before="80"/>
              <w:ind w:left="50"/>
              <w:jc w:val="left"/>
              <w:rPr>
                <w:b/>
                <w:sz w:val="20"/>
              </w:rPr>
            </w:pPr>
            <w:r>
              <w:rPr>
                <w:b/>
                <w:color w:val="003366"/>
                <w:sz w:val="20"/>
              </w:rPr>
              <w:t>Financial Liabilities</w:t>
            </w:r>
          </w:p>
        </w:tc>
        <w:tc>
          <w:tcPr>
            <w:tcW w:w="1201" w:type="dxa"/>
          </w:tcPr>
          <w:p w:rsidR="006C17CB" w:rsidRDefault="006C17CB">
            <w:pPr>
              <w:pStyle w:val="TableParagraph"/>
              <w:jc w:val="left"/>
              <w:rPr>
                <w:rFonts w:ascii="Times New Roman"/>
                <w:sz w:val="20"/>
              </w:rPr>
            </w:pPr>
          </w:p>
        </w:tc>
        <w:tc>
          <w:tcPr>
            <w:tcW w:w="957" w:type="dxa"/>
          </w:tcPr>
          <w:p w:rsidR="006C17CB" w:rsidRDefault="006C17CB">
            <w:pPr>
              <w:pStyle w:val="TableParagraph"/>
              <w:jc w:val="left"/>
              <w:rPr>
                <w:rFonts w:ascii="Times New Roman"/>
                <w:sz w:val="20"/>
              </w:rPr>
            </w:pPr>
          </w:p>
        </w:tc>
      </w:tr>
      <w:tr w:rsidR="006C17CB">
        <w:trPr>
          <w:trHeight w:val="241"/>
        </w:trPr>
        <w:tc>
          <w:tcPr>
            <w:tcW w:w="6517" w:type="dxa"/>
          </w:tcPr>
          <w:p w:rsidR="006C17CB" w:rsidRDefault="0030091C">
            <w:pPr>
              <w:pStyle w:val="TableParagraph"/>
              <w:spacing w:line="221" w:lineRule="exact"/>
              <w:ind w:left="50"/>
              <w:jc w:val="left"/>
              <w:rPr>
                <w:sz w:val="20"/>
              </w:rPr>
            </w:pPr>
            <w:r>
              <w:rPr>
                <w:color w:val="003366"/>
                <w:sz w:val="20"/>
              </w:rPr>
              <w:t>Financial Liabilities Measured at Amortised Cost</w:t>
            </w:r>
          </w:p>
        </w:tc>
        <w:tc>
          <w:tcPr>
            <w:tcW w:w="1201" w:type="dxa"/>
          </w:tcPr>
          <w:p w:rsidR="006C17CB" w:rsidRDefault="0030091C">
            <w:pPr>
              <w:pStyle w:val="TableParagraph"/>
              <w:spacing w:line="221" w:lineRule="exact"/>
              <w:ind w:right="451"/>
              <w:rPr>
                <w:sz w:val="20"/>
              </w:rPr>
            </w:pPr>
            <w:r>
              <w:rPr>
                <w:color w:val="003366"/>
                <w:w w:val="95"/>
                <w:sz w:val="20"/>
              </w:rPr>
              <w:t>288</w:t>
            </w:r>
          </w:p>
        </w:tc>
        <w:tc>
          <w:tcPr>
            <w:tcW w:w="957" w:type="dxa"/>
          </w:tcPr>
          <w:p w:rsidR="006C17CB" w:rsidRDefault="0030091C">
            <w:pPr>
              <w:pStyle w:val="TableParagraph"/>
              <w:spacing w:line="221" w:lineRule="exact"/>
              <w:ind w:right="50"/>
              <w:rPr>
                <w:sz w:val="20"/>
              </w:rPr>
            </w:pPr>
            <w:r>
              <w:rPr>
                <w:color w:val="003366"/>
                <w:w w:val="95"/>
                <w:sz w:val="20"/>
              </w:rPr>
              <w:t>546</w:t>
            </w:r>
          </w:p>
        </w:tc>
      </w:tr>
    </w:tbl>
    <w:p w:rsidR="006C17CB" w:rsidRDefault="006C17CB">
      <w:pPr>
        <w:pStyle w:val="BodyText"/>
        <w:spacing w:before="5"/>
        <w:rPr>
          <w:rFonts w:ascii="Calibri"/>
          <w:sz w:val="25"/>
        </w:rPr>
      </w:pPr>
    </w:p>
    <w:p w:rsidR="006C17CB" w:rsidRDefault="0030091C">
      <w:pPr>
        <w:spacing w:before="50" w:line="204" w:lineRule="auto"/>
        <w:ind w:left="827" w:right="1517"/>
        <w:jc w:val="both"/>
        <w:rPr>
          <w:rFonts w:ascii="Calibri" w:hAnsi="Calibri"/>
          <w:sz w:val="20"/>
        </w:rPr>
      </w:pPr>
      <w:r>
        <w:rPr>
          <w:rFonts w:ascii="Calibri" w:hAnsi="Calibri"/>
          <w:color w:val="003366"/>
          <w:sz w:val="20"/>
        </w:rPr>
        <w:t>The Office does not have any financial assets in the ‘Available for Sale’ category or the ‘Held to Maturity’ category</w:t>
      </w:r>
      <w:r>
        <w:rPr>
          <w:rFonts w:ascii="Calibri" w:hAnsi="Calibri"/>
          <w:color w:val="003366"/>
          <w:spacing w:val="-9"/>
          <w:sz w:val="20"/>
        </w:rPr>
        <w:t xml:space="preserve"> </w:t>
      </w:r>
      <w:r>
        <w:rPr>
          <w:rFonts w:ascii="Calibri" w:hAnsi="Calibri"/>
          <w:color w:val="003366"/>
          <w:sz w:val="20"/>
        </w:rPr>
        <w:t>and,</w:t>
      </w:r>
      <w:r>
        <w:rPr>
          <w:rFonts w:ascii="Calibri" w:hAnsi="Calibri"/>
          <w:color w:val="003366"/>
          <w:spacing w:val="-10"/>
          <w:sz w:val="20"/>
        </w:rPr>
        <w:t xml:space="preserve"> </w:t>
      </w:r>
      <w:r>
        <w:rPr>
          <w:rFonts w:ascii="Calibri" w:hAnsi="Calibri"/>
          <w:color w:val="003366"/>
          <w:sz w:val="20"/>
        </w:rPr>
        <w:t>as</w:t>
      </w:r>
      <w:r>
        <w:rPr>
          <w:rFonts w:ascii="Calibri" w:hAnsi="Calibri"/>
          <w:color w:val="003366"/>
          <w:spacing w:val="-11"/>
          <w:sz w:val="20"/>
        </w:rPr>
        <w:t xml:space="preserve"> </w:t>
      </w:r>
      <w:r>
        <w:rPr>
          <w:rFonts w:ascii="Calibri" w:hAnsi="Calibri"/>
          <w:color w:val="003366"/>
          <w:sz w:val="20"/>
        </w:rPr>
        <w:t>such,</w:t>
      </w:r>
      <w:r>
        <w:rPr>
          <w:rFonts w:ascii="Calibri" w:hAnsi="Calibri"/>
          <w:color w:val="003366"/>
          <w:spacing w:val="-10"/>
          <w:sz w:val="20"/>
        </w:rPr>
        <w:t xml:space="preserve"> </w:t>
      </w:r>
      <w:r>
        <w:rPr>
          <w:rFonts w:ascii="Calibri" w:hAnsi="Calibri"/>
          <w:color w:val="003366"/>
          <w:sz w:val="20"/>
        </w:rPr>
        <w:t>these</w:t>
      </w:r>
      <w:r>
        <w:rPr>
          <w:rFonts w:ascii="Calibri" w:hAnsi="Calibri"/>
          <w:color w:val="003366"/>
          <w:spacing w:val="-9"/>
          <w:sz w:val="20"/>
        </w:rPr>
        <w:t xml:space="preserve"> </w:t>
      </w:r>
      <w:r>
        <w:rPr>
          <w:rFonts w:ascii="Calibri" w:hAnsi="Calibri"/>
          <w:color w:val="003366"/>
          <w:sz w:val="20"/>
        </w:rPr>
        <w:t>categories</w:t>
      </w:r>
      <w:r>
        <w:rPr>
          <w:rFonts w:ascii="Calibri" w:hAnsi="Calibri"/>
          <w:color w:val="003366"/>
          <w:spacing w:val="-11"/>
          <w:sz w:val="20"/>
        </w:rPr>
        <w:t xml:space="preserve"> </w:t>
      </w:r>
      <w:r>
        <w:rPr>
          <w:rFonts w:ascii="Calibri" w:hAnsi="Calibri"/>
          <w:color w:val="003366"/>
          <w:sz w:val="20"/>
        </w:rPr>
        <w:t>are</w:t>
      </w:r>
      <w:r>
        <w:rPr>
          <w:rFonts w:ascii="Calibri" w:hAnsi="Calibri"/>
          <w:color w:val="003366"/>
          <w:spacing w:val="-11"/>
          <w:sz w:val="20"/>
        </w:rPr>
        <w:t xml:space="preserve"> </w:t>
      </w:r>
      <w:r>
        <w:rPr>
          <w:rFonts w:ascii="Calibri" w:hAnsi="Calibri"/>
          <w:color w:val="003366"/>
          <w:sz w:val="20"/>
        </w:rPr>
        <w:t>not</w:t>
      </w:r>
      <w:r>
        <w:rPr>
          <w:rFonts w:ascii="Calibri" w:hAnsi="Calibri"/>
          <w:color w:val="003366"/>
          <w:spacing w:val="-10"/>
          <w:sz w:val="20"/>
        </w:rPr>
        <w:t xml:space="preserve"> </w:t>
      </w:r>
      <w:r>
        <w:rPr>
          <w:rFonts w:ascii="Calibri" w:hAnsi="Calibri"/>
          <w:color w:val="003366"/>
          <w:sz w:val="20"/>
        </w:rPr>
        <w:t>included</w:t>
      </w:r>
      <w:r>
        <w:rPr>
          <w:rFonts w:ascii="Calibri" w:hAnsi="Calibri"/>
          <w:color w:val="003366"/>
          <w:spacing w:val="-9"/>
          <w:sz w:val="20"/>
        </w:rPr>
        <w:t xml:space="preserve"> </w:t>
      </w:r>
      <w:r>
        <w:rPr>
          <w:rFonts w:ascii="Calibri" w:hAnsi="Calibri"/>
          <w:color w:val="003366"/>
          <w:sz w:val="20"/>
        </w:rPr>
        <w:t>above.</w:t>
      </w:r>
      <w:r>
        <w:rPr>
          <w:rFonts w:ascii="Calibri" w:hAnsi="Calibri"/>
          <w:color w:val="003366"/>
          <w:spacing w:val="-8"/>
          <w:sz w:val="20"/>
        </w:rPr>
        <w:t xml:space="preserve"> </w:t>
      </w:r>
      <w:r>
        <w:rPr>
          <w:rFonts w:ascii="Calibri" w:hAnsi="Calibri"/>
          <w:color w:val="003366"/>
          <w:sz w:val="20"/>
        </w:rPr>
        <w:t>Also,</w:t>
      </w:r>
      <w:r>
        <w:rPr>
          <w:rFonts w:ascii="Calibri" w:hAnsi="Calibri"/>
          <w:color w:val="003366"/>
          <w:spacing w:val="-10"/>
          <w:sz w:val="20"/>
        </w:rPr>
        <w:t xml:space="preserve"> </w:t>
      </w:r>
      <w:r>
        <w:rPr>
          <w:rFonts w:ascii="Calibri" w:hAnsi="Calibri"/>
          <w:color w:val="003366"/>
          <w:sz w:val="20"/>
        </w:rPr>
        <w:t>the</w:t>
      </w:r>
      <w:r>
        <w:rPr>
          <w:rFonts w:ascii="Calibri" w:hAnsi="Calibri"/>
          <w:color w:val="003366"/>
          <w:spacing w:val="-9"/>
          <w:sz w:val="20"/>
        </w:rPr>
        <w:t xml:space="preserve"> </w:t>
      </w:r>
      <w:r>
        <w:rPr>
          <w:rFonts w:ascii="Calibri" w:hAnsi="Calibri"/>
          <w:color w:val="003366"/>
          <w:sz w:val="20"/>
        </w:rPr>
        <w:t>Office</w:t>
      </w:r>
      <w:r>
        <w:rPr>
          <w:rFonts w:ascii="Calibri" w:hAnsi="Calibri"/>
          <w:color w:val="003366"/>
          <w:spacing w:val="-11"/>
          <w:sz w:val="20"/>
        </w:rPr>
        <w:t xml:space="preserve"> </w:t>
      </w:r>
      <w:r>
        <w:rPr>
          <w:rFonts w:ascii="Calibri" w:hAnsi="Calibri"/>
          <w:color w:val="003366"/>
          <w:sz w:val="20"/>
        </w:rPr>
        <w:t>does</w:t>
      </w:r>
      <w:r>
        <w:rPr>
          <w:rFonts w:ascii="Calibri" w:hAnsi="Calibri"/>
          <w:color w:val="003366"/>
          <w:spacing w:val="-11"/>
          <w:sz w:val="20"/>
        </w:rPr>
        <w:t xml:space="preserve"> </w:t>
      </w:r>
      <w:r>
        <w:rPr>
          <w:rFonts w:ascii="Calibri" w:hAnsi="Calibri"/>
          <w:color w:val="003366"/>
          <w:sz w:val="20"/>
        </w:rPr>
        <w:t>not</w:t>
      </w:r>
      <w:r>
        <w:rPr>
          <w:rFonts w:ascii="Calibri" w:hAnsi="Calibri"/>
          <w:color w:val="003366"/>
          <w:spacing w:val="-10"/>
          <w:sz w:val="20"/>
        </w:rPr>
        <w:t xml:space="preserve"> </w:t>
      </w:r>
      <w:r>
        <w:rPr>
          <w:rFonts w:ascii="Calibri" w:hAnsi="Calibri"/>
          <w:color w:val="003366"/>
          <w:sz w:val="20"/>
        </w:rPr>
        <w:t>have</w:t>
      </w:r>
      <w:r>
        <w:rPr>
          <w:rFonts w:ascii="Calibri" w:hAnsi="Calibri"/>
          <w:color w:val="003366"/>
          <w:spacing w:val="-11"/>
          <w:sz w:val="20"/>
        </w:rPr>
        <w:t xml:space="preserve"> </w:t>
      </w:r>
      <w:r>
        <w:rPr>
          <w:rFonts w:ascii="Calibri" w:hAnsi="Calibri"/>
          <w:color w:val="003366"/>
          <w:sz w:val="20"/>
        </w:rPr>
        <w:t>any</w:t>
      </w:r>
      <w:r>
        <w:rPr>
          <w:rFonts w:ascii="Calibri" w:hAnsi="Calibri"/>
          <w:color w:val="003366"/>
          <w:spacing w:val="-9"/>
          <w:sz w:val="20"/>
        </w:rPr>
        <w:t xml:space="preserve"> </w:t>
      </w:r>
      <w:r>
        <w:rPr>
          <w:rFonts w:ascii="Calibri" w:hAnsi="Calibri"/>
          <w:color w:val="003366"/>
          <w:sz w:val="20"/>
        </w:rPr>
        <w:t>financial liabilities in the ‘Financial Liabilities at Fair Value through Profit and Loss’ category and, as such, this category is not included above.</w:t>
      </w:r>
    </w:p>
    <w:p w:rsidR="006C17CB" w:rsidRDefault="006C17CB">
      <w:pPr>
        <w:pStyle w:val="BodyText"/>
        <w:rPr>
          <w:rFonts w:ascii="Calibri"/>
          <w:sz w:val="20"/>
        </w:rPr>
      </w:pPr>
    </w:p>
    <w:p w:rsidR="006C17CB" w:rsidRDefault="006C17CB">
      <w:pPr>
        <w:pStyle w:val="BodyText"/>
        <w:spacing w:before="14"/>
        <w:rPr>
          <w:rFonts w:ascii="Calibri"/>
          <w:sz w:val="14"/>
        </w:rPr>
      </w:pPr>
    </w:p>
    <w:p w:rsidR="006C17CB" w:rsidRDefault="0030091C">
      <w:pPr>
        <w:spacing w:line="338" w:lineRule="auto"/>
        <w:ind w:left="827" w:right="4618"/>
        <w:rPr>
          <w:rFonts w:ascii="Calibri"/>
          <w:b/>
          <w:sz w:val="20"/>
        </w:rPr>
      </w:pPr>
      <w:r>
        <w:rPr>
          <w:rFonts w:ascii="Calibri"/>
          <w:b/>
          <w:color w:val="17365D"/>
          <w:sz w:val="20"/>
        </w:rPr>
        <w:t>(Losses) on Each Category of Financial Asset and Financial Liability (Losses) on Financial Assets</w:t>
      </w:r>
    </w:p>
    <w:p w:rsidR="006C17CB" w:rsidRDefault="0030091C">
      <w:pPr>
        <w:spacing w:before="159" w:line="267" w:lineRule="exact"/>
        <w:ind w:left="827"/>
        <w:jc w:val="both"/>
        <w:rPr>
          <w:rFonts w:ascii="Calibri"/>
          <w:sz w:val="20"/>
        </w:rPr>
      </w:pPr>
      <w:r>
        <w:rPr>
          <w:rFonts w:ascii="Calibri"/>
          <w:color w:val="003366"/>
          <w:sz w:val="20"/>
        </w:rPr>
        <w:t>Financial Assets at Fair Value through the Profit and Loss Designated</w:t>
      </w:r>
    </w:p>
    <w:p w:rsidR="006C17CB" w:rsidRDefault="0030091C">
      <w:pPr>
        <w:tabs>
          <w:tab w:val="left" w:pos="7820"/>
          <w:tab w:val="left" w:pos="9339"/>
        </w:tabs>
        <w:spacing w:line="267" w:lineRule="exact"/>
        <w:ind w:left="1393"/>
        <w:rPr>
          <w:rFonts w:ascii="Calibri"/>
          <w:sz w:val="20"/>
        </w:rPr>
      </w:pPr>
      <w:r>
        <w:rPr>
          <w:rFonts w:ascii="Calibri"/>
          <w:color w:val="003366"/>
          <w:sz w:val="20"/>
        </w:rPr>
        <w:t>upon</w:t>
      </w:r>
      <w:r>
        <w:rPr>
          <w:rFonts w:ascii="Calibri"/>
          <w:color w:val="003366"/>
          <w:spacing w:val="-2"/>
          <w:sz w:val="20"/>
        </w:rPr>
        <w:t xml:space="preserve"> </w:t>
      </w:r>
      <w:r>
        <w:rPr>
          <w:rFonts w:ascii="Calibri"/>
          <w:color w:val="003366"/>
          <w:sz w:val="20"/>
        </w:rPr>
        <w:t>Initial</w:t>
      </w:r>
      <w:r>
        <w:rPr>
          <w:rFonts w:ascii="Calibri"/>
          <w:color w:val="003366"/>
          <w:spacing w:val="-3"/>
          <w:sz w:val="20"/>
        </w:rPr>
        <w:t xml:space="preserve"> </w:t>
      </w:r>
      <w:r>
        <w:rPr>
          <w:rFonts w:ascii="Calibri"/>
          <w:color w:val="003366"/>
          <w:sz w:val="20"/>
        </w:rPr>
        <w:t>Recognition</w:t>
      </w:r>
      <w:r>
        <w:rPr>
          <w:rFonts w:ascii="Calibri"/>
          <w:color w:val="003366"/>
          <w:sz w:val="20"/>
        </w:rPr>
        <w:tab/>
        <w:t>(7)</w:t>
      </w:r>
      <w:r>
        <w:rPr>
          <w:rFonts w:ascii="Calibri"/>
          <w:color w:val="003366"/>
          <w:sz w:val="20"/>
        </w:rPr>
        <w:tab/>
        <w:t>-</w:t>
      </w:r>
    </w:p>
    <w:p w:rsidR="006C17CB" w:rsidRDefault="006C17CB">
      <w:pPr>
        <w:spacing w:line="267" w:lineRule="exact"/>
        <w:rPr>
          <w:rFonts w:ascii="Calibri"/>
          <w:sz w:val="20"/>
        </w:rPr>
        <w:sectPr w:rsidR="006C17CB">
          <w:pgSz w:w="11910" w:h="16840"/>
          <w:pgMar w:top="2780" w:right="0" w:bottom="720" w:left="980" w:header="1173" w:footer="523" w:gutter="0"/>
          <w:cols w:space="720"/>
        </w:sectPr>
      </w:pPr>
    </w:p>
    <w:p w:rsidR="006C17CB" w:rsidRDefault="006C17CB">
      <w:pPr>
        <w:pStyle w:val="BodyText"/>
        <w:spacing w:before="9"/>
        <w:rPr>
          <w:rFonts w:ascii="Calibri"/>
          <w:sz w:val="21"/>
        </w:rPr>
      </w:pPr>
    </w:p>
    <w:p w:rsidR="006C17CB" w:rsidRDefault="0030091C">
      <w:pPr>
        <w:pStyle w:val="Heading6"/>
        <w:tabs>
          <w:tab w:val="left" w:pos="1962"/>
        </w:tabs>
        <w:spacing w:line="345" w:lineRule="exact"/>
      </w:pPr>
      <w:r>
        <w:rPr>
          <w:color w:val="003366"/>
        </w:rPr>
        <w:t>NOTE</w:t>
      </w:r>
      <w:r>
        <w:rPr>
          <w:color w:val="003366"/>
          <w:spacing w:val="-1"/>
        </w:rPr>
        <w:t xml:space="preserve"> </w:t>
      </w:r>
      <w:r>
        <w:rPr>
          <w:color w:val="003366"/>
        </w:rPr>
        <w:t>19.</w:t>
      </w:r>
      <w:r>
        <w:rPr>
          <w:color w:val="003366"/>
        </w:rPr>
        <w:tab/>
        <w:t>COMMITMENTS</w:t>
      </w:r>
    </w:p>
    <w:p w:rsidR="006C17CB" w:rsidRDefault="0030091C">
      <w:pPr>
        <w:spacing w:before="75"/>
        <w:ind w:left="829"/>
        <w:rPr>
          <w:rFonts w:ascii="Calibri"/>
          <w:b/>
          <w:sz w:val="20"/>
        </w:rPr>
      </w:pPr>
      <w:r>
        <w:rPr>
          <w:rFonts w:ascii="Calibri"/>
          <w:b/>
          <w:color w:val="003366"/>
          <w:sz w:val="20"/>
        </w:rPr>
        <w:t>Capital Commitments</w:t>
      </w:r>
    </w:p>
    <w:p w:rsidR="006C17CB" w:rsidRDefault="0030091C">
      <w:pPr>
        <w:spacing w:before="112" w:line="204" w:lineRule="auto"/>
        <w:ind w:left="829" w:right="1412"/>
        <w:rPr>
          <w:rFonts w:ascii="Calibri"/>
          <w:sz w:val="20"/>
        </w:rPr>
      </w:pPr>
      <w:r>
        <w:rPr>
          <w:rFonts w:ascii="Calibri"/>
          <w:color w:val="003366"/>
          <w:sz w:val="20"/>
        </w:rPr>
        <w:t>Capital commitments contracted at reporting date that have not been recognised as liabilities are shown below.</w:t>
      </w:r>
    </w:p>
    <w:p w:rsidR="006C17CB" w:rsidRDefault="006C17CB">
      <w:pPr>
        <w:spacing w:line="204" w:lineRule="auto"/>
        <w:rPr>
          <w:rFonts w:ascii="Calibri"/>
          <w:sz w:val="20"/>
        </w:rPr>
        <w:sectPr w:rsidR="006C17CB">
          <w:headerReference w:type="even" r:id="rId169"/>
          <w:headerReference w:type="default" r:id="rId170"/>
          <w:pgSz w:w="11910" w:h="16840"/>
          <w:pgMar w:top="2120" w:right="0" w:bottom="740" w:left="980" w:header="1173" w:footer="551" w:gutter="0"/>
          <w:cols w:space="720"/>
        </w:sectPr>
      </w:pPr>
    </w:p>
    <w:p w:rsidR="006C17CB" w:rsidRDefault="0030091C">
      <w:pPr>
        <w:spacing w:before="82" w:line="267" w:lineRule="exact"/>
        <w:jc w:val="right"/>
        <w:rPr>
          <w:rFonts w:ascii="Calibri"/>
          <w:b/>
          <w:sz w:val="20"/>
        </w:rPr>
      </w:pPr>
      <w:r>
        <w:rPr>
          <w:rFonts w:ascii="Calibri"/>
          <w:b/>
          <w:color w:val="003366"/>
          <w:sz w:val="20"/>
        </w:rPr>
        <w:t>2018</w:t>
      </w:r>
    </w:p>
    <w:p w:rsidR="006C17CB" w:rsidRDefault="0030091C">
      <w:pPr>
        <w:spacing w:line="267" w:lineRule="exact"/>
        <w:jc w:val="right"/>
        <w:rPr>
          <w:rFonts w:ascii="Calibri" w:hAnsi="Calibri"/>
          <w:b/>
          <w:sz w:val="20"/>
        </w:rPr>
      </w:pPr>
      <w:r>
        <w:rPr>
          <w:rFonts w:ascii="Calibri" w:hAnsi="Calibri"/>
          <w:b/>
          <w:color w:val="003366"/>
          <w:sz w:val="20"/>
        </w:rPr>
        <w:t>$’000</w:t>
      </w:r>
    </w:p>
    <w:p w:rsidR="006C17CB" w:rsidRDefault="0030091C">
      <w:pPr>
        <w:spacing w:before="82" w:line="267" w:lineRule="exact"/>
        <w:ind w:left="917"/>
        <w:rPr>
          <w:rFonts w:ascii="Calibri"/>
          <w:b/>
          <w:sz w:val="20"/>
        </w:rPr>
      </w:pPr>
      <w:r>
        <w:br w:type="column"/>
      </w:r>
      <w:r>
        <w:rPr>
          <w:rFonts w:ascii="Calibri"/>
          <w:b/>
          <w:color w:val="003366"/>
          <w:sz w:val="20"/>
        </w:rPr>
        <w:t>2017</w:t>
      </w:r>
    </w:p>
    <w:p w:rsidR="006C17CB" w:rsidRDefault="0030091C">
      <w:pPr>
        <w:spacing w:line="267" w:lineRule="exact"/>
        <w:ind w:left="867"/>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2" w:space="720" w:equalWidth="0">
            <w:col w:w="8040" w:space="40"/>
            <w:col w:w="2850"/>
          </w:cols>
        </w:sectPr>
      </w:pPr>
    </w:p>
    <w:p w:rsidR="006C17CB" w:rsidRDefault="0030091C">
      <w:pPr>
        <w:tabs>
          <w:tab w:val="left" w:pos="7839"/>
          <w:tab w:val="right" w:pos="9402"/>
        </w:tabs>
        <w:spacing w:line="283" w:lineRule="exact"/>
        <w:ind w:left="829"/>
        <w:rPr>
          <w:rFonts w:ascii="Calibri"/>
          <w:sz w:val="20"/>
        </w:rPr>
      </w:pPr>
      <w:r>
        <w:rPr>
          <w:rFonts w:ascii="Calibri"/>
          <w:color w:val="003366"/>
          <w:sz w:val="20"/>
        </w:rPr>
        <w:t>Within</w:t>
      </w:r>
      <w:r>
        <w:rPr>
          <w:rFonts w:ascii="Calibri"/>
          <w:color w:val="003366"/>
          <w:spacing w:val="-1"/>
          <w:sz w:val="20"/>
        </w:rPr>
        <w:t xml:space="preserve"> </w:t>
      </w:r>
      <w:r>
        <w:rPr>
          <w:rFonts w:ascii="Calibri"/>
          <w:color w:val="003366"/>
          <w:sz w:val="20"/>
        </w:rPr>
        <w:t>one</w:t>
      </w:r>
      <w:r>
        <w:rPr>
          <w:rFonts w:ascii="Calibri"/>
          <w:color w:val="003366"/>
          <w:spacing w:val="-3"/>
          <w:sz w:val="20"/>
        </w:rPr>
        <w:t xml:space="preserve"> </w:t>
      </w:r>
      <w:r>
        <w:rPr>
          <w:rFonts w:ascii="Calibri"/>
          <w:color w:val="003366"/>
          <w:sz w:val="20"/>
        </w:rPr>
        <w:t>year</w:t>
      </w:r>
      <w:r>
        <w:rPr>
          <w:rFonts w:ascii="Calibri"/>
          <w:color w:val="003366"/>
          <w:sz w:val="20"/>
        </w:rPr>
        <w:tab/>
        <w:t>19</w:t>
      </w:r>
      <w:r>
        <w:rPr>
          <w:rFonts w:ascii="Calibri"/>
          <w:color w:val="003366"/>
          <w:sz w:val="20"/>
        </w:rPr>
        <w:tab/>
        <w:t>81</w:t>
      </w:r>
    </w:p>
    <w:p w:rsidR="006C17CB" w:rsidRDefault="0030091C">
      <w:pPr>
        <w:tabs>
          <w:tab w:val="left" w:pos="6884"/>
          <w:tab w:val="left" w:pos="7979"/>
          <w:tab w:val="left" w:pos="9339"/>
        </w:tabs>
        <w:spacing w:line="286" w:lineRule="exact"/>
        <w:ind w:left="829"/>
        <w:rPr>
          <w:rFonts w:ascii="Calibri"/>
          <w:sz w:val="20"/>
        </w:rPr>
      </w:pPr>
      <w:r>
        <w:rPr>
          <w:rFonts w:ascii="Calibri"/>
          <w:color w:val="003366"/>
          <w:sz w:val="20"/>
        </w:rPr>
        <w:t>Later than one year but not later than</w:t>
      </w:r>
      <w:r>
        <w:rPr>
          <w:rFonts w:ascii="Calibri"/>
          <w:color w:val="003366"/>
          <w:spacing w:val="-15"/>
          <w:sz w:val="20"/>
        </w:rPr>
        <w:t xml:space="preserve"> </w:t>
      </w:r>
      <w:r>
        <w:rPr>
          <w:rFonts w:ascii="Calibri"/>
          <w:color w:val="003366"/>
          <w:sz w:val="20"/>
        </w:rPr>
        <w:t>five</w:t>
      </w:r>
      <w:r>
        <w:rPr>
          <w:rFonts w:ascii="Calibri"/>
          <w:color w:val="003366"/>
          <w:spacing w:val="-3"/>
          <w:sz w:val="20"/>
        </w:rPr>
        <w:t xml:space="preserve"> </w:t>
      </w:r>
      <w:r>
        <w:rPr>
          <w:rFonts w:ascii="Calibri"/>
          <w:color w:val="003366"/>
          <w:sz w:val="20"/>
        </w:rPr>
        <w:t>years</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w:t>
      </w:r>
      <w:r>
        <w:rPr>
          <w:rFonts w:ascii="Calibri"/>
          <w:color w:val="003366"/>
          <w:sz w:val="20"/>
          <w:u w:val="single" w:color="003366"/>
        </w:rPr>
        <w:tab/>
        <w:t>-</w:t>
      </w:r>
      <w:r>
        <w:rPr>
          <w:rFonts w:ascii="Calibri"/>
          <w:color w:val="003366"/>
          <w:spacing w:val="17"/>
          <w:sz w:val="20"/>
          <w:u w:val="single" w:color="003366"/>
        </w:rPr>
        <w:t xml:space="preserve"> </w:t>
      </w:r>
    </w:p>
    <w:p w:rsidR="006C17CB" w:rsidRDefault="0030091C">
      <w:pPr>
        <w:tabs>
          <w:tab w:val="left" w:pos="7839"/>
          <w:tab w:val="right" w:pos="9402"/>
        </w:tabs>
        <w:spacing w:before="7"/>
        <w:ind w:left="829"/>
        <w:rPr>
          <w:rFonts w:ascii="Calibri"/>
          <w:b/>
          <w:sz w:val="20"/>
        </w:rPr>
      </w:pPr>
      <w:r>
        <w:rPr>
          <w:rFonts w:ascii="Calibri"/>
          <w:b/>
          <w:color w:val="003366"/>
          <w:sz w:val="20"/>
        </w:rPr>
        <w:t>Total Capital</w:t>
      </w:r>
      <w:r>
        <w:rPr>
          <w:rFonts w:ascii="Calibri"/>
          <w:b/>
          <w:color w:val="003366"/>
          <w:spacing w:val="-5"/>
          <w:sz w:val="20"/>
        </w:rPr>
        <w:t xml:space="preserve"> </w:t>
      </w:r>
      <w:r>
        <w:rPr>
          <w:rFonts w:ascii="Calibri"/>
          <w:b/>
          <w:color w:val="003366"/>
          <w:sz w:val="20"/>
        </w:rPr>
        <w:t>Commitments</w:t>
      </w:r>
      <w:r>
        <w:rPr>
          <w:rFonts w:ascii="Calibri"/>
          <w:b/>
          <w:color w:val="003366"/>
          <w:spacing w:val="-2"/>
          <w:sz w:val="20"/>
        </w:rPr>
        <w:t xml:space="preserve"> </w:t>
      </w:r>
      <w:r>
        <w:rPr>
          <w:rFonts w:ascii="Calibri"/>
          <w:b/>
          <w:color w:val="003366"/>
          <w:sz w:val="20"/>
          <w:vertAlign w:val="superscript"/>
        </w:rPr>
        <w:t>a</w:t>
      </w:r>
      <w:r>
        <w:rPr>
          <w:rFonts w:ascii="Calibri"/>
          <w:b/>
          <w:color w:val="003366"/>
          <w:sz w:val="20"/>
        </w:rPr>
        <w:tab/>
        <w:t>19</w:t>
      </w:r>
      <w:r>
        <w:rPr>
          <w:rFonts w:ascii="Calibri"/>
          <w:b/>
          <w:color w:val="003366"/>
          <w:sz w:val="20"/>
        </w:rPr>
        <w:tab/>
        <w:t>81</w:t>
      </w:r>
    </w:p>
    <w:p w:rsidR="006C17CB" w:rsidRDefault="00FE24A7">
      <w:pPr>
        <w:pStyle w:val="BodyText"/>
        <w:spacing w:line="29" w:lineRule="exact"/>
        <w:ind w:left="6879"/>
        <w:rPr>
          <w:rFonts w:ascii="Calibri"/>
          <w:sz w:val="2"/>
        </w:rPr>
      </w:pPr>
      <w:r>
        <w:rPr>
          <w:rFonts w:ascii="Calibri"/>
          <w:sz w:val="2"/>
        </w:rPr>
      </w:r>
      <w:r>
        <w:rPr>
          <w:rFonts w:ascii="Calibri"/>
          <w:sz w:val="2"/>
        </w:rPr>
        <w:pict>
          <v:group id="_x0000_s1231" alt="" style="width:131.3pt;height:1.45pt;mso-position-horizontal-relative:char;mso-position-vertical-relative:line" coordsize="2626,29">
            <v:line id="_x0000_s1232" alt="" style="position:absolute" from="0,5" to="1265,5" strokecolor="#036" strokeweight=".17003mm"/>
            <v:line id="_x0000_s1233" alt="" style="position:absolute" from="0,24" to="1265,24" strokecolor="#036" strokeweight=".16969mm"/>
            <v:rect id="_x0000_s1234" alt="" style="position:absolute;left:1264;width:29;height:10" fillcolor="#036" stroked="f"/>
            <v:rect id="_x0000_s1235" alt="" style="position:absolute;left:1264;top:19;width:29;height:10" fillcolor="#036" stroked="f"/>
            <v:line id="_x0000_s1236" alt="" style="position:absolute" from="1294,5" to="2626,5" strokecolor="#036" strokeweight=".17003mm"/>
            <v:line id="_x0000_s1237" alt="" style="position:absolute" from="1294,24" to="2626,24" strokecolor="#036" strokeweight=".16969mm"/>
            <w10:anchorlock/>
          </v:group>
        </w:pict>
      </w:r>
    </w:p>
    <w:p w:rsidR="006C17CB" w:rsidRDefault="0030091C">
      <w:pPr>
        <w:spacing w:before="76"/>
        <w:ind w:left="829"/>
        <w:rPr>
          <w:rFonts w:ascii="Calibri"/>
          <w:b/>
          <w:sz w:val="20"/>
        </w:rPr>
      </w:pPr>
      <w:r>
        <w:rPr>
          <w:rFonts w:ascii="Calibri"/>
          <w:b/>
          <w:color w:val="003366"/>
          <w:sz w:val="20"/>
        </w:rPr>
        <w:t>Other Commitments</w:t>
      </w:r>
    </w:p>
    <w:p w:rsidR="006C17CB" w:rsidRDefault="0030091C">
      <w:pPr>
        <w:spacing w:before="114" w:line="201" w:lineRule="auto"/>
        <w:ind w:left="829" w:right="1412"/>
        <w:rPr>
          <w:rFonts w:ascii="Calibri"/>
          <w:sz w:val="20"/>
        </w:rPr>
      </w:pPr>
      <w:r>
        <w:rPr>
          <w:rFonts w:ascii="Calibri"/>
          <w:color w:val="003366"/>
          <w:sz w:val="20"/>
        </w:rPr>
        <w:t>Other commitments contracted at reporting date that have not been recognised as liabilities are payable shown below.</w:t>
      </w:r>
    </w:p>
    <w:p w:rsidR="006C17CB" w:rsidRDefault="006C17CB">
      <w:pPr>
        <w:pStyle w:val="BodyText"/>
        <w:spacing w:before="9" w:after="1"/>
        <w:rPr>
          <w:rFonts w:ascii="Calibri"/>
          <w:sz w:val="14"/>
        </w:rPr>
      </w:pPr>
    </w:p>
    <w:tbl>
      <w:tblPr>
        <w:tblW w:w="0" w:type="auto"/>
        <w:tblInd w:w="779" w:type="dxa"/>
        <w:tblLayout w:type="fixed"/>
        <w:tblCellMar>
          <w:left w:w="0" w:type="dxa"/>
          <w:right w:w="0" w:type="dxa"/>
        </w:tblCellMar>
        <w:tblLook w:val="01E0" w:firstRow="1" w:lastRow="1" w:firstColumn="1" w:lastColumn="1" w:noHBand="0" w:noVBand="0"/>
      </w:tblPr>
      <w:tblGrid>
        <w:gridCol w:w="5025"/>
        <w:gridCol w:w="3755"/>
      </w:tblGrid>
      <w:tr w:rsidR="006C17CB">
        <w:trPr>
          <w:trHeight w:val="241"/>
        </w:trPr>
        <w:tc>
          <w:tcPr>
            <w:tcW w:w="5025" w:type="dxa"/>
          </w:tcPr>
          <w:p w:rsidR="006C17CB" w:rsidRDefault="0030091C">
            <w:pPr>
              <w:pStyle w:val="TableParagraph"/>
              <w:spacing w:line="203" w:lineRule="exact"/>
              <w:ind w:left="50"/>
              <w:jc w:val="left"/>
              <w:rPr>
                <w:sz w:val="20"/>
              </w:rPr>
            </w:pPr>
            <w:r>
              <w:rPr>
                <w:color w:val="003366"/>
                <w:sz w:val="20"/>
              </w:rPr>
              <w:t>Within one year</w:t>
            </w:r>
          </w:p>
        </w:tc>
        <w:tc>
          <w:tcPr>
            <w:tcW w:w="3755" w:type="dxa"/>
          </w:tcPr>
          <w:p w:rsidR="006C17CB" w:rsidRDefault="0030091C">
            <w:pPr>
              <w:pStyle w:val="TableParagraph"/>
              <w:tabs>
                <w:tab w:val="left" w:pos="1360"/>
              </w:tabs>
              <w:spacing w:line="203" w:lineRule="exact"/>
              <w:ind w:right="157"/>
              <w:rPr>
                <w:sz w:val="20"/>
              </w:rPr>
            </w:pPr>
            <w:r>
              <w:rPr>
                <w:color w:val="003366"/>
                <w:sz w:val="20"/>
              </w:rPr>
              <w:t>576</w:t>
            </w:r>
            <w:r>
              <w:rPr>
                <w:color w:val="003366"/>
                <w:sz w:val="20"/>
              </w:rPr>
              <w:tab/>
            </w:r>
            <w:r>
              <w:rPr>
                <w:color w:val="003366"/>
                <w:spacing w:val="-2"/>
                <w:sz w:val="20"/>
              </w:rPr>
              <w:t>681</w:t>
            </w:r>
          </w:p>
        </w:tc>
      </w:tr>
      <w:tr w:rsidR="006C17CB">
        <w:trPr>
          <w:trHeight w:val="280"/>
        </w:trPr>
        <w:tc>
          <w:tcPr>
            <w:tcW w:w="5025" w:type="dxa"/>
          </w:tcPr>
          <w:p w:rsidR="006C17CB" w:rsidRDefault="0030091C">
            <w:pPr>
              <w:pStyle w:val="TableParagraph"/>
              <w:spacing w:line="245" w:lineRule="exact"/>
              <w:ind w:left="50"/>
              <w:jc w:val="left"/>
              <w:rPr>
                <w:sz w:val="20"/>
              </w:rPr>
            </w:pPr>
            <w:r>
              <w:rPr>
                <w:color w:val="003366"/>
                <w:sz w:val="20"/>
              </w:rPr>
              <w:t>Later than one year but not later than five years</w:t>
            </w:r>
          </w:p>
        </w:tc>
        <w:tc>
          <w:tcPr>
            <w:tcW w:w="3755" w:type="dxa"/>
          </w:tcPr>
          <w:p w:rsidR="006C17CB" w:rsidRDefault="0030091C">
            <w:pPr>
              <w:pStyle w:val="TableParagraph"/>
              <w:tabs>
                <w:tab w:val="left" w:pos="851"/>
                <w:tab w:val="left" w:pos="2212"/>
              </w:tabs>
              <w:spacing w:line="245" w:lineRule="exact"/>
              <w:ind w:right="47"/>
              <w:rPr>
                <w:sz w:val="20"/>
              </w:rPr>
            </w:pPr>
            <w:r>
              <w:rPr>
                <w:color w:val="003366"/>
                <w:w w:val="99"/>
                <w:sz w:val="20"/>
                <w:u w:val="single" w:color="003366"/>
              </w:rPr>
              <w:t xml:space="preserve"> </w:t>
            </w:r>
            <w:r>
              <w:rPr>
                <w:color w:val="003366"/>
                <w:sz w:val="20"/>
                <w:u w:val="single" w:color="003366"/>
              </w:rPr>
              <w:tab/>
              <w:t>367</w:t>
            </w:r>
            <w:r>
              <w:rPr>
                <w:color w:val="003366"/>
                <w:sz w:val="20"/>
                <w:u w:val="single" w:color="003366"/>
              </w:rPr>
              <w:tab/>
            </w:r>
            <w:r>
              <w:rPr>
                <w:color w:val="003366"/>
                <w:spacing w:val="-1"/>
                <w:w w:val="95"/>
                <w:sz w:val="20"/>
                <w:u w:val="single" w:color="003366"/>
              </w:rPr>
              <w:t>674</w:t>
            </w:r>
            <w:r>
              <w:rPr>
                <w:color w:val="003366"/>
                <w:spacing w:val="18"/>
                <w:sz w:val="20"/>
                <w:u w:val="single" w:color="003366"/>
              </w:rPr>
              <w:t xml:space="preserve"> </w:t>
            </w:r>
          </w:p>
        </w:tc>
      </w:tr>
      <w:tr w:rsidR="006C17CB">
        <w:trPr>
          <w:trHeight w:val="287"/>
        </w:trPr>
        <w:tc>
          <w:tcPr>
            <w:tcW w:w="5025" w:type="dxa"/>
          </w:tcPr>
          <w:p w:rsidR="006C17CB" w:rsidRDefault="0030091C">
            <w:pPr>
              <w:pStyle w:val="TableParagraph"/>
              <w:spacing w:line="260" w:lineRule="exact"/>
              <w:ind w:left="50"/>
              <w:jc w:val="left"/>
              <w:rPr>
                <w:b/>
                <w:sz w:val="20"/>
              </w:rPr>
            </w:pPr>
            <w:r>
              <w:rPr>
                <w:b/>
                <w:color w:val="003366"/>
                <w:sz w:val="20"/>
              </w:rPr>
              <w:t xml:space="preserve">Total Other Commitments </w:t>
            </w:r>
            <w:r>
              <w:rPr>
                <w:b/>
                <w:color w:val="003366"/>
                <w:sz w:val="20"/>
                <w:vertAlign w:val="superscript"/>
              </w:rPr>
              <w:t>b</w:t>
            </w:r>
          </w:p>
        </w:tc>
        <w:tc>
          <w:tcPr>
            <w:tcW w:w="3755" w:type="dxa"/>
          </w:tcPr>
          <w:p w:rsidR="006C17CB" w:rsidRDefault="0030091C">
            <w:pPr>
              <w:pStyle w:val="TableParagraph"/>
              <w:tabs>
                <w:tab w:val="left" w:pos="1209"/>
              </w:tabs>
              <w:spacing w:line="260" w:lineRule="exact"/>
              <w:ind w:right="157"/>
              <w:rPr>
                <w:b/>
                <w:sz w:val="20"/>
              </w:rPr>
            </w:pPr>
            <w:r>
              <w:rPr>
                <w:b/>
                <w:color w:val="003366"/>
                <w:sz w:val="20"/>
              </w:rPr>
              <w:t>943</w:t>
            </w:r>
            <w:r>
              <w:rPr>
                <w:b/>
                <w:color w:val="003366"/>
                <w:sz w:val="20"/>
              </w:rPr>
              <w:tab/>
            </w:r>
            <w:r>
              <w:rPr>
                <w:b/>
                <w:color w:val="003366"/>
                <w:spacing w:val="-2"/>
                <w:sz w:val="20"/>
              </w:rPr>
              <w:t>1,355</w:t>
            </w:r>
          </w:p>
        </w:tc>
      </w:tr>
    </w:tbl>
    <w:p w:rsidR="006C17CB" w:rsidRDefault="006C17CB">
      <w:pPr>
        <w:pStyle w:val="BodyText"/>
        <w:rPr>
          <w:rFonts w:ascii="Calibri"/>
          <w:sz w:val="20"/>
        </w:rPr>
      </w:pPr>
    </w:p>
    <w:p w:rsidR="006C17CB" w:rsidRDefault="00FE24A7">
      <w:pPr>
        <w:ind w:left="829"/>
        <w:rPr>
          <w:rFonts w:ascii="Calibri"/>
          <w:b/>
          <w:sz w:val="20"/>
        </w:rPr>
      </w:pPr>
      <w:r>
        <w:pict>
          <v:group id="_x0000_s1227" alt="" style="position:absolute;left:0;text-align:left;margin-left:393.25pt;margin-top:-15.85pt;width:131.3pt;height:1.45pt;z-index:2704;mso-position-horizontal-relative:page" coordorigin="7865,-317" coordsize="2626,29">
            <v:shape id="_x0000_s1228" alt="" style="position:absolute;left:7864;top:-313;width:1265;height:20" coordorigin="7865,-313" coordsize="1265,20" o:spt="100" adj="0,,0" path="m7865,-313r1265,m7865,-293r1265,e" filled="f" strokecolor="#036" strokeweight=".48pt">
              <v:stroke joinstyle="round"/>
              <v:formulas/>
              <v:path arrowok="t" o:connecttype="segments"/>
            </v:shape>
            <v:shape id="_x0000_s1229" alt="" style="position:absolute;left:9129;top:-318;width:29;height:29" coordorigin="9130,-317" coordsize="29,29" o:spt="100" adj="0,,0" path="m9158,-298r-28,l9130,-289r28,l9158,-298t,-19l9130,-317r,9l9158,-308r,-9e" fillcolor="#036" stroked="f">
              <v:stroke joinstyle="round"/>
              <v:formulas/>
              <v:path arrowok="t" o:connecttype="segments"/>
            </v:shape>
            <v:shape id="_x0000_s1230" alt="" style="position:absolute;left:9158;top:-313;width:1332;height:20" coordorigin="9158,-313" coordsize="1332,20" o:spt="100" adj="0,,0" path="m9158,-313r1332,m9158,-293r1332,e" filled="f" strokecolor="#036" strokeweight=".48pt">
              <v:stroke joinstyle="round"/>
              <v:formulas/>
              <v:path arrowok="t" o:connecttype="segments"/>
            </v:shape>
            <w10:wrap anchorx="page"/>
          </v:group>
        </w:pict>
      </w:r>
      <w:r w:rsidR="0030091C">
        <w:rPr>
          <w:rFonts w:ascii="Calibri"/>
          <w:b/>
          <w:color w:val="003366"/>
          <w:sz w:val="20"/>
        </w:rPr>
        <w:t>Operating Lease Commitments</w:t>
      </w:r>
    </w:p>
    <w:p w:rsidR="006C17CB" w:rsidRDefault="0030091C">
      <w:pPr>
        <w:spacing w:before="109" w:line="204" w:lineRule="auto"/>
        <w:ind w:left="829" w:right="1519"/>
        <w:jc w:val="both"/>
        <w:rPr>
          <w:rFonts w:ascii="Calibri"/>
          <w:sz w:val="20"/>
        </w:rPr>
      </w:pPr>
      <w:r>
        <w:rPr>
          <w:rFonts w:ascii="Calibri"/>
          <w:color w:val="003366"/>
          <w:sz w:val="20"/>
        </w:rPr>
        <w:t>The Office has operating leases held with ACT Government Shared Services ICT for the supply and maintenance of information and communications technology equipment. There is also an operating lease held with ACT Property Group for office accommodation. Non-cancellable operating lease commitments are payable as shown below.</w:t>
      </w:r>
    </w:p>
    <w:p w:rsidR="006C17CB" w:rsidRDefault="006C17CB">
      <w:pPr>
        <w:pStyle w:val="BodyText"/>
        <w:spacing w:before="6"/>
        <w:rPr>
          <w:rFonts w:ascii="Calibri"/>
          <w:sz w:val="14"/>
        </w:rPr>
      </w:pPr>
    </w:p>
    <w:tbl>
      <w:tblPr>
        <w:tblW w:w="0" w:type="auto"/>
        <w:tblInd w:w="779" w:type="dxa"/>
        <w:tblLayout w:type="fixed"/>
        <w:tblCellMar>
          <w:left w:w="0" w:type="dxa"/>
          <w:right w:w="0" w:type="dxa"/>
        </w:tblCellMar>
        <w:tblLook w:val="01E0" w:firstRow="1" w:lastRow="1" w:firstColumn="1" w:lastColumn="1" w:noHBand="0" w:noVBand="0"/>
      </w:tblPr>
      <w:tblGrid>
        <w:gridCol w:w="5025"/>
        <w:gridCol w:w="3755"/>
      </w:tblGrid>
      <w:tr w:rsidR="006C17CB">
        <w:trPr>
          <w:trHeight w:val="242"/>
        </w:trPr>
        <w:tc>
          <w:tcPr>
            <w:tcW w:w="5025" w:type="dxa"/>
          </w:tcPr>
          <w:p w:rsidR="006C17CB" w:rsidRDefault="0030091C">
            <w:pPr>
              <w:pStyle w:val="TableParagraph"/>
              <w:spacing w:line="203" w:lineRule="exact"/>
              <w:ind w:left="50"/>
              <w:jc w:val="left"/>
              <w:rPr>
                <w:sz w:val="20"/>
              </w:rPr>
            </w:pPr>
            <w:r>
              <w:rPr>
                <w:color w:val="003366"/>
                <w:sz w:val="20"/>
              </w:rPr>
              <w:t>Within one year</w:t>
            </w:r>
          </w:p>
        </w:tc>
        <w:tc>
          <w:tcPr>
            <w:tcW w:w="3755" w:type="dxa"/>
          </w:tcPr>
          <w:p w:rsidR="006C17CB" w:rsidRDefault="0030091C">
            <w:pPr>
              <w:pStyle w:val="TableParagraph"/>
              <w:tabs>
                <w:tab w:val="left" w:pos="1360"/>
              </w:tabs>
              <w:spacing w:line="203" w:lineRule="exact"/>
              <w:ind w:right="157"/>
              <w:rPr>
                <w:sz w:val="20"/>
              </w:rPr>
            </w:pPr>
            <w:r>
              <w:rPr>
                <w:color w:val="003366"/>
                <w:sz w:val="20"/>
              </w:rPr>
              <w:t>327</w:t>
            </w:r>
            <w:r>
              <w:rPr>
                <w:color w:val="003366"/>
                <w:sz w:val="20"/>
              </w:rPr>
              <w:tab/>
            </w:r>
            <w:r>
              <w:rPr>
                <w:color w:val="003366"/>
                <w:spacing w:val="-2"/>
                <w:sz w:val="20"/>
              </w:rPr>
              <w:t>364</w:t>
            </w:r>
          </w:p>
        </w:tc>
      </w:tr>
      <w:tr w:rsidR="006C17CB">
        <w:trPr>
          <w:trHeight w:val="284"/>
        </w:trPr>
        <w:tc>
          <w:tcPr>
            <w:tcW w:w="5025" w:type="dxa"/>
          </w:tcPr>
          <w:p w:rsidR="006C17CB" w:rsidRDefault="0030091C">
            <w:pPr>
              <w:pStyle w:val="TableParagraph"/>
              <w:spacing w:line="246" w:lineRule="exact"/>
              <w:ind w:left="50"/>
              <w:jc w:val="left"/>
              <w:rPr>
                <w:sz w:val="20"/>
              </w:rPr>
            </w:pPr>
            <w:r>
              <w:rPr>
                <w:color w:val="003366"/>
                <w:sz w:val="20"/>
              </w:rPr>
              <w:t>Later than one year but not later than five years</w:t>
            </w:r>
          </w:p>
        </w:tc>
        <w:tc>
          <w:tcPr>
            <w:tcW w:w="3755" w:type="dxa"/>
          </w:tcPr>
          <w:p w:rsidR="006C17CB" w:rsidRDefault="0030091C">
            <w:pPr>
              <w:pStyle w:val="TableParagraph"/>
              <w:tabs>
                <w:tab w:val="left" w:pos="1360"/>
              </w:tabs>
              <w:spacing w:line="246" w:lineRule="exact"/>
              <w:ind w:right="157"/>
              <w:rPr>
                <w:sz w:val="20"/>
              </w:rPr>
            </w:pPr>
            <w:r>
              <w:rPr>
                <w:color w:val="003366"/>
                <w:sz w:val="20"/>
              </w:rPr>
              <w:t>1,178</w:t>
            </w:r>
            <w:r>
              <w:rPr>
                <w:color w:val="003366"/>
                <w:sz w:val="20"/>
              </w:rPr>
              <w:tab/>
            </w:r>
            <w:r>
              <w:rPr>
                <w:color w:val="003366"/>
                <w:spacing w:val="-1"/>
                <w:w w:val="95"/>
                <w:sz w:val="20"/>
              </w:rPr>
              <w:t>1,294</w:t>
            </w:r>
          </w:p>
        </w:tc>
      </w:tr>
      <w:tr w:rsidR="006C17CB">
        <w:trPr>
          <w:trHeight w:val="289"/>
        </w:trPr>
        <w:tc>
          <w:tcPr>
            <w:tcW w:w="5025" w:type="dxa"/>
          </w:tcPr>
          <w:p w:rsidR="006C17CB" w:rsidRDefault="0030091C">
            <w:pPr>
              <w:pStyle w:val="TableParagraph"/>
              <w:spacing w:line="245" w:lineRule="exact"/>
              <w:ind w:left="50"/>
              <w:jc w:val="left"/>
              <w:rPr>
                <w:sz w:val="20"/>
              </w:rPr>
            </w:pPr>
            <w:r>
              <w:rPr>
                <w:color w:val="003366"/>
                <w:sz w:val="20"/>
              </w:rPr>
              <w:t>Later than five years</w:t>
            </w:r>
          </w:p>
        </w:tc>
        <w:tc>
          <w:tcPr>
            <w:tcW w:w="3755" w:type="dxa"/>
          </w:tcPr>
          <w:p w:rsidR="006C17CB" w:rsidRDefault="0030091C">
            <w:pPr>
              <w:pStyle w:val="TableParagraph"/>
              <w:tabs>
                <w:tab w:val="left" w:pos="851"/>
                <w:tab w:val="left" w:pos="2212"/>
              </w:tabs>
              <w:spacing w:line="245" w:lineRule="exact"/>
              <w:ind w:right="47"/>
              <w:rPr>
                <w:sz w:val="20"/>
              </w:rPr>
            </w:pPr>
            <w:r>
              <w:rPr>
                <w:color w:val="003366"/>
                <w:w w:val="99"/>
                <w:sz w:val="20"/>
                <w:u w:val="single" w:color="003366"/>
              </w:rPr>
              <w:t xml:space="preserve"> </w:t>
            </w:r>
            <w:r>
              <w:rPr>
                <w:color w:val="003366"/>
                <w:sz w:val="20"/>
                <w:u w:val="single" w:color="003366"/>
              </w:rPr>
              <w:tab/>
              <w:t>527</w:t>
            </w:r>
            <w:r>
              <w:rPr>
                <w:color w:val="003366"/>
                <w:sz w:val="20"/>
                <w:u w:val="single" w:color="003366"/>
              </w:rPr>
              <w:tab/>
            </w:r>
            <w:r>
              <w:rPr>
                <w:color w:val="003366"/>
                <w:spacing w:val="-1"/>
                <w:w w:val="95"/>
                <w:sz w:val="20"/>
                <w:u w:val="single" w:color="003366"/>
              </w:rPr>
              <w:t>803</w:t>
            </w:r>
            <w:r>
              <w:rPr>
                <w:color w:val="003366"/>
                <w:spacing w:val="18"/>
                <w:sz w:val="20"/>
                <w:u w:val="single" w:color="003366"/>
              </w:rPr>
              <w:t xml:space="preserve"> </w:t>
            </w:r>
          </w:p>
        </w:tc>
      </w:tr>
      <w:tr w:rsidR="006C17CB">
        <w:trPr>
          <w:trHeight w:val="278"/>
        </w:trPr>
        <w:tc>
          <w:tcPr>
            <w:tcW w:w="5025" w:type="dxa"/>
          </w:tcPr>
          <w:p w:rsidR="006C17CB" w:rsidRDefault="0030091C">
            <w:pPr>
              <w:pStyle w:val="TableParagraph"/>
              <w:spacing w:line="251" w:lineRule="exact"/>
              <w:ind w:left="50"/>
              <w:jc w:val="left"/>
              <w:rPr>
                <w:b/>
                <w:sz w:val="20"/>
              </w:rPr>
            </w:pPr>
            <w:r>
              <w:rPr>
                <w:b/>
                <w:color w:val="003366"/>
                <w:sz w:val="20"/>
              </w:rPr>
              <w:t>Total Operating Lease Commitments</w:t>
            </w:r>
          </w:p>
        </w:tc>
        <w:tc>
          <w:tcPr>
            <w:tcW w:w="3755" w:type="dxa"/>
          </w:tcPr>
          <w:p w:rsidR="006C17CB" w:rsidRDefault="0030091C">
            <w:pPr>
              <w:pStyle w:val="TableParagraph"/>
              <w:tabs>
                <w:tab w:val="left" w:pos="1360"/>
              </w:tabs>
              <w:spacing w:line="251" w:lineRule="exact"/>
              <w:ind w:right="157"/>
              <w:rPr>
                <w:b/>
                <w:sz w:val="20"/>
              </w:rPr>
            </w:pPr>
            <w:r>
              <w:rPr>
                <w:b/>
                <w:color w:val="003366"/>
                <w:sz w:val="20"/>
              </w:rPr>
              <w:t>2,032</w:t>
            </w:r>
            <w:r>
              <w:rPr>
                <w:b/>
                <w:color w:val="003366"/>
                <w:sz w:val="20"/>
              </w:rPr>
              <w:tab/>
            </w:r>
            <w:r>
              <w:rPr>
                <w:b/>
                <w:color w:val="003366"/>
                <w:spacing w:val="-2"/>
                <w:sz w:val="20"/>
              </w:rPr>
              <w:t>2,461</w:t>
            </w:r>
          </w:p>
        </w:tc>
      </w:tr>
    </w:tbl>
    <w:p w:rsidR="006C17CB" w:rsidRDefault="006C17CB">
      <w:pPr>
        <w:pStyle w:val="BodyText"/>
        <w:rPr>
          <w:rFonts w:ascii="Calibri"/>
          <w:sz w:val="20"/>
        </w:rPr>
      </w:pPr>
    </w:p>
    <w:p w:rsidR="006C17CB" w:rsidRDefault="006C17CB">
      <w:pPr>
        <w:pStyle w:val="BodyText"/>
        <w:spacing w:before="9"/>
        <w:rPr>
          <w:rFonts w:ascii="Calibri"/>
          <w:sz w:val="19"/>
        </w:rPr>
      </w:pPr>
    </w:p>
    <w:p w:rsidR="006C17CB" w:rsidRDefault="00FE24A7">
      <w:pPr>
        <w:ind w:left="829"/>
        <w:rPr>
          <w:rFonts w:ascii="Calibri"/>
          <w:sz w:val="20"/>
        </w:rPr>
      </w:pPr>
      <w:r>
        <w:pict>
          <v:group id="_x0000_s1221" alt="" style="position:absolute;left:0;text-align:left;margin-left:393.25pt;margin-top:-30.05pt;width:131.3pt;height:1.45pt;z-index:2728;mso-position-horizontal-relative:page" coordorigin="7865,-601" coordsize="2626,29">
            <v:line id="_x0000_s1222" alt="" style="position:absolute" from="7865,-596" to="9130,-596" strokecolor="#036" strokeweight=".16969mm"/>
            <v:line id="_x0000_s1223" alt="" style="position:absolute" from="7865,-577" to="9130,-577" strokecolor="#036" strokeweight=".48pt"/>
            <v:shape id="_x0000_s1224" alt="" style="position:absolute;left:9129;top:-601;width:29;height:29" coordorigin="9130,-601" coordsize="29,29" o:spt="100" adj="0,,0" path="m9158,-581r-28,l9130,-572r28,l9158,-581t,-20l9130,-601r,10l9158,-591r,-10e" fillcolor="#036" stroked="f">
              <v:stroke joinstyle="round"/>
              <v:formulas/>
              <v:path arrowok="t" o:connecttype="segments"/>
            </v:shape>
            <v:line id="_x0000_s1225" alt="" style="position:absolute" from="9158,-596" to="10490,-596" strokecolor="#036" strokeweight=".16969mm"/>
            <v:line id="_x0000_s1226" alt="" style="position:absolute" from="9158,-577" to="10490,-577" strokecolor="#036" strokeweight=".48pt"/>
            <w10:wrap anchorx="page"/>
          </v:group>
        </w:pict>
      </w:r>
      <w:r w:rsidR="0030091C">
        <w:rPr>
          <w:rFonts w:ascii="Calibri"/>
          <w:color w:val="003366"/>
          <w:sz w:val="20"/>
        </w:rPr>
        <w:t>All amounts shown in the commitments note are inclusive of Goods and Services Tax.</w:t>
      </w:r>
    </w:p>
    <w:p w:rsidR="006C17CB" w:rsidRDefault="006C17CB">
      <w:pPr>
        <w:pStyle w:val="BodyText"/>
        <w:rPr>
          <w:rFonts w:ascii="Calibri"/>
          <w:sz w:val="20"/>
        </w:rPr>
      </w:pPr>
    </w:p>
    <w:p w:rsidR="006C17CB" w:rsidRDefault="006C17CB">
      <w:pPr>
        <w:pStyle w:val="BodyText"/>
        <w:spacing w:before="9"/>
        <w:rPr>
          <w:rFonts w:ascii="Calibri"/>
          <w:sz w:val="13"/>
        </w:rPr>
      </w:pPr>
    </w:p>
    <w:p w:rsidR="006C17CB" w:rsidRDefault="0030091C">
      <w:pPr>
        <w:pStyle w:val="ListParagraph"/>
        <w:numPr>
          <w:ilvl w:val="0"/>
          <w:numId w:val="7"/>
        </w:numPr>
        <w:tabs>
          <w:tab w:val="left" w:pos="1187"/>
          <w:tab w:val="left" w:pos="1188"/>
        </w:tabs>
        <w:spacing w:line="201" w:lineRule="auto"/>
        <w:ind w:right="1523"/>
        <w:rPr>
          <w:rFonts w:ascii="Calibri"/>
          <w:sz w:val="18"/>
        </w:rPr>
      </w:pPr>
      <w:r>
        <w:rPr>
          <w:rFonts w:ascii="Calibri"/>
          <w:color w:val="003366"/>
          <w:sz w:val="18"/>
        </w:rPr>
        <w:t>Capital commitments have decreased as there is only one payment left relating to the Procedural Document Production System project.</w:t>
      </w:r>
    </w:p>
    <w:p w:rsidR="006C17CB" w:rsidRDefault="006C17CB">
      <w:pPr>
        <w:pStyle w:val="BodyText"/>
        <w:spacing w:before="12"/>
        <w:rPr>
          <w:rFonts w:ascii="Calibri"/>
          <w:sz w:val="16"/>
        </w:rPr>
      </w:pPr>
    </w:p>
    <w:p w:rsidR="006C17CB" w:rsidRDefault="0030091C">
      <w:pPr>
        <w:pStyle w:val="ListParagraph"/>
        <w:numPr>
          <w:ilvl w:val="0"/>
          <w:numId w:val="7"/>
        </w:numPr>
        <w:tabs>
          <w:tab w:val="left" w:pos="1186"/>
          <w:tab w:val="left" w:pos="1188"/>
        </w:tabs>
        <w:spacing w:before="1" w:line="201" w:lineRule="auto"/>
        <w:ind w:right="1523"/>
        <w:rPr>
          <w:rFonts w:ascii="Calibri"/>
          <w:sz w:val="18"/>
        </w:rPr>
      </w:pPr>
      <w:r>
        <w:rPr>
          <w:rFonts w:ascii="Calibri"/>
          <w:color w:val="003366"/>
          <w:sz w:val="18"/>
        </w:rPr>
        <w:t>Other commitments have decreased with major contracts for maintenance and cleaning only have one year or less before they need to be</w:t>
      </w:r>
      <w:r>
        <w:rPr>
          <w:rFonts w:ascii="Calibri"/>
          <w:color w:val="003366"/>
          <w:spacing w:val="-2"/>
          <w:sz w:val="18"/>
        </w:rPr>
        <w:t xml:space="preserve"> </w:t>
      </w:r>
      <w:r>
        <w:rPr>
          <w:rFonts w:ascii="Calibri"/>
          <w:color w:val="003366"/>
          <w:sz w:val="18"/>
        </w:rPr>
        <w:t>re-tendered.</w:t>
      </w:r>
    </w:p>
    <w:p w:rsidR="006C17CB" w:rsidRDefault="006C17CB">
      <w:pPr>
        <w:spacing w:line="201" w:lineRule="auto"/>
        <w:rPr>
          <w:rFonts w:ascii="Calibri"/>
          <w:sz w:val="18"/>
        </w:rPr>
        <w:sectPr w:rsidR="006C17CB">
          <w:type w:val="continuous"/>
          <w:pgSz w:w="11910" w:h="16840"/>
          <w:pgMar w:top="1580" w:right="0" w:bottom="280" w:left="980" w:header="720" w:footer="720" w:gutter="0"/>
          <w:cols w:space="720"/>
        </w:sectPr>
      </w:pPr>
    </w:p>
    <w:p w:rsidR="006C17CB" w:rsidRDefault="006C17CB">
      <w:pPr>
        <w:pStyle w:val="BodyText"/>
        <w:spacing w:before="9"/>
        <w:rPr>
          <w:rFonts w:ascii="Calibri"/>
          <w:sz w:val="21"/>
        </w:rPr>
      </w:pPr>
    </w:p>
    <w:p w:rsidR="006C17CB" w:rsidRDefault="0030091C">
      <w:pPr>
        <w:pStyle w:val="Heading6"/>
        <w:tabs>
          <w:tab w:val="left" w:pos="1748"/>
        </w:tabs>
        <w:spacing w:line="345" w:lineRule="exact"/>
        <w:ind w:left="615"/>
      </w:pPr>
      <w:r>
        <w:rPr>
          <w:color w:val="003366"/>
        </w:rPr>
        <w:t>NOTE</w:t>
      </w:r>
      <w:r>
        <w:rPr>
          <w:color w:val="003366"/>
          <w:spacing w:val="-1"/>
        </w:rPr>
        <w:t xml:space="preserve"> </w:t>
      </w:r>
      <w:r>
        <w:rPr>
          <w:color w:val="003366"/>
        </w:rPr>
        <w:t>20.</w:t>
      </w:r>
      <w:r>
        <w:rPr>
          <w:color w:val="003366"/>
        </w:rPr>
        <w:tab/>
        <w:t>CASH FLOW RECONCILIATION</w:t>
      </w:r>
    </w:p>
    <w:p w:rsidR="006C17CB" w:rsidRDefault="006C17CB">
      <w:pPr>
        <w:pStyle w:val="BodyText"/>
        <w:spacing w:before="14"/>
        <w:rPr>
          <w:rFonts w:ascii="Calibri"/>
          <w:b/>
          <w:sz w:val="15"/>
        </w:rPr>
      </w:pPr>
    </w:p>
    <w:p w:rsidR="006C17CB" w:rsidRDefault="0030091C">
      <w:pPr>
        <w:pStyle w:val="ListParagraph"/>
        <w:numPr>
          <w:ilvl w:val="0"/>
          <w:numId w:val="6"/>
        </w:numPr>
        <w:tabs>
          <w:tab w:val="left" w:pos="1042"/>
          <w:tab w:val="left" w:pos="1044"/>
        </w:tabs>
        <w:spacing w:line="204" w:lineRule="auto"/>
        <w:ind w:right="1307" w:hanging="427"/>
        <w:rPr>
          <w:rFonts w:ascii="Calibri"/>
          <w:b/>
          <w:sz w:val="20"/>
        </w:rPr>
      </w:pPr>
      <w:r>
        <w:rPr>
          <w:rFonts w:ascii="Calibri"/>
          <w:b/>
          <w:color w:val="003366"/>
          <w:sz w:val="20"/>
        </w:rPr>
        <w:t>Reconciliation of Cash and Cash Equivalents at the End of the Reporting Period in the Cash Flow Statement to the Equivalent Items in the Balance</w:t>
      </w:r>
      <w:r>
        <w:rPr>
          <w:rFonts w:ascii="Calibri"/>
          <w:b/>
          <w:color w:val="003366"/>
          <w:spacing w:val="-2"/>
          <w:sz w:val="20"/>
        </w:rPr>
        <w:t xml:space="preserve"> </w:t>
      </w:r>
      <w:r>
        <w:rPr>
          <w:rFonts w:ascii="Calibri"/>
          <w:b/>
          <w:color w:val="003366"/>
          <w:sz w:val="20"/>
        </w:rPr>
        <w:t>Sheet.</w:t>
      </w:r>
    </w:p>
    <w:p w:rsidR="006C17CB" w:rsidRDefault="006C17CB">
      <w:pPr>
        <w:spacing w:line="204" w:lineRule="auto"/>
        <w:rPr>
          <w:rFonts w:ascii="Calibri"/>
          <w:sz w:val="20"/>
        </w:rPr>
        <w:sectPr w:rsidR="006C17CB">
          <w:pgSz w:w="11910" w:h="16840"/>
          <w:pgMar w:top="2120" w:right="0" w:bottom="720" w:left="980" w:header="1173" w:footer="523" w:gutter="0"/>
          <w:cols w:space="720"/>
        </w:sectPr>
      </w:pPr>
    </w:p>
    <w:p w:rsidR="006C17CB" w:rsidRDefault="0030091C">
      <w:pPr>
        <w:spacing w:before="84" w:line="265" w:lineRule="exact"/>
        <w:jc w:val="right"/>
        <w:rPr>
          <w:rFonts w:ascii="Calibri"/>
          <w:b/>
          <w:sz w:val="20"/>
        </w:rPr>
      </w:pPr>
      <w:r>
        <w:rPr>
          <w:rFonts w:ascii="Calibri"/>
          <w:b/>
          <w:color w:val="003366"/>
          <w:sz w:val="20"/>
        </w:rPr>
        <w:t>2018</w:t>
      </w:r>
    </w:p>
    <w:p w:rsidR="006C17CB" w:rsidRDefault="0030091C">
      <w:pPr>
        <w:spacing w:line="265" w:lineRule="exact"/>
        <w:jc w:val="right"/>
        <w:rPr>
          <w:rFonts w:ascii="Calibri" w:hAnsi="Calibri"/>
          <w:b/>
          <w:sz w:val="20"/>
        </w:rPr>
      </w:pPr>
      <w:r>
        <w:rPr>
          <w:rFonts w:ascii="Calibri" w:hAnsi="Calibri"/>
          <w:b/>
          <w:color w:val="003366"/>
          <w:sz w:val="20"/>
        </w:rPr>
        <w:t>$’000</w:t>
      </w:r>
    </w:p>
    <w:p w:rsidR="006C17CB" w:rsidRDefault="0030091C">
      <w:pPr>
        <w:spacing w:before="84" w:line="265" w:lineRule="exact"/>
        <w:ind w:left="1194" w:right="1242"/>
        <w:jc w:val="center"/>
        <w:rPr>
          <w:rFonts w:ascii="Calibri"/>
          <w:b/>
          <w:sz w:val="20"/>
        </w:rPr>
      </w:pPr>
      <w:r>
        <w:br w:type="column"/>
      </w:r>
      <w:r>
        <w:rPr>
          <w:rFonts w:ascii="Calibri"/>
          <w:b/>
          <w:color w:val="003366"/>
          <w:sz w:val="20"/>
        </w:rPr>
        <w:t>2017</w:t>
      </w:r>
    </w:p>
    <w:p w:rsidR="006C17CB" w:rsidRDefault="0030091C">
      <w:pPr>
        <w:spacing w:line="265" w:lineRule="exact"/>
        <w:ind w:left="1194" w:right="1293"/>
        <w:jc w:val="center"/>
        <w:rPr>
          <w:rFonts w:ascii="Calibri" w:hAnsi="Calibri"/>
          <w:b/>
          <w:sz w:val="20"/>
        </w:rPr>
      </w:pPr>
      <w:r>
        <w:rPr>
          <w:rFonts w:ascii="Calibri" w:hAnsi="Calibri"/>
          <w:b/>
          <w:color w:val="003366"/>
          <w:sz w:val="20"/>
        </w:rPr>
        <w:t>$’000</w:t>
      </w:r>
    </w:p>
    <w:p w:rsidR="006C17CB" w:rsidRDefault="006C17CB">
      <w:pPr>
        <w:spacing w:line="265" w:lineRule="exact"/>
        <w:jc w:val="center"/>
        <w:rPr>
          <w:rFonts w:ascii="Calibri" w:hAnsi="Calibri"/>
          <w:sz w:val="20"/>
        </w:rPr>
        <w:sectPr w:rsidR="006C17CB">
          <w:type w:val="continuous"/>
          <w:pgSz w:w="11910" w:h="16840"/>
          <w:pgMar w:top="1580" w:right="0" w:bottom="280" w:left="980" w:header="720" w:footer="720" w:gutter="0"/>
          <w:cols w:num="2" w:space="720" w:equalWidth="0">
            <w:col w:w="7905" w:space="40"/>
            <w:col w:w="2985"/>
          </w:cols>
        </w:sectPr>
      </w:pPr>
    </w:p>
    <w:p w:rsidR="006C17CB" w:rsidRDefault="006C17CB">
      <w:pPr>
        <w:pStyle w:val="BodyText"/>
        <w:spacing w:before="11"/>
        <w:rPr>
          <w:rFonts w:ascii="Calibri"/>
          <w:b/>
          <w:sz w:val="5"/>
        </w:rPr>
      </w:pPr>
    </w:p>
    <w:tbl>
      <w:tblPr>
        <w:tblW w:w="0" w:type="auto"/>
        <w:tblInd w:w="565" w:type="dxa"/>
        <w:tblLayout w:type="fixed"/>
        <w:tblCellMar>
          <w:left w:w="0" w:type="dxa"/>
          <w:right w:w="0" w:type="dxa"/>
        </w:tblCellMar>
        <w:tblLook w:val="01E0" w:firstRow="1" w:lastRow="1" w:firstColumn="1" w:lastColumn="1" w:noHBand="0" w:noVBand="0"/>
      </w:tblPr>
      <w:tblGrid>
        <w:gridCol w:w="5730"/>
        <w:gridCol w:w="3476"/>
      </w:tblGrid>
      <w:tr w:rsidR="006C17CB">
        <w:trPr>
          <w:trHeight w:val="244"/>
        </w:trPr>
        <w:tc>
          <w:tcPr>
            <w:tcW w:w="5730" w:type="dxa"/>
          </w:tcPr>
          <w:p w:rsidR="006C17CB" w:rsidRDefault="0030091C">
            <w:pPr>
              <w:pStyle w:val="TableParagraph"/>
              <w:spacing w:line="203" w:lineRule="exact"/>
              <w:ind w:left="50"/>
              <w:jc w:val="left"/>
              <w:rPr>
                <w:sz w:val="20"/>
              </w:rPr>
            </w:pPr>
            <w:r>
              <w:rPr>
                <w:color w:val="003366"/>
                <w:sz w:val="20"/>
              </w:rPr>
              <w:t>Total Cash and Cash Equivalents Recorded in the Balance Sheet</w:t>
            </w:r>
          </w:p>
        </w:tc>
        <w:tc>
          <w:tcPr>
            <w:tcW w:w="3476" w:type="dxa"/>
          </w:tcPr>
          <w:p w:rsidR="006C17CB" w:rsidRDefault="0030091C">
            <w:pPr>
              <w:pStyle w:val="TableParagraph"/>
              <w:tabs>
                <w:tab w:val="left" w:pos="1409"/>
                <w:tab w:val="left" w:pos="3115"/>
              </w:tabs>
              <w:spacing w:line="203" w:lineRule="exact"/>
              <w:ind w:left="375"/>
              <w:jc w:val="left"/>
              <w:rPr>
                <w:sz w:val="20"/>
              </w:rPr>
            </w:pPr>
            <w:r>
              <w:rPr>
                <w:color w:val="003366"/>
                <w:w w:val="99"/>
                <w:sz w:val="20"/>
                <w:u w:val="single" w:color="003366"/>
              </w:rPr>
              <w:t xml:space="preserve"> </w:t>
            </w:r>
            <w:r>
              <w:rPr>
                <w:color w:val="003366"/>
                <w:sz w:val="20"/>
                <w:u w:val="single" w:color="003366"/>
              </w:rPr>
              <w:tab/>
              <w:t>24</w:t>
            </w:r>
            <w:r>
              <w:rPr>
                <w:color w:val="003366"/>
                <w:sz w:val="20"/>
                <w:u w:val="single" w:color="003366"/>
              </w:rPr>
              <w:tab/>
              <w:t>85</w:t>
            </w:r>
            <w:r>
              <w:rPr>
                <w:color w:val="003366"/>
                <w:spacing w:val="16"/>
                <w:sz w:val="20"/>
                <w:u w:val="single" w:color="003366"/>
              </w:rPr>
              <w:t xml:space="preserve"> </w:t>
            </w:r>
          </w:p>
        </w:tc>
      </w:tr>
      <w:tr w:rsidR="006C17CB">
        <w:trPr>
          <w:trHeight w:val="521"/>
        </w:trPr>
        <w:tc>
          <w:tcPr>
            <w:tcW w:w="5730" w:type="dxa"/>
          </w:tcPr>
          <w:p w:rsidR="006C17CB" w:rsidRDefault="0030091C">
            <w:pPr>
              <w:pStyle w:val="TableParagraph"/>
              <w:spacing w:line="201" w:lineRule="auto"/>
              <w:ind w:left="333" w:right="359" w:hanging="284"/>
              <w:jc w:val="left"/>
              <w:rPr>
                <w:b/>
                <w:sz w:val="20"/>
              </w:rPr>
            </w:pPr>
            <w:r>
              <w:rPr>
                <w:b/>
                <w:color w:val="003366"/>
                <w:sz w:val="20"/>
              </w:rPr>
              <w:t>Cash and Cash Equivalents at the End of the Reporting Period as Recorded in the Cash Flow Statement</w:t>
            </w:r>
          </w:p>
        </w:tc>
        <w:tc>
          <w:tcPr>
            <w:tcW w:w="3476" w:type="dxa"/>
          </w:tcPr>
          <w:p w:rsidR="006C17CB" w:rsidRDefault="006C17CB">
            <w:pPr>
              <w:pStyle w:val="TableParagraph"/>
              <w:spacing w:before="1"/>
              <w:jc w:val="left"/>
              <w:rPr>
                <w:b/>
                <w:sz w:val="14"/>
              </w:rPr>
            </w:pPr>
          </w:p>
          <w:p w:rsidR="006C17CB" w:rsidRDefault="0030091C">
            <w:pPr>
              <w:pStyle w:val="TableParagraph"/>
              <w:tabs>
                <w:tab w:val="left" w:pos="3115"/>
              </w:tabs>
              <w:ind w:left="1409"/>
              <w:jc w:val="left"/>
              <w:rPr>
                <w:b/>
                <w:sz w:val="20"/>
              </w:rPr>
            </w:pPr>
            <w:r>
              <w:rPr>
                <w:b/>
                <w:color w:val="003366"/>
                <w:sz w:val="20"/>
              </w:rPr>
              <w:t>24</w:t>
            </w:r>
            <w:r>
              <w:rPr>
                <w:b/>
                <w:color w:val="003366"/>
                <w:sz w:val="20"/>
              </w:rPr>
              <w:tab/>
              <w:t>85</w:t>
            </w:r>
          </w:p>
        </w:tc>
      </w:tr>
    </w:tbl>
    <w:p w:rsidR="006C17CB" w:rsidRDefault="006C17CB">
      <w:pPr>
        <w:pStyle w:val="BodyText"/>
        <w:spacing w:before="14"/>
        <w:rPr>
          <w:rFonts w:ascii="Calibri"/>
          <w:b/>
          <w:sz w:val="23"/>
        </w:rPr>
      </w:pPr>
    </w:p>
    <w:p w:rsidR="006C17CB" w:rsidRDefault="00FE24A7">
      <w:pPr>
        <w:pStyle w:val="ListParagraph"/>
        <w:numPr>
          <w:ilvl w:val="0"/>
          <w:numId w:val="6"/>
        </w:numPr>
        <w:tabs>
          <w:tab w:val="left" w:pos="1042"/>
          <w:tab w:val="left" w:pos="1044"/>
        </w:tabs>
        <w:spacing w:before="15" w:line="240" w:lineRule="auto"/>
        <w:ind w:hanging="427"/>
        <w:rPr>
          <w:rFonts w:ascii="Calibri"/>
          <w:b/>
          <w:sz w:val="20"/>
        </w:rPr>
      </w:pPr>
      <w:r>
        <w:pict>
          <v:group id="_x0000_s1215" alt="" style="position:absolute;left:0;text-align:left;margin-left:382.55pt;margin-top:-18.7pt;width:152.55pt;height:1.45pt;z-index:2800;mso-position-horizontal-relative:page" coordorigin="7651,-374" coordsize="3051,29">
            <v:line id="_x0000_s1216" alt="" style="position:absolute" from="7651,-370" to="8995,-370" strokecolor="#036" strokeweight=".17003mm"/>
            <v:line id="_x0000_s1217" alt="" style="position:absolute" from="7651,-350" to="8995,-350" strokecolor="#036" strokeweight=".48pt"/>
            <v:shape id="_x0000_s1218" alt="" style="position:absolute;left:8995;top:-375;width:29;height:29" coordorigin="8995,-374" coordsize="29,29" o:spt="100" adj="0,,0" path="m9024,-355r-29,l8995,-346r29,l9024,-355t,-19l8995,-374r,9l9024,-365r,-9e" fillcolor="#036" stroked="f">
              <v:stroke joinstyle="round"/>
              <v:formulas/>
              <v:path arrowok="t" o:connecttype="segments"/>
            </v:shape>
            <v:line id="_x0000_s1219" alt="" style="position:absolute" from="9024,-370" to="10702,-370" strokecolor="#036" strokeweight=".17003mm"/>
            <v:line id="_x0000_s1220" alt="" style="position:absolute" from="9024,-350" to="10702,-350" strokecolor="#036" strokeweight=".48pt"/>
            <w10:wrap anchorx="page"/>
          </v:group>
        </w:pict>
      </w:r>
      <w:r w:rsidR="0030091C">
        <w:rPr>
          <w:rFonts w:ascii="Calibri"/>
          <w:b/>
          <w:color w:val="003366"/>
          <w:sz w:val="20"/>
        </w:rPr>
        <w:t>Reconciliation of Operating Surplus/(Deficit) to Net Cash Inflows from Operating</w:t>
      </w:r>
      <w:r w:rsidR="0030091C">
        <w:rPr>
          <w:rFonts w:ascii="Calibri"/>
          <w:b/>
          <w:color w:val="003366"/>
          <w:spacing w:val="-5"/>
          <w:sz w:val="20"/>
        </w:rPr>
        <w:t xml:space="preserve"> </w:t>
      </w:r>
      <w:r w:rsidR="0030091C">
        <w:rPr>
          <w:rFonts w:ascii="Calibri"/>
          <w:b/>
          <w:color w:val="003366"/>
          <w:sz w:val="20"/>
        </w:rPr>
        <w:t>Activities</w:t>
      </w:r>
    </w:p>
    <w:p w:rsidR="006C17CB" w:rsidRDefault="006C17CB">
      <w:pPr>
        <w:pStyle w:val="BodyText"/>
        <w:spacing w:before="12" w:after="1"/>
        <w:rPr>
          <w:rFonts w:ascii="Calibri"/>
          <w:b/>
          <w:sz w:val="13"/>
        </w:rPr>
      </w:pPr>
    </w:p>
    <w:tbl>
      <w:tblPr>
        <w:tblW w:w="0" w:type="auto"/>
        <w:tblInd w:w="565" w:type="dxa"/>
        <w:tblLayout w:type="fixed"/>
        <w:tblCellMar>
          <w:left w:w="0" w:type="dxa"/>
          <w:right w:w="0" w:type="dxa"/>
        </w:tblCellMar>
        <w:tblLook w:val="01E0" w:firstRow="1" w:lastRow="1" w:firstColumn="1" w:lastColumn="1" w:noHBand="0" w:noVBand="0"/>
      </w:tblPr>
      <w:tblGrid>
        <w:gridCol w:w="5690"/>
        <w:gridCol w:w="2351"/>
        <w:gridCol w:w="1055"/>
      </w:tblGrid>
      <w:tr w:rsidR="006C17CB">
        <w:trPr>
          <w:trHeight w:val="298"/>
        </w:trPr>
        <w:tc>
          <w:tcPr>
            <w:tcW w:w="5690" w:type="dxa"/>
          </w:tcPr>
          <w:p w:rsidR="006C17CB" w:rsidRDefault="0030091C">
            <w:pPr>
              <w:pStyle w:val="TableParagraph"/>
              <w:spacing w:line="203" w:lineRule="exact"/>
              <w:ind w:left="50"/>
              <w:jc w:val="left"/>
              <w:rPr>
                <w:sz w:val="20"/>
              </w:rPr>
            </w:pPr>
            <w:r>
              <w:rPr>
                <w:color w:val="003366"/>
                <w:sz w:val="20"/>
              </w:rPr>
              <w:t>Operating (Deficit)/Surplus</w:t>
            </w:r>
          </w:p>
        </w:tc>
        <w:tc>
          <w:tcPr>
            <w:tcW w:w="2351" w:type="dxa"/>
          </w:tcPr>
          <w:p w:rsidR="006C17CB" w:rsidRDefault="0030091C">
            <w:pPr>
              <w:pStyle w:val="TableParagraph"/>
              <w:spacing w:line="203" w:lineRule="exact"/>
              <w:ind w:right="699"/>
              <w:rPr>
                <w:sz w:val="20"/>
              </w:rPr>
            </w:pPr>
            <w:r>
              <w:rPr>
                <w:color w:val="003366"/>
                <w:w w:val="95"/>
                <w:sz w:val="20"/>
              </w:rPr>
              <w:t>(68)</w:t>
            </w:r>
          </w:p>
        </w:tc>
        <w:tc>
          <w:tcPr>
            <w:tcW w:w="1055" w:type="dxa"/>
          </w:tcPr>
          <w:p w:rsidR="006C17CB" w:rsidRDefault="0030091C">
            <w:pPr>
              <w:pStyle w:val="TableParagraph"/>
              <w:spacing w:line="203" w:lineRule="exact"/>
              <w:ind w:right="48"/>
              <w:rPr>
                <w:sz w:val="20"/>
              </w:rPr>
            </w:pPr>
            <w:r>
              <w:rPr>
                <w:color w:val="003366"/>
                <w:w w:val="95"/>
                <w:sz w:val="20"/>
              </w:rPr>
              <w:t>314</w:t>
            </w:r>
          </w:p>
        </w:tc>
      </w:tr>
      <w:tr w:rsidR="006C17CB">
        <w:trPr>
          <w:trHeight w:val="625"/>
        </w:trPr>
        <w:tc>
          <w:tcPr>
            <w:tcW w:w="5690" w:type="dxa"/>
          </w:tcPr>
          <w:p w:rsidR="006C17CB" w:rsidRDefault="0030091C">
            <w:pPr>
              <w:pStyle w:val="TableParagraph"/>
              <w:spacing w:before="14" w:line="286" w:lineRule="exact"/>
              <w:ind w:left="50"/>
              <w:jc w:val="left"/>
              <w:rPr>
                <w:b/>
                <w:sz w:val="20"/>
              </w:rPr>
            </w:pPr>
            <w:r>
              <w:rPr>
                <w:b/>
                <w:color w:val="003366"/>
                <w:sz w:val="20"/>
              </w:rPr>
              <w:t>Add/(Less) Non-Cash Items</w:t>
            </w:r>
          </w:p>
          <w:p w:rsidR="006C17CB" w:rsidRDefault="0030091C">
            <w:pPr>
              <w:pStyle w:val="TableParagraph"/>
              <w:spacing w:line="286" w:lineRule="exact"/>
              <w:ind w:left="50"/>
              <w:jc w:val="left"/>
              <w:rPr>
                <w:sz w:val="20"/>
              </w:rPr>
            </w:pPr>
            <w:r>
              <w:rPr>
                <w:color w:val="003366"/>
                <w:sz w:val="20"/>
              </w:rPr>
              <w:t>Depreciation of Property, Plant and Equipment</w:t>
            </w:r>
          </w:p>
        </w:tc>
        <w:tc>
          <w:tcPr>
            <w:tcW w:w="2351" w:type="dxa"/>
          </w:tcPr>
          <w:p w:rsidR="006C17CB" w:rsidRDefault="006C17CB">
            <w:pPr>
              <w:pStyle w:val="TableParagraph"/>
              <w:spacing w:before="9"/>
              <w:jc w:val="left"/>
              <w:rPr>
                <w:b/>
                <w:sz w:val="20"/>
              </w:rPr>
            </w:pPr>
          </w:p>
          <w:p w:rsidR="006C17CB" w:rsidRDefault="0030091C">
            <w:pPr>
              <w:pStyle w:val="TableParagraph"/>
              <w:ind w:right="700"/>
              <w:rPr>
                <w:sz w:val="20"/>
              </w:rPr>
            </w:pPr>
            <w:r>
              <w:rPr>
                <w:color w:val="003366"/>
                <w:w w:val="95"/>
                <w:sz w:val="20"/>
              </w:rPr>
              <w:t>291</w:t>
            </w:r>
          </w:p>
        </w:tc>
        <w:tc>
          <w:tcPr>
            <w:tcW w:w="1055" w:type="dxa"/>
          </w:tcPr>
          <w:p w:rsidR="006C17CB" w:rsidRDefault="006C17CB">
            <w:pPr>
              <w:pStyle w:val="TableParagraph"/>
              <w:spacing w:before="9"/>
              <w:jc w:val="left"/>
              <w:rPr>
                <w:b/>
                <w:sz w:val="20"/>
              </w:rPr>
            </w:pPr>
          </w:p>
          <w:p w:rsidR="006C17CB" w:rsidRDefault="0030091C">
            <w:pPr>
              <w:pStyle w:val="TableParagraph"/>
              <w:ind w:right="48"/>
              <w:rPr>
                <w:sz w:val="20"/>
              </w:rPr>
            </w:pPr>
            <w:r>
              <w:rPr>
                <w:color w:val="003366"/>
                <w:w w:val="95"/>
                <w:sz w:val="20"/>
              </w:rPr>
              <w:t>201</w:t>
            </w:r>
          </w:p>
        </w:tc>
      </w:tr>
      <w:tr w:rsidR="006C17CB">
        <w:trPr>
          <w:trHeight w:val="284"/>
        </w:trPr>
        <w:tc>
          <w:tcPr>
            <w:tcW w:w="5690" w:type="dxa"/>
          </w:tcPr>
          <w:p w:rsidR="006C17CB" w:rsidRDefault="0030091C">
            <w:pPr>
              <w:pStyle w:val="TableParagraph"/>
              <w:spacing w:line="246" w:lineRule="exact"/>
              <w:ind w:left="50"/>
              <w:jc w:val="left"/>
              <w:rPr>
                <w:sz w:val="20"/>
              </w:rPr>
            </w:pPr>
            <w:r>
              <w:rPr>
                <w:color w:val="003366"/>
                <w:sz w:val="20"/>
              </w:rPr>
              <w:t>Amortisation of Intangible Assets</w:t>
            </w:r>
          </w:p>
        </w:tc>
        <w:tc>
          <w:tcPr>
            <w:tcW w:w="2351" w:type="dxa"/>
          </w:tcPr>
          <w:p w:rsidR="006C17CB" w:rsidRDefault="0030091C">
            <w:pPr>
              <w:pStyle w:val="TableParagraph"/>
              <w:spacing w:line="246" w:lineRule="exact"/>
              <w:ind w:right="697"/>
              <w:rPr>
                <w:sz w:val="20"/>
              </w:rPr>
            </w:pPr>
            <w:r>
              <w:rPr>
                <w:color w:val="003366"/>
                <w:w w:val="95"/>
                <w:sz w:val="20"/>
              </w:rPr>
              <w:t>57</w:t>
            </w:r>
          </w:p>
        </w:tc>
        <w:tc>
          <w:tcPr>
            <w:tcW w:w="1055" w:type="dxa"/>
          </w:tcPr>
          <w:p w:rsidR="006C17CB" w:rsidRDefault="0030091C">
            <w:pPr>
              <w:pStyle w:val="TableParagraph"/>
              <w:spacing w:line="246" w:lineRule="exact"/>
              <w:ind w:right="46"/>
              <w:rPr>
                <w:sz w:val="20"/>
              </w:rPr>
            </w:pPr>
            <w:r>
              <w:rPr>
                <w:color w:val="003366"/>
                <w:w w:val="95"/>
                <w:sz w:val="20"/>
              </w:rPr>
              <w:t>11</w:t>
            </w:r>
          </w:p>
        </w:tc>
      </w:tr>
      <w:tr w:rsidR="006C17CB">
        <w:trPr>
          <w:trHeight w:val="340"/>
        </w:trPr>
        <w:tc>
          <w:tcPr>
            <w:tcW w:w="5690" w:type="dxa"/>
          </w:tcPr>
          <w:p w:rsidR="006C17CB" w:rsidRDefault="0030091C">
            <w:pPr>
              <w:pStyle w:val="TableParagraph"/>
              <w:spacing w:line="245" w:lineRule="exact"/>
              <w:ind w:left="50"/>
              <w:jc w:val="left"/>
              <w:rPr>
                <w:sz w:val="20"/>
              </w:rPr>
            </w:pPr>
            <w:r>
              <w:rPr>
                <w:color w:val="003366"/>
                <w:sz w:val="20"/>
              </w:rPr>
              <w:t>Write-off of Irrecoverable Debts</w:t>
            </w:r>
          </w:p>
        </w:tc>
        <w:tc>
          <w:tcPr>
            <w:tcW w:w="2351" w:type="dxa"/>
          </w:tcPr>
          <w:p w:rsidR="006C17CB" w:rsidRDefault="0030091C">
            <w:pPr>
              <w:pStyle w:val="TableParagraph"/>
              <w:spacing w:line="245" w:lineRule="exact"/>
              <w:ind w:right="699"/>
              <w:rPr>
                <w:sz w:val="20"/>
              </w:rPr>
            </w:pPr>
            <w:r>
              <w:rPr>
                <w:color w:val="003366"/>
                <w:w w:val="99"/>
                <w:sz w:val="20"/>
              </w:rPr>
              <w:t>-</w:t>
            </w:r>
          </w:p>
        </w:tc>
        <w:tc>
          <w:tcPr>
            <w:tcW w:w="1055" w:type="dxa"/>
          </w:tcPr>
          <w:p w:rsidR="006C17CB" w:rsidRDefault="0030091C">
            <w:pPr>
              <w:pStyle w:val="TableParagraph"/>
              <w:spacing w:line="245" w:lineRule="exact"/>
              <w:ind w:right="46"/>
              <w:rPr>
                <w:sz w:val="20"/>
              </w:rPr>
            </w:pPr>
            <w:r>
              <w:rPr>
                <w:color w:val="003366"/>
                <w:w w:val="99"/>
                <w:sz w:val="20"/>
              </w:rPr>
              <w:t>2</w:t>
            </w:r>
          </w:p>
        </w:tc>
      </w:tr>
      <w:tr w:rsidR="006C17CB">
        <w:trPr>
          <w:trHeight w:val="582"/>
        </w:trPr>
        <w:tc>
          <w:tcPr>
            <w:tcW w:w="5690" w:type="dxa"/>
          </w:tcPr>
          <w:p w:rsidR="006C17CB" w:rsidRDefault="0030091C">
            <w:pPr>
              <w:pStyle w:val="TableParagraph"/>
              <w:spacing w:before="14" w:line="286" w:lineRule="exact"/>
              <w:ind w:left="50"/>
              <w:jc w:val="left"/>
              <w:rPr>
                <w:b/>
                <w:sz w:val="20"/>
              </w:rPr>
            </w:pPr>
            <w:r>
              <w:rPr>
                <w:b/>
                <w:color w:val="003366"/>
                <w:sz w:val="20"/>
              </w:rPr>
              <w:t>Add/(Less) Items Classified as Investing or Financing</w:t>
            </w:r>
          </w:p>
          <w:p w:rsidR="006C17CB" w:rsidRDefault="0030091C">
            <w:pPr>
              <w:pStyle w:val="TableParagraph"/>
              <w:spacing w:line="262" w:lineRule="exact"/>
              <w:ind w:left="50"/>
              <w:jc w:val="left"/>
              <w:rPr>
                <w:sz w:val="20"/>
              </w:rPr>
            </w:pPr>
            <w:r>
              <w:rPr>
                <w:color w:val="003366"/>
                <w:sz w:val="20"/>
              </w:rPr>
              <w:t>Net Loss on Disposal of Non-Current Assets</w:t>
            </w:r>
          </w:p>
        </w:tc>
        <w:tc>
          <w:tcPr>
            <w:tcW w:w="2351" w:type="dxa"/>
          </w:tcPr>
          <w:p w:rsidR="006C17CB" w:rsidRDefault="006C17CB">
            <w:pPr>
              <w:pStyle w:val="TableParagraph"/>
              <w:spacing w:before="9"/>
              <w:jc w:val="left"/>
              <w:rPr>
                <w:b/>
                <w:sz w:val="20"/>
              </w:rPr>
            </w:pPr>
          </w:p>
          <w:p w:rsidR="006C17CB" w:rsidRDefault="0030091C">
            <w:pPr>
              <w:pStyle w:val="TableParagraph"/>
              <w:spacing w:line="264" w:lineRule="exact"/>
              <w:ind w:right="697"/>
              <w:rPr>
                <w:sz w:val="20"/>
              </w:rPr>
            </w:pPr>
            <w:r>
              <w:rPr>
                <w:color w:val="003366"/>
                <w:w w:val="99"/>
                <w:sz w:val="20"/>
              </w:rPr>
              <w:t>3</w:t>
            </w:r>
          </w:p>
        </w:tc>
        <w:tc>
          <w:tcPr>
            <w:tcW w:w="1055" w:type="dxa"/>
          </w:tcPr>
          <w:p w:rsidR="006C17CB" w:rsidRDefault="006C17CB">
            <w:pPr>
              <w:pStyle w:val="TableParagraph"/>
              <w:spacing w:before="9"/>
              <w:jc w:val="left"/>
              <w:rPr>
                <w:b/>
                <w:sz w:val="20"/>
              </w:rPr>
            </w:pPr>
          </w:p>
          <w:p w:rsidR="006C17CB" w:rsidRDefault="0030091C">
            <w:pPr>
              <w:pStyle w:val="TableParagraph"/>
              <w:spacing w:line="264" w:lineRule="exact"/>
              <w:ind w:right="46"/>
              <w:rPr>
                <w:sz w:val="20"/>
              </w:rPr>
            </w:pPr>
            <w:r>
              <w:rPr>
                <w:color w:val="003366"/>
                <w:w w:val="99"/>
                <w:sz w:val="20"/>
              </w:rPr>
              <w:t>1</w:t>
            </w:r>
          </w:p>
        </w:tc>
      </w:tr>
    </w:tbl>
    <w:p w:rsidR="006C17CB" w:rsidRDefault="0030091C">
      <w:pPr>
        <w:tabs>
          <w:tab w:val="left" w:pos="6671"/>
          <w:tab w:val="left" w:pos="7806"/>
          <w:tab w:val="left" w:pos="9551"/>
        </w:tabs>
        <w:spacing w:before="1" w:line="288" w:lineRule="exact"/>
        <w:ind w:left="615"/>
        <w:rPr>
          <w:rFonts w:ascii="Calibri"/>
          <w:sz w:val="20"/>
        </w:rPr>
      </w:pPr>
      <w:r>
        <w:rPr>
          <w:rFonts w:ascii="Calibri"/>
          <w:color w:val="003366"/>
          <w:sz w:val="20"/>
        </w:rPr>
        <w:t>Unrealised Loss</w:t>
      </w:r>
      <w:r>
        <w:rPr>
          <w:rFonts w:ascii="Calibri"/>
          <w:color w:val="003366"/>
          <w:spacing w:val="-5"/>
          <w:sz w:val="20"/>
        </w:rPr>
        <w:t xml:space="preserve"> </w:t>
      </w:r>
      <w:r>
        <w:rPr>
          <w:rFonts w:ascii="Calibri"/>
          <w:color w:val="003366"/>
          <w:sz w:val="20"/>
        </w:rPr>
        <w:t>on</w:t>
      </w:r>
      <w:r>
        <w:rPr>
          <w:rFonts w:ascii="Calibri"/>
          <w:color w:val="003366"/>
          <w:spacing w:val="-2"/>
          <w:sz w:val="20"/>
        </w:rPr>
        <w:t xml:space="preserve"> </w:t>
      </w:r>
      <w:r>
        <w:rPr>
          <w:rFonts w:ascii="Calibri"/>
          <w:color w:val="003366"/>
          <w:sz w:val="20"/>
        </w:rPr>
        <w:t>Investments</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7</w:t>
      </w:r>
      <w:r>
        <w:rPr>
          <w:rFonts w:ascii="Calibri"/>
          <w:color w:val="003366"/>
          <w:sz w:val="20"/>
          <w:u w:val="single" w:color="003366"/>
        </w:rPr>
        <w:tab/>
        <w:t>-</w:t>
      </w:r>
      <w:r>
        <w:rPr>
          <w:rFonts w:ascii="Calibri"/>
          <w:color w:val="003366"/>
          <w:spacing w:val="17"/>
          <w:sz w:val="20"/>
          <w:u w:val="single" w:color="003366"/>
        </w:rPr>
        <w:t xml:space="preserve"> </w:t>
      </w:r>
    </w:p>
    <w:p w:rsidR="006C17CB" w:rsidRDefault="0030091C">
      <w:pPr>
        <w:tabs>
          <w:tab w:val="left" w:pos="6671"/>
          <w:tab w:val="left" w:pos="7602"/>
          <w:tab w:val="left" w:pos="9308"/>
        </w:tabs>
        <w:ind w:left="615"/>
        <w:rPr>
          <w:rFonts w:ascii="Calibri"/>
          <w:b/>
          <w:sz w:val="20"/>
        </w:rPr>
      </w:pPr>
      <w:r>
        <w:rPr>
          <w:rFonts w:ascii="Calibri"/>
          <w:b/>
          <w:color w:val="003366"/>
          <w:sz w:val="20"/>
        </w:rPr>
        <w:t>Cash Before Changes in Operating Assets</w:t>
      </w:r>
      <w:r>
        <w:rPr>
          <w:rFonts w:ascii="Calibri"/>
          <w:b/>
          <w:color w:val="003366"/>
          <w:spacing w:val="-12"/>
          <w:sz w:val="20"/>
        </w:rPr>
        <w:t xml:space="preserve"> </w:t>
      </w:r>
      <w:r>
        <w:rPr>
          <w:rFonts w:ascii="Calibri"/>
          <w:b/>
          <w:color w:val="003366"/>
          <w:sz w:val="20"/>
        </w:rPr>
        <w:t>and</w:t>
      </w:r>
      <w:r>
        <w:rPr>
          <w:rFonts w:ascii="Calibri"/>
          <w:b/>
          <w:color w:val="003366"/>
          <w:spacing w:val="-2"/>
          <w:sz w:val="20"/>
        </w:rPr>
        <w:t xml:space="preserve"> </w:t>
      </w:r>
      <w:r>
        <w:rPr>
          <w:rFonts w:ascii="Calibri"/>
          <w:b/>
          <w:color w:val="003366"/>
          <w:sz w:val="20"/>
        </w:rPr>
        <w:t>Liabilities</w:t>
      </w:r>
      <w:r>
        <w:rPr>
          <w:rFonts w:ascii="Calibri"/>
          <w:b/>
          <w:color w:val="003366"/>
          <w:sz w:val="20"/>
        </w:rPr>
        <w:tab/>
      </w:r>
      <w:r>
        <w:rPr>
          <w:rFonts w:ascii="Calibri"/>
          <w:b/>
          <w:color w:val="003366"/>
          <w:sz w:val="20"/>
          <w:u w:val="single" w:color="003366"/>
        </w:rPr>
        <w:t xml:space="preserve"> </w:t>
      </w:r>
      <w:r>
        <w:rPr>
          <w:rFonts w:ascii="Calibri"/>
          <w:b/>
          <w:color w:val="003366"/>
          <w:sz w:val="20"/>
          <w:u w:val="single" w:color="003366"/>
        </w:rPr>
        <w:tab/>
        <w:t>290</w:t>
      </w:r>
      <w:r>
        <w:rPr>
          <w:rFonts w:ascii="Calibri"/>
          <w:b/>
          <w:color w:val="003366"/>
          <w:sz w:val="20"/>
          <w:u w:val="single" w:color="003366"/>
        </w:rPr>
        <w:tab/>
        <w:t>529</w:t>
      </w:r>
      <w:r>
        <w:rPr>
          <w:rFonts w:ascii="Calibri"/>
          <w:b/>
          <w:color w:val="003366"/>
          <w:spacing w:val="18"/>
          <w:sz w:val="20"/>
          <w:u w:val="single" w:color="003366"/>
        </w:rPr>
        <w:t xml:space="preserve"> </w:t>
      </w:r>
    </w:p>
    <w:p w:rsidR="006C17CB" w:rsidRDefault="006C17CB">
      <w:pPr>
        <w:pStyle w:val="BodyText"/>
        <w:rPr>
          <w:rFonts w:ascii="Calibri"/>
          <w:b/>
          <w:sz w:val="29"/>
        </w:rPr>
      </w:pPr>
    </w:p>
    <w:tbl>
      <w:tblPr>
        <w:tblW w:w="0" w:type="auto"/>
        <w:tblInd w:w="565" w:type="dxa"/>
        <w:tblLayout w:type="fixed"/>
        <w:tblCellMar>
          <w:left w:w="0" w:type="dxa"/>
          <w:right w:w="0" w:type="dxa"/>
        </w:tblCellMar>
        <w:tblLook w:val="01E0" w:firstRow="1" w:lastRow="1" w:firstColumn="1" w:lastColumn="1" w:noHBand="0" w:noVBand="0"/>
      </w:tblPr>
      <w:tblGrid>
        <w:gridCol w:w="5252"/>
        <w:gridCol w:w="2780"/>
        <w:gridCol w:w="1065"/>
      </w:tblGrid>
      <w:tr w:rsidR="006C17CB">
        <w:trPr>
          <w:trHeight w:val="242"/>
        </w:trPr>
        <w:tc>
          <w:tcPr>
            <w:tcW w:w="5252" w:type="dxa"/>
          </w:tcPr>
          <w:p w:rsidR="006C17CB" w:rsidRDefault="0030091C">
            <w:pPr>
              <w:pStyle w:val="TableParagraph"/>
              <w:spacing w:line="203" w:lineRule="exact"/>
              <w:ind w:left="50"/>
              <w:jc w:val="left"/>
              <w:rPr>
                <w:b/>
                <w:sz w:val="20"/>
              </w:rPr>
            </w:pPr>
            <w:r>
              <w:rPr>
                <w:b/>
                <w:color w:val="003366"/>
                <w:sz w:val="20"/>
              </w:rPr>
              <w:t>Changes in Operating Assets and Liabilities</w:t>
            </w:r>
          </w:p>
        </w:tc>
        <w:tc>
          <w:tcPr>
            <w:tcW w:w="3845" w:type="dxa"/>
            <w:gridSpan w:val="2"/>
          </w:tcPr>
          <w:p w:rsidR="006C17CB" w:rsidRDefault="006C17CB">
            <w:pPr>
              <w:pStyle w:val="TableParagraph"/>
              <w:jc w:val="left"/>
              <w:rPr>
                <w:rFonts w:ascii="Times New Roman"/>
                <w:sz w:val="16"/>
              </w:rPr>
            </w:pPr>
          </w:p>
        </w:tc>
      </w:tr>
      <w:tr w:rsidR="006C17CB">
        <w:trPr>
          <w:trHeight w:val="284"/>
        </w:trPr>
        <w:tc>
          <w:tcPr>
            <w:tcW w:w="5252" w:type="dxa"/>
          </w:tcPr>
          <w:p w:rsidR="006C17CB" w:rsidRDefault="0030091C">
            <w:pPr>
              <w:pStyle w:val="TableParagraph"/>
              <w:spacing w:line="246" w:lineRule="exact"/>
              <w:ind w:left="50"/>
              <w:jc w:val="left"/>
              <w:rPr>
                <w:sz w:val="20"/>
              </w:rPr>
            </w:pPr>
            <w:r>
              <w:rPr>
                <w:color w:val="003366"/>
                <w:sz w:val="20"/>
              </w:rPr>
              <w:t>Decrease in Receivables</w:t>
            </w:r>
          </w:p>
        </w:tc>
        <w:tc>
          <w:tcPr>
            <w:tcW w:w="2780" w:type="dxa"/>
          </w:tcPr>
          <w:p w:rsidR="006C17CB" w:rsidRDefault="0030091C">
            <w:pPr>
              <w:pStyle w:val="TableParagraph"/>
              <w:spacing w:line="246" w:lineRule="exact"/>
              <w:ind w:right="688"/>
              <w:rPr>
                <w:sz w:val="20"/>
              </w:rPr>
            </w:pPr>
            <w:r>
              <w:rPr>
                <w:color w:val="003366"/>
                <w:w w:val="95"/>
                <w:sz w:val="20"/>
              </w:rPr>
              <w:t>42</w:t>
            </w:r>
          </w:p>
        </w:tc>
        <w:tc>
          <w:tcPr>
            <w:tcW w:w="1065" w:type="dxa"/>
          </w:tcPr>
          <w:p w:rsidR="006C17CB" w:rsidRDefault="0030091C">
            <w:pPr>
              <w:pStyle w:val="TableParagraph"/>
              <w:spacing w:line="246" w:lineRule="exact"/>
              <w:ind w:right="47"/>
              <w:rPr>
                <w:sz w:val="20"/>
              </w:rPr>
            </w:pPr>
            <w:r>
              <w:rPr>
                <w:color w:val="003366"/>
                <w:w w:val="95"/>
                <w:sz w:val="20"/>
              </w:rPr>
              <w:t>10</w:t>
            </w:r>
          </w:p>
        </w:tc>
      </w:tr>
      <w:tr w:rsidR="006C17CB">
        <w:trPr>
          <w:trHeight w:val="283"/>
        </w:trPr>
        <w:tc>
          <w:tcPr>
            <w:tcW w:w="5252" w:type="dxa"/>
          </w:tcPr>
          <w:p w:rsidR="006C17CB" w:rsidRDefault="0030091C">
            <w:pPr>
              <w:pStyle w:val="TableParagraph"/>
              <w:spacing w:line="245" w:lineRule="exact"/>
              <w:ind w:left="50"/>
              <w:jc w:val="left"/>
              <w:rPr>
                <w:sz w:val="20"/>
              </w:rPr>
            </w:pPr>
            <w:r>
              <w:rPr>
                <w:color w:val="003366"/>
                <w:sz w:val="20"/>
              </w:rPr>
              <w:t>Decrease/(Increase) in Other Assets</w:t>
            </w:r>
          </w:p>
        </w:tc>
        <w:tc>
          <w:tcPr>
            <w:tcW w:w="2780" w:type="dxa"/>
          </w:tcPr>
          <w:p w:rsidR="006C17CB" w:rsidRDefault="0030091C">
            <w:pPr>
              <w:pStyle w:val="TableParagraph"/>
              <w:spacing w:line="245" w:lineRule="exact"/>
              <w:ind w:right="688"/>
              <w:rPr>
                <w:sz w:val="20"/>
              </w:rPr>
            </w:pPr>
            <w:r>
              <w:rPr>
                <w:color w:val="003366"/>
                <w:w w:val="95"/>
                <w:sz w:val="20"/>
              </w:rPr>
              <w:t>44</w:t>
            </w:r>
          </w:p>
        </w:tc>
        <w:tc>
          <w:tcPr>
            <w:tcW w:w="1065" w:type="dxa"/>
          </w:tcPr>
          <w:p w:rsidR="006C17CB" w:rsidRDefault="0030091C">
            <w:pPr>
              <w:pStyle w:val="TableParagraph"/>
              <w:spacing w:line="245" w:lineRule="exact"/>
              <w:ind w:right="49"/>
              <w:rPr>
                <w:sz w:val="20"/>
              </w:rPr>
            </w:pPr>
            <w:r>
              <w:rPr>
                <w:color w:val="003366"/>
                <w:w w:val="95"/>
                <w:sz w:val="20"/>
              </w:rPr>
              <w:t>(21)</w:t>
            </w:r>
          </w:p>
        </w:tc>
      </w:tr>
      <w:tr w:rsidR="006C17CB">
        <w:trPr>
          <w:trHeight w:val="284"/>
        </w:trPr>
        <w:tc>
          <w:tcPr>
            <w:tcW w:w="5252" w:type="dxa"/>
          </w:tcPr>
          <w:p w:rsidR="006C17CB" w:rsidRDefault="0030091C">
            <w:pPr>
              <w:pStyle w:val="TableParagraph"/>
              <w:spacing w:line="245" w:lineRule="exact"/>
              <w:ind w:left="50"/>
              <w:jc w:val="left"/>
              <w:rPr>
                <w:sz w:val="20"/>
              </w:rPr>
            </w:pPr>
            <w:r>
              <w:rPr>
                <w:color w:val="003366"/>
                <w:sz w:val="20"/>
              </w:rPr>
              <w:t>(Decrease)/Increase in Payables</w:t>
            </w:r>
          </w:p>
        </w:tc>
        <w:tc>
          <w:tcPr>
            <w:tcW w:w="2780" w:type="dxa"/>
          </w:tcPr>
          <w:p w:rsidR="006C17CB" w:rsidRDefault="0030091C">
            <w:pPr>
              <w:pStyle w:val="TableParagraph"/>
              <w:spacing w:line="245" w:lineRule="exact"/>
              <w:ind w:right="690"/>
              <w:rPr>
                <w:sz w:val="20"/>
              </w:rPr>
            </w:pPr>
            <w:r>
              <w:rPr>
                <w:color w:val="003366"/>
                <w:w w:val="95"/>
                <w:sz w:val="20"/>
              </w:rPr>
              <w:t>(290)</w:t>
            </w:r>
          </w:p>
        </w:tc>
        <w:tc>
          <w:tcPr>
            <w:tcW w:w="1065" w:type="dxa"/>
          </w:tcPr>
          <w:p w:rsidR="006C17CB" w:rsidRDefault="0030091C">
            <w:pPr>
              <w:pStyle w:val="TableParagraph"/>
              <w:spacing w:line="245" w:lineRule="exact"/>
              <w:ind w:right="49"/>
              <w:rPr>
                <w:sz w:val="20"/>
              </w:rPr>
            </w:pPr>
            <w:r>
              <w:rPr>
                <w:color w:val="003366"/>
                <w:w w:val="95"/>
                <w:sz w:val="20"/>
              </w:rPr>
              <w:t>239</w:t>
            </w:r>
          </w:p>
        </w:tc>
      </w:tr>
      <w:tr w:rsidR="006C17CB">
        <w:trPr>
          <w:trHeight w:val="242"/>
        </w:trPr>
        <w:tc>
          <w:tcPr>
            <w:tcW w:w="5252" w:type="dxa"/>
          </w:tcPr>
          <w:p w:rsidR="006C17CB" w:rsidRDefault="0030091C">
            <w:pPr>
              <w:pStyle w:val="TableParagraph"/>
              <w:spacing w:line="222" w:lineRule="exact"/>
              <w:ind w:left="50"/>
              <w:jc w:val="left"/>
              <w:rPr>
                <w:sz w:val="20"/>
              </w:rPr>
            </w:pPr>
            <w:r>
              <w:rPr>
                <w:color w:val="003366"/>
                <w:sz w:val="20"/>
              </w:rPr>
              <w:t>Increase in Employee Benefits</w:t>
            </w:r>
          </w:p>
        </w:tc>
        <w:tc>
          <w:tcPr>
            <w:tcW w:w="2780" w:type="dxa"/>
          </w:tcPr>
          <w:p w:rsidR="006C17CB" w:rsidRDefault="0030091C">
            <w:pPr>
              <w:pStyle w:val="TableParagraph"/>
              <w:spacing w:line="222" w:lineRule="exact"/>
              <w:ind w:right="688"/>
              <w:rPr>
                <w:sz w:val="20"/>
              </w:rPr>
            </w:pPr>
            <w:r>
              <w:rPr>
                <w:color w:val="003366"/>
                <w:w w:val="95"/>
                <w:sz w:val="20"/>
              </w:rPr>
              <w:t>69</w:t>
            </w:r>
          </w:p>
        </w:tc>
        <w:tc>
          <w:tcPr>
            <w:tcW w:w="1065" w:type="dxa"/>
          </w:tcPr>
          <w:p w:rsidR="006C17CB" w:rsidRDefault="0030091C">
            <w:pPr>
              <w:pStyle w:val="TableParagraph"/>
              <w:spacing w:line="222" w:lineRule="exact"/>
              <w:ind w:right="47"/>
              <w:rPr>
                <w:sz w:val="20"/>
              </w:rPr>
            </w:pPr>
            <w:r>
              <w:rPr>
                <w:color w:val="003366"/>
                <w:w w:val="99"/>
                <w:sz w:val="20"/>
              </w:rPr>
              <w:t>1</w:t>
            </w:r>
          </w:p>
        </w:tc>
      </w:tr>
    </w:tbl>
    <w:p w:rsidR="006C17CB" w:rsidRDefault="0030091C">
      <w:pPr>
        <w:tabs>
          <w:tab w:val="left" w:pos="6671"/>
          <w:tab w:val="left" w:pos="7844"/>
          <w:tab w:val="left" w:pos="9188"/>
        </w:tabs>
        <w:spacing w:line="287" w:lineRule="exact"/>
        <w:ind w:left="615"/>
        <w:rPr>
          <w:rFonts w:ascii="Calibri"/>
          <w:sz w:val="20"/>
        </w:rPr>
      </w:pPr>
      <w:r>
        <w:rPr>
          <w:rFonts w:ascii="Calibri"/>
          <w:color w:val="003366"/>
          <w:sz w:val="20"/>
        </w:rPr>
        <w:t>(Decrease)/Increase in</w:t>
      </w:r>
      <w:r>
        <w:rPr>
          <w:rFonts w:ascii="Calibri"/>
          <w:color w:val="003366"/>
          <w:spacing w:val="-8"/>
          <w:sz w:val="20"/>
        </w:rPr>
        <w:t xml:space="preserve"> </w:t>
      </w:r>
      <w:r>
        <w:rPr>
          <w:rFonts w:ascii="Calibri"/>
          <w:color w:val="003366"/>
          <w:sz w:val="20"/>
        </w:rPr>
        <w:t>Other</w:t>
      </w:r>
      <w:r>
        <w:rPr>
          <w:rFonts w:ascii="Calibri"/>
          <w:color w:val="003366"/>
          <w:spacing w:val="-3"/>
          <w:sz w:val="20"/>
        </w:rPr>
        <w:t xml:space="preserve"> </w:t>
      </w:r>
      <w:r>
        <w:rPr>
          <w:rFonts w:ascii="Calibri"/>
          <w:color w:val="003366"/>
          <w:sz w:val="20"/>
        </w:rPr>
        <w:t>Liabilities</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w:t>
      </w:r>
      <w:r>
        <w:rPr>
          <w:rFonts w:ascii="Calibri"/>
          <w:color w:val="003366"/>
          <w:sz w:val="20"/>
          <w:u w:val="single" w:color="003366"/>
        </w:rPr>
        <w:tab/>
        <w:t>(125)</w:t>
      </w:r>
      <w:r>
        <w:rPr>
          <w:rFonts w:ascii="Calibri"/>
          <w:color w:val="003366"/>
          <w:spacing w:val="18"/>
          <w:sz w:val="20"/>
          <w:u w:val="single" w:color="003366"/>
        </w:rPr>
        <w:t xml:space="preserve"> </w:t>
      </w:r>
    </w:p>
    <w:p w:rsidR="006C17CB" w:rsidRDefault="0030091C">
      <w:pPr>
        <w:tabs>
          <w:tab w:val="left" w:pos="6671"/>
          <w:tab w:val="left" w:pos="7477"/>
          <w:tab w:val="left" w:pos="9308"/>
        </w:tabs>
        <w:spacing w:before="2"/>
        <w:ind w:left="615"/>
        <w:rPr>
          <w:rFonts w:ascii="Calibri"/>
          <w:b/>
          <w:sz w:val="20"/>
        </w:rPr>
      </w:pPr>
      <w:r>
        <w:rPr>
          <w:rFonts w:ascii="Calibri"/>
          <w:b/>
          <w:color w:val="003366"/>
          <w:sz w:val="20"/>
        </w:rPr>
        <w:t>Net Changes in Operating Assets</w:t>
      </w:r>
      <w:r>
        <w:rPr>
          <w:rFonts w:ascii="Calibri"/>
          <w:b/>
          <w:color w:val="003366"/>
          <w:spacing w:val="-9"/>
          <w:sz w:val="20"/>
        </w:rPr>
        <w:t xml:space="preserve"> </w:t>
      </w:r>
      <w:r>
        <w:rPr>
          <w:rFonts w:ascii="Calibri"/>
          <w:b/>
          <w:color w:val="003366"/>
          <w:sz w:val="20"/>
        </w:rPr>
        <w:t>and</w:t>
      </w:r>
      <w:r>
        <w:rPr>
          <w:rFonts w:ascii="Calibri"/>
          <w:b/>
          <w:color w:val="003366"/>
          <w:spacing w:val="-1"/>
          <w:sz w:val="20"/>
        </w:rPr>
        <w:t xml:space="preserve"> </w:t>
      </w:r>
      <w:r>
        <w:rPr>
          <w:rFonts w:ascii="Calibri"/>
          <w:b/>
          <w:color w:val="003366"/>
          <w:sz w:val="20"/>
        </w:rPr>
        <w:t>Liabilities</w:t>
      </w:r>
      <w:r>
        <w:rPr>
          <w:rFonts w:ascii="Calibri"/>
          <w:b/>
          <w:color w:val="003366"/>
          <w:sz w:val="20"/>
        </w:rPr>
        <w:tab/>
      </w:r>
      <w:r>
        <w:rPr>
          <w:rFonts w:ascii="Calibri"/>
          <w:b/>
          <w:color w:val="003366"/>
          <w:sz w:val="20"/>
          <w:u w:val="single" w:color="003366"/>
        </w:rPr>
        <w:t xml:space="preserve"> </w:t>
      </w:r>
      <w:r>
        <w:rPr>
          <w:rFonts w:ascii="Calibri"/>
          <w:b/>
          <w:color w:val="003366"/>
          <w:sz w:val="20"/>
          <w:u w:val="single" w:color="003366"/>
        </w:rPr>
        <w:tab/>
        <w:t>(135)</w:t>
      </w:r>
      <w:r>
        <w:rPr>
          <w:rFonts w:ascii="Calibri"/>
          <w:b/>
          <w:color w:val="003366"/>
          <w:sz w:val="20"/>
          <w:u w:val="single" w:color="003366"/>
        </w:rPr>
        <w:tab/>
        <w:t>104</w:t>
      </w:r>
      <w:r>
        <w:rPr>
          <w:rFonts w:ascii="Calibri"/>
          <w:b/>
          <w:color w:val="003366"/>
          <w:spacing w:val="18"/>
          <w:sz w:val="20"/>
          <w:u w:val="single" w:color="003366"/>
        </w:rPr>
        <w:t xml:space="preserve"> </w:t>
      </w:r>
    </w:p>
    <w:p w:rsidR="006C17CB" w:rsidRDefault="00FE24A7">
      <w:pPr>
        <w:pStyle w:val="BodyText"/>
        <w:spacing w:before="9"/>
        <w:rPr>
          <w:rFonts w:ascii="Calibri"/>
          <w:b/>
          <w:sz w:val="20"/>
        </w:rPr>
      </w:pPr>
      <w:r>
        <w:pict>
          <v:group id="_x0000_s1211" alt="" style="position:absolute;margin-left:382.55pt;margin-top:16.9pt;width:152.55pt;height:.25pt;z-index:2752;mso-wrap-distance-left:0;mso-wrap-distance-right:0;mso-position-horizontal-relative:page" coordorigin="7651,338" coordsize="3051,5">
            <v:line id="_x0000_s1212" alt="" style="position:absolute" from="7651,340" to="8995,340" strokecolor="#036" strokeweight=".24pt"/>
            <v:rect id="_x0000_s1213" alt="" style="position:absolute;left:8995;top:337;width:5;height:5" fillcolor="#036" stroked="f"/>
            <v:line id="_x0000_s1214" alt="" style="position:absolute" from="9000,340" to="10702,340" strokecolor="#036" strokeweight=".24pt"/>
            <w10:wrap type="topAndBottom" anchorx="page"/>
          </v:group>
        </w:pict>
      </w:r>
    </w:p>
    <w:p w:rsidR="006C17CB" w:rsidRDefault="0030091C">
      <w:pPr>
        <w:tabs>
          <w:tab w:val="left" w:pos="7602"/>
          <w:tab w:val="right" w:pos="9611"/>
        </w:tabs>
        <w:spacing w:line="255" w:lineRule="exact"/>
        <w:ind w:left="615"/>
        <w:rPr>
          <w:rFonts w:ascii="Calibri"/>
          <w:b/>
          <w:sz w:val="20"/>
        </w:rPr>
      </w:pPr>
      <w:r>
        <w:rPr>
          <w:rFonts w:ascii="Calibri"/>
          <w:b/>
          <w:color w:val="003366"/>
          <w:sz w:val="20"/>
        </w:rPr>
        <w:t>Net Cash Inflows from</w:t>
      </w:r>
      <w:r>
        <w:rPr>
          <w:rFonts w:ascii="Calibri"/>
          <w:b/>
          <w:color w:val="003366"/>
          <w:spacing w:val="-7"/>
          <w:sz w:val="20"/>
        </w:rPr>
        <w:t xml:space="preserve"> </w:t>
      </w:r>
      <w:r>
        <w:rPr>
          <w:rFonts w:ascii="Calibri"/>
          <w:b/>
          <w:color w:val="003366"/>
          <w:sz w:val="20"/>
        </w:rPr>
        <w:t>Operating</w:t>
      </w:r>
      <w:r>
        <w:rPr>
          <w:rFonts w:ascii="Calibri"/>
          <w:b/>
          <w:color w:val="003366"/>
          <w:spacing w:val="-3"/>
          <w:sz w:val="20"/>
        </w:rPr>
        <w:t xml:space="preserve"> </w:t>
      </w:r>
      <w:r>
        <w:rPr>
          <w:rFonts w:ascii="Calibri"/>
          <w:b/>
          <w:color w:val="003366"/>
          <w:sz w:val="20"/>
        </w:rPr>
        <w:t>Activities</w:t>
      </w:r>
      <w:r>
        <w:rPr>
          <w:rFonts w:ascii="Calibri"/>
          <w:b/>
          <w:color w:val="003366"/>
          <w:sz w:val="20"/>
        </w:rPr>
        <w:tab/>
        <w:t>155</w:t>
      </w:r>
      <w:r>
        <w:rPr>
          <w:rFonts w:ascii="Calibri"/>
          <w:b/>
          <w:color w:val="003366"/>
          <w:sz w:val="20"/>
        </w:rPr>
        <w:tab/>
        <w:t>633</w:t>
      </w:r>
    </w:p>
    <w:p w:rsidR="006C17CB" w:rsidRDefault="00FE24A7">
      <w:pPr>
        <w:pStyle w:val="BodyText"/>
        <w:spacing w:line="29" w:lineRule="exact"/>
        <w:ind w:left="6666"/>
        <w:rPr>
          <w:rFonts w:ascii="Calibri"/>
          <w:sz w:val="2"/>
        </w:rPr>
      </w:pPr>
      <w:r>
        <w:rPr>
          <w:rFonts w:ascii="Calibri"/>
          <w:sz w:val="2"/>
        </w:rPr>
      </w:r>
      <w:r>
        <w:rPr>
          <w:rFonts w:ascii="Calibri"/>
          <w:sz w:val="2"/>
        </w:rPr>
        <w:pict>
          <v:group id="_x0000_s1204" alt="" style="width:152.55pt;height:1.45pt;mso-position-horizontal-relative:char;mso-position-vertical-relative:line" coordsize="3051,29">
            <v:line id="_x0000_s1205" alt="" style="position:absolute" from="0,5" to="1344,5" strokecolor="#036" strokeweight=".16969mm"/>
            <v:line id="_x0000_s1206" alt="" style="position:absolute" from="0,24" to="1344,24" strokecolor="#036" strokeweight=".48pt"/>
            <v:rect id="_x0000_s1207" alt="" style="position:absolute;left:1344;width:29;height:10" fillcolor="#036" stroked="f"/>
            <v:rect id="_x0000_s1208" alt="" style="position:absolute;left:1344;top:19;width:29;height:10" fillcolor="#036" stroked="f"/>
            <v:line id="_x0000_s1209" alt="" style="position:absolute" from="1373,5" to="3050,5" strokecolor="#036" strokeweight=".16969mm"/>
            <v:line id="_x0000_s1210" alt="" style="position:absolute" from="1373,24" to="3050,24" strokecolor="#036" strokeweight=".48pt"/>
            <w10:anchorlock/>
          </v:group>
        </w:pict>
      </w:r>
    </w:p>
    <w:p w:rsidR="006C17CB" w:rsidRDefault="006C17CB">
      <w:pPr>
        <w:spacing w:line="29" w:lineRule="exact"/>
        <w:rPr>
          <w:rFonts w:ascii="Calibri"/>
          <w:sz w:val="2"/>
        </w:rPr>
        <w:sectPr w:rsidR="006C17CB">
          <w:type w:val="continuous"/>
          <w:pgSz w:w="11910" w:h="16840"/>
          <w:pgMar w:top="1580" w:right="0" w:bottom="280" w:left="980" w:header="720" w:footer="720" w:gutter="0"/>
          <w:cols w:space="720"/>
        </w:sectPr>
      </w:pPr>
    </w:p>
    <w:p w:rsidR="006C17CB" w:rsidRDefault="006C17CB">
      <w:pPr>
        <w:pStyle w:val="BodyText"/>
        <w:spacing w:before="9"/>
        <w:rPr>
          <w:rFonts w:ascii="Calibri"/>
          <w:b/>
          <w:sz w:val="21"/>
        </w:rPr>
      </w:pPr>
    </w:p>
    <w:p w:rsidR="006C17CB" w:rsidRDefault="0030091C">
      <w:pPr>
        <w:pStyle w:val="Heading6"/>
        <w:tabs>
          <w:tab w:val="left" w:pos="1962"/>
        </w:tabs>
        <w:spacing w:line="345" w:lineRule="exact"/>
      </w:pPr>
      <w:r>
        <w:rPr>
          <w:color w:val="003366"/>
        </w:rPr>
        <w:t>NOTE</w:t>
      </w:r>
      <w:r>
        <w:rPr>
          <w:color w:val="003366"/>
          <w:spacing w:val="-1"/>
        </w:rPr>
        <w:t xml:space="preserve"> </w:t>
      </w:r>
      <w:r>
        <w:rPr>
          <w:color w:val="003366"/>
        </w:rPr>
        <w:t>21.</w:t>
      </w:r>
      <w:r>
        <w:rPr>
          <w:color w:val="003366"/>
        </w:rPr>
        <w:tab/>
        <w:t>BUDGETARY</w:t>
      </w:r>
      <w:r>
        <w:rPr>
          <w:color w:val="003366"/>
          <w:spacing w:val="-1"/>
        </w:rPr>
        <w:t xml:space="preserve"> </w:t>
      </w:r>
      <w:r>
        <w:rPr>
          <w:color w:val="003366"/>
        </w:rPr>
        <w:t>REPORTING</w:t>
      </w:r>
    </w:p>
    <w:p w:rsidR="006C17CB" w:rsidRDefault="0030091C">
      <w:pPr>
        <w:spacing w:before="195"/>
        <w:ind w:left="829"/>
        <w:rPr>
          <w:rFonts w:ascii="Calibri" w:hAnsi="Calibri"/>
          <w:i/>
          <w:sz w:val="20"/>
        </w:rPr>
      </w:pPr>
      <w:r>
        <w:rPr>
          <w:rFonts w:ascii="Calibri" w:hAnsi="Calibri"/>
          <w:i/>
          <w:color w:val="17365D"/>
          <w:sz w:val="20"/>
        </w:rPr>
        <w:t>Significant Judgements and Estimates – Budgetary Reporting</w:t>
      </w:r>
    </w:p>
    <w:p w:rsidR="006C17CB" w:rsidRDefault="0030091C">
      <w:pPr>
        <w:spacing w:before="112" w:line="204" w:lineRule="auto"/>
        <w:ind w:left="829" w:right="1412"/>
        <w:rPr>
          <w:rFonts w:ascii="Calibri" w:hAnsi="Calibri"/>
          <w:sz w:val="20"/>
        </w:rPr>
      </w:pPr>
      <w:r>
        <w:rPr>
          <w:rFonts w:ascii="Calibri" w:hAnsi="Calibri"/>
          <w:color w:val="17365D"/>
          <w:sz w:val="20"/>
        </w:rPr>
        <w:t>Significant judgements have been applied in determining what variances are considered as ‘major variances’. Variances are considered to be major variances if both of the following criteria are met:</w:t>
      </w:r>
    </w:p>
    <w:p w:rsidR="006C17CB" w:rsidRDefault="0030091C">
      <w:pPr>
        <w:pStyle w:val="ListParagraph"/>
        <w:numPr>
          <w:ilvl w:val="1"/>
          <w:numId w:val="6"/>
        </w:numPr>
        <w:tabs>
          <w:tab w:val="left" w:pos="1962"/>
          <w:tab w:val="left" w:pos="1963"/>
        </w:tabs>
        <w:spacing w:before="129" w:line="204" w:lineRule="auto"/>
        <w:ind w:right="1522"/>
        <w:jc w:val="both"/>
        <w:rPr>
          <w:rFonts w:ascii="Calibri"/>
          <w:sz w:val="20"/>
        </w:rPr>
      </w:pPr>
      <w:r>
        <w:rPr>
          <w:rFonts w:ascii="Calibri"/>
          <w:color w:val="17365D"/>
          <w:sz w:val="20"/>
        </w:rPr>
        <w:t>The</w:t>
      </w:r>
      <w:r>
        <w:rPr>
          <w:rFonts w:ascii="Calibri"/>
          <w:color w:val="17365D"/>
          <w:spacing w:val="-8"/>
          <w:sz w:val="20"/>
        </w:rPr>
        <w:t xml:space="preserve"> </w:t>
      </w:r>
      <w:r>
        <w:rPr>
          <w:rFonts w:ascii="Calibri"/>
          <w:color w:val="17365D"/>
          <w:sz w:val="20"/>
        </w:rPr>
        <w:t>line</w:t>
      </w:r>
      <w:r>
        <w:rPr>
          <w:rFonts w:ascii="Calibri"/>
          <w:color w:val="17365D"/>
          <w:spacing w:val="-8"/>
          <w:sz w:val="20"/>
        </w:rPr>
        <w:t xml:space="preserve"> </w:t>
      </w:r>
      <w:r>
        <w:rPr>
          <w:rFonts w:ascii="Calibri"/>
          <w:color w:val="17365D"/>
          <w:sz w:val="20"/>
        </w:rPr>
        <w:t>item</w:t>
      </w:r>
      <w:r>
        <w:rPr>
          <w:rFonts w:ascii="Calibri"/>
          <w:color w:val="17365D"/>
          <w:spacing w:val="-8"/>
          <w:sz w:val="20"/>
        </w:rPr>
        <w:t xml:space="preserve"> </w:t>
      </w:r>
      <w:r>
        <w:rPr>
          <w:rFonts w:ascii="Calibri"/>
          <w:color w:val="17365D"/>
          <w:sz w:val="20"/>
        </w:rPr>
        <w:t>is</w:t>
      </w:r>
      <w:r>
        <w:rPr>
          <w:rFonts w:ascii="Calibri"/>
          <w:color w:val="17365D"/>
          <w:spacing w:val="-8"/>
          <w:sz w:val="20"/>
        </w:rPr>
        <w:t xml:space="preserve"> </w:t>
      </w:r>
      <w:r>
        <w:rPr>
          <w:rFonts w:ascii="Calibri"/>
          <w:color w:val="17365D"/>
          <w:sz w:val="20"/>
        </w:rPr>
        <w:t>a</w:t>
      </w:r>
      <w:r>
        <w:rPr>
          <w:rFonts w:ascii="Calibri"/>
          <w:color w:val="17365D"/>
          <w:spacing w:val="-6"/>
          <w:sz w:val="20"/>
        </w:rPr>
        <w:t xml:space="preserve"> </w:t>
      </w:r>
      <w:r>
        <w:rPr>
          <w:rFonts w:ascii="Calibri"/>
          <w:color w:val="17365D"/>
          <w:sz w:val="20"/>
        </w:rPr>
        <w:t>significant</w:t>
      </w:r>
      <w:r>
        <w:rPr>
          <w:rFonts w:ascii="Calibri"/>
          <w:color w:val="17365D"/>
          <w:spacing w:val="-6"/>
          <w:sz w:val="20"/>
        </w:rPr>
        <w:t xml:space="preserve"> </w:t>
      </w:r>
      <w:r>
        <w:rPr>
          <w:rFonts w:ascii="Calibri"/>
          <w:color w:val="17365D"/>
          <w:sz w:val="20"/>
        </w:rPr>
        <w:t>line</w:t>
      </w:r>
      <w:r>
        <w:rPr>
          <w:rFonts w:ascii="Calibri"/>
          <w:color w:val="17365D"/>
          <w:spacing w:val="-8"/>
          <w:sz w:val="20"/>
        </w:rPr>
        <w:t xml:space="preserve"> </w:t>
      </w:r>
      <w:r>
        <w:rPr>
          <w:rFonts w:ascii="Calibri"/>
          <w:color w:val="17365D"/>
          <w:sz w:val="20"/>
        </w:rPr>
        <w:t>item:</w:t>
      </w:r>
      <w:r>
        <w:rPr>
          <w:rFonts w:ascii="Calibri"/>
          <w:color w:val="17365D"/>
          <w:spacing w:val="-6"/>
          <w:sz w:val="20"/>
        </w:rPr>
        <w:t xml:space="preserve"> </w:t>
      </w:r>
      <w:r>
        <w:rPr>
          <w:rFonts w:ascii="Calibri"/>
          <w:color w:val="17365D"/>
          <w:sz w:val="20"/>
        </w:rPr>
        <w:t>where</w:t>
      </w:r>
      <w:r>
        <w:rPr>
          <w:rFonts w:ascii="Calibri"/>
          <w:color w:val="17365D"/>
          <w:spacing w:val="-5"/>
          <w:sz w:val="20"/>
        </w:rPr>
        <w:t xml:space="preserve"> </w:t>
      </w:r>
      <w:r>
        <w:rPr>
          <w:rFonts w:ascii="Calibri"/>
          <w:color w:val="17365D"/>
          <w:sz w:val="20"/>
        </w:rPr>
        <w:t>either</w:t>
      </w:r>
      <w:r>
        <w:rPr>
          <w:rFonts w:ascii="Calibri"/>
          <w:color w:val="17365D"/>
          <w:spacing w:val="-7"/>
          <w:sz w:val="20"/>
        </w:rPr>
        <w:t xml:space="preserve"> </w:t>
      </w:r>
      <w:r>
        <w:rPr>
          <w:rFonts w:ascii="Calibri"/>
          <w:color w:val="17365D"/>
          <w:sz w:val="20"/>
        </w:rPr>
        <w:t>the</w:t>
      </w:r>
      <w:r>
        <w:rPr>
          <w:rFonts w:ascii="Calibri"/>
          <w:color w:val="17365D"/>
          <w:spacing w:val="-8"/>
          <w:sz w:val="20"/>
        </w:rPr>
        <w:t xml:space="preserve"> </w:t>
      </w:r>
      <w:r>
        <w:rPr>
          <w:rFonts w:ascii="Calibri"/>
          <w:color w:val="17365D"/>
          <w:sz w:val="20"/>
        </w:rPr>
        <w:t>line</w:t>
      </w:r>
      <w:r>
        <w:rPr>
          <w:rFonts w:ascii="Calibri"/>
          <w:color w:val="17365D"/>
          <w:spacing w:val="-5"/>
          <w:sz w:val="20"/>
        </w:rPr>
        <w:t xml:space="preserve"> </w:t>
      </w:r>
      <w:r>
        <w:rPr>
          <w:rFonts w:ascii="Calibri"/>
          <w:color w:val="17365D"/>
          <w:sz w:val="20"/>
        </w:rPr>
        <w:t>item</w:t>
      </w:r>
      <w:r>
        <w:rPr>
          <w:rFonts w:ascii="Calibri"/>
          <w:color w:val="17365D"/>
          <w:spacing w:val="-8"/>
          <w:sz w:val="20"/>
        </w:rPr>
        <w:t xml:space="preserve"> </w:t>
      </w:r>
      <w:r>
        <w:rPr>
          <w:rFonts w:ascii="Calibri"/>
          <w:color w:val="17365D"/>
          <w:sz w:val="20"/>
        </w:rPr>
        <w:t>actual</w:t>
      </w:r>
      <w:r>
        <w:rPr>
          <w:rFonts w:ascii="Calibri"/>
          <w:color w:val="17365D"/>
          <w:spacing w:val="-7"/>
          <w:sz w:val="20"/>
        </w:rPr>
        <w:t xml:space="preserve"> </w:t>
      </w:r>
      <w:r>
        <w:rPr>
          <w:rFonts w:ascii="Calibri"/>
          <w:color w:val="17365D"/>
          <w:sz w:val="20"/>
        </w:rPr>
        <w:t>amount</w:t>
      </w:r>
      <w:r>
        <w:rPr>
          <w:rFonts w:ascii="Calibri"/>
          <w:color w:val="17365D"/>
          <w:spacing w:val="-6"/>
          <w:sz w:val="20"/>
        </w:rPr>
        <w:t xml:space="preserve"> </w:t>
      </w:r>
      <w:r>
        <w:rPr>
          <w:rFonts w:ascii="Calibri"/>
          <w:color w:val="17365D"/>
          <w:sz w:val="20"/>
        </w:rPr>
        <w:t>accounts</w:t>
      </w:r>
      <w:r>
        <w:rPr>
          <w:rFonts w:ascii="Calibri"/>
          <w:color w:val="17365D"/>
          <w:spacing w:val="-8"/>
          <w:sz w:val="20"/>
        </w:rPr>
        <w:t xml:space="preserve"> </w:t>
      </w:r>
      <w:r>
        <w:rPr>
          <w:rFonts w:ascii="Calibri"/>
          <w:color w:val="17365D"/>
          <w:sz w:val="20"/>
        </w:rPr>
        <w:t>for more than 10% of the relevant associated category (Income, Expenses and Equity totals) or</w:t>
      </w:r>
      <w:r>
        <w:rPr>
          <w:rFonts w:ascii="Calibri"/>
          <w:color w:val="17365D"/>
          <w:sz w:val="20"/>
          <w:u w:val="single" w:color="17365D"/>
        </w:rPr>
        <w:t xml:space="preserve"> more than</w:t>
      </w:r>
      <w:r>
        <w:rPr>
          <w:rFonts w:ascii="Calibri"/>
          <w:color w:val="17365D"/>
          <w:sz w:val="20"/>
        </w:rPr>
        <w:t xml:space="preserve"> 10% of the sub-element (e.g. Current Liabilities and Receipts from Operating Activities totals) of the financial statements;</w:t>
      </w:r>
      <w:r>
        <w:rPr>
          <w:rFonts w:ascii="Calibri"/>
          <w:color w:val="17365D"/>
          <w:spacing w:val="-6"/>
          <w:sz w:val="20"/>
        </w:rPr>
        <w:t xml:space="preserve"> </w:t>
      </w:r>
      <w:r>
        <w:rPr>
          <w:rFonts w:ascii="Calibri"/>
          <w:color w:val="17365D"/>
          <w:sz w:val="20"/>
        </w:rPr>
        <w:t>and</w:t>
      </w:r>
    </w:p>
    <w:p w:rsidR="006C17CB" w:rsidRDefault="0030091C">
      <w:pPr>
        <w:pStyle w:val="ListParagraph"/>
        <w:numPr>
          <w:ilvl w:val="1"/>
          <w:numId w:val="6"/>
        </w:numPr>
        <w:tabs>
          <w:tab w:val="left" w:pos="1962"/>
          <w:tab w:val="left" w:pos="1963"/>
        </w:tabs>
        <w:spacing w:before="131" w:line="201" w:lineRule="auto"/>
        <w:ind w:right="1522"/>
        <w:rPr>
          <w:rFonts w:ascii="Calibri"/>
          <w:sz w:val="20"/>
        </w:rPr>
      </w:pPr>
      <w:r>
        <w:rPr>
          <w:rFonts w:ascii="Calibri"/>
          <w:color w:val="17365D"/>
          <w:sz w:val="20"/>
        </w:rPr>
        <w:t>The variances (original budget to actual) are greater than plus (+) or minus (-) 10% of the budget for the financial statement line</w:t>
      </w:r>
      <w:r>
        <w:rPr>
          <w:rFonts w:ascii="Calibri"/>
          <w:color w:val="17365D"/>
          <w:spacing w:val="-4"/>
          <w:sz w:val="20"/>
        </w:rPr>
        <w:t xml:space="preserve"> </w:t>
      </w:r>
      <w:r>
        <w:rPr>
          <w:rFonts w:ascii="Calibri"/>
          <w:color w:val="17365D"/>
          <w:sz w:val="20"/>
        </w:rPr>
        <w:t>item.</w:t>
      </w:r>
    </w:p>
    <w:p w:rsidR="006C17CB" w:rsidRDefault="006C17CB">
      <w:pPr>
        <w:pStyle w:val="BodyText"/>
        <w:spacing w:before="12"/>
        <w:rPr>
          <w:rFonts w:ascii="Calibri"/>
          <w:sz w:val="25"/>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994"/>
        <w:gridCol w:w="999"/>
        <w:gridCol w:w="994"/>
        <w:gridCol w:w="1066"/>
        <w:gridCol w:w="2496"/>
      </w:tblGrid>
      <w:tr w:rsidR="006C17CB">
        <w:trPr>
          <w:trHeight w:val="983"/>
        </w:trPr>
        <w:tc>
          <w:tcPr>
            <w:tcW w:w="2129" w:type="dxa"/>
            <w:tcBorders>
              <w:bottom w:val="single" w:sz="8" w:space="0" w:color="000000"/>
              <w:right w:val="single" w:sz="6" w:space="0" w:color="000000"/>
            </w:tcBorders>
          </w:tcPr>
          <w:p w:rsidR="006C17CB" w:rsidRDefault="0030091C">
            <w:pPr>
              <w:pStyle w:val="TableParagraph"/>
              <w:spacing w:line="201" w:lineRule="auto"/>
              <w:ind w:left="638" w:right="449" w:hanging="159"/>
              <w:jc w:val="left"/>
              <w:rPr>
                <w:b/>
                <w:sz w:val="20"/>
              </w:rPr>
            </w:pPr>
            <w:r>
              <w:rPr>
                <w:b/>
                <w:color w:val="17365D"/>
                <w:sz w:val="20"/>
              </w:rPr>
              <w:t>Balance Sheet Line Items</w:t>
            </w:r>
          </w:p>
        </w:tc>
        <w:tc>
          <w:tcPr>
            <w:tcW w:w="994" w:type="dxa"/>
            <w:tcBorders>
              <w:left w:val="single" w:sz="6" w:space="0" w:color="000000"/>
              <w:bottom w:val="single" w:sz="8" w:space="0" w:color="000000"/>
              <w:right w:val="single" w:sz="6" w:space="0" w:color="000000"/>
            </w:tcBorders>
          </w:tcPr>
          <w:p w:rsidR="006C17CB" w:rsidRDefault="0030091C">
            <w:pPr>
              <w:pStyle w:val="TableParagraph"/>
              <w:spacing w:line="201" w:lineRule="auto"/>
              <w:ind w:left="160" w:right="149" w:firstLine="69"/>
              <w:jc w:val="left"/>
              <w:rPr>
                <w:b/>
                <w:sz w:val="20"/>
              </w:rPr>
            </w:pPr>
            <w:r>
              <w:rPr>
                <w:b/>
                <w:color w:val="17365D"/>
                <w:sz w:val="20"/>
              </w:rPr>
              <w:t xml:space="preserve">Actual </w:t>
            </w:r>
            <w:r>
              <w:rPr>
                <w:b/>
                <w:color w:val="17365D"/>
                <w:w w:val="95"/>
                <w:sz w:val="20"/>
              </w:rPr>
              <w:t>2017-18</w:t>
            </w:r>
          </w:p>
          <w:p w:rsidR="006C17CB" w:rsidRDefault="006C17CB">
            <w:pPr>
              <w:pStyle w:val="TableParagraph"/>
              <w:spacing w:before="3"/>
              <w:jc w:val="left"/>
              <w:rPr>
                <w:sz w:val="14"/>
              </w:rPr>
            </w:pPr>
          </w:p>
          <w:p w:rsidR="006C17CB" w:rsidRDefault="0030091C">
            <w:pPr>
              <w:pStyle w:val="TableParagraph"/>
              <w:spacing w:line="274" w:lineRule="exact"/>
              <w:ind w:left="268"/>
              <w:jc w:val="left"/>
              <w:rPr>
                <w:b/>
                <w:sz w:val="20"/>
              </w:rPr>
            </w:pPr>
            <w:r>
              <w:rPr>
                <w:b/>
                <w:color w:val="17365D"/>
                <w:sz w:val="20"/>
              </w:rPr>
              <w:t>$’000</w:t>
            </w:r>
          </w:p>
        </w:tc>
        <w:tc>
          <w:tcPr>
            <w:tcW w:w="999" w:type="dxa"/>
            <w:tcBorders>
              <w:left w:val="single" w:sz="6" w:space="0" w:color="000000"/>
              <w:bottom w:val="single" w:sz="8" w:space="0" w:color="000000"/>
              <w:right w:val="single" w:sz="6" w:space="0" w:color="000000"/>
            </w:tcBorders>
          </w:tcPr>
          <w:p w:rsidR="006C17CB" w:rsidRDefault="0030091C">
            <w:pPr>
              <w:pStyle w:val="TableParagraph"/>
              <w:spacing w:line="201" w:lineRule="auto"/>
              <w:ind w:left="143" w:right="134" w:hanging="3"/>
              <w:jc w:val="center"/>
              <w:rPr>
                <w:sz w:val="20"/>
              </w:rPr>
            </w:pPr>
            <w:r>
              <w:rPr>
                <w:b/>
                <w:color w:val="17365D"/>
                <w:sz w:val="20"/>
              </w:rPr>
              <w:t xml:space="preserve">Original Budget </w:t>
            </w:r>
            <w:r>
              <w:rPr>
                <w:color w:val="17365D"/>
                <w:sz w:val="20"/>
                <w:vertAlign w:val="superscript"/>
              </w:rPr>
              <w:t>1</w:t>
            </w:r>
          </w:p>
          <w:p w:rsidR="006C17CB" w:rsidRDefault="0030091C">
            <w:pPr>
              <w:pStyle w:val="TableParagraph"/>
              <w:spacing w:line="232" w:lineRule="exact"/>
              <w:ind w:left="138" w:right="136"/>
              <w:jc w:val="center"/>
              <w:rPr>
                <w:b/>
                <w:sz w:val="20"/>
              </w:rPr>
            </w:pPr>
            <w:r>
              <w:rPr>
                <w:b/>
                <w:color w:val="17365D"/>
                <w:sz w:val="20"/>
              </w:rPr>
              <w:t>2017-18</w:t>
            </w:r>
          </w:p>
          <w:p w:rsidR="006C17CB" w:rsidRDefault="0030091C">
            <w:pPr>
              <w:pStyle w:val="TableParagraph"/>
              <w:spacing w:line="252" w:lineRule="exact"/>
              <w:ind w:left="138" w:right="133"/>
              <w:jc w:val="center"/>
              <w:rPr>
                <w:b/>
                <w:sz w:val="20"/>
              </w:rPr>
            </w:pPr>
            <w:r>
              <w:rPr>
                <w:b/>
                <w:color w:val="17365D"/>
                <w:sz w:val="20"/>
              </w:rPr>
              <w:t>$’000</w:t>
            </w:r>
          </w:p>
        </w:tc>
        <w:tc>
          <w:tcPr>
            <w:tcW w:w="994" w:type="dxa"/>
            <w:tcBorders>
              <w:left w:val="single" w:sz="6" w:space="0" w:color="000000"/>
              <w:bottom w:val="single" w:sz="8" w:space="0" w:color="000000"/>
              <w:right w:val="single" w:sz="6" w:space="0" w:color="000000"/>
            </w:tcBorders>
          </w:tcPr>
          <w:p w:rsidR="006C17CB" w:rsidRDefault="0030091C">
            <w:pPr>
              <w:pStyle w:val="TableParagraph"/>
              <w:spacing w:line="246" w:lineRule="exact"/>
              <w:ind w:left="104" w:right="107"/>
              <w:jc w:val="center"/>
              <w:rPr>
                <w:b/>
                <w:sz w:val="20"/>
              </w:rPr>
            </w:pPr>
            <w:r>
              <w:rPr>
                <w:b/>
                <w:color w:val="17365D"/>
                <w:sz w:val="20"/>
              </w:rPr>
              <w:t>Variance</w:t>
            </w:r>
          </w:p>
          <w:p w:rsidR="006C17CB" w:rsidRDefault="006C17CB">
            <w:pPr>
              <w:pStyle w:val="TableParagraph"/>
              <w:jc w:val="left"/>
              <w:rPr>
                <w:sz w:val="20"/>
              </w:rPr>
            </w:pPr>
          </w:p>
          <w:p w:rsidR="006C17CB" w:rsidRDefault="0030091C">
            <w:pPr>
              <w:pStyle w:val="TableParagraph"/>
              <w:spacing w:before="155" w:line="274" w:lineRule="exact"/>
              <w:ind w:left="104" w:right="107"/>
              <w:jc w:val="center"/>
              <w:rPr>
                <w:b/>
                <w:sz w:val="20"/>
              </w:rPr>
            </w:pPr>
            <w:r>
              <w:rPr>
                <w:b/>
                <w:color w:val="17365D"/>
                <w:sz w:val="20"/>
              </w:rPr>
              <w:t>$’000</w:t>
            </w:r>
          </w:p>
        </w:tc>
        <w:tc>
          <w:tcPr>
            <w:tcW w:w="1066" w:type="dxa"/>
            <w:tcBorders>
              <w:left w:val="single" w:sz="6" w:space="0" w:color="000000"/>
              <w:bottom w:val="single" w:sz="8" w:space="0" w:color="000000"/>
              <w:right w:val="single" w:sz="6" w:space="0" w:color="000000"/>
            </w:tcBorders>
          </w:tcPr>
          <w:p w:rsidR="006C17CB" w:rsidRDefault="0030091C">
            <w:pPr>
              <w:pStyle w:val="TableParagraph"/>
              <w:spacing w:line="246" w:lineRule="exact"/>
              <w:ind w:left="141" w:right="142"/>
              <w:jc w:val="center"/>
              <w:rPr>
                <w:b/>
                <w:sz w:val="20"/>
              </w:rPr>
            </w:pPr>
            <w:r>
              <w:rPr>
                <w:b/>
                <w:color w:val="17365D"/>
                <w:sz w:val="20"/>
              </w:rPr>
              <w:t>Variance</w:t>
            </w:r>
          </w:p>
          <w:p w:rsidR="006C17CB" w:rsidRDefault="006C17CB">
            <w:pPr>
              <w:pStyle w:val="TableParagraph"/>
              <w:jc w:val="left"/>
              <w:rPr>
                <w:sz w:val="20"/>
              </w:rPr>
            </w:pPr>
          </w:p>
          <w:p w:rsidR="006C17CB" w:rsidRDefault="0030091C">
            <w:pPr>
              <w:pStyle w:val="TableParagraph"/>
              <w:spacing w:before="155" w:line="274" w:lineRule="exact"/>
              <w:jc w:val="center"/>
              <w:rPr>
                <w:b/>
                <w:sz w:val="20"/>
              </w:rPr>
            </w:pPr>
            <w:r>
              <w:rPr>
                <w:b/>
                <w:color w:val="17365D"/>
                <w:w w:val="99"/>
                <w:sz w:val="20"/>
              </w:rPr>
              <w:t>%</w:t>
            </w:r>
          </w:p>
        </w:tc>
        <w:tc>
          <w:tcPr>
            <w:tcW w:w="2496" w:type="dxa"/>
            <w:tcBorders>
              <w:left w:val="single" w:sz="6" w:space="0" w:color="000000"/>
              <w:bottom w:val="single" w:sz="8" w:space="0" w:color="000000"/>
            </w:tcBorders>
          </w:tcPr>
          <w:p w:rsidR="006C17CB" w:rsidRDefault="0030091C">
            <w:pPr>
              <w:pStyle w:val="TableParagraph"/>
              <w:spacing w:line="246" w:lineRule="exact"/>
              <w:ind w:left="362"/>
              <w:jc w:val="left"/>
              <w:rPr>
                <w:b/>
                <w:sz w:val="20"/>
              </w:rPr>
            </w:pPr>
            <w:r>
              <w:rPr>
                <w:b/>
                <w:color w:val="17365D"/>
                <w:sz w:val="20"/>
              </w:rPr>
              <w:t>Variance Explanation</w:t>
            </w:r>
          </w:p>
        </w:tc>
      </w:tr>
      <w:tr w:rsidR="006C17CB">
        <w:trPr>
          <w:trHeight w:val="992"/>
        </w:trPr>
        <w:tc>
          <w:tcPr>
            <w:tcW w:w="2129" w:type="dxa"/>
            <w:tcBorders>
              <w:top w:val="single" w:sz="8" w:space="0" w:color="000000"/>
              <w:bottom w:val="single" w:sz="6" w:space="0" w:color="000000"/>
              <w:right w:val="single" w:sz="6" w:space="0" w:color="000000"/>
            </w:tcBorders>
          </w:tcPr>
          <w:p w:rsidR="006C17CB" w:rsidRDefault="0030091C">
            <w:pPr>
              <w:pStyle w:val="TableParagraph"/>
              <w:spacing w:line="214" w:lineRule="exact"/>
              <w:ind w:left="107"/>
              <w:jc w:val="left"/>
              <w:rPr>
                <w:sz w:val="18"/>
              </w:rPr>
            </w:pPr>
            <w:r>
              <w:rPr>
                <w:color w:val="17365D"/>
                <w:sz w:val="18"/>
              </w:rPr>
              <w:t>Investments</w:t>
            </w:r>
          </w:p>
        </w:tc>
        <w:tc>
          <w:tcPr>
            <w:tcW w:w="994" w:type="dxa"/>
            <w:tcBorders>
              <w:top w:val="single" w:sz="8" w:space="0" w:color="000000"/>
              <w:left w:val="single" w:sz="6" w:space="0" w:color="000000"/>
              <w:bottom w:val="single" w:sz="6" w:space="0" w:color="000000"/>
              <w:right w:val="single" w:sz="6" w:space="0" w:color="000000"/>
            </w:tcBorders>
          </w:tcPr>
          <w:p w:rsidR="006C17CB" w:rsidRDefault="0030091C">
            <w:pPr>
              <w:pStyle w:val="TableParagraph"/>
              <w:spacing w:line="214" w:lineRule="exact"/>
              <w:ind w:right="94"/>
              <w:rPr>
                <w:sz w:val="18"/>
              </w:rPr>
            </w:pPr>
            <w:r>
              <w:rPr>
                <w:color w:val="17365D"/>
                <w:sz w:val="18"/>
              </w:rPr>
              <w:t>2,251</w:t>
            </w:r>
          </w:p>
        </w:tc>
        <w:tc>
          <w:tcPr>
            <w:tcW w:w="999" w:type="dxa"/>
            <w:tcBorders>
              <w:top w:val="single" w:sz="8" w:space="0" w:color="000000"/>
              <w:left w:val="single" w:sz="6" w:space="0" w:color="000000"/>
              <w:bottom w:val="single" w:sz="6" w:space="0" w:color="000000"/>
              <w:right w:val="single" w:sz="6" w:space="0" w:color="000000"/>
            </w:tcBorders>
          </w:tcPr>
          <w:p w:rsidR="006C17CB" w:rsidRDefault="0030091C">
            <w:pPr>
              <w:pStyle w:val="TableParagraph"/>
              <w:spacing w:line="214" w:lineRule="exact"/>
              <w:ind w:right="94"/>
              <w:rPr>
                <w:sz w:val="18"/>
              </w:rPr>
            </w:pPr>
            <w:r>
              <w:rPr>
                <w:color w:val="17365D"/>
                <w:sz w:val="18"/>
              </w:rPr>
              <w:t>1,214</w:t>
            </w:r>
          </w:p>
        </w:tc>
        <w:tc>
          <w:tcPr>
            <w:tcW w:w="994" w:type="dxa"/>
            <w:tcBorders>
              <w:top w:val="single" w:sz="8" w:space="0" w:color="000000"/>
              <w:left w:val="single" w:sz="6" w:space="0" w:color="000000"/>
              <w:bottom w:val="single" w:sz="6" w:space="0" w:color="000000"/>
              <w:right w:val="single" w:sz="6" w:space="0" w:color="000000"/>
            </w:tcBorders>
          </w:tcPr>
          <w:p w:rsidR="006C17CB" w:rsidRDefault="0030091C">
            <w:pPr>
              <w:pStyle w:val="TableParagraph"/>
              <w:spacing w:line="214" w:lineRule="exact"/>
              <w:ind w:right="95"/>
              <w:rPr>
                <w:sz w:val="18"/>
              </w:rPr>
            </w:pPr>
            <w:r>
              <w:rPr>
                <w:color w:val="17365D"/>
                <w:sz w:val="18"/>
              </w:rPr>
              <w:t>1,037</w:t>
            </w:r>
          </w:p>
        </w:tc>
        <w:tc>
          <w:tcPr>
            <w:tcW w:w="1066" w:type="dxa"/>
            <w:tcBorders>
              <w:top w:val="single" w:sz="8" w:space="0" w:color="000000"/>
              <w:left w:val="single" w:sz="6" w:space="0" w:color="000000"/>
              <w:bottom w:val="single" w:sz="6" w:space="0" w:color="000000"/>
              <w:right w:val="single" w:sz="6" w:space="0" w:color="000000"/>
            </w:tcBorders>
          </w:tcPr>
          <w:p w:rsidR="006C17CB" w:rsidRDefault="0030091C">
            <w:pPr>
              <w:pStyle w:val="TableParagraph"/>
              <w:spacing w:line="214" w:lineRule="exact"/>
              <w:ind w:right="97"/>
              <w:rPr>
                <w:sz w:val="18"/>
              </w:rPr>
            </w:pPr>
            <w:r>
              <w:rPr>
                <w:color w:val="17365D"/>
                <w:sz w:val="18"/>
              </w:rPr>
              <w:t>85.4</w:t>
            </w:r>
          </w:p>
        </w:tc>
        <w:tc>
          <w:tcPr>
            <w:tcW w:w="2496" w:type="dxa"/>
            <w:tcBorders>
              <w:top w:val="single" w:sz="8" w:space="0" w:color="000000"/>
              <w:left w:val="single" w:sz="6" w:space="0" w:color="000000"/>
              <w:bottom w:val="single" w:sz="6" w:space="0" w:color="000000"/>
            </w:tcBorders>
          </w:tcPr>
          <w:p w:rsidR="006C17CB" w:rsidRDefault="0030091C">
            <w:pPr>
              <w:pStyle w:val="TableParagraph"/>
              <w:spacing w:line="193" w:lineRule="exact"/>
              <w:ind w:left="100"/>
              <w:jc w:val="left"/>
              <w:rPr>
                <w:sz w:val="18"/>
              </w:rPr>
            </w:pPr>
            <w:r>
              <w:rPr>
                <w:color w:val="003366"/>
                <w:sz w:val="18"/>
              </w:rPr>
              <w:t>A higher balance was available</w:t>
            </w:r>
          </w:p>
          <w:p w:rsidR="006C17CB" w:rsidRDefault="0030091C">
            <w:pPr>
              <w:pStyle w:val="TableParagraph"/>
              <w:spacing w:before="11" w:line="204" w:lineRule="auto"/>
              <w:ind w:left="100" w:right="251"/>
              <w:jc w:val="left"/>
              <w:rPr>
                <w:sz w:val="18"/>
              </w:rPr>
            </w:pPr>
            <w:r>
              <w:rPr>
                <w:color w:val="003366"/>
                <w:sz w:val="18"/>
              </w:rPr>
              <w:t>to invest during the year due to savings achieved in some expense categories.</w:t>
            </w:r>
          </w:p>
        </w:tc>
      </w:tr>
      <w:tr w:rsidR="006C17CB">
        <w:trPr>
          <w:trHeight w:val="895"/>
        </w:trPr>
        <w:tc>
          <w:tcPr>
            <w:tcW w:w="2129" w:type="dxa"/>
            <w:tcBorders>
              <w:top w:val="single" w:sz="6" w:space="0" w:color="000000"/>
              <w:bottom w:val="nil"/>
              <w:right w:val="single" w:sz="6" w:space="0" w:color="000000"/>
            </w:tcBorders>
          </w:tcPr>
          <w:p w:rsidR="006C17CB" w:rsidRDefault="0030091C">
            <w:pPr>
              <w:pStyle w:val="TableParagraph"/>
              <w:spacing w:line="204" w:lineRule="auto"/>
              <w:ind w:left="107" w:right="573"/>
              <w:jc w:val="left"/>
              <w:rPr>
                <w:sz w:val="18"/>
              </w:rPr>
            </w:pPr>
            <w:r>
              <w:rPr>
                <w:color w:val="17365D"/>
                <w:sz w:val="18"/>
              </w:rPr>
              <w:t>Property, Plant and Equipment</w:t>
            </w:r>
          </w:p>
        </w:tc>
        <w:tc>
          <w:tcPr>
            <w:tcW w:w="994" w:type="dxa"/>
            <w:tcBorders>
              <w:top w:val="single" w:sz="6" w:space="0" w:color="000000"/>
              <w:left w:val="single" w:sz="6" w:space="0" w:color="000000"/>
              <w:bottom w:val="nil"/>
              <w:right w:val="single" w:sz="6" w:space="0" w:color="000000"/>
            </w:tcBorders>
          </w:tcPr>
          <w:p w:rsidR="006C17CB" w:rsidRDefault="0030091C">
            <w:pPr>
              <w:pStyle w:val="TableParagraph"/>
              <w:spacing w:line="218" w:lineRule="exact"/>
              <w:ind w:right="94"/>
              <w:rPr>
                <w:sz w:val="18"/>
              </w:rPr>
            </w:pPr>
            <w:r>
              <w:rPr>
                <w:color w:val="17365D"/>
                <w:sz w:val="18"/>
              </w:rPr>
              <w:t>3,422</w:t>
            </w:r>
          </w:p>
        </w:tc>
        <w:tc>
          <w:tcPr>
            <w:tcW w:w="999" w:type="dxa"/>
            <w:tcBorders>
              <w:top w:val="single" w:sz="6" w:space="0" w:color="000000"/>
              <w:left w:val="single" w:sz="6" w:space="0" w:color="000000"/>
              <w:bottom w:val="nil"/>
              <w:right w:val="single" w:sz="6" w:space="0" w:color="000000"/>
            </w:tcBorders>
          </w:tcPr>
          <w:p w:rsidR="006C17CB" w:rsidRDefault="0030091C">
            <w:pPr>
              <w:pStyle w:val="TableParagraph"/>
              <w:spacing w:line="218" w:lineRule="exact"/>
              <w:ind w:right="94"/>
              <w:rPr>
                <w:sz w:val="18"/>
              </w:rPr>
            </w:pPr>
            <w:r>
              <w:rPr>
                <w:color w:val="17365D"/>
                <w:sz w:val="18"/>
              </w:rPr>
              <w:t>2,616</w:t>
            </w:r>
          </w:p>
        </w:tc>
        <w:tc>
          <w:tcPr>
            <w:tcW w:w="994" w:type="dxa"/>
            <w:tcBorders>
              <w:top w:val="single" w:sz="6" w:space="0" w:color="000000"/>
              <w:left w:val="single" w:sz="6" w:space="0" w:color="000000"/>
              <w:bottom w:val="nil"/>
              <w:right w:val="single" w:sz="6" w:space="0" w:color="000000"/>
            </w:tcBorders>
          </w:tcPr>
          <w:p w:rsidR="006C17CB" w:rsidRDefault="0030091C">
            <w:pPr>
              <w:pStyle w:val="TableParagraph"/>
              <w:spacing w:line="218" w:lineRule="exact"/>
              <w:ind w:right="95"/>
              <w:rPr>
                <w:sz w:val="18"/>
              </w:rPr>
            </w:pPr>
            <w:r>
              <w:rPr>
                <w:color w:val="17365D"/>
                <w:sz w:val="18"/>
              </w:rPr>
              <w:t>806</w:t>
            </w:r>
          </w:p>
        </w:tc>
        <w:tc>
          <w:tcPr>
            <w:tcW w:w="1066" w:type="dxa"/>
            <w:tcBorders>
              <w:top w:val="single" w:sz="6" w:space="0" w:color="000000"/>
              <w:left w:val="single" w:sz="6" w:space="0" w:color="000000"/>
              <w:bottom w:val="nil"/>
              <w:right w:val="single" w:sz="6" w:space="0" w:color="000000"/>
            </w:tcBorders>
          </w:tcPr>
          <w:p w:rsidR="006C17CB" w:rsidRDefault="0030091C">
            <w:pPr>
              <w:pStyle w:val="TableParagraph"/>
              <w:spacing w:line="218" w:lineRule="exact"/>
              <w:ind w:right="97"/>
              <w:rPr>
                <w:sz w:val="18"/>
              </w:rPr>
            </w:pPr>
            <w:r>
              <w:rPr>
                <w:color w:val="17365D"/>
                <w:sz w:val="18"/>
              </w:rPr>
              <w:t>30.8</w:t>
            </w:r>
          </w:p>
        </w:tc>
        <w:tc>
          <w:tcPr>
            <w:tcW w:w="2496" w:type="dxa"/>
            <w:tcBorders>
              <w:top w:val="single" w:sz="6" w:space="0" w:color="000000"/>
              <w:left w:val="single" w:sz="6" w:space="0" w:color="000000"/>
              <w:bottom w:val="nil"/>
            </w:tcBorders>
          </w:tcPr>
          <w:p w:rsidR="006C17CB" w:rsidRDefault="0030091C">
            <w:pPr>
              <w:pStyle w:val="TableParagraph"/>
              <w:spacing w:line="204" w:lineRule="auto"/>
              <w:ind w:left="100" w:right="146"/>
              <w:jc w:val="left"/>
              <w:rPr>
                <w:sz w:val="18"/>
              </w:rPr>
            </w:pPr>
            <w:r>
              <w:rPr>
                <w:color w:val="003366"/>
                <w:sz w:val="18"/>
              </w:rPr>
              <w:t>The budget did not anticipate the level of the increase in the asset revaluation surplus in the prior year.</w:t>
            </w:r>
          </w:p>
        </w:tc>
      </w:tr>
      <w:tr w:rsidR="006C17CB">
        <w:trPr>
          <w:trHeight w:val="323"/>
        </w:trPr>
        <w:tc>
          <w:tcPr>
            <w:tcW w:w="2129" w:type="dxa"/>
            <w:tcBorders>
              <w:top w:val="nil"/>
              <w:bottom w:val="single" w:sz="6" w:space="0" w:color="000000"/>
              <w:right w:val="single" w:sz="6" w:space="0" w:color="000000"/>
            </w:tcBorders>
          </w:tcPr>
          <w:p w:rsidR="006C17CB" w:rsidRDefault="0030091C">
            <w:pPr>
              <w:pStyle w:val="TableParagraph"/>
              <w:spacing w:line="204" w:lineRule="exact"/>
              <w:ind w:left="107"/>
              <w:jc w:val="left"/>
              <w:rPr>
                <w:sz w:val="18"/>
              </w:rPr>
            </w:pPr>
            <w:r>
              <w:rPr>
                <w:color w:val="17365D"/>
                <w:sz w:val="18"/>
              </w:rPr>
              <w:t>Asset Revaluation Surplus</w:t>
            </w:r>
          </w:p>
        </w:tc>
        <w:tc>
          <w:tcPr>
            <w:tcW w:w="994" w:type="dxa"/>
            <w:tcBorders>
              <w:top w:val="nil"/>
              <w:left w:val="single" w:sz="6" w:space="0" w:color="000000"/>
              <w:bottom w:val="single" w:sz="6" w:space="0" w:color="000000"/>
              <w:right w:val="single" w:sz="6" w:space="0" w:color="000000"/>
            </w:tcBorders>
          </w:tcPr>
          <w:p w:rsidR="006C17CB" w:rsidRDefault="0030091C">
            <w:pPr>
              <w:pStyle w:val="TableParagraph"/>
              <w:spacing w:line="204" w:lineRule="exact"/>
              <w:ind w:right="94"/>
              <w:rPr>
                <w:sz w:val="18"/>
              </w:rPr>
            </w:pPr>
            <w:r>
              <w:rPr>
                <w:color w:val="17365D"/>
                <w:sz w:val="18"/>
              </w:rPr>
              <w:t>1,234</w:t>
            </w:r>
          </w:p>
        </w:tc>
        <w:tc>
          <w:tcPr>
            <w:tcW w:w="999" w:type="dxa"/>
            <w:tcBorders>
              <w:top w:val="nil"/>
              <w:left w:val="single" w:sz="6" w:space="0" w:color="000000"/>
              <w:bottom w:val="single" w:sz="6" w:space="0" w:color="000000"/>
              <w:right w:val="single" w:sz="6" w:space="0" w:color="000000"/>
            </w:tcBorders>
          </w:tcPr>
          <w:p w:rsidR="006C17CB" w:rsidRDefault="0030091C">
            <w:pPr>
              <w:pStyle w:val="TableParagraph"/>
              <w:spacing w:line="204" w:lineRule="exact"/>
              <w:ind w:right="94"/>
              <w:rPr>
                <w:sz w:val="18"/>
              </w:rPr>
            </w:pPr>
            <w:r>
              <w:rPr>
                <w:color w:val="17365D"/>
                <w:sz w:val="18"/>
              </w:rPr>
              <w:t>932</w:t>
            </w:r>
          </w:p>
        </w:tc>
        <w:tc>
          <w:tcPr>
            <w:tcW w:w="994" w:type="dxa"/>
            <w:tcBorders>
              <w:top w:val="nil"/>
              <w:left w:val="single" w:sz="6" w:space="0" w:color="000000"/>
              <w:bottom w:val="single" w:sz="6" w:space="0" w:color="000000"/>
              <w:right w:val="single" w:sz="6" w:space="0" w:color="000000"/>
            </w:tcBorders>
          </w:tcPr>
          <w:p w:rsidR="006C17CB" w:rsidRDefault="0030091C">
            <w:pPr>
              <w:pStyle w:val="TableParagraph"/>
              <w:spacing w:line="204" w:lineRule="exact"/>
              <w:ind w:right="95"/>
              <w:rPr>
                <w:sz w:val="18"/>
              </w:rPr>
            </w:pPr>
            <w:r>
              <w:rPr>
                <w:color w:val="17365D"/>
                <w:sz w:val="18"/>
              </w:rPr>
              <w:t>302</w:t>
            </w:r>
          </w:p>
        </w:tc>
        <w:tc>
          <w:tcPr>
            <w:tcW w:w="1066" w:type="dxa"/>
            <w:tcBorders>
              <w:top w:val="nil"/>
              <w:left w:val="single" w:sz="6" w:space="0" w:color="000000"/>
              <w:bottom w:val="single" w:sz="6" w:space="0" w:color="000000"/>
              <w:right w:val="single" w:sz="6" w:space="0" w:color="000000"/>
            </w:tcBorders>
          </w:tcPr>
          <w:p w:rsidR="006C17CB" w:rsidRDefault="0030091C">
            <w:pPr>
              <w:pStyle w:val="TableParagraph"/>
              <w:spacing w:line="204" w:lineRule="exact"/>
              <w:ind w:right="97"/>
              <w:rPr>
                <w:sz w:val="18"/>
              </w:rPr>
            </w:pPr>
            <w:r>
              <w:rPr>
                <w:color w:val="17365D"/>
                <w:sz w:val="18"/>
              </w:rPr>
              <w:t>32.4</w:t>
            </w:r>
          </w:p>
        </w:tc>
        <w:tc>
          <w:tcPr>
            <w:tcW w:w="2496" w:type="dxa"/>
            <w:tcBorders>
              <w:top w:val="nil"/>
              <w:left w:val="single" w:sz="6" w:space="0" w:color="000000"/>
              <w:bottom w:val="single" w:sz="6" w:space="0" w:color="000000"/>
            </w:tcBorders>
          </w:tcPr>
          <w:p w:rsidR="006C17CB" w:rsidRDefault="006C17CB">
            <w:pPr>
              <w:pStyle w:val="TableParagraph"/>
              <w:jc w:val="left"/>
              <w:rPr>
                <w:rFonts w:ascii="Times New Roman"/>
                <w:sz w:val="18"/>
              </w:rPr>
            </w:pPr>
          </w:p>
        </w:tc>
      </w:tr>
      <w:tr w:rsidR="006C17CB">
        <w:trPr>
          <w:trHeight w:val="1439"/>
        </w:trPr>
        <w:tc>
          <w:tcPr>
            <w:tcW w:w="2129" w:type="dxa"/>
            <w:tcBorders>
              <w:top w:val="single" w:sz="6" w:space="0" w:color="000000"/>
              <w:bottom w:val="single" w:sz="6" w:space="0" w:color="000000"/>
              <w:right w:val="single" w:sz="6" w:space="0" w:color="000000"/>
            </w:tcBorders>
          </w:tcPr>
          <w:p w:rsidR="006C17CB" w:rsidRDefault="0030091C">
            <w:pPr>
              <w:pStyle w:val="TableParagraph"/>
              <w:spacing w:line="218" w:lineRule="exact"/>
              <w:ind w:left="107"/>
              <w:jc w:val="left"/>
              <w:rPr>
                <w:sz w:val="18"/>
              </w:rPr>
            </w:pPr>
            <w:r>
              <w:rPr>
                <w:color w:val="17365D"/>
                <w:sz w:val="18"/>
              </w:rPr>
              <w:t>Payables</w:t>
            </w:r>
          </w:p>
        </w:tc>
        <w:tc>
          <w:tcPr>
            <w:tcW w:w="994"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right="94"/>
              <w:rPr>
                <w:sz w:val="18"/>
              </w:rPr>
            </w:pPr>
            <w:r>
              <w:rPr>
                <w:color w:val="17365D"/>
                <w:sz w:val="18"/>
              </w:rPr>
              <w:t>288</w:t>
            </w:r>
          </w:p>
        </w:tc>
        <w:tc>
          <w:tcPr>
            <w:tcW w:w="999"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right="94"/>
              <w:rPr>
                <w:sz w:val="18"/>
              </w:rPr>
            </w:pPr>
            <w:r>
              <w:rPr>
                <w:color w:val="17365D"/>
                <w:sz w:val="18"/>
              </w:rPr>
              <w:t>341</w:t>
            </w:r>
          </w:p>
        </w:tc>
        <w:tc>
          <w:tcPr>
            <w:tcW w:w="994"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right="95"/>
              <w:rPr>
                <w:sz w:val="18"/>
              </w:rPr>
            </w:pPr>
            <w:r>
              <w:rPr>
                <w:color w:val="17365D"/>
                <w:sz w:val="18"/>
              </w:rPr>
              <w:t>(53)</w:t>
            </w:r>
          </w:p>
        </w:tc>
        <w:tc>
          <w:tcPr>
            <w:tcW w:w="1066"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right="96"/>
              <w:rPr>
                <w:sz w:val="18"/>
              </w:rPr>
            </w:pPr>
            <w:r>
              <w:rPr>
                <w:color w:val="17365D"/>
                <w:sz w:val="18"/>
              </w:rPr>
              <w:t>(15.5)</w:t>
            </w:r>
          </w:p>
        </w:tc>
        <w:tc>
          <w:tcPr>
            <w:tcW w:w="2496" w:type="dxa"/>
            <w:tcBorders>
              <w:top w:val="single" w:sz="6" w:space="0" w:color="000000"/>
              <w:left w:val="single" w:sz="6" w:space="0" w:color="000000"/>
              <w:bottom w:val="single" w:sz="6" w:space="0" w:color="000000"/>
            </w:tcBorders>
          </w:tcPr>
          <w:p w:rsidR="006C17CB" w:rsidRDefault="0030091C">
            <w:pPr>
              <w:pStyle w:val="TableParagraph"/>
              <w:spacing w:line="204" w:lineRule="auto"/>
              <w:ind w:left="100" w:right="162"/>
              <w:jc w:val="left"/>
              <w:rPr>
                <w:sz w:val="18"/>
              </w:rPr>
            </w:pPr>
            <w:r>
              <w:rPr>
                <w:color w:val="003366"/>
                <w:sz w:val="18"/>
              </w:rPr>
              <w:t>Payables were less than budget largely because the Office received a credit from a major supplier in June when it was budgeted as a payable at year-end.</w:t>
            </w:r>
          </w:p>
        </w:tc>
      </w:tr>
      <w:tr w:rsidR="006C17CB">
        <w:trPr>
          <w:trHeight w:val="1876"/>
        </w:trPr>
        <w:tc>
          <w:tcPr>
            <w:tcW w:w="2129" w:type="dxa"/>
            <w:tcBorders>
              <w:top w:val="single" w:sz="6" w:space="0" w:color="000000"/>
              <w:right w:val="single" w:sz="6" w:space="0" w:color="000000"/>
            </w:tcBorders>
          </w:tcPr>
          <w:p w:rsidR="006C17CB" w:rsidRDefault="0030091C">
            <w:pPr>
              <w:pStyle w:val="TableParagraph"/>
              <w:spacing w:line="201" w:lineRule="auto"/>
              <w:ind w:left="107" w:right="627"/>
              <w:jc w:val="left"/>
              <w:rPr>
                <w:sz w:val="18"/>
              </w:rPr>
            </w:pPr>
            <w:r>
              <w:rPr>
                <w:color w:val="17365D"/>
                <w:sz w:val="18"/>
              </w:rPr>
              <w:t>Employee Benefits (current)</w:t>
            </w:r>
          </w:p>
        </w:tc>
        <w:tc>
          <w:tcPr>
            <w:tcW w:w="994" w:type="dxa"/>
            <w:tcBorders>
              <w:top w:val="single" w:sz="6" w:space="0" w:color="000000"/>
              <w:left w:val="single" w:sz="6" w:space="0" w:color="000000"/>
              <w:right w:val="single" w:sz="6" w:space="0" w:color="000000"/>
            </w:tcBorders>
          </w:tcPr>
          <w:p w:rsidR="006C17CB" w:rsidRDefault="0030091C">
            <w:pPr>
              <w:pStyle w:val="TableParagraph"/>
              <w:spacing w:line="218" w:lineRule="exact"/>
              <w:ind w:right="94"/>
              <w:rPr>
                <w:sz w:val="18"/>
              </w:rPr>
            </w:pPr>
            <w:r>
              <w:rPr>
                <w:color w:val="17365D"/>
                <w:sz w:val="18"/>
              </w:rPr>
              <w:t>2,012</w:t>
            </w:r>
          </w:p>
        </w:tc>
        <w:tc>
          <w:tcPr>
            <w:tcW w:w="999" w:type="dxa"/>
            <w:tcBorders>
              <w:top w:val="single" w:sz="6" w:space="0" w:color="000000"/>
              <w:left w:val="single" w:sz="6" w:space="0" w:color="000000"/>
              <w:right w:val="single" w:sz="6" w:space="0" w:color="000000"/>
            </w:tcBorders>
          </w:tcPr>
          <w:p w:rsidR="006C17CB" w:rsidRDefault="0030091C">
            <w:pPr>
              <w:pStyle w:val="TableParagraph"/>
              <w:spacing w:line="218" w:lineRule="exact"/>
              <w:ind w:right="101"/>
              <w:rPr>
                <w:sz w:val="18"/>
              </w:rPr>
            </w:pPr>
            <w:r>
              <w:rPr>
                <w:color w:val="17365D"/>
                <w:sz w:val="18"/>
              </w:rPr>
              <w:t>1,570</w:t>
            </w:r>
          </w:p>
        </w:tc>
        <w:tc>
          <w:tcPr>
            <w:tcW w:w="994" w:type="dxa"/>
            <w:tcBorders>
              <w:top w:val="single" w:sz="6" w:space="0" w:color="000000"/>
              <w:left w:val="single" w:sz="6" w:space="0" w:color="000000"/>
              <w:right w:val="single" w:sz="6" w:space="0" w:color="000000"/>
            </w:tcBorders>
          </w:tcPr>
          <w:p w:rsidR="006C17CB" w:rsidRDefault="0030091C">
            <w:pPr>
              <w:pStyle w:val="TableParagraph"/>
              <w:spacing w:line="218" w:lineRule="exact"/>
              <w:ind w:right="104"/>
              <w:rPr>
                <w:sz w:val="18"/>
              </w:rPr>
            </w:pPr>
            <w:r>
              <w:rPr>
                <w:color w:val="17365D"/>
                <w:sz w:val="18"/>
              </w:rPr>
              <w:t>442</w:t>
            </w:r>
          </w:p>
        </w:tc>
        <w:tc>
          <w:tcPr>
            <w:tcW w:w="1066" w:type="dxa"/>
            <w:tcBorders>
              <w:top w:val="single" w:sz="6" w:space="0" w:color="000000"/>
              <w:left w:val="single" w:sz="6" w:space="0" w:color="000000"/>
              <w:right w:val="single" w:sz="6" w:space="0" w:color="000000"/>
            </w:tcBorders>
          </w:tcPr>
          <w:p w:rsidR="006C17CB" w:rsidRDefault="0030091C">
            <w:pPr>
              <w:pStyle w:val="TableParagraph"/>
              <w:spacing w:line="218" w:lineRule="exact"/>
              <w:ind w:right="105"/>
              <w:rPr>
                <w:sz w:val="18"/>
              </w:rPr>
            </w:pPr>
            <w:r>
              <w:rPr>
                <w:color w:val="17365D"/>
                <w:sz w:val="18"/>
              </w:rPr>
              <w:t>28.2</w:t>
            </w:r>
          </w:p>
        </w:tc>
        <w:tc>
          <w:tcPr>
            <w:tcW w:w="2496" w:type="dxa"/>
            <w:tcBorders>
              <w:top w:val="single" w:sz="6" w:space="0" w:color="000000"/>
              <w:left w:val="single" w:sz="6" w:space="0" w:color="000000"/>
            </w:tcBorders>
          </w:tcPr>
          <w:p w:rsidR="006C17CB" w:rsidRDefault="0030091C">
            <w:pPr>
              <w:pStyle w:val="TableParagraph"/>
              <w:spacing w:line="204" w:lineRule="auto"/>
              <w:ind w:left="93" w:right="133"/>
              <w:jc w:val="left"/>
              <w:rPr>
                <w:sz w:val="18"/>
              </w:rPr>
            </w:pPr>
            <w:r>
              <w:rPr>
                <w:color w:val="003366"/>
                <w:sz w:val="18"/>
              </w:rPr>
              <w:t>Employee benefits exceeded budget because annual leave balances were higher than expected across the Office and some staff were recruited with pre-existing long service leave balances which was not expected in the budget.</w:t>
            </w:r>
          </w:p>
        </w:tc>
      </w:tr>
    </w:tbl>
    <w:p w:rsidR="006C17CB" w:rsidRDefault="006C17CB">
      <w:pPr>
        <w:pStyle w:val="BodyText"/>
        <w:spacing w:before="4"/>
        <w:rPr>
          <w:rFonts w:ascii="Calibri"/>
          <w:sz w:val="16"/>
        </w:rPr>
      </w:pPr>
    </w:p>
    <w:p w:rsidR="006C17CB" w:rsidRDefault="0030091C">
      <w:pPr>
        <w:spacing w:line="204" w:lineRule="auto"/>
        <w:ind w:left="829" w:right="1523"/>
        <w:jc w:val="both"/>
        <w:rPr>
          <w:rFonts w:ascii="Calibri"/>
          <w:sz w:val="20"/>
        </w:rPr>
      </w:pPr>
      <w:r>
        <w:rPr>
          <w:rFonts w:ascii="Calibri"/>
          <w:color w:val="17365D"/>
          <w:position w:val="7"/>
          <w:sz w:val="13"/>
        </w:rPr>
        <w:t xml:space="preserve">1 </w:t>
      </w:r>
      <w:r>
        <w:rPr>
          <w:rFonts w:ascii="Calibri"/>
          <w:color w:val="17365D"/>
          <w:sz w:val="20"/>
        </w:rPr>
        <w:t>Original Budget refers to the amounts presented to the Legislative Assembly in the original budgeted financial</w:t>
      </w:r>
      <w:r>
        <w:rPr>
          <w:rFonts w:ascii="Calibri"/>
          <w:color w:val="17365D"/>
          <w:spacing w:val="-8"/>
          <w:sz w:val="20"/>
        </w:rPr>
        <w:t xml:space="preserve"> </w:t>
      </w:r>
      <w:r>
        <w:rPr>
          <w:rFonts w:ascii="Calibri"/>
          <w:color w:val="17365D"/>
          <w:sz w:val="20"/>
        </w:rPr>
        <w:t>statements</w:t>
      </w:r>
      <w:r>
        <w:rPr>
          <w:rFonts w:ascii="Calibri"/>
          <w:color w:val="17365D"/>
          <w:spacing w:val="-9"/>
          <w:sz w:val="20"/>
        </w:rPr>
        <w:t xml:space="preserve"> </w:t>
      </w:r>
      <w:r>
        <w:rPr>
          <w:rFonts w:ascii="Calibri"/>
          <w:color w:val="17365D"/>
          <w:sz w:val="20"/>
        </w:rPr>
        <w:t>in</w:t>
      </w:r>
      <w:r>
        <w:rPr>
          <w:rFonts w:ascii="Calibri"/>
          <w:color w:val="17365D"/>
          <w:spacing w:val="-7"/>
          <w:sz w:val="20"/>
        </w:rPr>
        <w:t xml:space="preserve"> </w:t>
      </w:r>
      <w:r>
        <w:rPr>
          <w:rFonts w:ascii="Calibri"/>
          <w:color w:val="17365D"/>
          <w:sz w:val="20"/>
        </w:rPr>
        <w:t>respect</w:t>
      </w:r>
      <w:r>
        <w:rPr>
          <w:rFonts w:ascii="Calibri"/>
          <w:color w:val="17365D"/>
          <w:spacing w:val="-7"/>
          <w:sz w:val="20"/>
        </w:rPr>
        <w:t xml:space="preserve"> </w:t>
      </w:r>
      <w:r>
        <w:rPr>
          <w:rFonts w:ascii="Calibri"/>
          <w:color w:val="17365D"/>
          <w:sz w:val="20"/>
        </w:rPr>
        <w:t>of</w:t>
      </w:r>
      <w:r>
        <w:rPr>
          <w:rFonts w:ascii="Calibri"/>
          <w:color w:val="17365D"/>
          <w:spacing w:val="-8"/>
          <w:sz w:val="20"/>
        </w:rPr>
        <w:t xml:space="preserve"> </w:t>
      </w:r>
      <w:r>
        <w:rPr>
          <w:rFonts w:ascii="Calibri"/>
          <w:color w:val="17365D"/>
          <w:sz w:val="20"/>
        </w:rPr>
        <w:t>the</w:t>
      </w:r>
      <w:r>
        <w:rPr>
          <w:rFonts w:ascii="Calibri"/>
          <w:color w:val="17365D"/>
          <w:spacing w:val="-8"/>
          <w:sz w:val="20"/>
        </w:rPr>
        <w:t xml:space="preserve"> </w:t>
      </w:r>
      <w:r>
        <w:rPr>
          <w:rFonts w:ascii="Calibri"/>
          <w:color w:val="17365D"/>
          <w:sz w:val="20"/>
        </w:rPr>
        <w:t>reporting</w:t>
      </w:r>
      <w:r>
        <w:rPr>
          <w:rFonts w:ascii="Calibri"/>
          <w:color w:val="17365D"/>
          <w:spacing w:val="-8"/>
          <w:sz w:val="20"/>
        </w:rPr>
        <w:t xml:space="preserve"> </w:t>
      </w:r>
      <w:r>
        <w:rPr>
          <w:rFonts w:ascii="Calibri"/>
          <w:color w:val="17365D"/>
          <w:sz w:val="20"/>
        </w:rPr>
        <w:t>period</w:t>
      </w:r>
      <w:r>
        <w:rPr>
          <w:rFonts w:ascii="Calibri"/>
          <w:color w:val="17365D"/>
          <w:spacing w:val="-7"/>
          <w:sz w:val="20"/>
        </w:rPr>
        <w:t xml:space="preserve"> </w:t>
      </w:r>
      <w:r>
        <w:rPr>
          <w:rFonts w:ascii="Calibri"/>
          <w:color w:val="17365D"/>
          <w:sz w:val="20"/>
        </w:rPr>
        <w:t>(2017-18</w:t>
      </w:r>
      <w:r>
        <w:rPr>
          <w:rFonts w:ascii="Calibri"/>
          <w:color w:val="17365D"/>
          <w:spacing w:val="-8"/>
          <w:sz w:val="20"/>
        </w:rPr>
        <w:t xml:space="preserve"> </w:t>
      </w:r>
      <w:r>
        <w:rPr>
          <w:rFonts w:ascii="Calibri"/>
          <w:color w:val="17365D"/>
          <w:sz w:val="20"/>
        </w:rPr>
        <w:t>Budget</w:t>
      </w:r>
      <w:r>
        <w:rPr>
          <w:rFonts w:ascii="Calibri"/>
          <w:color w:val="17365D"/>
          <w:spacing w:val="-7"/>
          <w:sz w:val="20"/>
        </w:rPr>
        <w:t xml:space="preserve"> </w:t>
      </w:r>
      <w:r>
        <w:rPr>
          <w:rFonts w:ascii="Calibri"/>
          <w:color w:val="17365D"/>
          <w:sz w:val="20"/>
        </w:rPr>
        <w:t>Statements).</w:t>
      </w:r>
      <w:r>
        <w:rPr>
          <w:rFonts w:ascii="Calibri"/>
          <w:color w:val="17365D"/>
          <w:spacing w:val="-7"/>
          <w:sz w:val="20"/>
        </w:rPr>
        <w:t xml:space="preserve"> </w:t>
      </w:r>
      <w:r>
        <w:rPr>
          <w:rFonts w:ascii="Calibri"/>
          <w:color w:val="17365D"/>
          <w:sz w:val="20"/>
        </w:rPr>
        <w:t>These</w:t>
      </w:r>
      <w:r>
        <w:rPr>
          <w:rFonts w:ascii="Calibri"/>
          <w:color w:val="17365D"/>
          <w:spacing w:val="-8"/>
          <w:sz w:val="20"/>
        </w:rPr>
        <w:t xml:space="preserve"> </w:t>
      </w:r>
      <w:r>
        <w:rPr>
          <w:rFonts w:ascii="Calibri"/>
          <w:color w:val="17365D"/>
          <w:sz w:val="20"/>
        </w:rPr>
        <w:t>amounts</w:t>
      </w:r>
      <w:r>
        <w:rPr>
          <w:rFonts w:ascii="Calibri"/>
          <w:color w:val="17365D"/>
          <w:spacing w:val="-9"/>
          <w:sz w:val="20"/>
        </w:rPr>
        <w:t xml:space="preserve"> </w:t>
      </w:r>
      <w:r>
        <w:rPr>
          <w:rFonts w:ascii="Calibri"/>
          <w:color w:val="17365D"/>
          <w:sz w:val="20"/>
        </w:rPr>
        <w:t>have not been adjusted to reflect supplementary appropriation or appropriation</w:t>
      </w:r>
      <w:r>
        <w:rPr>
          <w:rFonts w:ascii="Calibri"/>
          <w:color w:val="17365D"/>
          <w:spacing w:val="-7"/>
          <w:sz w:val="20"/>
        </w:rPr>
        <w:t xml:space="preserve"> </w:t>
      </w:r>
      <w:r>
        <w:rPr>
          <w:rFonts w:ascii="Calibri"/>
          <w:color w:val="17365D"/>
          <w:sz w:val="20"/>
        </w:rPr>
        <w:t>instruments.</w:t>
      </w:r>
    </w:p>
    <w:p w:rsidR="006C17CB" w:rsidRDefault="006C17CB">
      <w:pPr>
        <w:spacing w:line="204" w:lineRule="auto"/>
        <w:jc w:val="both"/>
        <w:rPr>
          <w:rFonts w:ascii="Calibri"/>
          <w:sz w:val="20"/>
        </w:rPr>
        <w:sectPr w:rsidR="006C17CB">
          <w:pgSz w:w="11910" w:h="16840"/>
          <w:pgMar w:top="2120" w:right="0" w:bottom="740" w:left="980" w:header="1173" w:footer="551" w:gutter="0"/>
          <w:cols w:space="720"/>
        </w:sectPr>
      </w:pPr>
    </w:p>
    <w:p w:rsidR="006C17CB" w:rsidRDefault="006C17CB">
      <w:pPr>
        <w:pStyle w:val="BodyText"/>
        <w:spacing w:before="9"/>
        <w:rPr>
          <w:rFonts w:ascii="Calibri"/>
          <w:sz w:val="21"/>
        </w:rPr>
      </w:pPr>
    </w:p>
    <w:p w:rsidR="006C17CB" w:rsidRDefault="0030091C">
      <w:pPr>
        <w:pStyle w:val="Heading6"/>
        <w:spacing w:line="345" w:lineRule="exact"/>
      </w:pPr>
      <w:r>
        <w:rPr>
          <w:color w:val="003366"/>
        </w:rPr>
        <w:t>NOTE 21. BUDGETARY REPORTING – CONTINUED</w:t>
      </w:r>
    </w:p>
    <w:p w:rsidR="006C17CB" w:rsidRDefault="006C17CB">
      <w:pPr>
        <w:pStyle w:val="BodyText"/>
        <w:spacing w:before="5"/>
        <w:rPr>
          <w:rFonts w:ascii="Calibri"/>
          <w:b/>
          <w:sz w:val="8"/>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997"/>
        <w:gridCol w:w="992"/>
        <w:gridCol w:w="992"/>
        <w:gridCol w:w="1065"/>
        <w:gridCol w:w="2468"/>
      </w:tblGrid>
      <w:tr w:rsidR="006C17CB">
        <w:trPr>
          <w:trHeight w:val="976"/>
        </w:trPr>
        <w:tc>
          <w:tcPr>
            <w:tcW w:w="2126" w:type="dxa"/>
            <w:tcBorders>
              <w:bottom w:val="single" w:sz="8" w:space="0" w:color="000000"/>
              <w:right w:val="single" w:sz="6" w:space="0" w:color="000000"/>
            </w:tcBorders>
          </w:tcPr>
          <w:p w:rsidR="006C17CB" w:rsidRDefault="0030091C">
            <w:pPr>
              <w:pStyle w:val="TableParagraph"/>
              <w:spacing w:line="204" w:lineRule="auto"/>
              <w:ind w:left="638" w:right="446" w:hanging="159"/>
              <w:jc w:val="left"/>
              <w:rPr>
                <w:b/>
                <w:sz w:val="20"/>
              </w:rPr>
            </w:pPr>
            <w:r>
              <w:rPr>
                <w:b/>
                <w:color w:val="17365D"/>
                <w:sz w:val="20"/>
              </w:rPr>
              <w:t>Balance Sheet Line Items</w:t>
            </w:r>
          </w:p>
        </w:tc>
        <w:tc>
          <w:tcPr>
            <w:tcW w:w="997" w:type="dxa"/>
            <w:tcBorders>
              <w:left w:val="single" w:sz="6" w:space="0" w:color="000000"/>
              <w:bottom w:val="single" w:sz="8" w:space="0" w:color="000000"/>
              <w:right w:val="single" w:sz="6" w:space="0" w:color="000000"/>
            </w:tcBorders>
          </w:tcPr>
          <w:p w:rsidR="006C17CB" w:rsidRDefault="0030091C">
            <w:pPr>
              <w:pStyle w:val="TableParagraph"/>
              <w:spacing w:line="204" w:lineRule="auto"/>
              <w:ind w:left="160" w:right="151" w:firstLine="69"/>
              <w:jc w:val="left"/>
              <w:rPr>
                <w:b/>
                <w:sz w:val="20"/>
              </w:rPr>
            </w:pPr>
            <w:r>
              <w:rPr>
                <w:b/>
                <w:color w:val="17365D"/>
                <w:sz w:val="20"/>
              </w:rPr>
              <w:t xml:space="preserve">Actual </w:t>
            </w:r>
            <w:r>
              <w:rPr>
                <w:b/>
                <w:color w:val="17365D"/>
                <w:w w:val="95"/>
                <w:sz w:val="20"/>
              </w:rPr>
              <w:t>2017-18</w:t>
            </w:r>
          </w:p>
          <w:p w:rsidR="006C17CB" w:rsidRDefault="006C17CB">
            <w:pPr>
              <w:pStyle w:val="TableParagraph"/>
              <w:spacing w:before="11"/>
              <w:jc w:val="left"/>
              <w:rPr>
                <w:b/>
                <w:sz w:val="13"/>
              </w:rPr>
            </w:pPr>
          </w:p>
          <w:p w:rsidR="006C17CB" w:rsidRDefault="0030091C">
            <w:pPr>
              <w:pStyle w:val="TableParagraph"/>
              <w:spacing w:line="267" w:lineRule="exact"/>
              <w:ind w:left="266"/>
              <w:jc w:val="left"/>
              <w:rPr>
                <w:b/>
                <w:sz w:val="20"/>
              </w:rPr>
            </w:pPr>
            <w:r>
              <w:rPr>
                <w:b/>
                <w:color w:val="17365D"/>
                <w:sz w:val="20"/>
              </w:rPr>
              <w:t>$’000</w:t>
            </w:r>
          </w:p>
        </w:tc>
        <w:tc>
          <w:tcPr>
            <w:tcW w:w="992" w:type="dxa"/>
            <w:tcBorders>
              <w:left w:val="single" w:sz="6" w:space="0" w:color="000000"/>
              <w:bottom w:val="single" w:sz="8" w:space="0" w:color="000000"/>
              <w:right w:val="single" w:sz="6" w:space="0" w:color="000000"/>
            </w:tcBorders>
          </w:tcPr>
          <w:p w:rsidR="006C17CB" w:rsidRDefault="0030091C">
            <w:pPr>
              <w:pStyle w:val="TableParagraph"/>
              <w:spacing w:line="204" w:lineRule="auto"/>
              <w:ind w:left="138" w:right="116" w:firstLine="24"/>
              <w:jc w:val="left"/>
              <w:rPr>
                <w:sz w:val="20"/>
              </w:rPr>
            </w:pPr>
            <w:r>
              <w:rPr>
                <w:b/>
                <w:color w:val="17365D"/>
                <w:sz w:val="20"/>
              </w:rPr>
              <w:t xml:space="preserve">Original Budget </w:t>
            </w:r>
            <w:r>
              <w:rPr>
                <w:color w:val="17365D"/>
                <w:sz w:val="20"/>
                <w:vertAlign w:val="superscript"/>
              </w:rPr>
              <w:t>1</w:t>
            </w:r>
          </w:p>
          <w:p w:rsidR="006C17CB" w:rsidRDefault="0030091C">
            <w:pPr>
              <w:pStyle w:val="TableParagraph"/>
              <w:spacing w:line="231" w:lineRule="exact"/>
              <w:ind w:left="104" w:right="104"/>
              <w:jc w:val="center"/>
              <w:rPr>
                <w:b/>
                <w:sz w:val="20"/>
              </w:rPr>
            </w:pPr>
            <w:r>
              <w:rPr>
                <w:b/>
                <w:color w:val="17365D"/>
                <w:sz w:val="20"/>
              </w:rPr>
              <w:t>2017-18</w:t>
            </w:r>
          </w:p>
          <w:p w:rsidR="006C17CB" w:rsidRDefault="0030091C">
            <w:pPr>
              <w:pStyle w:val="TableParagraph"/>
              <w:spacing w:line="245" w:lineRule="exact"/>
              <w:ind w:left="104" w:right="104"/>
              <w:jc w:val="center"/>
              <w:rPr>
                <w:b/>
                <w:sz w:val="20"/>
              </w:rPr>
            </w:pPr>
            <w:r>
              <w:rPr>
                <w:b/>
                <w:color w:val="17365D"/>
                <w:sz w:val="20"/>
              </w:rPr>
              <w:t>$’000</w:t>
            </w:r>
          </w:p>
        </w:tc>
        <w:tc>
          <w:tcPr>
            <w:tcW w:w="992" w:type="dxa"/>
            <w:tcBorders>
              <w:left w:val="single" w:sz="6" w:space="0" w:color="000000"/>
              <w:bottom w:val="single" w:sz="8" w:space="0" w:color="000000"/>
              <w:right w:val="single" w:sz="6" w:space="0" w:color="000000"/>
            </w:tcBorders>
          </w:tcPr>
          <w:p w:rsidR="006C17CB" w:rsidRDefault="0030091C">
            <w:pPr>
              <w:pStyle w:val="TableParagraph"/>
              <w:spacing w:line="243" w:lineRule="exact"/>
              <w:ind w:left="104" w:right="104"/>
              <w:jc w:val="center"/>
              <w:rPr>
                <w:b/>
                <w:sz w:val="20"/>
              </w:rPr>
            </w:pPr>
            <w:r>
              <w:rPr>
                <w:b/>
                <w:color w:val="17365D"/>
                <w:sz w:val="20"/>
              </w:rPr>
              <w:t>Variance</w:t>
            </w:r>
          </w:p>
          <w:p w:rsidR="006C17CB" w:rsidRDefault="006C17CB">
            <w:pPr>
              <w:pStyle w:val="TableParagraph"/>
              <w:jc w:val="left"/>
              <w:rPr>
                <w:b/>
                <w:sz w:val="20"/>
              </w:rPr>
            </w:pPr>
          </w:p>
          <w:p w:rsidR="006C17CB" w:rsidRDefault="0030091C">
            <w:pPr>
              <w:pStyle w:val="TableParagraph"/>
              <w:spacing w:before="158" w:line="267" w:lineRule="exact"/>
              <w:ind w:left="103" w:right="104"/>
              <w:jc w:val="center"/>
              <w:rPr>
                <w:b/>
                <w:sz w:val="20"/>
              </w:rPr>
            </w:pPr>
            <w:r>
              <w:rPr>
                <w:b/>
                <w:color w:val="17365D"/>
                <w:sz w:val="20"/>
              </w:rPr>
              <w:t>$’000</w:t>
            </w:r>
          </w:p>
        </w:tc>
        <w:tc>
          <w:tcPr>
            <w:tcW w:w="1065" w:type="dxa"/>
            <w:tcBorders>
              <w:left w:val="single" w:sz="6" w:space="0" w:color="000000"/>
              <w:bottom w:val="single" w:sz="8" w:space="0" w:color="000000"/>
              <w:right w:val="single" w:sz="6" w:space="0" w:color="000000"/>
            </w:tcBorders>
          </w:tcPr>
          <w:p w:rsidR="006C17CB" w:rsidRDefault="0030091C">
            <w:pPr>
              <w:pStyle w:val="TableParagraph"/>
              <w:spacing w:line="243" w:lineRule="exact"/>
              <w:ind w:left="140" w:right="137"/>
              <w:jc w:val="center"/>
              <w:rPr>
                <w:b/>
                <w:sz w:val="20"/>
              </w:rPr>
            </w:pPr>
            <w:r>
              <w:rPr>
                <w:b/>
                <w:color w:val="17365D"/>
                <w:sz w:val="20"/>
              </w:rPr>
              <w:t>Variance</w:t>
            </w:r>
          </w:p>
          <w:p w:rsidR="006C17CB" w:rsidRDefault="006C17CB">
            <w:pPr>
              <w:pStyle w:val="TableParagraph"/>
              <w:jc w:val="left"/>
              <w:rPr>
                <w:b/>
                <w:sz w:val="20"/>
              </w:rPr>
            </w:pPr>
          </w:p>
          <w:p w:rsidR="006C17CB" w:rsidRDefault="0030091C">
            <w:pPr>
              <w:pStyle w:val="TableParagraph"/>
              <w:spacing w:before="158" w:line="267" w:lineRule="exact"/>
              <w:ind w:left="2"/>
              <w:jc w:val="center"/>
              <w:rPr>
                <w:b/>
                <w:sz w:val="20"/>
              </w:rPr>
            </w:pPr>
            <w:r>
              <w:rPr>
                <w:b/>
                <w:color w:val="17365D"/>
                <w:w w:val="99"/>
                <w:sz w:val="20"/>
              </w:rPr>
              <w:t>%</w:t>
            </w:r>
          </w:p>
        </w:tc>
        <w:tc>
          <w:tcPr>
            <w:tcW w:w="2468" w:type="dxa"/>
            <w:tcBorders>
              <w:left w:val="single" w:sz="6" w:space="0" w:color="000000"/>
              <w:bottom w:val="single" w:sz="8" w:space="0" w:color="000000"/>
            </w:tcBorders>
          </w:tcPr>
          <w:p w:rsidR="006C17CB" w:rsidRDefault="0030091C">
            <w:pPr>
              <w:pStyle w:val="TableParagraph"/>
              <w:spacing w:line="243" w:lineRule="exact"/>
              <w:ind w:left="353"/>
              <w:jc w:val="left"/>
              <w:rPr>
                <w:b/>
                <w:sz w:val="20"/>
              </w:rPr>
            </w:pPr>
            <w:r>
              <w:rPr>
                <w:b/>
                <w:color w:val="17365D"/>
                <w:sz w:val="20"/>
              </w:rPr>
              <w:t>Variance Explanation</w:t>
            </w:r>
          </w:p>
        </w:tc>
      </w:tr>
      <w:tr w:rsidR="006C17CB">
        <w:trPr>
          <w:trHeight w:val="781"/>
        </w:trPr>
        <w:tc>
          <w:tcPr>
            <w:tcW w:w="2126" w:type="dxa"/>
            <w:tcBorders>
              <w:top w:val="single" w:sz="8"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107"/>
              <w:jc w:val="left"/>
              <w:rPr>
                <w:sz w:val="18"/>
              </w:rPr>
            </w:pPr>
            <w:r>
              <w:rPr>
                <w:color w:val="17365D"/>
                <w:sz w:val="18"/>
              </w:rPr>
              <w:t>Accumulated Funds</w:t>
            </w:r>
          </w:p>
        </w:tc>
        <w:tc>
          <w:tcPr>
            <w:tcW w:w="997" w:type="dxa"/>
            <w:tcBorders>
              <w:top w:val="single" w:sz="8"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484"/>
              <w:jc w:val="left"/>
              <w:rPr>
                <w:sz w:val="18"/>
              </w:rPr>
            </w:pPr>
            <w:r>
              <w:rPr>
                <w:color w:val="17365D"/>
                <w:sz w:val="18"/>
              </w:rPr>
              <w:t>2,674</w:t>
            </w:r>
          </w:p>
        </w:tc>
        <w:tc>
          <w:tcPr>
            <w:tcW w:w="992" w:type="dxa"/>
            <w:tcBorders>
              <w:top w:val="single" w:sz="8"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479"/>
              <w:jc w:val="left"/>
              <w:rPr>
                <w:sz w:val="18"/>
              </w:rPr>
            </w:pPr>
            <w:r>
              <w:rPr>
                <w:color w:val="17365D"/>
                <w:sz w:val="18"/>
              </w:rPr>
              <w:t>2,113</w:t>
            </w:r>
          </w:p>
        </w:tc>
        <w:tc>
          <w:tcPr>
            <w:tcW w:w="992" w:type="dxa"/>
            <w:tcBorders>
              <w:top w:val="single" w:sz="8"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617"/>
              <w:jc w:val="left"/>
              <w:rPr>
                <w:sz w:val="18"/>
              </w:rPr>
            </w:pPr>
            <w:r>
              <w:rPr>
                <w:color w:val="17365D"/>
                <w:sz w:val="18"/>
              </w:rPr>
              <w:t>561</w:t>
            </w:r>
          </w:p>
        </w:tc>
        <w:tc>
          <w:tcPr>
            <w:tcW w:w="1065" w:type="dxa"/>
            <w:tcBorders>
              <w:top w:val="single" w:sz="8"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645"/>
              <w:jc w:val="left"/>
              <w:rPr>
                <w:sz w:val="18"/>
              </w:rPr>
            </w:pPr>
            <w:r>
              <w:rPr>
                <w:color w:val="17365D"/>
                <w:sz w:val="18"/>
              </w:rPr>
              <w:t>26.5</w:t>
            </w:r>
          </w:p>
        </w:tc>
        <w:tc>
          <w:tcPr>
            <w:tcW w:w="2468" w:type="dxa"/>
            <w:tcBorders>
              <w:top w:val="single" w:sz="8" w:space="0" w:color="000000"/>
              <w:left w:val="single" w:sz="6" w:space="0" w:color="000000"/>
              <w:bottom w:val="single" w:sz="6" w:space="0" w:color="000000"/>
              <w:right w:val="single" w:sz="6" w:space="0" w:color="000000"/>
            </w:tcBorders>
          </w:tcPr>
          <w:p w:rsidR="006C17CB" w:rsidRDefault="0030091C">
            <w:pPr>
              <w:pStyle w:val="TableParagraph"/>
              <w:spacing w:line="204" w:lineRule="auto"/>
              <w:ind w:left="115" w:right="154"/>
              <w:jc w:val="left"/>
              <w:rPr>
                <w:sz w:val="18"/>
              </w:rPr>
            </w:pPr>
            <w:r>
              <w:rPr>
                <w:color w:val="003366"/>
                <w:sz w:val="18"/>
              </w:rPr>
              <w:t>The budget did not anticipate the level of the prior year surplus.</w:t>
            </w:r>
          </w:p>
        </w:tc>
      </w:tr>
    </w:tbl>
    <w:p w:rsidR="006C17CB" w:rsidRDefault="006C17CB">
      <w:pPr>
        <w:pStyle w:val="BodyText"/>
        <w:spacing w:before="9"/>
        <w:rPr>
          <w:rFonts w:ascii="Calibri"/>
          <w:b/>
          <w:sz w:val="25"/>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4"/>
        <w:gridCol w:w="992"/>
        <w:gridCol w:w="994"/>
        <w:gridCol w:w="994"/>
        <w:gridCol w:w="1068"/>
        <w:gridCol w:w="2494"/>
      </w:tblGrid>
      <w:tr w:rsidR="006C17CB">
        <w:trPr>
          <w:trHeight w:val="253"/>
        </w:trPr>
        <w:tc>
          <w:tcPr>
            <w:tcW w:w="2134" w:type="dxa"/>
            <w:tcBorders>
              <w:left w:val="single" w:sz="6" w:space="0" w:color="000000"/>
              <w:bottom w:val="nil"/>
              <w:right w:val="single" w:sz="6" w:space="0" w:color="000000"/>
            </w:tcBorders>
          </w:tcPr>
          <w:p w:rsidR="006C17CB" w:rsidRDefault="0030091C">
            <w:pPr>
              <w:pStyle w:val="TableParagraph"/>
              <w:spacing w:line="233" w:lineRule="exact"/>
              <w:ind w:left="184"/>
              <w:jc w:val="left"/>
              <w:rPr>
                <w:b/>
                <w:sz w:val="20"/>
              </w:rPr>
            </w:pPr>
            <w:r>
              <w:rPr>
                <w:b/>
                <w:color w:val="17365D"/>
                <w:sz w:val="20"/>
              </w:rPr>
              <w:t>Cash Flow Statement</w:t>
            </w:r>
          </w:p>
        </w:tc>
        <w:tc>
          <w:tcPr>
            <w:tcW w:w="992" w:type="dxa"/>
            <w:tcBorders>
              <w:left w:val="single" w:sz="6" w:space="0" w:color="000000"/>
              <w:bottom w:val="nil"/>
              <w:right w:val="single" w:sz="6" w:space="0" w:color="000000"/>
            </w:tcBorders>
          </w:tcPr>
          <w:p w:rsidR="006C17CB" w:rsidRDefault="0030091C">
            <w:pPr>
              <w:pStyle w:val="TableParagraph"/>
              <w:spacing w:line="233" w:lineRule="exact"/>
              <w:ind w:left="224"/>
              <w:jc w:val="left"/>
              <w:rPr>
                <w:b/>
                <w:sz w:val="20"/>
              </w:rPr>
            </w:pPr>
            <w:r>
              <w:rPr>
                <w:b/>
                <w:color w:val="17365D"/>
                <w:sz w:val="20"/>
              </w:rPr>
              <w:t>Actual</w:t>
            </w:r>
          </w:p>
        </w:tc>
        <w:tc>
          <w:tcPr>
            <w:tcW w:w="994" w:type="dxa"/>
            <w:tcBorders>
              <w:left w:val="single" w:sz="6" w:space="0" w:color="000000"/>
              <w:bottom w:val="nil"/>
              <w:right w:val="single" w:sz="6" w:space="0" w:color="000000"/>
            </w:tcBorders>
          </w:tcPr>
          <w:p w:rsidR="006C17CB" w:rsidRDefault="0030091C">
            <w:pPr>
              <w:pStyle w:val="TableParagraph"/>
              <w:spacing w:line="233" w:lineRule="exact"/>
              <w:ind w:right="156"/>
              <w:rPr>
                <w:b/>
                <w:sz w:val="20"/>
              </w:rPr>
            </w:pPr>
            <w:r>
              <w:rPr>
                <w:b/>
                <w:color w:val="17365D"/>
                <w:w w:val="95"/>
                <w:sz w:val="20"/>
              </w:rPr>
              <w:t>Original</w:t>
            </w:r>
          </w:p>
        </w:tc>
        <w:tc>
          <w:tcPr>
            <w:tcW w:w="994" w:type="dxa"/>
            <w:tcBorders>
              <w:left w:val="single" w:sz="6" w:space="0" w:color="000000"/>
              <w:bottom w:val="nil"/>
              <w:right w:val="single" w:sz="6" w:space="0" w:color="000000"/>
            </w:tcBorders>
          </w:tcPr>
          <w:p w:rsidR="006C17CB" w:rsidRDefault="0030091C">
            <w:pPr>
              <w:pStyle w:val="TableParagraph"/>
              <w:spacing w:line="233" w:lineRule="exact"/>
              <w:ind w:right="120"/>
              <w:rPr>
                <w:b/>
                <w:sz w:val="20"/>
              </w:rPr>
            </w:pPr>
            <w:r>
              <w:rPr>
                <w:b/>
                <w:color w:val="17365D"/>
                <w:w w:val="95"/>
                <w:sz w:val="20"/>
              </w:rPr>
              <w:t>Variance</w:t>
            </w:r>
          </w:p>
        </w:tc>
        <w:tc>
          <w:tcPr>
            <w:tcW w:w="1068" w:type="dxa"/>
            <w:tcBorders>
              <w:left w:val="single" w:sz="6" w:space="0" w:color="000000"/>
              <w:bottom w:val="nil"/>
              <w:right w:val="single" w:sz="6" w:space="0" w:color="000000"/>
            </w:tcBorders>
          </w:tcPr>
          <w:p w:rsidR="006C17CB" w:rsidRDefault="0030091C">
            <w:pPr>
              <w:pStyle w:val="TableParagraph"/>
              <w:spacing w:line="233" w:lineRule="exact"/>
              <w:ind w:left="168"/>
              <w:jc w:val="left"/>
              <w:rPr>
                <w:b/>
                <w:sz w:val="20"/>
              </w:rPr>
            </w:pPr>
            <w:r>
              <w:rPr>
                <w:b/>
                <w:color w:val="17365D"/>
                <w:sz w:val="20"/>
              </w:rPr>
              <w:t>Variance</w:t>
            </w:r>
          </w:p>
        </w:tc>
        <w:tc>
          <w:tcPr>
            <w:tcW w:w="2494" w:type="dxa"/>
            <w:tcBorders>
              <w:left w:val="single" w:sz="6" w:space="0" w:color="000000"/>
              <w:bottom w:val="nil"/>
              <w:right w:val="single" w:sz="6" w:space="0" w:color="000000"/>
            </w:tcBorders>
          </w:tcPr>
          <w:p w:rsidR="006C17CB" w:rsidRDefault="0030091C">
            <w:pPr>
              <w:pStyle w:val="TableParagraph"/>
              <w:spacing w:line="233" w:lineRule="exact"/>
              <w:ind w:left="364"/>
              <w:jc w:val="left"/>
              <w:rPr>
                <w:b/>
                <w:sz w:val="20"/>
              </w:rPr>
            </w:pPr>
            <w:r>
              <w:rPr>
                <w:b/>
                <w:color w:val="17365D"/>
                <w:sz w:val="20"/>
              </w:rPr>
              <w:t>Variance Explanation</w:t>
            </w:r>
          </w:p>
        </w:tc>
      </w:tr>
      <w:tr w:rsidR="006C17CB">
        <w:trPr>
          <w:trHeight w:val="253"/>
        </w:trPr>
        <w:tc>
          <w:tcPr>
            <w:tcW w:w="2134" w:type="dxa"/>
            <w:tcBorders>
              <w:top w:val="nil"/>
              <w:left w:val="single" w:sz="6" w:space="0" w:color="000000"/>
              <w:bottom w:val="nil"/>
              <w:right w:val="single" w:sz="6" w:space="0" w:color="000000"/>
            </w:tcBorders>
          </w:tcPr>
          <w:p w:rsidR="006C17CB" w:rsidRDefault="0030091C">
            <w:pPr>
              <w:pStyle w:val="TableParagraph"/>
              <w:spacing w:line="234" w:lineRule="exact"/>
              <w:ind w:left="635"/>
              <w:jc w:val="left"/>
              <w:rPr>
                <w:b/>
                <w:sz w:val="20"/>
              </w:rPr>
            </w:pPr>
            <w:r>
              <w:rPr>
                <w:b/>
                <w:color w:val="17365D"/>
                <w:sz w:val="20"/>
              </w:rPr>
              <w:t>Line Items</w:t>
            </w:r>
          </w:p>
        </w:tc>
        <w:tc>
          <w:tcPr>
            <w:tcW w:w="992" w:type="dxa"/>
            <w:tcBorders>
              <w:top w:val="nil"/>
              <w:left w:val="single" w:sz="6" w:space="0" w:color="000000"/>
              <w:bottom w:val="nil"/>
              <w:right w:val="single" w:sz="6" w:space="0" w:color="000000"/>
            </w:tcBorders>
          </w:tcPr>
          <w:p w:rsidR="006C17CB" w:rsidRDefault="0030091C">
            <w:pPr>
              <w:pStyle w:val="TableParagraph"/>
              <w:spacing w:line="234" w:lineRule="exact"/>
              <w:ind w:right="152"/>
              <w:rPr>
                <w:b/>
                <w:sz w:val="20"/>
              </w:rPr>
            </w:pPr>
            <w:r>
              <w:rPr>
                <w:b/>
                <w:color w:val="17365D"/>
                <w:w w:val="95"/>
                <w:sz w:val="20"/>
              </w:rPr>
              <w:t>2017-18</w:t>
            </w:r>
          </w:p>
        </w:tc>
        <w:tc>
          <w:tcPr>
            <w:tcW w:w="994" w:type="dxa"/>
            <w:tcBorders>
              <w:top w:val="nil"/>
              <w:left w:val="single" w:sz="6" w:space="0" w:color="000000"/>
              <w:bottom w:val="nil"/>
              <w:right w:val="single" w:sz="6" w:space="0" w:color="000000"/>
            </w:tcBorders>
          </w:tcPr>
          <w:p w:rsidR="006C17CB" w:rsidRDefault="0030091C">
            <w:pPr>
              <w:pStyle w:val="TableParagraph"/>
              <w:spacing w:line="234" w:lineRule="exact"/>
              <w:ind w:right="130"/>
              <w:rPr>
                <w:sz w:val="20"/>
              </w:rPr>
            </w:pPr>
            <w:r>
              <w:rPr>
                <w:b/>
                <w:color w:val="17365D"/>
                <w:sz w:val="20"/>
              </w:rPr>
              <w:t xml:space="preserve">Budget </w:t>
            </w:r>
            <w:r>
              <w:rPr>
                <w:color w:val="17365D"/>
                <w:sz w:val="20"/>
                <w:vertAlign w:val="superscript"/>
              </w:rPr>
              <w:t>1</w:t>
            </w:r>
          </w:p>
        </w:tc>
        <w:tc>
          <w:tcPr>
            <w:tcW w:w="994" w:type="dxa"/>
            <w:tcBorders>
              <w:top w:val="nil"/>
              <w:left w:val="single" w:sz="6" w:space="0" w:color="000000"/>
              <w:bottom w:val="nil"/>
              <w:right w:val="single" w:sz="6" w:space="0" w:color="000000"/>
            </w:tcBorders>
          </w:tcPr>
          <w:p w:rsidR="006C17CB" w:rsidRDefault="0030091C">
            <w:pPr>
              <w:pStyle w:val="TableParagraph"/>
              <w:spacing w:line="234" w:lineRule="exact"/>
              <w:ind w:left="266"/>
              <w:jc w:val="left"/>
              <w:rPr>
                <w:b/>
                <w:sz w:val="20"/>
              </w:rPr>
            </w:pPr>
            <w:r>
              <w:rPr>
                <w:b/>
                <w:color w:val="17365D"/>
                <w:sz w:val="20"/>
              </w:rPr>
              <w:t>$’000</w:t>
            </w:r>
          </w:p>
        </w:tc>
        <w:tc>
          <w:tcPr>
            <w:tcW w:w="1068" w:type="dxa"/>
            <w:tcBorders>
              <w:top w:val="nil"/>
              <w:left w:val="single" w:sz="6" w:space="0" w:color="000000"/>
              <w:bottom w:val="nil"/>
              <w:right w:val="single" w:sz="6" w:space="0" w:color="000000"/>
            </w:tcBorders>
          </w:tcPr>
          <w:p w:rsidR="006C17CB" w:rsidRDefault="0030091C">
            <w:pPr>
              <w:pStyle w:val="TableParagraph"/>
              <w:spacing w:line="234" w:lineRule="exact"/>
              <w:ind w:left="9"/>
              <w:jc w:val="center"/>
              <w:rPr>
                <w:b/>
                <w:sz w:val="20"/>
              </w:rPr>
            </w:pPr>
            <w:r>
              <w:rPr>
                <w:b/>
                <w:color w:val="17365D"/>
                <w:w w:val="99"/>
                <w:sz w:val="20"/>
              </w:rPr>
              <w:t>%</w:t>
            </w:r>
          </w:p>
        </w:tc>
        <w:tc>
          <w:tcPr>
            <w:tcW w:w="2494" w:type="dxa"/>
            <w:tcBorders>
              <w:top w:val="nil"/>
              <w:left w:val="single" w:sz="6" w:space="0" w:color="000000"/>
              <w:bottom w:val="nil"/>
              <w:right w:val="single" w:sz="6" w:space="0" w:color="000000"/>
            </w:tcBorders>
          </w:tcPr>
          <w:p w:rsidR="006C17CB" w:rsidRDefault="006C17CB">
            <w:pPr>
              <w:pStyle w:val="TableParagraph"/>
              <w:jc w:val="left"/>
              <w:rPr>
                <w:rFonts w:ascii="Times New Roman"/>
                <w:sz w:val="18"/>
              </w:rPr>
            </w:pPr>
          </w:p>
        </w:tc>
      </w:tr>
      <w:tr w:rsidR="006C17CB">
        <w:trPr>
          <w:trHeight w:val="244"/>
        </w:trPr>
        <w:tc>
          <w:tcPr>
            <w:tcW w:w="2134" w:type="dxa"/>
            <w:tcBorders>
              <w:top w:val="nil"/>
              <w:left w:val="single" w:sz="6" w:space="0" w:color="000000"/>
              <w:bottom w:val="nil"/>
              <w:right w:val="single" w:sz="6" w:space="0" w:color="000000"/>
            </w:tcBorders>
          </w:tcPr>
          <w:p w:rsidR="006C17CB" w:rsidRDefault="006C17CB">
            <w:pPr>
              <w:pStyle w:val="TableParagraph"/>
              <w:jc w:val="left"/>
              <w:rPr>
                <w:rFonts w:ascii="Times New Roman"/>
                <w:sz w:val="16"/>
              </w:rPr>
            </w:pPr>
          </w:p>
        </w:tc>
        <w:tc>
          <w:tcPr>
            <w:tcW w:w="992" w:type="dxa"/>
            <w:tcBorders>
              <w:top w:val="nil"/>
              <w:left w:val="single" w:sz="6" w:space="0" w:color="000000"/>
              <w:bottom w:val="nil"/>
              <w:right w:val="single" w:sz="6" w:space="0" w:color="000000"/>
            </w:tcBorders>
          </w:tcPr>
          <w:p w:rsidR="006C17CB" w:rsidRDefault="0030091C">
            <w:pPr>
              <w:pStyle w:val="TableParagraph"/>
              <w:spacing w:line="225" w:lineRule="exact"/>
              <w:ind w:left="260"/>
              <w:jc w:val="left"/>
              <w:rPr>
                <w:b/>
                <w:sz w:val="20"/>
              </w:rPr>
            </w:pPr>
            <w:r>
              <w:rPr>
                <w:b/>
                <w:color w:val="17365D"/>
                <w:sz w:val="20"/>
              </w:rPr>
              <w:t>$’000</w:t>
            </w:r>
          </w:p>
        </w:tc>
        <w:tc>
          <w:tcPr>
            <w:tcW w:w="994" w:type="dxa"/>
            <w:tcBorders>
              <w:top w:val="nil"/>
              <w:left w:val="single" w:sz="6" w:space="0" w:color="000000"/>
              <w:bottom w:val="nil"/>
              <w:right w:val="single" w:sz="6" w:space="0" w:color="000000"/>
            </w:tcBorders>
          </w:tcPr>
          <w:p w:rsidR="006C17CB" w:rsidRDefault="0030091C">
            <w:pPr>
              <w:pStyle w:val="TableParagraph"/>
              <w:spacing w:line="225" w:lineRule="exact"/>
              <w:ind w:right="150"/>
              <w:rPr>
                <w:b/>
                <w:sz w:val="20"/>
              </w:rPr>
            </w:pPr>
            <w:r>
              <w:rPr>
                <w:b/>
                <w:color w:val="17365D"/>
                <w:w w:val="95"/>
                <w:sz w:val="20"/>
              </w:rPr>
              <w:t>2017-18</w:t>
            </w:r>
          </w:p>
        </w:tc>
        <w:tc>
          <w:tcPr>
            <w:tcW w:w="994" w:type="dxa"/>
            <w:tcBorders>
              <w:top w:val="nil"/>
              <w:left w:val="single" w:sz="6" w:space="0" w:color="000000"/>
              <w:bottom w:val="nil"/>
              <w:right w:val="single" w:sz="6" w:space="0" w:color="000000"/>
            </w:tcBorders>
          </w:tcPr>
          <w:p w:rsidR="006C17CB" w:rsidRDefault="006C17CB">
            <w:pPr>
              <w:pStyle w:val="TableParagraph"/>
              <w:jc w:val="left"/>
              <w:rPr>
                <w:rFonts w:ascii="Times New Roman"/>
                <w:sz w:val="16"/>
              </w:rPr>
            </w:pPr>
          </w:p>
        </w:tc>
        <w:tc>
          <w:tcPr>
            <w:tcW w:w="1068" w:type="dxa"/>
            <w:tcBorders>
              <w:top w:val="nil"/>
              <w:left w:val="single" w:sz="6" w:space="0" w:color="000000"/>
              <w:bottom w:val="nil"/>
              <w:right w:val="single" w:sz="6" w:space="0" w:color="000000"/>
            </w:tcBorders>
          </w:tcPr>
          <w:p w:rsidR="006C17CB" w:rsidRDefault="006C17CB">
            <w:pPr>
              <w:pStyle w:val="TableParagraph"/>
              <w:jc w:val="left"/>
              <w:rPr>
                <w:rFonts w:ascii="Times New Roman"/>
                <w:sz w:val="16"/>
              </w:rPr>
            </w:pPr>
          </w:p>
        </w:tc>
        <w:tc>
          <w:tcPr>
            <w:tcW w:w="2494" w:type="dxa"/>
            <w:tcBorders>
              <w:top w:val="nil"/>
              <w:left w:val="single" w:sz="6" w:space="0" w:color="000000"/>
              <w:bottom w:val="nil"/>
              <w:right w:val="single" w:sz="6" w:space="0" w:color="000000"/>
            </w:tcBorders>
          </w:tcPr>
          <w:p w:rsidR="006C17CB" w:rsidRDefault="006C17CB">
            <w:pPr>
              <w:pStyle w:val="TableParagraph"/>
              <w:jc w:val="left"/>
              <w:rPr>
                <w:rFonts w:ascii="Times New Roman"/>
                <w:sz w:val="16"/>
              </w:rPr>
            </w:pPr>
          </w:p>
        </w:tc>
      </w:tr>
      <w:tr w:rsidR="006C17CB">
        <w:trPr>
          <w:trHeight w:val="224"/>
        </w:trPr>
        <w:tc>
          <w:tcPr>
            <w:tcW w:w="2134" w:type="dxa"/>
            <w:tcBorders>
              <w:top w:val="nil"/>
              <w:left w:val="single" w:sz="6" w:space="0" w:color="000000"/>
              <w:bottom w:val="single" w:sz="6" w:space="0" w:color="000000"/>
              <w:right w:val="single" w:sz="6" w:space="0" w:color="000000"/>
            </w:tcBorders>
          </w:tcPr>
          <w:p w:rsidR="006C17CB" w:rsidRDefault="006C17CB">
            <w:pPr>
              <w:pStyle w:val="TableParagraph"/>
              <w:jc w:val="left"/>
              <w:rPr>
                <w:rFonts w:ascii="Times New Roman"/>
                <w:sz w:val="16"/>
              </w:rPr>
            </w:pPr>
          </w:p>
        </w:tc>
        <w:tc>
          <w:tcPr>
            <w:tcW w:w="992" w:type="dxa"/>
            <w:tcBorders>
              <w:top w:val="nil"/>
              <w:left w:val="single" w:sz="6" w:space="0" w:color="000000"/>
              <w:bottom w:val="single" w:sz="6" w:space="0" w:color="000000"/>
              <w:right w:val="single" w:sz="6" w:space="0" w:color="000000"/>
            </w:tcBorders>
          </w:tcPr>
          <w:p w:rsidR="006C17CB" w:rsidRDefault="006C17CB">
            <w:pPr>
              <w:pStyle w:val="TableParagraph"/>
              <w:jc w:val="left"/>
              <w:rPr>
                <w:rFonts w:ascii="Times New Roman"/>
                <w:sz w:val="16"/>
              </w:rPr>
            </w:pPr>
          </w:p>
        </w:tc>
        <w:tc>
          <w:tcPr>
            <w:tcW w:w="994" w:type="dxa"/>
            <w:tcBorders>
              <w:top w:val="nil"/>
              <w:left w:val="single" w:sz="6" w:space="0" w:color="000000"/>
              <w:bottom w:val="single" w:sz="6" w:space="0" w:color="000000"/>
              <w:right w:val="single" w:sz="6" w:space="0" w:color="000000"/>
            </w:tcBorders>
          </w:tcPr>
          <w:p w:rsidR="006C17CB" w:rsidRDefault="0030091C">
            <w:pPr>
              <w:pStyle w:val="TableParagraph"/>
              <w:spacing w:line="205" w:lineRule="exact"/>
              <w:ind w:left="267"/>
              <w:jc w:val="left"/>
              <w:rPr>
                <w:b/>
                <w:sz w:val="20"/>
              </w:rPr>
            </w:pPr>
            <w:r>
              <w:rPr>
                <w:b/>
                <w:color w:val="17365D"/>
                <w:sz w:val="20"/>
              </w:rPr>
              <w:t>$’000</w:t>
            </w:r>
          </w:p>
        </w:tc>
        <w:tc>
          <w:tcPr>
            <w:tcW w:w="994" w:type="dxa"/>
            <w:tcBorders>
              <w:top w:val="nil"/>
              <w:left w:val="single" w:sz="6" w:space="0" w:color="000000"/>
              <w:bottom w:val="single" w:sz="6" w:space="0" w:color="000000"/>
              <w:right w:val="single" w:sz="6" w:space="0" w:color="000000"/>
            </w:tcBorders>
          </w:tcPr>
          <w:p w:rsidR="006C17CB" w:rsidRDefault="006C17CB">
            <w:pPr>
              <w:pStyle w:val="TableParagraph"/>
              <w:jc w:val="left"/>
              <w:rPr>
                <w:rFonts w:ascii="Times New Roman"/>
                <w:sz w:val="16"/>
              </w:rPr>
            </w:pPr>
          </w:p>
        </w:tc>
        <w:tc>
          <w:tcPr>
            <w:tcW w:w="1068" w:type="dxa"/>
            <w:tcBorders>
              <w:top w:val="nil"/>
              <w:left w:val="single" w:sz="6" w:space="0" w:color="000000"/>
              <w:bottom w:val="single" w:sz="6" w:space="0" w:color="000000"/>
              <w:right w:val="single" w:sz="6" w:space="0" w:color="000000"/>
            </w:tcBorders>
          </w:tcPr>
          <w:p w:rsidR="006C17CB" w:rsidRDefault="006C17CB">
            <w:pPr>
              <w:pStyle w:val="TableParagraph"/>
              <w:jc w:val="left"/>
              <w:rPr>
                <w:rFonts w:ascii="Times New Roman"/>
                <w:sz w:val="16"/>
              </w:rPr>
            </w:pPr>
          </w:p>
        </w:tc>
        <w:tc>
          <w:tcPr>
            <w:tcW w:w="2494" w:type="dxa"/>
            <w:tcBorders>
              <w:top w:val="nil"/>
              <w:left w:val="single" w:sz="6" w:space="0" w:color="000000"/>
              <w:bottom w:val="single" w:sz="6" w:space="0" w:color="000000"/>
              <w:right w:val="single" w:sz="6" w:space="0" w:color="000000"/>
            </w:tcBorders>
          </w:tcPr>
          <w:p w:rsidR="006C17CB" w:rsidRDefault="006C17CB">
            <w:pPr>
              <w:pStyle w:val="TableParagraph"/>
              <w:jc w:val="left"/>
              <w:rPr>
                <w:rFonts w:ascii="Times New Roman"/>
                <w:sz w:val="16"/>
              </w:rPr>
            </w:pPr>
          </w:p>
        </w:tc>
      </w:tr>
      <w:tr w:rsidR="006C17CB">
        <w:trPr>
          <w:trHeight w:val="1660"/>
        </w:trPr>
        <w:tc>
          <w:tcPr>
            <w:tcW w:w="2134"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107"/>
              <w:jc w:val="left"/>
              <w:rPr>
                <w:sz w:val="18"/>
              </w:rPr>
            </w:pPr>
            <w:r>
              <w:rPr>
                <w:color w:val="17365D"/>
                <w:sz w:val="18"/>
              </w:rPr>
              <w:t>Purchase of Investments</w:t>
            </w:r>
          </w:p>
        </w:tc>
        <w:tc>
          <w:tcPr>
            <w:tcW w:w="992"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right="92"/>
              <w:rPr>
                <w:sz w:val="18"/>
              </w:rPr>
            </w:pPr>
            <w:r>
              <w:rPr>
                <w:color w:val="17365D"/>
                <w:sz w:val="18"/>
              </w:rPr>
              <w:t>2,215</w:t>
            </w:r>
          </w:p>
        </w:tc>
        <w:tc>
          <w:tcPr>
            <w:tcW w:w="994"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right="92"/>
              <w:rPr>
                <w:sz w:val="18"/>
              </w:rPr>
            </w:pPr>
            <w:r>
              <w:rPr>
                <w:color w:val="17365D"/>
                <w:sz w:val="18"/>
              </w:rPr>
              <w:t>1,645</w:t>
            </w:r>
          </w:p>
        </w:tc>
        <w:tc>
          <w:tcPr>
            <w:tcW w:w="994"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right="93"/>
              <w:rPr>
                <w:sz w:val="18"/>
              </w:rPr>
            </w:pPr>
            <w:r>
              <w:rPr>
                <w:color w:val="17365D"/>
                <w:sz w:val="18"/>
              </w:rPr>
              <w:t>570</w:t>
            </w:r>
          </w:p>
        </w:tc>
        <w:tc>
          <w:tcPr>
            <w:tcW w:w="1068"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right="93"/>
              <w:rPr>
                <w:sz w:val="18"/>
              </w:rPr>
            </w:pPr>
            <w:r>
              <w:rPr>
                <w:color w:val="17365D"/>
                <w:sz w:val="18"/>
              </w:rPr>
              <w:t>34.7</w:t>
            </w:r>
          </w:p>
        </w:tc>
        <w:tc>
          <w:tcPr>
            <w:tcW w:w="2494"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04" w:lineRule="auto"/>
              <w:ind w:left="103" w:right="143"/>
              <w:jc w:val="left"/>
              <w:rPr>
                <w:sz w:val="18"/>
              </w:rPr>
            </w:pPr>
            <w:r>
              <w:rPr>
                <w:color w:val="003366"/>
                <w:sz w:val="18"/>
              </w:rPr>
              <w:t>More funds were invested than expected in the budget due to positive cash flows from operations. Cash flows from operations were positive mainly due to savings in supplies and services.</w:t>
            </w:r>
          </w:p>
        </w:tc>
      </w:tr>
      <w:tr w:rsidR="006C17CB">
        <w:trPr>
          <w:trHeight w:val="1218"/>
        </w:trPr>
        <w:tc>
          <w:tcPr>
            <w:tcW w:w="2134" w:type="dxa"/>
            <w:tcBorders>
              <w:top w:val="single" w:sz="6" w:space="0" w:color="000000"/>
              <w:left w:val="single" w:sz="6" w:space="0" w:color="000000"/>
              <w:right w:val="single" w:sz="6" w:space="0" w:color="000000"/>
            </w:tcBorders>
          </w:tcPr>
          <w:p w:rsidR="006C17CB" w:rsidRDefault="0030091C">
            <w:pPr>
              <w:pStyle w:val="TableParagraph"/>
              <w:spacing w:line="218" w:lineRule="exact"/>
              <w:ind w:left="107"/>
              <w:jc w:val="left"/>
              <w:rPr>
                <w:sz w:val="18"/>
              </w:rPr>
            </w:pPr>
            <w:r>
              <w:rPr>
                <w:color w:val="17365D"/>
                <w:sz w:val="18"/>
              </w:rPr>
              <w:t>Capital Injections</w:t>
            </w:r>
          </w:p>
        </w:tc>
        <w:tc>
          <w:tcPr>
            <w:tcW w:w="992" w:type="dxa"/>
            <w:tcBorders>
              <w:top w:val="single" w:sz="6" w:space="0" w:color="000000"/>
              <w:left w:val="single" w:sz="6" w:space="0" w:color="000000"/>
              <w:right w:val="single" w:sz="6" w:space="0" w:color="000000"/>
            </w:tcBorders>
          </w:tcPr>
          <w:p w:rsidR="006C17CB" w:rsidRDefault="0030091C">
            <w:pPr>
              <w:pStyle w:val="TableParagraph"/>
              <w:spacing w:line="218" w:lineRule="exact"/>
              <w:ind w:right="92"/>
              <w:rPr>
                <w:sz w:val="18"/>
              </w:rPr>
            </w:pPr>
            <w:r>
              <w:rPr>
                <w:color w:val="17365D"/>
                <w:sz w:val="18"/>
              </w:rPr>
              <w:t>149</w:t>
            </w:r>
          </w:p>
        </w:tc>
        <w:tc>
          <w:tcPr>
            <w:tcW w:w="994" w:type="dxa"/>
            <w:tcBorders>
              <w:top w:val="single" w:sz="6" w:space="0" w:color="000000"/>
              <w:left w:val="single" w:sz="6" w:space="0" w:color="000000"/>
              <w:right w:val="single" w:sz="6" w:space="0" w:color="000000"/>
            </w:tcBorders>
          </w:tcPr>
          <w:p w:rsidR="006C17CB" w:rsidRDefault="0030091C">
            <w:pPr>
              <w:pStyle w:val="TableParagraph"/>
              <w:spacing w:line="218" w:lineRule="exact"/>
              <w:ind w:right="92"/>
              <w:rPr>
                <w:sz w:val="18"/>
              </w:rPr>
            </w:pPr>
            <w:r>
              <w:rPr>
                <w:color w:val="17365D"/>
                <w:sz w:val="18"/>
              </w:rPr>
              <w:t>5</w:t>
            </w:r>
          </w:p>
        </w:tc>
        <w:tc>
          <w:tcPr>
            <w:tcW w:w="994" w:type="dxa"/>
            <w:tcBorders>
              <w:top w:val="single" w:sz="6" w:space="0" w:color="000000"/>
              <w:left w:val="single" w:sz="6" w:space="0" w:color="000000"/>
              <w:right w:val="single" w:sz="6" w:space="0" w:color="000000"/>
            </w:tcBorders>
          </w:tcPr>
          <w:p w:rsidR="006C17CB" w:rsidRDefault="0030091C">
            <w:pPr>
              <w:pStyle w:val="TableParagraph"/>
              <w:spacing w:line="218" w:lineRule="exact"/>
              <w:ind w:right="93"/>
              <w:rPr>
                <w:sz w:val="18"/>
              </w:rPr>
            </w:pPr>
            <w:r>
              <w:rPr>
                <w:color w:val="17365D"/>
                <w:sz w:val="18"/>
              </w:rPr>
              <w:t>144</w:t>
            </w:r>
          </w:p>
        </w:tc>
        <w:tc>
          <w:tcPr>
            <w:tcW w:w="1068" w:type="dxa"/>
            <w:tcBorders>
              <w:top w:val="single" w:sz="6" w:space="0" w:color="000000"/>
              <w:left w:val="single" w:sz="6" w:space="0" w:color="000000"/>
              <w:right w:val="single" w:sz="6" w:space="0" w:color="000000"/>
            </w:tcBorders>
          </w:tcPr>
          <w:p w:rsidR="006C17CB" w:rsidRDefault="0030091C">
            <w:pPr>
              <w:pStyle w:val="TableParagraph"/>
              <w:spacing w:line="218" w:lineRule="exact"/>
              <w:ind w:right="93"/>
              <w:rPr>
                <w:sz w:val="18"/>
              </w:rPr>
            </w:pPr>
            <w:r>
              <w:rPr>
                <w:color w:val="17365D"/>
                <w:sz w:val="18"/>
              </w:rPr>
              <w:t>2,880</w:t>
            </w:r>
          </w:p>
        </w:tc>
        <w:tc>
          <w:tcPr>
            <w:tcW w:w="2494" w:type="dxa"/>
            <w:tcBorders>
              <w:top w:val="single" w:sz="6" w:space="0" w:color="000000"/>
              <w:left w:val="single" w:sz="6" w:space="0" w:color="000000"/>
              <w:right w:val="single" w:sz="6" w:space="0" w:color="000000"/>
            </w:tcBorders>
          </w:tcPr>
          <w:p w:rsidR="006C17CB" w:rsidRDefault="0030091C">
            <w:pPr>
              <w:pStyle w:val="TableParagraph"/>
              <w:spacing w:line="204" w:lineRule="auto"/>
              <w:ind w:left="103" w:right="143"/>
              <w:jc w:val="left"/>
              <w:rPr>
                <w:sz w:val="18"/>
              </w:rPr>
            </w:pPr>
            <w:r>
              <w:rPr>
                <w:color w:val="003366"/>
                <w:sz w:val="18"/>
              </w:rPr>
              <w:t>Capital injections were higher than budget due to the carryover of unspent funds from the previous financial year.</w:t>
            </w:r>
          </w:p>
        </w:tc>
      </w:tr>
    </w:tbl>
    <w:p w:rsidR="006C17CB" w:rsidRDefault="006C17CB">
      <w:pPr>
        <w:pStyle w:val="BodyText"/>
        <w:spacing w:before="1"/>
        <w:rPr>
          <w:rFonts w:ascii="Calibri"/>
          <w:b/>
          <w:sz w:val="16"/>
        </w:rPr>
      </w:pPr>
    </w:p>
    <w:p w:rsidR="006C17CB" w:rsidRDefault="0030091C">
      <w:pPr>
        <w:spacing w:before="1" w:line="204" w:lineRule="auto"/>
        <w:ind w:left="829" w:right="1523"/>
        <w:jc w:val="both"/>
        <w:rPr>
          <w:rFonts w:ascii="Calibri"/>
          <w:sz w:val="20"/>
        </w:rPr>
      </w:pPr>
      <w:r>
        <w:rPr>
          <w:rFonts w:ascii="Calibri"/>
          <w:color w:val="17365D"/>
          <w:position w:val="7"/>
          <w:sz w:val="13"/>
        </w:rPr>
        <w:t xml:space="preserve">1 </w:t>
      </w:r>
      <w:r>
        <w:rPr>
          <w:rFonts w:ascii="Calibri"/>
          <w:color w:val="17365D"/>
          <w:sz w:val="20"/>
        </w:rPr>
        <w:t>Original Budget refers to the amounts presented to the Legislative Assembly in the original budgeted financial</w:t>
      </w:r>
      <w:r>
        <w:rPr>
          <w:rFonts w:ascii="Calibri"/>
          <w:color w:val="17365D"/>
          <w:spacing w:val="-8"/>
          <w:sz w:val="20"/>
        </w:rPr>
        <w:t xml:space="preserve"> </w:t>
      </w:r>
      <w:r>
        <w:rPr>
          <w:rFonts w:ascii="Calibri"/>
          <w:color w:val="17365D"/>
          <w:sz w:val="20"/>
        </w:rPr>
        <w:t>statements</w:t>
      </w:r>
      <w:r>
        <w:rPr>
          <w:rFonts w:ascii="Calibri"/>
          <w:color w:val="17365D"/>
          <w:spacing w:val="-9"/>
          <w:sz w:val="20"/>
        </w:rPr>
        <w:t xml:space="preserve"> </w:t>
      </w:r>
      <w:r>
        <w:rPr>
          <w:rFonts w:ascii="Calibri"/>
          <w:color w:val="17365D"/>
          <w:sz w:val="20"/>
        </w:rPr>
        <w:t>in</w:t>
      </w:r>
      <w:r>
        <w:rPr>
          <w:rFonts w:ascii="Calibri"/>
          <w:color w:val="17365D"/>
          <w:spacing w:val="-7"/>
          <w:sz w:val="20"/>
        </w:rPr>
        <w:t xml:space="preserve"> </w:t>
      </w:r>
      <w:r>
        <w:rPr>
          <w:rFonts w:ascii="Calibri"/>
          <w:color w:val="17365D"/>
          <w:sz w:val="20"/>
        </w:rPr>
        <w:t>respect</w:t>
      </w:r>
      <w:r>
        <w:rPr>
          <w:rFonts w:ascii="Calibri"/>
          <w:color w:val="17365D"/>
          <w:spacing w:val="-7"/>
          <w:sz w:val="20"/>
        </w:rPr>
        <w:t xml:space="preserve"> </w:t>
      </w:r>
      <w:r>
        <w:rPr>
          <w:rFonts w:ascii="Calibri"/>
          <w:color w:val="17365D"/>
          <w:sz w:val="20"/>
        </w:rPr>
        <w:t>of</w:t>
      </w:r>
      <w:r>
        <w:rPr>
          <w:rFonts w:ascii="Calibri"/>
          <w:color w:val="17365D"/>
          <w:spacing w:val="-8"/>
          <w:sz w:val="20"/>
        </w:rPr>
        <w:t xml:space="preserve"> </w:t>
      </w:r>
      <w:r>
        <w:rPr>
          <w:rFonts w:ascii="Calibri"/>
          <w:color w:val="17365D"/>
          <w:sz w:val="20"/>
        </w:rPr>
        <w:t>the</w:t>
      </w:r>
      <w:r>
        <w:rPr>
          <w:rFonts w:ascii="Calibri"/>
          <w:color w:val="17365D"/>
          <w:spacing w:val="-8"/>
          <w:sz w:val="20"/>
        </w:rPr>
        <w:t xml:space="preserve"> </w:t>
      </w:r>
      <w:r>
        <w:rPr>
          <w:rFonts w:ascii="Calibri"/>
          <w:color w:val="17365D"/>
          <w:sz w:val="20"/>
        </w:rPr>
        <w:t>reporting</w:t>
      </w:r>
      <w:r>
        <w:rPr>
          <w:rFonts w:ascii="Calibri"/>
          <w:color w:val="17365D"/>
          <w:spacing w:val="-8"/>
          <w:sz w:val="20"/>
        </w:rPr>
        <w:t xml:space="preserve"> </w:t>
      </w:r>
      <w:r>
        <w:rPr>
          <w:rFonts w:ascii="Calibri"/>
          <w:color w:val="17365D"/>
          <w:sz w:val="20"/>
        </w:rPr>
        <w:t>period</w:t>
      </w:r>
      <w:r>
        <w:rPr>
          <w:rFonts w:ascii="Calibri"/>
          <w:color w:val="17365D"/>
          <w:spacing w:val="-7"/>
          <w:sz w:val="20"/>
        </w:rPr>
        <w:t xml:space="preserve"> </w:t>
      </w:r>
      <w:r>
        <w:rPr>
          <w:rFonts w:ascii="Calibri"/>
          <w:color w:val="17365D"/>
          <w:sz w:val="20"/>
        </w:rPr>
        <w:t>(2017-18</w:t>
      </w:r>
      <w:r>
        <w:rPr>
          <w:rFonts w:ascii="Calibri"/>
          <w:color w:val="17365D"/>
          <w:spacing w:val="-8"/>
          <w:sz w:val="20"/>
        </w:rPr>
        <w:t xml:space="preserve"> </w:t>
      </w:r>
      <w:r>
        <w:rPr>
          <w:rFonts w:ascii="Calibri"/>
          <w:color w:val="17365D"/>
          <w:sz w:val="20"/>
        </w:rPr>
        <w:t>Budget</w:t>
      </w:r>
      <w:r>
        <w:rPr>
          <w:rFonts w:ascii="Calibri"/>
          <w:color w:val="17365D"/>
          <w:spacing w:val="-7"/>
          <w:sz w:val="20"/>
        </w:rPr>
        <w:t xml:space="preserve"> </w:t>
      </w:r>
      <w:r>
        <w:rPr>
          <w:rFonts w:ascii="Calibri"/>
          <w:color w:val="17365D"/>
          <w:sz w:val="20"/>
        </w:rPr>
        <w:t>Statements).</w:t>
      </w:r>
      <w:r>
        <w:rPr>
          <w:rFonts w:ascii="Calibri"/>
          <w:color w:val="17365D"/>
          <w:spacing w:val="-7"/>
          <w:sz w:val="20"/>
        </w:rPr>
        <w:t xml:space="preserve"> </w:t>
      </w:r>
      <w:r>
        <w:rPr>
          <w:rFonts w:ascii="Calibri"/>
          <w:color w:val="17365D"/>
          <w:sz w:val="20"/>
        </w:rPr>
        <w:t>These</w:t>
      </w:r>
      <w:r>
        <w:rPr>
          <w:rFonts w:ascii="Calibri"/>
          <w:color w:val="17365D"/>
          <w:spacing w:val="-8"/>
          <w:sz w:val="20"/>
        </w:rPr>
        <w:t xml:space="preserve"> </w:t>
      </w:r>
      <w:r>
        <w:rPr>
          <w:rFonts w:ascii="Calibri"/>
          <w:color w:val="17365D"/>
          <w:sz w:val="20"/>
        </w:rPr>
        <w:t>amounts</w:t>
      </w:r>
      <w:r>
        <w:rPr>
          <w:rFonts w:ascii="Calibri"/>
          <w:color w:val="17365D"/>
          <w:spacing w:val="-9"/>
          <w:sz w:val="20"/>
        </w:rPr>
        <w:t xml:space="preserve"> </w:t>
      </w:r>
      <w:r>
        <w:rPr>
          <w:rFonts w:ascii="Calibri"/>
          <w:color w:val="17365D"/>
          <w:sz w:val="20"/>
        </w:rPr>
        <w:t>have not been adjusted to reflect supplementary appropriation or appropriation</w:t>
      </w:r>
      <w:r>
        <w:rPr>
          <w:rFonts w:ascii="Calibri"/>
          <w:color w:val="17365D"/>
          <w:spacing w:val="-7"/>
          <w:sz w:val="20"/>
        </w:rPr>
        <w:t xml:space="preserve"> </w:t>
      </w:r>
      <w:r>
        <w:rPr>
          <w:rFonts w:ascii="Calibri"/>
          <w:color w:val="17365D"/>
          <w:sz w:val="20"/>
        </w:rPr>
        <w:t>instruments.</w:t>
      </w:r>
    </w:p>
    <w:p w:rsidR="006C17CB" w:rsidRDefault="006C17CB">
      <w:pPr>
        <w:spacing w:line="204" w:lineRule="auto"/>
        <w:jc w:val="both"/>
        <w:rPr>
          <w:rFonts w:ascii="Calibri"/>
          <w:sz w:val="20"/>
        </w:rPr>
        <w:sectPr w:rsidR="006C17CB">
          <w:footerReference w:type="even" r:id="rId171"/>
          <w:footerReference w:type="default" r:id="rId172"/>
          <w:pgSz w:w="11910" w:h="16840"/>
          <w:pgMar w:top="2120" w:right="0" w:bottom="720" w:left="980" w:header="1173" w:footer="523" w:gutter="0"/>
          <w:cols w:space="720"/>
        </w:sectPr>
      </w:pPr>
    </w:p>
    <w:p w:rsidR="006C17CB" w:rsidRDefault="006C17CB">
      <w:pPr>
        <w:pStyle w:val="BodyText"/>
        <w:spacing w:before="9"/>
        <w:rPr>
          <w:rFonts w:ascii="Calibri"/>
          <w:sz w:val="21"/>
        </w:rPr>
      </w:pPr>
    </w:p>
    <w:p w:rsidR="006C17CB" w:rsidRDefault="0030091C">
      <w:pPr>
        <w:pStyle w:val="Heading6"/>
        <w:tabs>
          <w:tab w:val="left" w:pos="1962"/>
        </w:tabs>
        <w:spacing w:line="345" w:lineRule="exact"/>
      </w:pPr>
      <w:r>
        <w:rPr>
          <w:color w:val="003366"/>
        </w:rPr>
        <w:t>NOTE</w:t>
      </w:r>
      <w:r>
        <w:rPr>
          <w:color w:val="003366"/>
          <w:spacing w:val="-1"/>
        </w:rPr>
        <w:t xml:space="preserve"> </w:t>
      </w:r>
      <w:r>
        <w:rPr>
          <w:color w:val="003366"/>
        </w:rPr>
        <w:t>22.</w:t>
      </w:r>
      <w:r>
        <w:rPr>
          <w:color w:val="003366"/>
        </w:rPr>
        <w:tab/>
        <w:t>RELATED PARTY</w:t>
      </w:r>
      <w:r>
        <w:rPr>
          <w:color w:val="003366"/>
          <w:spacing w:val="-3"/>
        </w:rPr>
        <w:t xml:space="preserve"> </w:t>
      </w:r>
      <w:r>
        <w:rPr>
          <w:color w:val="003366"/>
        </w:rPr>
        <w:t>DISCLOSURES</w:t>
      </w:r>
    </w:p>
    <w:p w:rsidR="006C17CB" w:rsidRDefault="006C17CB">
      <w:pPr>
        <w:pStyle w:val="BodyText"/>
        <w:spacing w:before="14"/>
        <w:rPr>
          <w:rFonts w:ascii="Calibri"/>
          <w:b/>
          <w:sz w:val="15"/>
        </w:rPr>
      </w:pPr>
    </w:p>
    <w:p w:rsidR="006C17CB" w:rsidRDefault="0030091C">
      <w:pPr>
        <w:spacing w:line="204" w:lineRule="auto"/>
        <w:ind w:left="829" w:right="1521"/>
        <w:jc w:val="both"/>
        <w:rPr>
          <w:rFonts w:ascii="Calibri"/>
          <w:sz w:val="20"/>
        </w:rPr>
      </w:pPr>
      <w:r>
        <w:rPr>
          <w:rFonts w:ascii="Calibri"/>
          <w:color w:val="003366"/>
          <w:sz w:val="20"/>
        </w:rPr>
        <w:t>A related party is a person that controls or has significant influence over the reporting entity, or is a member</w:t>
      </w:r>
      <w:r>
        <w:rPr>
          <w:rFonts w:ascii="Calibri"/>
          <w:color w:val="003366"/>
          <w:spacing w:val="-8"/>
          <w:sz w:val="20"/>
        </w:rPr>
        <w:t xml:space="preserve"> </w:t>
      </w:r>
      <w:r>
        <w:rPr>
          <w:rFonts w:ascii="Calibri"/>
          <w:color w:val="003366"/>
          <w:sz w:val="20"/>
        </w:rPr>
        <w:t>of</w:t>
      </w:r>
      <w:r>
        <w:rPr>
          <w:rFonts w:ascii="Calibri"/>
          <w:color w:val="003366"/>
          <w:spacing w:val="-6"/>
          <w:sz w:val="20"/>
        </w:rPr>
        <w:t xml:space="preserve"> </w:t>
      </w:r>
      <w:r>
        <w:rPr>
          <w:rFonts w:ascii="Calibri"/>
          <w:color w:val="003366"/>
          <w:sz w:val="20"/>
        </w:rPr>
        <w:t>the</w:t>
      </w:r>
      <w:r>
        <w:rPr>
          <w:rFonts w:ascii="Calibri"/>
          <w:color w:val="003366"/>
          <w:spacing w:val="-9"/>
          <w:sz w:val="20"/>
        </w:rPr>
        <w:t xml:space="preserve"> </w:t>
      </w:r>
      <w:r>
        <w:rPr>
          <w:rFonts w:ascii="Calibri"/>
          <w:color w:val="003366"/>
          <w:sz w:val="20"/>
        </w:rPr>
        <w:t>Key</w:t>
      </w:r>
      <w:r>
        <w:rPr>
          <w:rFonts w:ascii="Calibri"/>
          <w:color w:val="003366"/>
          <w:spacing w:val="-7"/>
          <w:sz w:val="20"/>
        </w:rPr>
        <w:t xml:space="preserve"> </w:t>
      </w:r>
      <w:r>
        <w:rPr>
          <w:rFonts w:ascii="Calibri"/>
          <w:color w:val="003366"/>
          <w:sz w:val="20"/>
        </w:rPr>
        <w:t>Management</w:t>
      </w:r>
      <w:r>
        <w:rPr>
          <w:rFonts w:ascii="Calibri"/>
          <w:color w:val="003366"/>
          <w:spacing w:val="-7"/>
          <w:sz w:val="20"/>
        </w:rPr>
        <w:t xml:space="preserve"> </w:t>
      </w:r>
      <w:r>
        <w:rPr>
          <w:rFonts w:ascii="Calibri"/>
          <w:color w:val="003366"/>
          <w:sz w:val="20"/>
        </w:rPr>
        <w:t>Personnel</w:t>
      </w:r>
      <w:r>
        <w:rPr>
          <w:rFonts w:ascii="Calibri"/>
          <w:color w:val="003366"/>
          <w:spacing w:val="-8"/>
          <w:sz w:val="20"/>
        </w:rPr>
        <w:t xml:space="preserve"> </w:t>
      </w:r>
      <w:r>
        <w:rPr>
          <w:rFonts w:ascii="Calibri"/>
          <w:color w:val="003366"/>
          <w:sz w:val="20"/>
        </w:rPr>
        <w:t>(KMP)</w:t>
      </w:r>
      <w:r>
        <w:rPr>
          <w:rFonts w:ascii="Calibri"/>
          <w:color w:val="003366"/>
          <w:spacing w:val="-8"/>
          <w:sz w:val="20"/>
        </w:rPr>
        <w:t xml:space="preserve"> </w:t>
      </w:r>
      <w:r>
        <w:rPr>
          <w:rFonts w:ascii="Calibri"/>
          <w:color w:val="003366"/>
          <w:sz w:val="20"/>
        </w:rPr>
        <w:t>of</w:t>
      </w:r>
      <w:r>
        <w:rPr>
          <w:rFonts w:ascii="Calibri"/>
          <w:color w:val="003366"/>
          <w:spacing w:val="-6"/>
          <w:sz w:val="20"/>
        </w:rPr>
        <w:t xml:space="preserve"> </w:t>
      </w:r>
      <w:r>
        <w:rPr>
          <w:rFonts w:ascii="Calibri"/>
          <w:color w:val="003366"/>
          <w:sz w:val="20"/>
        </w:rPr>
        <w:t>the</w:t>
      </w:r>
      <w:r>
        <w:rPr>
          <w:rFonts w:ascii="Calibri"/>
          <w:color w:val="003366"/>
          <w:spacing w:val="-9"/>
          <w:sz w:val="20"/>
        </w:rPr>
        <w:t xml:space="preserve"> </w:t>
      </w:r>
      <w:r>
        <w:rPr>
          <w:rFonts w:ascii="Calibri"/>
          <w:color w:val="003366"/>
          <w:sz w:val="20"/>
        </w:rPr>
        <w:t>reporting</w:t>
      </w:r>
      <w:r>
        <w:rPr>
          <w:rFonts w:ascii="Calibri"/>
          <w:color w:val="003366"/>
          <w:spacing w:val="-8"/>
          <w:sz w:val="20"/>
        </w:rPr>
        <w:t xml:space="preserve"> </w:t>
      </w:r>
      <w:r>
        <w:rPr>
          <w:rFonts w:ascii="Calibri"/>
          <w:color w:val="003366"/>
          <w:sz w:val="20"/>
        </w:rPr>
        <w:t>entity</w:t>
      </w:r>
      <w:r>
        <w:rPr>
          <w:rFonts w:ascii="Calibri"/>
          <w:color w:val="003366"/>
          <w:spacing w:val="-7"/>
          <w:sz w:val="20"/>
        </w:rPr>
        <w:t xml:space="preserve"> </w:t>
      </w:r>
      <w:r>
        <w:rPr>
          <w:rFonts w:ascii="Calibri"/>
          <w:color w:val="003366"/>
          <w:sz w:val="20"/>
        </w:rPr>
        <w:t>or</w:t>
      </w:r>
      <w:r>
        <w:rPr>
          <w:rFonts w:ascii="Calibri"/>
          <w:color w:val="003366"/>
          <w:spacing w:val="-8"/>
          <w:sz w:val="20"/>
        </w:rPr>
        <w:t xml:space="preserve"> </w:t>
      </w:r>
      <w:r>
        <w:rPr>
          <w:rFonts w:ascii="Calibri"/>
          <w:color w:val="003366"/>
          <w:sz w:val="20"/>
        </w:rPr>
        <w:t>its</w:t>
      </w:r>
      <w:r>
        <w:rPr>
          <w:rFonts w:ascii="Calibri"/>
          <w:color w:val="003366"/>
          <w:spacing w:val="-9"/>
          <w:sz w:val="20"/>
        </w:rPr>
        <w:t xml:space="preserve"> </w:t>
      </w:r>
      <w:r>
        <w:rPr>
          <w:rFonts w:ascii="Calibri"/>
          <w:color w:val="003366"/>
          <w:sz w:val="20"/>
        </w:rPr>
        <w:t>parent</w:t>
      </w:r>
      <w:r>
        <w:rPr>
          <w:rFonts w:ascii="Calibri"/>
          <w:color w:val="003366"/>
          <w:spacing w:val="-5"/>
          <w:sz w:val="20"/>
        </w:rPr>
        <w:t xml:space="preserve"> </w:t>
      </w:r>
      <w:r>
        <w:rPr>
          <w:rFonts w:ascii="Calibri"/>
          <w:color w:val="003366"/>
          <w:sz w:val="20"/>
        </w:rPr>
        <w:t>entity,</w:t>
      </w:r>
      <w:r>
        <w:rPr>
          <w:rFonts w:ascii="Calibri"/>
          <w:color w:val="003366"/>
          <w:spacing w:val="-7"/>
          <w:sz w:val="20"/>
        </w:rPr>
        <w:t xml:space="preserve"> </w:t>
      </w:r>
      <w:r>
        <w:rPr>
          <w:rFonts w:ascii="Calibri"/>
          <w:color w:val="003366"/>
          <w:sz w:val="20"/>
        </w:rPr>
        <w:t>and</w:t>
      </w:r>
      <w:r>
        <w:rPr>
          <w:rFonts w:ascii="Calibri"/>
          <w:color w:val="003366"/>
          <w:spacing w:val="-7"/>
          <w:sz w:val="20"/>
        </w:rPr>
        <w:t xml:space="preserve"> </w:t>
      </w:r>
      <w:r>
        <w:rPr>
          <w:rFonts w:ascii="Calibri"/>
          <w:color w:val="003366"/>
          <w:sz w:val="20"/>
        </w:rPr>
        <w:t>includes their close family members and entities in which the KMP or/and their close family members individually or jointly have controlling</w:t>
      </w:r>
      <w:r>
        <w:rPr>
          <w:rFonts w:ascii="Calibri"/>
          <w:color w:val="003366"/>
          <w:spacing w:val="-1"/>
          <w:sz w:val="20"/>
        </w:rPr>
        <w:t xml:space="preserve"> </w:t>
      </w:r>
      <w:r>
        <w:rPr>
          <w:rFonts w:ascii="Calibri"/>
          <w:color w:val="003366"/>
          <w:sz w:val="20"/>
        </w:rPr>
        <w:t>interests.</w:t>
      </w:r>
    </w:p>
    <w:p w:rsidR="006C17CB" w:rsidRDefault="0030091C">
      <w:pPr>
        <w:spacing w:before="117" w:line="204" w:lineRule="auto"/>
        <w:ind w:left="829" w:right="1412"/>
        <w:rPr>
          <w:rFonts w:ascii="Calibri"/>
          <w:sz w:val="20"/>
        </w:rPr>
      </w:pPr>
      <w:r>
        <w:rPr>
          <w:rFonts w:ascii="Calibri"/>
          <w:color w:val="003366"/>
          <w:sz w:val="20"/>
        </w:rPr>
        <w:t>KMP are those persons having authority and responsibility for planning, directing and controlling the activities of the entity, directly or indirectly.</w:t>
      </w:r>
    </w:p>
    <w:p w:rsidR="006C17CB" w:rsidRDefault="006C17CB">
      <w:pPr>
        <w:pStyle w:val="BodyText"/>
        <w:spacing w:before="3"/>
        <w:rPr>
          <w:rFonts w:ascii="Calibri"/>
          <w:sz w:val="17"/>
        </w:rPr>
      </w:pPr>
    </w:p>
    <w:p w:rsidR="006C17CB" w:rsidRDefault="0030091C">
      <w:pPr>
        <w:pStyle w:val="ListParagraph"/>
        <w:numPr>
          <w:ilvl w:val="0"/>
          <w:numId w:val="5"/>
        </w:numPr>
        <w:tabs>
          <w:tab w:val="left" w:pos="1395"/>
          <w:tab w:val="left" w:pos="1396"/>
        </w:tabs>
        <w:spacing w:line="240" w:lineRule="auto"/>
        <w:ind w:hanging="566"/>
        <w:rPr>
          <w:rFonts w:ascii="Calibri-BoldItalic"/>
          <w:b/>
          <w:i/>
          <w:sz w:val="20"/>
        </w:rPr>
      </w:pPr>
      <w:r>
        <w:rPr>
          <w:rFonts w:ascii="Calibri-BoldItalic"/>
          <w:b/>
          <w:i/>
          <w:color w:val="003366"/>
          <w:sz w:val="20"/>
        </w:rPr>
        <w:t>Key Management</w:t>
      </w:r>
      <w:r>
        <w:rPr>
          <w:rFonts w:ascii="Calibri-BoldItalic"/>
          <w:b/>
          <w:i/>
          <w:color w:val="003366"/>
          <w:spacing w:val="-1"/>
          <w:sz w:val="20"/>
        </w:rPr>
        <w:t xml:space="preserve"> </w:t>
      </w:r>
      <w:r>
        <w:rPr>
          <w:rFonts w:ascii="Calibri-BoldItalic"/>
          <w:b/>
          <w:i/>
          <w:color w:val="003366"/>
          <w:sz w:val="20"/>
        </w:rPr>
        <w:t>Personnel</w:t>
      </w:r>
    </w:p>
    <w:p w:rsidR="006C17CB" w:rsidRDefault="006C17CB">
      <w:pPr>
        <w:pStyle w:val="BodyText"/>
        <w:spacing w:before="11"/>
        <w:rPr>
          <w:rFonts w:ascii="Calibri-BoldItalic"/>
          <w:b/>
          <w:i/>
          <w:sz w:val="15"/>
        </w:rPr>
      </w:pPr>
    </w:p>
    <w:p w:rsidR="006C17CB" w:rsidRDefault="0030091C">
      <w:pPr>
        <w:tabs>
          <w:tab w:val="left" w:pos="1395"/>
        </w:tabs>
        <w:ind w:left="829"/>
        <w:rPr>
          <w:rFonts w:ascii="Calibri"/>
          <w:sz w:val="20"/>
        </w:rPr>
      </w:pPr>
      <w:r>
        <w:rPr>
          <w:rFonts w:ascii="Calibri"/>
          <w:color w:val="003366"/>
          <w:sz w:val="20"/>
        </w:rPr>
        <w:t>(i)</w:t>
      </w:r>
      <w:r>
        <w:rPr>
          <w:rFonts w:ascii="Calibri"/>
          <w:color w:val="003366"/>
          <w:sz w:val="20"/>
        </w:rPr>
        <w:tab/>
        <w:t>Details of</w:t>
      </w:r>
      <w:r>
        <w:rPr>
          <w:rFonts w:ascii="Calibri"/>
          <w:color w:val="003366"/>
          <w:spacing w:val="-3"/>
          <w:sz w:val="20"/>
        </w:rPr>
        <w:t xml:space="preserve"> </w:t>
      </w:r>
      <w:r>
        <w:rPr>
          <w:rFonts w:ascii="Calibri"/>
          <w:color w:val="003366"/>
          <w:sz w:val="20"/>
        </w:rPr>
        <w:t>compensation</w:t>
      </w:r>
    </w:p>
    <w:p w:rsidR="006C17CB" w:rsidRDefault="006C17CB">
      <w:pPr>
        <w:pStyle w:val="BodyText"/>
        <w:spacing w:before="1"/>
        <w:rPr>
          <w:rFonts w:ascii="Calibri"/>
          <w:sz w:val="16"/>
        </w:rPr>
      </w:pPr>
    </w:p>
    <w:p w:rsidR="006C17CB" w:rsidRDefault="0030091C">
      <w:pPr>
        <w:spacing w:line="204" w:lineRule="auto"/>
        <w:ind w:left="829" w:right="1412"/>
        <w:rPr>
          <w:rFonts w:ascii="Calibri"/>
          <w:sz w:val="20"/>
        </w:rPr>
      </w:pPr>
      <w:r>
        <w:rPr>
          <w:rFonts w:ascii="Calibri"/>
          <w:color w:val="003366"/>
          <w:sz w:val="20"/>
        </w:rPr>
        <w:t>The Office is controlled by an Executive Management Committee comprising the Clerk of the Legislative Assembly and four other senior staff members. The Office does not have a Minister.</w:t>
      </w:r>
    </w:p>
    <w:p w:rsidR="006C17CB" w:rsidRDefault="0030091C">
      <w:pPr>
        <w:spacing w:before="85"/>
        <w:ind w:left="829"/>
        <w:rPr>
          <w:rFonts w:ascii="Calibri"/>
          <w:sz w:val="20"/>
        </w:rPr>
      </w:pPr>
      <w:r>
        <w:rPr>
          <w:rFonts w:ascii="Calibri"/>
          <w:color w:val="003366"/>
          <w:sz w:val="20"/>
        </w:rPr>
        <w:t>Total Compensation for the Clerk and others assessed to be KMP of the Office is set out below.</w:t>
      </w:r>
    </w:p>
    <w:p w:rsidR="006C17CB" w:rsidRDefault="006C17CB">
      <w:pPr>
        <w:pStyle w:val="BodyText"/>
        <w:rPr>
          <w:rFonts w:ascii="Calibri"/>
          <w:sz w:val="11"/>
        </w:rPr>
      </w:pPr>
    </w:p>
    <w:tbl>
      <w:tblPr>
        <w:tblW w:w="0" w:type="auto"/>
        <w:tblInd w:w="777" w:type="dxa"/>
        <w:tblLayout w:type="fixed"/>
        <w:tblCellMar>
          <w:left w:w="0" w:type="dxa"/>
          <w:right w:w="0" w:type="dxa"/>
        </w:tblCellMar>
        <w:tblLook w:val="01E0" w:firstRow="1" w:lastRow="1" w:firstColumn="1" w:lastColumn="1" w:noHBand="0" w:noVBand="0"/>
      </w:tblPr>
      <w:tblGrid>
        <w:gridCol w:w="7763"/>
        <w:gridCol w:w="741"/>
      </w:tblGrid>
      <w:tr w:rsidR="006C17CB">
        <w:trPr>
          <w:trHeight w:val="281"/>
        </w:trPr>
        <w:tc>
          <w:tcPr>
            <w:tcW w:w="7763" w:type="dxa"/>
          </w:tcPr>
          <w:p w:rsidR="006C17CB" w:rsidRDefault="0030091C">
            <w:pPr>
              <w:pStyle w:val="TableParagraph"/>
              <w:spacing w:line="203" w:lineRule="exact"/>
              <w:ind w:right="826"/>
              <w:rPr>
                <w:b/>
                <w:sz w:val="20"/>
              </w:rPr>
            </w:pPr>
            <w:r>
              <w:rPr>
                <w:b/>
                <w:color w:val="003366"/>
                <w:w w:val="95"/>
                <w:sz w:val="20"/>
              </w:rPr>
              <w:t>2018</w:t>
            </w:r>
          </w:p>
        </w:tc>
        <w:tc>
          <w:tcPr>
            <w:tcW w:w="741" w:type="dxa"/>
          </w:tcPr>
          <w:p w:rsidR="006C17CB" w:rsidRDefault="0030091C">
            <w:pPr>
              <w:pStyle w:val="TableParagraph"/>
              <w:spacing w:line="203" w:lineRule="exact"/>
              <w:ind w:right="127"/>
              <w:rPr>
                <w:b/>
                <w:sz w:val="20"/>
              </w:rPr>
            </w:pPr>
            <w:r>
              <w:rPr>
                <w:b/>
                <w:color w:val="003366"/>
                <w:w w:val="95"/>
                <w:sz w:val="20"/>
              </w:rPr>
              <w:t>2017</w:t>
            </w:r>
          </w:p>
        </w:tc>
      </w:tr>
      <w:tr w:rsidR="006C17CB">
        <w:trPr>
          <w:trHeight w:val="364"/>
        </w:trPr>
        <w:tc>
          <w:tcPr>
            <w:tcW w:w="7763" w:type="dxa"/>
          </w:tcPr>
          <w:p w:rsidR="006C17CB" w:rsidRDefault="0030091C">
            <w:pPr>
              <w:pStyle w:val="TableParagraph"/>
              <w:spacing w:line="286" w:lineRule="exact"/>
              <w:ind w:right="776"/>
              <w:rPr>
                <w:b/>
                <w:sz w:val="20"/>
              </w:rPr>
            </w:pPr>
            <w:r>
              <w:rPr>
                <w:b/>
                <w:color w:val="003366"/>
                <w:w w:val="95"/>
                <w:sz w:val="20"/>
              </w:rPr>
              <w:t>$’000</w:t>
            </w:r>
          </w:p>
        </w:tc>
        <w:tc>
          <w:tcPr>
            <w:tcW w:w="741" w:type="dxa"/>
          </w:tcPr>
          <w:p w:rsidR="006C17CB" w:rsidRDefault="0030091C">
            <w:pPr>
              <w:pStyle w:val="TableParagraph"/>
              <w:spacing w:line="286" w:lineRule="exact"/>
              <w:ind w:right="77"/>
              <w:rPr>
                <w:b/>
                <w:sz w:val="20"/>
              </w:rPr>
            </w:pPr>
            <w:r>
              <w:rPr>
                <w:b/>
                <w:color w:val="003366"/>
                <w:w w:val="95"/>
                <w:sz w:val="20"/>
              </w:rPr>
              <w:t>$’000</w:t>
            </w:r>
          </w:p>
        </w:tc>
      </w:tr>
      <w:tr w:rsidR="006C17CB">
        <w:trPr>
          <w:trHeight w:val="303"/>
        </w:trPr>
        <w:tc>
          <w:tcPr>
            <w:tcW w:w="7763" w:type="dxa"/>
          </w:tcPr>
          <w:p w:rsidR="006C17CB" w:rsidRDefault="0030091C">
            <w:pPr>
              <w:pStyle w:val="TableParagraph"/>
              <w:tabs>
                <w:tab w:val="right" w:pos="7014"/>
              </w:tabs>
              <w:spacing w:line="284" w:lineRule="exact"/>
              <w:ind w:left="50"/>
              <w:jc w:val="left"/>
              <w:rPr>
                <w:sz w:val="20"/>
              </w:rPr>
            </w:pPr>
            <w:r>
              <w:rPr>
                <w:color w:val="003366"/>
                <w:sz w:val="20"/>
              </w:rPr>
              <w:t>Short-term</w:t>
            </w:r>
            <w:r>
              <w:rPr>
                <w:color w:val="003366"/>
                <w:spacing w:val="-2"/>
                <w:sz w:val="20"/>
              </w:rPr>
              <w:t xml:space="preserve"> </w:t>
            </w:r>
            <w:r>
              <w:rPr>
                <w:color w:val="003366"/>
                <w:sz w:val="20"/>
              </w:rPr>
              <w:t>employee</w:t>
            </w:r>
            <w:r>
              <w:rPr>
                <w:color w:val="003366"/>
                <w:spacing w:val="-2"/>
                <w:sz w:val="20"/>
              </w:rPr>
              <w:t xml:space="preserve"> </w:t>
            </w:r>
            <w:r>
              <w:rPr>
                <w:color w:val="003366"/>
                <w:sz w:val="20"/>
              </w:rPr>
              <w:t>benefits</w:t>
            </w:r>
            <w:r>
              <w:rPr>
                <w:color w:val="003366"/>
                <w:sz w:val="20"/>
              </w:rPr>
              <w:tab/>
              <w:t>840</w:t>
            </w:r>
          </w:p>
        </w:tc>
        <w:tc>
          <w:tcPr>
            <w:tcW w:w="741" w:type="dxa"/>
          </w:tcPr>
          <w:p w:rsidR="006C17CB" w:rsidRDefault="0030091C">
            <w:pPr>
              <w:pStyle w:val="TableParagraph"/>
              <w:spacing w:line="284" w:lineRule="exact"/>
              <w:ind w:right="47"/>
              <w:rPr>
                <w:sz w:val="20"/>
              </w:rPr>
            </w:pPr>
            <w:r>
              <w:rPr>
                <w:color w:val="003366"/>
                <w:w w:val="95"/>
                <w:sz w:val="20"/>
              </w:rPr>
              <w:t>896</w:t>
            </w:r>
          </w:p>
        </w:tc>
      </w:tr>
      <w:tr w:rsidR="006C17CB">
        <w:trPr>
          <w:trHeight w:val="243"/>
        </w:trPr>
        <w:tc>
          <w:tcPr>
            <w:tcW w:w="7763" w:type="dxa"/>
          </w:tcPr>
          <w:p w:rsidR="006C17CB" w:rsidRDefault="0030091C">
            <w:pPr>
              <w:pStyle w:val="TableParagraph"/>
              <w:tabs>
                <w:tab w:val="right" w:pos="7014"/>
              </w:tabs>
              <w:spacing w:line="224" w:lineRule="exact"/>
              <w:ind w:left="50"/>
              <w:jc w:val="left"/>
              <w:rPr>
                <w:sz w:val="20"/>
              </w:rPr>
            </w:pPr>
            <w:r>
              <w:rPr>
                <w:color w:val="003366"/>
                <w:sz w:val="20"/>
              </w:rPr>
              <w:t>Post-employment</w:t>
            </w:r>
            <w:r>
              <w:rPr>
                <w:color w:val="003366"/>
                <w:spacing w:val="-1"/>
                <w:sz w:val="20"/>
              </w:rPr>
              <w:t xml:space="preserve"> </w:t>
            </w:r>
            <w:r>
              <w:rPr>
                <w:color w:val="003366"/>
                <w:sz w:val="20"/>
              </w:rPr>
              <w:t>benefits</w:t>
            </w:r>
            <w:r>
              <w:rPr>
                <w:color w:val="003366"/>
                <w:sz w:val="20"/>
              </w:rPr>
              <w:tab/>
              <w:t>138</w:t>
            </w:r>
          </w:p>
        </w:tc>
        <w:tc>
          <w:tcPr>
            <w:tcW w:w="741" w:type="dxa"/>
          </w:tcPr>
          <w:p w:rsidR="006C17CB" w:rsidRDefault="0030091C">
            <w:pPr>
              <w:pStyle w:val="TableParagraph"/>
              <w:spacing w:line="224" w:lineRule="exact"/>
              <w:ind w:right="47"/>
              <w:rPr>
                <w:sz w:val="20"/>
              </w:rPr>
            </w:pPr>
            <w:r>
              <w:rPr>
                <w:color w:val="003366"/>
                <w:w w:val="95"/>
                <w:sz w:val="20"/>
              </w:rPr>
              <w:t>130</w:t>
            </w:r>
          </w:p>
        </w:tc>
      </w:tr>
      <w:tr w:rsidR="006C17CB">
        <w:trPr>
          <w:trHeight w:val="244"/>
        </w:trPr>
        <w:tc>
          <w:tcPr>
            <w:tcW w:w="7763" w:type="dxa"/>
          </w:tcPr>
          <w:p w:rsidR="006C17CB" w:rsidRDefault="0030091C">
            <w:pPr>
              <w:pStyle w:val="TableParagraph"/>
              <w:tabs>
                <w:tab w:val="left" w:pos="6532"/>
              </w:tabs>
              <w:spacing w:line="225" w:lineRule="exact"/>
              <w:ind w:left="52"/>
              <w:jc w:val="left"/>
              <w:rPr>
                <w:sz w:val="20"/>
              </w:rPr>
            </w:pPr>
            <w:r>
              <w:rPr>
                <w:color w:val="003366"/>
                <w:sz w:val="20"/>
              </w:rPr>
              <w:t>Other</w:t>
            </w:r>
            <w:r>
              <w:rPr>
                <w:color w:val="003366"/>
                <w:spacing w:val="-1"/>
                <w:sz w:val="20"/>
              </w:rPr>
              <w:t xml:space="preserve"> </w:t>
            </w:r>
            <w:r>
              <w:rPr>
                <w:color w:val="003366"/>
                <w:sz w:val="20"/>
              </w:rPr>
              <w:t>long-term</w:t>
            </w:r>
            <w:r>
              <w:rPr>
                <w:color w:val="003366"/>
                <w:spacing w:val="-2"/>
                <w:sz w:val="20"/>
              </w:rPr>
              <w:t xml:space="preserve"> </w:t>
            </w:r>
            <w:r>
              <w:rPr>
                <w:color w:val="003366"/>
                <w:sz w:val="20"/>
              </w:rPr>
              <w:t>benefits</w:t>
            </w:r>
            <w:r>
              <w:rPr>
                <w:color w:val="003366"/>
                <w:sz w:val="20"/>
              </w:rPr>
              <w:tab/>
            </w:r>
            <w:r>
              <w:rPr>
                <w:color w:val="003366"/>
                <w:sz w:val="20"/>
                <w:u w:val="single" w:color="003366"/>
              </w:rPr>
              <w:t>112</w:t>
            </w:r>
          </w:p>
        </w:tc>
        <w:tc>
          <w:tcPr>
            <w:tcW w:w="741" w:type="dxa"/>
          </w:tcPr>
          <w:p w:rsidR="006C17CB" w:rsidRDefault="0030091C">
            <w:pPr>
              <w:pStyle w:val="TableParagraph"/>
              <w:spacing w:line="225" w:lineRule="exact"/>
              <w:ind w:right="54"/>
              <w:rPr>
                <w:sz w:val="20"/>
              </w:rPr>
            </w:pPr>
            <w:r>
              <w:rPr>
                <w:color w:val="003366"/>
                <w:w w:val="99"/>
                <w:sz w:val="20"/>
                <w:u w:val="single" w:color="003366"/>
              </w:rPr>
              <w:t xml:space="preserve"> </w:t>
            </w:r>
            <w:r>
              <w:rPr>
                <w:color w:val="003366"/>
                <w:sz w:val="20"/>
                <w:u w:val="single" w:color="003366"/>
              </w:rPr>
              <w:t xml:space="preserve">   </w:t>
            </w:r>
            <w:r>
              <w:rPr>
                <w:color w:val="003366"/>
                <w:w w:val="95"/>
                <w:sz w:val="20"/>
                <w:u w:val="single" w:color="003366"/>
              </w:rPr>
              <w:t>22</w:t>
            </w:r>
          </w:p>
        </w:tc>
      </w:tr>
      <w:tr w:rsidR="006C17CB">
        <w:trPr>
          <w:trHeight w:val="364"/>
        </w:trPr>
        <w:tc>
          <w:tcPr>
            <w:tcW w:w="7763" w:type="dxa"/>
          </w:tcPr>
          <w:p w:rsidR="006C17CB" w:rsidRDefault="0030091C">
            <w:pPr>
              <w:pStyle w:val="TableParagraph"/>
              <w:tabs>
                <w:tab w:val="left" w:pos="6578"/>
              </w:tabs>
              <w:spacing w:line="226" w:lineRule="exact"/>
              <w:ind w:left="52"/>
              <w:jc w:val="left"/>
              <w:rPr>
                <w:b/>
                <w:sz w:val="20"/>
              </w:rPr>
            </w:pPr>
            <w:r>
              <w:rPr>
                <w:b/>
                <w:color w:val="003366"/>
                <w:sz w:val="20"/>
              </w:rPr>
              <w:t>Total Compensation to Key Management Personnel paid by</w:t>
            </w:r>
            <w:r>
              <w:rPr>
                <w:b/>
                <w:color w:val="003366"/>
                <w:spacing w:val="-18"/>
                <w:sz w:val="20"/>
              </w:rPr>
              <w:t xml:space="preserve"> </w:t>
            </w:r>
            <w:r>
              <w:rPr>
                <w:b/>
                <w:color w:val="003366"/>
                <w:sz w:val="20"/>
              </w:rPr>
              <w:t>the</w:t>
            </w:r>
            <w:r>
              <w:rPr>
                <w:b/>
                <w:color w:val="003366"/>
                <w:spacing w:val="-2"/>
                <w:sz w:val="20"/>
              </w:rPr>
              <w:t xml:space="preserve"> </w:t>
            </w:r>
            <w:r>
              <w:rPr>
                <w:b/>
                <w:color w:val="003366"/>
                <w:sz w:val="20"/>
              </w:rPr>
              <w:t>Office</w:t>
            </w:r>
            <w:r>
              <w:rPr>
                <w:b/>
                <w:color w:val="003366"/>
                <w:sz w:val="20"/>
              </w:rPr>
              <w:tab/>
            </w:r>
            <w:r>
              <w:rPr>
                <w:b/>
                <w:color w:val="003366"/>
                <w:sz w:val="20"/>
                <w:u w:val="single" w:color="003366"/>
              </w:rPr>
              <w:t>1,090</w:t>
            </w:r>
          </w:p>
        </w:tc>
        <w:tc>
          <w:tcPr>
            <w:tcW w:w="741" w:type="dxa"/>
          </w:tcPr>
          <w:p w:rsidR="006C17CB" w:rsidRDefault="0030091C">
            <w:pPr>
              <w:pStyle w:val="TableParagraph"/>
              <w:spacing w:line="226" w:lineRule="exact"/>
              <w:ind w:right="76"/>
              <w:rPr>
                <w:b/>
                <w:sz w:val="20"/>
              </w:rPr>
            </w:pPr>
            <w:r>
              <w:rPr>
                <w:b/>
                <w:color w:val="003366"/>
                <w:w w:val="95"/>
                <w:sz w:val="20"/>
                <w:u w:val="single" w:color="003366"/>
              </w:rPr>
              <w:t>1,048</w:t>
            </w:r>
          </w:p>
        </w:tc>
      </w:tr>
      <w:tr w:rsidR="006C17CB">
        <w:trPr>
          <w:trHeight w:val="342"/>
        </w:trPr>
        <w:tc>
          <w:tcPr>
            <w:tcW w:w="7763" w:type="dxa"/>
          </w:tcPr>
          <w:p w:rsidR="006C17CB" w:rsidRDefault="0030091C">
            <w:pPr>
              <w:pStyle w:val="TableParagraph"/>
              <w:tabs>
                <w:tab w:val="left" w:pos="618"/>
              </w:tabs>
              <w:spacing w:before="57" w:line="264" w:lineRule="exact"/>
              <w:ind w:left="52"/>
              <w:jc w:val="left"/>
              <w:rPr>
                <w:sz w:val="20"/>
              </w:rPr>
            </w:pPr>
            <w:r>
              <w:rPr>
                <w:color w:val="003366"/>
                <w:sz w:val="20"/>
              </w:rPr>
              <w:t>(ii)</w:t>
            </w:r>
            <w:r>
              <w:rPr>
                <w:color w:val="003366"/>
                <w:sz w:val="20"/>
              </w:rPr>
              <w:tab/>
              <w:t>Transactions with KMP of the Office (i.e. the Clerk and other staff designated as</w:t>
            </w:r>
            <w:r>
              <w:rPr>
                <w:color w:val="003366"/>
                <w:spacing w:val="-28"/>
                <w:sz w:val="20"/>
              </w:rPr>
              <w:t xml:space="preserve"> </w:t>
            </w:r>
            <w:r>
              <w:rPr>
                <w:color w:val="003366"/>
                <w:sz w:val="20"/>
              </w:rPr>
              <w:t>KMP)</w:t>
            </w:r>
          </w:p>
        </w:tc>
        <w:tc>
          <w:tcPr>
            <w:tcW w:w="741" w:type="dxa"/>
          </w:tcPr>
          <w:p w:rsidR="006C17CB" w:rsidRDefault="006C17CB">
            <w:pPr>
              <w:pStyle w:val="TableParagraph"/>
              <w:jc w:val="left"/>
              <w:rPr>
                <w:rFonts w:ascii="Times New Roman"/>
                <w:sz w:val="20"/>
              </w:rPr>
            </w:pPr>
          </w:p>
        </w:tc>
      </w:tr>
    </w:tbl>
    <w:p w:rsidR="006C17CB" w:rsidRDefault="006C17CB">
      <w:pPr>
        <w:pStyle w:val="BodyText"/>
        <w:spacing w:before="2"/>
        <w:rPr>
          <w:rFonts w:ascii="Calibri"/>
          <w:sz w:val="16"/>
        </w:rPr>
      </w:pPr>
    </w:p>
    <w:p w:rsidR="006C17CB" w:rsidRDefault="0030091C">
      <w:pPr>
        <w:spacing w:line="204" w:lineRule="auto"/>
        <w:ind w:left="829" w:right="1521"/>
        <w:jc w:val="both"/>
        <w:rPr>
          <w:rFonts w:ascii="Calibri" w:hAnsi="Calibri"/>
          <w:sz w:val="20"/>
        </w:rPr>
      </w:pPr>
      <w:r>
        <w:rPr>
          <w:rFonts w:ascii="Calibri" w:hAnsi="Calibri"/>
          <w:color w:val="003366"/>
          <w:sz w:val="20"/>
        </w:rPr>
        <w:t>The Office’s financial statements are required to contain disclosures necessary to draw attention to the possibility that its financial results may have been affected by the existence of related parties and by transactions with such parties.</w:t>
      </w:r>
    </w:p>
    <w:p w:rsidR="006C17CB" w:rsidRDefault="0030091C">
      <w:pPr>
        <w:spacing w:before="122" w:line="201" w:lineRule="auto"/>
        <w:ind w:left="829" w:right="1541"/>
        <w:rPr>
          <w:rFonts w:ascii="Calibri"/>
          <w:sz w:val="20"/>
        </w:rPr>
      </w:pPr>
      <w:r>
        <w:rPr>
          <w:rFonts w:ascii="Calibri"/>
          <w:color w:val="003366"/>
          <w:sz w:val="20"/>
        </w:rPr>
        <w:t>It</w:t>
      </w:r>
      <w:r>
        <w:rPr>
          <w:rFonts w:ascii="Calibri"/>
          <w:color w:val="003366"/>
          <w:spacing w:val="-12"/>
          <w:sz w:val="20"/>
        </w:rPr>
        <w:t xml:space="preserve"> </w:t>
      </w:r>
      <w:r>
        <w:rPr>
          <w:rFonts w:ascii="Calibri"/>
          <w:color w:val="003366"/>
          <w:sz w:val="20"/>
        </w:rPr>
        <w:t>is</w:t>
      </w:r>
      <w:r>
        <w:rPr>
          <w:rFonts w:ascii="Calibri"/>
          <w:color w:val="003366"/>
          <w:spacing w:val="-13"/>
          <w:sz w:val="20"/>
        </w:rPr>
        <w:t xml:space="preserve"> </w:t>
      </w:r>
      <w:r>
        <w:rPr>
          <w:rFonts w:ascii="Calibri"/>
          <w:color w:val="003366"/>
          <w:sz w:val="20"/>
        </w:rPr>
        <w:t>not</w:t>
      </w:r>
      <w:r>
        <w:rPr>
          <w:rFonts w:ascii="Calibri"/>
          <w:color w:val="003366"/>
          <w:spacing w:val="-12"/>
          <w:sz w:val="20"/>
        </w:rPr>
        <w:t xml:space="preserve"> </w:t>
      </w:r>
      <w:r>
        <w:rPr>
          <w:rFonts w:ascii="Calibri"/>
          <w:color w:val="003366"/>
          <w:sz w:val="20"/>
        </w:rPr>
        <w:t>the</w:t>
      </w:r>
      <w:r>
        <w:rPr>
          <w:rFonts w:ascii="Calibri"/>
          <w:color w:val="003366"/>
          <w:spacing w:val="-13"/>
          <w:sz w:val="20"/>
        </w:rPr>
        <w:t xml:space="preserve"> </w:t>
      </w:r>
      <w:r>
        <w:rPr>
          <w:rFonts w:ascii="Calibri"/>
          <w:color w:val="003366"/>
          <w:sz w:val="20"/>
        </w:rPr>
        <w:t>role</w:t>
      </w:r>
      <w:r>
        <w:rPr>
          <w:rFonts w:ascii="Calibri"/>
          <w:color w:val="003366"/>
          <w:spacing w:val="-13"/>
          <w:sz w:val="20"/>
        </w:rPr>
        <w:t xml:space="preserve"> </w:t>
      </w:r>
      <w:r>
        <w:rPr>
          <w:rFonts w:ascii="Calibri"/>
          <w:color w:val="003366"/>
          <w:sz w:val="20"/>
        </w:rPr>
        <w:t>of</w:t>
      </w:r>
      <w:r>
        <w:rPr>
          <w:rFonts w:ascii="Calibri"/>
          <w:color w:val="003366"/>
          <w:spacing w:val="-13"/>
          <w:sz w:val="20"/>
        </w:rPr>
        <w:t xml:space="preserve"> </w:t>
      </w:r>
      <w:r>
        <w:rPr>
          <w:rFonts w:ascii="Calibri"/>
          <w:color w:val="003366"/>
          <w:sz w:val="20"/>
        </w:rPr>
        <w:t>these</w:t>
      </w:r>
      <w:r>
        <w:rPr>
          <w:rFonts w:ascii="Calibri"/>
          <w:color w:val="003366"/>
          <w:spacing w:val="-13"/>
          <w:sz w:val="20"/>
        </w:rPr>
        <w:t xml:space="preserve"> </w:t>
      </w:r>
      <w:r>
        <w:rPr>
          <w:rFonts w:ascii="Calibri"/>
          <w:color w:val="003366"/>
          <w:sz w:val="20"/>
        </w:rPr>
        <w:t>disclosures</w:t>
      </w:r>
      <w:r>
        <w:rPr>
          <w:rFonts w:ascii="Calibri"/>
          <w:color w:val="003366"/>
          <w:spacing w:val="-13"/>
          <w:sz w:val="20"/>
        </w:rPr>
        <w:t xml:space="preserve"> </w:t>
      </w:r>
      <w:r>
        <w:rPr>
          <w:rFonts w:ascii="Calibri"/>
          <w:color w:val="003366"/>
          <w:sz w:val="20"/>
        </w:rPr>
        <w:t>to</w:t>
      </w:r>
      <w:r>
        <w:rPr>
          <w:rFonts w:ascii="Calibri"/>
          <w:color w:val="003366"/>
          <w:spacing w:val="-12"/>
          <w:sz w:val="20"/>
        </w:rPr>
        <w:t xml:space="preserve"> </w:t>
      </w:r>
      <w:r>
        <w:rPr>
          <w:rFonts w:ascii="Calibri"/>
          <w:color w:val="003366"/>
          <w:sz w:val="20"/>
        </w:rPr>
        <w:t>disclose</w:t>
      </w:r>
      <w:r>
        <w:rPr>
          <w:rFonts w:ascii="Calibri"/>
          <w:color w:val="003366"/>
          <w:spacing w:val="-13"/>
          <w:sz w:val="20"/>
        </w:rPr>
        <w:t xml:space="preserve"> </w:t>
      </w:r>
      <w:r>
        <w:rPr>
          <w:rFonts w:ascii="Calibri"/>
          <w:color w:val="003366"/>
          <w:sz w:val="20"/>
        </w:rPr>
        <w:t>conflicts</w:t>
      </w:r>
      <w:r>
        <w:rPr>
          <w:rFonts w:ascii="Calibri"/>
          <w:color w:val="003366"/>
          <w:spacing w:val="-13"/>
          <w:sz w:val="20"/>
        </w:rPr>
        <w:t xml:space="preserve"> </w:t>
      </w:r>
      <w:r>
        <w:rPr>
          <w:rFonts w:ascii="Calibri"/>
          <w:color w:val="003366"/>
          <w:sz w:val="20"/>
        </w:rPr>
        <w:t>of</w:t>
      </w:r>
      <w:r>
        <w:rPr>
          <w:rFonts w:ascii="Calibri"/>
          <w:color w:val="003366"/>
          <w:spacing w:val="-13"/>
          <w:sz w:val="20"/>
        </w:rPr>
        <w:t xml:space="preserve"> </w:t>
      </w:r>
      <w:r>
        <w:rPr>
          <w:rFonts w:ascii="Calibri"/>
          <w:color w:val="003366"/>
          <w:sz w:val="20"/>
        </w:rPr>
        <w:t>interest</w:t>
      </w:r>
      <w:r>
        <w:rPr>
          <w:rFonts w:ascii="Calibri"/>
          <w:color w:val="003366"/>
          <w:spacing w:val="-12"/>
          <w:sz w:val="20"/>
        </w:rPr>
        <w:t xml:space="preserve"> </w:t>
      </w:r>
      <w:r>
        <w:rPr>
          <w:rFonts w:ascii="Calibri"/>
          <w:color w:val="003366"/>
          <w:sz w:val="20"/>
        </w:rPr>
        <w:t>of</w:t>
      </w:r>
      <w:r>
        <w:rPr>
          <w:rFonts w:ascii="Calibri"/>
          <w:color w:val="003366"/>
          <w:spacing w:val="-13"/>
          <w:sz w:val="20"/>
        </w:rPr>
        <w:t xml:space="preserve"> </w:t>
      </w:r>
      <w:r>
        <w:rPr>
          <w:rFonts w:ascii="Calibri"/>
          <w:color w:val="003366"/>
          <w:sz w:val="20"/>
        </w:rPr>
        <w:t>KMP.</w:t>
      </w:r>
      <w:r>
        <w:rPr>
          <w:rFonts w:ascii="Calibri"/>
          <w:color w:val="003366"/>
          <w:spacing w:val="-13"/>
          <w:sz w:val="20"/>
        </w:rPr>
        <w:t xml:space="preserve"> </w:t>
      </w:r>
      <w:r>
        <w:rPr>
          <w:rFonts w:ascii="Calibri"/>
          <w:color w:val="003366"/>
          <w:sz w:val="20"/>
        </w:rPr>
        <w:t>Any</w:t>
      </w:r>
      <w:r>
        <w:rPr>
          <w:rFonts w:ascii="Calibri"/>
          <w:color w:val="003366"/>
          <w:spacing w:val="-12"/>
          <w:sz w:val="20"/>
        </w:rPr>
        <w:t xml:space="preserve"> </w:t>
      </w:r>
      <w:r>
        <w:rPr>
          <w:rFonts w:ascii="Calibri"/>
          <w:color w:val="003366"/>
          <w:sz w:val="20"/>
        </w:rPr>
        <w:t>such</w:t>
      </w:r>
      <w:r>
        <w:rPr>
          <w:rFonts w:ascii="Calibri"/>
          <w:color w:val="003366"/>
          <w:spacing w:val="-12"/>
          <w:sz w:val="20"/>
        </w:rPr>
        <w:t xml:space="preserve"> </w:t>
      </w:r>
      <w:r>
        <w:rPr>
          <w:rFonts w:ascii="Calibri"/>
          <w:color w:val="003366"/>
          <w:sz w:val="20"/>
        </w:rPr>
        <w:t>conflicts</w:t>
      </w:r>
      <w:r>
        <w:rPr>
          <w:rFonts w:ascii="Calibri"/>
          <w:color w:val="003366"/>
          <w:spacing w:val="-13"/>
          <w:sz w:val="20"/>
        </w:rPr>
        <w:t xml:space="preserve"> </w:t>
      </w:r>
      <w:r>
        <w:rPr>
          <w:rFonts w:ascii="Calibri"/>
          <w:color w:val="003366"/>
          <w:sz w:val="20"/>
        </w:rPr>
        <w:t>are</w:t>
      </w:r>
      <w:r>
        <w:rPr>
          <w:rFonts w:ascii="Calibri"/>
          <w:color w:val="003366"/>
          <w:spacing w:val="-11"/>
          <w:sz w:val="20"/>
        </w:rPr>
        <w:t xml:space="preserve"> </w:t>
      </w:r>
      <w:r>
        <w:rPr>
          <w:rFonts w:ascii="Calibri"/>
          <w:color w:val="003366"/>
          <w:sz w:val="20"/>
        </w:rPr>
        <w:t>managed in accordance with administrative</w:t>
      </w:r>
      <w:r>
        <w:rPr>
          <w:rFonts w:ascii="Calibri"/>
          <w:color w:val="003366"/>
          <w:spacing w:val="-2"/>
          <w:sz w:val="20"/>
        </w:rPr>
        <w:t xml:space="preserve"> </w:t>
      </w:r>
      <w:r>
        <w:rPr>
          <w:rFonts w:ascii="Calibri"/>
          <w:color w:val="003366"/>
          <w:sz w:val="20"/>
        </w:rPr>
        <w:t>procedures.</w:t>
      </w:r>
    </w:p>
    <w:p w:rsidR="006C17CB" w:rsidRDefault="0030091C">
      <w:pPr>
        <w:spacing w:before="120" w:line="204" w:lineRule="auto"/>
        <w:ind w:left="829" w:right="1412"/>
        <w:rPr>
          <w:rFonts w:ascii="Calibri"/>
          <w:sz w:val="20"/>
        </w:rPr>
      </w:pPr>
      <w:r>
        <w:rPr>
          <w:rFonts w:ascii="Calibri"/>
          <w:color w:val="003366"/>
          <w:sz w:val="20"/>
        </w:rPr>
        <w:t>In line with the accounting standards, this note does not include typical citizen transactions between the KMP</w:t>
      </w:r>
      <w:r>
        <w:rPr>
          <w:rFonts w:ascii="Calibri"/>
          <w:color w:val="003366"/>
          <w:spacing w:val="-11"/>
          <w:sz w:val="20"/>
        </w:rPr>
        <w:t xml:space="preserve"> </w:t>
      </w:r>
      <w:r>
        <w:rPr>
          <w:rFonts w:ascii="Calibri"/>
          <w:color w:val="003366"/>
          <w:sz w:val="20"/>
        </w:rPr>
        <w:t>and</w:t>
      </w:r>
      <w:r>
        <w:rPr>
          <w:rFonts w:ascii="Calibri"/>
          <w:color w:val="003366"/>
          <w:spacing w:val="-10"/>
          <w:sz w:val="20"/>
        </w:rPr>
        <w:t xml:space="preserve"> </w:t>
      </w:r>
      <w:r>
        <w:rPr>
          <w:rFonts w:ascii="Calibri"/>
          <w:color w:val="003366"/>
          <w:sz w:val="20"/>
        </w:rPr>
        <w:t>the</w:t>
      </w:r>
      <w:r>
        <w:rPr>
          <w:rFonts w:ascii="Calibri"/>
          <w:color w:val="003366"/>
          <w:spacing w:val="-11"/>
          <w:sz w:val="20"/>
        </w:rPr>
        <w:t xml:space="preserve"> </w:t>
      </w:r>
      <w:r>
        <w:rPr>
          <w:rFonts w:ascii="Calibri"/>
          <w:color w:val="003366"/>
          <w:sz w:val="20"/>
        </w:rPr>
        <w:t>Office</w:t>
      </w:r>
      <w:r>
        <w:rPr>
          <w:rFonts w:ascii="Calibri"/>
          <w:color w:val="003366"/>
          <w:spacing w:val="-11"/>
          <w:sz w:val="20"/>
        </w:rPr>
        <w:t xml:space="preserve"> </w:t>
      </w:r>
      <w:r>
        <w:rPr>
          <w:rFonts w:ascii="Calibri"/>
          <w:color w:val="003366"/>
          <w:sz w:val="20"/>
        </w:rPr>
        <w:t>that</w:t>
      </w:r>
      <w:r>
        <w:rPr>
          <w:rFonts w:ascii="Calibri"/>
          <w:color w:val="003366"/>
          <w:spacing w:val="-11"/>
          <w:sz w:val="20"/>
        </w:rPr>
        <w:t xml:space="preserve"> </w:t>
      </w:r>
      <w:r>
        <w:rPr>
          <w:rFonts w:ascii="Calibri"/>
          <w:color w:val="003366"/>
          <w:sz w:val="20"/>
        </w:rPr>
        <w:t>occur</w:t>
      </w:r>
      <w:r>
        <w:rPr>
          <w:rFonts w:ascii="Calibri"/>
          <w:color w:val="003366"/>
          <w:spacing w:val="-11"/>
          <w:sz w:val="20"/>
        </w:rPr>
        <w:t xml:space="preserve"> </w:t>
      </w:r>
      <w:r>
        <w:rPr>
          <w:rFonts w:ascii="Calibri"/>
          <w:color w:val="003366"/>
          <w:sz w:val="20"/>
        </w:rPr>
        <w:t>on</w:t>
      </w:r>
      <w:r>
        <w:rPr>
          <w:rFonts w:ascii="Calibri"/>
          <w:color w:val="003366"/>
          <w:spacing w:val="-10"/>
          <w:sz w:val="20"/>
        </w:rPr>
        <w:t xml:space="preserve"> </w:t>
      </w:r>
      <w:r>
        <w:rPr>
          <w:rFonts w:ascii="Calibri"/>
          <w:color w:val="003366"/>
          <w:sz w:val="20"/>
        </w:rPr>
        <w:t>terms</w:t>
      </w:r>
      <w:r>
        <w:rPr>
          <w:rFonts w:ascii="Calibri"/>
          <w:color w:val="003366"/>
          <w:spacing w:val="-11"/>
          <w:sz w:val="20"/>
        </w:rPr>
        <w:t xml:space="preserve"> </w:t>
      </w:r>
      <w:r>
        <w:rPr>
          <w:rFonts w:ascii="Calibri"/>
          <w:color w:val="003366"/>
          <w:sz w:val="20"/>
        </w:rPr>
        <w:t>and</w:t>
      </w:r>
      <w:r>
        <w:rPr>
          <w:rFonts w:ascii="Calibri"/>
          <w:color w:val="003366"/>
          <w:spacing w:val="-10"/>
          <w:sz w:val="20"/>
        </w:rPr>
        <w:t xml:space="preserve"> </w:t>
      </w:r>
      <w:r>
        <w:rPr>
          <w:rFonts w:ascii="Calibri"/>
          <w:color w:val="003366"/>
          <w:sz w:val="20"/>
        </w:rPr>
        <w:t>conditions</w:t>
      </w:r>
      <w:r>
        <w:rPr>
          <w:rFonts w:ascii="Calibri"/>
          <w:color w:val="003366"/>
          <w:spacing w:val="-11"/>
          <w:sz w:val="20"/>
        </w:rPr>
        <w:t xml:space="preserve"> </w:t>
      </w:r>
      <w:r>
        <w:rPr>
          <w:rFonts w:ascii="Calibri"/>
          <w:color w:val="003366"/>
          <w:sz w:val="20"/>
        </w:rPr>
        <w:t>no</w:t>
      </w:r>
      <w:r>
        <w:rPr>
          <w:rFonts w:ascii="Calibri"/>
          <w:color w:val="003366"/>
          <w:spacing w:val="-11"/>
          <w:sz w:val="20"/>
        </w:rPr>
        <w:t xml:space="preserve"> </w:t>
      </w:r>
      <w:r>
        <w:rPr>
          <w:rFonts w:ascii="Calibri"/>
          <w:color w:val="003366"/>
          <w:sz w:val="20"/>
        </w:rPr>
        <w:t>different</w:t>
      </w:r>
      <w:r>
        <w:rPr>
          <w:rFonts w:ascii="Calibri"/>
          <w:color w:val="003366"/>
          <w:spacing w:val="-11"/>
          <w:sz w:val="20"/>
        </w:rPr>
        <w:t xml:space="preserve"> </w:t>
      </w:r>
      <w:r>
        <w:rPr>
          <w:rFonts w:ascii="Calibri"/>
          <w:color w:val="003366"/>
          <w:sz w:val="20"/>
        </w:rPr>
        <w:t>to</w:t>
      </w:r>
      <w:r>
        <w:rPr>
          <w:rFonts w:ascii="Calibri"/>
          <w:color w:val="003366"/>
          <w:spacing w:val="-11"/>
          <w:sz w:val="20"/>
        </w:rPr>
        <w:t xml:space="preserve"> </w:t>
      </w:r>
      <w:r>
        <w:rPr>
          <w:rFonts w:ascii="Calibri"/>
          <w:color w:val="003366"/>
          <w:sz w:val="20"/>
        </w:rPr>
        <w:t>those</w:t>
      </w:r>
      <w:r>
        <w:rPr>
          <w:rFonts w:ascii="Calibri"/>
          <w:color w:val="003366"/>
          <w:spacing w:val="-11"/>
          <w:sz w:val="20"/>
        </w:rPr>
        <w:t xml:space="preserve"> </w:t>
      </w:r>
      <w:r>
        <w:rPr>
          <w:rFonts w:ascii="Calibri"/>
          <w:color w:val="003366"/>
          <w:sz w:val="20"/>
        </w:rPr>
        <w:t>applying</w:t>
      </w:r>
      <w:r>
        <w:rPr>
          <w:rFonts w:ascii="Calibri"/>
          <w:color w:val="003366"/>
          <w:spacing w:val="-11"/>
          <w:sz w:val="20"/>
        </w:rPr>
        <w:t xml:space="preserve"> </w:t>
      </w:r>
      <w:r>
        <w:rPr>
          <w:rFonts w:ascii="Calibri"/>
          <w:color w:val="003366"/>
          <w:sz w:val="20"/>
        </w:rPr>
        <w:t>to</w:t>
      </w:r>
      <w:r>
        <w:rPr>
          <w:rFonts w:ascii="Calibri"/>
          <w:color w:val="003366"/>
          <w:spacing w:val="-11"/>
          <w:sz w:val="20"/>
        </w:rPr>
        <w:t xml:space="preserve"> </w:t>
      </w:r>
      <w:r>
        <w:rPr>
          <w:rFonts w:ascii="Calibri"/>
          <w:color w:val="003366"/>
          <w:sz w:val="20"/>
        </w:rPr>
        <w:t>the</w:t>
      </w:r>
      <w:r>
        <w:rPr>
          <w:rFonts w:ascii="Calibri"/>
          <w:color w:val="003366"/>
          <w:spacing w:val="-14"/>
          <w:sz w:val="20"/>
        </w:rPr>
        <w:t xml:space="preserve"> </w:t>
      </w:r>
      <w:r>
        <w:rPr>
          <w:rFonts w:ascii="Calibri"/>
          <w:color w:val="003366"/>
          <w:sz w:val="20"/>
        </w:rPr>
        <w:t>general</w:t>
      </w:r>
      <w:r>
        <w:rPr>
          <w:rFonts w:ascii="Calibri"/>
          <w:color w:val="003366"/>
          <w:spacing w:val="-11"/>
          <w:sz w:val="20"/>
        </w:rPr>
        <w:t xml:space="preserve"> </w:t>
      </w:r>
      <w:r>
        <w:rPr>
          <w:rFonts w:ascii="Calibri"/>
          <w:color w:val="003366"/>
          <w:sz w:val="20"/>
        </w:rPr>
        <w:t>public.</w:t>
      </w:r>
    </w:p>
    <w:p w:rsidR="006C17CB" w:rsidRDefault="0030091C">
      <w:pPr>
        <w:spacing w:before="118" w:line="204" w:lineRule="auto"/>
        <w:ind w:left="829" w:right="1520"/>
        <w:jc w:val="both"/>
        <w:rPr>
          <w:rFonts w:ascii="Calibri" w:hAnsi="Calibri"/>
          <w:sz w:val="20"/>
        </w:rPr>
      </w:pPr>
      <w:r>
        <w:rPr>
          <w:rFonts w:ascii="Calibri" w:hAnsi="Calibri"/>
          <w:color w:val="003366"/>
          <w:sz w:val="20"/>
        </w:rPr>
        <w:t xml:space="preserve">Information was sought from the Office’s KMP on any related party transactions during the financial year. In accordance with the </w:t>
      </w:r>
      <w:r>
        <w:rPr>
          <w:rFonts w:ascii="Calibri" w:hAnsi="Calibri"/>
          <w:i/>
          <w:color w:val="003366"/>
          <w:sz w:val="20"/>
        </w:rPr>
        <w:t xml:space="preserve">Information Privacy Act 2014 </w:t>
      </w:r>
      <w:r>
        <w:rPr>
          <w:rFonts w:ascii="Calibri" w:hAnsi="Calibri"/>
          <w:color w:val="003366"/>
          <w:sz w:val="20"/>
        </w:rPr>
        <w:t xml:space="preserve">and the </w:t>
      </w:r>
      <w:r>
        <w:rPr>
          <w:rFonts w:ascii="Calibri" w:hAnsi="Calibri"/>
          <w:i/>
          <w:color w:val="003366"/>
          <w:sz w:val="20"/>
        </w:rPr>
        <w:t>Human Rights Act 2004</w:t>
      </w:r>
      <w:r>
        <w:rPr>
          <w:rFonts w:ascii="Calibri" w:hAnsi="Calibri"/>
          <w:color w:val="003366"/>
          <w:sz w:val="20"/>
        </w:rPr>
        <w:t>, the provision of related party transactions information is on a voluntary basis.</w:t>
      </w:r>
    </w:p>
    <w:p w:rsidR="006C17CB" w:rsidRDefault="0030091C">
      <w:pPr>
        <w:spacing w:before="84"/>
        <w:ind w:left="829"/>
        <w:rPr>
          <w:rFonts w:ascii="Calibri"/>
          <w:sz w:val="20"/>
        </w:rPr>
      </w:pPr>
      <w:r>
        <w:rPr>
          <w:rFonts w:ascii="Calibri"/>
          <w:color w:val="003366"/>
          <w:sz w:val="20"/>
        </w:rPr>
        <w:t>There were no material transactions with the KMP of the Office other than compensation provided above.</w:t>
      </w:r>
    </w:p>
    <w:p w:rsidR="006C17CB" w:rsidRDefault="006C17CB">
      <w:pPr>
        <w:pStyle w:val="BodyText"/>
        <w:spacing w:before="13"/>
        <w:rPr>
          <w:rFonts w:ascii="Calibri"/>
          <w:sz w:val="15"/>
        </w:rPr>
      </w:pPr>
    </w:p>
    <w:p w:rsidR="006C17CB" w:rsidRDefault="0030091C">
      <w:pPr>
        <w:tabs>
          <w:tab w:val="left" w:pos="1395"/>
        </w:tabs>
        <w:spacing w:line="204" w:lineRule="auto"/>
        <w:ind w:left="829" w:right="1541"/>
        <w:rPr>
          <w:rFonts w:ascii="Calibri" w:hAnsi="Calibri"/>
          <w:sz w:val="20"/>
        </w:rPr>
      </w:pPr>
      <w:r>
        <w:rPr>
          <w:rFonts w:ascii="Calibri" w:hAnsi="Calibri"/>
          <w:color w:val="003366"/>
          <w:sz w:val="20"/>
        </w:rPr>
        <w:t>(iii)</w:t>
      </w:r>
      <w:r>
        <w:rPr>
          <w:rFonts w:ascii="Calibri" w:hAnsi="Calibri"/>
          <w:color w:val="003366"/>
          <w:sz w:val="20"/>
        </w:rPr>
        <w:tab/>
        <w:t>Transactions with other related parties - KMP’s close family members and organisations in which the KMP and/or their close family members have controlling interests (individually or</w:t>
      </w:r>
      <w:r>
        <w:rPr>
          <w:rFonts w:ascii="Calibri" w:hAnsi="Calibri"/>
          <w:color w:val="003366"/>
          <w:spacing w:val="-19"/>
          <w:sz w:val="20"/>
        </w:rPr>
        <w:t xml:space="preserve"> </w:t>
      </w:r>
      <w:r>
        <w:rPr>
          <w:rFonts w:ascii="Calibri" w:hAnsi="Calibri"/>
          <w:color w:val="003366"/>
          <w:sz w:val="20"/>
        </w:rPr>
        <w:t>jointly)</w:t>
      </w:r>
    </w:p>
    <w:p w:rsidR="006C17CB" w:rsidRDefault="006C17CB">
      <w:pPr>
        <w:pStyle w:val="BodyText"/>
        <w:spacing w:before="9"/>
        <w:rPr>
          <w:rFonts w:ascii="Calibri"/>
          <w:sz w:val="16"/>
        </w:rPr>
      </w:pPr>
    </w:p>
    <w:p w:rsidR="006C17CB" w:rsidRDefault="0030091C">
      <w:pPr>
        <w:spacing w:line="204" w:lineRule="auto"/>
        <w:ind w:left="829" w:right="1412"/>
        <w:rPr>
          <w:rFonts w:ascii="Calibri" w:hAnsi="Calibri"/>
          <w:sz w:val="20"/>
        </w:rPr>
      </w:pPr>
      <w:r>
        <w:rPr>
          <w:rFonts w:ascii="Calibri" w:hAnsi="Calibri"/>
          <w:color w:val="003366"/>
          <w:sz w:val="20"/>
        </w:rPr>
        <w:t>There were no transactions that occurred with KMP’s close family members and/or related entities that were material in relation to the Office’s financial statements.</w:t>
      </w:r>
    </w:p>
    <w:p w:rsidR="006C17CB" w:rsidRDefault="006C17CB">
      <w:pPr>
        <w:pStyle w:val="BodyText"/>
        <w:spacing w:before="1"/>
        <w:rPr>
          <w:rFonts w:ascii="Calibri"/>
          <w:sz w:val="17"/>
        </w:rPr>
      </w:pPr>
    </w:p>
    <w:p w:rsidR="006C17CB" w:rsidRDefault="0030091C">
      <w:pPr>
        <w:pStyle w:val="ListParagraph"/>
        <w:numPr>
          <w:ilvl w:val="0"/>
          <w:numId w:val="5"/>
        </w:numPr>
        <w:tabs>
          <w:tab w:val="left" w:pos="1396"/>
          <w:tab w:val="left" w:pos="1397"/>
        </w:tabs>
        <w:spacing w:line="240" w:lineRule="auto"/>
        <w:ind w:left="1396"/>
        <w:rPr>
          <w:rFonts w:ascii="Calibri-BoldItalic"/>
          <w:b/>
          <w:i/>
          <w:sz w:val="20"/>
        </w:rPr>
      </w:pPr>
      <w:r>
        <w:rPr>
          <w:rFonts w:ascii="Calibri-BoldItalic"/>
          <w:b/>
          <w:i/>
          <w:color w:val="003366"/>
          <w:sz w:val="20"/>
        </w:rPr>
        <w:t>Transactions with ACT Government Controlled</w:t>
      </w:r>
      <w:r>
        <w:rPr>
          <w:rFonts w:ascii="Calibri-BoldItalic"/>
          <w:b/>
          <w:i/>
          <w:color w:val="003366"/>
          <w:spacing w:val="-1"/>
          <w:sz w:val="20"/>
        </w:rPr>
        <w:t xml:space="preserve"> </w:t>
      </w:r>
      <w:r>
        <w:rPr>
          <w:rFonts w:ascii="Calibri-BoldItalic"/>
          <w:b/>
          <w:i/>
          <w:color w:val="003366"/>
          <w:sz w:val="20"/>
        </w:rPr>
        <w:t>Entities</w:t>
      </w:r>
    </w:p>
    <w:p w:rsidR="006C17CB" w:rsidRDefault="006C17CB">
      <w:pPr>
        <w:pStyle w:val="BodyText"/>
        <w:spacing w:before="12"/>
        <w:rPr>
          <w:rFonts w:ascii="Calibri-BoldItalic"/>
          <w:b/>
          <w:i/>
          <w:sz w:val="18"/>
        </w:rPr>
      </w:pPr>
    </w:p>
    <w:p w:rsidR="006C17CB" w:rsidRDefault="0030091C">
      <w:pPr>
        <w:spacing w:line="204" w:lineRule="auto"/>
        <w:ind w:left="829" w:right="1541"/>
        <w:rPr>
          <w:rFonts w:ascii="Calibri"/>
          <w:sz w:val="20"/>
        </w:rPr>
      </w:pPr>
      <w:r>
        <w:rPr>
          <w:rFonts w:ascii="Calibri"/>
          <w:color w:val="17365D"/>
          <w:sz w:val="20"/>
        </w:rPr>
        <w:t>Aggregate details of transactions with ACT Government agencies are found in various notes throughout the controlled and territorial financial statements.</w:t>
      </w:r>
    </w:p>
    <w:p w:rsidR="006C17CB" w:rsidRDefault="006C17CB">
      <w:pPr>
        <w:spacing w:line="204" w:lineRule="auto"/>
        <w:rPr>
          <w:rFonts w:ascii="Calibri"/>
          <w:sz w:val="20"/>
        </w:rPr>
        <w:sectPr w:rsidR="006C17CB">
          <w:pgSz w:w="11910" w:h="16840"/>
          <w:pgMar w:top="2120" w:right="0" w:bottom="740" w:left="980" w:header="1173" w:footer="551" w:gutter="0"/>
          <w:cols w:space="720"/>
        </w:sect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rPr>
          <w:rFonts w:ascii="Calibri"/>
          <w:sz w:val="20"/>
        </w:rPr>
      </w:pPr>
    </w:p>
    <w:p w:rsidR="006C17CB" w:rsidRDefault="006C17CB">
      <w:pPr>
        <w:pStyle w:val="BodyText"/>
        <w:spacing w:before="10"/>
        <w:rPr>
          <w:rFonts w:ascii="Calibri"/>
          <w:sz w:val="25"/>
        </w:rPr>
      </w:pPr>
    </w:p>
    <w:p w:rsidR="006C17CB" w:rsidRDefault="0030091C">
      <w:pPr>
        <w:pStyle w:val="Heading1"/>
        <w:spacing w:line="589" w:lineRule="exact"/>
        <w:ind w:right="1266"/>
      </w:pPr>
      <w:r>
        <w:rPr>
          <w:color w:val="003366"/>
        </w:rPr>
        <w:t>OFFICE OF THE LEGISLATIVE ASSEMBLY</w:t>
      </w:r>
    </w:p>
    <w:p w:rsidR="006C17CB" w:rsidRDefault="006C17CB">
      <w:pPr>
        <w:pStyle w:val="BodyText"/>
        <w:rPr>
          <w:rFonts w:ascii="Calibri"/>
          <w:b/>
          <w:sz w:val="48"/>
        </w:rPr>
      </w:pPr>
    </w:p>
    <w:p w:rsidR="006C17CB" w:rsidRDefault="006C17CB">
      <w:pPr>
        <w:pStyle w:val="BodyText"/>
        <w:rPr>
          <w:rFonts w:ascii="Calibri"/>
          <w:b/>
          <w:sz w:val="48"/>
        </w:rPr>
      </w:pPr>
    </w:p>
    <w:p w:rsidR="006C17CB" w:rsidRDefault="006C17CB">
      <w:pPr>
        <w:pStyle w:val="BodyText"/>
        <w:rPr>
          <w:rFonts w:ascii="Calibri"/>
          <w:b/>
          <w:sz w:val="48"/>
        </w:rPr>
      </w:pPr>
    </w:p>
    <w:p w:rsidR="006C17CB" w:rsidRDefault="0030091C">
      <w:pPr>
        <w:spacing w:before="350"/>
        <w:ind w:left="968" w:right="1269"/>
        <w:jc w:val="center"/>
        <w:rPr>
          <w:rFonts w:ascii="Calibri"/>
          <w:b/>
          <w:sz w:val="48"/>
        </w:rPr>
      </w:pPr>
      <w:r>
        <w:rPr>
          <w:rFonts w:ascii="Calibri"/>
          <w:b/>
          <w:color w:val="003366"/>
          <w:sz w:val="48"/>
        </w:rPr>
        <w:t>TERRITORIAL FINANCIAL STATEMENTS</w:t>
      </w:r>
    </w:p>
    <w:p w:rsidR="006C17CB" w:rsidRDefault="006C17CB">
      <w:pPr>
        <w:pStyle w:val="BodyText"/>
        <w:rPr>
          <w:rFonts w:ascii="Calibri"/>
          <w:b/>
          <w:sz w:val="48"/>
        </w:rPr>
      </w:pPr>
    </w:p>
    <w:p w:rsidR="006C17CB" w:rsidRDefault="006C17CB">
      <w:pPr>
        <w:pStyle w:val="BodyText"/>
        <w:rPr>
          <w:rFonts w:ascii="Calibri"/>
          <w:b/>
          <w:sz w:val="48"/>
        </w:rPr>
      </w:pPr>
    </w:p>
    <w:p w:rsidR="006C17CB" w:rsidRDefault="006C17CB">
      <w:pPr>
        <w:pStyle w:val="BodyText"/>
        <w:rPr>
          <w:rFonts w:ascii="Calibri"/>
          <w:b/>
          <w:sz w:val="48"/>
        </w:rPr>
      </w:pPr>
    </w:p>
    <w:p w:rsidR="006C17CB" w:rsidRDefault="006C17CB">
      <w:pPr>
        <w:pStyle w:val="BodyText"/>
        <w:spacing w:before="4"/>
        <w:rPr>
          <w:rFonts w:ascii="Calibri"/>
          <w:b/>
          <w:sz w:val="32"/>
        </w:rPr>
      </w:pPr>
    </w:p>
    <w:p w:rsidR="006C17CB" w:rsidRDefault="0030091C">
      <w:pPr>
        <w:pStyle w:val="Heading2"/>
        <w:ind w:left="968" w:right="1268"/>
        <w:jc w:val="center"/>
      </w:pPr>
      <w:r>
        <w:rPr>
          <w:color w:val="003366"/>
        </w:rPr>
        <w:t>FOR THE YEAR ENDED 30 JUNE 2018</w:t>
      </w:r>
    </w:p>
    <w:p w:rsidR="006C17CB" w:rsidRDefault="006C17CB">
      <w:pPr>
        <w:jc w:val="center"/>
        <w:sectPr w:rsidR="006C17CB">
          <w:headerReference w:type="even" r:id="rId173"/>
          <w:footerReference w:type="even" r:id="rId174"/>
          <w:footerReference w:type="default" r:id="rId175"/>
          <w:pgSz w:w="11910" w:h="16840"/>
          <w:pgMar w:top="1580" w:right="0" w:bottom="720" w:left="980" w:header="0" w:footer="523" w:gutter="0"/>
          <w:pgNumType w:start="132"/>
          <w:cols w:space="720"/>
        </w:sectPr>
      </w:pPr>
    </w:p>
    <w:p w:rsidR="006C17CB" w:rsidRDefault="0030091C">
      <w:pPr>
        <w:pStyle w:val="Heading5"/>
        <w:spacing w:before="11" w:line="201" w:lineRule="auto"/>
        <w:ind w:left="3222" w:right="2243" w:hanging="1656"/>
      </w:pPr>
      <w:r>
        <w:rPr>
          <w:color w:val="003366"/>
        </w:rPr>
        <w:t>Statement of Income and Expenses on Behalf of the Territory For the Year Ended 30 June 2018</w:t>
      </w:r>
    </w:p>
    <w:p w:rsidR="006C17CB" w:rsidRDefault="006C17CB">
      <w:pPr>
        <w:pStyle w:val="BodyText"/>
        <w:spacing w:before="7"/>
        <w:rPr>
          <w:rFonts w:ascii="Calibri"/>
          <w:b/>
          <w:sz w:val="20"/>
        </w:rPr>
      </w:pPr>
    </w:p>
    <w:tbl>
      <w:tblPr>
        <w:tblW w:w="0" w:type="auto"/>
        <w:tblInd w:w="779" w:type="dxa"/>
        <w:tblLayout w:type="fixed"/>
        <w:tblCellMar>
          <w:left w:w="0" w:type="dxa"/>
          <w:right w:w="0" w:type="dxa"/>
        </w:tblCellMar>
        <w:tblLook w:val="01E0" w:firstRow="1" w:lastRow="1" w:firstColumn="1" w:lastColumn="1" w:noHBand="0" w:noVBand="0"/>
      </w:tblPr>
      <w:tblGrid>
        <w:gridCol w:w="4371"/>
        <w:gridCol w:w="851"/>
        <w:gridCol w:w="3509"/>
      </w:tblGrid>
      <w:tr w:rsidR="006C17CB">
        <w:trPr>
          <w:trHeight w:val="464"/>
        </w:trPr>
        <w:tc>
          <w:tcPr>
            <w:tcW w:w="4371" w:type="dxa"/>
            <w:vMerge w:val="restart"/>
          </w:tcPr>
          <w:p w:rsidR="006C17CB" w:rsidRDefault="006C17CB">
            <w:pPr>
              <w:pStyle w:val="TableParagraph"/>
              <w:jc w:val="left"/>
              <w:rPr>
                <w:rFonts w:ascii="Times New Roman"/>
                <w:sz w:val="20"/>
              </w:rPr>
            </w:pPr>
          </w:p>
        </w:tc>
        <w:tc>
          <w:tcPr>
            <w:tcW w:w="851" w:type="dxa"/>
          </w:tcPr>
          <w:p w:rsidR="006C17CB" w:rsidRDefault="006C17CB">
            <w:pPr>
              <w:pStyle w:val="TableParagraph"/>
              <w:jc w:val="left"/>
              <w:rPr>
                <w:rFonts w:ascii="Times New Roman"/>
                <w:sz w:val="20"/>
              </w:rPr>
            </w:pPr>
          </w:p>
        </w:tc>
        <w:tc>
          <w:tcPr>
            <w:tcW w:w="3509" w:type="dxa"/>
          </w:tcPr>
          <w:p w:rsidR="006C17CB" w:rsidRDefault="0030091C">
            <w:pPr>
              <w:pStyle w:val="TableParagraph"/>
              <w:spacing w:line="180" w:lineRule="exact"/>
              <w:ind w:left="418"/>
              <w:jc w:val="center"/>
              <w:rPr>
                <w:b/>
                <w:sz w:val="20"/>
              </w:rPr>
            </w:pPr>
            <w:r>
              <w:rPr>
                <w:b/>
                <w:color w:val="003366"/>
                <w:sz w:val="20"/>
              </w:rPr>
              <w:t>Original</w:t>
            </w:r>
          </w:p>
          <w:p w:rsidR="006C17CB" w:rsidRDefault="0030091C">
            <w:pPr>
              <w:pStyle w:val="TableParagraph"/>
              <w:tabs>
                <w:tab w:val="left" w:pos="1587"/>
                <w:tab w:val="left" w:pos="2755"/>
              </w:tabs>
              <w:spacing w:line="264" w:lineRule="exact"/>
              <w:ind w:left="259"/>
              <w:jc w:val="center"/>
              <w:rPr>
                <w:b/>
                <w:sz w:val="20"/>
              </w:rPr>
            </w:pPr>
            <w:r>
              <w:rPr>
                <w:b/>
                <w:color w:val="003366"/>
                <w:sz w:val="20"/>
              </w:rPr>
              <w:t>Actual</w:t>
            </w:r>
            <w:r>
              <w:rPr>
                <w:b/>
                <w:color w:val="003366"/>
                <w:sz w:val="20"/>
              </w:rPr>
              <w:tab/>
              <w:t>Budget</w:t>
            </w:r>
            <w:r>
              <w:rPr>
                <w:b/>
                <w:color w:val="003366"/>
                <w:sz w:val="20"/>
              </w:rPr>
              <w:tab/>
              <w:t>Actual</w:t>
            </w:r>
          </w:p>
        </w:tc>
      </w:tr>
      <w:tr w:rsidR="006C17CB">
        <w:trPr>
          <w:trHeight w:val="244"/>
        </w:trPr>
        <w:tc>
          <w:tcPr>
            <w:tcW w:w="4371" w:type="dxa"/>
            <w:vMerge/>
            <w:tcBorders>
              <w:top w:val="nil"/>
            </w:tcBorders>
          </w:tcPr>
          <w:p w:rsidR="006C17CB" w:rsidRDefault="006C17CB">
            <w:pPr>
              <w:rPr>
                <w:sz w:val="2"/>
                <w:szCs w:val="2"/>
              </w:rPr>
            </w:pPr>
          </w:p>
        </w:tc>
        <w:tc>
          <w:tcPr>
            <w:tcW w:w="851" w:type="dxa"/>
          </w:tcPr>
          <w:p w:rsidR="006C17CB" w:rsidRDefault="0030091C">
            <w:pPr>
              <w:pStyle w:val="TableParagraph"/>
              <w:spacing w:line="225" w:lineRule="exact"/>
              <w:ind w:right="111"/>
              <w:rPr>
                <w:b/>
                <w:sz w:val="20"/>
              </w:rPr>
            </w:pPr>
            <w:r>
              <w:rPr>
                <w:b/>
                <w:color w:val="003366"/>
                <w:w w:val="95"/>
                <w:sz w:val="20"/>
              </w:rPr>
              <w:t>Note</w:t>
            </w:r>
          </w:p>
        </w:tc>
        <w:tc>
          <w:tcPr>
            <w:tcW w:w="3509" w:type="dxa"/>
          </w:tcPr>
          <w:p w:rsidR="006C17CB" w:rsidRDefault="0030091C">
            <w:pPr>
              <w:pStyle w:val="TableParagraph"/>
              <w:tabs>
                <w:tab w:val="left" w:pos="1389"/>
                <w:tab w:val="left" w:pos="2495"/>
              </w:tabs>
              <w:spacing w:line="225" w:lineRule="exact"/>
              <w:ind w:right="110"/>
              <w:rPr>
                <w:b/>
                <w:sz w:val="20"/>
              </w:rPr>
            </w:pPr>
            <w:r>
              <w:rPr>
                <w:b/>
                <w:color w:val="003366"/>
                <w:sz w:val="20"/>
              </w:rPr>
              <w:t>2018</w:t>
            </w:r>
            <w:r>
              <w:rPr>
                <w:b/>
                <w:color w:val="003366"/>
                <w:sz w:val="20"/>
              </w:rPr>
              <w:tab/>
              <w:t>2018</w:t>
            </w:r>
            <w:r>
              <w:rPr>
                <w:b/>
                <w:color w:val="003366"/>
                <w:sz w:val="20"/>
              </w:rPr>
              <w:tab/>
            </w:r>
            <w:r>
              <w:rPr>
                <w:b/>
                <w:color w:val="003366"/>
                <w:spacing w:val="-1"/>
                <w:w w:val="95"/>
                <w:sz w:val="20"/>
              </w:rPr>
              <w:t>2017</w:t>
            </w:r>
          </w:p>
        </w:tc>
      </w:tr>
      <w:tr w:rsidR="006C17CB">
        <w:trPr>
          <w:trHeight w:val="265"/>
        </w:trPr>
        <w:tc>
          <w:tcPr>
            <w:tcW w:w="4371" w:type="dxa"/>
            <w:vMerge/>
            <w:tcBorders>
              <w:top w:val="nil"/>
            </w:tcBorders>
          </w:tcPr>
          <w:p w:rsidR="006C17CB" w:rsidRDefault="006C17CB">
            <w:pPr>
              <w:rPr>
                <w:sz w:val="2"/>
                <w:szCs w:val="2"/>
              </w:rPr>
            </w:pPr>
          </w:p>
        </w:tc>
        <w:tc>
          <w:tcPr>
            <w:tcW w:w="851" w:type="dxa"/>
          </w:tcPr>
          <w:p w:rsidR="006C17CB" w:rsidRDefault="0030091C">
            <w:pPr>
              <w:pStyle w:val="TableParagraph"/>
              <w:spacing w:line="226" w:lineRule="exact"/>
              <w:ind w:right="167"/>
              <w:rPr>
                <w:b/>
                <w:sz w:val="20"/>
              </w:rPr>
            </w:pPr>
            <w:r>
              <w:rPr>
                <w:b/>
                <w:color w:val="003366"/>
                <w:w w:val="95"/>
                <w:sz w:val="20"/>
              </w:rPr>
              <w:t>No.</w:t>
            </w:r>
          </w:p>
        </w:tc>
        <w:tc>
          <w:tcPr>
            <w:tcW w:w="3509" w:type="dxa"/>
          </w:tcPr>
          <w:p w:rsidR="006C17CB" w:rsidRDefault="0030091C">
            <w:pPr>
              <w:pStyle w:val="TableParagraph"/>
              <w:tabs>
                <w:tab w:val="left" w:pos="1389"/>
                <w:tab w:val="left" w:pos="2495"/>
              </w:tabs>
              <w:spacing w:line="226" w:lineRule="exact"/>
              <w:ind w:right="111"/>
              <w:rPr>
                <w:b/>
                <w:sz w:val="20"/>
              </w:rPr>
            </w:pPr>
            <w:r>
              <w:rPr>
                <w:b/>
                <w:color w:val="003366"/>
                <w:sz w:val="20"/>
              </w:rPr>
              <w:t>$’000</w:t>
            </w:r>
            <w:r>
              <w:rPr>
                <w:b/>
                <w:color w:val="003366"/>
                <w:sz w:val="20"/>
              </w:rPr>
              <w:tab/>
              <w:t>$’000</w:t>
            </w:r>
            <w:r>
              <w:rPr>
                <w:b/>
                <w:color w:val="003366"/>
                <w:sz w:val="20"/>
              </w:rPr>
              <w:tab/>
            </w:r>
            <w:r>
              <w:rPr>
                <w:b/>
                <w:color w:val="003366"/>
                <w:spacing w:val="-2"/>
                <w:sz w:val="20"/>
              </w:rPr>
              <w:t>$’000</w:t>
            </w:r>
          </w:p>
        </w:tc>
      </w:tr>
      <w:tr w:rsidR="006C17CB">
        <w:trPr>
          <w:trHeight w:val="284"/>
        </w:trPr>
        <w:tc>
          <w:tcPr>
            <w:tcW w:w="4371" w:type="dxa"/>
          </w:tcPr>
          <w:p w:rsidR="006C17CB" w:rsidRDefault="0030091C">
            <w:pPr>
              <w:pStyle w:val="TableParagraph"/>
              <w:spacing w:line="246" w:lineRule="exact"/>
              <w:ind w:left="50"/>
              <w:jc w:val="left"/>
              <w:rPr>
                <w:b/>
                <w:sz w:val="20"/>
              </w:rPr>
            </w:pPr>
            <w:r>
              <w:rPr>
                <w:b/>
                <w:color w:val="003366"/>
                <w:sz w:val="20"/>
              </w:rPr>
              <w:t>Income</w:t>
            </w:r>
          </w:p>
        </w:tc>
        <w:tc>
          <w:tcPr>
            <w:tcW w:w="851" w:type="dxa"/>
          </w:tcPr>
          <w:p w:rsidR="006C17CB" w:rsidRDefault="006C17CB">
            <w:pPr>
              <w:pStyle w:val="TableParagraph"/>
              <w:jc w:val="left"/>
              <w:rPr>
                <w:rFonts w:ascii="Times New Roman"/>
                <w:sz w:val="20"/>
              </w:rPr>
            </w:pPr>
          </w:p>
        </w:tc>
        <w:tc>
          <w:tcPr>
            <w:tcW w:w="3509" w:type="dxa"/>
          </w:tcPr>
          <w:p w:rsidR="006C17CB" w:rsidRDefault="006C17CB">
            <w:pPr>
              <w:pStyle w:val="TableParagraph"/>
              <w:jc w:val="left"/>
              <w:rPr>
                <w:rFonts w:ascii="Times New Roman"/>
                <w:sz w:val="20"/>
              </w:rPr>
            </w:pPr>
          </w:p>
        </w:tc>
      </w:tr>
      <w:tr w:rsidR="006C17CB">
        <w:trPr>
          <w:trHeight w:val="283"/>
        </w:trPr>
        <w:tc>
          <w:tcPr>
            <w:tcW w:w="4371" w:type="dxa"/>
          </w:tcPr>
          <w:p w:rsidR="006C17CB" w:rsidRDefault="0030091C">
            <w:pPr>
              <w:pStyle w:val="TableParagraph"/>
              <w:spacing w:line="245" w:lineRule="exact"/>
              <w:ind w:left="50"/>
              <w:jc w:val="left"/>
              <w:rPr>
                <w:i/>
                <w:sz w:val="20"/>
              </w:rPr>
            </w:pPr>
            <w:r>
              <w:rPr>
                <w:i/>
                <w:color w:val="003366"/>
                <w:sz w:val="20"/>
              </w:rPr>
              <w:t>Revenue</w:t>
            </w:r>
          </w:p>
        </w:tc>
        <w:tc>
          <w:tcPr>
            <w:tcW w:w="851" w:type="dxa"/>
          </w:tcPr>
          <w:p w:rsidR="006C17CB" w:rsidRDefault="006C17CB">
            <w:pPr>
              <w:pStyle w:val="TableParagraph"/>
              <w:jc w:val="left"/>
              <w:rPr>
                <w:rFonts w:ascii="Times New Roman"/>
                <w:sz w:val="20"/>
              </w:rPr>
            </w:pPr>
          </w:p>
        </w:tc>
        <w:tc>
          <w:tcPr>
            <w:tcW w:w="3509" w:type="dxa"/>
          </w:tcPr>
          <w:p w:rsidR="006C17CB" w:rsidRDefault="006C17CB">
            <w:pPr>
              <w:pStyle w:val="TableParagraph"/>
              <w:jc w:val="left"/>
              <w:rPr>
                <w:rFonts w:ascii="Times New Roman"/>
                <w:sz w:val="20"/>
              </w:rPr>
            </w:pPr>
          </w:p>
        </w:tc>
      </w:tr>
      <w:tr w:rsidR="006C17CB">
        <w:trPr>
          <w:trHeight w:val="284"/>
        </w:trPr>
        <w:tc>
          <w:tcPr>
            <w:tcW w:w="4371" w:type="dxa"/>
          </w:tcPr>
          <w:p w:rsidR="006C17CB" w:rsidRDefault="0030091C">
            <w:pPr>
              <w:pStyle w:val="TableParagraph"/>
              <w:spacing w:line="245" w:lineRule="exact"/>
              <w:ind w:left="50"/>
              <w:jc w:val="left"/>
              <w:rPr>
                <w:sz w:val="20"/>
              </w:rPr>
            </w:pPr>
            <w:r>
              <w:rPr>
                <w:color w:val="003366"/>
                <w:sz w:val="20"/>
              </w:rPr>
              <w:t>Payment for Expenses on Behalf of the Territory</w:t>
            </w:r>
          </w:p>
        </w:tc>
        <w:tc>
          <w:tcPr>
            <w:tcW w:w="851" w:type="dxa"/>
          </w:tcPr>
          <w:p w:rsidR="006C17CB" w:rsidRDefault="0030091C">
            <w:pPr>
              <w:pStyle w:val="TableParagraph"/>
              <w:spacing w:line="245" w:lineRule="exact"/>
              <w:ind w:right="213"/>
              <w:rPr>
                <w:sz w:val="20"/>
              </w:rPr>
            </w:pPr>
            <w:r>
              <w:rPr>
                <w:color w:val="003366"/>
                <w:sz w:val="20"/>
              </w:rPr>
              <w:t>24</w:t>
            </w:r>
          </w:p>
        </w:tc>
        <w:tc>
          <w:tcPr>
            <w:tcW w:w="3509" w:type="dxa"/>
          </w:tcPr>
          <w:p w:rsidR="006C17CB" w:rsidRDefault="0030091C">
            <w:pPr>
              <w:pStyle w:val="TableParagraph"/>
              <w:tabs>
                <w:tab w:val="left" w:pos="1389"/>
                <w:tab w:val="left" w:pos="2495"/>
              </w:tabs>
              <w:spacing w:line="245" w:lineRule="exact"/>
              <w:ind w:right="111"/>
              <w:rPr>
                <w:sz w:val="20"/>
              </w:rPr>
            </w:pPr>
            <w:r>
              <w:rPr>
                <w:color w:val="003366"/>
                <w:sz w:val="20"/>
              </w:rPr>
              <w:t>9,027</w:t>
            </w:r>
            <w:r>
              <w:rPr>
                <w:color w:val="003366"/>
                <w:sz w:val="20"/>
              </w:rPr>
              <w:tab/>
              <w:t>9,923</w:t>
            </w:r>
            <w:r>
              <w:rPr>
                <w:color w:val="003366"/>
                <w:sz w:val="20"/>
              </w:rPr>
              <w:tab/>
            </w:r>
            <w:r>
              <w:rPr>
                <w:color w:val="003366"/>
                <w:spacing w:val="-1"/>
                <w:w w:val="95"/>
                <w:sz w:val="20"/>
              </w:rPr>
              <w:t>8,125</w:t>
            </w:r>
          </w:p>
        </w:tc>
      </w:tr>
      <w:tr w:rsidR="006C17CB">
        <w:trPr>
          <w:trHeight w:val="286"/>
        </w:trPr>
        <w:tc>
          <w:tcPr>
            <w:tcW w:w="4371" w:type="dxa"/>
          </w:tcPr>
          <w:p w:rsidR="006C17CB" w:rsidRDefault="0030091C">
            <w:pPr>
              <w:pStyle w:val="TableParagraph"/>
              <w:spacing w:line="246" w:lineRule="exact"/>
              <w:ind w:left="50"/>
              <w:jc w:val="left"/>
              <w:rPr>
                <w:sz w:val="20"/>
              </w:rPr>
            </w:pPr>
            <w:r>
              <w:rPr>
                <w:color w:val="003366"/>
                <w:sz w:val="20"/>
              </w:rPr>
              <w:t>Resources Received Free of Charge</w:t>
            </w:r>
          </w:p>
        </w:tc>
        <w:tc>
          <w:tcPr>
            <w:tcW w:w="851" w:type="dxa"/>
          </w:tcPr>
          <w:p w:rsidR="006C17CB" w:rsidRDefault="0030091C">
            <w:pPr>
              <w:pStyle w:val="TableParagraph"/>
              <w:spacing w:line="246" w:lineRule="exact"/>
              <w:ind w:right="213"/>
              <w:rPr>
                <w:sz w:val="20"/>
              </w:rPr>
            </w:pPr>
            <w:r>
              <w:rPr>
                <w:color w:val="003366"/>
                <w:sz w:val="20"/>
              </w:rPr>
              <w:t>25</w:t>
            </w:r>
          </w:p>
        </w:tc>
        <w:tc>
          <w:tcPr>
            <w:tcW w:w="3509" w:type="dxa"/>
          </w:tcPr>
          <w:p w:rsidR="006C17CB" w:rsidRDefault="0030091C">
            <w:pPr>
              <w:pStyle w:val="TableParagraph"/>
              <w:tabs>
                <w:tab w:val="left" w:pos="597"/>
                <w:tab w:val="left" w:pos="1987"/>
                <w:tab w:val="left" w:pos="3093"/>
              </w:tabs>
              <w:spacing w:line="246" w:lineRule="exact"/>
              <w:ind w:left="-1"/>
              <w:rPr>
                <w:sz w:val="20"/>
              </w:rPr>
            </w:pPr>
            <w:r>
              <w:rPr>
                <w:color w:val="003366"/>
                <w:w w:val="99"/>
                <w:sz w:val="20"/>
                <w:u w:val="single" w:color="003366"/>
              </w:rPr>
              <w:t xml:space="preserve"> </w:t>
            </w:r>
            <w:r>
              <w:rPr>
                <w:color w:val="003366"/>
                <w:sz w:val="20"/>
                <w:u w:val="single" w:color="003366"/>
              </w:rPr>
              <w:tab/>
              <w:t>402</w:t>
            </w:r>
            <w:r>
              <w:rPr>
                <w:color w:val="003366"/>
                <w:sz w:val="20"/>
                <w:u w:val="single" w:color="003366"/>
              </w:rPr>
              <w:tab/>
              <w:t>441</w:t>
            </w:r>
            <w:r>
              <w:rPr>
                <w:color w:val="003366"/>
                <w:sz w:val="20"/>
                <w:u w:val="single" w:color="003366"/>
              </w:rPr>
              <w:tab/>
            </w:r>
            <w:r>
              <w:rPr>
                <w:color w:val="003366"/>
                <w:spacing w:val="-1"/>
                <w:w w:val="95"/>
                <w:sz w:val="20"/>
                <w:u w:val="single" w:color="003366"/>
              </w:rPr>
              <w:t>389</w:t>
            </w:r>
            <w:r>
              <w:rPr>
                <w:color w:val="003366"/>
                <w:spacing w:val="21"/>
                <w:sz w:val="20"/>
                <w:u w:val="single" w:color="003366"/>
              </w:rPr>
              <w:t xml:space="preserve"> </w:t>
            </w:r>
          </w:p>
        </w:tc>
      </w:tr>
      <w:tr w:rsidR="006C17CB">
        <w:trPr>
          <w:trHeight w:val="531"/>
        </w:trPr>
        <w:tc>
          <w:tcPr>
            <w:tcW w:w="4371" w:type="dxa"/>
          </w:tcPr>
          <w:p w:rsidR="006C17CB" w:rsidRDefault="0030091C">
            <w:pPr>
              <w:pStyle w:val="TableParagraph"/>
              <w:spacing w:line="248" w:lineRule="exact"/>
              <w:ind w:left="50"/>
              <w:jc w:val="left"/>
              <w:rPr>
                <w:i/>
                <w:sz w:val="20"/>
              </w:rPr>
            </w:pPr>
            <w:r>
              <w:rPr>
                <w:i/>
                <w:color w:val="003366"/>
                <w:sz w:val="20"/>
              </w:rPr>
              <w:t>Total Revenue</w:t>
            </w:r>
          </w:p>
        </w:tc>
        <w:tc>
          <w:tcPr>
            <w:tcW w:w="851" w:type="dxa"/>
          </w:tcPr>
          <w:p w:rsidR="006C17CB" w:rsidRDefault="006C17CB">
            <w:pPr>
              <w:pStyle w:val="TableParagraph"/>
              <w:jc w:val="left"/>
              <w:rPr>
                <w:rFonts w:ascii="Times New Roman"/>
                <w:sz w:val="20"/>
              </w:rPr>
            </w:pPr>
          </w:p>
        </w:tc>
        <w:tc>
          <w:tcPr>
            <w:tcW w:w="3509" w:type="dxa"/>
            <w:tcBorders>
              <w:bottom w:val="single" w:sz="4" w:space="0" w:color="003366"/>
            </w:tcBorders>
          </w:tcPr>
          <w:p w:rsidR="006C17CB" w:rsidRDefault="0030091C">
            <w:pPr>
              <w:pStyle w:val="TableParagraph"/>
              <w:tabs>
                <w:tab w:val="left" w:pos="1286"/>
                <w:tab w:val="left" w:pos="2495"/>
              </w:tabs>
              <w:spacing w:line="248" w:lineRule="exact"/>
              <w:ind w:right="111"/>
              <w:rPr>
                <w:b/>
                <w:sz w:val="20"/>
              </w:rPr>
            </w:pPr>
            <w:r>
              <w:rPr>
                <w:b/>
                <w:color w:val="003366"/>
                <w:sz w:val="20"/>
              </w:rPr>
              <w:t>9,429</w:t>
            </w:r>
            <w:r>
              <w:rPr>
                <w:b/>
                <w:color w:val="003366"/>
                <w:sz w:val="20"/>
              </w:rPr>
              <w:tab/>
              <w:t>10,364</w:t>
            </w:r>
            <w:r>
              <w:rPr>
                <w:b/>
                <w:color w:val="003366"/>
                <w:sz w:val="20"/>
              </w:rPr>
              <w:tab/>
            </w:r>
            <w:r>
              <w:rPr>
                <w:b/>
                <w:color w:val="003366"/>
                <w:spacing w:val="-2"/>
                <w:sz w:val="20"/>
              </w:rPr>
              <w:t>8,514</w:t>
            </w:r>
          </w:p>
        </w:tc>
      </w:tr>
      <w:tr w:rsidR="006C17CB">
        <w:trPr>
          <w:trHeight w:val="486"/>
        </w:trPr>
        <w:tc>
          <w:tcPr>
            <w:tcW w:w="4371" w:type="dxa"/>
          </w:tcPr>
          <w:p w:rsidR="006C17CB" w:rsidRDefault="0030091C">
            <w:pPr>
              <w:pStyle w:val="TableParagraph"/>
              <w:spacing w:before="12"/>
              <w:ind w:left="50"/>
              <w:jc w:val="left"/>
              <w:rPr>
                <w:b/>
                <w:sz w:val="20"/>
              </w:rPr>
            </w:pPr>
            <w:r>
              <w:rPr>
                <w:b/>
                <w:color w:val="003366"/>
                <w:sz w:val="20"/>
              </w:rPr>
              <w:t>Total Income</w:t>
            </w:r>
          </w:p>
        </w:tc>
        <w:tc>
          <w:tcPr>
            <w:tcW w:w="851" w:type="dxa"/>
          </w:tcPr>
          <w:p w:rsidR="006C17CB" w:rsidRDefault="006C17CB">
            <w:pPr>
              <w:pStyle w:val="TableParagraph"/>
              <w:jc w:val="left"/>
              <w:rPr>
                <w:rFonts w:ascii="Times New Roman"/>
                <w:sz w:val="20"/>
              </w:rPr>
            </w:pPr>
          </w:p>
        </w:tc>
        <w:tc>
          <w:tcPr>
            <w:tcW w:w="3509" w:type="dxa"/>
            <w:tcBorders>
              <w:top w:val="single" w:sz="4" w:space="0" w:color="003366"/>
            </w:tcBorders>
          </w:tcPr>
          <w:p w:rsidR="006C17CB" w:rsidRDefault="0030091C">
            <w:pPr>
              <w:pStyle w:val="TableParagraph"/>
              <w:tabs>
                <w:tab w:val="left" w:pos="446"/>
                <w:tab w:val="left" w:pos="1732"/>
                <w:tab w:val="left" w:pos="2942"/>
              </w:tabs>
              <w:spacing w:before="12"/>
              <w:ind w:left="-1"/>
              <w:rPr>
                <w:b/>
                <w:sz w:val="20"/>
              </w:rPr>
            </w:pPr>
            <w:r>
              <w:rPr>
                <w:b/>
                <w:color w:val="003366"/>
                <w:w w:val="99"/>
                <w:sz w:val="20"/>
                <w:u w:val="single" w:color="003366"/>
              </w:rPr>
              <w:t xml:space="preserve"> </w:t>
            </w:r>
            <w:r>
              <w:rPr>
                <w:b/>
                <w:color w:val="003366"/>
                <w:sz w:val="20"/>
                <w:u w:val="single" w:color="003366"/>
              </w:rPr>
              <w:tab/>
              <w:t>9,429</w:t>
            </w:r>
            <w:r>
              <w:rPr>
                <w:b/>
                <w:color w:val="003366"/>
                <w:sz w:val="20"/>
                <w:u w:val="single" w:color="003366"/>
              </w:rPr>
              <w:tab/>
              <w:t>10,364</w:t>
            </w:r>
            <w:r>
              <w:rPr>
                <w:b/>
                <w:color w:val="003366"/>
                <w:sz w:val="20"/>
                <w:u w:val="single" w:color="003366"/>
              </w:rPr>
              <w:tab/>
            </w:r>
            <w:r>
              <w:rPr>
                <w:b/>
                <w:color w:val="003366"/>
                <w:spacing w:val="-1"/>
                <w:w w:val="95"/>
                <w:sz w:val="20"/>
                <w:u w:val="single" w:color="003366"/>
              </w:rPr>
              <w:t>8,514</w:t>
            </w:r>
            <w:r>
              <w:rPr>
                <w:b/>
                <w:color w:val="003366"/>
                <w:spacing w:val="21"/>
                <w:sz w:val="20"/>
                <w:u w:val="single" w:color="003366"/>
              </w:rPr>
              <w:t xml:space="preserve"> </w:t>
            </w:r>
          </w:p>
        </w:tc>
      </w:tr>
      <w:tr w:rsidR="006C17CB">
        <w:trPr>
          <w:trHeight w:val="430"/>
        </w:trPr>
        <w:tc>
          <w:tcPr>
            <w:tcW w:w="4371" w:type="dxa"/>
          </w:tcPr>
          <w:p w:rsidR="006C17CB" w:rsidRDefault="0030091C">
            <w:pPr>
              <w:pStyle w:val="TableParagraph"/>
              <w:spacing w:before="104"/>
              <w:ind w:left="50"/>
              <w:jc w:val="left"/>
              <w:rPr>
                <w:b/>
                <w:sz w:val="20"/>
              </w:rPr>
            </w:pPr>
            <w:r>
              <w:rPr>
                <w:b/>
                <w:color w:val="003366"/>
                <w:sz w:val="20"/>
              </w:rPr>
              <w:t>Expenses</w:t>
            </w:r>
          </w:p>
        </w:tc>
        <w:tc>
          <w:tcPr>
            <w:tcW w:w="851" w:type="dxa"/>
          </w:tcPr>
          <w:p w:rsidR="006C17CB" w:rsidRDefault="006C17CB">
            <w:pPr>
              <w:pStyle w:val="TableParagraph"/>
              <w:jc w:val="left"/>
              <w:rPr>
                <w:rFonts w:ascii="Times New Roman"/>
                <w:sz w:val="20"/>
              </w:rPr>
            </w:pPr>
          </w:p>
        </w:tc>
        <w:tc>
          <w:tcPr>
            <w:tcW w:w="3509" w:type="dxa"/>
          </w:tcPr>
          <w:p w:rsidR="006C17CB" w:rsidRDefault="006C17CB">
            <w:pPr>
              <w:pStyle w:val="TableParagraph"/>
              <w:jc w:val="left"/>
              <w:rPr>
                <w:rFonts w:ascii="Times New Roman"/>
                <w:sz w:val="20"/>
              </w:rPr>
            </w:pPr>
          </w:p>
        </w:tc>
      </w:tr>
      <w:tr w:rsidR="006C17CB">
        <w:trPr>
          <w:trHeight w:val="284"/>
        </w:trPr>
        <w:tc>
          <w:tcPr>
            <w:tcW w:w="4371" w:type="dxa"/>
          </w:tcPr>
          <w:p w:rsidR="006C17CB" w:rsidRDefault="0030091C">
            <w:pPr>
              <w:pStyle w:val="TableParagraph"/>
              <w:spacing w:line="245" w:lineRule="exact"/>
              <w:ind w:left="50"/>
              <w:jc w:val="left"/>
              <w:rPr>
                <w:sz w:val="20"/>
              </w:rPr>
            </w:pPr>
            <w:r>
              <w:rPr>
                <w:color w:val="003366"/>
                <w:sz w:val="20"/>
              </w:rPr>
              <w:t>Employee Expenses</w:t>
            </w:r>
          </w:p>
        </w:tc>
        <w:tc>
          <w:tcPr>
            <w:tcW w:w="851" w:type="dxa"/>
          </w:tcPr>
          <w:p w:rsidR="006C17CB" w:rsidRDefault="0030091C">
            <w:pPr>
              <w:pStyle w:val="TableParagraph"/>
              <w:spacing w:line="245" w:lineRule="exact"/>
              <w:ind w:right="213"/>
              <w:rPr>
                <w:sz w:val="20"/>
              </w:rPr>
            </w:pPr>
            <w:r>
              <w:rPr>
                <w:color w:val="003366"/>
                <w:sz w:val="20"/>
              </w:rPr>
              <w:t>26</w:t>
            </w:r>
          </w:p>
        </w:tc>
        <w:tc>
          <w:tcPr>
            <w:tcW w:w="3509" w:type="dxa"/>
          </w:tcPr>
          <w:p w:rsidR="006C17CB" w:rsidRDefault="0030091C">
            <w:pPr>
              <w:pStyle w:val="TableParagraph"/>
              <w:tabs>
                <w:tab w:val="left" w:pos="1389"/>
                <w:tab w:val="left" w:pos="2495"/>
              </w:tabs>
              <w:spacing w:line="245" w:lineRule="exact"/>
              <w:ind w:right="111"/>
              <w:rPr>
                <w:sz w:val="20"/>
              </w:rPr>
            </w:pPr>
            <w:r>
              <w:rPr>
                <w:color w:val="003366"/>
                <w:sz w:val="20"/>
              </w:rPr>
              <w:t>8,083</w:t>
            </w:r>
            <w:r>
              <w:rPr>
                <w:color w:val="003366"/>
                <w:sz w:val="20"/>
              </w:rPr>
              <w:tab/>
              <w:t>9,170</w:t>
            </w:r>
            <w:r>
              <w:rPr>
                <w:color w:val="003366"/>
                <w:sz w:val="20"/>
              </w:rPr>
              <w:tab/>
            </w:r>
            <w:r>
              <w:rPr>
                <w:color w:val="003366"/>
                <w:spacing w:val="-1"/>
                <w:w w:val="95"/>
                <w:sz w:val="20"/>
              </w:rPr>
              <w:t>7,327</w:t>
            </w:r>
          </w:p>
        </w:tc>
      </w:tr>
      <w:tr w:rsidR="006C17CB">
        <w:trPr>
          <w:trHeight w:val="284"/>
        </w:trPr>
        <w:tc>
          <w:tcPr>
            <w:tcW w:w="4371" w:type="dxa"/>
          </w:tcPr>
          <w:p w:rsidR="006C17CB" w:rsidRDefault="0030091C">
            <w:pPr>
              <w:pStyle w:val="TableParagraph"/>
              <w:spacing w:line="246" w:lineRule="exact"/>
              <w:ind w:left="50"/>
              <w:jc w:val="left"/>
              <w:rPr>
                <w:sz w:val="20"/>
              </w:rPr>
            </w:pPr>
            <w:r>
              <w:rPr>
                <w:color w:val="003366"/>
                <w:sz w:val="20"/>
              </w:rPr>
              <w:t>Superannuation Expenses</w:t>
            </w:r>
          </w:p>
        </w:tc>
        <w:tc>
          <w:tcPr>
            <w:tcW w:w="851" w:type="dxa"/>
          </w:tcPr>
          <w:p w:rsidR="006C17CB" w:rsidRDefault="0030091C">
            <w:pPr>
              <w:pStyle w:val="TableParagraph"/>
              <w:spacing w:line="246" w:lineRule="exact"/>
              <w:ind w:right="213"/>
              <w:rPr>
                <w:sz w:val="20"/>
              </w:rPr>
            </w:pPr>
            <w:r>
              <w:rPr>
                <w:color w:val="003366"/>
                <w:sz w:val="20"/>
              </w:rPr>
              <w:t>27</w:t>
            </w:r>
          </w:p>
        </w:tc>
        <w:tc>
          <w:tcPr>
            <w:tcW w:w="3509" w:type="dxa"/>
          </w:tcPr>
          <w:p w:rsidR="006C17CB" w:rsidRDefault="0030091C">
            <w:pPr>
              <w:pStyle w:val="TableParagraph"/>
              <w:tabs>
                <w:tab w:val="left" w:pos="1389"/>
                <w:tab w:val="left" w:pos="2495"/>
              </w:tabs>
              <w:spacing w:line="246" w:lineRule="exact"/>
              <w:ind w:right="111"/>
              <w:rPr>
                <w:sz w:val="20"/>
              </w:rPr>
            </w:pPr>
            <w:r>
              <w:rPr>
                <w:color w:val="003366"/>
                <w:sz w:val="20"/>
              </w:rPr>
              <w:t>928</w:t>
            </w:r>
            <w:r>
              <w:rPr>
                <w:color w:val="003366"/>
                <w:sz w:val="20"/>
              </w:rPr>
              <w:tab/>
              <w:t>979</w:t>
            </w:r>
            <w:r>
              <w:rPr>
                <w:color w:val="003366"/>
                <w:sz w:val="20"/>
              </w:rPr>
              <w:tab/>
            </w:r>
            <w:r>
              <w:rPr>
                <w:color w:val="003366"/>
                <w:spacing w:val="-2"/>
                <w:sz w:val="20"/>
              </w:rPr>
              <w:t>831</w:t>
            </w:r>
          </w:p>
        </w:tc>
      </w:tr>
      <w:tr w:rsidR="006C17CB">
        <w:trPr>
          <w:trHeight w:val="283"/>
        </w:trPr>
        <w:tc>
          <w:tcPr>
            <w:tcW w:w="4371" w:type="dxa"/>
          </w:tcPr>
          <w:p w:rsidR="006C17CB" w:rsidRDefault="0030091C">
            <w:pPr>
              <w:pStyle w:val="TableParagraph"/>
              <w:spacing w:line="245" w:lineRule="exact"/>
              <w:ind w:left="50"/>
              <w:jc w:val="left"/>
              <w:rPr>
                <w:sz w:val="20"/>
              </w:rPr>
            </w:pPr>
            <w:r>
              <w:rPr>
                <w:color w:val="003366"/>
                <w:sz w:val="20"/>
              </w:rPr>
              <w:t>Supplies and Services</w:t>
            </w:r>
          </w:p>
        </w:tc>
        <w:tc>
          <w:tcPr>
            <w:tcW w:w="851" w:type="dxa"/>
          </w:tcPr>
          <w:p w:rsidR="006C17CB" w:rsidRDefault="0030091C">
            <w:pPr>
              <w:pStyle w:val="TableParagraph"/>
              <w:spacing w:line="245" w:lineRule="exact"/>
              <w:ind w:right="214"/>
              <w:rPr>
                <w:sz w:val="20"/>
              </w:rPr>
            </w:pPr>
            <w:r>
              <w:rPr>
                <w:color w:val="003366"/>
                <w:w w:val="95"/>
                <w:sz w:val="20"/>
              </w:rPr>
              <w:t>28</w:t>
            </w:r>
          </w:p>
        </w:tc>
        <w:tc>
          <w:tcPr>
            <w:tcW w:w="3509" w:type="dxa"/>
          </w:tcPr>
          <w:p w:rsidR="006C17CB" w:rsidRDefault="0030091C">
            <w:pPr>
              <w:pStyle w:val="TableParagraph"/>
              <w:tabs>
                <w:tab w:val="left" w:pos="1389"/>
                <w:tab w:val="left" w:pos="2495"/>
              </w:tabs>
              <w:spacing w:line="245" w:lineRule="exact"/>
              <w:ind w:right="111"/>
              <w:rPr>
                <w:sz w:val="20"/>
              </w:rPr>
            </w:pPr>
            <w:r>
              <w:rPr>
                <w:color w:val="003366"/>
                <w:sz w:val="20"/>
              </w:rPr>
              <w:t>466</w:t>
            </w:r>
            <w:r>
              <w:rPr>
                <w:color w:val="003366"/>
                <w:sz w:val="20"/>
              </w:rPr>
              <w:tab/>
              <w:t>460</w:t>
            </w:r>
            <w:r>
              <w:rPr>
                <w:color w:val="003366"/>
                <w:sz w:val="20"/>
              </w:rPr>
              <w:tab/>
            </w:r>
            <w:r>
              <w:rPr>
                <w:color w:val="003366"/>
                <w:spacing w:val="-2"/>
                <w:sz w:val="20"/>
              </w:rPr>
              <w:t>507</w:t>
            </w:r>
          </w:p>
        </w:tc>
      </w:tr>
      <w:tr w:rsidR="006C17CB">
        <w:trPr>
          <w:trHeight w:val="286"/>
        </w:trPr>
        <w:tc>
          <w:tcPr>
            <w:tcW w:w="4371" w:type="dxa"/>
          </w:tcPr>
          <w:p w:rsidR="006C17CB" w:rsidRDefault="0030091C">
            <w:pPr>
              <w:pStyle w:val="TableParagraph"/>
              <w:spacing w:line="245" w:lineRule="exact"/>
              <w:ind w:left="50"/>
              <w:jc w:val="left"/>
              <w:rPr>
                <w:sz w:val="20"/>
              </w:rPr>
            </w:pPr>
            <w:r>
              <w:rPr>
                <w:color w:val="003366"/>
                <w:sz w:val="20"/>
              </w:rPr>
              <w:t>Depreciation</w:t>
            </w:r>
          </w:p>
        </w:tc>
        <w:tc>
          <w:tcPr>
            <w:tcW w:w="851" w:type="dxa"/>
          </w:tcPr>
          <w:p w:rsidR="006C17CB" w:rsidRDefault="006C17CB">
            <w:pPr>
              <w:pStyle w:val="TableParagraph"/>
              <w:jc w:val="left"/>
              <w:rPr>
                <w:rFonts w:ascii="Times New Roman"/>
                <w:sz w:val="20"/>
              </w:rPr>
            </w:pPr>
          </w:p>
        </w:tc>
        <w:tc>
          <w:tcPr>
            <w:tcW w:w="3509" w:type="dxa"/>
          </w:tcPr>
          <w:p w:rsidR="006C17CB" w:rsidRDefault="0030091C">
            <w:pPr>
              <w:pStyle w:val="TableParagraph"/>
              <w:tabs>
                <w:tab w:val="left" w:pos="597"/>
                <w:tab w:val="left" w:pos="1835"/>
                <w:tab w:val="left" w:pos="3093"/>
              </w:tabs>
              <w:spacing w:line="245" w:lineRule="exact"/>
              <w:ind w:left="-1"/>
              <w:rPr>
                <w:sz w:val="20"/>
              </w:rPr>
            </w:pPr>
            <w:r>
              <w:rPr>
                <w:color w:val="003366"/>
                <w:w w:val="99"/>
                <w:sz w:val="20"/>
                <w:u w:val="single" w:color="003366"/>
              </w:rPr>
              <w:t xml:space="preserve"> </w:t>
            </w:r>
            <w:r>
              <w:rPr>
                <w:color w:val="003366"/>
                <w:sz w:val="20"/>
                <w:u w:val="single" w:color="003366"/>
              </w:rPr>
              <w:tab/>
              <w:t>535</w:t>
            </w:r>
            <w:r>
              <w:rPr>
                <w:color w:val="003366"/>
                <w:sz w:val="20"/>
                <w:u w:val="single" w:color="003366"/>
              </w:rPr>
              <w:tab/>
              <w:t>1,084</w:t>
            </w:r>
            <w:r>
              <w:rPr>
                <w:color w:val="003366"/>
                <w:sz w:val="20"/>
                <w:u w:val="single" w:color="003366"/>
              </w:rPr>
              <w:tab/>
            </w:r>
            <w:r>
              <w:rPr>
                <w:color w:val="003366"/>
                <w:spacing w:val="-1"/>
                <w:w w:val="95"/>
                <w:sz w:val="20"/>
                <w:u w:val="single" w:color="003366"/>
              </w:rPr>
              <w:t>760</w:t>
            </w:r>
            <w:r>
              <w:rPr>
                <w:color w:val="003366"/>
                <w:spacing w:val="21"/>
                <w:sz w:val="20"/>
                <w:u w:val="single" w:color="003366"/>
              </w:rPr>
              <w:t xml:space="preserve"> </w:t>
            </w:r>
          </w:p>
        </w:tc>
      </w:tr>
      <w:tr w:rsidR="006C17CB">
        <w:trPr>
          <w:trHeight w:val="586"/>
        </w:trPr>
        <w:tc>
          <w:tcPr>
            <w:tcW w:w="4371" w:type="dxa"/>
          </w:tcPr>
          <w:p w:rsidR="006C17CB" w:rsidRDefault="0030091C">
            <w:pPr>
              <w:pStyle w:val="TableParagraph"/>
              <w:spacing w:line="249" w:lineRule="exact"/>
              <w:ind w:left="50"/>
              <w:jc w:val="left"/>
              <w:rPr>
                <w:b/>
                <w:sz w:val="20"/>
              </w:rPr>
            </w:pPr>
            <w:r>
              <w:rPr>
                <w:b/>
                <w:color w:val="003366"/>
                <w:sz w:val="20"/>
              </w:rPr>
              <w:t>Total Expenses</w:t>
            </w:r>
          </w:p>
        </w:tc>
        <w:tc>
          <w:tcPr>
            <w:tcW w:w="851" w:type="dxa"/>
          </w:tcPr>
          <w:p w:rsidR="006C17CB" w:rsidRDefault="006C17CB">
            <w:pPr>
              <w:pStyle w:val="TableParagraph"/>
              <w:jc w:val="left"/>
              <w:rPr>
                <w:rFonts w:ascii="Times New Roman"/>
                <w:sz w:val="20"/>
              </w:rPr>
            </w:pPr>
          </w:p>
        </w:tc>
        <w:tc>
          <w:tcPr>
            <w:tcW w:w="3509" w:type="dxa"/>
            <w:tcBorders>
              <w:bottom w:val="single" w:sz="2" w:space="0" w:color="003366"/>
            </w:tcBorders>
          </w:tcPr>
          <w:p w:rsidR="006C17CB" w:rsidRDefault="0030091C">
            <w:pPr>
              <w:pStyle w:val="TableParagraph"/>
              <w:tabs>
                <w:tab w:val="left" w:pos="343"/>
                <w:tab w:val="left" w:pos="1732"/>
                <w:tab w:val="left" w:pos="2942"/>
              </w:tabs>
              <w:spacing w:line="249" w:lineRule="exact"/>
              <w:ind w:left="-1"/>
              <w:rPr>
                <w:b/>
                <w:sz w:val="20"/>
              </w:rPr>
            </w:pPr>
            <w:r>
              <w:rPr>
                <w:b/>
                <w:color w:val="003366"/>
                <w:w w:val="99"/>
                <w:sz w:val="20"/>
                <w:u w:val="single" w:color="003366"/>
              </w:rPr>
              <w:t xml:space="preserve"> </w:t>
            </w:r>
            <w:r>
              <w:rPr>
                <w:b/>
                <w:color w:val="003366"/>
                <w:sz w:val="20"/>
                <w:u w:val="single" w:color="003366"/>
              </w:rPr>
              <w:tab/>
              <w:t>10,012</w:t>
            </w:r>
            <w:r>
              <w:rPr>
                <w:b/>
                <w:color w:val="003366"/>
                <w:sz w:val="20"/>
                <w:u w:val="single" w:color="003366"/>
              </w:rPr>
              <w:tab/>
              <w:t>11,693</w:t>
            </w:r>
            <w:r>
              <w:rPr>
                <w:b/>
                <w:color w:val="003366"/>
                <w:sz w:val="20"/>
                <w:u w:val="single" w:color="003366"/>
              </w:rPr>
              <w:tab/>
            </w:r>
            <w:r>
              <w:rPr>
                <w:b/>
                <w:color w:val="003366"/>
                <w:spacing w:val="-1"/>
                <w:w w:val="95"/>
                <w:sz w:val="20"/>
                <w:u w:val="single" w:color="003366"/>
              </w:rPr>
              <w:t>9,425</w:t>
            </w:r>
            <w:r>
              <w:rPr>
                <w:b/>
                <w:color w:val="003366"/>
                <w:spacing w:val="21"/>
                <w:sz w:val="20"/>
                <w:u w:val="single" w:color="003366"/>
              </w:rPr>
              <w:t xml:space="preserve"> </w:t>
            </w:r>
          </w:p>
        </w:tc>
      </w:tr>
      <w:tr w:rsidR="006C17CB">
        <w:trPr>
          <w:trHeight w:val="284"/>
        </w:trPr>
        <w:tc>
          <w:tcPr>
            <w:tcW w:w="4371" w:type="dxa"/>
          </w:tcPr>
          <w:p w:rsidR="006C17CB" w:rsidRDefault="0030091C">
            <w:pPr>
              <w:pStyle w:val="TableParagraph"/>
              <w:spacing w:line="265" w:lineRule="exact"/>
              <w:ind w:left="50"/>
              <w:jc w:val="left"/>
              <w:rPr>
                <w:b/>
                <w:sz w:val="20"/>
              </w:rPr>
            </w:pPr>
            <w:r>
              <w:rPr>
                <w:b/>
                <w:color w:val="003366"/>
                <w:sz w:val="20"/>
              </w:rPr>
              <w:t>Operating (Deficit)</w:t>
            </w:r>
          </w:p>
        </w:tc>
        <w:tc>
          <w:tcPr>
            <w:tcW w:w="851" w:type="dxa"/>
          </w:tcPr>
          <w:p w:rsidR="006C17CB" w:rsidRDefault="006C17CB">
            <w:pPr>
              <w:pStyle w:val="TableParagraph"/>
              <w:jc w:val="left"/>
              <w:rPr>
                <w:rFonts w:ascii="Times New Roman"/>
                <w:sz w:val="20"/>
              </w:rPr>
            </w:pPr>
          </w:p>
        </w:tc>
        <w:tc>
          <w:tcPr>
            <w:tcW w:w="3509" w:type="dxa"/>
            <w:tcBorders>
              <w:top w:val="single" w:sz="2" w:space="0" w:color="003366"/>
              <w:bottom w:val="double" w:sz="1" w:space="0" w:color="003366"/>
            </w:tcBorders>
          </w:tcPr>
          <w:p w:rsidR="006C17CB" w:rsidRDefault="0030091C">
            <w:pPr>
              <w:pStyle w:val="TableParagraph"/>
              <w:tabs>
                <w:tab w:val="left" w:pos="1238"/>
                <w:tab w:val="left" w:pos="2495"/>
              </w:tabs>
              <w:spacing w:line="265" w:lineRule="exact"/>
              <w:ind w:right="111"/>
              <w:rPr>
                <w:b/>
                <w:sz w:val="20"/>
              </w:rPr>
            </w:pPr>
            <w:r>
              <w:rPr>
                <w:b/>
                <w:color w:val="003366"/>
                <w:sz w:val="20"/>
              </w:rPr>
              <w:t>(583)</w:t>
            </w:r>
            <w:r>
              <w:rPr>
                <w:b/>
                <w:color w:val="003366"/>
                <w:sz w:val="20"/>
              </w:rPr>
              <w:tab/>
              <w:t>(1,329)</w:t>
            </w:r>
            <w:r>
              <w:rPr>
                <w:b/>
                <w:color w:val="003366"/>
                <w:sz w:val="20"/>
              </w:rPr>
              <w:tab/>
            </w:r>
            <w:r>
              <w:rPr>
                <w:b/>
                <w:color w:val="003366"/>
                <w:spacing w:val="-1"/>
                <w:w w:val="95"/>
                <w:sz w:val="20"/>
              </w:rPr>
              <w:t>(911)</w:t>
            </w:r>
          </w:p>
        </w:tc>
      </w:tr>
      <w:tr w:rsidR="006C17CB">
        <w:trPr>
          <w:trHeight w:val="793"/>
        </w:trPr>
        <w:tc>
          <w:tcPr>
            <w:tcW w:w="4371" w:type="dxa"/>
          </w:tcPr>
          <w:p w:rsidR="006C17CB" w:rsidRDefault="006C17CB">
            <w:pPr>
              <w:pStyle w:val="TableParagraph"/>
              <w:jc w:val="left"/>
              <w:rPr>
                <w:b/>
                <w:sz w:val="20"/>
              </w:rPr>
            </w:pPr>
          </w:p>
          <w:p w:rsidR="006C17CB" w:rsidRDefault="0030091C">
            <w:pPr>
              <w:pStyle w:val="TableParagraph"/>
              <w:spacing w:before="177"/>
              <w:ind w:left="50"/>
              <w:jc w:val="left"/>
              <w:rPr>
                <w:b/>
                <w:sz w:val="20"/>
              </w:rPr>
            </w:pPr>
            <w:r>
              <w:rPr>
                <w:b/>
                <w:color w:val="003366"/>
                <w:sz w:val="20"/>
              </w:rPr>
              <w:t>Other Comprehensive Income</w:t>
            </w:r>
          </w:p>
        </w:tc>
        <w:tc>
          <w:tcPr>
            <w:tcW w:w="851" w:type="dxa"/>
          </w:tcPr>
          <w:p w:rsidR="006C17CB" w:rsidRDefault="006C17CB">
            <w:pPr>
              <w:pStyle w:val="TableParagraph"/>
              <w:jc w:val="left"/>
              <w:rPr>
                <w:rFonts w:ascii="Times New Roman"/>
                <w:sz w:val="20"/>
              </w:rPr>
            </w:pPr>
          </w:p>
        </w:tc>
        <w:tc>
          <w:tcPr>
            <w:tcW w:w="3509" w:type="dxa"/>
            <w:tcBorders>
              <w:top w:val="double" w:sz="1" w:space="0" w:color="003366"/>
            </w:tcBorders>
          </w:tcPr>
          <w:p w:rsidR="006C17CB" w:rsidRDefault="006C17CB">
            <w:pPr>
              <w:pStyle w:val="TableParagraph"/>
              <w:jc w:val="left"/>
              <w:rPr>
                <w:rFonts w:ascii="Times New Roman"/>
                <w:sz w:val="20"/>
              </w:rPr>
            </w:pPr>
          </w:p>
        </w:tc>
      </w:tr>
      <w:tr w:rsidR="006C17CB">
        <w:trPr>
          <w:trHeight w:val="527"/>
        </w:trPr>
        <w:tc>
          <w:tcPr>
            <w:tcW w:w="4371" w:type="dxa"/>
          </w:tcPr>
          <w:p w:rsidR="006C17CB" w:rsidRDefault="0030091C">
            <w:pPr>
              <w:pStyle w:val="TableParagraph"/>
              <w:spacing w:line="201" w:lineRule="auto"/>
              <w:ind w:left="50" w:right="308"/>
              <w:jc w:val="left"/>
              <w:rPr>
                <w:i/>
                <w:sz w:val="20"/>
              </w:rPr>
            </w:pPr>
            <w:r>
              <w:rPr>
                <w:i/>
                <w:color w:val="003366"/>
                <w:sz w:val="20"/>
              </w:rPr>
              <w:t>Items that will not be reclassified subsequently to profit or loss</w:t>
            </w:r>
          </w:p>
        </w:tc>
        <w:tc>
          <w:tcPr>
            <w:tcW w:w="851" w:type="dxa"/>
          </w:tcPr>
          <w:p w:rsidR="006C17CB" w:rsidRDefault="006C17CB">
            <w:pPr>
              <w:pStyle w:val="TableParagraph"/>
              <w:jc w:val="left"/>
              <w:rPr>
                <w:rFonts w:ascii="Times New Roman"/>
                <w:sz w:val="20"/>
              </w:rPr>
            </w:pPr>
          </w:p>
        </w:tc>
        <w:tc>
          <w:tcPr>
            <w:tcW w:w="3509" w:type="dxa"/>
          </w:tcPr>
          <w:p w:rsidR="006C17CB" w:rsidRDefault="006C17CB">
            <w:pPr>
              <w:pStyle w:val="TableParagraph"/>
              <w:jc w:val="left"/>
              <w:rPr>
                <w:rFonts w:ascii="Times New Roman"/>
                <w:sz w:val="20"/>
              </w:rPr>
            </w:pPr>
          </w:p>
        </w:tc>
      </w:tr>
      <w:tr w:rsidR="006C17CB">
        <w:trPr>
          <w:trHeight w:val="289"/>
        </w:trPr>
        <w:tc>
          <w:tcPr>
            <w:tcW w:w="4371" w:type="dxa"/>
          </w:tcPr>
          <w:p w:rsidR="006C17CB" w:rsidRDefault="0030091C">
            <w:pPr>
              <w:pStyle w:val="TableParagraph"/>
              <w:spacing w:line="246" w:lineRule="exact"/>
              <w:ind w:left="50"/>
              <w:jc w:val="left"/>
              <w:rPr>
                <w:sz w:val="20"/>
              </w:rPr>
            </w:pPr>
            <w:r>
              <w:rPr>
                <w:color w:val="003366"/>
                <w:sz w:val="20"/>
              </w:rPr>
              <w:t>(Decrease) in the Asset Revaluation Surplus</w:t>
            </w:r>
          </w:p>
        </w:tc>
        <w:tc>
          <w:tcPr>
            <w:tcW w:w="851" w:type="dxa"/>
          </w:tcPr>
          <w:p w:rsidR="006C17CB" w:rsidRDefault="006C17CB">
            <w:pPr>
              <w:pStyle w:val="TableParagraph"/>
              <w:jc w:val="left"/>
              <w:rPr>
                <w:rFonts w:ascii="Times New Roman"/>
                <w:sz w:val="20"/>
              </w:rPr>
            </w:pPr>
          </w:p>
        </w:tc>
        <w:tc>
          <w:tcPr>
            <w:tcW w:w="3509" w:type="dxa"/>
          </w:tcPr>
          <w:p w:rsidR="006C17CB" w:rsidRDefault="0030091C">
            <w:pPr>
              <w:pStyle w:val="TableParagraph"/>
              <w:tabs>
                <w:tab w:val="left" w:pos="839"/>
                <w:tab w:val="left" w:pos="2229"/>
                <w:tab w:val="left" w:pos="2822"/>
              </w:tabs>
              <w:spacing w:line="246" w:lineRule="exact"/>
              <w:ind w:left="-1"/>
              <w:rPr>
                <w:sz w:val="20"/>
              </w:rPr>
            </w:pPr>
            <w:r>
              <w:rPr>
                <w:color w:val="003366"/>
                <w:w w:val="99"/>
                <w:sz w:val="20"/>
                <w:u w:val="single" w:color="000000"/>
              </w:rPr>
              <w:t xml:space="preserve"> </w:t>
            </w:r>
            <w:r>
              <w:rPr>
                <w:color w:val="003366"/>
                <w:sz w:val="20"/>
                <w:u w:val="single" w:color="000000"/>
              </w:rPr>
              <w:tab/>
              <w:t>-</w:t>
            </w:r>
            <w:r>
              <w:rPr>
                <w:color w:val="003366"/>
                <w:sz w:val="20"/>
                <w:u w:val="single" w:color="000000"/>
              </w:rPr>
              <w:tab/>
              <w:t>-</w:t>
            </w:r>
            <w:r>
              <w:rPr>
                <w:color w:val="003366"/>
                <w:sz w:val="20"/>
                <w:u w:val="single" w:color="000000"/>
              </w:rPr>
              <w:tab/>
            </w:r>
            <w:r>
              <w:rPr>
                <w:color w:val="003366"/>
                <w:spacing w:val="-1"/>
                <w:w w:val="95"/>
                <w:sz w:val="20"/>
                <w:u w:val="single" w:color="000000"/>
              </w:rPr>
              <w:t>(5,291)</w:t>
            </w:r>
            <w:r>
              <w:rPr>
                <w:color w:val="003366"/>
                <w:spacing w:val="21"/>
                <w:sz w:val="20"/>
                <w:u w:val="single" w:color="000000"/>
              </w:rPr>
              <w:t xml:space="preserve"> </w:t>
            </w:r>
          </w:p>
        </w:tc>
      </w:tr>
      <w:tr w:rsidR="006C17CB">
        <w:trPr>
          <w:trHeight w:val="592"/>
        </w:trPr>
        <w:tc>
          <w:tcPr>
            <w:tcW w:w="4371" w:type="dxa"/>
          </w:tcPr>
          <w:p w:rsidR="006C17CB" w:rsidRDefault="0030091C">
            <w:pPr>
              <w:pStyle w:val="TableParagraph"/>
              <w:spacing w:line="250" w:lineRule="exact"/>
              <w:ind w:left="50"/>
              <w:jc w:val="left"/>
              <w:rPr>
                <w:b/>
                <w:sz w:val="20"/>
              </w:rPr>
            </w:pPr>
            <w:r>
              <w:rPr>
                <w:b/>
                <w:color w:val="003366"/>
                <w:sz w:val="20"/>
              </w:rPr>
              <w:t>Total Other Comprehensive (Deficit)</w:t>
            </w:r>
          </w:p>
        </w:tc>
        <w:tc>
          <w:tcPr>
            <w:tcW w:w="851" w:type="dxa"/>
          </w:tcPr>
          <w:p w:rsidR="006C17CB" w:rsidRDefault="006C17CB">
            <w:pPr>
              <w:pStyle w:val="TableParagraph"/>
              <w:jc w:val="left"/>
              <w:rPr>
                <w:rFonts w:ascii="Times New Roman"/>
                <w:sz w:val="20"/>
              </w:rPr>
            </w:pPr>
          </w:p>
        </w:tc>
        <w:tc>
          <w:tcPr>
            <w:tcW w:w="3509" w:type="dxa"/>
            <w:tcBorders>
              <w:bottom w:val="single" w:sz="2" w:space="0" w:color="003366"/>
            </w:tcBorders>
          </w:tcPr>
          <w:p w:rsidR="006C17CB" w:rsidRDefault="0030091C">
            <w:pPr>
              <w:pStyle w:val="TableParagraph"/>
              <w:tabs>
                <w:tab w:val="left" w:pos="839"/>
                <w:tab w:val="left" w:pos="2229"/>
                <w:tab w:val="left" w:pos="2817"/>
              </w:tabs>
              <w:spacing w:line="250" w:lineRule="exact"/>
              <w:ind w:left="-1"/>
              <w:rPr>
                <w:b/>
                <w:sz w:val="20"/>
              </w:rPr>
            </w:pPr>
            <w:r>
              <w:rPr>
                <w:b/>
                <w:color w:val="003366"/>
                <w:w w:val="99"/>
                <w:sz w:val="20"/>
                <w:u w:val="single" w:color="000000"/>
              </w:rPr>
              <w:t xml:space="preserve"> </w:t>
            </w:r>
            <w:r>
              <w:rPr>
                <w:b/>
                <w:color w:val="003366"/>
                <w:sz w:val="20"/>
                <w:u w:val="single" w:color="000000"/>
              </w:rPr>
              <w:tab/>
              <w:t>-</w:t>
            </w:r>
            <w:r>
              <w:rPr>
                <w:b/>
                <w:color w:val="003366"/>
                <w:sz w:val="20"/>
                <w:u w:val="single" w:color="000000"/>
              </w:rPr>
              <w:tab/>
              <w:t>-</w:t>
            </w:r>
            <w:r>
              <w:rPr>
                <w:b/>
                <w:color w:val="003366"/>
                <w:sz w:val="20"/>
                <w:u w:val="single" w:color="000000"/>
              </w:rPr>
              <w:tab/>
            </w:r>
            <w:r>
              <w:rPr>
                <w:b/>
                <w:color w:val="003366"/>
                <w:spacing w:val="-1"/>
                <w:w w:val="95"/>
                <w:sz w:val="20"/>
                <w:u w:val="single" w:color="000000"/>
              </w:rPr>
              <w:t>(5,291)</w:t>
            </w:r>
            <w:r>
              <w:rPr>
                <w:b/>
                <w:color w:val="003366"/>
                <w:spacing w:val="-23"/>
                <w:sz w:val="20"/>
                <w:u w:val="single" w:color="000000"/>
              </w:rPr>
              <w:t xml:space="preserve"> </w:t>
            </w:r>
          </w:p>
        </w:tc>
      </w:tr>
      <w:tr w:rsidR="006C17CB">
        <w:trPr>
          <w:trHeight w:val="284"/>
        </w:trPr>
        <w:tc>
          <w:tcPr>
            <w:tcW w:w="4371" w:type="dxa"/>
          </w:tcPr>
          <w:p w:rsidR="006C17CB" w:rsidRDefault="0030091C">
            <w:pPr>
              <w:pStyle w:val="TableParagraph"/>
              <w:spacing w:line="265" w:lineRule="exact"/>
              <w:ind w:left="50"/>
              <w:jc w:val="left"/>
              <w:rPr>
                <w:b/>
                <w:sz w:val="20"/>
              </w:rPr>
            </w:pPr>
            <w:r>
              <w:rPr>
                <w:b/>
                <w:color w:val="003366"/>
                <w:sz w:val="20"/>
              </w:rPr>
              <w:t>Total Comprehensive (Deficit)</w:t>
            </w:r>
          </w:p>
        </w:tc>
        <w:tc>
          <w:tcPr>
            <w:tcW w:w="851" w:type="dxa"/>
          </w:tcPr>
          <w:p w:rsidR="006C17CB" w:rsidRDefault="006C17CB">
            <w:pPr>
              <w:pStyle w:val="TableParagraph"/>
              <w:jc w:val="left"/>
              <w:rPr>
                <w:rFonts w:ascii="Times New Roman"/>
                <w:sz w:val="20"/>
              </w:rPr>
            </w:pPr>
          </w:p>
        </w:tc>
        <w:tc>
          <w:tcPr>
            <w:tcW w:w="3509" w:type="dxa"/>
            <w:tcBorders>
              <w:top w:val="single" w:sz="2" w:space="0" w:color="003366"/>
              <w:bottom w:val="double" w:sz="1" w:space="0" w:color="003366"/>
            </w:tcBorders>
          </w:tcPr>
          <w:p w:rsidR="006C17CB" w:rsidRDefault="0030091C">
            <w:pPr>
              <w:pStyle w:val="TableParagraph"/>
              <w:tabs>
                <w:tab w:val="left" w:pos="1238"/>
                <w:tab w:val="left" w:pos="2344"/>
              </w:tabs>
              <w:spacing w:line="265" w:lineRule="exact"/>
              <w:ind w:right="111"/>
              <w:rPr>
                <w:b/>
                <w:sz w:val="20"/>
              </w:rPr>
            </w:pPr>
            <w:r>
              <w:rPr>
                <w:b/>
                <w:color w:val="003366"/>
                <w:sz w:val="20"/>
              </w:rPr>
              <w:t>(583)</w:t>
            </w:r>
            <w:r>
              <w:rPr>
                <w:b/>
                <w:color w:val="003366"/>
                <w:sz w:val="20"/>
              </w:rPr>
              <w:tab/>
              <w:t>(1,329)</w:t>
            </w:r>
            <w:r>
              <w:rPr>
                <w:b/>
                <w:color w:val="003366"/>
                <w:sz w:val="20"/>
              </w:rPr>
              <w:tab/>
            </w:r>
            <w:r>
              <w:rPr>
                <w:b/>
                <w:color w:val="003366"/>
                <w:spacing w:val="-1"/>
                <w:w w:val="95"/>
                <w:sz w:val="20"/>
              </w:rPr>
              <w:t>(6,202)</w:t>
            </w:r>
          </w:p>
        </w:tc>
      </w:tr>
    </w:tbl>
    <w:p w:rsidR="006C17CB" w:rsidRDefault="006C17CB">
      <w:pPr>
        <w:pStyle w:val="BodyText"/>
        <w:spacing w:before="3"/>
        <w:rPr>
          <w:rFonts w:ascii="Calibri"/>
          <w:b/>
          <w:sz w:val="31"/>
        </w:rPr>
      </w:pPr>
    </w:p>
    <w:p w:rsidR="006C17CB" w:rsidRDefault="0030091C">
      <w:pPr>
        <w:spacing w:line="204" w:lineRule="auto"/>
        <w:ind w:left="829" w:right="1878"/>
        <w:rPr>
          <w:rFonts w:ascii="Calibri"/>
          <w:sz w:val="16"/>
        </w:rPr>
      </w:pPr>
      <w:r>
        <w:rPr>
          <w:rFonts w:ascii="Calibri"/>
          <w:color w:val="003366"/>
          <w:sz w:val="16"/>
        </w:rPr>
        <w:t>The above Statement of Income and Expenses on Behalf of the Territory should be read in conjunction with the accompanying notes.</w:t>
      </w:r>
    </w:p>
    <w:p w:rsidR="006C17CB" w:rsidRDefault="006C17CB">
      <w:pPr>
        <w:spacing w:line="204" w:lineRule="auto"/>
        <w:rPr>
          <w:rFonts w:ascii="Calibri"/>
          <w:sz w:val="16"/>
        </w:rPr>
        <w:sectPr w:rsidR="006C17CB">
          <w:headerReference w:type="even" r:id="rId176"/>
          <w:headerReference w:type="default" r:id="rId177"/>
          <w:pgSz w:w="11910" w:h="16840"/>
          <w:pgMar w:top="1460" w:right="0" w:bottom="740" w:left="980" w:header="1203" w:footer="551" w:gutter="0"/>
          <w:cols w:space="720"/>
        </w:sectPr>
      </w:pPr>
    </w:p>
    <w:p w:rsidR="006C17CB" w:rsidRDefault="0030091C">
      <w:pPr>
        <w:pStyle w:val="Heading5"/>
        <w:spacing w:line="201" w:lineRule="auto"/>
        <w:ind w:left="4038" w:right="2289" w:hanging="2429"/>
      </w:pPr>
      <w:r>
        <w:rPr>
          <w:color w:val="003366"/>
        </w:rPr>
        <w:t>Statement of Assets and Liabilities on Behalf of the Territory As at 30 June 2018</w:t>
      </w:r>
    </w:p>
    <w:p w:rsidR="006C17CB" w:rsidRDefault="006C17CB">
      <w:pPr>
        <w:pStyle w:val="BodyText"/>
        <w:spacing w:before="4"/>
        <w:rPr>
          <w:rFonts w:ascii="Calibri"/>
          <w:b/>
          <w:sz w:val="20"/>
        </w:rPr>
      </w:pPr>
    </w:p>
    <w:tbl>
      <w:tblPr>
        <w:tblW w:w="0" w:type="auto"/>
        <w:tblInd w:w="779" w:type="dxa"/>
        <w:tblLayout w:type="fixed"/>
        <w:tblCellMar>
          <w:left w:w="0" w:type="dxa"/>
          <w:right w:w="0" w:type="dxa"/>
        </w:tblCellMar>
        <w:tblLook w:val="01E0" w:firstRow="1" w:lastRow="1" w:firstColumn="1" w:lastColumn="1" w:noHBand="0" w:noVBand="0"/>
      </w:tblPr>
      <w:tblGrid>
        <w:gridCol w:w="3622"/>
        <w:gridCol w:w="1583"/>
        <w:gridCol w:w="3492"/>
      </w:tblGrid>
      <w:tr w:rsidR="006C17CB">
        <w:trPr>
          <w:trHeight w:val="464"/>
        </w:trPr>
        <w:tc>
          <w:tcPr>
            <w:tcW w:w="3622" w:type="dxa"/>
            <w:vMerge w:val="restart"/>
          </w:tcPr>
          <w:p w:rsidR="006C17CB" w:rsidRDefault="006C17CB">
            <w:pPr>
              <w:pStyle w:val="TableParagraph"/>
              <w:jc w:val="left"/>
              <w:rPr>
                <w:rFonts w:ascii="Times New Roman"/>
                <w:sz w:val="18"/>
              </w:rPr>
            </w:pPr>
          </w:p>
        </w:tc>
        <w:tc>
          <w:tcPr>
            <w:tcW w:w="1583" w:type="dxa"/>
          </w:tcPr>
          <w:p w:rsidR="006C17CB" w:rsidRDefault="006C17CB">
            <w:pPr>
              <w:pStyle w:val="TableParagraph"/>
              <w:jc w:val="left"/>
              <w:rPr>
                <w:rFonts w:ascii="Times New Roman"/>
                <w:sz w:val="18"/>
              </w:rPr>
            </w:pPr>
          </w:p>
        </w:tc>
        <w:tc>
          <w:tcPr>
            <w:tcW w:w="3492" w:type="dxa"/>
          </w:tcPr>
          <w:p w:rsidR="006C17CB" w:rsidRDefault="0030091C">
            <w:pPr>
              <w:pStyle w:val="TableParagraph"/>
              <w:spacing w:line="180" w:lineRule="exact"/>
              <w:ind w:left="411"/>
              <w:jc w:val="center"/>
              <w:rPr>
                <w:b/>
                <w:sz w:val="20"/>
              </w:rPr>
            </w:pPr>
            <w:r>
              <w:rPr>
                <w:b/>
                <w:color w:val="003366"/>
                <w:sz w:val="20"/>
              </w:rPr>
              <w:t>Original</w:t>
            </w:r>
          </w:p>
          <w:p w:rsidR="006C17CB" w:rsidRDefault="0030091C">
            <w:pPr>
              <w:pStyle w:val="TableParagraph"/>
              <w:tabs>
                <w:tab w:val="left" w:pos="1580"/>
                <w:tab w:val="left" w:pos="2749"/>
              </w:tabs>
              <w:spacing w:line="264" w:lineRule="exact"/>
              <w:ind w:left="298"/>
              <w:jc w:val="center"/>
              <w:rPr>
                <w:b/>
                <w:sz w:val="20"/>
              </w:rPr>
            </w:pPr>
            <w:r>
              <w:rPr>
                <w:b/>
                <w:color w:val="003366"/>
                <w:sz w:val="20"/>
              </w:rPr>
              <w:t>Actual</w:t>
            </w:r>
            <w:r>
              <w:rPr>
                <w:b/>
                <w:color w:val="003366"/>
                <w:sz w:val="20"/>
              </w:rPr>
              <w:tab/>
              <w:t>Budget</w:t>
            </w:r>
            <w:r>
              <w:rPr>
                <w:b/>
                <w:color w:val="003366"/>
                <w:sz w:val="20"/>
              </w:rPr>
              <w:tab/>
              <w:t>Actual</w:t>
            </w:r>
          </w:p>
        </w:tc>
      </w:tr>
      <w:tr w:rsidR="006C17CB">
        <w:trPr>
          <w:trHeight w:val="510"/>
        </w:trPr>
        <w:tc>
          <w:tcPr>
            <w:tcW w:w="3622" w:type="dxa"/>
            <w:vMerge/>
            <w:tcBorders>
              <w:top w:val="nil"/>
            </w:tcBorders>
          </w:tcPr>
          <w:p w:rsidR="006C17CB" w:rsidRDefault="006C17CB">
            <w:pPr>
              <w:rPr>
                <w:sz w:val="2"/>
                <w:szCs w:val="2"/>
              </w:rPr>
            </w:pPr>
          </w:p>
        </w:tc>
        <w:tc>
          <w:tcPr>
            <w:tcW w:w="1583" w:type="dxa"/>
          </w:tcPr>
          <w:p w:rsidR="006C17CB" w:rsidRDefault="0030091C">
            <w:pPr>
              <w:pStyle w:val="TableParagraph"/>
              <w:spacing w:line="204" w:lineRule="exact"/>
              <w:ind w:right="108"/>
              <w:rPr>
                <w:b/>
                <w:sz w:val="20"/>
              </w:rPr>
            </w:pPr>
            <w:r>
              <w:rPr>
                <w:b/>
                <w:color w:val="003366"/>
                <w:w w:val="95"/>
                <w:sz w:val="20"/>
              </w:rPr>
              <w:t>Note</w:t>
            </w:r>
          </w:p>
          <w:p w:rsidR="006C17CB" w:rsidRDefault="0030091C">
            <w:pPr>
              <w:pStyle w:val="TableParagraph"/>
              <w:spacing w:line="267" w:lineRule="exact"/>
              <w:ind w:right="166"/>
              <w:rPr>
                <w:b/>
                <w:sz w:val="20"/>
              </w:rPr>
            </w:pPr>
            <w:r>
              <w:rPr>
                <w:b/>
                <w:color w:val="003366"/>
                <w:w w:val="95"/>
                <w:sz w:val="20"/>
              </w:rPr>
              <w:t>No.</w:t>
            </w:r>
          </w:p>
        </w:tc>
        <w:tc>
          <w:tcPr>
            <w:tcW w:w="3492" w:type="dxa"/>
          </w:tcPr>
          <w:p w:rsidR="006C17CB" w:rsidRDefault="0030091C">
            <w:pPr>
              <w:pStyle w:val="TableParagraph"/>
              <w:tabs>
                <w:tab w:val="left" w:pos="1874"/>
                <w:tab w:val="left" w:pos="2978"/>
              </w:tabs>
              <w:spacing w:line="204" w:lineRule="exact"/>
              <w:ind w:left="528"/>
              <w:jc w:val="left"/>
              <w:rPr>
                <w:b/>
                <w:sz w:val="20"/>
              </w:rPr>
            </w:pPr>
            <w:r>
              <w:rPr>
                <w:b/>
                <w:color w:val="003366"/>
                <w:sz w:val="20"/>
              </w:rPr>
              <w:t>2018</w:t>
            </w:r>
            <w:r>
              <w:rPr>
                <w:b/>
                <w:color w:val="003366"/>
                <w:sz w:val="20"/>
              </w:rPr>
              <w:tab/>
              <w:t>2018</w:t>
            </w:r>
            <w:r>
              <w:rPr>
                <w:b/>
                <w:color w:val="003366"/>
                <w:sz w:val="20"/>
              </w:rPr>
              <w:tab/>
              <w:t>2017</w:t>
            </w:r>
          </w:p>
          <w:p w:rsidR="006C17CB" w:rsidRDefault="0030091C">
            <w:pPr>
              <w:pStyle w:val="TableParagraph"/>
              <w:tabs>
                <w:tab w:val="left" w:pos="1824"/>
                <w:tab w:val="left" w:pos="2928"/>
              </w:tabs>
              <w:spacing w:line="267" w:lineRule="exact"/>
              <w:ind w:left="477"/>
              <w:jc w:val="left"/>
              <w:rPr>
                <w:b/>
                <w:sz w:val="20"/>
              </w:rPr>
            </w:pPr>
            <w:r>
              <w:rPr>
                <w:b/>
                <w:color w:val="003366"/>
                <w:sz w:val="20"/>
              </w:rPr>
              <w:t>$’000</w:t>
            </w:r>
            <w:r>
              <w:rPr>
                <w:b/>
                <w:color w:val="003366"/>
                <w:sz w:val="20"/>
              </w:rPr>
              <w:tab/>
              <w:t>$’000</w:t>
            </w:r>
            <w:r>
              <w:rPr>
                <w:b/>
                <w:color w:val="003366"/>
                <w:sz w:val="20"/>
              </w:rPr>
              <w:tab/>
              <w:t>$’000</w:t>
            </w:r>
          </w:p>
        </w:tc>
      </w:tr>
      <w:tr w:rsidR="006C17CB">
        <w:trPr>
          <w:trHeight w:val="284"/>
        </w:trPr>
        <w:tc>
          <w:tcPr>
            <w:tcW w:w="3622" w:type="dxa"/>
          </w:tcPr>
          <w:p w:rsidR="006C17CB" w:rsidRDefault="0030091C">
            <w:pPr>
              <w:pStyle w:val="TableParagraph"/>
              <w:spacing w:line="246" w:lineRule="exact"/>
              <w:ind w:left="50"/>
              <w:jc w:val="left"/>
              <w:rPr>
                <w:b/>
                <w:sz w:val="20"/>
              </w:rPr>
            </w:pPr>
            <w:r>
              <w:rPr>
                <w:b/>
                <w:color w:val="003366"/>
                <w:sz w:val="20"/>
              </w:rPr>
              <w:t>Current Assets</w:t>
            </w:r>
          </w:p>
        </w:tc>
        <w:tc>
          <w:tcPr>
            <w:tcW w:w="1583" w:type="dxa"/>
          </w:tcPr>
          <w:p w:rsidR="006C17CB" w:rsidRDefault="006C17CB">
            <w:pPr>
              <w:pStyle w:val="TableParagraph"/>
              <w:jc w:val="left"/>
              <w:rPr>
                <w:rFonts w:ascii="Times New Roman"/>
                <w:sz w:val="18"/>
              </w:rPr>
            </w:pPr>
          </w:p>
        </w:tc>
        <w:tc>
          <w:tcPr>
            <w:tcW w:w="3492" w:type="dxa"/>
          </w:tcPr>
          <w:p w:rsidR="006C17CB" w:rsidRDefault="006C17CB">
            <w:pPr>
              <w:pStyle w:val="TableParagraph"/>
              <w:jc w:val="left"/>
              <w:rPr>
                <w:rFonts w:ascii="Times New Roman"/>
                <w:sz w:val="18"/>
              </w:rPr>
            </w:pPr>
          </w:p>
        </w:tc>
      </w:tr>
      <w:tr w:rsidR="006C17CB">
        <w:trPr>
          <w:trHeight w:val="283"/>
        </w:trPr>
        <w:tc>
          <w:tcPr>
            <w:tcW w:w="3622" w:type="dxa"/>
          </w:tcPr>
          <w:p w:rsidR="006C17CB" w:rsidRDefault="0030091C">
            <w:pPr>
              <w:pStyle w:val="TableParagraph"/>
              <w:spacing w:line="245" w:lineRule="exact"/>
              <w:ind w:left="50"/>
              <w:jc w:val="left"/>
              <w:rPr>
                <w:sz w:val="20"/>
              </w:rPr>
            </w:pPr>
            <w:r>
              <w:rPr>
                <w:color w:val="003366"/>
                <w:sz w:val="20"/>
              </w:rPr>
              <w:t>Cash and Cash Equivalents</w:t>
            </w:r>
          </w:p>
        </w:tc>
        <w:tc>
          <w:tcPr>
            <w:tcW w:w="1583" w:type="dxa"/>
          </w:tcPr>
          <w:p w:rsidR="006C17CB" w:rsidRDefault="0030091C">
            <w:pPr>
              <w:pStyle w:val="TableParagraph"/>
              <w:spacing w:line="245" w:lineRule="exact"/>
              <w:ind w:right="213"/>
              <w:rPr>
                <w:sz w:val="20"/>
              </w:rPr>
            </w:pPr>
            <w:r>
              <w:rPr>
                <w:color w:val="003366"/>
                <w:w w:val="95"/>
                <w:sz w:val="20"/>
              </w:rPr>
              <w:t>29</w:t>
            </w:r>
          </w:p>
        </w:tc>
        <w:tc>
          <w:tcPr>
            <w:tcW w:w="3492" w:type="dxa"/>
          </w:tcPr>
          <w:p w:rsidR="006C17CB" w:rsidRDefault="0030091C">
            <w:pPr>
              <w:pStyle w:val="TableParagraph"/>
              <w:tabs>
                <w:tab w:val="left" w:pos="1975"/>
                <w:tab w:val="left" w:pos="3182"/>
              </w:tabs>
              <w:spacing w:line="245" w:lineRule="exact"/>
              <w:ind w:left="628"/>
              <w:jc w:val="left"/>
              <w:rPr>
                <w:sz w:val="20"/>
              </w:rPr>
            </w:pPr>
            <w:r>
              <w:rPr>
                <w:color w:val="003366"/>
                <w:sz w:val="20"/>
              </w:rPr>
              <w:t>102</w:t>
            </w:r>
            <w:r>
              <w:rPr>
                <w:color w:val="003366"/>
                <w:sz w:val="20"/>
              </w:rPr>
              <w:tab/>
              <w:t>436</w:t>
            </w:r>
            <w:r>
              <w:rPr>
                <w:color w:val="003366"/>
                <w:sz w:val="20"/>
              </w:rPr>
              <w:tab/>
              <w:t>41</w:t>
            </w:r>
          </w:p>
        </w:tc>
      </w:tr>
      <w:tr w:rsidR="006C17CB">
        <w:trPr>
          <w:trHeight w:val="286"/>
        </w:trPr>
        <w:tc>
          <w:tcPr>
            <w:tcW w:w="3622" w:type="dxa"/>
          </w:tcPr>
          <w:p w:rsidR="006C17CB" w:rsidRDefault="0030091C">
            <w:pPr>
              <w:pStyle w:val="TableParagraph"/>
              <w:spacing w:line="245" w:lineRule="exact"/>
              <w:ind w:left="50"/>
              <w:jc w:val="left"/>
              <w:rPr>
                <w:sz w:val="20"/>
              </w:rPr>
            </w:pPr>
            <w:r>
              <w:rPr>
                <w:color w:val="003366"/>
                <w:sz w:val="20"/>
              </w:rPr>
              <w:t>Receivables</w:t>
            </w:r>
          </w:p>
        </w:tc>
        <w:tc>
          <w:tcPr>
            <w:tcW w:w="1583" w:type="dxa"/>
          </w:tcPr>
          <w:p w:rsidR="006C17CB" w:rsidRDefault="006C17CB">
            <w:pPr>
              <w:pStyle w:val="TableParagraph"/>
              <w:jc w:val="left"/>
              <w:rPr>
                <w:rFonts w:ascii="Times New Roman"/>
                <w:sz w:val="18"/>
              </w:rPr>
            </w:pPr>
          </w:p>
        </w:tc>
        <w:tc>
          <w:tcPr>
            <w:tcW w:w="3492" w:type="dxa"/>
          </w:tcPr>
          <w:p w:rsidR="006C17CB" w:rsidRDefault="0030091C">
            <w:pPr>
              <w:pStyle w:val="TableParagraph"/>
              <w:tabs>
                <w:tab w:val="left" w:pos="832"/>
                <w:tab w:val="left" w:pos="2078"/>
                <w:tab w:val="left" w:pos="3283"/>
              </w:tabs>
              <w:spacing w:line="245" w:lineRule="exact"/>
              <w:ind w:right="-15"/>
              <w:jc w:val="left"/>
              <w:rPr>
                <w:sz w:val="20"/>
              </w:rPr>
            </w:pPr>
            <w:r>
              <w:rPr>
                <w:color w:val="003366"/>
                <w:w w:val="99"/>
                <w:sz w:val="20"/>
                <w:u w:val="single" w:color="003366"/>
              </w:rPr>
              <w:t xml:space="preserve"> </w:t>
            </w:r>
            <w:r>
              <w:rPr>
                <w:color w:val="003366"/>
                <w:sz w:val="20"/>
                <w:u w:val="single" w:color="003366"/>
              </w:rPr>
              <w:tab/>
              <w:t>6</w:t>
            </w:r>
            <w:r>
              <w:rPr>
                <w:color w:val="003366"/>
                <w:sz w:val="20"/>
                <w:u w:val="single" w:color="003366"/>
              </w:rPr>
              <w:tab/>
              <w:t>41</w:t>
            </w:r>
            <w:r>
              <w:rPr>
                <w:color w:val="003366"/>
                <w:sz w:val="20"/>
                <w:u w:val="single" w:color="003366"/>
              </w:rPr>
              <w:tab/>
              <w:t>4</w:t>
            </w:r>
            <w:r>
              <w:rPr>
                <w:color w:val="003366"/>
                <w:spacing w:val="16"/>
                <w:sz w:val="20"/>
                <w:u w:val="single" w:color="003366"/>
              </w:rPr>
              <w:t xml:space="preserve"> </w:t>
            </w:r>
          </w:p>
        </w:tc>
      </w:tr>
      <w:tr w:rsidR="006C17CB">
        <w:trPr>
          <w:trHeight w:val="429"/>
        </w:trPr>
        <w:tc>
          <w:tcPr>
            <w:tcW w:w="3622" w:type="dxa"/>
          </w:tcPr>
          <w:p w:rsidR="006C17CB" w:rsidRDefault="0030091C">
            <w:pPr>
              <w:pStyle w:val="TableParagraph"/>
              <w:spacing w:line="249" w:lineRule="exact"/>
              <w:ind w:left="50"/>
              <w:jc w:val="left"/>
              <w:rPr>
                <w:b/>
                <w:sz w:val="20"/>
              </w:rPr>
            </w:pPr>
            <w:r>
              <w:rPr>
                <w:b/>
                <w:color w:val="003366"/>
                <w:sz w:val="20"/>
              </w:rPr>
              <w:t>Total Current Assets</w:t>
            </w:r>
          </w:p>
        </w:tc>
        <w:tc>
          <w:tcPr>
            <w:tcW w:w="1583" w:type="dxa"/>
          </w:tcPr>
          <w:p w:rsidR="006C17CB" w:rsidRDefault="006C17CB">
            <w:pPr>
              <w:pStyle w:val="TableParagraph"/>
              <w:jc w:val="left"/>
              <w:rPr>
                <w:rFonts w:ascii="Times New Roman"/>
                <w:sz w:val="18"/>
              </w:rPr>
            </w:pPr>
          </w:p>
        </w:tc>
        <w:tc>
          <w:tcPr>
            <w:tcW w:w="3492" w:type="dxa"/>
          </w:tcPr>
          <w:p w:rsidR="006C17CB" w:rsidRDefault="0030091C">
            <w:pPr>
              <w:pStyle w:val="TableParagraph"/>
              <w:tabs>
                <w:tab w:val="left" w:pos="1975"/>
                <w:tab w:val="left" w:pos="3182"/>
              </w:tabs>
              <w:spacing w:line="249" w:lineRule="exact"/>
              <w:ind w:left="628"/>
              <w:jc w:val="left"/>
              <w:rPr>
                <w:b/>
                <w:sz w:val="20"/>
              </w:rPr>
            </w:pPr>
            <w:r>
              <w:rPr>
                <w:b/>
                <w:color w:val="003366"/>
                <w:sz w:val="20"/>
              </w:rPr>
              <w:t>108</w:t>
            </w:r>
            <w:r>
              <w:rPr>
                <w:b/>
                <w:color w:val="003366"/>
                <w:sz w:val="20"/>
              </w:rPr>
              <w:tab/>
              <w:t>477</w:t>
            </w:r>
            <w:r>
              <w:rPr>
                <w:b/>
                <w:color w:val="003366"/>
                <w:sz w:val="20"/>
              </w:rPr>
              <w:tab/>
              <w:t>45</w:t>
            </w:r>
          </w:p>
        </w:tc>
      </w:tr>
      <w:tr w:rsidR="006C17CB">
        <w:trPr>
          <w:trHeight w:val="425"/>
        </w:trPr>
        <w:tc>
          <w:tcPr>
            <w:tcW w:w="3622" w:type="dxa"/>
          </w:tcPr>
          <w:p w:rsidR="006C17CB" w:rsidRDefault="0030091C">
            <w:pPr>
              <w:pStyle w:val="TableParagraph"/>
              <w:spacing w:before="99"/>
              <w:ind w:left="50"/>
              <w:jc w:val="left"/>
              <w:rPr>
                <w:b/>
                <w:sz w:val="20"/>
              </w:rPr>
            </w:pPr>
            <w:r>
              <w:rPr>
                <w:b/>
                <w:color w:val="003366"/>
                <w:sz w:val="20"/>
              </w:rPr>
              <w:t>Non-Current Assets</w:t>
            </w:r>
          </w:p>
        </w:tc>
        <w:tc>
          <w:tcPr>
            <w:tcW w:w="1583" w:type="dxa"/>
          </w:tcPr>
          <w:p w:rsidR="006C17CB" w:rsidRDefault="006C17CB">
            <w:pPr>
              <w:pStyle w:val="TableParagraph"/>
              <w:jc w:val="left"/>
              <w:rPr>
                <w:rFonts w:ascii="Times New Roman"/>
                <w:sz w:val="18"/>
              </w:rPr>
            </w:pPr>
          </w:p>
        </w:tc>
        <w:tc>
          <w:tcPr>
            <w:tcW w:w="3492" w:type="dxa"/>
          </w:tcPr>
          <w:p w:rsidR="006C17CB" w:rsidRDefault="006C17CB">
            <w:pPr>
              <w:pStyle w:val="TableParagraph"/>
              <w:jc w:val="left"/>
              <w:rPr>
                <w:rFonts w:ascii="Times New Roman"/>
                <w:sz w:val="18"/>
              </w:rPr>
            </w:pPr>
          </w:p>
        </w:tc>
      </w:tr>
      <w:tr w:rsidR="006C17CB">
        <w:trPr>
          <w:trHeight w:val="286"/>
        </w:trPr>
        <w:tc>
          <w:tcPr>
            <w:tcW w:w="3622" w:type="dxa"/>
          </w:tcPr>
          <w:p w:rsidR="006C17CB" w:rsidRDefault="0030091C">
            <w:pPr>
              <w:pStyle w:val="TableParagraph"/>
              <w:spacing w:line="245" w:lineRule="exact"/>
              <w:ind w:left="50"/>
              <w:jc w:val="left"/>
              <w:rPr>
                <w:sz w:val="20"/>
              </w:rPr>
            </w:pPr>
            <w:r>
              <w:rPr>
                <w:color w:val="003366"/>
                <w:sz w:val="20"/>
              </w:rPr>
              <w:t>Property, Plant and Equipment</w:t>
            </w:r>
          </w:p>
        </w:tc>
        <w:tc>
          <w:tcPr>
            <w:tcW w:w="1583" w:type="dxa"/>
          </w:tcPr>
          <w:p w:rsidR="006C17CB" w:rsidRDefault="0030091C">
            <w:pPr>
              <w:pStyle w:val="TableParagraph"/>
              <w:spacing w:line="245" w:lineRule="exact"/>
              <w:ind w:right="213"/>
              <w:rPr>
                <w:sz w:val="20"/>
              </w:rPr>
            </w:pPr>
            <w:r>
              <w:rPr>
                <w:color w:val="003366"/>
                <w:sz w:val="20"/>
              </w:rPr>
              <w:t>30</w:t>
            </w:r>
          </w:p>
        </w:tc>
        <w:tc>
          <w:tcPr>
            <w:tcW w:w="3492" w:type="dxa"/>
          </w:tcPr>
          <w:p w:rsidR="006C17CB" w:rsidRDefault="0030091C">
            <w:pPr>
              <w:pStyle w:val="TableParagraph"/>
              <w:tabs>
                <w:tab w:val="left" w:pos="376"/>
                <w:tab w:val="left" w:pos="1723"/>
                <w:tab w:val="left" w:pos="2827"/>
              </w:tabs>
              <w:spacing w:line="245" w:lineRule="exact"/>
              <w:ind w:right="-15"/>
              <w:jc w:val="left"/>
              <w:rPr>
                <w:sz w:val="20"/>
              </w:rPr>
            </w:pPr>
            <w:r>
              <w:rPr>
                <w:color w:val="003366"/>
                <w:w w:val="99"/>
                <w:sz w:val="20"/>
                <w:u w:val="single" w:color="003366"/>
              </w:rPr>
              <w:t xml:space="preserve"> </w:t>
            </w:r>
            <w:r>
              <w:rPr>
                <w:color w:val="003366"/>
                <w:sz w:val="20"/>
                <w:u w:val="single" w:color="003366"/>
              </w:rPr>
              <w:tab/>
              <w:t>28,749</w:t>
            </w:r>
            <w:r>
              <w:rPr>
                <w:color w:val="003366"/>
                <w:sz w:val="20"/>
                <w:u w:val="single" w:color="003366"/>
              </w:rPr>
              <w:tab/>
              <w:t>32,670</w:t>
            </w:r>
            <w:r>
              <w:rPr>
                <w:color w:val="003366"/>
                <w:sz w:val="20"/>
                <w:u w:val="single" w:color="003366"/>
              </w:rPr>
              <w:tab/>
              <w:t>28,500</w:t>
            </w:r>
            <w:r>
              <w:rPr>
                <w:color w:val="003366"/>
                <w:spacing w:val="18"/>
                <w:sz w:val="20"/>
                <w:u w:val="single" w:color="003366"/>
              </w:rPr>
              <w:t xml:space="preserve"> </w:t>
            </w:r>
          </w:p>
        </w:tc>
      </w:tr>
      <w:tr w:rsidR="006C17CB">
        <w:trPr>
          <w:trHeight w:val="581"/>
        </w:trPr>
        <w:tc>
          <w:tcPr>
            <w:tcW w:w="3622" w:type="dxa"/>
          </w:tcPr>
          <w:p w:rsidR="006C17CB" w:rsidRDefault="0030091C">
            <w:pPr>
              <w:pStyle w:val="TableParagraph"/>
              <w:spacing w:line="249" w:lineRule="exact"/>
              <w:ind w:left="50"/>
              <w:jc w:val="left"/>
              <w:rPr>
                <w:b/>
                <w:sz w:val="20"/>
              </w:rPr>
            </w:pPr>
            <w:r>
              <w:rPr>
                <w:b/>
                <w:color w:val="003366"/>
                <w:sz w:val="20"/>
              </w:rPr>
              <w:t>Total Non-Current Assets</w:t>
            </w:r>
          </w:p>
        </w:tc>
        <w:tc>
          <w:tcPr>
            <w:tcW w:w="1583" w:type="dxa"/>
          </w:tcPr>
          <w:p w:rsidR="006C17CB" w:rsidRDefault="006C17CB">
            <w:pPr>
              <w:pStyle w:val="TableParagraph"/>
              <w:jc w:val="left"/>
              <w:rPr>
                <w:rFonts w:ascii="Times New Roman"/>
                <w:sz w:val="18"/>
              </w:rPr>
            </w:pPr>
          </w:p>
        </w:tc>
        <w:tc>
          <w:tcPr>
            <w:tcW w:w="3492" w:type="dxa"/>
            <w:tcBorders>
              <w:bottom w:val="single" w:sz="2" w:space="0" w:color="003366"/>
            </w:tcBorders>
          </w:tcPr>
          <w:p w:rsidR="006C17CB" w:rsidRDefault="0030091C">
            <w:pPr>
              <w:pStyle w:val="TableParagraph"/>
              <w:tabs>
                <w:tab w:val="left" w:pos="1720"/>
                <w:tab w:val="left" w:pos="2824"/>
              </w:tabs>
              <w:spacing w:line="249" w:lineRule="exact"/>
              <w:ind w:left="374"/>
              <w:jc w:val="left"/>
              <w:rPr>
                <w:b/>
                <w:sz w:val="20"/>
              </w:rPr>
            </w:pPr>
            <w:r>
              <w:rPr>
                <w:b/>
                <w:color w:val="003366"/>
                <w:sz w:val="20"/>
              </w:rPr>
              <w:t>28,749</w:t>
            </w:r>
            <w:r>
              <w:rPr>
                <w:b/>
                <w:color w:val="003366"/>
                <w:sz w:val="20"/>
              </w:rPr>
              <w:tab/>
              <w:t>32,670</w:t>
            </w:r>
            <w:r>
              <w:rPr>
                <w:b/>
                <w:color w:val="003366"/>
                <w:sz w:val="20"/>
              </w:rPr>
              <w:tab/>
              <w:t>28,500</w:t>
            </w:r>
          </w:p>
        </w:tc>
      </w:tr>
      <w:tr w:rsidR="006C17CB">
        <w:trPr>
          <w:trHeight w:val="491"/>
        </w:trPr>
        <w:tc>
          <w:tcPr>
            <w:tcW w:w="3622" w:type="dxa"/>
          </w:tcPr>
          <w:p w:rsidR="006C17CB" w:rsidRDefault="0030091C">
            <w:pPr>
              <w:pStyle w:val="TableParagraph"/>
              <w:spacing w:line="284" w:lineRule="exact"/>
              <w:ind w:left="50"/>
              <w:jc w:val="left"/>
              <w:rPr>
                <w:b/>
                <w:sz w:val="20"/>
              </w:rPr>
            </w:pPr>
            <w:r>
              <w:rPr>
                <w:b/>
                <w:color w:val="003366"/>
                <w:sz w:val="20"/>
              </w:rPr>
              <w:t>Total Assets</w:t>
            </w:r>
          </w:p>
        </w:tc>
        <w:tc>
          <w:tcPr>
            <w:tcW w:w="1583" w:type="dxa"/>
          </w:tcPr>
          <w:p w:rsidR="006C17CB" w:rsidRDefault="006C17CB">
            <w:pPr>
              <w:pStyle w:val="TableParagraph"/>
              <w:jc w:val="left"/>
              <w:rPr>
                <w:rFonts w:ascii="Times New Roman"/>
                <w:sz w:val="18"/>
              </w:rPr>
            </w:pPr>
          </w:p>
        </w:tc>
        <w:tc>
          <w:tcPr>
            <w:tcW w:w="3492" w:type="dxa"/>
            <w:tcBorders>
              <w:top w:val="single" w:sz="2" w:space="0" w:color="003366"/>
            </w:tcBorders>
          </w:tcPr>
          <w:p w:rsidR="006C17CB" w:rsidRDefault="0030091C">
            <w:pPr>
              <w:pStyle w:val="TableParagraph"/>
              <w:tabs>
                <w:tab w:val="left" w:pos="374"/>
                <w:tab w:val="left" w:pos="1720"/>
                <w:tab w:val="left" w:pos="2824"/>
              </w:tabs>
              <w:spacing w:line="284" w:lineRule="exact"/>
              <w:ind w:right="-15"/>
              <w:jc w:val="left"/>
              <w:rPr>
                <w:b/>
                <w:sz w:val="20"/>
              </w:rPr>
            </w:pPr>
            <w:r>
              <w:rPr>
                <w:b/>
                <w:color w:val="003366"/>
                <w:w w:val="99"/>
                <w:sz w:val="20"/>
                <w:u w:val="single" w:color="003366"/>
              </w:rPr>
              <w:t xml:space="preserve"> </w:t>
            </w:r>
            <w:r>
              <w:rPr>
                <w:b/>
                <w:color w:val="003366"/>
                <w:sz w:val="20"/>
                <w:u w:val="single" w:color="003366"/>
              </w:rPr>
              <w:tab/>
              <w:t>28,857</w:t>
            </w:r>
            <w:r>
              <w:rPr>
                <w:b/>
                <w:color w:val="003366"/>
                <w:sz w:val="20"/>
                <w:u w:val="single" w:color="003366"/>
              </w:rPr>
              <w:tab/>
              <w:t>33,147</w:t>
            </w:r>
            <w:r>
              <w:rPr>
                <w:b/>
                <w:color w:val="003366"/>
                <w:sz w:val="20"/>
                <w:u w:val="single" w:color="003366"/>
              </w:rPr>
              <w:tab/>
              <w:t>28,545</w:t>
            </w:r>
            <w:r>
              <w:rPr>
                <w:b/>
                <w:color w:val="003366"/>
                <w:spacing w:val="18"/>
                <w:sz w:val="20"/>
                <w:u w:val="single" w:color="003366"/>
              </w:rPr>
              <w:t xml:space="preserve"> </w:t>
            </w:r>
          </w:p>
        </w:tc>
      </w:tr>
      <w:tr w:rsidR="006C17CB">
        <w:trPr>
          <w:trHeight w:val="452"/>
        </w:trPr>
        <w:tc>
          <w:tcPr>
            <w:tcW w:w="3622" w:type="dxa"/>
          </w:tcPr>
          <w:p w:rsidR="006C17CB" w:rsidRDefault="0030091C">
            <w:pPr>
              <w:pStyle w:val="TableParagraph"/>
              <w:spacing w:before="126"/>
              <w:ind w:left="50"/>
              <w:jc w:val="left"/>
              <w:rPr>
                <w:b/>
                <w:sz w:val="20"/>
              </w:rPr>
            </w:pPr>
            <w:r>
              <w:rPr>
                <w:b/>
                <w:color w:val="003366"/>
                <w:sz w:val="20"/>
              </w:rPr>
              <w:t>Current Liabilities</w:t>
            </w:r>
          </w:p>
        </w:tc>
        <w:tc>
          <w:tcPr>
            <w:tcW w:w="1583" w:type="dxa"/>
          </w:tcPr>
          <w:p w:rsidR="006C17CB" w:rsidRDefault="006C17CB">
            <w:pPr>
              <w:pStyle w:val="TableParagraph"/>
              <w:jc w:val="left"/>
              <w:rPr>
                <w:rFonts w:ascii="Times New Roman"/>
                <w:sz w:val="18"/>
              </w:rPr>
            </w:pPr>
          </w:p>
        </w:tc>
        <w:tc>
          <w:tcPr>
            <w:tcW w:w="3492" w:type="dxa"/>
          </w:tcPr>
          <w:p w:rsidR="006C17CB" w:rsidRDefault="006C17CB">
            <w:pPr>
              <w:pStyle w:val="TableParagraph"/>
              <w:jc w:val="left"/>
              <w:rPr>
                <w:rFonts w:ascii="Times New Roman"/>
                <w:sz w:val="18"/>
              </w:rPr>
            </w:pPr>
          </w:p>
        </w:tc>
      </w:tr>
      <w:tr w:rsidR="006C17CB">
        <w:trPr>
          <w:trHeight w:val="284"/>
        </w:trPr>
        <w:tc>
          <w:tcPr>
            <w:tcW w:w="3622" w:type="dxa"/>
          </w:tcPr>
          <w:p w:rsidR="006C17CB" w:rsidRDefault="0030091C">
            <w:pPr>
              <w:pStyle w:val="TableParagraph"/>
              <w:spacing w:line="245" w:lineRule="exact"/>
              <w:ind w:left="50"/>
              <w:jc w:val="left"/>
              <w:rPr>
                <w:sz w:val="20"/>
              </w:rPr>
            </w:pPr>
            <w:r>
              <w:rPr>
                <w:color w:val="003366"/>
                <w:sz w:val="20"/>
              </w:rPr>
              <w:t>Payables</w:t>
            </w:r>
          </w:p>
        </w:tc>
        <w:tc>
          <w:tcPr>
            <w:tcW w:w="1583" w:type="dxa"/>
          </w:tcPr>
          <w:p w:rsidR="006C17CB" w:rsidRDefault="0030091C">
            <w:pPr>
              <w:pStyle w:val="TableParagraph"/>
              <w:spacing w:line="245" w:lineRule="exact"/>
              <w:ind w:right="213"/>
              <w:rPr>
                <w:sz w:val="20"/>
              </w:rPr>
            </w:pPr>
            <w:r>
              <w:rPr>
                <w:color w:val="003366"/>
                <w:sz w:val="20"/>
              </w:rPr>
              <w:t>31</w:t>
            </w:r>
          </w:p>
        </w:tc>
        <w:tc>
          <w:tcPr>
            <w:tcW w:w="3492" w:type="dxa"/>
          </w:tcPr>
          <w:p w:rsidR="006C17CB" w:rsidRDefault="0030091C">
            <w:pPr>
              <w:pStyle w:val="TableParagraph"/>
              <w:tabs>
                <w:tab w:val="left" w:pos="2078"/>
                <w:tab w:val="left" w:pos="3182"/>
              </w:tabs>
              <w:spacing w:line="245" w:lineRule="exact"/>
              <w:ind w:left="628"/>
              <w:jc w:val="left"/>
              <w:rPr>
                <w:sz w:val="20"/>
              </w:rPr>
            </w:pPr>
            <w:r>
              <w:rPr>
                <w:color w:val="003366"/>
                <w:sz w:val="20"/>
              </w:rPr>
              <w:t>101</w:t>
            </w:r>
            <w:r>
              <w:rPr>
                <w:color w:val="003366"/>
                <w:sz w:val="20"/>
              </w:rPr>
              <w:tab/>
              <w:t>39</w:t>
            </w:r>
            <w:r>
              <w:rPr>
                <w:color w:val="003366"/>
                <w:sz w:val="20"/>
              </w:rPr>
              <w:tab/>
              <w:t>84</w:t>
            </w:r>
          </w:p>
        </w:tc>
      </w:tr>
      <w:tr w:rsidR="006C17CB">
        <w:trPr>
          <w:trHeight w:val="286"/>
        </w:trPr>
        <w:tc>
          <w:tcPr>
            <w:tcW w:w="3622" w:type="dxa"/>
          </w:tcPr>
          <w:p w:rsidR="006C17CB" w:rsidRDefault="0030091C">
            <w:pPr>
              <w:pStyle w:val="TableParagraph"/>
              <w:spacing w:line="246" w:lineRule="exact"/>
              <w:ind w:left="50"/>
              <w:jc w:val="left"/>
              <w:rPr>
                <w:sz w:val="20"/>
              </w:rPr>
            </w:pPr>
            <w:r>
              <w:rPr>
                <w:color w:val="003366"/>
                <w:sz w:val="20"/>
              </w:rPr>
              <w:t>Employee Benefits</w:t>
            </w:r>
          </w:p>
        </w:tc>
        <w:tc>
          <w:tcPr>
            <w:tcW w:w="1583" w:type="dxa"/>
          </w:tcPr>
          <w:p w:rsidR="006C17CB" w:rsidRDefault="0030091C">
            <w:pPr>
              <w:pStyle w:val="TableParagraph"/>
              <w:spacing w:line="246" w:lineRule="exact"/>
              <w:ind w:right="213"/>
              <w:rPr>
                <w:sz w:val="20"/>
              </w:rPr>
            </w:pPr>
            <w:r>
              <w:rPr>
                <w:color w:val="003366"/>
                <w:sz w:val="20"/>
              </w:rPr>
              <w:t>32</w:t>
            </w:r>
          </w:p>
        </w:tc>
        <w:tc>
          <w:tcPr>
            <w:tcW w:w="3492" w:type="dxa"/>
          </w:tcPr>
          <w:p w:rsidR="006C17CB" w:rsidRDefault="0030091C">
            <w:pPr>
              <w:pStyle w:val="TableParagraph"/>
              <w:tabs>
                <w:tab w:val="left" w:pos="628"/>
                <w:tab w:val="left" w:pos="1975"/>
                <w:tab w:val="left" w:pos="3079"/>
              </w:tabs>
              <w:spacing w:line="246" w:lineRule="exact"/>
              <w:ind w:right="-15"/>
              <w:jc w:val="left"/>
              <w:rPr>
                <w:sz w:val="20"/>
              </w:rPr>
            </w:pPr>
            <w:r>
              <w:rPr>
                <w:color w:val="003366"/>
                <w:w w:val="99"/>
                <w:sz w:val="20"/>
                <w:u w:val="single" w:color="003366"/>
              </w:rPr>
              <w:t xml:space="preserve"> </w:t>
            </w:r>
            <w:r>
              <w:rPr>
                <w:color w:val="003366"/>
                <w:sz w:val="20"/>
                <w:u w:val="single" w:color="003366"/>
              </w:rPr>
              <w:tab/>
              <w:t>431</w:t>
            </w:r>
            <w:r>
              <w:rPr>
                <w:color w:val="003366"/>
                <w:sz w:val="20"/>
                <w:u w:val="single" w:color="003366"/>
              </w:rPr>
              <w:tab/>
              <w:t>815</w:t>
            </w:r>
            <w:r>
              <w:rPr>
                <w:color w:val="003366"/>
                <w:sz w:val="20"/>
                <w:u w:val="single" w:color="003366"/>
              </w:rPr>
              <w:tab/>
              <w:t>337</w:t>
            </w:r>
            <w:r>
              <w:rPr>
                <w:color w:val="003366"/>
                <w:spacing w:val="18"/>
                <w:sz w:val="20"/>
                <w:u w:val="single" w:color="003366"/>
              </w:rPr>
              <w:t xml:space="preserve"> </w:t>
            </w:r>
          </w:p>
        </w:tc>
      </w:tr>
      <w:tr w:rsidR="006C17CB">
        <w:trPr>
          <w:trHeight w:val="452"/>
        </w:trPr>
        <w:tc>
          <w:tcPr>
            <w:tcW w:w="3622" w:type="dxa"/>
          </w:tcPr>
          <w:p w:rsidR="006C17CB" w:rsidRDefault="0030091C">
            <w:pPr>
              <w:pStyle w:val="TableParagraph"/>
              <w:spacing w:line="248" w:lineRule="exact"/>
              <w:ind w:left="50"/>
              <w:jc w:val="left"/>
              <w:rPr>
                <w:b/>
                <w:sz w:val="20"/>
              </w:rPr>
            </w:pPr>
            <w:r>
              <w:rPr>
                <w:b/>
                <w:color w:val="003366"/>
                <w:sz w:val="20"/>
              </w:rPr>
              <w:t>Total Current Liabilities</w:t>
            </w:r>
          </w:p>
        </w:tc>
        <w:tc>
          <w:tcPr>
            <w:tcW w:w="1583" w:type="dxa"/>
          </w:tcPr>
          <w:p w:rsidR="006C17CB" w:rsidRDefault="006C17CB">
            <w:pPr>
              <w:pStyle w:val="TableParagraph"/>
              <w:jc w:val="left"/>
              <w:rPr>
                <w:rFonts w:ascii="Times New Roman"/>
                <w:sz w:val="18"/>
              </w:rPr>
            </w:pPr>
          </w:p>
        </w:tc>
        <w:tc>
          <w:tcPr>
            <w:tcW w:w="3492" w:type="dxa"/>
          </w:tcPr>
          <w:p w:rsidR="006C17CB" w:rsidRDefault="0030091C">
            <w:pPr>
              <w:pStyle w:val="TableParagraph"/>
              <w:tabs>
                <w:tab w:val="left" w:pos="1975"/>
                <w:tab w:val="left" w:pos="3079"/>
              </w:tabs>
              <w:spacing w:line="248" w:lineRule="exact"/>
              <w:ind w:left="628"/>
              <w:jc w:val="left"/>
              <w:rPr>
                <w:b/>
                <w:sz w:val="20"/>
              </w:rPr>
            </w:pPr>
            <w:r>
              <w:rPr>
                <w:b/>
                <w:color w:val="003366"/>
                <w:sz w:val="20"/>
              </w:rPr>
              <w:t>532</w:t>
            </w:r>
            <w:r>
              <w:rPr>
                <w:b/>
                <w:color w:val="003366"/>
                <w:sz w:val="20"/>
              </w:rPr>
              <w:tab/>
              <w:t>854</w:t>
            </w:r>
            <w:r>
              <w:rPr>
                <w:b/>
                <w:color w:val="003366"/>
                <w:sz w:val="20"/>
              </w:rPr>
              <w:tab/>
              <w:t>421</w:t>
            </w:r>
          </w:p>
        </w:tc>
      </w:tr>
      <w:tr w:rsidR="006C17CB">
        <w:trPr>
          <w:trHeight w:val="451"/>
        </w:trPr>
        <w:tc>
          <w:tcPr>
            <w:tcW w:w="3622" w:type="dxa"/>
          </w:tcPr>
          <w:p w:rsidR="006C17CB" w:rsidRDefault="0030091C">
            <w:pPr>
              <w:pStyle w:val="TableParagraph"/>
              <w:spacing w:before="123"/>
              <w:ind w:left="50"/>
              <w:jc w:val="left"/>
              <w:rPr>
                <w:b/>
                <w:sz w:val="20"/>
              </w:rPr>
            </w:pPr>
            <w:r>
              <w:rPr>
                <w:b/>
                <w:color w:val="003366"/>
                <w:sz w:val="20"/>
              </w:rPr>
              <w:t>Non-Current Liabilities</w:t>
            </w:r>
          </w:p>
        </w:tc>
        <w:tc>
          <w:tcPr>
            <w:tcW w:w="1583" w:type="dxa"/>
          </w:tcPr>
          <w:p w:rsidR="006C17CB" w:rsidRDefault="006C17CB">
            <w:pPr>
              <w:pStyle w:val="TableParagraph"/>
              <w:jc w:val="left"/>
              <w:rPr>
                <w:rFonts w:ascii="Times New Roman"/>
                <w:sz w:val="18"/>
              </w:rPr>
            </w:pPr>
          </w:p>
        </w:tc>
        <w:tc>
          <w:tcPr>
            <w:tcW w:w="3492" w:type="dxa"/>
          </w:tcPr>
          <w:p w:rsidR="006C17CB" w:rsidRDefault="006C17CB">
            <w:pPr>
              <w:pStyle w:val="TableParagraph"/>
              <w:jc w:val="left"/>
              <w:rPr>
                <w:rFonts w:ascii="Times New Roman"/>
                <w:sz w:val="18"/>
              </w:rPr>
            </w:pPr>
          </w:p>
        </w:tc>
      </w:tr>
      <w:tr w:rsidR="006C17CB">
        <w:trPr>
          <w:trHeight w:val="286"/>
        </w:trPr>
        <w:tc>
          <w:tcPr>
            <w:tcW w:w="3622" w:type="dxa"/>
          </w:tcPr>
          <w:p w:rsidR="006C17CB" w:rsidRDefault="0030091C">
            <w:pPr>
              <w:pStyle w:val="TableParagraph"/>
              <w:spacing w:line="246" w:lineRule="exact"/>
              <w:ind w:left="50"/>
              <w:jc w:val="left"/>
              <w:rPr>
                <w:sz w:val="20"/>
              </w:rPr>
            </w:pPr>
            <w:r>
              <w:rPr>
                <w:color w:val="003366"/>
                <w:sz w:val="20"/>
              </w:rPr>
              <w:t>Employee Benefits</w:t>
            </w:r>
          </w:p>
        </w:tc>
        <w:tc>
          <w:tcPr>
            <w:tcW w:w="1583" w:type="dxa"/>
          </w:tcPr>
          <w:p w:rsidR="006C17CB" w:rsidRDefault="0030091C">
            <w:pPr>
              <w:pStyle w:val="TableParagraph"/>
              <w:spacing w:line="246" w:lineRule="exact"/>
              <w:ind w:right="213"/>
              <w:rPr>
                <w:sz w:val="20"/>
              </w:rPr>
            </w:pPr>
            <w:r>
              <w:rPr>
                <w:color w:val="003366"/>
                <w:sz w:val="20"/>
              </w:rPr>
              <w:t>32</w:t>
            </w:r>
          </w:p>
        </w:tc>
        <w:tc>
          <w:tcPr>
            <w:tcW w:w="3492" w:type="dxa"/>
          </w:tcPr>
          <w:p w:rsidR="006C17CB" w:rsidRDefault="0030091C">
            <w:pPr>
              <w:pStyle w:val="TableParagraph"/>
              <w:tabs>
                <w:tab w:val="left" w:pos="871"/>
                <w:tab w:val="left" w:pos="2179"/>
                <w:tab w:val="left" w:pos="3321"/>
              </w:tabs>
              <w:spacing w:line="246" w:lineRule="exact"/>
              <w:ind w:right="-15"/>
              <w:jc w:val="left"/>
              <w:rPr>
                <w:sz w:val="20"/>
              </w:rPr>
            </w:pPr>
            <w:r>
              <w:rPr>
                <w:color w:val="003366"/>
                <w:w w:val="99"/>
                <w:sz w:val="20"/>
                <w:u w:val="single" w:color="003366"/>
              </w:rPr>
              <w:t xml:space="preserve"> </w:t>
            </w:r>
            <w:r>
              <w:rPr>
                <w:color w:val="003366"/>
                <w:sz w:val="20"/>
                <w:u w:val="single" w:color="003366"/>
              </w:rPr>
              <w:tab/>
              <w:t>-</w:t>
            </w:r>
            <w:r>
              <w:rPr>
                <w:color w:val="003366"/>
                <w:sz w:val="20"/>
                <w:u w:val="single" w:color="003366"/>
              </w:rPr>
              <w:tab/>
              <w:t>9</w:t>
            </w:r>
            <w:r>
              <w:rPr>
                <w:color w:val="003366"/>
                <w:sz w:val="20"/>
                <w:u w:val="single" w:color="003366"/>
              </w:rPr>
              <w:tab/>
              <w:t>-</w:t>
            </w:r>
            <w:r>
              <w:rPr>
                <w:color w:val="003366"/>
                <w:spacing w:val="17"/>
                <w:sz w:val="20"/>
                <w:u w:val="single" w:color="003366"/>
              </w:rPr>
              <w:t xml:space="preserve"> </w:t>
            </w:r>
          </w:p>
        </w:tc>
      </w:tr>
      <w:tr w:rsidR="006C17CB">
        <w:trPr>
          <w:trHeight w:val="579"/>
        </w:trPr>
        <w:tc>
          <w:tcPr>
            <w:tcW w:w="3622" w:type="dxa"/>
          </w:tcPr>
          <w:p w:rsidR="006C17CB" w:rsidRDefault="0030091C">
            <w:pPr>
              <w:pStyle w:val="TableParagraph"/>
              <w:spacing w:line="248" w:lineRule="exact"/>
              <w:ind w:left="50"/>
              <w:jc w:val="left"/>
              <w:rPr>
                <w:b/>
                <w:sz w:val="20"/>
              </w:rPr>
            </w:pPr>
            <w:r>
              <w:rPr>
                <w:b/>
                <w:color w:val="003366"/>
                <w:sz w:val="20"/>
              </w:rPr>
              <w:t>Total Non-Current Liabilities</w:t>
            </w:r>
          </w:p>
        </w:tc>
        <w:tc>
          <w:tcPr>
            <w:tcW w:w="1583" w:type="dxa"/>
          </w:tcPr>
          <w:p w:rsidR="006C17CB" w:rsidRDefault="006C17CB">
            <w:pPr>
              <w:pStyle w:val="TableParagraph"/>
              <w:jc w:val="left"/>
              <w:rPr>
                <w:rFonts w:ascii="Times New Roman"/>
                <w:sz w:val="18"/>
              </w:rPr>
            </w:pPr>
          </w:p>
        </w:tc>
        <w:tc>
          <w:tcPr>
            <w:tcW w:w="3492" w:type="dxa"/>
            <w:tcBorders>
              <w:bottom w:val="single" w:sz="4" w:space="0" w:color="003366"/>
            </w:tcBorders>
          </w:tcPr>
          <w:p w:rsidR="006C17CB" w:rsidRDefault="0030091C">
            <w:pPr>
              <w:pStyle w:val="TableParagraph"/>
              <w:tabs>
                <w:tab w:val="left" w:pos="2179"/>
                <w:tab w:val="left" w:pos="3321"/>
              </w:tabs>
              <w:spacing w:line="248" w:lineRule="exact"/>
              <w:ind w:left="871"/>
              <w:jc w:val="left"/>
              <w:rPr>
                <w:b/>
                <w:sz w:val="20"/>
              </w:rPr>
            </w:pPr>
            <w:r>
              <w:rPr>
                <w:b/>
                <w:color w:val="003366"/>
                <w:sz w:val="20"/>
              </w:rPr>
              <w:t>-</w:t>
            </w:r>
            <w:r>
              <w:rPr>
                <w:b/>
                <w:color w:val="003366"/>
                <w:sz w:val="20"/>
              </w:rPr>
              <w:tab/>
              <w:t>9</w:t>
            </w:r>
            <w:r>
              <w:rPr>
                <w:b/>
                <w:color w:val="003366"/>
                <w:sz w:val="20"/>
              </w:rPr>
              <w:tab/>
              <w:t>-</w:t>
            </w:r>
          </w:p>
        </w:tc>
      </w:tr>
      <w:tr w:rsidR="006C17CB">
        <w:trPr>
          <w:trHeight w:val="628"/>
        </w:trPr>
        <w:tc>
          <w:tcPr>
            <w:tcW w:w="3622" w:type="dxa"/>
          </w:tcPr>
          <w:p w:rsidR="006C17CB" w:rsidRDefault="0030091C">
            <w:pPr>
              <w:pStyle w:val="TableParagraph"/>
              <w:spacing w:line="286" w:lineRule="exact"/>
              <w:ind w:left="50"/>
              <w:jc w:val="left"/>
              <w:rPr>
                <w:b/>
                <w:sz w:val="20"/>
              </w:rPr>
            </w:pPr>
            <w:r>
              <w:rPr>
                <w:b/>
                <w:color w:val="003366"/>
                <w:sz w:val="20"/>
              </w:rPr>
              <w:t>Total Liabilities</w:t>
            </w:r>
          </w:p>
        </w:tc>
        <w:tc>
          <w:tcPr>
            <w:tcW w:w="1583" w:type="dxa"/>
          </w:tcPr>
          <w:p w:rsidR="006C17CB" w:rsidRDefault="006C17CB">
            <w:pPr>
              <w:pStyle w:val="TableParagraph"/>
              <w:jc w:val="left"/>
              <w:rPr>
                <w:rFonts w:ascii="Times New Roman"/>
                <w:sz w:val="18"/>
              </w:rPr>
            </w:pPr>
          </w:p>
        </w:tc>
        <w:tc>
          <w:tcPr>
            <w:tcW w:w="3492" w:type="dxa"/>
            <w:tcBorders>
              <w:top w:val="single" w:sz="4" w:space="0" w:color="003366"/>
              <w:bottom w:val="single" w:sz="4" w:space="0" w:color="003366"/>
            </w:tcBorders>
          </w:tcPr>
          <w:p w:rsidR="006C17CB" w:rsidRDefault="0030091C">
            <w:pPr>
              <w:pStyle w:val="TableParagraph"/>
              <w:tabs>
                <w:tab w:val="left" w:pos="628"/>
                <w:tab w:val="left" w:pos="1975"/>
                <w:tab w:val="left" w:pos="3079"/>
              </w:tabs>
              <w:spacing w:line="286" w:lineRule="exact"/>
              <w:ind w:right="-15"/>
              <w:jc w:val="left"/>
              <w:rPr>
                <w:b/>
                <w:sz w:val="20"/>
              </w:rPr>
            </w:pPr>
            <w:r>
              <w:rPr>
                <w:b/>
                <w:color w:val="003366"/>
                <w:w w:val="99"/>
                <w:sz w:val="20"/>
                <w:u w:val="single" w:color="003366"/>
              </w:rPr>
              <w:t xml:space="preserve"> </w:t>
            </w:r>
            <w:r>
              <w:rPr>
                <w:b/>
                <w:color w:val="003366"/>
                <w:sz w:val="20"/>
                <w:u w:val="single" w:color="003366"/>
              </w:rPr>
              <w:tab/>
              <w:t>532</w:t>
            </w:r>
            <w:r>
              <w:rPr>
                <w:b/>
                <w:color w:val="003366"/>
                <w:sz w:val="20"/>
                <w:u w:val="single" w:color="003366"/>
              </w:rPr>
              <w:tab/>
              <w:t>863</w:t>
            </w:r>
            <w:r>
              <w:rPr>
                <w:b/>
                <w:color w:val="003366"/>
                <w:sz w:val="20"/>
                <w:u w:val="single" w:color="003366"/>
              </w:rPr>
              <w:tab/>
              <w:t>421</w:t>
            </w:r>
            <w:r>
              <w:rPr>
                <w:b/>
                <w:color w:val="003366"/>
                <w:spacing w:val="18"/>
                <w:sz w:val="20"/>
                <w:u w:val="single" w:color="003366"/>
              </w:rPr>
              <w:t xml:space="preserve"> </w:t>
            </w:r>
          </w:p>
        </w:tc>
      </w:tr>
      <w:tr w:rsidR="006C17CB">
        <w:trPr>
          <w:trHeight w:val="282"/>
        </w:trPr>
        <w:tc>
          <w:tcPr>
            <w:tcW w:w="3622" w:type="dxa"/>
          </w:tcPr>
          <w:p w:rsidR="006C17CB" w:rsidRDefault="0030091C">
            <w:pPr>
              <w:pStyle w:val="TableParagraph"/>
              <w:spacing w:line="262" w:lineRule="exact"/>
              <w:ind w:left="50"/>
              <w:jc w:val="left"/>
              <w:rPr>
                <w:b/>
                <w:sz w:val="20"/>
              </w:rPr>
            </w:pPr>
            <w:r>
              <w:rPr>
                <w:b/>
                <w:color w:val="003366"/>
                <w:sz w:val="20"/>
              </w:rPr>
              <w:t>Net Assets</w:t>
            </w:r>
          </w:p>
        </w:tc>
        <w:tc>
          <w:tcPr>
            <w:tcW w:w="1583" w:type="dxa"/>
          </w:tcPr>
          <w:p w:rsidR="006C17CB" w:rsidRDefault="006C17CB">
            <w:pPr>
              <w:pStyle w:val="TableParagraph"/>
              <w:jc w:val="left"/>
              <w:rPr>
                <w:rFonts w:ascii="Times New Roman"/>
                <w:sz w:val="18"/>
              </w:rPr>
            </w:pPr>
          </w:p>
        </w:tc>
        <w:tc>
          <w:tcPr>
            <w:tcW w:w="3492" w:type="dxa"/>
            <w:tcBorders>
              <w:top w:val="single" w:sz="4" w:space="0" w:color="003366"/>
              <w:bottom w:val="double" w:sz="1" w:space="0" w:color="003366"/>
            </w:tcBorders>
          </w:tcPr>
          <w:p w:rsidR="006C17CB" w:rsidRDefault="0030091C">
            <w:pPr>
              <w:pStyle w:val="TableParagraph"/>
              <w:tabs>
                <w:tab w:val="left" w:pos="1720"/>
                <w:tab w:val="left" w:pos="2824"/>
              </w:tabs>
              <w:spacing w:line="262" w:lineRule="exact"/>
              <w:ind w:left="374"/>
              <w:jc w:val="left"/>
              <w:rPr>
                <w:b/>
                <w:sz w:val="20"/>
              </w:rPr>
            </w:pPr>
            <w:r>
              <w:rPr>
                <w:b/>
                <w:color w:val="003366"/>
                <w:sz w:val="20"/>
              </w:rPr>
              <w:t>28,325</w:t>
            </w:r>
            <w:r>
              <w:rPr>
                <w:b/>
                <w:color w:val="003366"/>
                <w:sz w:val="20"/>
              </w:rPr>
              <w:tab/>
              <w:t>32,284</w:t>
            </w:r>
            <w:r>
              <w:rPr>
                <w:b/>
                <w:color w:val="003366"/>
                <w:sz w:val="20"/>
              </w:rPr>
              <w:tab/>
              <w:t>28,124</w:t>
            </w:r>
          </w:p>
        </w:tc>
      </w:tr>
      <w:tr w:rsidR="006C17CB">
        <w:trPr>
          <w:trHeight w:val="657"/>
        </w:trPr>
        <w:tc>
          <w:tcPr>
            <w:tcW w:w="3622" w:type="dxa"/>
          </w:tcPr>
          <w:p w:rsidR="006C17CB" w:rsidRDefault="006C17CB">
            <w:pPr>
              <w:pStyle w:val="TableParagraph"/>
              <w:spacing w:before="14"/>
              <w:jc w:val="left"/>
              <w:rPr>
                <w:b/>
              </w:rPr>
            </w:pPr>
          </w:p>
          <w:p w:rsidR="006C17CB" w:rsidRDefault="0030091C">
            <w:pPr>
              <w:pStyle w:val="TableParagraph"/>
              <w:ind w:left="50"/>
              <w:jc w:val="left"/>
              <w:rPr>
                <w:b/>
                <w:sz w:val="20"/>
              </w:rPr>
            </w:pPr>
            <w:r>
              <w:rPr>
                <w:b/>
                <w:color w:val="003366"/>
                <w:sz w:val="20"/>
              </w:rPr>
              <w:t>Equity</w:t>
            </w:r>
          </w:p>
        </w:tc>
        <w:tc>
          <w:tcPr>
            <w:tcW w:w="1583" w:type="dxa"/>
          </w:tcPr>
          <w:p w:rsidR="006C17CB" w:rsidRDefault="006C17CB">
            <w:pPr>
              <w:pStyle w:val="TableParagraph"/>
              <w:jc w:val="left"/>
              <w:rPr>
                <w:rFonts w:ascii="Times New Roman"/>
                <w:sz w:val="18"/>
              </w:rPr>
            </w:pPr>
          </w:p>
        </w:tc>
        <w:tc>
          <w:tcPr>
            <w:tcW w:w="3492" w:type="dxa"/>
            <w:tcBorders>
              <w:top w:val="double" w:sz="1" w:space="0" w:color="003366"/>
            </w:tcBorders>
          </w:tcPr>
          <w:p w:rsidR="006C17CB" w:rsidRDefault="006C17CB">
            <w:pPr>
              <w:pStyle w:val="TableParagraph"/>
              <w:jc w:val="left"/>
              <w:rPr>
                <w:rFonts w:ascii="Times New Roman"/>
                <w:sz w:val="18"/>
              </w:rPr>
            </w:pPr>
          </w:p>
        </w:tc>
      </w:tr>
      <w:tr w:rsidR="006C17CB">
        <w:trPr>
          <w:trHeight w:val="283"/>
        </w:trPr>
        <w:tc>
          <w:tcPr>
            <w:tcW w:w="3622" w:type="dxa"/>
          </w:tcPr>
          <w:p w:rsidR="006C17CB" w:rsidRDefault="0030091C">
            <w:pPr>
              <w:pStyle w:val="TableParagraph"/>
              <w:spacing w:line="245" w:lineRule="exact"/>
              <w:ind w:left="50"/>
              <w:jc w:val="left"/>
              <w:rPr>
                <w:sz w:val="20"/>
              </w:rPr>
            </w:pPr>
            <w:r>
              <w:rPr>
                <w:color w:val="003366"/>
                <w:sz w:val="20"/>
              </w:rPr>
              <w:t>Accumulated Funds</w:t>
            </w:r>
          </w:p>
        </w:tc>
        <w:tc>
          <w:tcPr>
            <w:tcW w:w="1583" w:type="dxa"/>
          </w:tcPr>
          <w:p w:rsidR="006C17CB" w:rsidRDefault="006C17CB">
            <w:pPr>
              <w:pStyle w:val="TableParagraph"/>
              <w:jc w:val="left"/>
              <w:rPr>
                <w:rFonts w:ascii="Times New Roman"/>
                <w:sz w:val="18"/>
              </w:rPr>
            </w:pPr>
          </w:p>
        </w:tc>
        <w:tc>
          <w:tcPr>
            <w:tcW w:w="3492" w:type="dxa"/>
          </w:tcPr>
          <w:p w:rsidR="006C17CB" w:rsidRDefault="0030091C">
            <w:pPr>
              <w:pStyle w:val="TableParagraph"/>
              <w:tabs>
                <w:tab w:val="left" w:pos="1723"/>
                <w:tab w:val="left" w:pos="2827"/>
              </w:tabs>
              <w:spacing w:line="245" w:lineRule="exact"/>
              <w:ind w:left="376"/>
              <w:jc w:val="left"/>
              <w:rPr>
                <w:sz w:val="20"/>
              </w:rPr>
            </w:pPr>
            <w:r>
              <w:rPr>
                <w:color w:val="003366"/>
                <w:sz w:val="20"/>
              </w:rPr>
              <w:t>15,407</w:t>
            </w:r>
            <w:r>
              <w:rPr>
                <w:color w:val="003366"/>
                <w:sz w:val="20"/>
              </w:rPr>
              <w:tab/>
              <w:t>14,076</w:t>
            </w:r>
            <w:r>
              <w:rPr>
                <w:color w:val="003366"/>
                <w:sz w:val="20"/>
              </w:rPr>
              <w:tab/>
              <w:t>15,206</w:t>
            </w:r>
          </w:p>
        </w:tc>
      </w:tr>
      <w:tr w:rsidR="006C17CB">
        <w:trPr>
          <w:trHeight w:val="286"/>
        </w:trPr>
        <w:tc>
          <w:tcPr>
            <w:tcW w:w="3622" w:type="dxa"/>
          </w:tcPr>
          <w:p w:rsidR="006C17CB" w:rsidRDefault="0030091C">
            <w:pPr>
              <w:pStyle w:val="TableParagraph"/>
              <w:spacing w:line="245" w:lineRule="exact"/>
              <w:ind w:left="50"/>
              <w:jc w:val="left"/>
              <w:rPr>
                <w:sz w:val="20"/>
              </w:rPr>
            </w:pPr>
            <w:r>
              <w:rPr>
                <w:color w:val="003366"/>
                <w:sz w:val="20"/>
              </w:rPr>
              <w:t>Asset Revaluation Surplus</w:t>
            </w:r>
          </w:p>
        </w:tc>
        <w:tc>
          <w:tcPr>
            <w:tcW w:w="1583" w:type="dxa"/>
          </w:tcPr>
          <w:p w:rsidR="006C17CB" w:rsidRDefault="006C17CB">
            <w:pPr>
              <w:pStyle w:val="TableParagraph"/>
              <w:jc w:val="left"/>
              <w:rPr>
                <w:rFonts w:ascii="Times New Roman"/>
                <w:sz w:val="18"/>
              </w:rPr>
            </w:pPr>
          </w:p>
        </w:tc>
        <w:tc>
          <w:tcPr>
            <w:tcW w:w="3492" w:type="dxa"/>
          </w:tcPr>
          <w:p w:rsidR="006C17CB" w:rsidRDefault="0030091C">
            <w:pPr>
              <w:pStyle w:val="TableParagraph"/>
              <w:tabs>
                <w:tab w:val="left" w:pos="376"/>
                <w:tab w:val="left" w:pos="1723"/>
                <w:tab w:val="left" w:pos="2827"/>
              </w:tabs>
              <w:spacing w:line="245" w:lineRule="exact"/>
              <w:ind w:right="-15"/>
              <w:jc w:val="left"/>
              <w:rPr>
                <w:sz w:val="20"/>
              </w:rPr>
            </w:pPr>
            <w:r>
              <w:rPr>
                <w:color w:val="003366"/>
                <w:w w:val="99"/>
                <w:sz w:val="20"/>
                <w:u w:val="single" w:color="003366"/>
              </w:rPr>
              <w:t xml:space="preserve"> </w:t>
            </w:r>
            <w:r>
              <w:rPr>
                <w:color w:val="003366"/>
                <w:sz w:val="20"/>
                <w:u w:val="single" w:color="003366"/>
              </w:rPr>
              <w:tab/>
              <w:t>12,918</w:t>
            </w:r>
            <w:r>
              <w:rPr>
                <w:color w:val="003366"/>
                <w:sz w:val="20"/>
                <w:u w:val="single" w:color="003366"/>
              </w:rPr>
              <w:tab/>
              <w:t>18,208</w:t>
            </w:r>
            <w:r>
              <w:rPr>
                <w:color w:val="003366"/>
                <w:sz w:val="20"/>
                <w:u w:val="single" w:color="003366"/>
              </w:rPr>
              <w:tab/>
              <w:t>12,918</w:t>
            </w:r>
            <w:r>
              <w:rPr>
                <w:color w:val="003366"/>
                <w:spacing w:val="18"/>
                <w:sz w:val="20"/>
                <w:u w:val="single" w:color="003366"/>
              </w:rPr>
              <w:t xml:space="preserve"> </w:t>
            </w:r>
          </w:p>
        </w:tc>
      </w:tr>
      <w:tr w:rsidR="006C17CB">
        <w:trPr>
          <w:trHeight w:val="247"/>
        </w:trPr>
        <w:tc>
          <w:tcPr>
            <w:tcW w:w="3622" w:type="dxa"/>
          </w:tcPr>
          <w:p w:rsidR="006C17CB" w:rsidRDefault="0030091C">
            <w:pPr>
              <w:pStyle w:val="TableParagraph"/>
              <w:spacing w:line="227" w:lineRule="exact"/>
              <w:ind w:left="50"/>
              <w:jc w:val="left"/>
              <w:rPr>
                <w:b/>
                <w:sz w:val="20"/>
              </w:rPr>
            </w:pPr>
            <w:r>
              <w:rPr>
                <w:b/>
                <w:color w:val="003366"/>
                <w:sz w:val="20"/>
              </w:rPr>
              <w:t>Total Equity</w:t>
            </w:r>
          </w:p>
        </w:tc>
        <w:tc>
          <w:tcPr>
            <w:tcW w:w="1583" w:type="dxa"/>
          </w:tcPr>
          <w:p w:rsidR="006C17CB" w:rsidRDefault="006C17CB">
            <w:pPr>
              <w:pStyle w:val="TableParagraph"/>
              <w:jc w:val="left"/>
              <w:rPr>
                <w:rFonts w:ascii="Times New Roman"/>
                <w:sz w:val="18"/>
              </w:rPr>
            </w:pPr>
          </w:p>
        </w:tc>
        <w:tc>
          <w:tcPr>
            <w:tcW w:w="3492" w:type="dxa"/>
            <w:tcBorders>
              <w:bottom w:val="double" w:sz="1" w:space="0" w:color="003366"/>
            </w:tcBorders>
          </w:tcPr>
          <w:p w:rsidR="006C17CB" w:rsidRDefault="0030091C">
            <w:pPr>
              <w:pStyle w:val="TableParagraph"/>
              <w:tabs>
                <w:tab w:val="left" w:pos="1720"/>
                <w:tab w:val="left" w:pos="2824"/>
              </w:tabs>
              <w:spacing w:line="227" w:lineRule="exact"/>
              <w:ind w:left="374"/>
              <w:jc w:val="left"/>
              <w:rPr>
                <w:b/>
                <w:sz w:val="20"/>
              </w:rPr>
            </w:pPr>
            <w:r>
              <w:rPr>
                <w:b/>
                <w:color w:val="003366"/>
                <w:sz w:val="20"/>
              </w:rPr>
              <w:t>28,325</w:t>
            </w:r>
            <w:r>
              <w:rPr>
                <w:b/>
                <w:color w:val="003366"/>
                <w:sz w:val="20"/>
              </w:rPr>
              <w:tab/>
              <w:t>32,284</w:t>
            </w:r>
            <w:r>
              <w:rPr>
                <w:b/>
                <w:color w:val="003366"/>
                <w:sz w:val="20"/>
              </w:rPr>
              <w:tab/>
              <w:t>28,124</w:t>
            </w:r>
          </w:p>
        </w:tc>
      </w:tr>
    </w:tbl>
    <w:p w:rsidR="006C17CB" w:rsidRDefault="006C17CB">
      <w:pPr>
        <w:pStyle w:val="BodyText"/>
        <w:spacing w:before="7"/>
        <w:rPr>
          <w:rFonts w:ascii="Calibri"/>
          <w:b/>
          <w:sz w:val="31"/>
        </w:rPr>
      </w:pPr>
    </w:p>
    <w:p w:rsidR="006C17CB" w:rsidRDefault="0030091C">
      <w:pPr>
        <w:spacing w:line="201" w:lineRule="auto"/>
        <w:ind w:left="829" w:right="1941"/>
        <w:rPr>
          <w:rFonts w:ascii="Calibri"/>
          <w:sz w:val="16"/>
        </w:rPr>
      </w:pPr>
      <w:r>
        <w:rPr>
          <w:rFonts w:ascii="Calibri"/>
          <w:color w:val="003366"/>
          <w:sz w:val="16"/>
        </w:rPr>
        <w:t>The above Statement of Assets and Liabilities on Behalf of the Territory should be read in conjunction with the accompanying notes.</w:t>
      </w:r>
    </w:p>
    <w:p w:rsidR="006C17CB" w:rsidRDefault="006C17CB">
      <w:pPr>
        <w:spacing w:line="201" w:lineRule="auto"/>
        <w:rPr>
          <w:rFonts w:ascii="Calibri"/>
          <w:sz w:val="16"/>
        </w:rPr>
        <w:sectPr w:rsidR="006C17CB">
          <w:pgSz w:w="11910" w:h="16840"/>
          <w:pgMar w:top="1440" w:right="0" w:bottom="720" w:left="980" w:header="1174" w:footer="523" w:gutter="0"/>
          <w:cols w:space="720"/>
        </w:sectPr>
      </w:pPr>
    </w:p>
    <w:p w:rsidR="006C17CB" w:rsidRDefault="0030091C">
      <w:pPr>
        <w:pStyle w:val="Heading5"/>
        <w:spacing w:line="201" w:lineRule="auto"/>
        <w:ind w:left="3222" w:right="2467" w:hanging="1436"/>
      </w:pPr>
      <w:r>
        <w:rPr>
          <w:color w:val="003366"/>
        </w:rPr>
        <w:t>Statement of Changes in Equity on Behalf of the Territory For the Year Ended 30 June 2018</w:t>
      </w:r>
    </w:p>
    <w:p w:rsidR="006C17CB" w:rsidRDefault="006C17CB">
      <w:pPr>
        <w:pStyle w:val="BodyText"/>
        <w:spacing w:before="4"/>
        <w:rPr>
          <w:rFonts w:ascii="Calibri"/>
          <w:b/>
          <w:sz w:val="20"/>
        </w:rPr>
      </w:pPr>
    </w:p>
    <w:tbl>
      <w:tblPr>
        <w:tblW w:w="0" w:type="auto"/>
        <w:tblInd w:w="777" w:type="dxa"/>
        <w:tblLayout w:type="fixed"/>
        <w:tblCellMar>
          <w:left w:w="0" w:type="dxa"/>
          <w:right w:w="0" w:type="dxa"/>
        </w:tblCellMar>
        <w:tblLook w:val="01E0" w:firstRow="1" w:lastRow="1" w:firstColumn="1" w:lastColumn="1" w:noHBand="0" w:noVBand="0"/>
      </w:tblPr>
      <w:tblGrid>
        <w:gridCol w:w="4075"/>
        <w:gridCol w:w="1346"/>
        <w:gridCol w:w="1415"/>
        <w:gridCol w:w="989"/>
        <w:gridCol w:w="961"/>
      </w:tblGrid>
      <w:tr w:rsidR="006C17CB">
        <w:trPr>
          <w:trHeight w:val="954"/>
        </w:trPr>
        <w:tc>
          <w:tcPr>
            <w:tcW w:w="5421" w:type="dxa"/>
            <w:gridSpan w:val="2"/>
          </w:tcPr>
          <w:p w:rsidR="006C17CB" w:rsidRDefault="0030091C">
            <w:pPr>
              <w:pStyle w:val="TableParagraph"/>
              <w:spacing w:before="157" w:line="267" w:lineRule="exact"/>
              <w:ind w:right="173"/>
              <w:rPr>
                <w:b/>
                <w:sz w:val="20"/>
              </w:rPr>
            </w:pPr>
            <w:r>
              <w:rPr>
                <w:b/>
                <w:color w:val="003366"/>
                <w:sz w:val="20"/>
              </w:rPr>
              <w:t>Accumulated</w:t>
            </w:r>
          </w:p>
          <w:p w:rsidR="006C17CB" w:rsidRDefault="0030091C">
            <w:pPr>
              <w:pStyle w:val="TableParagraph"/>
              <w:spacing w:before="13" w:line="204" w:lineRule="auto"/>
              <w:ind w:left="4715" w:right="172" w:firstLine="36"/>
              <w:rPr>
                <w:b/>
                <w:sz w:val="20"/>
              </w:rPr>
            </w:pPr>
            <w:r>
              <w:rPr>
                <w:b/>
                <w:color w:val="003366"/>
                <w:sz w:val="20"/>
              </w:rPr>
              <w:t>Funds</w:t>
            </w:r>
            <w:r>
              <w:rPr>
                <w:b/>
                <w:color w:val="003366"/>
                <w:w w:val="99"/>
                <w:sz w:val="20"/>
              </w:rPr>
              <w:t xml:space="preserve"> </w:t>
            </w:r>
            <w:r>
              <w:rPr>
                <w:b/>
                <w:color w:val="003366"/>
                <w:sz w:val="20"/>
              </w:rPr>
              <w:t>Actual</w:t>
            </w:r>
          </w:p>
        </w:tc>
        <w:tc>
          <w:tcPr>
            <w:tcW w:w="1415" w:type="dxa"/>
          </w:tcPr>
          <w:p w:rsidR="006C17CB" w:rsidRDefault="0030091C">
            <w:pPr>
              <w:pStyle w:val="TableParagraph"/>
              <w:spacing w:line="180" w:lineRule="exact"/>
              <w:ind w:left="688"/>
              <w:jc w:val="left"/>
              <w:rPr>
                <w:b/>
                <w:sz w:val="20"/>
              </w:rPr>
            </w:pPr>
            <w:r>
              <w:rPr>
                <w:b/>
                <w:color w:val="003366"/>
                <w:sz w:val="20"/>
              </w:rPr>
              <w:t>Asset</w:t>
            </w:r>
          </w:p>
          <w:p w:rsidR="006C17CB" w:rsidRDefault="0030091C">
            <w:pPr>
              <w:pStyle w:val="TableParagraph"/>
              <w:spacing w:line="244" w:lineRule="exact"/>
              <w:ind w:left="144"/>
              <w:jc w:val="left"/>
              <w:rPr>
                <w:b/>
                <w:sz w:val="20"/>
              </w:rPr>
            </w:pPr>
            <w:r>
              <w:rPr>
                <w:b/>
                <w:color w:val="003366"/>
                <w:sz w:val="20"/>
              </w:rPr>
              <w:t>Revaluation</w:t>
            </w:r>
          </w:p>
          <w:p w:rsidR="006C17CB" w:rsidRDefault="0030091C">
            <w:pPr>
              <w:pStyle w:val="TableParagraph"/>
              <w:spacing w:before="13" w:line="204" w:lineRule="auto"/>
              <w:ind w:left="521" w:right="275"/>
              <w:jc w:val="center"/>
              <w:rPr>
                <w:b/>
                <w:sz w:val="20"/>
              </w:rPr>
            </w:pPr>
            <w:r>
              <w:rPr>
                <w:b/>
                <w:color w:val="003366"/>
                <w:w w:val="95"/>
                <w:sz w:val="20"/>
              </w:rPr>
              <w:t xml:space="preserve">Surplus </w:t>
            </w:r>
            <w:r>
              <w:rPr>
                <w:b/>
                <w:color w:val="003366"/>
                <w:sz w:val="20"/>
              </w:rPr>
              <w:t>Actual</w:t>
            </w:r>
          </w:p>
        </w:tc>
        <w:tc>
          <w:tcPr>
            <w:tcW w:w="989" w:type="dxa"/>
          </w:tcPr>
          <w:p w:rsidR="006C17CB" w:rsidRDefault="006C17CB">
            <w:pPr>
              <w:pStyle w:val="TableParagraph"/>
              <w:spacing w:before="5"/>
              <w:jc w:val="left"/>
              <w:rPr>
                <w:b/>
                <w:sz w:val="13"/>
              </w:rPr>
            </w:pPr>
          </w:p>
          <w:p w:rsidR="006C17CB" w:rsidRDefault="0030091C">
            <w:pPr>
              <w:pStyle w:val="TableParagraph"/>
              <w:spacing w:line="204" w:lineRule="auto"/>
              <w:ind w:left="279" w:right="176" w:firstLine="108"/>
              <w:jc w:val="both"/>
              <w:rPr>
                <w:b/>
                <w:sz w:val="20"/>
              </w:rPr>
            </w:pPr>
            <w:r>
              <w:rPr>
                <w:b/>
                <w:color w:val="003366"/>
                <w:sz w:val="20"/>
              </w:rPr>
              <w:t>Total Equity Actual</w:t>
            </w:r>
          </w:p>
        </w:tc>
        <w:tc>
          <w:tcPr>
            <w:tcW w:w="961" w:type="dxa"/>
          </w:tcPr>
          <w:p w:rsidR="006C17CB" w:rsidRDefault="006C17CB">
            <w:pPr>
              <w:pStyle w:val="TableParagraph"/>
              <w:jc w:val="left"/>
              <w:rPr>
                <w:b/>
                <w:sz w:val="20"/>
              </w:rPr>
            </w:pPr>
          </w:p>
          <w:p w:rsidR="006C17CB" w:rsidRDefault="0030091C">
            <w:pPr>
              <w:pStyle w:val="TableParagraph"/>
              <w:spacing w:before="149" w:line="204" w:lineRule="auto"/>
              <w:ind w:left="207" w:right="142" w:hanging="63"/>
              <w:jc w:val="left"/>
              <w:rPr>
                <w:b/>
                <w:sz w:val="20"/>
              </w:rPr>
            </w:pPr>
            <w:r>
              <w:rPr>
                <w:b/>
                <w:color w:val="003366"/>
                <w:sz w:val="20"/>
              </w:rPr>
              <w:t>Original Budget</w:t>
            </w:r>
          </w:p>
        </w:tc>
      </w:tr>
      <w:tr w:rsidR="006C17CB">
        <w:trPr>
          <w:trHeight w:val="243"/>
        </w:trPr>
        <w:tc>
          <w:tcPr>
            <w:tcW w:w="5421" w:type="dxa"/>
            <w:gridSpan w:val="2"/>
          </w:tcPr>
          <w:p w:rsidR="006C17CB" w:rsidRDefault="0030091C">
            <w:pPr>
              <w:pStyle w:val="TableParagraph"/>
              <w:spacing w:line="224" w:lineRule="exact"/>
              <w:ind w:right="175"/>
              <w:rPr>
                <w:b/>
                <w:sz w:val="20"/>
              </w:rPr>
            </w:pPr>
            <w:r>
              <w:rPr>
                <w:b/>
                <w:color w:val="003366"/>
                <w:w w:val="95"/>
                <w:sz w:val="20"/>
              </w:rPr>
              <w:t>2018</w:t>
            </w:r>
          </w:p>
        </w:tc>
        <w:tc>
          <w:tcPr>
            <w:tcW w:w="1415" w:type="dxa"/>
          </w:tcPr>
          <w:p w:rsidR="006C17CB" w:rsidRDefault="0030091C">
            <w:pPr>
              <w:pStyle w:val="TableParagraph"/>
              <w:spacing w:line="224" w:lineRule="exact"/>
              <w:ind w:right="277"/>
              <w:rPr>
                <w:b/>
                <w:sz w:val="20"/>
              </w:rPr>
            </w:pPr>
            <w:r>
              <w:rPr>
                <w:b/>
                <w:color w:val="003366"/>
                <w:w w:val="95"/>
                <w:sz w:val="20"/>
              </w:rPr>
              <w:t>2018</w:t>
            </w:r>
          </w:p>
        </w:tc>
        <w:tc>
          <w:tcPr>
            <w:tcW w:w="989" w:type="dxa"/>
          </w:tcPr>
          <w:p w:rsidR="006C17CB" w:rsidRDefault="0030091C">
            <w:pPr>
              <w:pStyle w:val="TableParagraph"/>
              <w:spacing w:line="224" w:lineRule="exact"/>
              <w:ind w:right="179"/>
              <w:rPr>
                <w:b/>
                <w:sz w:val="20"/>
              </w:rPr>
            </w:pPr>
            <w:r>
              <w:rPr>
                <w:b/>
                <w:color w:val="003366"/>
                <w:w w:val="95"/>
                <w:sz w:val="20"/>
              </w:rPr>
              <w:t>2018</w:t>
            </w:r>
          </w:p>
        </w:tc>
        <w:tc>
          <w:tcPr>
            <w:tcW w:w="961" w:type="dxa"/>
          </w:tcPr>
          <w:p w:rsidR="006C17CB" w:rsidRDefault="0030091C">
            <w:pPr>
              <w:pStyle w:val="TableParagraph"/>
              <w:spacing w:line="224" w:lineRule="exact"/>
              <w:ind w:right="161"/>
              <w:rPr>
                <w:b/>
                <w:sz w:val="20"/>
              </w:rPr>
            </w:pPr>
            <w:r>
              <w:rPr>
                <w:b/>
                <w:color w:val="003366"/>
                <w:w w:val="95"/>
                <w:sz w:val="20"/>
              </w:rPr>
              <w:t>2018</w:t>
            </w:r>
          </w:p>
        </w:tc>
      </w:tr>
      <w:tr w:rsidR="006C17CB">
        <w:trPr>
          <w:trHeight w:val="405"/>
        </w:trPr>
        <w:tc>
          <w:tcPr>
            <w:tcW w:w="5421" w:type="dxa"/>
            <w:gridSpan w:val="2"/>
          </w:tcPr>
          <w:p w:rsidR="006C17CB" w:rsidRDefault="0030091C">
            <w:pPr>
              <w:pStyle w:val="TableParagraph"/>
              <w:spacing w:line="225" w:lineRule="exact"/>
              <w:ind w:right="175"/>
              <w:rPr>
                <w:b/>
                <w:sz w:val="20"/>
              </w:rPr>
            </w:pPr>
            <w:r>
              <w:rPr>
                <w:b/>
                <w:color w:val="003366"/>
                <w:w w:val="95"/>
                <w:sz w:val="20"/>
              </w:rPr>
              <w:t>$’000</w:t>
            </w:r>
          </w:p>
        </w:tc>
        <w:tc>
          <w:tcPr>
            <w:tcW w:w="1415" w:type="dxa"/>
          </w:tcPr>
          <w:p w:rsidR="006C17CB" w:rsidRDefault="0030091C">
            <w:pPr>
              <w:pStyle w:val="TableParagraph"/>
              <w:spacing w:line="225" w:lineRule="exact"/>
              <w:ind w:right="277"/>
              <w:rPr>
                <w:b/>
                <w:sz w:val="20"/>
              </w:rPr>
            </w:pPr>
            <w:r>
              <w:rPr>
                <w:b/>
                <w:color w:val="003366"/>
                <w:w w:val="95"/>
                <w:sz w:val="20"/>
              </w:rPr>
              <w:t>$’000</w:t>
            </w:r>
          </w:p>
        </w:tc>
        <w:tc>
          <w:tcPr>
            <w:tcW w:w="989" w:type="dxa"/>
          </w:tcPr>
          <w:p w:rsidR="006C17CB" w:rsidRDefault="0030091C">
            <w:pPr>
              <w:pStyle w:val="TableParagraph"/>
              <w:spacing w:line="225" w:lineRule="exact"/>
              <w:ind w:right="179"/>
              <w:rPr>
                <w:b/>
                <w:sz w:val="20"/>
              </w:rPr>
            </w:pPr>
            <w:r>
              <w:rPr>
                <w:b/>
                <w:color w:val="003366"/>
                <w:w w:val="95"/>
                <w:sz w:val="20"/>
              </w:rPr>
              <w:t>$’000</w:t>
            </w:r>
          </w:p>
        </w:tc>
        <w:tc>
          <w:tcPr>
            <w:tcW w:w="961" w:type="dxa"/>
          </w:tcPr>
          <w:p w:rsidR="006C17CB" w:rsidRDefault="0030091C">
            <w:pPr>
              <w:pStyle w:val="TableParagraph"/>
              <w:spacing w:line="225" w:lineRule="exact"/>
              <w:ind w:right="161"/>
              <w:rPr>
                <w:b/>
                <w:sz w:val="20"/>
              </w:rPr>
            </w:pPr>
            <w:r>
              <w:rPr>
                <w:b/>
                <w:color w:val="003366"/>
                <w:w w:val="95"/>
                <w:sz w:val="20"/>
              </w:rPr>
              <w:t>$’000</w:t>
            </w:r>
          </w:p>
        </w:tc>
      </w:tr>
      <w:tr w:rsidR="006C17CB">
        <w:trPr>
          <w:trHeight w:val="529"/>
        </w:trPr>
        <w:tc>
          <w:tcPr>
            <w:tcW w:w="4075" w:type="dxa"/>
          </w:tcPr>
          <w:p w:rsidR="006C17CB" w:rsidRDefault="0030091C">
            <w:pPr>
              <w:pStyle w:val="TableParagraph"/>
              <w:spacing w:before="99"/>
              <w:ind w:left="50"/>
              <w:jc w:val="left"/>
              <w:rPr>
                <w:b/>
                <w:sz w:val="20"/>
              </w:rPr>
            </w:pPr>
            <w:r>
              <w:rPr>
                <w:b/>
                <w:color w:val="003366"/>
                <w:sz w:val="20"/>
              </w:rPr>
              <w:t>Balance at 1 July 2017</w:t>
            </w:r>
          </w:p>
        </w:tc>
        <w:tc>
          <w:tcPr>
            <w:tcW w:w="4711" w:type="dxa"/>
            <w:gridSpan w:val="4"/>
          </w:tcPr>
          <w:p w:rsidR="006C17CB" w:rsidRDefault="0030091C">
            <w:pPr>
              <w:pStyle w:val="TableParagraph"/>
              <w:tabs>
                <w:tab w:val="left" w:pos="611"/>
                <w:tab w:val="left" w:pos="1924"/>
                <w:tab w:val="left" w:pos="3011"/>
                <w:tab w:val="left" w:pos="3990"/>
              </w:tabs>
              <w:spacing w:before="99"/>
              <w:ind w:left="-1"/>
              <w:jc w:val="left"/>
              <w:rPr>
                <w:b/>
                <w:sz w:val="20"/>
              </w:rPr>
            </w:pPr>
            <w:r>
              <w:rPr>
                <w:b/>
                <w:color w:val="003366"/>
                <w:w w:val="99"/>
                <w:sz w:val="20"/>
                <w:u w:val="single" w:color="003366"/>
              </w:rPr>
              <w:t xml:space="preserve"> </w:t>
            </w:r>
            <w:r>
              <w:rPr>
                <w:b/>
                <w:color w:val="003366"/>
                <w:sz w:val="20"/>
                <w:u w:val="single" w:color="003366"/>
              </w:rPr>
              <w:tab/>
              <w:t>15,206</w:t>
            </w:r>
            <w:r>
              <w:rPr>
                <w:b/>
                <w:color w:val="003366"/>
                <w:sz w:val="20"/>
                <w:u w:val="single" w:color="003366"/>
              </w:rPr>
              <w:tab/>
              <w:t>12,918</w:t>
            </w:r>
            <w:r>
              <w:rPr>
                <w:b/>
                <w:color w:val="003366"/>
                <w:sz w:val="20"/>
                <w:u w:val="single" w:color="003366"/>
              </w:rPr>
              <w:tab/>
              <w:t>28,124</w:t>
            </w:r>
            <w:r>
              <w:rPr>
                <w:b/>
                <w:color w:val="003366"/>
                <w:sz w:val="20"/>
                <w:u w:val="single" w:color="003366"/>
              </w:rPr>
              <w:tab/>
              <w:t>33,469</w:t>
            </w:r>
            <w:r>
              <w:rPr>
                <w:b/>
                <w:color w:val="003366"/>
                <w:spacing w:val="18"/>
                <w:sz w:val="20"/>
                <w:u w:val="single" w:color="003366"/>
              </w:rPr>
              <w:t xml:space="preserve"> </w:t>
            </w:r>
          </w:p>
        </w:tc>
      </w:tr>
      <w:tr w:rsidR="006C17CB">
        <w:trPr>
          <w:trHeight w:val="386"/>
        </w:trPr>
        <w:tc>
          <w:tcPr>
            <w:tcW w:w="4075" w:type="dxa"/>
          </w:tcPr>
          <w:p w:rsidR="006C17CB" w:rsidRDefault="0030091C">
            <w:pPr>
              <w:pStyle w:val="TableParagraph"/>
              <w:spacing w:before="60"/>
              <w:ind w:left="50"/>
              <w:jc w:val="left"/>
              <w:rPr>
                <w:b/>
                <w:sz w:val="20"/>
              </w:rPr>
            </w:pPr>
            <w:r>
              <w:rPr>
                <w:b/>
                <w:color w:val="003366"/>
                <w:sz w:val="20"/>
              </w:rPr>
              <w:t>Comprehensive Income</w:t>
            </w:r>
          </w:p>
        </w:tc>
        <w:tc>
          <w:tcPr>
            <w:tcW w:w="4711" w:type="dxa"/>
            <w:gridSpan w:val="4"/>
          </w:tcPr>
          <w:p w:rsidR="006C17CB" w:rsidRDefault="006C17CB">
            <w:pPr>
              <w:pStyle w:val="TableParagraph"/>
              <w:jc w:val="left"/>
              <w:rPr>
                <w:rFonts w:ascii="Times New Roman"/>
                <w:sz w:val="20"/>
              </w:rPr>
            </w:pPr>
          </w:p>
        </w:tc>
      </w:tr>
      <w:tr w:rsidR="006C17CB">
        <w:trPr>
          <w:trHeight w:val="289"/>
        </w:trPr>
        <w:tc>
          <w:tcPr>
            <w:tcW w:w="4075" w:type="dxa"/>
          </w:tcPr>
          <w:p w:rsidR="006C17CB" w:rsidRDefault="0030091C">
            <w:pPr>
              <w:pStyle w:val="TableParagraph"/>
              <w:spacing w:line="245" w:lineRule="exact"/>
              <w:ind w:left="50"/>
              <w:jc w:val="left"/>
              <w:rPr>
                <w:sz w:val="20"/>
              </w:rPr>
            </w:pPr>
            <w:r>
              <w:rPr>
                <w:color w:val="003366"/>
                <w:sz w:val="20"/>
              </w:rPr>
              <w:t>Operating (Deficit)</w:t>
            </w:r>
          </w:p>
        </w:tc>
        <w:tc>
          <w:tcPr>
            <w:tcW w:w="4711" w:type="dxa"/>
            <w:gridSpan w:val="4"/>
          </w:tcPr>
          <w:p w:rsidR="006C17CB" w:rsidRDefault="0030091C">
            <w:pPr>
              <w:pStyle w:val="TableParagraph"/>
              <w:tabs>
                <w:tab w:val="left" w:pos="746"/>
                <w:tab w:val="left" w:pos="2421"/>
                <w:tab w:val="left" w:pos="3146"/>
                <w:tab w:val="left" w:pos="3974"/>
              </w:tabs>
              <w:spacing w:line="245" w:lineRule="exact"/>
              <w:ind w:left="-1"/>
              <w:jc w:val="left"/>
              <w:rPr>
                <w:sz w:val="20"/>
              </w:rPr>
            </w:pPr>
            <w:r>
              <w:rPr>
                <w:color w:val="003366"/>
                <w:w w:val="99"/>
                <w:sz w:val="20"/>
                <w:u w:val="single" w:color="000000"/>
              </w:rPr>
              <w:t xml:space="preserve"> </w:t>
            </w:r>
            <w:r>
              <w:rPr>
                <w:color w:val="003366"/>
                <w:sz w:val="20"/>
                <w:u w:val="single" w:color="000000"/>
              </w:rPr>
              <w:tab/>
              <w:t>(583)</w:t>
            </w:r>
            <w:r>
              <w:rPr>
                <w:color w:val="003366"/>
                <w:sz w:val="20"/>
                <w:u w:val="single" w:color="000000"/>
              </w:rPr>
              <w:tab/>
              <w:t>-</w:t>
            </w:r>
            <w:r>
              <w:rPr>
                <w:color w:val="003366"/>
                <w:sz w:val="20"/>
                <w:u w:val="single" w:color="000000"/>
              </w:rPr>
              <w:tab/>
              <w:t>(583)</w:t>
            </w:r>
            <w:r>
              <w:rPr>
                <w:color w:val="003366"/>
                <w:sz w:val="20"/>
                <w:u w:val="single" w:color="000000"/>
              </w:rPr>
              <w:tab/>
              <w:t>(1,329)</w:t>
            </w:r>
            <w:r>
              <w:rPr>
                <w:color w:val="003366"/>
                <w:spacing w:val="18"/>
                <w:sz w:val="20"/>
                <w:u w:val="single" w:color="000000"/>
              </w:rPr>
              <w:t xml:space="preserve"> </w:t>
            </w:r>
          </w:p>
        </w:tc>
      </w:tr>
      <w:tr w:rsidR="006C17CB">
        <w:trPr>
          <w:trHeight w:val="392"/>
        </w:trPr>
        <w:tc>
          <w:tcPr>
            <w:tcW w:w="4075" w:type="dxa"/>
          </w:tcPr>
          <w:p w:rsidR="006C17CB" w:rsidRDefault="0030091C">
            <w:pPr>
              <w:pStyle w:val="TableParagraph"/>
              <w:spacing w:line="251" w:lineRule="exact"/>
              <w:ind w:left="50"/>
              <w:jc w:val="left"/>
              <w:rPr>
                <w:b/>
                <w:sz w:val="20"/>
              </w:rPr>
            </w:pPr>
            <w:r>
              <w:rPr>
                <w:b/>
                <w:color w:val="003366"/>
                <w:sz w:val="20"/>
              </w:rPr>
              <w:t>Total Comprehensive (Deficit)</w:t>
            </w:r>
          </w:p>
        </w:tc>
        <w:tc>
          <w:tcPr>
            <w:tcW w:w="4711" w:type="dxa"/>
            <w:gridSpan w:val="4"/>
          </w:tcPr>
          <w:p w:rsidR="006C17CB" w:rsidRDefault="0030091C">
            <w:pPr>
              <w:pStyle w:val="TableParagraph"/>
              <w:tabs>
                <w:tab w:val="left" w:pos="741"/>
                <w:tab w:val="left" w:pos="2421"/>
                <w:tab w:val="left" w:pos="3141"/>
                <w:tab w:val="left" w:pos="3969"/>
              </w:tabs>
              <w:spacing w:line="251" w:lineRule="exact"/>
              <w:ind w:left="-1"/>
              <w:jc w:val="left"/>
              <w:rPr>
                <w:b/>
                <w:sz w:val="20"/>
              </w:rPr>
            </w:pPr>
            <w:r>
              <w:rPr>
                <w:b/>
                <w:color w:val="003366"/>
                <w:w w:val="99"/>
                <w:sz w:val="20"/>
                <w:u w:val="single" w:color="003366"/>
              </w:rPr>
              <w:t xml:space="preserve"> </w:t>
            </w:r>
            <w:r>
              <w:rPr>
                <w:b/>
                <w:color w:val="003366"/>
                <w:sz w:val="20"/>
                <w:u w:val="single" w:color="003366"/>
              </w:rPr>
              <w:tab/>
              <w:t>(583)</w:t>
            </w:r>
            <w:r>
              <w:rPr>
                <w:b/>
                <w:color w:val="003366"/>
                <w:sz w:val="20"/>
                <w:u w:val="single" w:color="003366"/>
              </w:rPr>
              <w:tab/>
              <w:t>-</w:t>
            </w:r>
            <w:r>
              <w:rPr>
                <w:b/>
                <w:color w:val="003366"/>
                <w:sz w:val="20"/>
                <w:u w:val="single" w:color="003366"/>
              </w:rPr>
              <w:tab/>
              <w:t>(583)</w:t>
            </w:r>
            <w:r>
              <w:rPr>
                <w:b/>
                <w:color w:val="003366"/>
                <w:sz w:val="20"/>
                <w:u w:val="single" w:color="003366"/>
              </w:rPr>
              <w:tab/>
              <w:t>(1,329)</w:t>
            </w:r>
            <w:r>
              <w:rPr>
                <w:b/>
                <w:color w:val="003366"/>
                <w:spacing w:val="20"/>
                <w:sz w:val="20"/>
                <w:u w:val="single" w:color="003366"/>
              </w:rPr>
              <w:t xml:space="preserve"> </w:t>
            </w:r>
          </w:p>
        </w:tc>
      </w:tr>
      <w:tr w:rsidR="006C17CB">
        <w:trPr>
          <w:trHeight w:val="508"/>
        </w:trPr>
        <w:tc>
          <w:tcPr>
            <w:tcW w:w="4075" w:type="dxa"/>
          </w:tcPr>
          <w:p w:rsidR="006C17CB" w:rsidRDefault="0030091C">
            <w:pPr>
              <w:pStyle w:val="TableParagraph"/>
              <w:spacing w:before="99" w:line="244" w:lineRule="exact"/>
              <w:ind w:left="333" w:right="1294" w:hanging="284"/>
              <w:jc w:val="left"/>
              <w:rPr>
                <w:b/>
                <w:sz w:val="20"/>
              </w:rPr>
            </w:pPr>
            <w:r>
              <w:rPr>
                <w:b/>
                <w:color w:val="003366"/>
                <w:sz w:val="20"/>
              </w:rPr>
              <w:t>Transactions Involving Owners Affecting Accumulated Funds</w:t>
            </w:r>
          </w:p>
        </w:tc>
        <w:tc>
          <w:tcPr>
            <w:tcW w:w="4711" w:type="dxa"/>
            <w:gridSpan w:val="4"/>
          </w:tcPr>
          <w:p w:rsidR="006C17CB" w:rsidRDefault="006C17CB">
            <w:pPr>
              <w:pStyle w:val="TableParagraph"/>
              <w:jc w:val="left"/>
              <w:rPr>
                <w:rFonts w:ascii="Times New Roman"/>
                <w:sz w:val="20"/>
              </w:rPr>
            </w:pPr>
          </w:p>
        </w:tc>
      </w:tr>
      <w:tr w:rsidR="006C17CB">
        <w:trPr>
          <w:trHeight w:val="333"/>
        </w:trPr>
        <w:tc>
          <w:tcPr>
            <w:tcW w:w="4075" w:type="dxa"/>
          </w:tcPr>
          <w:p w:rsidR="006C17CB" w:rsidRDefault="0030091C">
            <w:pPr>
              <w:pStyle w:val="TableParagraph"/>
              <w:spacing w:before="1"/>
              <w:ind w:left="50"/>
              <w:jc w:val="left"/>
              <w:rPr>
                <w:sz w:val="20"/>
              </w:rPr>
            </w:pPr>
            <w:r>
              <w:rPr>
                <w:color w:val="003366"/>
                <w:sz w:val="20"/>
              </w:rPr>
              <w:t>Capital Injections</w:t>
            </w:r>
          </w:p>
        </w:tc>
        <w:tc>
          <w:tcPr>
            <w:tcW w:w="4711" w:type="dxa"/>
            <w:gridSpan w:val="4"/>
          </w:tcPr>
          <w:p w:rsidR="006C17CB" w:rsidRDefault="0030091C">
            <w:pPr>
              <w:pStyle w:val="TableParagraph"/>
              <w:tabs>
                <w:tab w:val="left" w:pos="866"/>
                <w:tab w:val="left" w:pos="2421"/>
                <w:tab w:val="left" w:pos="3266"/>
                <w:tab w:val="left" w:pos="4245"/>
              </w:tabs>
              <w:spacing w:before="1"/>
              <w:ind w:left="-1"/>
              <w:jc w:val="left"/>
              <w:rPr>
                <w:sz w:val="20"/>
              </w:rPr>
            </w:pPr>
            <w:r>
              <w:rPr>
                <w:color w:val="003366"/>
                <w:w w:val="99"/>
                <w:sz w:val="20"/>
                <w:u w:val="single" w:color="003366"/>
              </w:rPr>
              <w:t xml:space="preserve"> </w:t>
            </w:r>
            <w:r>
              <w:rPr>
                <w:color w:val="003366"/>
                <w:sz w:val="20"/>
                <w:u w:val="single" w:color="003366"/>
              </w:rPr>
              <w:tab/>
              <w:t>784</w:t>
            </w:r>
            <w:r>
              <w:rPr>
                <w:color w:val="003366"/>
                <w:sz w:val="20"/>
                <w:u w:val="single" w:color="003366"/>
              </w:rPr>
              <w:tab/>
              <w:t>-</w:t>
            </w:r>
            <w:r>
              <w:rPr>
                <w:color w:val="003366"/>
                <w:sz w:val="20"/>
                <w:u w:val="single" w:color="003366"/>
              </w:rPr>
              <w:tab/>
              <w:t>784</w:t>
            </w:r>
            <w:r>
              <w:rPr>
                <w:color w:val="003366"/>
                <w:sz w:val="20"/>
                <w:u w:val="single" w:color="003366"/>
              </w:rPr>
              <w:tab/>
              <w:t>144</w:t>
            </w:r>
            <w:r>
              <w:rPr>
                <w:color w:val="003366"/>
                <w:spacing w:val="18"/>
                <w:sz w:val="20"/>
                <w:u w:val="single" w:color="003366"/>
              </w:rPr>
              <w:t xml:space="preserve"> </w:t>
            </w:r>
          </w:p>
        </w:tc>
      </w:tr>
      <w:tr w:rsidR="006C17CB">
        <w:trPr>
          <w:trHeight w:val="837"/>
        </w:trPr>
        <w:tc>
          <w:tcPr>
            <w:tcW w:w="4075" w:type="dxa"/>
          </w:tcPr>
          <w:p w:rsidR="006C17CB" w:rsidRDefault="0030091C">
            <w:pPr>
              <w:pStyle w:val="TableParagraph"/>
              <w:spacing w:line="201" w:lineRule="auto"/>
              <w:ind w:left="333" w:right="994" w:hanging="284"/>
              <w:jc w:val="left"/>
              <w:rPr>
                <w:b/>
                <w:sz w:val="20"/>
              </w:rPr>
            </w:pPr>
            <w:r>
              <w:rPr>
                <w:b/>
                <w:color w:val="003366"/>
                <w:sz w:val="20"/>
              </w:rPr>
              <w:t>Total Transactions Involving Owners Affecting Accumulated Funds</w:t>
            </w:r>
          </w:p>
        </w:tc>
        <w:tc>
          <w:tcPr>
            <w:tcW w:w="4711" w:type="dxa"/>
            <w:gridSpan w:val="4"/>
          </w:tcPr>
          <w:p w:rsidR="006C17CB" w:rsidRDefault="006C17CB">
            <w:pPr>
              <w:pStyle w:val="TableParagraph"/>
              <w:spacing w:before="5"/>
              <w:jc w:val="left"/>
              <w:rPr>
                <w:b/>
                <w:sz w:val="14"/>
              </w:rPr>
            </w:pPr>
          </w:p>
          <w:p w:rsidR="006C17CB" w:rsidRDefault="0030091C">
            <w:pPr>
              <w:pStyle w:val="TableParagraph"/>
              <w:tabs>
                <w:tab w:val="left" w:pos="866"/>
                <w:tab w:val="left" w:pos="2421"/>
                <w:tab w:val="left" w:pos="3266"/>
                <w:tab w:val="left" w:pos="4245"/>
              </w:tabs>
              <w:spacing w:before="1"/>
              <w:ind w:left="-1"/>
              <w:jc w:val="left"/>
              <w:rPr>
                <w:b/>
                <w:sz w:val="20"/>
              </w:rPr>
            </w:pPr>
            <w:r>
              <w:rPr>
                <w:b/>
                <w:color w:val="003366"/>
                <w:w w:val="99"/>
                <w:sz w:val="20"/>
                <w:u w:val="single" w:color="003366"/>
              </w:rPr>
              <w:t xml:space="preserve"> </w:t>
            </w:r>
            <w:r>
              <w:rPr>
                <w:b/>
                <w:color w:val="003366"/>
                <w:sz w:val="20"/>
                <w:u w:val="single" w:color="003366"/>
              </w:rPr>
              <w:tab/>
              <w:t>784</w:t>
            </w:r>
            <w:r>
              <w:rPr>
                <w:b/>
                <w:color w:val="003366"/>
                <w:sz w:val="20"/>
                <w:u w:val="single" w:color="003366"/>
              </w:rPr>
              <w:tab/>
              <w:t>-</w:t>
            </w:r>
            <w:r>
              <w:rPr>
                <w:b/>
                <w:color w:val="003366"/>
                <w:sz w:val="20"/>
                <w:u w:val="single" w:color="003366"/>
              </w:rPr>
              <w:tab/>
              <w:t>784</w:t>
            </w:r>
            <w:r>
              <w:rPr>
                <w:b/>
                <w:color w:val="003366"/>
                <w:sz w:val="20"/>
                <w:u w:val="single" w:color="003366"/>
              </w:rPr>
              <w:tab/>
              <w:t>144</w:t>
            </w:r>
            <w:r>
              <w:rPr>
                <w:b/>
                <w:color w:val="003366"/>
                <w:spacing w:val="18"/>
                <w:sz w:val="20"/>
                <w:u w:val="single" w:color="003366"/>
              </w:rPr>
              <w:t xml:space="preserve"> </w:t>
            </w:r>
          </w:p>
        </w:tc>
      </w:tr>
      <w:tr w:rsidR="006C17CB">
        <w:trPr>
          <w:trHeight w:val="282"/>
        </w:trPr>
        <w:tc>
          <w:tcPr>
            <w:tcW w:w="4075" w:type="dxa"/>
          </w:tcPr>
          <w:p w:rsidR="006C17CB" w:rsidRDefault="0030091C">
            <w:pPr>
              <w:pStyle w:val="TableParagraph"/>
              <w:spacing w:line="262" w:lineRule="exact"/>
              <w:ind w:left="50"/>
              <w:jc w:val="left"/>
              <w:rPr>
                <w:b/>
                <w:sz w:val="20"/>
              </w:rPr>
            </w:pPr>
            <w:r>
              <w:rPr>
                <w:b/>
                <w:color w:val="003366"/>
                <w:sz w:val="20"/>
              </w:rPr>
              <w:t>Balance at 30 June 2018</w:t>
            </w:r>
          </w:p>
        </w:tc>
        <w:tc>
          <w:tcPr>
            <w:tcW w:w="1346" w:type="dxa"/>
            <w:tcBorders>
              <w:top w:val="single" w:sz="4" w:space="0" w:color="003366"/>
              <w:bottom w:val="double" w:sz="1" w:space="0" w:color="000000"/>
            </w:tcBorders>
          </w:tcPr>
          <w:p w:rsidR="006C17CB" w:rsidRDefault="0030091C">
            <w:pPr>
              <w:pStyle w:val="TableParagraph"/>
              <w:spacing w:line="262" w:lineRule="exact"/>
              <w:ind w:right="175"/>
              <w:rPr>
                <w:b/>
                <w:sz w:val="20"/>
              </w:rPr>
            </w:pPr>
            <w:r>
              <w:rPr>
                <w:b/>
                <w:color w:val="003366"/>
                <w:sz w:val="20"/>
              </w:rPr>
              <w:t>15,407</w:t>
            </w:r>
          </w:p>
        </w:tc>
        <w:tc>
          <w:tcPr>
            <w:tcW w:w="1415" w:type="dxa"/>
            <w:tcBorders>
              <w:top w:val="single" w:sz="4" w:space="0" w:color="003366"/>
              <w:bottom w:val="double" w:sz="1" w:space="0" w:color="000000"/>
            </w:tcBorders>
          </w:tcPr>
          <w:p w:rsidR="006C17CB" w:rsidRDefault="0030091C">
            <w:pPr>
              <w:pStyle w:val="TableParagraph"/>
              <w:spacing w:line="262" w:lineRule="exact"/>
              <w:ind w:right="277"/>
              <w:rPr>
                <w:b/>
                <w:sz w:val="20"/>
              </w:rPr>
            </w:pPr>
            <w:r>
              <w:rPr>
                <w:b/>
                <w:color w:val="003366"/>
                <w:sz w:val="20"/>
              </w:rPr>
              <w:t>12,918</w:t>
            </w:r>
          </w:p>
        </w:tc>
        <w:tc>
          <w:tcPr>
            <w:tcW w:w="1950" w:type="dxa"/>
            <w:gridSpan w:val="2"/>
            <w:tcBorders>
              <w:top w:val="single" w:sz="4" w:space="0" w:color="003366"/>
              <w:bottom w:val="double" w:sz="1" w:space="0" w:color="000000"/>
            </w:tcBorders>
          </w:tcPr>
          <w:p w:rsidR="006C17CB" w:rsidRDefault="0030091C">
            <w:pPr>
              <w:pStyle w:val="TableParagraph"/>
              <w:tabs>
                <w:tab w:val="left" w:pos="1229"/>
              </w:tabs>
              <w:spacing w:line="262" w:lineRule="exact"/>
              <w:ind w:left="250"/>
              <w:jc w:val="left"/>
              <w:rPr>
                <w:b/>
                <w:sz w:val="20"/>
              </w:rPr>
            </w:pPr>
            <w:r>
              <w:rPr>
                <w:b/>
                <w:color w:val="003366"/>
                <w:sz w:val="20"/>
              </w:rPr>
              <w:t>28,325</w:t>
            </w:r>
            <w:r>
              <w:rPr>
                <w:b/>
                <w:color w:val="003366"/>
                <w:sz w:val="20"/>
              </w:rPr>
              <w:tab/>
              <w:t>32,284</w:t>
            </w:r>
          </w:p>
        </w:tc>
      </w:tr>
      <w:tr w:rsidR="006C17CB">
        <w:trPr>
          <w:trHeight w:val="595"/>
        </w:trPr>
        <w:tc>
          <w:tcPr>
            <w:tcW w:w="4075" w:type="dxa"/>
          </w:tcPr>
          <w:p w:rsidR="006C17CB" w:rsidRDefault="006C17CB">
            <w:pPr>
              <w:pStyle w:val="TableParagraph"/>
              <w:jc w:val="left"/>
              <w:rPr>
                <w:rFonts w:ascii="Times New Roman"/>
                <w:sz w:val="20"/>
              </w:rPr>
            </w:pPr>
          </w:p>
        </w:tc>
        <w:tc>
          <w:tcPr>
            <w:tcW w:w="1346" w:type="dxa"/>
            <w:tcBorders>
              <w:top w:val="double" w:sz="1" w:space="0" w:color="000000"/>
            </w:tcBorders>
          </w:tcPr>
          <w:p w:rsidR="006C17CB" w:rsidRDefault="006C17CB">
            <w:pPr>
              <w:pStyle w:val="TableParagraph"/>
              <w:jc w:val="left"/>
              <w:rPr>
                <w:rFonts w:ascii="Times New Roman"/>
                <w:sz w:val="20"/>
              </w:rPr>
            </w:pPr>
          </w:p>
        </w:tc>
        <w:tc>
          <w:tcPr>
            <w:tcW w:w="1415" w:type="dxa"/>
            <w:tcBorders>
              <w:top w:val="double" w:sz="1" w:space="0" w:color="000000"/>
            </w:tcBorders>
          </w:tcPr>
          <w:p w:rsidR="006C17CB" w:rsidRDefault="006C17CB">
            <w:pPr>
              <w:pStyle w:val="TableParagraph"/>
              <w:spacing w:before="14"/>
              <w:jc w:val="left"/>
              <w:rPr>
                <w:b/>
                <w:sz w:val="19"/>
              </w:rPr>
            </w:pPr>
          </w:p>
          <w:p w:rsidR="006C17CB" w:rsidRDefault="0030091C">
            <w:pPr>
              <w:pStyle w:val="TableParagraph"/>
              <w:spacing w:line="287" w:lineRule="exact"/>
              <w:ind w:right="253"/>
              <w:rPr>
                <w:b/>
                <w:sz w:val="20"/>
              </w:rPr>
            </w:pPr>
            <w:r>
              <w:rPr>
                <w:b/>
                <w:color w:val="003366"/>
                <w:sz w:val="20"/>
              </w:rPr>
              <w:t>Asset</w:t>
            </w:r>
          </w:p>
        </w:tc>
        <w:tc>
          <w:tcPr>
            <w:tcW w:w="1950" w:type="dxa"/>
            <w:gridSpan w:val="2"/>
            <w:tcBorders>
              <w:top w:val="double" w:sz="1" w:space="0" w:color="000000"/>
            </w:tcBorders>
          </w:tcPr>
          <w:p w:rsidR="006C17CB" w:rsidRDefault="006C17CB">
            <w:pPr>
              <w:pStyle w:val="TableParagraph"/>
              <w:jc w:val="left"/>
              <w:rPr>
                <w:rFonts w:ascii="Times New Roman"/>
                <w:sz w:val="20"/>
              </w:rPr>
            </w:pPr>
          </w:p>
        </w:tc>
      </w:tr>
      <w:tr w:rsidR="006C17CB">
        <w:trPr>
          <w:trHeight w:val="487"/>
        </w:trPr>
        <w:tc>
          <w:tcPr>
            <w:tcW w:w="4075" w:type="dxa"/>
          </w:tcPr>
          <w:p w:rsidR="006C17CB" w:rsidRDefault="006C17CB">
            <w:pPr>
              <w:pStyle w:val="TableParagraph"/>
              <w:jc w:val="left"/>
              <w:rPr>
                <w:rFonts w:ascii="Times New Roman"/>
                <w:sz w:val="20"/>
              </w:rPr>
            </w:pPr>
          </w:p>
        </w:tc>
        <w:tc>
          <w:tcPr>
            <w:tcW w:w="1346" w:type="dxa"/>
          </w:tcPr>
          <w:p w:rsidR="006C17CB" w:rsidRDefault="0030091C">
            <w:pPr>
              <w:pStyle w:val="TableParagraph"/>
              <w:spacing w:line="203" w:lineRule="exact"/>
              <w:ind w:left="107"/>
              <w:jc w:val="left"/>
              <w:rPr>
                <w:b/>
                <w:sz w:val="20"/>
              </w:rPr>
            </w:pPr>
            <w:r>
              <w:rPr>
                <w:b/>
                <w:color w:val="003366"/>
                <w:sz w:val="20"/>
              </w:rPr>
              <w:t>Accumulated</w:t>
            </w:r>
          </w:p>
          <w:p w:rsidR="006C17CB" w:rsidRDefault="0030091C">
            <w:pPr>
              <w:pStyle w:val="TableParagraph"/>
              <w:spacing w:line="264" w:lineRule="exact"/>
              <w:ind w:left="705"/>
              <w:jc w:val="left"/>
              <w:rPr>
                <w:b/>
                <w:sz w:val="20"/>
              </w:rPr>
            </w:pPr>
            <w:r>
              <w:rPr>
                <w:b/>
                <w:color w:val="003366"/>
                <w:sz w:val="20"/>
              </w:rPr>
              <w:t>Funds</w:t>
            </w:r>
          </w:p>
        </w:tc>
        <w:tc>
          <w:tcPr>
            <w:tcW w:w="1415" w:type="dxa"/>
          </w:tcPr>
          <w:p w:rsidR="006C17CB" w:rsidRDefault="0030091C">
            <w:pPr>
              <w:pStyle w:val="TableParagraph"/>
              <w:spacing w:line="203" w:lineRule="exact"/>
              <w:ind w:left="165"/>
              <w:jc w:val="left"/>
              <w:rPr>
                <w:b/>
                <w:sz w:val="20"/>
              </w:rPr>
            </w:pPr>
            <w:r>
              <w:rPr>
                <w:b/>
                <w:color w:val="003366"/>
                <w:sz w:val="20"/>
              </w:rPr>
              <w:t>Revaluation</w:t>
            </w:r>
          </w:p>
          <w:p w:rsidR="006C17CB" w:rsidRDefault="0030091C">
            <w:pPr>
              <w:pStyle w:val="TableParagraph"/>
              <w:spacing w:line="264" w:lineRule="exact"/>
              <w:ind w:left="545"/>
              <w:jc w:val="left"/>
              <w:rPr>
                <w:b/>
                <w:sz w:val="20"/>
              </w:rPr>
            </w:pPr>
            <w:r>
              <w:rPr>
                <w:b/>
                <w:color w:val="003366"/>
                <w:sz w:val="20"/>
              </w:rPr>
              <w:t>Surplus</w:t>
            </w:r>
          </w:p>
        </w:tc>
        <w:tc>
          <w:tcPr>
            <w:tcW w:w="1950" w:type="dxa"/>
            <w:gridSpan w:val="2"/>
          </w:tcPr>
          <w:p w:rsidR="006C17CB" w:rsidRDefault="0030091C">
            <w:pPr>
              <w:pStyle w:val="TableParagraph"/>
              <w:spacing w:line="203" w:lineRule="exact"/>
              <w:ind w:left="284" w:right="995"/>
              <w:jc w:val="center"/>
              <w:rPr>
                <w:b/>
                <w:sz w:val="20"/>
              </w:rPr>
            </w:pPr>
            <w:r>
              <w:rPr>
                <w:b/>
                <w:color w:val="003366"/>
                <w:sz w:val="20"/>
              </w:rPr>
              <w:t>Total</w:t>
            </w:r>
          </w:p>
          <w:p w:rsidR="006C17CB" w:rsidRDefault="0030091C">
            <w:pPr>
              <w:pStyle w:val="TableParagraph"/>
              <w:spacing w:line="264" w:lineRule="exact"/>
              <w:ind w:left="282" w:right="1098"/>
              <w:jc w:val="center"/>
              <w:rPr>
                <w:b/>
                <w:sz w:val="20"/>
              </w:rPr>
            </w:pPr>
            <w:r>
              <w:rPr>
                <w:b/>
                <w:color w:val="003366"/>
                <w:sz w:val="20"/>
              </w:rPr>
              <w:t>Equity</w:t>
            </w:r>
          </w:p>
        </w:tc>
      </w:tr>
      <w:tr w:rsidR="006C17CB">
        <w:trPr>
          <w:trHeight w:val="244"/>
        </w:trPr>
        <w:tc>
          <w:tcPr>
            <w:tcW w:w="4075" w:type="dxa"/>
          </w:tcPr>
          <w:p w:rsidR="006C17CB" w:rsidRDefault="006C17CB">
            <w:pPr>
              <w:pStyle w:val="TableParagraph"/>
              <w:jc w:val="left"/>
              <w:rPr>
                <w:rFonts w:ascii="Times New Roman"/>
                <w:sz w:val="16"/>
              </w:rPr>
            </w:pPr>
          </w:p>
        </w:tc>
        <w:tc>
          <w:tcPr>
            <w:tcW w:w="1346" w:type="dxa"/>
          </w:tcPr>
          <w:p w:rsidR="006C17CB" w:rsidRDefault="0030091C">
            <w:pPr>
              <w:pStyle w:val="TableParagraph"/>
              <w:spacing w:line="225" w:lineRule="exact"/>
              <w:ind w:right="145"/>
              <w:rPr>
                <w:b/>
                <w:sz w:val="20"/>
              </w:rPr>
            </w:pPr>
            <w:r>
              <w:rPr>
                <w:b/>
                <w:color w:val="003366"/>
                <w:w w:val="95"/>
                <w:sz w:val="20"/>
              </w:rPr>
              <w:t>Actual</w:t>
            </w:r>
          </w:p>
        </w:tc>
        <w:tc>
          <w:tcPr>
            <w:tcW w:w="1415" w:type="dxa"/>
          </w:tcPr>
          <w:p w:rsidR="006C17CB" w:rsidRDefault="0030091C">
            <w:pPr>
              <w:pStyle w:val="TableParagraph"/>
              <w:spacing w:line="225" w:lineRule="exact"/>
              <w:ind w:right="252"/>
              <w:rPr>
                <w:b/>
                <w:sz w:val="20"/>
              </w:rPr>
            </w:pPr>
            <w:r>
              <w:rPr>
                <w:b/>
                <w:color w:val="003366"/>
                <w:w w:val="95"/>
                <w:sz w:val="20"/>
              </w:rPr>
              <w:t>Actual</w:t>
            </w:r>
          </w:p>
        </w:tc>
        <w:tc>
          <w:tcPr>
            <w:tcW w:w="1950" w:type="dxa"/>
            <w:gridSpan w:val="2"/>
          </w:tcPr>
          <w:p w:rsidR="006C17CB" w:rsidRDefault="0030091C">
            <w:pPr>
              <w:pStyle w:val="TableParagraph"/>
              <w:spacing w:line="225" w:lineRule="exact"/>
              <w:ind w:left="298"/>
              <w:jc w:val="left"/>
              <w:rPr>
                <w:b/>
                <w:sz w:val="20"/>
              </w:rPr>
            </w:pPr>
            <w:r>
              <w:rPr>
                <w:b/>
                <w:color w:val="003366"/>
                <w:sz w:val="20"/>
              </w:rPr>
              <w:t>Actual</w:t>
            </w:r>
          </w:p>
        </w:tc>
      </w:tr>
      <w:tr w:rsidR="006C17CB">
        <w:trPr>
          <w:trHeight w:val="650"/>
        </w:trPr>
        <w:tc>
          <w:tcPr>
            <w:tcW w:w="4075" w:type="dxa"/>
          </w:tcPr>
          <w:p w:rsidR="006C17CB" w:rsidRDefault="006C17CB">
            <w:pPr>
              <w:pStyle w:val="TableParagraph"/>
              <w:jc w:val="left"/>
              <w:rPr>
                <w:rFonts w:ascii="Times New Roman"/>
                <w:sz w:val="20"/>
              </w:rPr>
            </w:pPr>
          </w:p>
        </w:tc>
        <w:tc>
          <w:tcPr>
            <w:tcW w:w="1346" w:type="dxa"/>
          </w:tcPr>
          <w:p w:rsidR="006C17CB" w:rsidRDefault="0030091C">
            <w:pPr>
              <w:pStyle w:val="TableParagraph"/>
              <w:spacing w:line="203" w:lineRule="exact"/>
              <w:ind w:left="794"/>
              <w:jc w:val="left"/>
              <w:rPr>
                <w:b/>
                <w:sz w:val="20"/>
              </w:rPr>
            </w:pPr>
            <w:r>
              <w:rPr>
                <w:b/>
                <w:color w:val="003366"/>
                <w:sz w:val="20"/>
              </w:rPr>
              <w:t>2017</w:t>
            </w:r>
          </w:p>
          <w:p w:rsidR="006C17CB" w:rsidRDefault="0030091C">
            <w:pPr>
              <w:pStyle w:val="TableParagraph"/>
              <w:spacing w:line="265" w:lineRule="exact"/>
              <w:ind w:left="743"/>
              <w:jc w:val="left"/>
              <w:rPr>
                <w:b/>
                <w:sz w:val="20"/>
              </w:rPr>
            </w:pPr>
            <w:r>
              <w:rPr>
                <w:b/>
                <w:color w:val="003366"/>
                <w:sz w:val="20"/>
              </w:rPr>
              <w:t>$’000</w:t>
            </w:r>
          </w:p>
        </w:tc>
        <w:tc>
          <w:tcPr>
            <w:tcW w:w="1415" w:type="dxa"/>
          </w:tcPr>
          <w:p w:rsidR="006C17CB" w:rsidRDefault="0030091C">
            <w:pPr>
              <w:pStyle w:val="TableParagraph"/>
              <w:spacing w:line="203" w:lineRule="exact"/>
              <w:ind w:left="756"/>
              <w:jc w:val="left"/>
              <w:rPr>
                <w:b/>
                <w:sz w:val="20"/>
              </w:rPr>
            </w:pPr>
            <w:r>
              <w:rPr>
                <w:b/>
                <w:color w:val="003366"/>
                <w:sz w:val="20"/>
              </w:rPr>
              <w:t>2017</w:t>
            </w:r>
          </w:p>
          <w:p w:rsidR="006C17CB" w:rsidRDefault="0030091C">
            <w:pPr>
              <w:pStyle w:val="TableParagraph"/>
              <w:spacing w:line="265" w:lineRule="exact"/>
              <w:ind w:left="705"/>
              <w:jc w:val="left"/>
              <w:rPr>
                <w:b/>
                <w:sz w:val="20"/>
              </w:rPr>
            </w:pPr>
            <w:r>
              <w:rPr>
                <w:b/>
                <w:color w:val="003366"/>
                <w:sz w:val="20"/>
              </w:rPr>
              <w:t>$’000</w:t>
            </w:r>
          </w:p>
        </w:tc>
        <w:tc>
          <w:tcPr>
            <w:tcW w:w="1950" w:type="dxa"/>
            <w:gridSpan w:val="2"/>
          </w:tcPr>
          <w:p w:rsidR="006C17CB" w:rsidRDefault="0030091C">
            <w:pPr>
              <w:pStyle w:val="TableParagraph"/>
              <w:spacing w:line="203" w:lineRule="exact"/>
              <w:ind w:left="423"/>
              <w:jc w:val="left"/>
              <w:rPr>
                <w:b/>
                <w:sz w:val="20"/>
              </w:rPr>
            </w:pPr>
            <w:r>
              <w:rPr>
                <w:b/>
                <w:color w:val="003366"/>
                <w:sz w:val="20"/>
              </w:rPr>
              <w:t>2017</w:t>
            </w:r>
          </w:p>
          <w:p w:rsidR="006C17CB" w:rsidRDefault="0030091C">
            <w:pPr>
              <w:pStyle w:val="TableParagraph"/>
              <w:spacing w:line="265" w:lineRule="exact"/>
              <w:ind w:left="373"/>
              <w:jc w:val="left"/>
              <w:rPr>
                <w:b/>
                <w:sz w:val="20"/>
              </w:rPr>
            </w:pPr>
            <w:r>
              <w:rPr>
                <w:b/>
                <w:color w:val="003366"/>
                <w:sz w:val="20"/>
              </w:rPr>
              <w:t>$’000</w:t>
            </w:r>
          </w:p>
        </w:tc>
      </w:tr>
      <w:tr w:rsidR="006C17CB">
        <w:trPr>
          <w:trHeight w:val="529"/>
        </w:trPr>
        <w:tc>
          <w:tcPr>
            <w:tcW w:w="4075" w:type="dxa"/>
          </w:tcPr>
          <w:p w:rsidR="006C17CB" w:rsidRDefault="0030091C">
            <w:pPr>
              <w:pStyle w:val="TableParagraph"/>
              <w:spacing w:before="101"/>
              <w:ind w:left="50"/>
              <w:jc w:val="left"/>
              <w:rPr>
                <w:b/>
                <w:sz w:val="20"/>
              </w:rPr>
            </w:pPr>
            <w:r>
              <w:rPr>
                <w:b/>
                <w:color w:val="003366"/>
                <w:sz w:val="20"/>
              </w:rPr>
              <w:t>Balance at 1 July 2016</w:t>
            </w:r>
          </w:p>
        </w:tc>
        <w:tc>
          <w:tcPr>
            <w:tcW w:w="4711" w:type="dxa"/>
            <w:gridSpan w:val="4"/>
          </w:tcPr>
          <w:p w:rsidR="006C17CB" w:rsidRDefault="0030091C">
            <w:pPr>
              <w:pStyle w:val="TableParagraph"/>
              <w:tabs>
                <w:tab w:val="left" w:pos="640"/>
                <w:tab w:val="left" w:pos="1948"/>
                <w:tab w:val="left" w:pos="3030"/>
              </w:tabs>
              <w:spacing w:before="101"/>
              <w:ind w:left="-1"/>
              <w:jc w:val="left"/>
              <w:rPr>
                <w:b/>
                <w:sz w:val="20"/>
              </w:rPr>
            </w:pPr>
            <w:r>
              <w:rPr>
                <w:b/>
                <w:color w:val="003366"/>
                <w:w w:val="99"/>
                <w:sz w:val="20"/>
                <w:u w:val="single" w:color="003366"/>
              </w:rPr>
              <w:t xml:space="preserve"> </w:t>
            </w:r>
            <w:r>
              <w:rPr>
                <w:b/>
                <w:color w:val="003366"/>
                <w:sz w:val="20"/>
                <w:u w:val="single" w:color="003366"/>
              </w:rPr>
              <w:tab/>
              <w:t>15,465</w:t>
            </w:r>
            <w:r>
              <w:rPr>
                <w:b/>
                <w:color w:val="003366"/>
                <w:sz w:val="20"/>
                <w:u w:val="single" w:color="003366"/>
              </w:rPr>
              <w:tab/>
              <w:t>18,208</w:t>
            </w:r>
            <w:r>
              <w:rPr>
                <w:b/>
                <w:color w:val="003366"/>
                <w:sz w:val="20"/>
                <w:u w:val="single" w:color="003366"/>
              </w:rPr>
              <w:tab/>
              <w:t>33,673</w:t>
            </w:r>
            <w:r>
              <w:rPr>
                <w:b/>
                <w:color w:val="003366"/>
                <w:spacing w:val="18"/>
                <w:sz w:val="20"/>
                <w:u w:val="single" w:color="003366"/>
              </w:rPr>
              <w:t xml:space="preserve"> </w:t>
            </w:r>
          </w:p>
        </w:tc>
      </w:tr>
      <w:tr w:rsidR="006C17CB">
        <w:trPr>
          <w:trHeight w:val="385"/>
        </w:trPr>
        <w:tc>
          <w:tcPr>
            <w:tcW w:w="4075" w:type="dxa"/>
          </w:tcPr>
          <w:p w:rsidR="006C17CB" w:rsidRDefault="0030091C">
            <w:pPr>
              <w:pStyle w:val="TableParagraph"/>
              <w:spacing w:before="59"/>
              <w:ind w:left="50"/>
              <w:jc w:val="left"/>
              <w:rPr>
                <w:b/>
                <w:sz w:val="20"/>
              </w:rPr>
            </w:pPr>
            <w:r>
              <w:rPr>
                <w:b/>
                <w:color w:val="003366"/>
                <w:sz w:val="20"/>
              </w:rPr>
              <w:t>Comprehensive Income</w:t>
            </w:r>
          </w:p>
        </w:tc>
        <w:tc>
          <w:tcPr>
            <w:tcW w:w="4711" w:type="dxa"/>
            <w:gridSpan w:val="4"/>
          </w:tcPr>
          <w:p w:rsidR="006C17CB" w:rsidRDefault="006C17CB">
            <w:pPr>
              <w:pStyle w:val="TableParagraph"/>
              <w:jc w:val="left"/>
              <w:rPr>
                <w:rFonts w:ascii="Times New Roman"/>
                <w:sz w:val="20"/>
              </w:rPr>
            </w:pPr>
          </w:p>
        </w:tc>
      </w:tr>
      <w:tr w:rsidR="006C17CB">
        <w:trPr>
          <w:trHeight w:val="283"/>
        </w:trPr>
        <w:tc>
          <w:tcPr>
            <w:tcW w:w="4075" w:type="dxa"/>
          </w:tcPr>
          <w:p w:rsidR="006C17CB" w:rsidRDefault="0030091C">
            <w:pPr>
              <w:pStyle w:val="TableParagraph"/>
              <w:spacing w:line="245" w:lineRule="exact"/>
              <w:ind w:left="50"/>
              <w:jc w:val="left"/>
              <w:rPr>
                <w:sz w:val="20"/>
              </w:rPr>
            </w:pPr>
            <w:r>
              <w:rPr>
                <w:color w:val="003366"/>
                <w:sz w:val="20"/>
              </w:rPr>
              <w:t>Operating (Deficit)</w:t>
            </w:r>
          </w:p>
        </w:tc>
        <w:tc>
          <w:tcPr>
            <w:tcW w:w="4711" w:type="dxa"/>
            <w:gridSpan w:val="4"/>
          </w:tcPr>
          <w:p w:rsidR="006C17CB" w:rsidRDefault="0030091C">
            <w:pPr>
              <w:pStyle w:val="TableParagraph"/>
              <w:tabs>
                <w:tab w:val="left" w:pos="2445"/>
                <w:tab w:val="left" w:pos="3165"/>
              </w:tabs>
              <w:spacing w:line="245" w:lineRule="exact"/>
              <w:ind w:left="775"/>
              <w:jc w:val="left"/>
              <w:rPr>
                <w:sz w:val="20"/>
              </w:rPr>
            </w:pPr>
            <w:r>
              <w:rPr>
                <w:color w:val="003366"/>
                <w:sz w:val="20"/>
              </w:rPr>
              <w:t>(911)</w:t>
            </w:r>
            <w:r>
              <w:rPr>
                <w:color w:val="003366"/>
                <w:sz w:val="20"/>
              </w:rPr>
              <w:tab/>
              <w:t>-</w:t>
            </w:r>
            <w:r>
              <w:rPr>
                <w:color w:val="003366"/>
                <w:sz w:val="20"/>
              </w:rPr>
              <w:tab/>
              <w:t>(911)</w:t>
            </w:r>
          </w:p>
        </w:tc>
      </w:tr>
      <w:tr w:rsidR="006C17CB">
        <w:trPr>
          <w:trHeight w:val="289"/>
        </w:trPr>
        <w:tc>
          <w:tcPr>
            <w:tcW w:w="4075" w:type="dxa"/>
          </w:tcPr>
          <w:p w:rsidR="006C17CB" w:rsidRDefault="0030091C">
            <w:pPr>
              <w:pStyle w:val="TableParagraph"/>
              <w:spacing w:line="245" w:lineRule="exact"/>
              <w:ind w:left="50"/>
              <w:jc w:val="left"/>
              <w:rPr>
                <w:sz w:val="20"/>
              </w:rPr>
            </w:pPr>
            <w:r>
              <w:rPr>
                <w:color w:val="003366"/>
                <w:sz w:val="20"/>
              </w:rPr>
              <w:t>(Decrease) in Asset Revaluation Surplus</w:t>
            </w:r>
          </w:p>
        </w:tc>
        <w:tc>
          <w:tcPr>
            <w:tcW w:w="4711" w:type="dxa"/>
            <w:gridSpan w:val="4"/>
          </w:tcPr>
          <w:p w:rsidR="006C17CB" w:rsidRDefault="0030091C">
            <w:pPr>
              <w:pStyle w:val="TableParagraph"/>
              <w:tabs>
                <w:tab w:val="left" w:pos="1137"/>
                <w:tab w:val="left" w:pos="1931"/>
                <w:tab w:val="left" w:pos="3014"/>
              </w:tabs>
              <w:spacing w:line="245" w:lineRule="exact"/>
              <w:ind w:left="-1"/>
              <w:jc w:val="left"/>
              <w:rPr>
                <w:sz w:val="20"/>
              </w:rPr>
            </w:pPr>
            <w:r>
              <w:rPr>
                <w:color w:val="003366"/>
                <w:w w:val="99"/>
                <w:sz w:val="20"/>
                <w:u w:val="single" w:color="003366"/>
              </w:rPr>
              <w:t xml:space="preserve"> </w:t>
            </w:r>
            <w:r>
              <w:rPr>
                <w:color w:val="003366"/>
                <w:sz w:val="20"/>
                <w:u w:val="single" w:color="003366"/>
              </w:rPr>
              <w:tab/>
              <w:t>-</w:t>
            </w:r>
            <w:r>
              <w:rPr>
                <w:color w:val="003366"/>
                <w:sz w:val="20"/>
                <w:u w:val="single" w:color="003366"/>
              </w:rPr>
              <w:tab/>
              <w:t>(5,291)</w:t>
            </w:r>
            <w:r>
              <w:rPr>
                <w:color w:val="003366"/>
                <w:sz w:val="20"/>
                <w:u w:val="single" w:color="003366"/>
              </w:rPr>
              <w:tab/>
              <w:t>(5,291)</w:t>
            </w:r>
            <w:r>
              <w:rPr>
                <w:color w:val="003366"/>
                <w:spacing w:val="18"/>
                <w:sz w:val="20"/>
                <w:u w:val="single" w:color="003366"/>
              </w:rPr>
              <w:t xml:space="preserve"> </w:t>
            </w:r>
          </w:p>
        </w:tc>
      </w:tr>
      <w:tr w:rsidR="006C17CB">
        <w:trPr>
          <w:trHeight w:val="391"/>
        </w:trPr>
        <w:tc>
          <w:tcPr>
            <w:tcW w:w="4075" w:type="dxa"/>
          </w:tcPr>
          <w:p w:rsidR="006C17CB" w:rsidRDefault="0030091C">
            <w:pPr>
              <w:pStyle w:val="TableParagraph"/>
              <w:spacing w:line="251" w:lineRule="exact"/>
              <w:ind w:left="50"/>
              <w:jc w:val="left"/>
              <w:rPr>
                <w:b/>
                <w:sz w:val="20"/>
              </w:rPr>
            </w:pPr>
            <w:r>
              <w:rPr>
                <w:b/>
                <w:color w:val="003366"/>
                <w:sz w:val="20"/>
              </w:rPr>
              <w:t>Total Comprehensive (Deficit)</w:t>
            </w:r>
          </w:p>
        </w:tc>
        <w:tc>
          <w:tcPr>
            <w:tcW w:w="4711" w:type="dxa"/>
            <w:gridSpan w:val="4"/>
          </w:tcPr>
          <w:p w:rsidR="006C17CB" w:rsidRDefault="0030091C">
            <w:pPr>
              <w:pStyle w:val="TableParagraph"/>
              <w:tabs>
                <w:tab w:val="left" w:pos="770"/>
                <w:tab w:val="left" w:pos="1926"/>
                <w:tab w:val="left" w:pos="3009"/>
              </w:tabs>
              <w:spacing w:line="251" w:lineRule="exact"/>
              <w:ind w:left="-1"/>
              <w:jc w:val="left"/>
              <w:rPr>
                <w:b/>
                <w:sz w:val="20"/>
              </w:rPr>
            </w:pPr>
            <w:r>
              <w:rPr>
                <w:b/>
                <w:color w:val="003366"/>
                <w:w w:val="99"/>
                <w:sz w:val="20"/>
                <w:u w:val="single" w:color="003366"/>
              </w:rPr>
              <w:t xml:space="preserve"> </w:t>
            </w:r>
            <w:r>
              <w:rPr>
                <w:b/>
                <w:color w:val="003366"/>
                <w:sz w:val="20"/>
                <w:u w:val="single" w:color="003366"/>
              </w:rPr>
              <w:tab/>
              <w:t>(911)</w:t>
            </w:r>
            <w:r>
              <w:rPr>
                <w:b/>
                <w:color w:val="003366"/>
                <w:sz w:val="20"/>
                <w:u w:val="single" w:color="003366"/>
              </w:rPr>
              <w:tab/>
              <w:t>(5,291)</w:t>
            </w:r>
            <w:r>
              <w:rPr>
                <w:b/>
                <w:color w:val="003366"/>
                <w:sz w:val="20"/>
                <w:u w:val="single" w:color="003366"/>
              </w:rPr>
              <w:tab/>
              <w:t>(6,202)</w:t>
            </w:r>
            <w:r>
              <w:rPr>
                <w:b/>
                <w:color w:val="003366"/>
                <w:spacing w:val="20"/>
                <w:sz w:val="20"/>
                <w:u w:val="single" w:color="003366"/>
              </w:rPr>
              <w:t xml:space="preserve"> </w:t>
            </w:r>
          </w:p>
        </w:tc>
      </w:tr>
      <w:tr w:rsidR="006C17CB">
        <w:trPr>
          <w:trHeight w:val="507"/>
        </w:trPr>
        <w:tc>
          <w:tcPr>
            <w:tcW w:w="4075" w:type="dxa"/>
          </w:tcPr>
          <w:p w:rsidR="006C17CB" w:rsidRDefault="0030091C">
            <w:pPr>
              <w:pStyle w:val="TableParagraph"/>
              <w:spacing w:before="100" w:line="242" w:lineRule="exact"/>
              <w:ind w:left="333" w:right="1294" w:hanging="284"/>
              <w:jc w:val="left"/>
              <w:rPr>
                <w:b/>
                <w:sz w:val="20"/>
              </w:rPr>
            </w:pPr>
            <w:r>
              <w:rPr>
                <w:b/>
                <w:color w:val="003366"/>
                <w:sz w:val="20"/>
              </w:rPr>
              <w:t>Transactions Involving Owners Affecting Accumulated Funds</w:t>
            </w:r>
          </w:p>
        </w:tc>
        <w:tc>
          <w:tcPr>
            <w:tcW w:w="4711" w:type="dxa"/>
            <w:gridSpan w:val="4"/>
          </w:tcPr>
          <w:p w:rsidR="006C17CB" w:rsidRDefault="006C17CB">
            <w:pPr>
              <w:pStyle w:val="TableParagraph"/>
              <w:jc w:val="left"/>
              <w:rPr>
                <w:rFonts w:ascii="Times New Roman"/>
                <w:sz w:val="20"/>
              </w:rPr>
            </w:pPr>
          </w:p>
        </w:tc>
      </w:tr>
      <w:tr w:rsidR="006C17CB">
        <w:trPr>
          <w:trHeight w:val="335"/>
        </w:trPr>
        <w:tc>
          <w:tcPr>
            <w:tcW w:w="4075" w:type="dxa"/>
          </w:tcPr>
          <w:p w:rsidR="006C17CB" w:rsidRDefault="0030091C">
            <w:pPr>
              <w:pStyle w:val="TableParagraph"/>
              <w:spacing w:before="3"/>
              <w:ind w:left="50"/>
              <w:jc w:val="left"/>
              <w:rPr>
                <w:sz w:val="20"/>
              </w:rPr>
            </w:pPr>
            <w:r>
              <w:rPr>
                <w:color w:val="003366"/>
                <w:sz w:val="20"/>
              </w:rPr>
              <w:t>Capital Injections</w:t>
            </w:r>
          </w:p>
        </w:tc>
        <w:tc>
          <w:tcPr>
            <w:tcW w:w="4711" w:type="dxa"/>
            <w:gridSpan w:val="4"/>
          </w:tcPr>
          <w:p w:rsidR="006C17CB" w:rsidRDefault="0030091C">
            <w:pPr>
              <w:pStyle w:val="TableParagraph"/>
              <w:tabs>
                <w:tab w:val="left" w:pos="894"/>
                <w:tab w:val="left" w:pos="2445"/>
                <w:tab w:val="left" w:pos="3285"/>
              </w:tabs>
              <w:spacing w:before="3"/>
              <w:ind w:left="-1"/>
              <w:jc w:val="left"/>
              <w:rPr>
                <w:sz w:val="20"/>
              </w:rPr>
            </w:pPr>
            <w:r>
              <w:rPr>
                <w:color w:val="003366"/>
                <w:w w:val="99"/>
                <w:sz w:val="20"/>
                <w:u w:val="single" w:color="003366"/>
              </w:rPr>
              <w:t xml:space="preserve"> </w:t>
            </w:r>
            <w:r>
              <w:rPr>
                <w:color w:val="003366"/>
                <w:sz w:val="20"/>
                <w:u w:val="single" w:color="003366"/>
              </w:rPr>
              <w:tab/>
              <w:t>652</w:t>
            </w:r>
            <w:r>
              <w:rPr>
                <w:color w:val="003366"/>
                <w:sz w:val="20"/>
                <w:u w:val="single" w:color="003366"/>
              </w:rPr>
              <w:tab/>
              <w:t>-</w:t>
            </w:r>
            <w:r>
              <w:rPr>
                <w:color w:val="003366"/>
                <w:sz w:val="20"/>
                <w:u w:val="single" w:color="003366"/>
              </w:rPr>
              <w:tab/>
              <w:t>652</w:t>
            </w:r>
            <w:r>
              <w:rPr>
                <w:color w:val="003366"/>
                <w:spacing w:val="18"/>
                <w:sz w:val="20"/>
                <w:u w:val="single" w:color="003366"/>
              </w:rPr>
              <w:t xml:space="preserve"> </w:t>
            </w:r>
          </w:p>
        </w:tc>
      </w:tr>
      <w:tr w:rsidR="006C17CB">
        <w:trPr>
          <w:trHeight w:val="489"/>
        </w:trPr>
        <w:tc>
          <w:tcPr>
            <w:tcW w:w="4075" w:type="dxa"/>
          </w:tcPr>
          <w:p w:rsidR="006C17CB" w:rsidRDefault="0030091C">
            <w:pPr>
              <w:pStyle w:val="TableParagraph"/>
              <w:spacing w:before="4" w:line="242" w:lineRule="exact"/>
              <w:ind w:left="333" w:right="994" w:hanging="284"/>
              <w:jc w:val="left"/>
              <w:rPr>
                <w:b/>
                <w:sz w:val="20"/>
              </w:rPr>
            </w:pPr>
            <w:r>
              <w:rPr>
                <w:b/>
                <w:color w:val="003366"/>
                <w:sz w:val="20"/>
              </w:rPr>
              <w:t>Total Transactions Involving Owners Affecting Accumulated Funds</w:t>
            </w:r>
          </w:p>
        </w:tc>
        <w:tc>
          <w:tcPr>
            <w:tcW w:w="4711" w:type="dxa"/>
            <w:gridSpan w:val="4"/>
          </w:tcPr>
          <w:p w:rsidR="006C17CB" w:rsidRDefault="006C17CB">
            <w:pPr>
              <w:pStyle w:val="TableParagraph"/>
              <w:spacing w:before="3"/>
              <w:jc w:val="left"/>
              <w:rPr>
                <w:b/>
                <w:sz w:val="14"/>
              </w:rPr>
            </w:pPr>
          </w:p>
          <w:p w:rsidR="006C17CB" w:rsidRDefault="0030091C">
            <w:pPr>
              <w:pStyle w:val="TableParagraph"/>
              <w:tabs>
                <w:tab w:val="left" w:pos="894"/>
                <w:tab w:val="left" w:pos="2445"/>
                <w:tab w:val="left" w:pos="3285"/>
              </w:tabs>
              <w:spacing w:line="264" w:lineRule="exact"/>
              <w:ind w:left="-1"/>
              <w:jc w:val="left"/>
              <w:rPr>
                <w:b/>
                <w:sz w:val="20"/>
              </w:rPr>
            </w:pPr>
            <w:r>
              <w:rPr>
                <w:b/>
                <w:color w:val="003366"/>
                <w:w w:val="99"/>
                <w:sz w:val="20"/>
                <w:u w:val="single" w:color="003366"/>
              </w:rPr>
              <w:t xml:space="preserve"> </w:t>
            </w:r>
            <w:r>
              <w:rPr>
                <w:b/>
                <w:color w:val="003366"/>
                <w:sz w:val="20"/>
                <w:u w:val="single" w:color="003366"/>
              </w:rPr>
              <w:tab/>
              <w:t>652</w:t>
            </w:r>
            <w:r>
              <w:rPr>
                <w:b/>
                <w:color w:val="003366"/>
                <w:sz w:val="20"/>
                <w:u w:val="single" w:color="003366"/>
              </w:rPr>
              <w:tab/>
              <w:t>-</w:t>
            </w:r>
            <w:r>
              <w:rPr>
                <w:b/>
                <w:color w:val="003366"/>
                <w:sz w:val="20"/>
                <w:u w:val="single" w:color="003366"/>
              </w:rPr>
              <w:tab/>
              <w:t>652</w:t>
            </w:r>
            <w:r>
              <w:rPr>
                <w:b/>
                <w:color w:val="003366"/>
                <w:spacing w:val="18"/>
                <w:sz w:val="20"/>
                <w:u w:val="single" w:color="003366"/>
              </w:rPr>
              <w:t xml:space="preserve"> </w:t>
            </w:r>
          </w:p>
        </w:tc>
      </w:tr>
    </w:tbl>
    <w:p w:rsidR="006C17CB" w:rsidRDefault="00FE24A7">
      <w:pPr>
        <w:pStyle w:val="BodyText"/>
        <w:spacing w:before="6"/>
        <w:rPr>
          <w:rFonts w:ascii="Calibri"/>
          <w:b/>
          <w:sz w:val="21"/>
        </w:rPr>
      </w:pPr>
      <w:r>
        <w:pict>
          <v:group id="_x0000_s1198" alt="" style="position:absolute;margin-left:291.6pt;margin-top:17.45pt;width:184.95pt;height:.5pt;z-index:2824;mso-wrap-distance-left:0;mso-wrap-distance-right:0;mso-position-horizontal-relative:page;mso-position-vertical-relative:text" coordorigin="5832,349" coordsize="3699,10">
            <v:line id="_x0000_s1199" alt="" style="position:absolute" from="5832,353" to="7142,353" strokecolor="#036" strokeweight=".48pt"/>
            <v:rect id="_x0000_s1200" alt="" style="position:absolute;left:7142;top:348;width:10;height:10" fillcolor="#036" stroked="f"/>
            <v:line id="_x0000_s1201" alt="" style="position:absolute" from="7152,353" to="8450,353" strokecolor="#036" strokeweight=".48pt"/>
            <v:rect id="_x0000_s1202" alt="" style="position:absolute;left:8450;top:348;width:10;height:10" fillcolor="#036" stroked="f"/>
            <v:line id="_x0000_s1203" alt="" style="position:absolute" from="8460,353" to="9530,353" strokecolor="#036" strokeweight=".48pt"/>
            <w10:wrap type="topAndBottom" anchorx="page"/>
          </v:group>
        </w:pict>
      </w:r>
    </w:p>
    <w:p w:rsidR="006C17CB" w:rsidRDefault="0030091C">
      <w:pPr>
        <w:tabs>
          <w:tab w:val="left" w:pos="5492"/>
          <w:tab w:val="left" w:pos="6800"/>
          <w:tab w:val="left" w:pos="7883"/>
        </w:tabs>
        <w:ind w:left="827"/>
        <w:rPr>
          <w:rFonts w:ascii="Calibri"/>
          <w:b/>
          <w:sz w:val="20"/>
        </w:rPr>
      </w:pPr>
      <w:r>
        <w:rPr>
          <w:rFonts w:ascii="Calibri"/>
          <w:b/>
          <w:color w:val="003366"/>
          <w:sz w:val="20"/>
        </w:rPr>
        <w:t>Balance at 30</w:t>
      </w:r>
      <w:r>
        <w:rPr>
          <w:rFonts w:ascii="Calibri"/>
          <w:b/>
          <w:color w:val="003366"/>
          <w:spacing w:val="-5"/>
          <w:sz w:val="20"/>
        </w:rPr>
        <w:t xml:space="preserve"> </w:t>
      </w:r>
      <w:r>
        <w:rPr>
          <w:rFonts w:ascii="Calibri"/>
          <w:b/>
          <w:color w:val="003366"/>
          <w:sz w:val="20"/>
        </w:rPr>
        <w:t>June</w:t>
      </w:r>
      <w:r>
        <w:rPr>
          <w:rFonts w:ascii="Calibri"/>
          <w:b/>
          <w:color w:val="003366"/>
          <w:spacing w:val="-2"/>
          <w:sz w:val="20"/>
        </w:rPr>
        <w:t xml:space="preserve"> </w:t>
      </w:r>
      <w:r>
        <w:rPr>
          <w:rFonts w:ascii="Calibri"/>
          <w:b/>
          <w:color w:val="003366"/>
          <w:sz w:val="20"/>
        </w:rPr>
        <w:t>2017</w:t>
      </w:r>
      <w:r>
        <w:rPr>
          <w:rFonts w:ascii="Calibri"/>
          <w:b/>
          <w:color w:val="003366"/>
          <w:sz w:val="20"/>
        </w:rPr>
        <w:tab/>
        <w:t>15,206</w:t>
      </w:r>
      <w:r>
        <w:rPr>
          <w:rFonts w:ascii="Calibri"/>
          <w:b/>
          <w:color w:val="003366"/>
          <w:sz w:val="20"/>
        </w:rPr>
        <w:tab/>
        <w:t>12,918</w:t>
      </w:r>
      <w:r>
        <w:rPr>
          <w:rFonts w:ascii="Calibri"/>
          <w:b/>
          <w:color w:val="003366"/>
          <w:sz w:val="20"/>
        </w:rPr>
        <w:tab/>
        <w:t>28,124</w:t>
      </w:r>
    </w:p>
    <w:p w:rsidR="006C17CB" w:rsidRDefault="00FE24A7">
      <w:pPr>
        <w:pStyle w:val="BodyText"/>
        <w:spacing w:line="29" w:lineRule="exact"/>
        <w:ind w:left="4847"/>
        <w:rPr>
          <w:rFonts w:ascii="Calibri"/>
          <w:sz w:val="2"/>
        </w:rPr>
      </w:pPr>
      <w:r>
        <w:rPr>
          <w:rFonts w:ascii="Calibri"/>
          <w:sz w:val="2"/>
        </w:rPr>
      </w:r>
      <w:r>
        <w:rPr>
          <w:rFonts w:ascii="Calibri"/>
          <w:sz w:val="2"/>
        </w:rPr>
        <w:pict>
          <v:group id="_x0000_s1187" alt="" style="width:184.95pt;height:1.45pt;mso-position-horizontal-relative:char;mso-position-vertical-relative:line" coordsize="3699,29">
            <v:line id="_x0000_s1188" alt="" style="position:absolute" from="0,5" to="1310,5" strokecolor="#036" strokeweight=".48pt"/>
            <v:line id="_x0000_s1189" alt="" style="position:absolute" from="0,24" to="1310,24" strokecolor="#036" strokeweight=".16969mm"/>
            <v:rect id="_x0000_s1190" alt="" style="position:absolute;left:1310;width:29;height:10" fillcolor="#036" stroked="f"/>
            <v:rect id="_x0000_s1191" alt="" style="position:absolute;left:1310;top:19;width:29;height:10" fillcolor="#036" stroked="f"/>
            <v:line id="_x0000_s1192" alt="" style="position:absolute" from="1339,5" to="2618,5" strokecolor="#036" strokeweight=".48pt"/>
            <v:line id="_x0000_s1193" alt="" style="position:absolute" from="1339,24" to="2618,24" strokecolor="#036" strokeweight=".16969mm"/>
            <v:rect id="_x0000_s1194" alt="" style="position:absolute;left:2618;width:29;height:10" fillcolor="#036" stroked="f"/>
            <v:rect id="_x0000_s1195" alt="" style="position:absolute;left:2618;top:19;width:29;height:10" fillcolor="#036" stroked="f"/>
            <v:line id="_x0000_s1196" alt="" style="position:absolute" from="2647,5" to="3698,5" strokecolor="#036" strokeweight=".48pt"/>
            <v:line id="_x0000_s1197" alt="" style="position:absolute" from="2647,24" to="3698,24" strokecolor="#036" strokeweight=".16969mm"/>
            <w10:anchorlock/>
          </v:group>
        </w:pict>
      </w:r>
    </w:p>
    <w:p w:rsidR="006C17CB" w:rsidRDefault="006C17CB">
      <w:pPr>
        <w:pStyle w:val="BodyText"/>
        <w:spacing w:before="8"/>
        <w:rPr>
          <w:rFonts w:ascii="Calibri"/>
          <w:b/>
          <w:sz w:val="26"/>
        </w:rPr>
      </w:pPr>
    </w:p>
    <w:p w:rsidR="006C17CB" w:rsidRDefault="0030091C">
      <w:pPr>
        <w:spacing w:before="33"/>
        <w:ind w:left="827"/>
        <w:rPr>
          <w:rFonts w:ascii="Calibri"/>
          <w:sz w:val="16"/>
        </w:rPr>
      </w:pPr>
      <w:r>
        <w:rPr>
          <w:rFonts w:ascii="Calibri"/>
          <w:color w:val="003366"/>
          <w:sz w:val="16"/>
        </w:rPr>
        <w:t>The above Statement of Changes in Equity on Behalf of the Territory should be read in conjunction with the accompanying notes.</w:t>
      </w:r>
    </w:p>
    <w:p w:rsidR="006C17CB" w:rsidRDefault="006C17CB">
      <w:pPr>
        <w:rPr>
          <w:rFonts w:ascii="Calibri"/>
          <w:sz w:val="16"/>
        </w:rPr>
        <w:sectPr w:rsidR="006C17CB">
          <w:pgSz w:w="11910" w:h="16840"/>
          <w:pgMar w:top="1460" w:right="0" w:bottom="740" w:left="980" w:header="1203" w:footer="551" w:gutter="0"/>
          <w:cols w:space="720"/>
        </w:sectPr>
      </w:pPr>
    </w:p>
    <w:p w:rsidR="006C17CB" w:rsidRDefault="0030091C">
      <w:pPr>
        <w:pStyle w:val="Heading5"/>
        <w:spacing w:line="201" w:lineRule="auto"/>
        <w:ind w:left="3222" w:right="3062" w:hanging="843"/>
      </w:pPr>
      <w:r>
        <w:rPr>
          <w:color w:val="003366"/>
        </w:rPr>
        <w:t>Cash Flow Statement on Behalf of the Territory For the Year Ended 30 June 2018</w:t>
      </w:r>
    </w:p>
    <w:p w:rsidR="006C17CB" w:rsidRDefault="006C17CB">
      <w:pPr>
        <w:pStyle w:val="BodyText"/>
        <w:spacing w:before="5"/>
        <w:rPr>
          <w:rFonts w:ascii="Calibri"/>
          <w:b/>
          <w:sz w:val="13"/>
        </w:rPr>
      </w:pPr>
    </w:p>
    <w:p w:rsidR="006C17CB" w:rsidRDefault="006C17CB">
      <w:pPr>
        <w:rPr>
          <w:rFonts w:ascii="Calibri"/>
          <w:sz w:val="13"/>
        </w:rPr>
        <w:sectPr w:rsidR="006C17CB">
          <w:pgSz w:w="11910" w:h="16840"/>
          <w:pgMar w:top="1460" w:right="0" w:bottom="720" w:left="980" w:header="1174" w:footer="523" w:gutter="0"/>
          <w:cols w:space="720"/>
        </w:sectPr>
      </w:pPr>
    </w:p>
    <w:p w:rsidR="006C17CB" w:rsidRDefault="006C17CB">
      <w:pPr>
        <w:pStyle w:val="BodyText"/>
        <w:rPr>
          <w:rFonts w:ascii="Calibri"/>
          <w:b/>
          <w:sz w:val="20"/>
        </w:rPr>
      </w:pPr>
    </w:p>
    <w:p w:rsidR="006C17CB" w:rsidRDefault="006C17CB">
      <w:pPr>
        <w:pStyle w:val="BodyText"/>
        <w:rPr>
          <w:rFonts w:ascii="Calibri"/>
          <w:b/>
          <w:sz w:val="20"/>
        </w:rPr>
      </w:pPr>
    </w:p>
    <w:p w:rsidR="006C17CB" w:rsidRDefault="006C17CB">
      <w:pPr>
        <w:pStyle w:val="BodyText"/>
        <w:rPr>
          <w:rFonts w:ascii="Calibri"/>
          <w:b/>
          <w:sz w:val="20"/>
        </w:rPr>
      </w:pPr>
    </w:p>
    <w:p w:rsidR="006C17CB" w:rsidRDefault="0030091C">
      <w:pPr>
        <w:spacing w:before="172" w:line="235" w:lineRule="auto"/>
        <w:ind w:left="829" w:right="1247"/>
        <w:rPr>
          <w:rFonts w:ascii="Calibri"/>
          <w:b/>
          <w:sz w:val="20"/>
        </w:rPr>
      </w:pPr>
      <w:r>
        <w:rPr>
          <w:rFonts w:ascii="Calibri"/>
          <w:b/>
          <w:color w:val="003366"/>
          <w:sz w:val="20"/>
        </w:rPr>
        <w:t>Cash Flows from Operating Activities Receipts</w:t>
      </w:r>
    </w:p>
    <w:p w:rsidR="006C17CB" w:rsidRDefault="0030091C">
      <w:pPr>
        <w:spacing w:line="285" w:lineRule="exact"/>
        <w:ind w:left="829"/>
        <w:rPr>
          <w:rFonts w:ascii="Calibri"/>
          <w:sz w:val="20"/>
        </w:rPr>
      </w:pPr>
      <w:r>
        <w:rPr>
          <w:rFonts w:ascii="Calibri"/>
          <w:color w:val="003366"/>
          <w:sz w:val="20"/>
        </w:rPr>
        <w:t>Cash from Government for Expenses on Behalf of the</w:t>
      </w:r>
    </w:p>
    <w:p w:rsidR="006C17CB" w:rsidRDefault="0030091C">
      <w:pPr>
        <w:pStyle w:val="BodyText"/>
        <w:rPr>
          <w:rFonts w:ascii="Calibri"/>
          <w:sz w:val="20"/>
        </w:rPr>
      </w:pPr>
      <w:r>
        <w:br w:type="column"/>
      </w:r>
    </w:p>
    <w:p w:rsidR="006C17CB" w:rsidRDefault="006C17CB">
      <w:pPr>
        <w:pStyle w:val="BodyText"/>
        <w:spacing w:before="4"/>
        <w:rPr>
          <w:rFonts w:ascii="Calibri"/>
          <w:sz w:val="17"/>
        </w:rPr>
      </w:pPr>
    </w:p>
    <w:p w:rsidR="006C17CB" w:rsidRDefault="0030091C">
      <w:pPr>
        <w:spacing w:line="204" w:lineRule="auto"/>
        <w:ind w:left="345" w:right="-19" w:hanging="58"/>
        <w:rPr>
          <w:rFonts w:ascii="Calibri"/>
          <w:b/>
          <w:sz w:val="20"/>
        </w:rPr>
      </w:pPr>
      <w:r>
        <w:rPr>
          <w:rFonts w:ascii="Calibri"/>
          <w:b/>
          <w:color w:val="003366"/>
          <w:sz w:val="20"/>
        </w:rPr>
        <w:t>Note</w:t>
      </w:r>
      <w:r>
        <w:rPr>
          <w:rFonts w:ascii="Calibri"/>
          <w:b/>
          <w:color w:val="003366"/>
          <w:w w:val="99"/>
          <w:sz w:val="20"/>
        </w:rPr>
        <w:t xml:space="preserve"> </w:t>
      </w:r>
      <w:r>
        <w:rPr>
          <w:rFonts w:ascii="Calibri"/>
          <w:b/>
          <w:color w:val="003366"/>
          <w:sz w:val="20"/>
        </w:rPr>
        <w:t>No.</w:t>
      </w:r>
    </w:p>
    <w:p w:rsidR="006C17CB" w:rsidRDefault="0030091C">
      <w:pPr>
        <w:pStyle w:val="BodyText"/>
        <w:spacing w:before="4"/>
        <w:rPr>
          <w:rFonts w:ascii="Calibri"/>
          <w:b/>
          <w:sz w:val="20"/>
        </w:rPr>
      </w:pPr>
      <w:r>
        <w:br w:type="column"/>
      </w:r>
    </w:p>
    <w:p w:rsidR="006C17CB" w:rsidRDefault="0030091C">
      <w:pPr>
        <w:spacing w:line="204" w:lineRule="auto"/>
        <w:ind w:left="673" w:right="-17" w:hanging="125"/>
        <w:rPr>
          <w:rFonts w:ascii="Calibri"/>
          <w:b/>
          <w:sz w:val="20"/>
        </w:rPr>
      </w:pPr>
      <w:r>
        <w:rPr>
          <w:rFonts w:ascii="Calibri"/>
          <w:b/>
          <w:color w:val="003366"/>
          <w:w w:val="95"/>
          <w:sz w:val="20"/>
        </w:rPr>
        <w:t xml:space="preserve">Actual </w:t>
      </w:r>
      <w:r>
        <w:rPr>
          <w:rFonts w:ascii="Calibri"/>
          <w:b/>
          <w:color w:val="003366"/>
          <w:spacing w:val="-1"/>
          <w:sz w:val="20"/>
        </w:rPr>
        <w:t>2018</w:t>
      </w:r>
    </w:p>
    <w:p w:rsidR="006C17CB" w:rsidRDefault="0030091C">
      <w:pPr>
        <w:spacing w:line="253" w:lineRule="exact"/>
        <w:ind w:left="622"/>
        <w:rPr>
          <w:rFonts w:ascii="Calibri" w:hAnsi="Calibri"/>
          <w:b/>
          <w:sz w:val="20"/>
        </w:rPr>
      </w:pPr>
      <w:r>
        <w:rPr>
          <w:rFonts w:ascii="Calibri" w:hAnsi="Calibri"/>
          <w:b/>
          <w:color w:val="003366"/>
          <w:spacing w:val="-1"/>
          <w:sz w:val="20"/>
        </w:rPr>
        <w:t>$’000</w:t>
      </w:r>
    </w:p>
    <w:p w:rsidR="006C17CB" w:rsidRDefault="0030091C">
      <w:pPr>
        <w:spacing w:before="50" w:line="204" w:lineRule="auto"/>
        <w:ind w:left="640" w:hanging="63"/>
        <w:jc w:val="right"/>
        <w:rPr>
          <w:rFonts w:ascii="Calibri"/>
          <w:b/>
          <w:sz w:val="20"/>
        </w:rPr>
      </w:pPr>
      <w:r>
        <w:br w:type="column"/>
      </w:r>
      <w:r>
        <w:rPr>
          <w:rFonts w:ascii="Calibri"/>
          <w:b/>
          <w:color w:val="003366"/>
          <w:w w:val="95"/>
          <w:sz w:val="20"/>
        </w:rPr>
        <w:t>Original Budget 2018</w:t>
      </w:r>
    </w:p>
    <w:p w:rsidR="006C17CB" w:rsidRDefault="0030091C">
      <w:pPr>
        <w:spacing w:line="250" w:lineRule="exact"/>
        <w:ind w:right="1"/>
        <w:jc w:val="right"/>
        <w:rPr>
          <w:rFonts w:ascii="Calibri" w:hAnsi="Calibri"/>
          <w:b/>
          <w:sz w:val="20"/>
        </w:rPr>
      </w:pPr>
      <w:r>
        <w:rPr>
          <w:rFonts w:ascii="Calibri" w:hAnsi="Calibri"/>
          <w:b/>
          <w:color w:val="003366"/>
          <w:sz w:val="20"/>
        </w:rPr>
        <w:t>$’000</w:t>
      </w:r>
    </w:p>
    <w:p w:rsidR="006C17CB" w:rsidRDefault="0030091C">
      <w:pPr>
        <w:pStyle w:val="BodyText"/>
        <w:spacing w:before="4"/>
        <w:rPr>
          <w:rFonts w:ascii="Calibri"/>
          <w:b/>
          <w:sz w:val="20"/>
        </w:rPr>
      </w:pPr>
      <w:r>
        <w:br w:type="column"/>
      </w:r>
    </w:p>
    <w:p w:rsidR="006C17CB" w:rsidRDefault="0030091C">
      <w:pPr>
        <w:spacing w:line="204" w:lineRule="auto"/>
        <w:ind w:left="675" w:right="1511" w:hanging="125"/>
        <w:rPr>
          <w:rFonts w:ascii="Calibri"/>
          <w:b/>
          <w:sz w:val="20"/>
        </w:rPr>
      </w:pPr>
      <w:r>
        <w:rPr>
          <w:rFonts w:ascii="Calibri"/>
          <w:b/>
          <w:color w:val="003366"/>
          <w:sz w:val="20"/>
        </w:rPr>
        <w:t>Actual 2017</w:t>
      </w:r>
    </w:p>
    <w:p w:rsidR="006C17CB" w:rsidRDefault="0030091C">
      <w:pPr>
        <w:spacing w:line="253" w:lineRule="exact"/>
        <w:ind w:left="625"/>
        <w:rPr>
          <w:rFonts w:ascii="Calibri" w:hAnsi="Calibri"/>
          <w:b/>
          <w:sz w:val="20"/>
        </w:rPr>
      </w:pPr>
      <w:r>
        <w:rPr>
          <w:rFonts w:ascii="Calibri" w:hAnsi="Calibri"/>
          <w:b/>
          <w:color w:val="003366"/>
          <w:sz w:val="20"/>
        </w:rPr>
        <w:t>$’000</w:t>
      </w:r>
    </w:p>
    <w:p w:rsidR="006C17CB" w:rsidRDefault="006C17CB">
      <w:pPr>
        <w:spacing w:line="253" w:lineRule="exact"/>
        <w:rPr>
          <w:rFonts w:ascii="Calibri" w:hAnsi="Calibri"/>
          <w:sz w:val="20"/>
        </w:rPr>
        <w:sectPr w:rsidR="006C17CB">
          <w:type w:val="continuous"/>
          <w:pgSz w:w="11910" w:h="16840"/>
          <w:pgMar w:top="1580" w:right="0" w:bottom="280" w:left="980" w:header="720" w:footer="720" w:gutter="0"/>
          <w:cols w:num="5" w:space="720" w:equalWidth="0">
            <w:col w:w="5151" w:space="40"/>
            <w:col w:w="698" w:space="39"/>
            <w:col w:w="1078" w:space="40"/>
            <w:col w:w="1233" w:space="39"/>
            <w:col w:w="2612"/>
          </w:cols>
        </w:sectPr>
      </w:pPr>
    </w:p>
    <w:p w:rsidR="006C17CB" w:rsidRDefault="0030091C">
      <w:pPr>
        <w:tabs>
          <w:tab w:val="left" w:pos="6551"/>
          <w:tab w:val="left" w:pos="7823"/>
          <w:tab w:val="left" w:pos="8943"/>
        </w:tabs>
        <w:spacing w:line="244" w:lineRule="exact"/>
        <w:ind w:left="1112"/>
        <w:rPr>
          <w:rFonts w:ascii="Calibri"/>
          <w:sz w:val="20"/>
        </w:rPr>
      </w:pPr>
      <w:r>
        <w:rPr>
          <w:rFonts w:ascii="Calibri"/>
          <w:color w:val="003366"/>
          <w:sz w:val="20"/>
        </w:rPr>
        <w:t>Territory</w:t>
      </w:r>
      <w:r>
        <w:rPr>
          <w:rFonts w:ascii="Calibri"/>
          <w:color w:val="003366"/>
          <w:sz w:val="20"/>
        </w:rPr>
        <w:tab/>
        <w:t>9,027</w:t>
      </w:r>
      <w:r>
        <w:rPr>
          <w:rFonts w:ascii="Calibri"/>
          <w:color w:val="003366"/>
          <w:sz w:val="20"/>
        </w:rPr>
        <w:tab/>
        <w:t>9,923</w:t>
      </w:r>
      <w:r>
        <w:rPr>
          <w:rFonts w:ascii="Calibri"/>
          <w:color w:val="003366"/>
          <w:sz w:val="20"/>
        </w:rPr>
        <w:tab/>
        <w:t>8,125</w:t>
      </w:r>
    </w:p>
    <w:p w:rsidR="006C17CB" w:rsidRDefault="0030091C">
      <w:pPr>
        <w:spacing w:after="39" w:line="287" w:lineRule="exact"/>
        <w:ind w:left="829"/>
        <w:rPr>
          <w:rFonts w:ascii="Calibri"/>
          <w:sz w:val="20"/>
        </w:rPr>
      </w:pPr>
      <w:r>
        <w:rPr>
          <w:rFonts w:ascii="Calibri"/>
          <w:color w:val="003366"/>
          <w:sz w:val="20"/>
        </w:rPr>
        <w:t>Goods and Services Tax Input Credits from the</w:t>
      </w:r>
    </w:p>
    <w:tbl>
      <w:tblPr>
        <w:tblW w:w="0" w:type="auto"/>
        <w:tblInd w:w="779" w:type="dxa"/>
        <w:tblLayout w:type="fixed"/>
        <w:tblCellMar>
          <w:left w:w="0" w:type="dxa"/>
          <w:right w:w="0" w:type="dxa"/>
        </w:tblCellMar>
        <w:tblLook w:val="01E0" w:firstRow="1" w:lastRow="1" w:firstColumn="1" w:lastColumn="1" w:noHBand="0" w:noVBand="0"/>
      </w:tblPr>
      <w:tblGrid>
        <w:gridCol w:w="4457"/>
        <w:gridCol w:w="655"/>
        <w:gridCol w:w="3669"/>
      </w:tblGrid>
      <w:tr w:rsidR="006C17CB">
        <w:trPr>
          <w:trHeight w:val="526"/>
        </w:trPr>
        <w:tc>
          <w:tcPr>
            <w:tcW w:w="4457" w:type="dxa"/>
          </w:tcPr>
          <w:p w:rsidR="006C17CB" w:rsidRDefault="0030091C">
            <w:pPr>
              <w:pStyle w:val="TableParagraph"/>
              <w:spacing w:line="202" w:lineRule="exact"/>
              <w:ind w:left="333"/>
              <w:jc w:val="left"/>
              <w:rPr>
                <w:sz w:val="20"/>
              </w:rPr>
            </w:pPr>
            <w:r>
              <w:rPr>
                <w:color w:val="003366"/>
                <w:sz w:val="20"/>
              </w:rPr>
              <w:t>Australian Taxation Office</w:t>
            </w:r>
          </w:p>
          <w:p w:rsidR="006C17CB" w:rsidRDefault="0030091C">
            <w:pPr>
              <w:pStyle w:val="TableParagraph"/>
              <w:spacing w:line="287" w:lineRule="exact"/>
              <w:ind w:left="50"/>
              <w:jc w:val="left"/>
              <w:rPr>
                <w:sz w:val="20"/>
              </w:rPr>
            </w:pPr>
            <w:r>
              <w:rPr>
                <w:color w:val="003366"/>
                <w:sz w:val="20"/>
              </w:rPr>
              <w:t>Goods and Services Tax Collected from Customers</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2164"/>
                <w:tab w:val="left" w:pos="3146"/>
              </w:tabs>
              <w:spacing w:line="202" w:lineRule="exact"/>
              <w:ind w:left="753"/>
              <w:jc w:val="center"/>
              <w:rPr>
                <w:sz w:val="20"/>
              </w:rPr>
            </w:pPr>
            <w:r>
              <w:rPr>
                <w:color w:val="003366"/>
                <w:sz w:val="20"/>
              </w:rPr>
              <w:t>63</w:t>
            </w:r>
            <w:r>
              <w:rPr>
                <w:color w:val="003366"/>
                <w:sz w:val="20"/>
              </w:rPr>
              <w:tab/>
              <w:t>-</w:t>
            </w:r>
            <w:r>
              <w:rPr>
                <w:color w:val="003366"/>
                <w:sz w:val="20"/>
              </w:rPr>
              <w:tab/>
              <w:t>90</w:t>
            </w:r>
          </w:p>
          <w:p w:rsidR="006C17CB" w:rsidRDefault="0030091C">
            <w:pPr>
              <w:pStyle w:val="TableParagraph"/>
              <w:tabs>
                <w:tab w:val="left" w:pos="2163"/>
                <w:tab w:val="left" w:pos="3283"/>
              </w:tabs>
              <w:spacing w:line="287" w:lineRule="exact"/>
              <w:ind w:left="891"/>
              <w:jc w:val="center"/>
              <w:rPr>
                <w:sz w:val="20"/>
              </w:rPr>
            </w:pPr>
            <w:r>
              <w:rPr>
                <w:color w:val="003366"/>
                <w:sz w:val="20"/>
              </w:rPr>
              <w:t>-</w:t>
            </w:r>
            <w:r>
              <w:rPr>
                <w:color w:val="003366"/>
                <w:sz w:val="20"/>
              </w:rPr>
              <w:tab/>
              <w:t>-</w:t>
            </w:r>
            <w:r>
              <w:rPr>
                <w:color w:val="003366"/>
                <w:sz w:val="20"/>
              </w:rPr>
              <w:tab/>
              <w:t>-</w:t>
            </w:r>
          </w:p>
        </w:tc>
      </w:tr>
      <w:tr w:rsidR="006C17CB">
        <w:trPr>
          <w:trHeight w:val="289"/>
        </w:trPr>
        <w:tc>
          <w:tcPr>
            <w:tcW w:w="4457" w:type="dxa"/>
          </w:tcPr>
          <w:p w:rsidR="006C17CB" w:rsidRDefault="0030091C">
            <w:pPr>
              <w:pStyle w:val="TableParagraph"/>
              <w:spacing w:line="245" w:lineRule="exact"/>
              <w:ind w:left="50"/>
              <w:jc w:val="left"/>
              <w:rPr>
                <w:sz w:val="20"/>
              </w:rPr>
            </w:pPr>
            <w:r>
              <w:rPr>
                <w:color w:val="003366"/>
                <w:sz w:val="20"/>
              </w:rPr>
              <w:t>Other</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945"/>
                <w:tab w:val="left" w:pos="2078"/>
                <w:tab w:val="left" w:pos="3338"/>
              </w:tabs>
              <w:spacing w:line="245" w:lineRule="exact"/>
              <w:ind w:right="48"/>
              <w:rPr>
                <w:sz w:val="20"/>
              </w:rPr>
            </w:pPr>
            <w:r>
              <w:rPr>
                <w:color w:val="003366"/>
                <w:w w:val="99"/>
                <w:sz w:val="20"/>
                <w:u w:val="single" w:color="000000"/>
              </w:rPr>
              <w:t xml:space="preserve"> </w:t>
            </w:r>
            <w:r>
              <w:rPr>
                <w:color w:val="003366"/>
                <w:sz w:val="20"/>
                <w:u w:val="single" w:color="000000"/>
              </w:rPr>
              <w:tab/>
              <w:t>-</w:t>
            </w:r>
            <w:r>
              <w:rPr>
                <w:color w:val="003366"/>
                <w:sz w:val="20"/>
                <w:u w:val="single" w:color="000000"/>
              </w:rPr>
              <w:tab/>
              <w:t>30</w:t>
            </w:r>
            <w:r>
              <w:rPr>
                <w:color w:val="003366"/>
                <w:sz w:val="20"/>
                <w:u w:val="single" w:color="000000"/>
              </w:rPr>
              <w:tab/>
            </w:r>
            <w:r>
              <w:rPr>
                <w:color w:val="003366"/>
                <w:w w:val="95"/>
                <w:sz w:val="20"/>
                <w:u w:val="single" w:color="000000"/>
              </w:rPr>
              <w:t>-</w:t>
            </w:r>
            <w:r>
              <w:rPr>
                <w:color w:val="003366"/>
                <w:spacing w:val="20"/>
                <w:sz w:val="20"/>
                <w:u w:val="single" w:color="000000"/>
              </w:rPr>
              <w:t xml:space="preserve"> </w:t>
            </w:r>
          </w:p>
        </w:tc>
      </w:tr>
      <w:tr w:rsidR="006C17CB">
        <w:trPr>
          <w:trHeight w:val="440"/>
        </w:trPr>
        <w:tc>
          <w:tcPr>
            <w:tcW w:w="4457" w:type="dxa"/>
          </w:tcPr>
          <w:p w:rsidR="006C17CB" w:rsidRDefault="0030091C">
            <w:pPr>
              <w:pStyle w:val="TableParagraph"/>
              <w:spacing w:line="251" w:lineRule="exact"/>
              <w:ind w:left="50"/>
              <w:jc w:val="left"/>
              <w:rPr>
                <w:b/>
                <w:sz w:val="20"/>
              </w:rPr>
            </w:pPr>
            <w:r>
              <w:rPr>
                <w:b/>
                <w:color w:val="003366"/>
                <w:sz w:val="20"/>
              </w:rPr>
              <w:t>Total Receipts from Operating Activities</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551"/>
                <w:tab w:val="left" w:pos="1823"/>
                <w:tab w:val="left" w:pos="2944"/>
              </w:tabs>
              <w:spacing w:line="251" w:lineRule="exact"/>
              <w:ind w:right="48"/>
              <w:rPr>
                <w:b/>
                <w:sz w:val="20"/>
              </w:rPr>
            </w:pPr>
            <w:r>
              <w:rPr>
                <w:b/>
                <w:color w:val="003366"/>
                <w:w w:val="99"/>
                <w:sz w:val="20"/>
                <w:u w:val="single" w:color="000000"/>
              </w:rPr>
              <w:t xml:space="preserve"> </w:t>
            </w:r>
            <w:r>
              <w:rPr>
                <w:b/>
                <w:color w:val="003366"/>
                <w:sz w:val="20"/>
                <w:u w:val="single" w:color="000000"/>
              </w:rPr>
              <w:tab/>
              <w:t>9,090</w:t>
            </w:r>
            <w:r>
              <w:rPr>
                <w:b/>
                <w:color w:val="003366"/>
                <w:sz w:val="20"/>
                <w:u w:val="single" w:color="000000"/>
              </w:rPr>
              <w:tab/>
              <w:t>9,953</w:t>
            </w:r>
            <w:r>
              <w:rPr>
                <w:b/>
                <w:color w:val="003366"/>
                <w:sz w:val="20"/>
                <w:u w:val="single" w:color="000000"/>
              </w:rPr>
              <w:tab/>
            </w:r>
            <w:r>
              <w:rPr>
                <w:b/>
                <w:color w:val="003366"/>
                <w:spacing w:val="-1"/>
                <w:w w:val="95"/>
                <w:sz w:val="20"/>
                <w:u w:val="single" w:color="000000"/>
              </w:rPr>
              <w:t>8,215</w:t>
            </w:r>
            <w:r>
              <w:rPr>
                <w:b/>
                <w:color w:val="003366"/>
                <w:spacing w:val="21"/>
                <w:sz w:val="20"/>
                <w:u w:val="single" w:color="000000"/>
              </w:rPr>
              <w:t xml:space="preserve"> </w:t>
            </w:r>
          </w:p>
        </w:tc>
      </w:tr>
      <w:tr w:rsidR="006C17CB">
        <w:trPr>
          <w:trHeight w:val="435"/>
        </w:trPr>
        <w:tc>
          <w:tcPr>
            <w:tcW w:w="4457" w:type="dxa"/>
          </w:tcPr>
          <w:p w:rsidR="006C17CB" w:rsidRDefault="0030091C">
            <w:pPr>
              <w:pStyle w:val="TableParagraph"/>
              <w:spacing w:before="108"/>
              <w:ind w:left="50"/>
              <w:jc w:val="left"/>
              <w:rPr>
                <w:b/>
                <w:sz w:val="20"/>
              </w:rPr>
            </w:pPr>
            <w:r>
              <w:rPr>
                <w:b/>
                <w:color w:val="003366"/>
                <w:sz w:val="20"/>
              </w:rPr>
              <w:t>Payments</w:t>
            </w:r>
          </w:p>
        </w:tc>
        <w:tc>
          <w:tcPr>
            <w:tcW w:w="655" w:type="dxa"/>
          </w:tcPr>
          <w:p w:rsidR="006C17CB" w:rsidRDefault="006C17CB">
            <w:pPr>
              <w:pStyle w:val="TableParagraph"/>
              <w:jc w:val="left"/>
              <w:rPr>
                <w:rFonts w:ascii="Times New Roman"/>
                <w:sz w:val="18"/>
              </w:rPr>
            </w:pPr>
          </w:p>
        </w:tc>
        <w:tc>
          <w:tcPr>
            <w:tcW w:w="3669" w:type="dxa"/>
          </w:tcPr>
          <w:p w:rsidR="006C17CB" w:rsidRDefault="006C17CB">
            <w:pPr>
              <w:pStyle w:val="TableParagraph"/>
              <w:jc w:val="left"/>
              <w:rPr>
                <w:rFonts w:ascii="Times New Roman"/>
                <w:sz w:val="18"/>
              </w:rPr>
            </w:pPr>
          </w:p>
        </w:tc>
      </w:tr>
      <w:tr w:rsidR="006C17CB">
        <w:trPr>
          <w:trHeight w:val="284"/>
        </w:trPr>
        <w:tc>
          <w:tcPr>
            <w:tcW w:w="4457" w:type="dxa"/>
          </w:tcPr>
          <w:p w:rsidR="006C17CB" w:rsidRDefault="0030091C">
            <w:pPr>
              <w:pStyle w:val="TableParagraph"/>
              <w:spacing w:line="246" w:lineRule="exact"/>
              <w:ind w:left="50"/>
              <w:jc w:val="left"/>
              <w:rPr>
                <w:sz w:val="20"/>
              </w:rPr>
            </w:pPr>
            <w:r>
              <w:rPr>
                <w:color w:val="003366"/>
                <w:sz w:val="20"/>
              </w:rPr>
              <w:t>Employees</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1271"/>
                <w:tab w:val="left" w:pos="2392"/>
              </w:tabs>
              <w:spacing w:line="246" w:lineRule="exact"/>
              <w:ind w:right="161"/>
              <w:rPr>
                <w:sz w:val="20"/>
              </w:rPr>
            </w:pPr>
            <w:r>
              <w:rPr>
                <w:color w:val="003366"/>
                <w:sz w:val="20"/>
              </w:rPr>
              <w:t>8,017</w:t>
            </w:r>
            <w:r>
              <w:rPr>
                <w:color w:val="003366"/>
                <w:sz w:val="20"/>
              </w:rPr>
              <w:tab/>
              <w:t>9,229</w:t>
            </w:r>
            <w:r>
              <w:rPr>
                <w:color w:val="003366"/>
                <w:sz w:val="20"/>
              </w:rPr>
              <w:tab/>
            </w:r>
            <w:r>
              <w:rPr>
                <w:color w:val="003366"/>
                <w:spacing w:val="-1"/>
                <w:w w:val="95"/>
                <w:sz w:val="20"/>
              </w:rPr>
              <w:t>7,440</w:t>
            </w:r>
          </w:p>
        </w:tc>
      </w:tr>
      <w:tr w:rsidR="006C17CB">
        <w:trPr>
          <w:trHeight w:val="283"/>
        </w:trPr>
        <w:tc>
          <w:tcPr>
            <w:tcW w:w="4457" w:type="dxa"/>
          </w:tcPr>
          <w:p w:rsidR="006C17CB" w:rsidRDefault="0030091C">
            <w:pPr>
              <w:pStyle w:val="TableParagraph"/>
              <w:spacing w:line="245" w:lineRule="exact"/>
              <w:ind w:left="50"/>
              <w:jc w:val="left"/>
              <w:rPr>
                <w:sz w:val="20"/>
              </w:rPr>
            </w:pPr>
            <w:r>
              <w:rPr>
                <w:color w:val="003366"/>
                <w:sz w:val="20"/>
              </w:rPr>
              <w:t>Superannuation</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1271"/>
                <w:tab w:val="left" w:pos="2392"/>
              </w:tabs>
              <w:spacing w:line="245" w:lineRule="exact"/>
              <w:ind w:right="161"/>
              <w:rPr>
                <w:sz w:val="20"/>
              </w:rPr>
            </w:pPr>
            <w:r>
              <w:rPr>
                <w:color w:val="003366"/>
                <w:sz w:val="20"/>
              </w:rPr>
              <w:t>930</w:t>
            </w:r>
            <w:r>
              <w:rPr>
                <w:color w:val="003366"/>
                <w:sz w:val="20"/>
              </w:rPr>
              <w:tab/>
              <w:t>588</w:t>
            </w:r>
            <w:r>
              <w:rPr>
                <w:color w:val="003366"/>
                <w:sz w:val="20"/>
              </w:rPr>
              <w:tab/>
            </w:r>
            <w:r>
              <w:rPr>
                <w:color w:val="003366"/>
                <w:spacing w:val="-2"/>
                <w:sz w:val="20"/>
              </w:rPr>
              <w:t>820</w:t>
            </w:r>
          </w:p>
        </w:tc>
      </w:tr>
      <w:tr w:rsidR="006C17CB">
        <w:trPr>
          <w:trHeight w:val="284"/>
        </w:trPr>
        <w:tc>
          <w:tcPr>
            <w:tcW w:w="4457" w:type="dxa"/>
          </w:tcPr>
          <w:p w:rsidR="006C17CB" w:rsidRDefault="0030091C">
            <w:pPr>
              <w:pStyle w:val="TableParagraph"/>
              <w:spacing w:line="245" w:lineRule="exact"/>
              <w:ind w:left="50"/>
              <w:jc w:val="left"/>
              <w:rPr>
                <w:sz w:val="20"/>
              </w:rPr>
            </w:pPr>
            <w:r>
              <w:rPr>
                <w:color w:val="003366"/>
                <w:sz w:val="20"/>
              </w:rPr>
              <w:t>Supplies and Services</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1271"/>
                <w:tab w:val="left" w:pos="2392"/>
              </w:tabs>
              <w:spacing w:line="245" w:lineRule="exact"/>
              <w:ind w:right="158"/>
              <w:rPr>
                <w:sz w:val="20"/>
              </w:rPr>
            </w:pPr>
            <w:r>
              <w:rPr>
                <w:color w:val="003366"/>
                <w:sz w:val="20"/>
              </w:rPr>
              <w:t>51</w:t>
            </w:r>
            <w:r>
              <w:rPr>
                <w:color w:val="003366"/>
                <w:sz w:val="20"/>
              </w:rPr>
              <w:tab/>
              <w:t>35</w:t>
            </w:r>
            <w:r>
              <w:rPr>
                <w:color w:val="003366"/>
                <w:sz w:val="20"/>
              </w:rPr>
              <w:tab/>
            </w:r>
            <w:r>
              <w:rPr>
                <w:color w:val="003366"/>
                <w:spacing w:val="-2"/>
                <w:sz w:val="20"/>
              </w:rPr>
              <w:t>81</w:t>
            </w:r>
          </w:p>
        </w:tc>
      </w:tr>
      <w:tr w:rsidR="006C17CB">
        <w:trPr>
          <w:trHeight w:val="284"/>
        </w:trPr>
        <w:tc>
          <w:tcPr>
            <w:tcW w:w="4457" w:type="dxa"/>
          </w:tcPr>
          <w:p w:rsidR="006C17CB" w:rsidRDefault="0030091C">
            <w:pPr>
              <w:pStyle w:val="TableParagraph"/>
              <w:spacing w:line="246" w:lineRule="exact"/>
              <w:ind w:left="50"/>
              <w:jc w:val="left"/>
              <w:rPr>
                <w:sz w:val="20"/>
              </w:rPr>
            </w:pPr>
            <w:r>
              <w:rPr>
                <w:color w:val="003366"/>
                <w:sz w:val="20"/>
              </w:rPr>
              <w:t>Goods and Services Tax Paid to Suppliers</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1411"/>
                <w:tab w:val="left" w:pos="2392"/>
              </w:tabs>
              <w:spacing w:line="246" w:lineRule="exact"/>
              <w:ind w:right="158"/>
              <w:rPr>
                <w:sz w:val="20"/>
              </w:rPr>
            </w:pPr>
            <w:r>
              <w:rPr>
                <w:color w:val="003366"/>
                <w:sz w:val="20"/>
              </w:rPr>
              <w:t>62</w:t>
            </w:r>
            <w:r>
              <w:rPr>
                <w:color w:val="003366"/>
                <w:sz w:val="20"/>
              </w:rPr>
              <w:tab/>
              <w:t>-</w:t>
            </w:r>
            <w:r>
              <w:rPr>
                <w:color w:val="003366"/>
                <w:sz w:val="20"/>
              </w:rPr>
              <w:tab/>
            </w:r>
            <w:r>
              <w:rPr>
                <w:color w:val="003366"/>
                <w:spacing w:val="-2"/>
                <w:sz w:val="20"/>
              </w:rPr>
              <w:t>72</w:t>
            </w:r>
          </w:p>
        </w:tc>
      </w:tr>
      <w:tr w:rsidR="006C17CB">
        <w:trPr>
          <w:trHeight w:val="289"/>
        </w:trPr>
        <w:tc>
          <w:tcPr>
            <w:tcW w:w="4457" w:type="dxa"/>
          </w:tcPr>
          <w:p w:rsidR="006C17CB" w:rsidRDefault="0030091C">
            <w:pPr>
              <w:pStyle w:val="TableParagraph"/>
              <w:spacing w:line="245" w:lineRule="exact"/>
              <w:ind w:left="50"/>
              <w:jc w:val="left"/>
              <w:rPr>
                <w:sz w:val="20"/>
              </w:rPr>
            </w:pPr>
            <w:r>
              <w:rPr>
                <w:color w:val="003366"/>
                <w:sz w:val="20"/>
              </w:rPr>
              <w:t>Other</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945"/>
                <w:tab w:val="left" w:pos="2179"/>
                <w:tab w:val="left" w:pos="3338"/>
              </w:tabs>
              <w:spacing w:line="245" w:lineRule="exact"/>
              <w:ind w:right="48"/>
              <w:rPr>
                <w:sz w:val="20"/>
              </w:rPr>
            </w:pPr>
            <w:r>
              <w:rPr>
                <w:color w:val="003366"/>
                <w:w w:val="99"/>
                <w:sz w:val="20"/>
                <w:u w:val="single" w:color="000000"/>
              </w:rPr>
              <w:t xml:space="preserve"> </w:t>
            </w:r>
            <w:r>
              <w:rPr>
                <w:color w:val="003366"/>
                <w:sz w:val="20"/>
                <w:u w:val="single" w:color="000000"/>
              </w:rPr>
              <w:tab/>
              <w:t>-</w:t>
            </w:r>
            <w:r>
              <w:rPr>
                <w:color w:val="003366"/>
                <w:sz w:val="20"/>
                <w:u w:val="single" w:color="000000"/>
              </w:rPr>
              <w:tab/>
              <w:t>5</w:t>
            </w:r>
            <w:r>
              <w:rPr>
                <w:color w:val="003366"/>
                <w:sz w:val="20"/>
                <w:u w:val="single" w:color="000000"/>
              </w:rPr>
              <w:tab/>
            </w:r>
            <w:r>
              <w:rPr>
                <w:color w:val="003366"/>
                <w:w w:val="95"/>
                <w:sz w:val="20"/>
                <w:u w:val="single" w:color="000000"/>
              </w:rPr>
              <w:t>-</w:t>
            </w:r>
            <w:r>
              <w:rPr>
                <w:color w:val="003366"/>
                <w:spacing w:val="20"/>
                <w:sz w:val="20"/>
                <w:u w:val="single" w:color="000000"/>
              </w:rPr>
              <w:t xml:space="preserve"> </w:t>
            </w:r>
          </w:p>
        </w:tc>
      </w:tr>
      <w:tr w:rsidR="006C17CB">
        <w:trPr>
          <w:trHeight w:val="291"/>
        </w:trPr>
        <w:tc>
          <w:tcPr>
            <w:tcW w:w="4457" w:type="dxa"/>
          </w:tcPr>
          <w:p w:rsidR="006C17CB" w:rsidRDefault="0030091C">
            <w:pPr>
              <w:pStyle w:val="TableParagraph"/>
              <w:spacing w:line="251" w:lineRule="exact"/>
              <w:ind w:left="50"/>
              <w:jc w:val="left"/>
              <w:rPr>
                <w:b/>
                <w:sz w:val="20"/>
              </w:rPr>
            </w:pPr>
            <w:r>
              <w:rPr>
                <w:b/>
                <w:color w:val="003366"/>
                <w:sz w:val="20"/>
              </w:rPr>
              <w:t>Total Payments from Operating Activities</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551"/>
                <w:tab w:val="left" w:pos="1823"/>
                <w:tab w:val="left" w:pos="2944"/>
              </w:tabs>
              <w:spacing w:line="251" w:lineRule="exact"/>
              <w:ind w:right="48"/>
              <w:rPr>
                <w:b/>
                <w:sz w:val="20"/>
              </w:rPr>
            </w:pPr>
            <w:r>
              <w:rPr>
                <w:b/>
                <w:color w:val="003366"/>
                <w:w w:val="99"/>
                <w:sz w:val="20"/>
                <w:u w:val="single" w:color="003366"/>
              </w:rPr>
              <w:t xml:space="preserve"> </w:t>
            </w:r>
            <w:r>
              <w:rPr>
                <w:b/>
                <w:color w:val="003366"/>
                <w:sz w:val="20"/>
                <w:u w:val="single" w:color="003366"/>
              </w:rPr>
              <w:tab/>
              <w:t>9,060</w:t>
            </w:r>
            <w:r>
              <w:rPr>
                <w:b/>
                <w:color w:val="003366"/>
                <w:sz w:val="20"/>
                <w:u w:val="single" w:color="003366"/>
              </w:rPr>
              <w:tab/>
              <w:t>9,857</w:t>
            </w:r>
            <w:r>
              <w:rPr>
                <w:b/>
                <w:color w:val="003366"/>
                <w:sz w:val="20"/>
                <w:u w:val="single" w:color="003366"/>
              </w:rPr>
              <w:tab/>
            </w:r>
            <w:r>
              <w:rPr>
                <w:b/>
                <w:color w:val="003366"/>
                <w:spacing w:val="-1"/>
                <w:w w:val="95"/>
                <w:sz w:val="20"/>
                <w:u w:val="single" w:color="003366"/>
              </w:rPr>
              <w:t>8,413</w:t>
            </w:r>
            <w:r>
              <w:rPr>
                <w:b/>
                <w:color w:val="003366"/>
                <w:spacing w:val="21"/>
                <w:sz w:val="20"/>
                <w:u w:val="single" w:color="003366"/>
              </w:rPr>
              <w:t xml:space="preserve"> </w:t>
            </w:r>
          </w:p>
        </w:tc>
      </w:tr>
      <w:tr w:rsidR="006C17CB">
        <w:trPr>
          <w:trHeight w:val="680"/>
        </w:trPr>
        <w:tc>
          <w:tcPr>
            <w:tcW w:w="4457" w:type="dxa"/>
          </w:tcPr>
          <w:p w:rsidR="006C17CB" w:rsidRDefault="0030091C">
            <w:pPr>
              <w:pStyle w:val="TableParagraph"/>
              <w:spacing w:line="204" w:lineRule="auto"/>
              <w:ind w:left="333" w:right="694" w:hanging="284"/>
              <w:jc w:val="left"/>
              <w:rPr>
                <w:b/>
                <w:sz w:val="20"/>
              </w:rPr>
            </w:pPr>
            <w:r>
              <w:rPr>
                <w:b/>
                <w:color w:val="003366"/>
                <w:sz w:val="20"/>
              </w:rPr>
              <w:t>Net Cash Inflows/(Outflows) from Operating Activities</w:t>
            </w:r>
          </w:p>
        </w:tc>
        <w:tc>
          <w:tcPr>
            <w:tcW w:w="655" w:type="dxa"/>
          </w:tcPr>
          <w:p w:rsidR="006C17CB" w:rsidRDefault="006C17CB">
            <w:pPr>
              <w:pStyle w:val="TableParagraph"/>
              <w:spacing w:before="2"/>
              <w:jc w:val="left"/>
              <w:rPr>
                <w:sz w:val="14"/>
              </w:rPr>
            </w:pPr>
          </w:p>
          <w:p w:rsidR="006C17CB" w:rsidRDefault="0030091C">
            <w:pPr>
              <w:pStyle w:val="TableParagraph"/>
              <w:ind w:left="345"/>
              <w:jc w:val="left"/>
              <w:rPr>
                <w:sz w:val="20"/>
              </w:rPr>
            </w:pPr>
            <w:r>
              <w:rPr>
                <w:color w:val="003366"/>
                <w:sz w:val="20"/>
              </w:rPr>
              <w:t>33</w:t>
            </w:r>
          </w:p>
        </w:tc>
        <w:tc>
          <w:tcPr>
            <w:tcW w:w="3669" w:type="dxa"/>
          </w:tcPr>
          <w:p w:rsidR="006C17CB" w:rsidRDefault="006C17CB">
            <w:pPr>
              <w:pStyle w:val="TableParagraph"/>
              <w:spacing w:before="2"/>
              <w:jc w:val="left"/>
              <w:rPr>
                <w:sz w:val="14"/>
              </w:rPr>
            </w:pPr>
          </w:p>
          <w:p w:rsidR="006C17CB" w:rsidRDefault="0030091C">
            <w:pPr>
              <w:pStyle w:val="TableParagraph"/>
              <w:tabs>
                <w:tab w:val="left" w:pos="806"/>
                <w:tab w:val="left" w:pos="2078"/>
                <w:tab w:val="left" w:pos="2971"/>
              </w:tabs>
              <w:ind w:right="48"/>
              <w:rPr>
                <w:b/>
                <w:sz w:val="20"/>
              </w:rPr>
            </w:pPr>
            <w:r>
              <w:rPr>
                <w:b/>
                <w:color w:val="003366"/>
                <w:w w:val="99"/>
                <w:sz w:val="20"/>
                <w:u w:val="single" w:color="003366"/>
              </w:rPr>
              <w:t xml:space="preserve"> </w:t>
            </w:r>
            <w:r>
              <w:rPr>
                <w:b/>
                <w:color w:val="003366"/>
                <w:sz w:val="20"/>
                <w:u w:val="single" w:color="003366"/>
              </w:rPr>
              <w:tab/>
              <w:t>30</w:t>
            </w:r>
            <w:r>
              <w:rPr>
                <w:b/>
                <w:color w:val="003366"/>
                <w:sz w:val="20"/>
                <w:u w:val="single" w:color="003366"/>
              </w:rPr>
              <w:tab/>
              <w:t>96</w:t>
            </w:r>
            <w:r>
              <w:rPr>
                <w:b/>
                <w:color w:val="003366"/>
                <w:sz w:val="20"/>
                <w:u w:val="single" w:color="003366"/>
              </w:rPr>
              <w:tab/>
            </w:r>
            <w:r>
              <w:rPr>
                <w:b/>
                <w:color w:val="003366"/>
                <w:spacing w:val="-1"/>
                <w:sz w:val="20"/>
                <w:u w:val="single" w:color="003366"/>
              </w:rPr>
              <w:t>(198)</w:t>
            </w:r>
            <w:r>
              <w:rPr>
                <w:b/>
                <w:color w:val="003366"/>
                <w:spacing w:val="-23"/>
                <w:sz w:val="20"/>
                <w:u w:val="single" w:color="003366"/>
              </w:rPr>
              <w:t xml:space="preserve"> </w:t>
            </w:r>
          </w:p>
        </w:tc>
      </w:tr>
      <w:tr w:rsidR="006C17CB">
        <w:trPr>
          <w:trHeight w:val="433"/>
        </w:trPr>
        <w:tc>
          <w:tcPr>
            <w:tcW w:w="4457" w:type="dxa"/>
          </w:tcPr>
          <w:p w:rsidR="006C17CB" w:rsidRDefault="0030091C">
            <w:pPr>
              <w:pStyle w:val="TableParagraph"/>
              <w:spacing w:before="107"/>
              <w:ind w:left="50"/>
              <w:jc w:val="left"/>
              <w:rPr>
                <w:b/>
                <w:sz w:val="20"/>
              </w:rPr>
            </w:pPr>
            <w:r>
              <w:rPr>
                <w:b/>
                <w:color w:val="003366"/>
                <w:sz w:val="20"/>
              </w:rPr>
              <w:t>Cash Flows from Investing Activities</w:t>
            </w:r>
          </w:p>
        </w:tc>
        <w:tc>
          <w:tcPr>
            <w:tcW w:w="655" w:type="dxa"/>
          </w:tcPr>
          <w:p w:rsidR="006C17CB" w:rsidRDefault="006C17CB">
            <w:pPr>
              <w:pStyle w:val="TableParagraph"/>
              <w:jc w:val="left"/>
              <w:rPr>
                <w:rFonts w:ascii="Times New Roman"/>
                <w:sz w:val="18"/>
              </w:rPr>
            </w:pPr>
          </w:p>
        </w:tc>
        <w:tc>
          <w:tcPr>
            <w:tcW w:w="3669" w:type="dxa"/>
          </w:tcPr>
          <w:p w:rsidR="006C17CB" w:rsidRDefault="006C17CB">
            <w:pPr>
              <w:pStyle w:val="TableParagraph"/>
              <w:jc w:val="left"/>
              <w:rPr>
                <w:rFonts w:ascii="Times New Roman"/>
                <w:sz w:val="18"/>
              </w:rPr>
            </w:pPr>
          </w:p>
        </w:tc>
      </w:tr>
      <w:tr w:rsidR="006C17CB">
        <w:trPr>
          <w:trHeight w:val="283"/>
        </w:trPr>
        <w:tc>
          <w:tcPr>
            <w:tcW w:w="4457" w:type="dxa"/>
          </w:tcPr>
          <w:p w:rsidR="006C17CB" w:rsidRDefault="0030091C">
            <w:pPr>
              <w:pStyle w:val="TableParagraph"/>
              <w:spacing w:line="245" w:lineRule="exact"/>
              <w:ind w:left="50"/>
              <w:jc w:val="left"/>
              <w:rPr>
                <w:b/>
                <w:sz w:val="20"/>
              </w:rPr>
            </w:pPr>
            <w:r>
              <w:rPr>
                <w:b/>
                <w:color w:val="003366"/>
                <w:sz w:val="20"/>
              </w:rPr>
              <w:t>Payments</w:t>
            </w:r>
          </w:p>
        </w:tc>
        <w:tc>
          <w:tcPr>
            <w:tcW w:w="655" w:type="dxa"/>
          </w:tcPr>
          <w:p w:rsidR="006C17CB" w:rsidRDefault="006C17CB">
            <w:pPr>
              <w:pStyle w:val="TableParagraph"/>
              <w:jc w:val="left"/>
              <w:rPr>
                <w:rFonts w:ascii="Times New Roman"/>
                <w:sz w:val="18"/>
              </w:rPr>
            </w:pPr>
          </w:p>
        </w:tc>
        <w:tc>
          <w:tcPr>
            <w:tcW w:w="3669" w:type="dxa"/>
          </w:tcPr>
          <w:p w:rsidR="006C17CB" w:rsidRDefault="006C17CB">
            <w:pPr>
              <w:pStyle w:val="TableParagraph"/>
              <w:jc w:val="left"/>
              <w:rPr>
                <w:rFonts w:ascii="Times New Roman"/>
                <w:sz w:val="18"/>
              </w:rPr>
            </w:pPr>
          </w:p>
        </w:tc>
      </w:tr>
      <w:tr w:rsidR="006C17CB">
        <w:trPr>
          <w:trHeight w:val="286"/>
        </w:trPr>
        <w:tc>
          <w:tcPr>
            <w:tcW w:w="4457" w:type="dxa"/>
          </w:tcPr>
          <w:p w:rsidR="006C17CB" w:rsidRDefault="0030091C">
            <w:pPr>
              <w:pStyle w:val="TableParagraph"/>
              <w:spacing w:line="245" w:lineRule="exact"/>
              <w:ind w:left="50"/>
              <w:jc w:val="left"/>
              <w:rPr>
                <w:sz w:val="20"/>
              </w:rPr>
            </w:pPr>
            <w:r>
              <w:rPr>
                <w:color w:val="003366"/>
                <w:sz w:val="20"/>
              </w:rPr>
              <w:t>Purchase of Property, Plant and Equipment</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703"/>
                <w:tab w:val="left" w:pos="1975"/>
                <w:tab w:val="left" w:pos="3095"/>
              </w:tabs>
              <w:spacing w:line="245" w:lineRule="exact"/>
              <w:ind w:right="48"/>
              <w:rPr>
                <w:sz w:val="20"/>
              </w:rPr>
            </w:pPr>
            <w:r>
              <w:rPr>
                <w:color w:val="003366"/>
                <w:w w:val="99"/>
                <w:sz w:val="20"/>
                <w:u w:val="single" w:color="003366"/>
              </w:rPr>
              <w:t xml:space="preserve"> </w:t>
            </w:r>
            <w:r>
              <w:rPr>
                <w:color w:val="003366"/>
                <w:sz w:val="20"/>
                <w:u w:val="single" w:color="003366"/>
              </w:rPr>
              <w:tab/>
              <w:t>753</w:t>
            </w:r>
            <w:r>
              <w:rPr>
                <w:color w:val="003366"/>
                <w:sz w:val="20"/>
                <w:u w:val="single" w:color="003366"/>
              </w:rPr>
              <w:tab/>
              <w:t>144</w:t>
            </w:r>
            <w:r>
              <w:rPr>
                <w:color w:val="003366"/>
                <w:sz w:val="20"/>
                <w:u w:val="single" w:color="003366"/>
              </w:rPr>
              <w:tab/>
            </w:r>
            <w:r>
              <w:rPr>
                <w:color w:val="003366"/>
                <w:spacing w:val="-1"/>
                <w:w w:val="95"/>
                <w:sz w:val="20"/>
                <w:u w:val="single" w:color="003366"/>
              </w:rPr>
              <w:t>657</w:t>
            </w:r>
            <w:r>
              <w:rPr>
                <w:color w:val="003366"/>
                <w:spacing w:val="21"/>
                <w:sz w:val="20"/>
                <w:u w:val="single" w:color="003366"/>
              </w:rPr>
              <w:t xml:space="preserve"> </w:t>
            </w:r>
          </w:p>
        </w:tc>
      </w:tr>
      <w:tr w:rsidR="006C17CB">
        <w:trPr>
          <w:trHeight w:val="289"/>
        </w:trPr>
        <w:tc>
          <w:tcPr>
            <w:tcW w:w="4457" w:type="dxa"/>
          </w:tcPr>
          <w:p w:rsidR="006C17CB" w:rsidRDefault="0030091C">
            <w:pPr>
              <w:pStyle w:val="TableParagraph"/>
              <w:spacing w:line="249" w:lineRule="exact"/>
              <w:ind w:left="50"/>
              <w:jc w:val="left"/>
              <w:rPr>
                <w:b/>
                <w:sz w:val="20"/>
              </w:rPr>
            </w:pPr>
            <w:r>
              <w:rPr>
                <w:b/>
                <w:color w:val="003366"/>
                <w:sz w:val="20"/>
              </w:rPr>
              <w:t>Total Payments from Investing Activities</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703"/>
                <w:tab w:val="left" w:pos="1975"/>
                <w:tab w:val="left" w:pos="3095"/>
              </w:tabs>
              <w:spacing w:line="249" w:lineRule="exact"/>
              <w:ind w:right="48"/>
              <w:rPr>
                <w:b/>
                <w:sz w:val="20"/>
              </w:rPr>
            </w:pPr>
            <w:r>
              <w:rPr>
                <w:b/>
                <w:color w:val="003366"/>
                <w:w w:val="99"/>
                <w:sz w:val="20"/>
                <w:u w:val="single" w:color="003366"/>
              </w:rPr>
              <w:t xml:space="preserve"> </w:t>
            </w:r>
            <w:r>
              <w:rPr>
                <w:b/>
                <w:color w:val="003366"/>
                <w:sz w:val="20"/>
                <w:u w:val="single" w:color="003366"/>
              </w:rPr>
              <w:tab/>
              <w:t>753</w:t>
            </w:r>
            <w:r>
              <w:rPr>
                <w:b/>
                <w:color w:val="003366"/>
                <w:sz w:val="20"/>
                <w:u w:val="single" w:color="003366"/>
              </w:rPr>
              <w:tab/>
              <w:t>144</w:t>
            </w:r>
            <w:r>
              <w:rPr>
                <w:b/>
                <w:color w:val="003366"/>
                <w:sz w:val="20"/>
                <w:u w:val="single" w:color="003366"/>
              </w:rPr>
              <w:tab/>
            </w:r>
            <w:r>
              <w:rPr>
                <w:b/>
                <w:color w:val="003366"/>
                <w:spacing w:val="-1"/>
                <w:w w:val="95"/>
                <w:sz w:val="20"/>
                <w:u w:val="single" w:color="003366"/>
              </w:rPr>
              <w:t>657</w:t>
            </w:r>
            <w:r>
              <w:rPr>
                <w:b/>
                <w:color w:val="003366"/>
                <w:spacing w:val="21"/>
                <w:sz w:val="20"/>
                <w:u w:val="single" w:color="003366"/>
              </w:rPr>
              <w:t xml:space="preserve"> </w:t>
            </w:r>
          </w:p>
        </w:tc>
      </w:tr>
      <w:tr w:rsidR="006C17CB">
        <w:trPr>
          <w:trHeight w:val="437"/>
        </w:trPr>
        <w:tc>
          <w:tcPr>
            <w:tcW w:w="4457" w:type="dxa"/>
          </w:tcPr>
          <w:p w:rsidR="006C17CB" w:rsidRDefault="0030091C">
            <w:pPr>
              <w:pStyle w:val="TableParagraph"/>
              <w:spacing w:line="248" w:lineRule="exact"/>
              <w:ind w:left="50"/>
              <w:jc w:val="left"/>
              <w:rPr>
                <w:b/>
                <w:sz w:val="20"/>
              </w:rPr>
            </w:pPr>
            <w:r>
              <w:rPr>
                <w:b/>
                <w:color w:val="003366"/>
                <w:sz w:val="20"/>
              </w:rPr>
              <w:t>Net Cash (Outflows) from Investing Activities</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578"/>
                <w:tab w:val="left" w:pos="1850"/>
                <w:tab w:val="left" w:pos="2971"/>
              </w:tabs>
              <w:spacing w:line="248" w:lineRule="exact"/>
              <w:ind w:right="48"/>
              <w:rPr>
                <w:b/>
                <w:sz w:val="20"/>
              </w:rPr>
            </w:pPr>
            <w:r>
              <w:rPr>
                <w:b/>
                <w:color w:val="003366"/>
                <w:w w:val="99"/>
                <w:sz w:val="20"/>
                <w:u w:val="single" w:color="000000"/>
              </w:rPr>
              <w:t xml:space="preserve"> </w:t>
            </w:r>
            <w:r>
              <w:rPr>
                <w:b/>
                <w:color w:val="003366"/>
                <w:sz w:val="20"/>
                <w:u w:val="single" w:color="000000"/>
              </w:rPr>
              <w:tab/>
              <w:t>(753)</w:t>
            </w:r>
            <w:r>
              <w:rPr>
                <w:b/>
                <w:color w:val="003366"/>
                <w:sz w:val="20"/>
                <w:u w:val="single" w:color="000000"/>
              </w:rPr>
              <w:tab/>
              <w:t>(144)</w:t>
            </w:r>
            <w:r>
              <w:rPr>
                <w:b/>
                <w:color w:val="003366"/>
                <w:sz w:val="20"/>
                <w:u w:val="single" w:color="000000"/>
              </w:rPr>
              <w:tab/>
            </w:r>
            <w:r>
              <w:rPr>
                <w:b/>
                <w:color w:val="003366"/>
                <w:spacing w:val="-1"/>
                <w:sz w:val="20"/>
                <w:u w:val="single" w:color="000000"/>
              </w:rPr>
              <w:t>(657)</w:t>
            </w:r>
            <w:r>
              <w:rPr>
                <w:b/>
                <w:color w:val="003366"/>
                <w:spacing w:val="-23"/>
                <w:sz w:val="20"/>
                <w:u w:val="single" w:color="000000"/>
              </w:rPr>
              <w:t xml:space="preserve"> </w:t>
            </w:r>
          </w:p>
        </w:tc>
      </w:tr>
      <w:tr w:rsidR="006C17CB">
        <w:trPr>
          <w:trHeight w:val="435"/>
        </w:trPr>
        <w:tc>
          <w:tcPr>
            <w:tcW w:w="4457" w:type="dxa"/>
          </w:tcPr>
          <w:p w:rsidR="006C17CB" w:rsidRDefault="0030091C">
            <w:pPr>
              <w:pStyle w:val="TableParagraph"/>
              <w:spacing w:before="109"/>
              <w:ind w:left="50"/>
              <w:jc w:val="left"/>
              <w:rPr>
                <w:b/>
                <w:sz w:val="20"/>
              </w:rPr>
            </w:pPr>
            <w:r>
              <w:rPr>
                <w:b/>
                <w:color w:val="003366"/>
                <w:sz w:val="20"/>
              </w:rPr>
              <w:t>Cash Flows from Financing Activities</w:t>
            </w:r>
          </w:p>
        </w:tc>
        <w:tc>
          <w:tcPr>
            <w:tcW w:w="655" w:type="dxa"/>
          </w:tcPr>
          <w:p w:rsidR="006C17CB" w:rsidRDefault="006C17CB">
            <w:pPr>
              <w:pStyle w:val="TableParagraph"/>
              <w:jc w:val="left"/>
              <w:rPr>
                <w:rFonts w:ascii="Times New Roman"/>
                <w:sz w:val="18"/>
              </w:rPr>
            </w:pPr>
          </w:p>
        </w:tc>
        <w:tc>
          <w:tcPr>
            <w:tcW w:w="3669" w:type="dxa"/>
          </w:tcPr>
          <w:p w:rsidR="006C17CB" w:rsidRDefault="006C17CB">
            <w:pPr>
              <w:pStyle w:val="TableParagraph"/>
              <w:jc w:val="left"/>
              <w:rPr>
                <w:rFonts w:ascii="Times New Roman"/>
                <w:sz w:val="18"/>
              </w:rPr>
            </w:pPr>
          </w:p>
        </w:tc>
      </w:tr>
      <w:tr w:rsidR="006C17CB">
        <w:trPr>
          <w:trHeight w:val="284"/>
        </w:trPr>
        <w:tc>
          <w:tcPr>
            <w:tcW w:w="4457" w:type="dxa"/>
          </w:tcPr>
          <w:p w:rsidR="006C17CB" w:rsidRDefault="0030091C">
            <w:pPr>
              <w:pStyle w:val="TableParagraph"/>
              <w:spacing w:line="245" w:lineRule="exact"/>
              <w:ind w:left="50"/>
              <w:jc w:val="left"/>
              <w:rPr>
                <w:b/>
                <w:sz w:val="20"/>
              </w:rPr>
            </w:pPr>
            <w:r>
              <w:rPr>
                <w:b/>
                <w:color w:val="003366"/>
                <w:sz w:val="20"/>
              </w:rPr>
              <w:t>Receipts</w:t>
            </w:r>
          </w:p>
        </w:tc>
        <w:tc>
          <w:tcPr>
            <w:tcW w:w="655" w:type="dxa"/>
          </w:tcPr>
          <w:p w:rsidR="006C17CB" w:rsidRDefault="006C17CB">
            <w:pPr>
              <w:pStyle w:val="TableParagraph"/>
              <w:jc w:val="left"/>
              <w:rPr>
                <w:rFonts w:ascii="Times New Roman"/>
                <w:sz w:val="18"/>
              </w:rPr>
            </w:pPr>
          </w:p>
        </w:tc>
        <w:tc>
          <w:tcPr>
            <w:tcW w:w="3669" w:type="dxa"/>
          </w:tcPr>
          <w:p w:rsidR="006C17CB" w:rsidRDefault="006C17CB">
            <w:pPr>
              <w:pStyle w:val="TableParagraph"/>
              <w:jc w:val="left"/>
              <w:rPr>
                <w:rFonts w:ascii="Times New Roman"/>
                <w:sz w:val="18"/>
              </w:rPr>
            </w:pPr>
          </w:p>
        </w:tc>
      </w:tr>
      <w:tr w:rsidR="006C17CB">
        <w:trPr>
          <w:trHeight w:val="286"/>
        </w:trPr>
        <w:tc>
          <w:tcPr>
            <w:tcW w:w="4457" w:type="dxa"/>
          </w:tcPr>
          <w:p w:rsidR="006C17CB" w:rsidRDefault="0030091C">
            <w:pPr>
              <w:pStyle w:val="TableParagraph"/>
              <w:spacing w:line="246" w:lineRule="exact"/>
              <w:ind w:left="50"/>
              <w:jc w:val="left"/>
              <w:rPr>
                <w:sz w:val="20"/>
              </w:rPr>
            </w:pPr>
            <w:r>
              <w:rPr>
                <w:color w:val="003366"/>
                <w:sz w:val="20"/>
              </w:rPr>
              <w:t>Capital Injections</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703"/>
                <w:tab w:val="left" w:pos="1975"/>
                <w:tab w:val="left" w:pos="3095"/>
              </w:tabs>
              <w:spacing w:line="246" w:lineRule="exact"/>
              <w:ind w:right="48"/>
              <w:rPr>
                <w:sz w:val="20"/>
              </w:rPr>
            </w:pPr>
            <w:r>
              <w:rPr>
                <w:color w:val="003366"/>
                <w:w w:val="99"/>
                <w:sz w:val="20"/>
                <w:u w:val="single" w:color="003366"/>
              </w:rPr>
              <w:t xml:space="preserve"> </w:t>
            </w:r>
            <w:r>
              <w:rPr>
                <w:color w:val="003366"/>
                <w:sz w:val="20"/>
                <w:u w:val="single" w:color="003366"/>
              </w:rPr>
              <w:tab/>
              <w:t>784</w:t>
            </w:r>
            <w:r>
              <w:rPr>
                <w:color w:val="003366"/>
                <w:sz w:val="20"/>
                <w:u w:val="single" w:color="003366"/>
              </w:rPr>
              <w:tab/>
              <w:t>144</w:t>
            </w:r>
            <w:r>
              <w:rPr>
                <w:color w:val="003366"/>
                <w:sz w:val="20"/>
                <w:u w:val="single" w:color="003366"/>
              </w:rPr>
              <w:tab/>
            </w:r>
            <w:r>
              <w:rPr>
                <w:color w:val="003366"/>
                <w:spacing w:val="-1"/>
                <w:w w:val="95"/>
                <w:sz w:val="20"/>
                <w:u w:val="single" w:color="003366"/>
              </w:rPr>
              <w:t>652</w:t>
            </w:r>
            <w:r>
              <w:rPr>
                <w:color w:val="003366"/>
                <w:spacing w:val="21"/>
                <w:sz w:val="20"/>
                <w:u w:val="single" w:color="003366"/>
              </w:rPr>
              <w:t xml:space="preserve"> </w:t>
            </w:r>
          </w:p>
        </w:tc>
      </w:tr>
      <w:tr w:rsidR="006C17CB">
        <w:trPr>
          <w:trHeight w:val="291"/>
        </w:trPr>
        <w:tc>
          <w:tcPr>
            <w:tcW w:w="4457" w:type="dxa"/>
          </w:tcPr>
          <w:p w:rsidR="006C17CB" w:rsidRDefault="0030091C">
            <w:pPr>
              <w:pStyle w:val="TableParagraph"/>
              <w:spacing w:line="248" w:lineRule="exact"/>
              <w:ind w:left="50"/>
              <w:jc w:val="left"/>
              <w:rPr>
                <w:b/>
                <w:sz w:val="20"/>
              </w:rPr>
            </w:pPr>
            <w:r>
              <w:rPr>
                <w:b/>
                <w:color w:val="003366"/>
                <w:sz w:val="20"/>
              </w:rPr>
              <w:t>Total Receipts from Financing Activities</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703"/>
                <w:tab w:val="left" w:pos="1975"/>
                <w:tab w:val="left" w:pos="3095"/>
              </w:tabs>
              <w:spacing w:line="248" w:lineRule="exact"/>
              <w:ind w:right="48"/>
              <w:rPr>
                <w:b/>
                <w:sz w:val="20"/>
              </w:rPr>
            </w:pPr>
            <w:r>
              <w:rPr>
                <w:b/>
                <w:color w:val="003366"/>
                <w:w w:val="99"/>
                <w:sz w:val="20"/>
                <w:u w:val="single" w:color="000000"/>
              </w:rPr>
              <w:t xml:space="preserve"> </w:t>
            </w:r>
            <w:r>
              <w:rPr>
                <w:b/>
                <w:color w:val="003366"/>
                <w:sz w:val="20"/>
                <w:u w:val="single" w:color="000000"/>
              </w:rPr>
              <w:tab/>
              <w:t>784</w:t>
            </w:r>
            <w:r>
              <w:rPr>
                <w:b/>
                <w:color w:val="003366"/>
                <w:sz w:val="20"/>
                <w:u w:val="single" w:color="000000"/>
              </w:rPr>
              <w:tab/>
              <w:t>144</w:t>
            </w:r>
            <w:r>
              <w:rPr>
                <w:b/>
                <w:color w:val="003366"/>
                <w:sz w:val="20"/>
                <w:u w:val="single" w:color="000000"/>
              </w:rPr>
              <w:tab/>
            </w:r>
            <w:r>
              <w:rPr>
                <w:b/>
                <w:color w:val="003366"/>
                <w:spacing w:val="-1"/>
                <w:w w:val="95"/>
                <w:sz w:val="20"/>
                <w:u w:val="single" w:color="000000"/>
              </w:rPr>
              <w:t>652</w:t>
            </w:r>
            <w:r>
              <w:rPr>
                <w:b/>
                <w:color w:val="003366"/>
                <w:spacing w:val="21"/>
                <w:sz w:val="20"/>
                <w:u w:val="single" w:color="000000"/>
              </w:rPr>
              <w:t xml:space="preserve"> </w:t>
            </w:r>
          </w:p>
        </w:tc>
      </w:tr>
      <w:tr w:rsidR="006C17CB">
        <w:trPr>
          <w:trHeight w:val="440"/>
        </w:trPr>
        <w:tc>
          <w:tcPr>
            <w:tcW w:w="4457" w:type="dxa"/>
          </w:tcPr>
          <w:p w:rsidR="006C17CB" w:rsidRDefault="0030091C">
            <w:pPr>
              <w:pStyle w:val="TableParagraph"/>
              <w:spacing w:line="251" w:lineRule="exact"/>
              <w:ind w:left="50"/>
              <w:jc w:val="left"/>
              <w:rPr>
                <w:b/>
                <w:sz w:val="20"/>
              </w:rPr>
            </w:pPr>
            <w:r>
              <w:rPr>
                <w:b/>
                <w:color w:val="003366"/>
                <w:sz w:val="20"/>
              </w:rPr>
              <w:t>Net Cash Inflows from Financing Activities</w:t>
            </w:r>
          </w:p>
        </w:tc>
        <w:tc>
          <w:tcPr>
            <w:tcW w:w="655" w:type="dxa"/>
          </w:tcPr>
          <w:p w:rsidR="006C17CB" w:rsidRDefault="006C17CB">
            <w:pPr>
              <w:pStyle w:val="TableParagraph"/>
              <w:jc w:val="left"/>
              <w:rPr>
                <w:rFonts w:ascii="Times New Roman"/>
                <w:sz w:val="18"/>
              </w:rPr>
            </w:pPr>
          </w:p>
        </w:tc>
        <w:tc>
          <w:tcPr>
            <w:tcW w:w="3669" w:type="dxa"/>
          </w:tcPr>
          <w:p w:rsidR="006C17CB" w:rsidRDefault="0030091C">
            <w:pPr>
              <w:pStyle w:val="TableParagraph"/>
              <w:tabs>
                <w:tab w:val="left" w:pos="703"/>
                <w:tab w:val="left" w:pos="1975"/>
                <w:tab w:val="left" w:pos="3095"/>
              </w:tabs>
              <w:spacing w:line="251" w:lineRule="exact"/>
              <w:ind w:right="48"/>
              <w:rPr>
                <w:b/>
                <w:sz w:val="20"/>
              </w:rPr>
            </w:pPr>
            <w:r>
              <w:rPr>
                <w:b/>
                <w:color w:val="003366"/>
                <w:w w:val="99"/>
                <w:sz w:val="20"/>
                <w:u w:val="single" w:color="003366"/>
              </w:rPr>
              <w:t xml:space="preserve"> </w:t>
            </w:r>
            <w:r>
              <w:rPr>
                <w:b/>
                <w:color w:val="003366"/>
                <w:sz w:val="20"/>
                <w:u w:val="single" w:color="003366"/>
              </w:rPr>
              <w:tab/>
              <w:t>784</w:t>
            </w:r>
            <w:r>
              <w:rPr>
                <w:b/>
                <w:color w:val="003366"/>
                <w:sz w:val="20"/>
                <w:u w:val="single" w:color="003366"/>
              </w:rPr>
              <w:tab/>
              <w:t>144</w:t>
            </w:r>
            <w:r>
              <w:rPr>
                <w:b/>
                <w:color w:val="003366"/>
                <w:sz w:val="20"/>
                <w:u w:val="single" w:color="003366"/>
              </w:rPr>
              <w:tab/>
            </w:r>
            <w:r>
              <w:rPr>
                <w:b/>
                <w:color w:val="003366"/>
                <w:spacing w:val="-1"/>
                <w:w w:val="95"/>
                <w:sz w:val="20"/>
                <w:u w:val="single" w:color="003366"/>
              </w:rPr>
              <w:t>652</w:t>
            </w:r>
            <w:r>
              <w:rPr>
                <w:b/>
                <w:color w:val="003366"/>
                <w:spacing w:val="21"/>
                <w:sz w:val="20"/>
                <w:u w:val="single" w:color="003366"/>
              </w:rPr>
              <w:t xml:space="preserve"> </w:t>
            </w:r>
          </w:p>
        </w:tc>
      </w:tr>
      <w:tr w:rsidR="006C17CB">
        <w:trPr>
          <w:trHeight w:val="679"/>
        </w:trPr>
        <w:tc>
          <w:tcPr>
            <w:tcW w:w="4457" w:type="dxa"/>
          </w:tcPr>
          <w:p w:rsidR="006C17CB" w:rsidRDefault="0030091C">
            <w:pPr>
              <w:pStyle w:val="TableParagraph"/>
              <w:spacing w:before="143" w:line="204" w:lineRule="auto"/>
              <w:ind w:left="50" w:right="938"/>
              <w:jc w:val="left"/>
              <w:rPr>
                <w:b/>
                <w:sz w:val="20"/>
              </w:rPr>
            </w:pPr>
            <w:r>
              <w:rPr>
                <w:b/>
                <w:color w:val="003366"/>
                <w:sz w:val="20"/>
              </w:rPr>
              <w:t>Net Increase/(Decrease) in Cash and Cash Equivalents</w:t>
            </w:r>
          </w:p>
        </w:tc>
        <w:tc>
          <w:tcPr>
            <w:tcW w:w="655" w:type="dxa"/>
          </w:tcPr>
          <w:p w:rsidR="006C17CB" w:rsidRDefault="006C17CB">
            <w:pPr>
              <w:pStyle w:val="TableParagraph"/>
              <w:jc w:val="left"/>
              <w:rPr>
                <w:rFonts w:ascii="Times New Roman"/>
                <w:sz w:val="18"/>
              </w:rPr>
            </w:pPr>
          </w:p>
        </w:tc>
        <w:tc>
          <w:tcPr>
            <w:tcW w:w="3669" w:type="dxa"/>
          </w:tcPr>
          <w:p w:rsidR="006C17CB" w:rsidRDefault="006C17CB">
            <w:pPr>
              <w:pStyle w:val="TableParagraph"/>
              <w:spacing w:before="6"/>
              <w:jc w:val="left"/>
              <w:rPr>
                <w:sz w:val="24"/>
              </w:rPr>
            </w:pPr>
          </w:p>
          <w:p w:rsidR="006C17CB" w:rsidRDefault="0030091C">
            <w:pPr>
              <w:pStyle w:val="TableParagraph"/>
              <w:tabs>
                <w:tab w:val="left" w:pos="1271"/>
                <w:tab w:val="left" w:pos="2164"/>
              </w:tabs>
              <w:spacing w:before="1"/>
              <w:ind w:right="161"/>
              <w:rPr>
                <w:b/>
                <w:sz w:val="20"/>
              </w:rPr>
            </w:pPr>
            <w:r>
              <w:rPr>
                <w:b/>
                <w:color w:val="003366"/>
                <w:sz w:val="20"/>
              </w:rPr>
              <w:t>61</w:t>
            </w:r>
            <w:r>
              <w:rPr>
                <w:b/>
                <w:color w:val="003366"/>
                <w:sz w:val="20"/>
              </w:rPr>
              <w:tab/>
              <w:t>96</w:t>
            </w:r>
            <w:r>
              <w:rPr>
                <w:b/>
                <w:color w:val="003366"/>
                <w:sz w:val="20"/>
              </w:rPr>
              <w:tab/>
            </w:r>
            <w:r>
              <w:rPr>
                <w:b/>
                <w:color w:val="003366"/>
                <w:spacing w:val="-1"/>
                <w:sz w:val="20"/>
              </w:rPr>
              <w:t>(203)</w:t>
            </w:r>
          </w:p>
        </w:tc>
      </w:tr>
      <w:tr w:rsidR="006C17CB">
        <w:trPr>
          <w:trHeight w:val="486"/>
        </w:trPr>
        <w:tc>
          <w:tcPr>
            <w:tcW w:w="4457" w:type="dxa"/>
          </w:tcPr>
          <w:p w:rsidR="006C17CB" w:rsidRDefault="0030091C">
            <w:pPr>
              <w:pStyle w:val="TableParagraph"/>
              <w:spacing w:line="223" w:lineRule="exact"/>
              <w:ind w:left="50"/>
              <w:jc w:val="left"/>
              <w:rPr>
                <w:sz w:val="20"/>
              </w:rPr>
            </w:pPr>
            <w:r>
              <w:rPr>
                <w:color w:val="003366"/>
                <w:sz w:val="20"/>
              </w:rPr>
              <w:t>Cash and Cash Equivalents at the Beginning of the</w:t>
            </w:r>
          </w:p>
          <w:p w:rsidR="006C17CB" w:rsidRDefault="0030091C">
            <w:pPr>
              <w:pStyle w:val="TableParagraph"/>
              <w:spacing w:line="243" w:lineRule="exact"/>
              <w:ind w:left="333"/>
              <w:jc w:val="left"/>
              <w:rPr>
                <w:sz w:val="20"/>
              </w:rPr>
            </w:pPr>
            <w:r>
              <w:rPr>
                <w:color w:val="003366"/>
                <w:sz w:val="20"/>
              </w:rPr>
              <w:t>Reporting Period</w:t>
            </w:r>
          </w:p>
        </w:tc>
        <w:tc>
          <w:tcPr>
            <w:tcW w:w="655" w:type="dxa"/>
          </w:tcPr>
          <w:p w:rsidR="006C17CB" w:rsidRDefault="006C17CB">
            <w:pPr>
              <w:pStyle w:val="TableParagraph"/>
              <w:jc w:val="left"/>
              <w:rPr>
                <w:rFonts w:ascii="Times New Roman"/>
                <w:sz w:val="18"/>
              </w:rPr>
            </w:pPr>
          </w:p>
        </w:tc>
        <w:tc>
          <w:tcPr>
            <w:tcW w:w="3669" w:type="dxa"/>
          </w:tcPr>
          <w:p w:rsidR="006C17CB" w:rsidRDefault="006C17CB">
            <w:pPr>
              <w:pStyle w:val="TableParagraph"/>
              <w:spacing w:before="14"/>
              <w:jc w:val="left"/>
              <w:rPr>
                <w:sz w:val="13"/>
              </w:rPr>
            </w:pPr>
          </w:p>
          <w:p w:rsidR="006C17CB" w:rsidRDefault="0030091C">
            <w:pPr>
              <w:pStyle w:val="TableParagraph"/>
              <w:tabs>
                <w:tab w:val="left" w:pos="1168"/>
                <w:tab w:val="left" w:pos="2289"/>
              </w:tabs>
              <w:spacing w:line="264" w:lineRule="exact"/>
              <w:ind w:right="161"/>
              <w:rPr>
                <w:sz w:val="20"/>
              </w:rPr>
            </w:pPr>
            <w:r>
              <w:rPr>
                <w:color w:val="003366"/>
                <w:sz w:val="20"/>
              </w:rPr>
              <w:t>41</w:t>
            </w:r>
            <w:r>
              <w:rPr>
                <w:color w:val="003366"/>
                <w:sz w:val="20"/>
              </w:rPr>
              <w:tab/>
              <w:t>340</w:t>
            </w:r>
            <w:r>
              <w:rPr>
                <w:color w:val="003366"/>
                <w:sz w:val="20"/>
              </w:rPr>
              <w:tab/>
            </w:r>
            <w:r>
              <w:rPr>
                <w:color w:val="003366"/>
                <w:spacing w:val="-2"/>
                <w:sz w:val="20"/>
              </w:rPr>
              <w:t>244</w:t>
            </w:r>
          </w:p>
        </w:tc>
      </w:tr>
    </w:tbl>
    <w:p w:rsidR="006C17CB" w:rsidRDefault="00FE24A7">
      <w:pPr>
        <w:pStyle w:val="BodyText"/>
        <w:spacing w:before="13"/>
        <w:rPr>
          <w:rFonts w:ascii="Calibri"/>
          <w:sz w:val="17"/>
        </w:rPr>
      </w:pPr>
      <w:r>
        <w:pict>
          <v:group id="_x0000_s1181" alt="" style="position:absolute;margin-left:348.95pt;margin-top:14.9pt;width:175.6pt;height:.25pt;z-index:2872;mso-wrap-distance-left:0;mso-wrap-distance-right:0;mso-position-horizontal-relative:page;mso-position-vertical-relative:text" coordorigin="6979,298" coordsize="3512,5">
            <v:line id="_x0000_s1182" alt="" style="position:absolute" from="6979,301" to="8095,301" strokecolor="#036" strokeweight=".24pt"/>
            <v:rect id="_x0000_s1183" alt="" style="position:absolute;left:8095;top:298;width:5;height:5" fillcolor="#036" stroked="f"/>
            <v:line id="_x0000_s1184" alt="" style="position:absolute" from="8100,301" to="9370,301" strokecolor="#036" strokeweight=".24pt"/>
            <v:rect id="_x0000_s1185" alt="" style="position:absolute;left:9369;top:298;width:5;height:5" fillcolor="#036" stroked="f"/>
            <v:line id="_x0000_s1186" alt="" style="position:absolute" from="9374,301" to="10490,301" strokecolor="#036" strokeweight=".24pt"/>
            <w10:wrap type="topAndBottom" anchorx="page"/>
          </v:group>
        </w:pict>
      </w:r>
    </w:p>
    <w:p w:rsidR="006C17CB" w:rsidRDefault="0030091C">
      <w:pPr>
        <w:spacing w:line="231" w:lineRule="exact"/>
        <w:ind w:left="829"/>
        <w:rPr>
          <w:rFonts w:ascii="Calibri"/>
          <w:b/>
          <w:sz w:val="20"/>
        </w:rPr>
      </w:pPr>
      <w:r>
        <w:rPr>
          <w:rFonts w:ascii="Calibri"/>
          <w:b/>
          <w:color w:val="003366"/>
          <w:sz w:val="20"/>
        </w:rPr>
        <w:t>Cash and Cash Equivalents at the End of the</w:t>
      </w:r>
    </w:p>
    <w:p w:rsidR="006C17CB" w:rsidRDefault="00FE24A7">
      <w:pPr>
        <w:tabs>
          <w:tab w:val="left" w:pos="5581"/>
          <w:tab w:val="left" w:pos="6702"/>
          <w:tab w:val="left" w:pos="7974"/>
          <w:tab w:val="right" w:pos="9400"/>
        </w:tabs>
        <w:spacing w:line="265" w:lineRule="exact"/>
        <w:ind w:left="1112"/>
        <w:rPr>
          <w:rFonts w:ascii="Calibri"/>
          <w:b/>
          <w:sz w:val="20"/>
        </w:rPr>
      </w:pPr>
      <w:r>
        <w:pict>
          <v:group id="_x0000_s1172" alt="" style="position:absolute;left:0;text-align:left;margin-left:348.95pt;margin-top:13.35pt;width:175.6pt;height:1.45pt;z-index:2896;mso-position-horizontal-relative:page" coordorigin="6979,267" coordsize="3512,29">
            <v:line id="_x0000_s1173" alt="" style="position:absolute" from="6979,272" to="8095,272" strokecolor="#036" strokeweight=".17003mm"/>
            <v:line id="_x0000_s1174" alt="" style="position:absolute" from="6979,291" to="8095,291" strokecolor="#036" strokeweight=".48pt"/>
            <v:shape id="_x0000_s1175" alt="" style="position:absolute;left:8095;top:266;width:29;height:29" coordorigin="8095,267" coordsize="29,29" o:spt="100" adj="0,,0" path="m8124,286r-29,l8095,296r29,l8124,286t,-19l8095,267r,9l8124,276r,-9e" fillcolor="#036" stroked="f">
              <v:stroke joinstyle="round"/>
              <v:formulas/>
              <v:path arrowok="t" o:connecttype="segments"/>
            </v:shape>
            <v:line id="_x0000_s1176" alt="" style="position:absolute" from="8124,272" to="9370,272" strokecolor="#036" strokeweight=".17003mm"/>
            <v:line id="_x0000_s1177" alt="" style="position:absolute" from="8124,291" to="9370,291" strokecolor="#036" strokeweight=".48pt"/>
            <v:shape id="_x0000_s1178" alt="" style="position:absolute;left:9369;top:266;width:29;height:29" coordorigin="9370,267" coordsize="29,29" o:spt="100" adj="0,,0" path="m9398,286r-28,l9370,296r28,l9398,286t,-19l9370,267r,9l9398,276r,-9e" fillcolor="#036" stroked="f">
              <v:stroke joinstyle="round"/>
              <v:formulas/>
              <v:path arrowok="t" o:connecttype="segments"/>
            </v:shape>
            <v:line id="_x0000_s1179" alt="" style="position:absolute" from="9398,272" to="10490,272" strokecolor="#036" strokeweight=".17003mm"/>
            <v:line id="_x0000_s1180" alt="" style="position:absolute" from="9398,291" to="10490,291" strokecolor="#036" strokeweight=".48pt"/>
            <w10:wrap anchorx="page"/>
          </v:group>
        </w:pict>
      </w:r>
      <w:r w:rsidR="0030091C">
        <w:rPr>
          <w:rFonts w:ascii="Calibri"/>
          <w:b/>
          <w:color w:val="003366"/>
          <w:sz w:val="20"/>
        </w:rPr>
        <w:t>Reporting</w:t>
      </w:r>
      <w:r w:rsidR="0030091C">
        <w:rPr>
          <w:rFonts w:ascii="Calibri"/>
          <w:b/>
          <w:color w:val="003366"/>
          <w:spacing w:val="-3"/>
          <w:sz w:val="20"/>
        </w:rPr>
        <w:t xml:space="preserve"> </w:t>
      </w:r>
      <w:r w:rsidR="0030091C">
        <w:rPr>
          <w:rFonts w:ascii="Calibri"/>
          <w:b/>
          <w:color w:val="003366"/>
          <w:sz w:val="20"/>
        </w:rPr>
        <w:t>Period</w:t>
      </w:r>
      <w:r w:rsidR="0030091C">
        <w:rPr>
          <w:rFonts w:ascii="Calibri"/>
          <w:b/>
          <w:color w:val="003366"/>
          <w:sz w:val="20"/>
        </w:rPr>
        <w:tab/>
      </w:r>
      <w:r w:rsidR="0030091C">
        <w:rPr>
          <w:rFonts w:ascii="Calibri"/>
          <w:color w:val="003366"/>
          <w:sz w:val="20"/>
        </w:rPr>
        <w:t>33</w:t>
      </w:r>
      <w:r w:rsidR="0030091C">
        <w:rPr>
          <w:rFonts w:ascii="Calibri"/>
          <w:color w:val="003366"/>
          <w:sz w:val="20"/>
        </w:rPr>
        <w:tab/>
      </w:r>
      <w:r w:rsidR="0030091C">
        <w:rPr>
          <w:rFonts w:ascii="Calibri"/>
          <w:b/>
          <w:color w:val="003366"/>
          <w:sz w:val="20"/>
        </w:rPr>
        <w:t>102</w:t>
      </w:r>
      <w:r w:rsidR="0030091C">
        <w:rPr>
          <w:rFonts w:ascii="Calibri"/>
          <w:b/>
          <w:color w:val="003366"/>
          <w:sz w:val="20"/>
        </w:rPr>
        <w:tab/>
        <w:t>436</w:t>
      </w:r>
      <w:r w:rsidR="0030091C">
        <w:rPr>
          <w:rFonts w:ascii="Calibri"/>
          <w:b/>
          <w:color w:val="003366"/>
          <w:sz w:val="20"/>
        </w:rPr>
        <w:tab/>
        <w:t>41</w:t>
      </w:r>
    </w:p>
    <w:p w:rsidR="006C17CB" w:rsidRDefault="0030091C">
      <w:pPr>
        <w:spacing w:before="447"/>
        <w:ind w:left="829"/>
        <w:rPr>
          <w:rFonts w:ascii="Calibri"/>
          <w:sz w:val="16"/>
        </w:rPr>
      </w:pPr>
      <w:r>
        <w:rPr>
          <w:rFonts w:ascii="Calibri"/>
          <w:color w:val="003366"/>
          <w:sz w:val="16"/>
        </w:rPr>
        <w:t>The above Cash Flow Statement on Behalf of the Territory should be read in conjunction with the accompanying notes.</w:t>
      </w:r>
    </w:p>
    <w:p w:rsidR="006C17CB" w:rsidRDefault="006C17CB">
      <w:pPr>
        <w:rPr>
          <w:rFonts w:ascii="Calibri"/>
          <w:sz w:val="16"/>
        </w:rPr>
        <w:sectPr w:rsidR="006C17CB">
          <w:type w:val="continuous"/>
          <w:pgSz w:w="11910" w:h="16840"/>
          <w:pgMar w:top="1580" w:right="0" w:bottom="280" w:left="980" w:header="720" w:footer="720" w:gutter="0"/>
          <w:cols w:space="720"/>
        </w:sectPr>
      </w:pPr>
    </w:p>
    <w:p w:rsidR="006C17CB" w:rsidRDefault="00FE24A7">
      <w:pPr>
        <w:pStyle w:val="Heading5"/>
        <w:spacing w:line="201" w:lineRule="auto"/>
        <w:ind w:left="2855" w:right="3543"/>
        <w:jc w:val="center"/>
      </w:pPr>
      <w:r>
        <w:pict>
          <v:shape id="_x0000_s1171" type="#_x0000_t202" alt="" style="position:absolute;left:0;text-align:left;margin-left:275.9pt;margin-top:48.7pt;width:245.65pt;height:60.85pt;z-index:2944;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32"/>
                    <w:gridCol w:w="1355"/>
                    <w:gridCol w:w="1392"/>
                    <w:gridCol w:w="1333"/>
                  </w:tblGrid>
                  <w:tr w:rsidR="0030091C">
                    <w:trPr>
                      <w:trHeight w:val="465"/>
                    </w:trPr>
                    <w:tc>
                      <w:tcPr>
                        <w:tcW w:w="832" w:type="dxa"/>
                      </w:tcPr>
                      <w:p w:rsidR="0030091C" w:rsidRDefault="0030091C">
                        <w:pPr>
                          <w:pStyle w:val="TableParagraph"/>
                          <w:spacing w:line="181" w:lineRule="exact"/>
                          <w:ind w:left="50"/>
                          <w:jc w:val="left"/>
                          <w:rPr>
                            <w:b/>
                            <w:sz w:val="20"/>
                          </w:rPr>
                        </w:pPr>
                        <w:r>
                          <w:rPr>
                            <w:b/>
                            <w:color w:val="003366"/>
                            <w:sz w:val="20"/>
                          </w:rPr>
                          <w:t>Original</w:t>
                        </w:r>
                      </w:p>
                      <w:p w:rsidR="0030091C" w:rsidRDefault="0030091C">
                        <w:pPr>
                          <w:pStyle w:val="TableParagraph"/>
                          <w:spacing w:line="264" w:lineRule="exact"/>
                          <w:ind w:left="112"/>
                          <w:jc w:val="left"/>
                          <w:rPr>
                            <w:b/>
                            <w:sz w:val="20"/>
                          </w:rPr>
                        </w:pPr>
                        <w:r>
                          <w:rPr>
                            <w:b/>
                            <w:color w:val="003366"/>
                            <w:sz w:val="20"/>
                          </w:rPr>
                          <w:t>Budget</w:t>
                        </w:r>
                      </w:p>
                    </w:tc>
                    <w:tc>
                      <w:tcPr>
                        <w:tcW w:w="1355" w:type="dxa"/>
                      </w:tcPr>
                      <w:p w:rsidR="0030091C" w:rsidRDefault="0030091C">
                        <w:pPr>
                          <w:pStyle w:val="TableParagraph"/>
                          <w:spacing w:line="181" w:lineRule="exact"/>
                          <w:ind w:left="821"/>
                          <w:jc w:val="left"/>
                          <w:rPr>
                            <w:b/>
                            <w:sz w:val="20"/>
                          </w:rPr>
                        </w:pPr>
                        <w:r>
                          <w:rPr>
                            <w:b/>
                            <w:color w:val="003366"/>
                            <w:sz w:val="20"/>
                          </w:rPr>
                          <w:t>Total</w:t>
                        </w:r>
                      </w:p>
                      <w:p w:rsidR="0030091C" w:rsidRDefault="0030091C">
                        <w:pPr>
                          <w:pStyle w:val="TableParagraph"/>
                          <w:spacing w:line="264" w:lineRule="exact"/>
                          <w:ind w:left="127"/>
                          <w:jc w:val="left"/>
                          <w:rPr>
                            <w:b/>
                            <w:sz w:val="20"/>
                          </w:rPr>
                        </w:pPr>
                        <w:r>
                          <w:rPr>
                            <w:b/>
                            <w:color w:val="003366"/>
                            <w:sz w:val="20"/>
                          </w:rPr>
                          <w:t>Appropriated</w:t>
                        </w:r>
                      </w:p>
                    </w:tc>
                    <w:tc>
                      <w:tcPr>
                        <w:tcW w:w="1392" w:type="dxa"/>
                      </w:tcPr>
                      <w:p w:rsidR="0030091C" w:rsidRDefault="0030091C">
                        <w:pPr>
                          <w:pStyle w:val="TableParagraph"/>
                          <w:spacing w:line="181" w:lineRule="exact"/>
                          <w:ind w:left="109"/>
                          <w:jc w:val="left"/>
                          <w:rPr>
                            <w:b/>
                            <w:sz w:val="20"/>
                          </w:rPr>
                        </w:pPr>
                        <w:r>
                          <w:rPr>
                            <w:b/>
                            <w:color w:val="003366"/>
                            <w:sz w:val="20"/>
                          </w:rPr>
                          <w:t>Appropriation</w:t>
                        </w:r>
                      </w:p>
                      <w:p w:rsidR="0030091C" w:rsidRDefault="0030091C">
                        <w:pPr>
                          <w:pStyle w:val="TableParagraph"/>
                          <w:spacing w:line="264" w:lineRule="exact"/>
                          <w:ind w:left="731"/>
                          <w:jc w:val="left"/>
                          <w:rPr>
                            <w:b/>
                            <w:sz w:val="20"/>
                          </w:rPr>
                        </w:pPr>
                        <w:r>
                          <w:rPr>
                            <w:b/>
                            <w:color w:val="003366"/>
                            <w:sz w:val="20"/>
                          </w:rPr>
                          <w:t>Drawn</w:t>
                        </w:r>
                      </w:p>
                    </w:tc>
                    <w:tc>
                      <w:tcPr>
                        <w:tcW w:w="1333" w:type="dxa"/>
                      </w:tcPr>
                      <w:p w:rsidR="0030091C" w:rsidRDefault="0030091C">
                        <w:pPr>
                          <w:pStyle w:val="TableParagraph"/>
                          <w:spacing w:line="181" w:lineRule="exact"/>
                          <w:ind w:left="109"/>
                          <w:jc w:val="left"/>
                          <w:rPr>
                            <w:b/>
                            <w:sz w:val="20"/>
                          </w:rPr>
                        </w:pPr>
                        <w:r>
                          <w:rPr>
                            <w:b/>
                            <w:color w:val="003366"/>
                            <w:sz w:val="20"/>
                          </w:rPr>
                          <w:t>Appropriation</w:t>
                        </w:r>
                      </w:p>
                      <w:p w:rsidR="0030091C" w:rsidRDefault="0030091C">
                        <w:pPr>
                          <w:pStyle w:val="TableParagraph"/>
                          <w:spacing w:line="264" w:lineRule="exact"/>
                          <w:ind w:left="730"/>
                          <w:jc w:val="left"/>
                          <w:rPr>
                            <w:b/>
                            <w:sz w:val="20"/>
                          </w:rPr>
                        </w:pPr>
                        <w:r>
                          <w:rPr>
                            <w:b/>
                            <w:color w:val="003366"/>
                            <w:sz w:val="20"/>
                          </w:rPr>
                          <w:t>Drawn</w:t>
                        </w:r>
                      </w:p>
                    </w:tc>
                  </w:tr>
                  <w:tr w:rsidR="0030091C">
                    <w:trPr>
                      <w:trHeight w:val="243"/>
                    </w:trPr>
                    <w:tc>
                      <w:tcPr>
                        <w:tcW w:w="832" w:type="dxa"/>
                      </w:tcPr>
                      <w:p w:rsidR="0030091C" w:rsidRDefault="0030091C">
                        <w:pPr>
                          <w:pStyle w:val="TableParagraph"/>
                          <w:spacing w:line="224" w:lineRule="exact"/>
                          <w:ind w:right="127"/>
                          <w:rPr>
                            <w:b/>
                            <w:sz w:val="20"/>
                          </w:rPr>
                        </w:pPr>
                        <w:r>
                          <w:rPr>
                            <w:b/>
                            <w:color w:val="003366"/>
                            <w:w w:val="95"/>
                            <w:sz w:val="20"/>
                          </w:rPr>
                          <w:t>2018</w:t>
                        </w:r>
                      </w:p>
                    </w:tc>
                    <w:tc>
                      <w:tcPr>
                        <w:tcW w:w="1355" w:type="dxa"/>
                      </w:tcPr>
                      <w:p w:rsidR="0030091C" w:rsidRDefault="0030091C">
                        <w:pPr>
                          <w:pStyle w:val="TableParagraph"/>
                          <w:spacing w:line="224" w:lineRule="exact"/>
                          <w:ind w:right="109"/>
                          <w:rPr>
                            <w:b/>
                            <w:sz w:val="20"/>
                          </w:rPr>
                        </w:pPr>
                        <w:r>
                          <w:rPr>
                            <w:b/>
                            <w:color w:val="003366"/>
                            <w:w w:val="95"/>
                            <w:sz w:val="20"/>
                          </w:rPr>
                          <w:t>2018</w:t>
                        </w:r>
                      </w:p>
                    </w:tc>
                    <w:tc>
                      <w:tcPr>
                        <w:tcW w:w="1392" w:type="dxa"/>
                      </w:tcPr>
                      <w:p w:rsidR="0030091C" w:rsidRDefault="0030091C">
                        <w:pPr>
                          <w:pStyle w:val="TableParagraph"/>
                          <w:spacing w:line="224" w:lineRule="exact"/>
                          <w:ind w:right="109"/>
                          <w:rPr>
                            <w:b/>
                            <w:sz w:val="20"/>
                          </w:rPr>
                        </w:pPr>
                        <w:r>
                          <w:rPr>
                            <w:b/>
                            <w:color w:val="003366"/>
                            <w:w w:val="95"/>
                            <w:sz w:val="20"/>
                          </w:rPr>
                          <w:t>2018</w:t>
                        </w:r>
                      </w:p>
                    </w:tc>
                    <w:tc>
                      <w:tcPr>
                        <w:tcW w:w="1333" w:type="dxa"/>
                      </w:tcPr>
                      <w:p w:rsidR="0030091C" w:rsidRDefault="0030091C">
                        <w:pPr>
                          <w:pStyle w:val="TableParagraph"/>
                          <w:spacing w:line="224" w:lineRule="exact"/>
                          <w:ind w:right="50"/>
                          <w:rPr>
                            <w:b/>
                            <w:sz w:val="20"/>
                          </w:rPr>
                        </w:pPr>
                        <w:r>
                          <w:rPr>
                            <w:b/>
                            <w:color w:val="003366"/>
                            <w:w w:val="95"/>
                            <w:sz w:val="20"/>
                          </w:rPr>
                          <w:t>2017</w:t>
                        </w:r>
                      </w:p>
                    </w:tc>
                  </w:tr>
                  <w:tr w:rsidR="0030091C">
                    <w:trPr>
                      <w:trHeight w:val="265"/>
                    </w:trPr>
                    <w:tc>
                      <w:tcPr>
                        <w:tcW w:w="832" w:type="dxa"/>
                      </w:tcPr>
                      <w:p w:rsidR="0030091C" w:rsidRDefault="0030091C">
                        <w:pPr>
                          <w:pStyle w:val="TableParagraph"/>
                          <w:spacing w:line="226" w:lineRule="exact"/>
                          <w:ind w:right="127"/>
                          <w:rPr>
                            <w:b/>
                            <w:sz w:val="20"/>
                          </w:rPr>
                        </w:pPr>
                        <w:r>
                          <w:rPr>
                            <w:b/>
                            <w:color w:val="003366"/>
                            <w:w w:val="95"/>
                            <w:sz w:val="20"/>
                          </w:rPr>
                          <w:t>$’000</w:t>
                        </w:r>
                      </w:p>
                    </w:tc>
                    <w:tc>
                      <w:tcPr>
                        <w:tcW w:w="1355" w:type="dxa"/>
                      </w:tcPr>
                      <w:p w:rsidR="0030091C" w:rsidRDefault="0030091C">
                        <w:pPr>
                          <w:pStyle w:val="TableParagraph"/>
                          <w:spacing w:line="226" w:lineRule="exact"/>
                          <w:ind w:right="109"/>
                          <w:rPr>
                            <w:b/>
                            <w:sz w:val="20"/>
                          </w:rPr>
                        </w:pPr>
                        <w:r>
                          <w:rPr>
                            <w:b/>
                            <w:color w:val="003366"/>
                            <w:w w:val="95"/>
                            <w:sz w:val="20"/>
                          </w:rPr>
                          <w:t>$’000</w:t>
                        </w:r>
                      </w:p>
                    </w:tc>
                    <w:tc>
                      <w:tcPr>
                        <w:tcW w:w="1392" w:type="dxa"/>
                      </w:tcPr>
                      <w:p w:rsidR="0030091C" w:rsidRDefault="0030091C">
                        <w:pPr>
                          <w:pStyle w:val="TableParagraph"/>
                          <w:spacing w:line="226" w:lineRule="exact"/>
                          <w:ind w:right="109"/>
                          <w:rPr>
                            <w:b/>
                            <w:sz w:val="20"/>
                          </w:rPr>
                        </w:pPr>
                        <w:r>
                          <w:rPr>
                            <w:b/>
                            <w:color w:val="003366"/>
                            <w:w w:val="95"/>
                            <w:sz w:val="20"/>
                          </w:rPr>
                          <w:t>$’000</w:t>
                        </w:r>
                      </w:p>
                    </w:tc>
                    <w:tc>
                      <w:tcPr>
                        <w:tcW w:w="1333" w:type="dxa"/>
                      </w:tcPr>
                      <w:p w:rsidR="0030091C" w:rsidRDefault="0030091C">
                        <w:pPr>
                          <w:pStyle w:val="TableParagraph"/>
                          <w:spacing w:line="226" w:lineRule="exact"/>
                          <w:ind w:right="50"/>
                          <w:rPr>
                            <w:b/>
                            <w:sz w:val="20"/>
                          </w:rPr>
                        </w:pPr>
                        <w:r>
                          <w:rPr>
                            <w:b/>
                            <w:color w:val="003366"/>
                            <w:w w:val="95"/>
                            <w:sz w:val="20"/>
                          </w:rPr>
                          <w:t>$’000</w:t>
                        </w:r>
                      </w:p>
                    </w:tc>
                  </w:tr>
                  <w:tr w:rsidR="0030091C">
                    <w:trPr>
                      <w:trHeight w:val="242"/>
                    </w:trPr>
                    <w:tc>
                      <w:tcPr>
                        <w:tcW w:w="832" w:type="dxa"/>
                      </w:tcPr>
                      <w:p w:rsidR="0030091C" w:rsidRDefault="0030091C">
                        <w:pPr>
                          <w:pStyle w:val="TableParagraph"/>
                          <w:spacing w:line="222" w:lineRule="exact"/>
                          <w:ind w:right="127"/>
                          <w:rPr>
                            <w:sz w:val="20"/>
                          </w:rPr>
                        </w:pPr>
                        <w:r>
                          <w:rPr>
                            <w:color w:val="003366"/>
                            <w:w w:val="95"/>
                            <w:sz w:val="20"/>
                          </w:rPr>
                          <w:t>9,923</w:t>
                        </w:r>
                      </w:p>
                    </w:tc>
                    <w:tc>
                      <w:tcPr>
                        <w:tcW w:w="1355" w:type="dxa"/>
                      </w:tcPr>
                      <w:p w:rsidR="0030091C" w:rsidRDefault="0030091C">
                        <w:pPr>
                          <w:pStyle w:val="TableParagraph"/>
                          <w:spacing w:line="222" w:lineRule="exact"/>
                          <w:ind w:right="109"/>
                          <w:rPr>
                            <w:sz w:val="20"/>
                          </w:rPr>
                        </w:pPr>
                        <w:r>
                          <w:rPr>
                            <w:color w:val="003366"/>
                            <w:w w:val="95"/>
                            <w:sz w:val="20"/>
                          </w:rPr>
                          <w:t>9,703</w:t>
                        </w:r>
                      </w:p>
                    </w:tc>
                    <w:tc>
                      <w:tcPr>
                        <w:tcW w:w="1392" w:type="dxa"/>
                      </w:tcPr>
                      <w:p w:rsidR="0030091C" w:rsidRDefault="0030091C">
                        <w:pPr>
                          <w:pStyle w:val="TableParagraph"/>
                          <w:spacing w:line="222" w:lineRule="exact"/>
                          <w:ind w:right="109"/>
                          <w:rPr>
                            <w:sz w:val="20"/>
                          </w:rPr>
                        </w:pPr>
                        <w:r>
                          <w:rPr>
                            <w:color w:val="003366"/>
                            <w:w w:val="95"/>
                            <w:sz w:val="20"/>
                          </w:rPr>
                          <w:t>9,027</w:t>
                        </w:r>
                      </w:p>
                    </w:tc>
                    <w:tc>
                      <w:tcPr>
                        <w:tcW w:w="1333" w:type="dxa"/>
                      </w:tcPr>
                      <w:p w:rsidR="0030091C" w:rsidRDefault="0030091C">
                        <w:pPr>
                          <w:pStyle w:val="TableParagraph"/>
                          <w:spacing w:line="222" w:lineRule="exact"/>
                          <w:ind w:right="50"/>
                          <w:rPr>
                            <w:sz w:val="20"/>
                          </w:rPr>
                        </w:pPr>
                        <w:r>
                          <w:rPr>
                            <w:color w:val="003366"/>
                            <w:w w:val="95"/>
                            <w:sz w:val="20"/>
                          </w:rPr>
                          <w:t>8,125</w:t>
                        </w:r>
                      </w:p>
                    </w:tc>
                  </w:tr>
                </w:tbl>
                <w:p w:rsidR="0030091C" w:rsidRDefault="0030091C">
                  <w:pPr>
                    <w:pStyle w:val="BodyText"/>
                  </w:pPr>
                </w:p>
              </w:txbxContent>
            </v:textbox>
            <w10:wrap anchorx="page"/>
          </v:shape>
        </w:pict>
      </w:r>
      <w:r w:rsidR="0030091C">
        <w:rPr>
          <w:color w:val="003366"/>
        </w:rPr>
        <w:t>Territorial Statement of Appropriation For the Year Ended 30 June 2018</w:t>
      </w:r>
    </w:p>
    <w:p w:rsidR="006C17CB" w:rsidRDefault="006C17CB">
      <w:pPr>
        <w:pStyle w:val="BodyText"/>
        <w:rPr>
          <w:rFonts w:ascii="Calibri"/>
          <w:b/>
          <w:sz w:val="28"/>
        </w:rPr>
      </w:pPr>
    </w:p>
    <w:p w:rsidR="006C17CB" w:rsidRDefault="006C17CB">
      <w:pPr>
        <w:pStyle w:val="BodyText"/>
        <w:rPr>
          <w:rFonts w:ascii="Calibri"/>
          <w:b/>
          <w:sz w:val="28"/>
        </w:rPr>
      </w:pPr>
    </w:p>
    <w:p w:rsidR="006C17CB" w:rsidRDefault="006C17CB">
      <w:pPr>
        <w:pStyle w:val="BodyText"/>
        <w:spacing w:before="12"/>
        <w:rPr>
          <w:rFonts w:ascii="Calibri"/>
          <w:b/>
          <w:sz w:val="28"/>
        </w:rPr>
      </w:pPr>
    </w:p>
    <w:p w:rsidR="006C17CB" w:rsidRDefault="0030091C">
      <w:pPr>
        <w:spacing w:line="286" w:lineRule="exact"/>
        <w:ind w:left="829"/>
        <w:rPr>
          <w:rFonts w:ascii="Calibri"/>
          <w:sz w:val="20"/>
        </w:rPr>
      </w:pPr>
      <w:r>
        <w:rPr>
          <w:rFonts w:ascii="Calibri"/>
          <w:color w:val="003366"/>
          <w:sz w:val="20"/>
        </w:rPr>
        <w:t>Expenses on Behalf of the Territory</w:t>
      </w:r>
    </w:p>
    <w:p w:rsidR="006C17CB" w:rsidRDefault="0030091C">
      <w:pPr>
        <w:tabs>
          <w:tab w:val="left" w:pos="3980"/>
          <w:tab w:val="left" w:pos="4938"/>
          <w:tab w:val="left" w:pos="6311"/>
          <w:tab w:val="left" w:pos="7703"/>
          <w:tab w:val="left" w:pos="9095"/>
        </w:tabs>
        <w:spacing w:line="286" w:lineRule="exact"/>
        <w:ind w:left="829"/>
        <w:rPr>
          <w:rFonts w:ascii="Calibri"/>
          <w:sz w:val="20"/>
        </w:rPr>
      </w:pPr>
      <w:r>
        <w:rPr>
          <w:rFonts w:ascii="Calibri"/>
          <w:color w:val="003366"/>
          <w:sz w:val="20"/>
        </w:rPr>
        <w:t>Capital</w:t>
      </w:r>
      <w:r>
        <w:rPr>
          <w:rFonts w:ascii="Calibri"/>
          <w:color w:val="003366"/>
          <w:spacing w:val="-3"/>
          <w:sz w:val="20"/>
        </w:rPr>
        <w:t xml:space="preserve"> </w:t>
      </w:r>
      <w:r>
        <w:rPr>
          <w:rFonts w:ascii="Calibri"/>
          <w:color w:val="003366"/>
          <w:sz w:val="20"/>
        </w:rPr>
        <w:t>Injections</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144</w:t>
      </w:r>
      <w:r>
        <w:rPr>
          <w:rFonts w:ascii="Calibri"/>
          <w:color w:val="003366"/>
          <w:sz w:val="20"/>
          <w:u w:val="single" w:color="003366"/>
        </w:rPr>
        <w:tab/>
        <w:t>784</w:t>
      </w:r>
      <w:r>
        <w:rPr>
          <w:rFonts w:ascii="Calibri"/>
          <w:color w:val="003366"/>
          <w:sz w:val="20"/>
          <w:u w:val="single" w:color="003366"/>
        </w:rPr>
        <w:tab/>
        <w:t>784</w:t>
      </w:r>
      <w:r>
        <w:rPr>
          <w:rFonts w:ascii="Calibri"/>
          <w:color w:val="003366"/>
          <w:sz w:val="20"/>
          <w:u w:val="single" w:color="003366"/>
        </w:rPr>
        <w:tab/>
        <w:t>652</w:t>
      </w:r>
      <w:r>
        <w:rPr>
          <w:rFonts w:ascii="Calibri"/>
          <w:color w:val="003366"/>
          <w:spacing w:val="21"/>
          <w:sz w:val="20"/>
          <w:u w:val="single" w:color="003366"/>
        </w:rPr>
        <w:t xml:space="preserve"> </w:t>
      </w:r>
    </w:p>
    <w:p w:rsidR="006C17CB" w:rsidRDefault="0030091C">
      <w:pPr>
        <w:tabs>
          <w:tab w:val="left" w:pos="4683"/>
          <w:tab w:val="left" w:pos="6056"/>
          <w:tab w:val="left" w:pos="7551"/>
          <w:tab w:val="left" w:pos="8943"/>
        </w:tabs>
        <w:spacing w:before="2"/>
        <w:ind w:left="829"/>
        <w:rPr>
          <w:rFonts w:ascii="Calibri"/>
          <w:b/>
          <w:sz w:val="20"/>
        </w:rPr>
      </w:pPr>
      <w:r>
        <w:rPr>
          <w:rFonts w:ascii="Calibri"/>
          <w:b/>
          <w:color w:val="003366"/>
          <w:sz w:val="20"/>
        </w:rPr>
        <w:t>Total</w:t>
      </w:r>
      <w:r>
        <w:rPr>
          <w:rFonts w:ascii="Calibri"/>
          <w:b/>
          <w:color w:val="003366"/>
          <w:spacing w:val="-4"/>
          <w:sz w:val="20"/>
        </w:rPr>
        <w:t xml:space="preserve"> </w:t>
      </w:r>
      <w:r>
        <w:rPr>
          <w:rFonts w:ascii="Calibri"/>
          <w:b/>
          <w:color w:val="003366"/>
          <w:sz w:val="20"/>
        </w:rPr>
        <w:t>Territorial</w:t>
      </w:r>
      <w:r>
        <w:rPr>
          <w:rFonts w:ascii="Calibri"/>
          <w:b/>
          <w:color w:val="003366"/>
          <w:spacing w:val="-4"/>
          <w:sz w:val="20"/>
        </w:rPr>
        <w:t xml:space="preserve"> </w:t>
      </w:r>
      <w:r>
        <w:rPr>
          <w:rFonts w:ascii="Calibri"/>
          <w:b/>
          <w:color w:val="003366"/>
          <w:sz w:val="20"/>
        </w:rPr>
        <w:t>Appropriation</w:t>
      </w:r>
      <w:r>
        <w:rPr>
          <w:rFonts w:ascii="Calibri"/>
          <w:b/>
          <w:color w:val="003366"/>
          <w:sz w:val="20"/>
        </w:rPr>
        <w:tab/>
        <w:t>10,067</w:t>
      </w:r>
      <w:r>
        <w:rPr>
          <w:rFonts w:ascii="Calibri"/>
          <w:b/>
          <w:color w:val="003366"/>
          <w:sz w:val="20"/>
        </w:rPr>
        <w:tab/>
        <w:t>10,487</w:t>
      </w:r>
      <w:r>
        <w:rPr>
          <w:rFonts w:ascii="Calibri"/>
          <w:b/>
          <w:color w:val="003366"/>
          <w:sz w:val="20"/>
        </w:rPr>
        <w:tab/>
        <w:t>9,811</w:t>
      </w:r>
      <w:r>
        <w:rPr>
          <w:rFonts w:ascii="Calibri"/>
          <w:b/>
          <w:color w:val="003366"/>
          <w:sz w:val="20"/>
        </w:rPr>
        <w:tab/>
        <w:t>8,777</w:t>
      </w:r>
    </w:p>
    <w:p w:rsidR="006C17CB" w:rsidRDefault="00FE24A7">
      <w:pPr>
        <w:pStyle w:val="BodyText"/>
        <w:spacing w:line="29" w:lineRule="exact"/>
        <w:ind w:left="3975"/>
        <w:rPr>
          <w:rFonts w:ascii="Calibri"/>
          <w:sz w:val="2"/>
        </w:rPr>
      </w:pPr>
      <w:r>
        <w:rPr>
          <w:rFonts w:ascii="Calibri"/>
          <w:sz w:val="2"/>
        </w:rPr>
      </w:r>
      <w:r>
        <w:rPr>
          <w:rFonts w:ascii="Calibri"/>
          <w:sz w:val="2"/>
        </w:rPr>
        <w:pict>
          <v:group id="_x0000_s1156" alt="" style="width:276.5pt;height:1.45pt;mso-position-horizontal-relative:char;mso-position-vertical-relative:line" coordsize="5530,29">
            <v:line id="_x0000_s1157" alt="" style="position:absolute" from="0,5" to="1373,5" strokecolor="#036" strokeweight=".48pt"/>
            <v:line id="_x0000_s1158" alt="" style="position:absolute" from="0,24" to="1373,24" strokecolor="#036" strokeweight=".16969mm"/>
            <v:rect id="_x0000_s1159" alt="" style="position:absolute;left:1372;width:29;height:10" fillcolor="#036" stroked="f"/>
            <v:rect id="_x0000_s1160" alt="" style="position:absolute;left:1372;top:19;width:29;height:10" fillcolor="#036" stroked="f"/>
            <v:line id="_x0000_s1161" alt="" style="position:absolute" from="1402,5" to="2746,5" strokecolor="#036" strokeweight=".48pt"/>
            <v:line id="_x0000_s1162" alt="" style="position:absolute" from="1402,24" to="2746,24" strokecolor="#036" strokeweight=".16969mm"/>
            <v:rect id="_x0000_s1163" alt="" style="position:absolute;left:2745;width:29;height:10" fillcolor="#036" stroked="f"/>
            <v:rect id="_x0000_s1164" alt="" style="position:absolute;left:2745;top:19;width:29;height:10" fillcolor="#036" stroked="f"/>
            <v:line id="_x0000_s1165" alt="" style="position:absolute" from="2774,5" to="4138,5" strokecolor="#036" strokeweight=".48pt"/>
            <v:line id="_x0000_s1166" alt="" style="position:absolute" from="2774,24" to="4138,24" strokecolor="#036" strokeweight=".16969mm"/>
            <v:rect id="_x0000_s1167" alt="" style="position:absolute;left:4137;width:29;height:10" fillcolor="#036" stroked="f"/>
            <v:rect id="_x0000_s1168" alt="" style="position:absolute;left:4137;top:19;width:29;height:10" fillcolor="#036" stroked="f"/>
            <v:line id="_x0000_s1169" alt="" style="position:absolute" from="4166,5" to="5530,5" strokecolor="#036" strokeweight=".48pt"/>
            <v:line id="_x0000_s1170" alt="" style="position:absolute" from="4166,24" to="5530,24" strokecolor="#036" strokeweight=".16969mm"/>
            <w10:anchorlock/>
          </v:group>
        </w:pict>
      </w:r>
    </w:p>
    <w:p w:rsidR="006C17CB" w:rsidRDefault="006C17CB">
      <w:pPr>
        <w:pStyle w:val="BodyText"/>
        <w:spacing w:before="8"/>
        <w:rPr>
          <w:rFonts w:ascii="Calibri"/>
          <w:b/>
          <w:sz w:val="26"/>
        </w:rPr>
      </w:pPr>
    </w:p>
    <w:p w:rsidR="006C17CB" w:rsidRDefault="0030091C">
      <w:pPr>
        <w:spacing w:before="33"/>
        <w:ind w:left="829"/>
        <w:rPr>
          <w:rFonts w:ascii="Calibri"/>
          <w:sz w:val="16"/>
        </w:rPr>
      </w:pPr>
      <w:r>
        <w:rPr>
          <w:rFonts w:ascii="Calibri"/>
          <w:color w:val="003366"/>
          <w:sz w:val="16"/>
        </w:rPr>
        <w:t>The above Territorial Statement of Appropriation should be read in conjunction with the accompanying notes.</w:t>
      </w:r>
    </w:p>
    <w:p w:rsidR="006C17CB" w:rsidRDefault="006C17CB">
      <w:pPr>
        <w:pStyle w:val="BodyText"/>
        <w:spacing w:before="10"/>
        <w:rPr>
          <w:rFonts w:ascii="Calibri"/>
          <w:sz w:val="13"/>
        </w:rPr>
      </w:pPr>
    </w:p>
    <w:p w:rsidR="006C17CB" w:rsidRDefault="0030091C">
      <w:pPr>
        <w:ind w:left="829"/>
        <w:rPr>
          <w:rFonts w:ascii="Calibri"/>
          <w:b/>
          <w:sz w:val="20"/>
        </w:rPr>
      </w:pPr>
      <w:r>
        <w:rPr>
          <w:rFonts w:ascii="Calibri"/>
          <w:b/>
          <w:color w:val="003366"/>
          <w:sz w:val="20"/>
        </w:rPr>
        <w:t>Column Heading Explanations</w:t>
      </w:r>
    </w:p>
    <w:p w:rsidR="006C17CB" w:rsidRDefault="006C17CB">
      <w:pPr>
        <w:pStyle w:val="BodyText"/>
        <w:spacing w:before="13"/>
        <w:rPr>
          <w:rFonts w:ascii="Calibri"/>
          <w:b/>
          <w:sz w:val="15"/>
        </w:rPr>
      </w:pPr>
    </w:p>
    <w:p w:rsidR="006C17CB" w:rsidRDefault="0030091C">
      <w:pPr>
        <w:spacing w:before="1" w:line="204" w:lineRule="auto"/>
        <w:ind w:left="829" w:right="1521"/>
        <w:jc w:val="both"/>
        <w:rPr>
          <w:rFonts w:ascii="Calibri"/>
          <w:sz w:val="20"/>
        </w:rPr>
      </w:pPr>
      <w:r>
        <w:rPr>
          <w:rFonts w:ascii="Calibri"/>
          <w:color w:val="003366"/>
          <w:sz w:val="20"/>
        </w:rPr>
        <w:t xml:space="preserve">The </w:t>
      </w:r>
      <w:r>
        <w:rPr>
          <w:rFonts w:ascii="Calibri"/>
          <w:i/>
          <w:color w:val="003366"/>
          <w:sz w:val="20"/>
        </w:rPr>
        <w:t xml:space="preserve">Original Budget </w:t>
      </w:r>
      <w:r>
        <w:rPr>
          <w:rFonts w:ascii="Calibri"/>
          <w:color w:val="003366"/>
          <w:sz w:val="20"/>
        </w:rPr>
        <w:t>column shows the amounts that appear in the Cash Flow Statement in the Budget Papers.</w:t>
      </w:r>
    </w:p>
    <w:p w:rsidR="006C17CB" w:rsidRDefault="0030091C">
      <w:pPr>
        <w:spacing w:before="121" w:line="201" w:lineRule="auto"/>
        <w:ind w:left="829" w:right="1522"/>
        <w:jc w:val="both"/>
        <w:rPr>
          <w:rFonts w:ascii="Calibri"/>
          <w:sz w:val="20"/>
        </w:rPr>
      </w:pPr>
      <w:r>
        <w:rPr>
          <w:rFonts w:ascii="Calibri"/>
          <w:color w:val="003366"/>
          <w:sz w:val="20"/>
        </w:rPr>
        <w:t xml:space="preserve">The </w:t>
      </w:r>
      <w:r>
        <w:rPr>
          <w:rFonts w:ascii="Calibri"/>
          <w:i/>
          <w:color w:val="003366"/>
          <w:sz w:val="20"/>
        </w:rPr>
        <w:t xml:space="preserve">Total Appropriated </w:t>
      </w:r>
      <w:r>
        <w:rPr>
          <w:rFonts w:ascii="Calibri"/>
          <w:color w:val="003366"/>
          <w:sz w:val="20"/>
        </w:rPr>
        <w:t>column is inclusive of all appropriation variations occurring after the Original Budget.</w:t>
      </w:r>
    </w:p>
    <w:p w:rsidR="006C17CB" w:rsidRDefault="0030091C">
      <w:pPr>
        <w:spacing w:before="121" w:line="204" w:lineRule="auto"/>
        <w:ind w:left="829" w:right="1525"/>
        <w:jc w:val="both"/>
        <w:rPr>
          <w:rFonts w:ascii="Calibri"/>
          <w:sz w:val="20"/>
        </w:rPr>
      </w:pPr>
      <w:r>
        <w:rPr>
          <w:rFonts w:ascii="Calibri"/>
          <w:color w:val="003366"/>
          <w:sz w:val="20"/>
        </w:rPr>
        <w:t xml:space="preserve">The </w:t>
      </w:r>
      <w:r>
        <w:rPr>
          <w:rFonts w:ascii="Calibri"/>
          <w:i/>
          <w:color w:val="003366"/>
          <w:sz w:val="20"/>
        </w:rPr>
        <w:t xml:space="preserve">Appropriation Drawn </w:t>
      </w:r>
      <w:r>
        <w:rPr>
          <w:rFonts w:ascii="Calibri"/>
          <w:color w:val="003366"/>
          <w:sz w:val="20"/>
        </w:rPr>
        <w:t>is the total amount, which was received by the Office during the year in Appropriation. These amounts appear in the Cash Flow Statement on Behalf of the Territory.</w:t>
      </w:r>
    </w:p>
    <w:p w:rsidR="006C17CB" w:rsidRDefault="006C17CB">
      <w:pPr>
        <w:pStyle w:val="BodyText"/>
        <w:spacing w:before="2"/>
        <w:rPr>
          <w:rFonts w:ascii="Calibri"/>
          <w:sz w:val="14"/>
        </w:rPr>
      </w:pPr>
    </w:p>
    <w:p w:rsidR="006C17CB" w:rsidRDefault="0030091C">
      <w:pPr>
        <w:ind w:left="829"/>
        <w:rPr>
          <w:rFonts w:ascii="Calibri" w:hAnsi="Calibri"/>
          <w:b/>
          <w:sz w:val="20"/>
        </w:rPr>
      </w:pPr>
      <w:r>
        <w:rPr>
          <w:rFonts w:ascii="Calibri" w:hAnsi="Calibri"/>
          <w:b/>
          <w:color w:val="003366"/>
          <w:sz w:val="20"/>
        </w:rPr>
        <w:t>Variances between ‘Original Budget’, ‘Total Appropriated’ and ‘Appropriation Drawn’.</w:t>
      </w:r>
    </w:p>
    <w:p w:rsidR="006C17CB" w:rsidRDefault="006C17CB">
      <w:pPr>
        <w:pStyle w:val="BodyText"/>
        <w:spacing w:before="13"/>
        <w:rPr>
          <w:rFonts w:ascii="Calibri"/>
          <w:b/>
          <w:sz w:val="15"/>
        </w:rPr>
      </w:pPr>
    </w:p>
    <w:p w:rsidR="006C17CB" w:rsidRDefault="0030091C">
      <w:pPr>
        <w:spacing w:before="1" w:line="204" w:lineRule="auto"/>
        <w:ind w:left="829" w:right="1521"/>
        <w:jc w:val="both"/>
        <w:rPr>
          <w:rFonts w:ascii="Calibri"/>
          <w:sz w:val="20"/>
        </w:rPr>
      </w:pPr>
      <w:r>
        <w:rPr>
          <w:rFonts w:ascii="Calibri"/>
          <w:color w:val="003366"/>
          <w:sz w:val="20"/>
        </w:rPr>
        <w:t>The total appropriated for Expenses on Behalf of the Territory was $220,000 less than the original budget due</w:t>
      </w:r>
      <w:r>
        <w:rPr>
          <w:rFonts w:ascii="Calibri"/>
          <w:color w:val="003366"/>
          <w:spacing w:val="-12"/>
          <w:sz w:val="20"/>
        </w:rPr>
        <w:t xml:space="preserve"> </w:t>
      </w:r>
      <w:r>
        <w:rPr>
          <w:rFonts w:ascii="Calibri"/>
          <w:color w:val="003366"/>
          <w:sz w:val="20"/>
        </w:rPr>
        <w:t>to</w:t>
      </w:r>
      <w:r>
        <w:rPr>
          <w:rFonts w:ascii="Calibri"/>
          <w:color w:val="003366"/>
          <w:spacing w:val="-11"/>
          <w:sz w:val="20"/>
        </w:rPr>
        <w:t xml:space="preserve"> </w:t>
      </w:r>
      <w:r>
        <w:rPr>
          <w:rFonts w:ascii="Calibri"/>
          <w:color w:val="003366"/>
          <w:sz w:val="20"/>
        </w:rPr>
        <w:t>the</w:t>
      </w:r>
      <w:r>
        <w:rPr>
          <w:rFonts w:ascii="Calibri"/>
          <w:color w:val="003366"/>
          <w:spacing w:val="-12"/>
          <w:sz w:val="20"/>
        </w:rPr>
        <w:t xml:space="preserve"> </w:t>
      </w:r>
      <w:r>
        <w:rPr>
          <w:rFonts w:ascii="Calibri"/>
          <w:color w:val="003366"/>
          <w:sz w:val="20"/>
        </w:rPr>
        <w:t>transfer</w:t>
      </w:r>
      <w:r>
        <w:rPr>
          <w:rFonts w:ascii="Calibri"/>
          <w:color w:val="003366"/>
          <w:spacing w:val="-11"/>
          <w:sz w:val="20"/>
        </w:rPr>
        <w:t xml:space="preserve"> </w:t>
      </w:r>
      <w:r>
        <w:rPr>
          <w:rFonts w:ascii="Calibri"/>
          <w:color w:val="003366"/>
          <w:sz w:val="20"/>
        </w:rPr>
        <w:t>of</w:t>
      </w:r>
      <w:r>
        <w:rPr>
          <w:rFonts w:ascii="Calibri"/>
          <w:color w:val="003366"/>
          <w:spacing w:val="-12"/>
          <w:sz w:val="20"/>
        </w:rPr>
        <w:t xml:space="preserve"> </w:t>
      </w:r>
      <w:r>
        <w:rPr>
          <w:rFonts w:ascii="Calibri"/>
          <w:color w:val="003366"/>
          <w:sz w:val="20"/>
        </w:rPr>
        <w:t>funds</w:t>
      </w:r>
      <w:r>
        <w:rPr>
          <w:rFonts w:ascii="Calibri"/>
          <w:color w:val="003366"/>
          <w:spacing w:val="-12"/>
          <w:sz w:val="20"/>
        </w:rPr>
        <w:t xml:space="preserve"> </w:t>
      </w:r>
      <w:r>
        <w:rPr>
          <w:rFonts w:ascii="Calibri"/>
          <w:color w:val="003366"/>
          <w:sz w:val="20"/>
        </w:rPr>
        <w:t>to</w:t>
      </w:r>
      <w:r>
        <w:rPr>
          <w:rFonts w:ascii="Calibri"/>
          <w:color w:val="003366"/>
          <w:spacing w:val="-8"/>
          <w:sz w:val="20"/>
        </w:rPr>
        <w:t xml:space="preserve"> </w:t>
      </w:r>
      <w:r>
        <w:rPr>
          <w:rFonts w:ascii="Calibri"/>
          <w:color w:val="003366"/>
          <w:sz w:val="20"/>
        </w:rPr>
        <w:t>the</w:t>
      </w:r>
      <w:r>
        <w:rPr>
          <w:rFonts w:ascii="Calibri"/>
          <w:color w:val="003366"/>
          <w:spacing w:val="-12"/>
          <w:sz w:val="20"/>
        </w:rPr>
        <w:t xml:space="preserve"> </w:t>
      </w:r>
      <w:r>
        <w:rPr>
          <w:rFonts w:ascii="Calibri"/>
          <w:color w:val="003366"/>
          <w:sz w:val="20"/>
        </w:rPr>
        <w:t>Controlled</w:t>
      </w:r>
      <w:r>
        <w:rPr>
          <w:rFonts w:ascii="Calibri"/>
          <w:color w:val="003366"/>
          <w:spacing w:val="-10"/>
          <w:sz w:val="20"/>
        </w:rPr>
        <w:t xml:space="preserve"> </w:t>
      </w:r>
      <w:r>
        <w:rPr>
          <w:rFonts w:ascii="Calibri"/>
          <w:color w:val="003366"/>
          <w:sz w:val="20"/>
        </w:rPr>
        <w:t>entity</w:t>
      </w:r>
      <w:r>
        <w:rPr>
          <w:rFonts w:ascii="Calibri"/>
          <w:color w:val="003366"/>
          <w:spacing w:val="-10"/>
          <w:sz w:val="20"/>
        </w:rPr>
        <w:t xml:space="preserve"> </w:t>
      </w:r>
      <w:r>
        <w:rPr>
          <w:rFonts w:ascii="Calibri"/>
          <w:color w:val="003366"/>
          <w:sz w:val="20"/>
        </w:rPr>
        <w:t>that</w:t>
      </w:r>
      <w:r>
        <w:rPr>
          <w:rFonts w:ascii="Calibri"/>
          <w:color w:val="003366"/>
          <w:spacing w:val="-11"/>
          <w:sz w:val="20"/>
        </w:rPr>
        <w:t xml:space="preserve"> </w:t>
      </w:r>
      <w:r>
        <w:rPr>
          <w:rFonts w:ascii="Calibri"/>
          <w:color w:val="003366"/>
          <w:sz w:val="20"/>
        </w:rPr>
        <w:t>should</w:t>
      </w:r>
      <w:r>
        <w:rPr>
          <w:rFonts w:ascii="Calibri"/>
          <w:color w:val="003366"/>
          <w:spacing w:val="-10"/>
          <w:sz w:val="20"/>
        </w:rPr>
        <w:t xml:space="preserve"> </w:t>
      </w:r>
      <w:r>
        <w:rPr>
          <w:rFonts w:ascii="Calibri"/>
          <w:color w:val="003366"/>
          <w:sz w:val="20"/>
        </w:rPr>
        <w:t>have</w:t>
      </w:r>
      <w:r>
        <w:rPr>
          <w:rFonts w:ascii="Calibri"/>
          <w:color w:val="003366"/>
          <w:spacing w:val="-12"/>
          <w:sz w:val="20"/>
        </w:rPr>
        <w:t xml:space="preserve"> </w:t>
      </w:r>
      <w:r>
        <w:rPr>
          <w:rFonts w:ascii="Calibri"/>
          <w:color w:val="003366"/>
          <w:sz w:val="20"/>
        </w:rPr>
        <w:t>been</w:t>
      </w:r>
      <w:r>
        <w:rPr>
          <w:rFonts w:ascii="Calibri"/>
          <w:color w:val="003366"/>
          <w:spacing w:val="-10"/>
          <w:sz w:val="20"/>
        </w:rPr>
        <w:t xml:space="preserve"> </w:t>
      </w:r>
      <w:r>
        <w:rPr>
          <w:rFonts w:ascii="Calibri"/>
          <w:color w:val="003366"/>
          <w:sz w:val="20"/>
        </w:rPr>
        <w:t>included</w:t>
      </w:r>
      <w:r>
        <w:rPr>
          <w:rFonts w:ascii="Calibri"/>
          <w:color w:val="003366"/>
          <w:spacing w:val="-10"/>
          <w:sz w:val="20"/>
        </w:rPr>
        <w:t xml:space="preserve"> </w:t>
      </w:r>
      <w:r>
        <w:rPr>
          <w:rFonts w:ascii="Calibri"/>
          <w:color w:val="003366"/>
          <w:sz w:val="20"/>
        </w:rPr>
        <w:t>in</w:t>
      </w:r>
      <w:r>
        <w:rPr>
          <w:rFonts w:ascii="Calibri"/>
          <w:color w:val="003366"/>
          <w:spacing w:val="-10"/>
          <w:sz w:val="20"/>
        </w:rPr>
        <w:t xml:space="preserve"> </w:t>
      </w:r>
      <w:r>
        <w:rPr>
          <w:rFonts w:ascii="Calibri"/>
          <w:color w:val="003366"/>
          <w:sz w:val="20"/>
        </w:rPr>
        <w:t>controlled</w:t>
      </w:r>
      <w:r>
        <w:rPr>
          <w:rFonts w:ascii="Calibri"/>
          <w:color w:val="003366"/>
          <w:spacing w:val="-10"/>
          <w:sz w:val="20"/>
        </w:rPr>
        <w:t xml:space="preserve"> </w:t>
      </w:r>
      <w:r>
        <w:rPr>
          <w:rFonts w:ascii="Calibri"/>
          <w:color w:val="003366"/>
          <w:sz w:val="20"/>
        </w:rPr>
        <w:t>recurrent payments. This transfer of funds was approved by the Treasurer and processed under Section 14 of the FMA.</w:t>
      </w:r>
    </w:p>
    <w:p w:rsidR="006C17CB" w:rsidRDefault="0030091C">
      <w:pPr>
        <w:spacing w:before="116" w:line="204" w:lineRule="auto"/>
        <w:ind w:left="829" w:right="1518"/>
        <w:jc w:val="both"/>
        <w:rPr>
          <w:rFonts w:ascii="Calibri"/>
          <w:sz w:val="20"/>
        </w:rPr>
      </w:pPr>
      <w:r>
        <w:rPr>
          <w:rFonts w:ascii="Calibri"/>
          <w:color w:val="003366"/>
          <w:sz w:val="20"/>
        </w:rPr>
        <w:t>The total appropriated for capital injections was $640,000 higher than the original budget due to the carryover of funding from 2016-17 of $250,000 in Better Infrastructure Funding for bathroom and kitchenette</w:t>
      </w:r>
      <w:r>
        <w:rPr>
          <w:rFonts w:ascii="Calibri"/>
          <w:color w:val="003366"/>
          <w:spacing w:val="-13"/>
          <w:sz w:val="20"/>
        </w:rPr>
        <w:t xml:space="preserve"> </w:t>
      </w:r>
      <w:r>
        <w:rPr>
          <w:rFonts w:ascii="Calibri"/>
          <w:color w:val="003366"/>
          <w:sz w:val="20"/>
        </w:rPr>
        <w:t>upgrades</w:t>
      </w:r>
      <w:r>
        <w:rPr>
          <w:rFonts w:ascii="Calibri"/>
          <w:color w:val="003366"/>
          <w:spacing w:val="-14"/>
          <w:sz w:val="20"/>
        </w:rPr>
        <w:t xml:space="preserve"> </w:t>
      </w:r>
      <w:r>
        <w:rPr>
          <w:rFonts w:ascii="Calibri"/>
          <w:color w:val="003366"/>
          <w:sz w:val="20"/>
        </w:rPr>
        <w:t>and</w:t>
      </w:r>
      <w:r>
        <w:rPr>
          <w:rFonts w:ascii="Calibri"/>
          <w:color w:val="003366"/>
          <w:spacing w:val="-12"/>
          <w:sz w:val="20"/>
        </w:rPr>
        <w:t xml:space="preserve"> </w:t>
      </w:r>
      <w:r>
        <w:rPr>
          <w:rFonts w:ascii="Calibri"/>
          <w:color w:val="003366"/>
          <w:sz w:val="20"/>
        </w:rPr>
        <w:t>the</w:t>
      </w:r>
      <w:r>
        <w:rPr>
          <w:rFonts w:ascii="Calibri"/>
          <w:color w:val="003366"/>
          <w:spacing w:val="-11"/>
          <w:sz w:val="20"/>
        </w:rPr>
        <w:t xml:space="preserve"> </w:t>
      </w:r>
      <w:r>
        <w:rPr>
          <w:rFonts w:ascii="Calibri"/>
          <w:color w:val="003366"/>
          <w:sz w:val="20"/>
        </w:rPr>
        <w:t>receipt</w:t>
      </w:r>
      <w:r>
        <w:rPr>
          <w:rFonts w:ascii="Calibri"/>
          <w:color w:val="003366"/>
          <w:spacing w:val="-12"/>
          <w:sz w:val="20"/>
        </w:rPr>
        <w:t xml:space="preserve"> </w:t>
      </w:r>
      <w:r>
        <w:rPr>
          <w:rFonts w:ascii="Calibri"/>
          <w:color w:val="003366"/>
          <w:sz w:val="20"/>
        </w:rPr>
        <w:t>of</w:t>
      </w:r>
      <w:r>
        <w:rPr>
          <w:rFonts w:ascii="Calibri"/>
          <w:color w:val="003366"/>
          <w:spacing w:val="-13"/>
          <w:sz w:val="20"/>
        </w:rPr>
        <w:t xml:space="preserve"> </w:t>
      </w:r>
      <w:r>
        <w:rPr>
          <w:rFonts w:ascii="Calibri"/>
          <w:color w:val="003366"/>
          <w:sz w:val="20"/>
        </w:rPr>
        <w:t>$390,000</w:t>
      </w:r>
      <w:r>
        <w:rPr>
          <w:rFonts w:ascii="Calibri"/>
          <w:color w:val="003366"/>
          <w:spacing w:val="-13"/>
          <w:sz w:val="20"/>
        </w:rPr>
        <w:t xml:space="preserve"> </w:t>
      </w:r>
      <w:r>
        <w:rPr>
          <w:rFonts w:ascii="Calibri"/>
          <w:color w:val="003366"/>
          <w:sz w:val="20"/>
        </w:rPr>
        <w:t>in</w:t>
      </w:r>
      <w:r>
        <w:rPr>
          <w:rFonts w:ascii="Calibri"/>
          <w:color w:val="003366"/>
          <w:spacing w:val="-12"/>
          <w:sz w:val="20"/>
        </w:rPr>
        <w:t xml:space="preserve"> </w:t>
      </w:r>
      <w:r>
        <w:rPr>
          <w:rFonts w:ascii="Calibri"/>
          <w:color w:val="003366"/>
          <w:sz w:val="20"/>
        </w:rPr>
        <w:t>the</w:t>
      </w:r>
      <w:r>
        <w:rPr>
          <w:rFonts w:ascii="Calibri"/>
          <w:color w:val="003366"/>
          <w:spacing w:val="-11"/>
          <w:sz w:val="20"/>
        </w:rPr>
        <w:t xml:space="preserve"> </w:t>
      </w:r>
      <w:r>
        <w:rPr>
          <w:rFonts w:ascii="Calibri"/>
          <w:color w:val="003366"/>
          <w:sz w:val="20"/>
        </w:rPr>
        <w:t>2</w:t>
      </w:r>
      <w:r>
        <w:rPr>
          <w:rFonts w:ascii="Calibri"/>
          <w:color w:val="003366"/>
          <w:sz w:val="20"/>
          <w:vertAlign w:val="superscript"/>
        </w:rPr>
        <w:t>nd</w:t>
      </w:r>
      <w:r>
        <w:rPr>
          <w:rFonts w:ascii="Calibri"/>
          <w:color w:val="003366"/>
          <w:spacing w:val="-23"/>
          <w:sz w:val="20"/>
        </w:rPr>
        <w:t xml:space="preserve"> </w:t>
      </w:r>
      <w:r>
        <w:rPr>
          <w:rFonts w:ascii="Calibri"/>
          <w:color w:val="003366"/>
          <w:sz w:val="20"/>
        </w:rPr>
        <w:t>Appropriation</w:t>
      </w:r>
      <w:r>
        <w:rPr>
          <w:rFonts w:ascii="Calibri"/>
          <w:color w:val="003366"/>
          <w:spacing w:val="-12"/>
          <w:sz w:val="20"/>
        </w:rPr>
        <w:t xml:space="preserve"> </w:t>
      </w:r>
      <w:r>
        <w:rPr>
          <w:rFonts w:ascii="Calibri"/>
          <w:color w:val="003366"/>
          <w:sz w:val="20"/>
        </w:rPr>
        <w:t>to</w:t>
      </w:r>
      <w:r>
        <w:rPr>
          <w:rFonts w:ascii="Calibri"/>
          <w:color w:val="003366"/>
          <w:spacing w:val="-12"/>
          <w:sz w:val="20"/>
        </w:rPr>
        <w:t xml:space="preserve"> </w:t>
      </w:r>
      <w:r>
        <w:rPr>
          <w:rFonts w:ascii="Calibri"/>
          <w:color w:val="003366"/>
          <w:sz w:val="20"/>
        </w:rPr>
        <w:t>commence</w:t>
      </w:r>
      <w:r>
        <w:rPr>
          <w:rFonts w:ascii="Calibri"/>
          <w:color w:val="003366"/>
          <w:spacing w:val="-13"/>
          <w:sz w:val="20"/>
        </w:rPr>
        <w:t xml:space="preserve"> </w:t>
      </w:r>
      <w:r>
        <w:rPr>
          <w:rFonts w:ascii="Calibri"/>
          <w:color w:val="003366"/>
          <w:sz w:val="20"/>
        </w:rPr>
        <w:t>the</w:t>
      </w:r>
      <w:r>
        <w:rPr>
          <w:rFonts w:ascii="Calibri"/>
          <w:color w:val="003366"/>
          <w:spacing w:val="-14"/>
          <w:sz w:val="20"/>
        </w:rPr>
        <w:t xml:space="preserve"> </w:t>
      </w:r>
      <w:r>
        <w:rPr>
          <w:rFonts w:ascii="Calibri"/>
          <w:color w:val="003366"/>
          <w:sz w:val="20"/>
        </w:rPr>
        <w:t>double</w:t>
      </w:r>
      <w:r>
        <w:rPr>
          <w:rFonts w:ascii="Calibri"/>
          <w:color w:val="003366"/>
          <w:spacing w:val="-13"/>
          <w:sz w:val="20"/>
        </w:rPr>
        <w:t xml:space="preserve"> </w:t>
      </w:r>
      <w:r>
        <w:rPr>
          <w:rFonts w:ascii="Calibri"/>
          <w:color w:val="003366"/>
          <w:sz w:val="20"/>
        </w:rPr>
        <w:t>glazing of the Assembly building. The carryover of the Better Infrastructure Funding was approved by the Treasurer under Section 16B of the</w:t>
      </w:r>
      <w:r>
        <w:rPr>
          <w:rFonts w:ascii="Calibri"/>
          <w:color w:val="003366"/>
          <w:spacing w:val="-1"/>
          <w:sz w:val="20"/>
        </w:rPr>
        <w:t xml:space="preserve"> </w:t>
      </w:r>
      <w:r>
        <w:rPr>
          <w:rFonts w:ascii="Calibri"/>
          <w:color w:val="003366"/>
          <w:sz w:val="20"/>
        </w:rPr>
        <w:t>FMA.</w:t>
      </w:r>
    </w:p>
    <w:p w:rsidR="006C17CB" w:rsidRDefault="0030091C">
      <w:pPr>
        <w:spacing w:before="117" w:line="204" w:lineRule="auto"/>
        <w:ind w:left="829" w:right="1518"/>
        <w:jc w:val="both"/>
        <w:rPr>
          <w:rFonts w:ascii="Calibri"/>
          <w:sz w:val="20"/>
        </w:rPr>
      </w:pPr>
      <w:r>
        <w:rPr>
          <w:rFonts w:ascii="Calibri"/>
          <w:color w:val="003366"/>
          <w:sz w:val="20"/>
        </w:rPr>
        <w:t>The appropriation drawn for Expenses on Behalf of the Territory was $676,000 less than the total appropriated due mainly to employee expenses not being as high as anticipated. This resulted from non-Executive members employing staff at lower classifications and less leave payouts than originally budgeted.</w:t>
      </w:r>
    </w:p>
    <w:p w:rsidR="006C17CB" w:rsidRDefault="006C17CB">
      <w:pPr>
        <w:spacing w:line="204" w:lineRule="auto"/>
        <w:jc w:val="both"/>
        <w:rPr>
          <w:rFonts w:ascii="Calibri"/>
          <w:sz w:val="20"/>
        </w:rPr>
        <w:sectPr w:rsidR="006C17CB">
          <w:pgSz w:w="11910" w:h="16840"/>
          <w:pgMar w:top="1480" w:right="0" w:bottom="740" w:left="980" w:header="1203" w:footer="551" w:gutter="0"/>
          <w:cols w:space="720"/>
        </w:sectPr>
      </w:pPr>
    </w:p>
    <w:p w:rsidR="006C17CB" w:rsidRDefault="0030091C">
      <w:pPr>
        <w:pStyle w:val="Heading5"/>
        <w:spacing w:line="201" w:lineRule="auto"/>
        <w:ind w:left="3222" w:right="2917" w:hanging="987"/>
      </w:pPr>
      <w:r>
        <w:rPr>
          <w:color w:val="003366"/>
        </w:rPr>
        <w:t>Territorial Note Index of the Financial Statements For the Year Ended 30 June 2018</w:t>
      </w:r>
    </w:p>
    <w:p w:rsidR="006C17CB" w:rsidRDefault="006C17CB">
      <w:pPr>
        <w:pStyle w:val="BodyText"/>
        <w:spacing w:before="8"/>
        <w:rPr>
          <w:rFonts w:ascii="Calibri"/>
          <w:b/>
          <w:sz w:val="18"/>
        </w:rPr>
      </w:pPr>
    </w:p>
    <w:p w:rsidR="006C17CB" w:rsidRDefault="0030091C">
      <w:pPr>
        <w:tabs>
          <w:tab w:val="left" w:pos="3344"/>
        </w:tabs>
        <w:ind w:left="961"/>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23</w:t>
      </w:r>
      <w:r>
        <w:rPr>
          <w:rFonts w:ascii="Calibri" w:hAnsi="Calibri"/>
          <w:color w:val="003366"/>
          <w:sz w:val="20"/>
        </w:rPr>
        <w:tab/>
        <w:t>Basis of Preparation of the Financial Statements –</w:t>
      </w:r>
      <w:r>
        <w:rPr>
          <w:rFonts w:ascii="Calibri" w:hAnsi="Calibri"/>
          <w:color w:val="003366"/>
          <w:spacing w:val="-7"/>
          <w:sz w:val="20"/>
        </w:rPr>
        <w:t xml:space="preserve"> </w:t>
      </w:r>
      <w:r>
        <w:rPr>
          <w:rFonts w:ascii="Calibri" w:hAnsi="Calibri"/>
          <w:color w:val="003366"/>
          <w:sz w:val="20"/>
        </w:rPr>
        <w:t>Territorial</w:t>
      </w:r>
    </w:p>
    <w:p w:rsidR="006C17CB" w:rsidRDefault="006C17CB">
      <w:pPr>
        <w:pStyle w:val="BodyText"/>
        <w:spacing w:before="6"/>
        <w:rPr>
          <w:rFonts w:ascii="Calibri"/>
          <w:sz w:val="19"/>
        </w:rPr>
      </w:pPr>
    </w:p>
    <w:p w:rsidR="006C17CB" w:rsidRDefault="0030091C">
      <w:pPr>
        <w:spacing w:line="286" w:lineRule="exact"/>
        <w:ind w:left="1993"/>
        <w:rPr>
          <w:rFonts w:ascii="Calibri"/>
          <w:b/>
          <w:sz w:val="20"/>
        </w:rPr>
      </w:pPr>
      <w:r>
        <w:rPr>
          <w:rFonts w:ascii="Calibri"/>
          <w:b/>
          <w:color w:val="003366"/>
          <w:sz w:val="20"/>
        </w:rPr>
        <w:t>Income Notes</w:t>
      </w:r>
    </w:p>
    <w:p w:rsidR="006C17CB" w:rsidRDefault="0030091C">
      <w:pPr>
        <w:tabs>
          <w:tab w:val="left" w:pos="3344"/>
        </w:tabs>
        <w:spacing w:line="284" w:lineRule="exact"/>
        <w:ind w:left="961"/>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24</w:t>
      </w:r>
      <w:r>
        <w:rPr>
          <w:rFonts w:ascii="Calibri" w:hAnsi="Calibri"/>
          <w:color w:val="003366"/>
          <w:sz w:val="20"/>
        </w:rPr>
        <w:tab/>
        <w:t>Payment for Expenses on Behalf of the Territory –</w:t>
      </w:r>
      <w:r>
        <w:rPr>
          <w:rFonts w:ascii="Calibri" w:hAnsi="Calibri"/>
          <w:color w:val="003366"/>
          <w:spacing w:val="-6"/>
          <w:sz w:val="20"/>
        </w:rPr>
        <w:t xml:space="preserve"> </w:t>
      </w:r>
      <w:r>
        <w:rPr>
          <w:rFonts w:ascii="Calibri" w:hAnsi="Calibri"/>
          <w:color w:val="003366"/>
          <w:sz w:val="20"/>
        </w:rPr>
        <w:t>Territorial</w:t>
      </w:r>
    </w:p>
    <w:p w:rsidR="006C17CB" w:rsidRDefault="0030091C">
      <w:pPr>
        <w:tabs>
          <w:tab w:val="left" w:pos="3344"/>
        </w:tabs>
        <w:spacing w:line="287" w:lineRule="exact"/>
        <w:ind w:left="961"/>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25</w:t>
      </w:r>
      <w:r>
        <w:rPr>
          <w:rFonts w:ascii="Calibri" w:hAnsi="Calibri"/>
          <w:color w:val="003366"/>
          <w:sz w:val="20"/>
        </w:rPr>
        <w:tab/>
        <w:t>Resources Received Free of Charge –</w:t>
      </w:r>
      <w:r>
        <w:rPr>
          <w:rFonts w:ascii="Calibri" w:hAnsi="Calibri"/>
          <w:color w:val="003366"/>
          <w:spacing w:val="-7"/>
          <w:sz w:val="20"/>
        </w:rPr>
        <w:t xml:space="preserve"> </w:t>
      </w:r>
      <w:r>
        <w:rPr>
          <w:rFonts w:ascii="Calibri" w:hAnsi="Calibri"/>
          <w:color w:val="003366"/>
          <w:sz w:val="20"/>
        </w:rPr>
        <w:t>Territorial</w:t>
      </w:r>
    </w:p>
    <w:p w:rsidR="006C17CB" w:rsidRDefault="006C17CB">
      <w:pPr>
        <w:pStyle w:val="BodyText"/>
        <w:spacing w:before="7"/>
        <w:rPr>
          <w:rFonts w:ascii="Calibri"/>
          <w:sz w:val="19"/>
        </w:rPr>
      </w:pPr>
    </w:p>
    <w:p w:rsidR="006C17CB" w:rsidRDefault="0030091C">
      <w:pPr>
        <w:spacing w:line="286" w:lineRule="exact"/>
        <w:ind w:left="1993"/>
        <w:rPr>
          <w:rFonts w:ascii="Calibri"/>
          <w:b/>
          <w:sz w:val="20"/>
        </w:rPr>
      </w:pPr>
      <w:r>
        <w:rPr>
          <w:rFonts w:ascii="Calibri"/>
          <w:b/>
          <w:color w:val="003366"/>
          <w:sz w:val="20"/>
        </w:rPr>
        <w:t>Expenses Notes</w:t>
      </w:r>
    </w:p>
    <w:p w:rsidR="006C17CB" w:rsidRDefault="0030091C">
      <w:pPr>
        <w:tabs>
          <w:tab w:val="left" w:pos="3344"/>
        </w:tabs>
        <w:spacing w:line="283" w:lineRule="exact"/>
        <w:ind w:left="961"/>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26</w:t>
      </w:r>
      <w:r>
        <w:rPr>
          <w:rFonts w:ascii="Calibri" w:hAnsi="Calibri"/>
          <w:color w:val="003366"/>
          <w:sz w:val="20"/>
        </w:rPr>
        <w:tab/>
        <w:t>Employee Expenses –</w:t>
      </w:r>
      <w:r>
        <w:rPr>
          <w:rFonts w:ascii="Calibri" w:hAnsi="Calibri"/>
          <w:color w:val="003366"/>
          <w:spacing w:val="-3"/>
          <w:sz w:val="20"/>
        </w:rPr>
        <w:t xml:space="preserve"> </w:t>
      </w:r>
      <w:r>
        <w:rPr>
          <w:rFonts w:ascii="Calibri" w:hAnsi="Calibri"/>
          <w:color w:val="003366"/>
          <w:sz w:val="20"/>
        </w:rPr>
        <w:t>Territorial</w:t>
      </w:r>
    </w:p>
    <w:p w:rsidR="006C17CB" w:rsidRDefault="0030091C">
      <w:pPr>
        <w:tabs>
          <w:tab w:val="left" w:pos="3344"/>
        </w:tabs>
        <w:spacing w:line="284" w:lineRule="exact"/>
        <w:ind w:left="961"/>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27</w:t>
      </w:r>
      <w:r>
        <w:rPr>
          <w:rFonts w:ascii="Calibri" w:hAnsi="Calibri"/>
          <w:color w:val="003366"/>
          <w:sz w:val="20"/>
        </w:rPr>
        <w:tab/>
        <w:t>Superannuation Expenses –</w:t>
      </w:r>
      <w:r>
        <w:rPr>
          <w:rFonts w:ascii="Calibri" w:hAnsi="Calibri"/>
          <w:color w:val="003366"/>
          <w:spacing w:val="-1"/>
          <w:sz w:val="20"/>
        </w:rPr>
        <w:t xml:space="preserve"> </w:t>
      </w:r>
      <w:r>
        <w:rPr>
          <w:rFonts w:ascii="Calibri" w:hAnsi="Calibri"/>
          <w:color w:val="003366"/>
          <w:sz w:val="20"/>
        </w:rPr>
        <w:t>Territorial</w:t>
      </w:r>
    </w:p>
    <w:p w:rsidR="006C17CB" w:rsidRDefault="0030091C">
      <w:pPr>
        <w:tabs>
          <w:tab w:val="left" w:pos="3344"/>
        </w:tabs>
        <w:spacing w:line="287" w:lineRule="exact"/>
        <w:ind w:left="961"/>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28</w:t>
      </w:r>
      <w:r>
        <w:rPr>
          <w:rFonts w:ascii="Calibri" w:hAnsi="Calibri"/>
          <w:color w:val="003366"/>
          <w:sz w:val="20"/>
        </w:rPr>
        <w:tab/>
        <w:t>Supplies and Services –</w:t>
      </w:r>
      <w:r>
        <w:rPr>
          <w:rFonts w:ascii="Calibri" w:hAnsi="Calibri"/>
          <w:color w:val="003366"/>
          <w:spacing w:val="-1"/>
          <w:sz w:val="20"/>
        </w:rPr>
        <w:t xml:space="preserve"> </w:t>
      </w:r>
      <w:r>
        <w:rPr>
          <w:rFonts w:ascii="Calibri" w:hAnsi="Calibri"/>
          <w:color w:val="003366"/>
          <w:sz w:val="20"/>
        </w:rPr>
        <w:t>Territorial</w:t>
      </w:r>
    </w:p>
    <w:p w:rsidR="006C17CB" w:rsidRDefault="006C17CB">
      <w:pPr>
        <w:pStyle w:val="BodyText"/>
        <w:spacing w:before="7"/>
        <w:rPr>
          <w:rFonts w:ascii="Calibri"/>
          <w:sz w:val="19"/>
        </w:rPr>
      </w:pPr>
    </w:p>
    <w:p w:rsidR="006C17CB" w:rsidRDefault="0030091C">
      <w:pPr>
        <w:spacing w:line="286" w:lineRule="exact"/>
        <w:ind w:left="1993"/>
        <w:rPr>
          <w:rFonts w:ascii="Calibri"/>
          <w:b/>
          <w:sz w:val="20"/>
        </w:rPr>
      </w:pPr>
      <w:r>
        <w:rPr>
          <w:rFonts w:ascii="Calibri"/>
          <w:b/>
          <w:color w:val="003366"/>
          <w:sz w:val="20"/>
        </w:rPr>
        <w:t>Assets Notes</w:t>
      </w:r>
    </w:p>
    <w:p w:rsidR="006C17CB" w:rsidRDefault="0030091C">
      <w:pPr>
        <w:tabs>
          <w:tab w:val="left" w:pos="3344"/>
        </w:tabs>
        <w:spacing w:line="283" w:lineRule="exact"/>
        <w:ind w:left="961"/>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29</w:t>
      </w:r>
      <w:r>
        <w:rPr>
          <w:rFonts w:ascii="Calibri" w:hAnsi="Calibri"/>
          <w:color w:val="003366"/>
          <w:sz w:val="20"/>
        </w:rPr>
        <w:tab/>
        <w:t>Cash and Cash Equivalents –</w:t>
      </w:r>
      <w:r>
        <w:rPr>
          <w:rFonts w:ascii="Calibri" w:hAnsi="Calibri"/>
          <w:color w:val="003366"/>
          <w:spacing w:val="1"/>
          <w:sz w:val="20"/>
        </w:rPr>
        <w:t xml:space="preserve"> </w:t>
      </w:r>
      <w:r>
        <w:rPr>
          <w:rFonts w:ascii="Calibri" w:hAnsi="Calibri"/>
          <w:color w:val="003366"/>
          <w:sz w:val="20"/>
        </w:rPr>
        <w:t>Territorial</w:t>
      </w:r>
    </w:p>
    <w:p w:rsidR="006C17CB" w:rsidRDefault="0030091C">
      <w:pPr>
        <w:tabs>
          <w:tab w:val="left" w:pos="3344"/>
        </w:tabs>
        <w:spacing w:line="286" w:lineRule="exact"/>
        <w:ind w:left="961"/>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30</w:t>
      </w:r>
      <w:r>
        <w:rPr>
          <w:rFonts w:ascii="Calibri" w:hAnsi="Calibri"/>
          <w:color w:val="003366"/>
          <w:sz w:val="20"/>
        </w:rPr>
        <w:tab/>
        <w:t>Property, Plant and Equipment –</w:t>
      </w:r>
      <w:r>
        <w:rPr>
          <w:rFonts w:ascii="Calibri" w:hAnsi="Calibri"/>
          <w:color w:val="003366"/>
          <w:spacing w:val="-2"/>
          <w:sz w:val="20"/>
        </w:rPr>
        <w:t xml:space="preserve"> </w:t>
      </w:r>
      <w:r>
        <w:rPr>
          <w:rFonts w:ascii="Calibri" w:hAnsi="Calibri"/>
          <w:color w:val="003366"/>
          <w:sz w:val="20"/>
        </w:rPr>
        <w:t>Territorial</w:t>
      </w:r>
    </w:p>
    <w:p w:rsidR="006C17CB" w:rsidRDefault="006C17CB">
      <w:pPr>
        <w:pStyle w:val="BodyText"/>
        <w:spacing w:before="6"/>
        <w:rPr>
          <w:rFonts w:ascii="Calibri"/>
          <w:sz w:val="19"/>
        </w:rPr>
      </w:pPr>
    </w:p>
    <w:p w:rsidR="006C17CB" w:rsidRDefault="0030091C">
      <w:pPr>
        <w:spacing w:line="287" w:lineRule="exact"/>
        <w:ind w:left="1993"/>
        <w:rPr>
          <w:rFonts w:ascii="Calibri"/>
          <w:b/>
          <w:sz w:val="20"/>
        </w:rPr>
      </w:pPr>
      <w:r>
        <w:rPr>
          <w:rFonts w:ascii="Calibri"/>
          <w:b/>
          <w:color w:val="003366"/>
          <w:sz w:val="20"/>
        </w:rPr>
        <w:t>Liabilities Notes</w:t>
      </w:r>
    </w:p>
    <w:p w:rsidR="006C17CB" w:rsidRDefault="0030091C">
      <w:pPr>
        <w:tabs>
          <w:tab w:val="left" w:pos="3344"/>
        </w:tabs>
        <w:spacing w:line="284" w:lineRule="exact"/>
        <w:ind w:left="961"/>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31</w:t>
      </w:r>
      <w:r>
        <w:rPr>
          <w:rFonts w:ascii="Calibri" w:hAnsi="Calibri"/>
          <w:color w:val="003366"/>
          <w:sz w:val="20"/>
        </w:rPr>
        <w:tab/>
        <w:t>Payables –</w:t>
      </w:r>
      <w:r>
        <w:rPr>
          <w:rFonts w:ascii="Calibri" w:hAnsi="Calibri"/>
          <w:color w:val="003366"/>
          <w:spacing w:val="-3"/>
          <w:sz w:val="20"/>
        </w:rPr>
        <w:t xml:space="preserve"> </w:t>
      </w:r>
      <w:r>
        <w:rPr>
          <w:rFonts w:ascii="Calibri" w:hAnsi="Calibri"/>
          <w:color w:val="003366"/>
          <w:sz w:val="20"/>
        </w:rPr>
        <w:t>Territorial</w:t>
      </w:r>
    </w:p>
    <w:p w:rsidR="006C17CB" w:rsidRDefault="0030091C">
      <w:pPr>
        <w:tabs>
          <w:tab w:val="left" w:pos="3344"/>
        </w:tabs>
        <w:spacing w:line="286" w:lineRule="exact"/>
        <w:ind w:left="961"/>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32</w:t>
      </w:r>
      <w:r>
        <w:rPr>
          <w:rFonts w:ascii="Calibri" w:hAnsi="Calibri"/>
          <w:color w:val="003366"/>
          <w:sz w:val="20"/>
        </w:rPr>
        <w:tab/>
        <w:t>Employee Benefits –</w:t>
      </w:r>
      <w:r>
        <w:rPr>
          <w:rFonts w:ascii="Calibri" w:hAnsi="Calibri"/>
          <w:color w:val="003366"/>
          <w:spacing w:val="-3"/>
          <w:sz w:val="20"/>
        </w:rPr>
        <w:t xml:space="preserve"> </w:t>
      </w:r>
      <w:r>
        <w:rPr>
          <w:rFonts w:ascii="Calibri" w:hAnsi="Calibri"/>
          <w:color w:val="003366"/>
          <w:sz w:val="20"/>
        </w:rPr>
        <w:t>Territorial</w:t>
      </w:r>
    </w:p>
    <w:p w:rsidR="006C17CB" w:rsidRDefault="006C17CB">
      <w:pPr>
        <w:pStyle w:val="BodyText"/>
        <w:spacing w:before="7"/>
        <w:rPr>
          <w:rFonts w:ascii="Calibri"/>
          <w:sz w:val="19"/>
        </w:rPr>
      </w:pPr>
    </w:p>
    <w:p w:rsidR="006C17CB" w:rsidRDefault="0030091C">
      <w:pPr>
        <w:spacing w:line="286" w:lineRule="exact"/>
        <w:ind w:left="1993"/>
        <w:rPr>
          <w:rFonts w:ascii="Calibri"/>
          <w:b/>
          <w:sz w:val="20"/>
        </w:rPr>
      </w:pPr>
      <w:r>
        <w:rPr>
          <w:rFonts w:ascii="Calibri"/>
          <w:b/>
          <w:color w:val="003366"/>
          <w:sz w:val="20"/>
        </w:rPr>
        <w:t>Other Notes</w:t>
      </w:r>
    </w:p>
    <w:p w:rsidR="006C17CB" w:rsidRDefault="0030091C">
      <w:pPr>
        <w:tabs>
          <w:tab w:val="left" w:pos="3344"/>
        </w:tabs>
        <w:spacing w:line="283" w:lineRule="exact"/>
        <w:ind w:left="961"/>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33</w:t>
      </w:r>
      <w:r>
        <w:rPr>
          <w:rFonts w:ascii="Calibri" w:hAnsi="Calibri"/>
          <w:color w:val="003366"/>
          <w:sz w:val="20"/>
        </w:rPr>
        <w:tab/>
        <w:t>Cash Flow Reconciliation –</w:t>
      </w:r>
      <w:r>
        <w:rPr>
          <w:rFonts w:ascii="Calibri" w:hAnsi="Calibri"/>
          <w:color w:val="003366"/>
          <w:spacing w:val="-2"/>
          <w:sz w:val="20"/>
        </w:rPr>
        <w:t xml:space="preserve"> </w:t>
      </w:r>
      <w:r>
        <w:rPr>
          <w:rFonts w:ascii="Calibri" w:hAnsi="Calibri"/>
          <w:color w:val="003366"/>
          <w:sz w:val="20"/>
        </w:rPr>
        <w:t>Territorial</w:t>
      </w:r>
    </w:p>
    <w:p w:rsidR="006C17CB" w:rsidRDefault="0030091C">
      <w:pPr>
        <w:tabs>
          <w:tab w:val="left" w:pos="3344"/>
        </w:tabs>
        <w:spacing w:line="284" w:lineRule="exact"/>
        <w:ind w:left="961"/>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34</w:t>
      </w:r>
      <w:r>
        <w:rPr>
          <w:rFonts w:ascii="Calibri" w:hAnsi="Calibri"/>
          <w:color w:val="003366"/>
          <w:sz w:val="20"/>
        </w:rPr>
        <w:tab/>
        <w:t>Financial Instruments –</w:t>
      </w:r>
      <w:r>
        <w:rPr>
          <w:rFonts w:ascii="Calibri" w:hAnsi="Calibri"/>
          <w:color w:val="003366"/>
          <w:spacing w:val="-3"/>
          <w:sz w:val="20"/>
        </w:rPr>
        <w:t xml:space="preserve"> </w:t>
      </w:r>
      <w:r>
        <w:rPr>
          <w:rFonts w:ascii="Calibri" w:hAnsi="Calibri"/>
          <w:color w:val="003366"/>
          <w:sz w:val="20"/>
        </w:rPr>
        <w:t>Territorial</w:t>
      </w:r>
    </w:p>
    <w:p w:rsidR="006C17CB" w:rsidRDefault="0030091C">
      <w:pPr>
        <w:tabs>
          <w:tab w:val="left" w:pos="3344"/>
        </w:tabs>
        <w:spacing w:line="287" w:lineRule="exact"/>
        <w:ind w:left="961"/>
        <w:rPr>
          <w:rFonts w:ascii="Calibri" w:hAnsi="Calibri"/>
          <w:sz w:val="20"/>
        </w:rPr>
      </w:pPr>
      <w:r>
        <w:rPr>
          <w:rFonts w:ascii="Calibri" w:hAnsi="Calibri"/>
          <w:color w:val="003366"/>
          <w:sz w:val="20"/>
        </w:rPr>
        <w:t>Note</w:t>
      </w:r>
      <w:r>
        <w:rPr>
          <w:rFonts w:ascii="Calibri" w:hAnsi="Calibri"/>
          <w:color w:val="003366"/>
          <w:spacing w:val="-2"/>
          <w:sz w:val="20"/>
        </w:rPr>
        <w:t xml:space="preserve"> </w:t>
      </w:r>
      <w:r>
        <w:rPr>
          <w:rFonts w:ascii="Calibri" w:hAnsi="Calibri"/>
          <w:color w:val="003366"/>
          <w:sz w:val="20"/>
        </w:rPr>
        <w:t>35</w:t>
      </w:r>
      <w:r>
        <w:rPr>
          <w:rFonts w:ascii="Calibri" w:hAnsi="Calibri"/>
          <w:color w:val="003366"/>
          <w:sz w:val="20"/>
        </w:rPr>
        <w:tab/>
        <w:t>Budgetary Reporting –</w:t>
      </w:r>
      <w:r>
        <w:rPr>
          <w:rFonts w:ascii="Calibri" w:hAnsi="Calibri"/>
          <w:color w:val="003366"/>
          <w:spacing w:val="-1"/>
          <w:sz w:val="20"/>
        </w:rPr>
        <w:t xml:space="preserve"> </w:t>
      </w:r>
      <w:r>
        <w:rPr>
          <w:rFonts w:ascii="Calibri" w:hAnsi="Calibri"/>
          <w:color w:val="003366"/>
          <w:sz w:val="20"/>
        </w:rPr>
        <w:t>Territorial</w:t>
      </w:r>
    </w:p>
    <w:p w:rsidR="006C17CB" w:rsidRDefault="006C17CB">
      <w:pPr>
        <w:spacing w:line="287" w:lineRule="exact"/>
        <w:rPr>
          <w:rFonts w:ascii="Calibri" w:hAnsi="Calibri"/>
          <w:sz w:val="20"/>
        </w:rPr>
        <w:sectPr w:rsidR="006C17CB">
          <w:pgSz w:w="11910" w:h="16840"/>
          <w:pgMar w:top="1460" w:right="0" w:bottom="720" w:left="980" w:header="1174" w:footer="523" w:gutter="0"/>
          <w:cols w:space="720"/>
        </w:sectPr>
      </w:pPr>
    </w:p>
    <w:p w:rsidR="006C17CB" w:rsidRDefault="006C17CB">
      <w:pPr>
        <w:pStyle w:val="BodyText"/>
        <w:spacing w:before="8"/>
        <w:rPr>
          <w:rFonts w:ascii="Calibri"/>
          <w:sz w:val="25"/>
        </w:rPr>
      </w:pPr>
    </w:p>
    <w:p w:rsidR="006C17CB" w:rsidRDefault="0030091C">
      <w:pPr>
        <w:pStyle w:val="Heading6"/>
        <w:tabs>
          <w:tab w:val="left" w:pos="1916"/>
        </w:tabs>
        <w:spacing w:line="345" w:lineRule="exact"/>
        <w:ind w:left="784"/>
      </w:pPr>
      <w:r>
        <w:rPr>
          <w:color w:val="003366"/>
        </w:rPr>
        <w:t>NOTE</w:t>
      </w:r>
      <w:r>
        <w:rPr>
          <w:color w:val="003366"/>
          <w:spacing w:val="-1"/>
        </w:rPr>
        <w:t xml:space="preserve"> </w:t>
      </w:r>
      <w:r>
        <w:rPr>
          <w:color w:val="003366"/>
        </w:rPr>
        <w:t>23.</w:t>
      </w:r>
      <w:r>
        <w:rPr>
          <w:color w:val="003366"/>
        </w:rPr>
        <w:tab/>
        <w:t>BASIS OF PREPARATION OF THE FINANCIAL STATEMENTS –</w:t>
      </w:r>
      <w:r>
        <w:rPr>
          <w:color w:val="003366"/>
          <w:spacing w:val="-7"/>
        </w:rPr>
        <w:t xml:space="preserve"> </w:t>
      </w:r>
      <w:r>
        <w:rPr>
          <w:color w:val="003366"/>
        </w:rPr>
        <w:t>TERRITORIAL</w:t>
      </w:r>
    </w:p>
    <w:p w:rsidR="006C17CB" w:rsidRDefault="006C17CB">
      <w:pPr>
        <w:pStyle w:val="BodyText"/>
        <w:spacing w:before="2"/>
        <w:rPr>
          <w:rFonts w:ascii="Calibri"/>
          <w:b/>
          <w:sz w:val="16"/>
        </w:rPr>
      </w:pPr>
    </w:p>
    <w:p w:rsidR="006C17CB" w:rsidRDefault="0030091C">
      <w:pPr>
        <w:spacing w:line="204" w:lineRule="auto"/>
        <w:ind w:left="783" w:right="1476"/>
        <w:jc w:val="both"/>
        <w:rPr>
          <w:rFonts w:ascii="Calibri"/>
          <w:sz w:val="20"/>
        </w:rPr>
      </w:pPr>
      <w:r>
        <w:rPr>
          <w:rFonts w:ascii="Calibri"/>
          <w:color w:val="003366"/>
          <w:sz w:val="20"/>
        </w:rPr>
        <w:t xml:space="preserve">The basis of preparation of the financial statements is contained in Note 2 </w:t>
      </w:r>
      <w:r>
        <w:rPr>
          <w:rFonts w:ascii="Calibri"/>
          <w:i/>
          <w:color w:val="003366"/>
          <w:sz w:val="20"/>
        </w:rPr>
        <w:t>Basis of Preparation of the Financial</w:t>
      </w:r>
      <w:r>
        <w:rPr>
          <w:rFonts w:ascii="Calibri"/>
          <w:i/>
          <w:color w:val="003366"/>
          <w:spacing w:val="-12"/>
          <w:sz w:val="20"/>
        </w:rPr>
        <w:t xml:space="preserve"> </w:t>
      </w:r>
      <w:r>
        <w:rPr>
          <w:rFonts w:ascii="Calibri"/>
          <w:i/>
          <w:color w:val="003366"/>
          <w:sz w:val="20"/>
        </w:rPr>
        <w:t>Statements</w:t>
      </w:r>
      <w:r>
        <w:rPr>
          <w:rFonts w:ascii="Calibri"/>
          <w:i/>
          <w:color w:val="003366"/>
          <w:spacing w:val="-13"/>
          <w:sz w:val="20"/>
        </w:rPr>
        <w:t xml:space="preserve"> </w:t>
      </w:r>
      <w:r>
        <w:rPr>
          <w:rFonts w:ascii="Calibri"/>
          <w:color w:val="003366"/>
          <w:sz w:val="20"/>
        </w:rPr>
        <w:t>and</w:t>
      </w:r>
      <w:r>
        <w:rPr>
          <w:rFonts w:ascii="Calibri"/>
          <w:color w:val="003366"/>
          <w:spacing w:val="-11"/>
          <w:sz w:val="20"/>
        </w:rPr>
        <w:t xml:space="preserve"> </w:t>
      </w:r>
      <w:r>
        <w:rPr>
          <w:rFonts w:ascii="Calibri"/>
          <w:color w:val="003366"/>
          <w:sz w:val="20"/>
        </w:rPr>
        <w:t>applies</w:t>
      </w:r>
      <w:r>
        <w:rPr>
          <w:rFonts w:ascii="Calibri"/>
          <w:color w:val="003366"/>
          <w:spacing w:val="-13"/>
          <w:sz w:val="20"/>
        </w:rPr>
        <w:t xml:space="preserve"> </w:t>
      </w:r>
      <w:r>
        <w:rPr>
          <w:rFonts w:ascii="Calibri"/>
          <w:color w:val="003366"/>
          <w:sz w:val="20"/>
        </w:rPr>
        <w:t>to</w:t>
      </w:r>
      <w:r>
        <w:rPr>
          <w:rFonts w:ascii="Calibri"/>
          <w:color w:val="003366"/>
          <w:spacing w:val="-12"/>
          <w:sz w:val="20"/>
        </w:rPr>
        <w:t xml:space="preserve"> </w:t>
      </w:r>
      <w:r>
        <w:rPr>
          <w:rFonts w:ascii="Calibri"/>
          <w:color w:val="003366"/>
          <w:sz w:val="20"/>
        </w:rPr>
        <w:t>both</w:t>
      </w:r>
      <w:r>
        <w:rPr>
          <w:rFonts w:ascii="Calibri"/>
          <w:color w:val="003366"/>
          <w:spacing w:val="-11"/>
          <w:sz w:val="20"/>
        </w:rPr>
        <w:t xml:space="preserve"> </w:t>
      </w:r>
      <w:r>
        <w:rPr>
          <w:rFonts w:ascii="Calibri"/>
          <w:color w:val="003366"/>
          <w:sz w:val="20"/>
        </w:rPr>
        <w:t>the</w:t>
      </w:r>
      <w:r>
        <w:rPr>
          <w:rFonts w:ascii="Calibri"/>
          <w:color w:val="003366"/>
          <w:spacing w:val="-13"/>
          <w:sz w:val="20"/>
        </w:rPr>
        <w:t xml:space="preserve"> </w:t>
      </w:r>
      <w:r>
        <w:rPr>
          <w:rFonts w:ascii="Calibri"/>
          <w:color w:val="003366"/>
          <w:sz w:val="20"/>
        </w:rPr>
        <w:t>Controlled</w:t>
      </w:r>
      <w:r>
        <w:rPr>
          <w:rFonts w:ascii="Calibri"/>
          <w:color w:val="003366"/>
          <w:spacing w:val="-11"/>
          <w:sz w:val="20"/>
        </w:rPr>
        <w:t xml:space="preserve"> </w:t>
      </w:r>
      <w:r>
        <w:rPr>
          <w:rFonts w:ascii="Calibri"/>
          <w:color w:val="003366"/>
          <w:sz w:val="20"/>
        </w:rPr>
        <w:t>and</w:t>
      </w:r>
      <w:r>
        <w:rPr>
          <w:rFonts w:ascii="Calibri"/>
          <w:color w:val="003366"/>
          <w:spacing w:val="-14"/>
          <w:sz w:val="20"/>
        </w:rPr>
        <w:t xml:space="preserve"> </w:t>
      </w:r>
      <w:r>
        <w:rPr>
          <w:rFonts w:ascii="Calibri"/>
          <w:color w:val="003366"/>
          <w:sz w:val="20"/>
        </w:rPr>
        <w:t>Territorial</w:t>
      </w:r>
      <w:r>
        <w:rPr>
          <w:rFonts w:ascii="Calibri"/>
          <w:color w:val="003366"/>
          <w:spacing w:val="-12"/>
          <w:sz w:val="20"/>
        </w:rPr>
        <w:t xml:space="preserve"> </w:t>
      </w:r>
      <w:r>
        <w:rPr>
          <w:rFonts w:ascii="Calibri"/>
          <w:color w:val="003366"/>
          <w:sz w:val="20"/>
        </w:rPr>
        <w:t>financial</w:t>
      </w:r>
      <w:r>
        <w:rPr>
          <w:rFonts w:ascii="Calibri"/>
          <w:color w:val="003366"/>
          <w:spacing w:val="-10"/>
          <w:sz w:val="20"/>
        </w:rPr>
        <w:t xml:space="preserve"> </w:t>
      </w:r>
      <w:r>
        <w:rPr>
          <w:rFonts w:ascii="Calibri"/>
          <w:color w:val="003366"/>
          <w:sz w:val="20"/>
        </w:rPr>
        <w:t>statements.</w:t>
      </w:r>
      <w:r>
        <w:rPr>
          <w:rFonts w:ascii="Calibri"/>
          <w:color w:val="003366"/>
          <w:spacing w:val="-12"/>
          <w:sz w:val="20"/>
        </w:rPr>
        <w:t xml:space="preserve"> </w:t>
      </w:r>
      <w:r>
        <w:rPr>
          <w:rFonts w:ascii="Calibri"/>
          <w:color w:val="003366"/>
          <w:sz w:val="20"/>
        </w:rPr>
        <w:t>The</w:t>
      </w:r>
      <w:r>
        <w:rPr>
          <w:rFonts w:ascii="Calibri"/>
          <w:color w:val="003366"/>
          <w:spacing w:val="-13"/>
          <w:sz w:val="20"/>
        </w:rPr>
        <w:t xml:space="preserve"> </w:t>
      </w:r>
      <w:r>
        <w:rPr>
          <w:rFonts w:ascii="Calibri"/>
          <w:color w:val="003366"/>
          <w:sz w:val="20"/>
        </w:rPr>
        <w:t>accounting policies</w:t>
      </w:r>
      <w:r>
        <w:rPr>
          <w:rFonts w:ascii="Calibri"/>
          <w:color w:val="003366"/>
          <w:spacing w:val="-7"/>
          <w:sz w:val="20"/>
        </w:rPr>
        <w:t xml:space="preserve"> </w:t>
      </w:r>
      <w:r>
        <w:rPr>
          <w:rFonts w:ascii="Calibri"/>
          <w:color w:val="003366"/>
          <w:sz w:val="20"/>
        </w:rPr>
        <w:t>outlined</w:t>
      </w:r>
      <w:r>
        <w:rPr>
          <w:rFonts w:ascii="Calibri"/>
          <w:color w:val="003366"/>
          <w:spacing w:val="-5"/>
          <w:sz w:val="20"/>
        </w:rPr>
        <w:t xml:space="preserve"> </w:t>
      </w:r>
      <w:r>
        <w:rPr>
          <w:rFonts w:ascii="Calibri"/>
          <w:color w:val="003366"/>
          <w:sz w:val="20"/>
        </w:rPr>
        <w:t>from</w:t>
      </w:r>
      <w:r>
        <w:rPr>
          <w:rFonts w:ascii="Calibri"/>
          <w:color w:val="003366"/>
          <w:spacing w:val="-7"/>
          <w:sz w:val="20"/>
        </w:rPr>
        <w:t xml:space="preserve"> </w:t>
      </w:r>
      <w:r>
        <w:rPr>
          <w:rFonts w:ascii="Calibri"/>
          <w:color w:val="003366"/>
          <w:sz w:val="20"/>
        </w:rPr>
        <w:t>Note</w:t>
      </w:r>
      <w:r>
        <w:rPr>
          <w:rFonts w:ascii="Calibri"/>
          <w:color w:val="003366"/>
          <w:spacing w:val="-7"/>
          <w:sz w:val="20"/>
        </w:rPr>
        <w:t xml:space="preserve"> </w:t>
      </w:r>
      <w:r>
        <w:rPr>
          <w:rFonts w:ascii="Calibri"/>
          <w:color w:val="003366"/>
          <w:sz w:val="20"/>
        </w:rPr>
        <w:t>3</w:t>
      </w:r>
      <w:r>
        <w:rPr>
          <w:rFonts w:ascii="Calibri"/>
          <w:color w:val="003366"/>
          <w:spacing w:val="-5"/>
          <w:sz w:val="20"/>
        </w:rPr>
        <w:t xml:space="preserve"> </w:t>
      </w:r>
      <w:r>
        <w:rPr>
          <w:rFonts w:ascii="Calibri"/>
          <w:i/>
          <w:color w:val="003366"/>
          <w:sz w:val="20"/>
        </w:rPr>
        <w:t>Controlled</w:t>
      </w:r>
      <w:r>
        <w:rPr>
          <w:rFonts w:ascii="Calibri"/>
          <w:i/>
          <w:color w:val="003366"/>
          <w:spacing w:val="-6"/>
          <w:sz w:val="20"/>
        </w:rPr>
        <w:t xml:space="preserve"> </w:t>
      </w:r>
      <w:r>
        <w:rPr>
          <w:rFonts w:ascii="Calibri"/>
          <w:i/>
          <w:color w:val="003366"/>
          <w:sz w:val="20"/>
        </w:rPr>
        <w:t>Recurrent</w:t>
      </w:r>
      <w:r>
        <w:rPr>
          <w:rFonts w:ascii="Calibri"/>
          <w:i/>
          <w:color w:val="003366"/>
          <w:spacing w:val="-6"/>
          <w:sz w:val="20"/>
        </w:rPr>
        <w:t xml:space="preserve"> </w:t>
      </w:r>
      <w:r>
        <w:rPr>
          <w:rFonts w:ascii="Calibri"/>
          <w:i/>
          <w:color w:val="003366"/>
          <w:sz w:val="20"/>
        </w:rPr>
        <w:t>Payments</w:t>
      </w:r>
      <w:r>
        <w:rPr>
          <w:rFonts w:ascii="Calibri"/>
          <w:i/>
          <w:color w:val="003366"/>
          <w:spacing w:val="-8"/>
          <w:sz w:val="20"/>
        </w:rPr>
        <w:t xml:space="preserve"> </w:t>
      </w:r>
      <w:r>
        <w:rPr>
          <w:rFonts w:ascii="Calibri"/>
          <w:color w:val="003366"/>
          <w:sz w:val="20"/>
        </w:rPr>
        <w:t>to</w:t>
      </w:r>
      <w:r>
        <w:rPr>
          <w:rFonts w:ascii="Calibri"/>
          <w:color w:val="003366"/>
          <w:spacing w:val="-6"/>
          <w:sz w:val="20"/>
        </w:rPr>
        <w:t xml:space="preserve"> </w:t>
      </w:r>
      <w:r>
        <w:rPr>
          <w:rFonts w:ascii="Calibri"/>
          <w:color w:val="003366"/>
          <w:sz w:val="20"/>
        </w:rPr>
        <w:t>Note</w:t>
      </w:r>
      <w:r>
        <w:rPr>
          <w:rFonts w:ascii="Calibri"/>
          <w:color w:val="003366"/>
          <w:spacing w:val="-7"/>
          <w:sz w:val="20"/>
        </w:rPr>
        <w:t xml:space="preserve"> </w:t>
      </w:r>
      <w:r>
        <w:rPr>
          <w:rFonts w:ascii="Calibri"/>
          <w:color w:val="003366"/>
          <w:sz w:val="20"/>
        </w:rPr>
        <w:t>21</w:t>
      </w:r>
      <w:r>
        <w:rPr>
          <w:rFonts w:ascii="Calibri"/>
          <w:color w:val="003366"/>
          <w:spacing w:val="-7"/>
          <w:sz w:val="20"/>
        </w:rPr>
        <w:t xml:space="preserve"> </w:t>
      </w:r>
      <w:r>
        <w:rPr>
          <w:rFonts w:ascii="Calibri"/>
          <w:i/>
          <w:color w:val="003366"/>
          <w:sz w:val="20"/>
        </w:rPr>
        <w:t>Budgetary</w:t>
      </w:r>
      <w:r>
        <w:rPr>
          <w:rFonts w:ascii="Calibri"/>
          <w:i/>
          <w:color w:val="003366"/>
          <w:spacing w:val="-7"/>
          <w:sz w:val="20"/>
        </w:rPr>
        <w:t xml:space="preserve"> </w:t>
      </w:r>
      <w:r>
        <w:rPr>
          <w:rFonts w:ascii="Calibri"/>
          <w:i/>
          <w:color w:val="003366"/>
          <w:sz w:val="20"/>
        </w:rPr>
        <w:t>Reporting</w:t>
      </w:r>
      <w:r>
        <w:rPr>
          <w:rFonts w:ascii="Calibri"/>
          <w:i/>
          <w:color w:val="003366"/>
          <w:spacing w:val="-6"/>
          <w:sz w:val="20"/>
        </w:rPr>
        <w:t xml:space="preserve"> </w:t>
      </w:r>
      <w:r>
        <w:rPr>
          <w:rFonts w:ascii="Calibri"/>
          <w:color w:val="003366"/>
          <w:sz w:val="20"/>
        </w:rPr>
        <w:t>apply</w:t>
      </w:r>
      <w:r>
        <w:rPr>
          <w:rFonts w:ascii="Calibri"/>
          <w:color w:val="003366"/>
          <w:spacing w:val="-5"/>
          <w:sz w:val="20"/>
        </w:rPr>
        <w:t xml:space="preserve"> </w:t>
      </w:r>
      <w:r>
        <w:rPr>
          <w:rFonts w:ascii="Calibri"/>
          <w:color w:val="003366"/>
          <w:sz w:val="20"/>
        </w:rPr>
        <w:t>equally to the Controlled and Territorial financial</w:t>
      </w:r>
      <w:r>
        <w:rPr>
          <w:rFonts w:ascii="Calibri"/>
          <w:color w:val="003366"/>
          <w:spacing w:val="-1"/>
          <w:sz w:val="20"/>
        </w:rPr>
        <w:t xml:space="preserve"> </w:t>
      </w:r>
      <w:r>
        <w:rPr>
          <w:rFonts w:ascii="Calibri"/>
          <w:color w:val="003366"/>
          <w:sz w:val="20"/>
        </w:rPr>
        <w:t>statements.</w:t>
      </w:r>
    </w:p>
    <w:p w:rsidR="006C17CB" w:rsidRDefault="006C17CB">
      <w:pPr>
        <w:pStyle w:val="BodyText"/>
        <w:spacing w:before="3"/>
        <w:rPr>
          <w:rFonts w:ascii="Calibri"/>
          <w:sz w:val="13"/>
        </w:rPr>
      </w:pPr>
    </w:p>
    <w:p w:rsidR="006C17CB" w:rsidRDefault="0030091C">
      <w:pPr>
        <w:pStyle w:val="Heading6"/>
        <w:tabs>
          <w:tab w:val="left" w:pos="1916"/>
        </w:tabs>
        <w:ind w:left="784"/>
      </w:pPr>
      <w:r>
        <w:rPr>
          <w:color w:val="003366"/>
        </w:rPr>
        <w:t>NOTE</w:t>
      </w:r>
      <w:r>
        <w:rPr>
          <w:color w:val="003366"/>
          <w:spacing w:val="-1"/>
        </w:rPr>
        <w:t xml:space="preserve"> </w:t>
      </w:r>
      <w:r>
        <w:rPr>
          <w:color w:val="003366"/>
        </w:rPr>
        <w:t>24.</w:t>
      </w:r>
      <w:r>
        <w:rPr>
          <w:color w:val="003366"/>
        </w:rPr>
        <w:tab/>
        <w:t>PAYMENT FOR EXPENSES ON BEHALF OF THE TERRITORY –</w:t>
      </w:r>
      <w:r>
        <w:rPr>
          <w:color w:val="003366"/>
          <w:spacing w:val="-9"/>
        </w:rPr>
        <w:t xml:space="preserve"> </w:t>
      </w:r>
      <w:r>
        <w:rPr>
          <w:color w:val="003366"/>
        </w:rPr>
        <w:t>TERRITORIAL</w:t>
      </w:r>
    </w:p>
    <w:p w:rsidR="006C17CB" w:rsidRDefault="006C17CB">
      <w:pPr>
        <w:pStyle w:val="BodyText"/>
        <w:spacing w:before="2"/>
        <w:rPr>
          <w:rFonts w:ascii="Calibri"/>
          <w:b/>
          <w:sz w:val="16"/>
        </w:rPr>
      </w:pPr>
    </w:p>
    <w:p w:rsidR="006C17CB" w:rsidRDefault="0030091C">
      <w:pPr>
        <w:spacing w:before="1" w:line="204" w:lineRule="auto"/>
        <w:ind w:left="783" w:right="1474"/>
        <w:jc w:val="both"/>
        <w:rPr>
          <w:rFonts w:ascii="Calibri" w:hAnsi="Calibri"/>
          <w:sz w:val="20"/>
        </w:rPr>
      </w:pPr>
      <w:r>
        <w:rPr>
          <w:rFonts w:ascii="Calibri" w:hAnsi="Calibri"/>
          <w:color w:val="003366"/>
          <w:sz w:val="20"/>
        </w:rPr>
        <w:t xml:space="preserve">Under the </w:t>
      </w:r>
      <w:r>
        <w:rPr>
          <w:rFonts w:ascii="Calibri" w:hAnsi="Calibri"/>
          <w:i/>
          <w:color w:val="003366"/>
          <w:sz w:val="20"/>
        </w:rPr>
        <w:t>Financial Management Act 1996</w:t>
      </w:r>
      <w:r>
        <w:rPr>
          <w:rFonts w:ascii="Calibri" w:hAnsi="Calibri"/>
          <w:color w:val="003366"/>
          <w:sz w:val="20"/>
        </w:rPr>
        <w:t>, the Office receives this appropriation to fund a number of expenses</w:t>
      </w:r>
      <w:r>
        <w:rPr>
          <w:rFonts w:ascii="Calibri" w:hAnsi="Calibri"/>
          <w:color w:val="003366"/>
          <w:spacing w:val="-7"/>
          <w:sz w:val="20"/>
        </w:rPr>
        <w:t xml:space="preserve"> </w:t>
      </w:r>
      <w:r>
        <w:rPr>
          <w:rFonts w:ascii="Calibri" w:hAnsi="Calibri"/>
          <w:color w:val="003366"/>
          <w:sz w:val="20"/>
        </w:rPr>
        <w:t>incurred</w:t>
      </w:r>
      <w:r>
        <w:rPr>
          <w:rFonts w:ascii="Calibri" w:hAnsi="Calibri"/>
          <w:color w:val="003366"/>
          <w:spacing w:val="-5"/>
          <w:sz w:val="20"/>
        </w:rPr>
        <w:t xml:space="preserve"> </w:t>
      </w:r>
      <w:r>
        <w:rPr>
          <w:rFonts w:ascii="Calibri" w:hAnsi="Calibri"/>
          <w:color w:val="003366"/>
          <w:sz w:val="20"/>
        </w:rPr>
        <w:t>on</w:t>
      </w:r>
      <w:r>
        <w:rPr>
          <w:rFonts w:ascii="Calibri" w:hAnsi="Calibri"/>
          <w:color w:val="003366"/>
          <w:spacing w:val="-5"/>
          <w:sz w:val="20"/>
        </w:rPr>
        <w:t xml:space="preserve"> </w:t>
      </w:r>
      <w:r>
        <w:rPr>
          <w:rFonts w:ascii="Calibri" w:hAnsi="Calibri"/>
          <w:color w:val="003366"/>
          <w:sz w:val="20"/>
        </w:rPr>
        <w:t>behalf</w:t>
      </w:r>
      <w:r>
        <w:rPr>
          <w:rFonts w:ascii="Calibri" w:hAnsi="Calibri"/>
          <w:color w:val="003366"/>
          <w:spacing w:val="-6"/>
          <w:sz w:val="20"/>
        </w:rPr>
        <w:t xml:space="preserve"> </w:t>
      </w:r>
      <w:r>
        <w:rPr>
          <w:rFonts w:ascii="Calibri" w:hAnsi="Calibri"/>
          <w:color w:val="003366"/>
          <w:sz w:val="20"/>
        </w:rPr>
        <w:t>of</w:t>
      </w:r>
      <w:r>
        <w:rPr>
          <w:rFonts w:ascii="Calibri" w:hAnsi="Calibri"/>
          <w:color w:val="003366"/>
          <w:spacing w:val="-6"/>
          <w:sz w:val="20"/>
        </w:rPr>
        <w:t xml:space="preserve"> </w:t>
      </w:r>
      <w:r>
        <w:rPr>
          <w:rFonts w:ascii="Calibri" w:hAnsi="Calibri"/>
          <w:color w:val="003366"/>
          <w:sz w:val="20"/>
        </w:rPr>
        <w:t>the</w:t>
      </w:r>
      <w:r>
        <w:rPr>
          <w:rFonts w:ascii="Calibri" w:hAnsi="Calibri"/>
          <w:color w:val="003366"/>
          <w:spacing w:val="-6"/>
          <w:sz w:val="20"/>
        </w:rPr>
        <w:t xml:space="preserve"> </w:t>
      </w:r>
      <w:r>
        <w:rPr>
          <w:rFonts w:ascii="Calibri" w:hAnsi="Calibri"/>
          <w:color w:val="003366"/>
          <w:sz w:val="20"/>
        </w:rPr>
        <w:t>Territory,</w:t>
      </w:r>
      <w:r>
        <w:rPr>
          <w:rFonts w:ascii="Calibri" w:hAnsi="Calibri"/>
          <w:color w:val="003366"/>
          <w:spacing w:val="-5"/>
          <w:sz w:val="20"/>
        </w:rPr>
        <w:t xml:space="preserve"> </w:t>
      </w:r>
      <w:r>
        <w:rPr>
          <w:rFonts w:ascii="Calibri" w:hAnsi="Calibri"/>
          <w:color w:val="003366"/>
          <w:sz w:val="20"/>
        </w:rPr>
        <w:t>the</w:t>
      </w:r>
      <w:r>
        <w:rPr>
          <w:rFonts w:ascii="Calibri" w:hAnsi="Calibri"/>
          <w:color w:val="003366"/>
          <w:spacing w:val="-6"/>
          <w:sz w:val="20"/>
        </w:rPr>
        <w:t xml:space="preserve"> </w:t>
      </w:r>
      <w:r>
        <w:rPr>
          <w:rFonts w:ascii="Calibri" w:hAnsi="Calibri"/>
          <w:color w:val="003366"/>
          <w:sz w:val="20"/>
        </w:rPr>
        <w:t>main</w:t>
      </w:r>
      <w:r>
        <w:rPr>
          <w:rFonts w:ascii="Calibri" w:hAnsi="Calibri"/>
          <w:color w:val="003366"/>
          <w:spacing w:val="-5"/>
          <w:sz w:val="20"/>
        </w:rPr>
        <w:t xml:space="preserve"> </w:t>
      </w:r>
      <w:r>
        <w:rPr>
          <w:rFonts w:ascii="Calibri" w:hAnsi="Calibri"/>
          <w:color w:val="003366"/>
          <w:sz w:val="20"/>
        </w:rPr>
        <w:t>one</w:t>
      </w:r>
      <w:r>
        <w:rPr>
          <w:rFonts w:ascii="Calibri" w:hAnsi="Calibri"/>
          <w:color w:val="003366"/>
          <w:spacing w:val="-6"/>
          <w:sz w:val="20"/>
        </w:rPr>
        <w:t xml:space="preserve"> </w:t>
      </w:r>
      <w:r>
        <w:rPr>
          <w:rFonts w:ascii="Calibri" w:hAnsi="Calibri"/>
          <w:color w:val="003366"/>
          <w:sz w:val="20"/>
        </w:rPr>
        <w:t>being</w:t>
      </w:r>
      <w:r>
        <w:rPr>
          <w:rFonts w:ascii="Calibri" w:hAnsi="Calibri"/>
          <w:color w:val="003366"/>
          <w:spacing w:val="-6"/>
          <w:sz w:val="20"/>
        </w:rPr>
        <w:t xml:space="preserve"> </w:t>
      </w:r>
      <w:r>
        <w:rPr>
          <w:rFonts w:ascii="Calibri" w:hAnsi="Calibri"/>
          <w:color w:val="003366"/>
          <w:sz w:val="20"/>
        </w:rPr>
        <w:t>the</w:t>
      </w:r>
      <w:r>
        <w:rPr>
          <w:rFonts w:ascii="Calibri" w:hAnsi="Calibri"/>
          <w:color w:val="003366"/>
          <w:spacing w:val="-6"/>
          <w:sz w:val="20"/>
        </w:rPr>
        <w:t xml:space="preserve"> </w:t>
      </w:r>
      <w:r>
        <w:rPr>
          <w:rFonts w:ascii="Calibri" w:hAnsi="Calibri"/>
          <w:color w:val="003366"/>
          <w:sz w:val="20"/>
        </w:rPr>
        <w:t>payment</w:t>
      </w:r>
      <w:r>
        <w:rPr>
          <w:rFonts w:ascii="Calibri" w:hAnsi="Calibri"/>
          <w:color w:val="003366"/>
          <w:spacing w:val="-5"/>
          <w:sz w:val="20"/>
        </w:rPr>
        <w:t xml:space="preserve"> </w:t>
      </w:r>
      <w:r>
        <w:rPr>
          <w:rFonts w:ascii="Calibri" w:hAnsi="Calibri"/>
          <w:color w:val="003366"/>
          <w:sz w:val="20"/>
        </w:rPr>
        <w:t>of</w:t>
      </w:r>
      <w:r>
        <w:rPr>
          <w:rFonts w:ascii="Calibri" w:hAnsi="Calibri"/>
          <w:color w:val="003366"/>
          <w:spacing w:val="-6"/>
          <w:sz w:val="20"/>
        </w:rPr>
        <w:t xml:space="preserve"> </w:t>
      </w:r>
      <w:r>
        <w:rPr>
          <w:rFonts w:ascii="Calibri" w:hAnsi="Calibri"/>
          <w:color w:val="003366"/>
          <w:sz w:val="20"/>
        </w:rPr>
        <w:t>remuneration</w:t>
      </w:r>
      <w:r>
        <w:rPr>
          <w:rFonts w:ascii="Calibri" w:hAnsi="Calibri"/>
          <w:color w:val="003366"/>
          <w:spacing w:val="-5"/>
          <w:sz w:val="20"/>
        </w:rPr>
        <w:t xml:space="preserve"> </w:t>
      </w:r>
      <w:r>
        <w:rPr>
          <w:rFonts w:ascii="Calibri" w:hAnsi="Calibri"/>
          <w:color w:val="003366"/>
          <w:sz w:val="20"/>
        </w:rPr>
        <w:t>and</w:t>
      </w:r>
      <w:r>
        <w:rPr>
          <w:rFonts w:ascii="Calibri" w:hAnsi="Calibri"/>
          <w:color w:val="003366"/>
          <w:spacing w:val="-5"/>
          <w:sz w:val="20"/>
        </w:rPr>
        <w:t xml:space="preserve"> </w:t>
      </w:r>
      <w:r>
        <w:rPr>
          <w:rFonts w:ascii="Calibri" w:hAnsi="Calibri"/>
          <w:color w:val="003366"/>
          <w:sz w:val="20"/>
        </w:rPr>
        <w:t xml:space="preserve">related entitlements to non-Executive Members and their staff (See Notes 26 and 27 </w:t>
      </w:r>
      <w:r>
        <w:rPr>
          <w:rFonts w:ascii="Calibri" w:hAnsi="Calibri"/>
          <w:i/>
          <w:color w:val="003366"/>
          <w:sz w:val="20"/>
        </w:rPr>
        <w:t xml:space="preserve">Employee Expenses – Territorial </w:t>
      </w:r>
      <w:r>
        <w:rPr>
          <w:rFonts w:ascii="Calibri" w:hAnsi="Calibri"/>
          <w:color w:val="003366"/>
          <w:sz w:val="20"/>
        </w:rPr>
        <w:t xml:space="preserve">and </w:t>
      </w:r>
      <w:r>
        <w:rPr>
          <w:rFonts w:ascii="Calibri" w:hAnsi="Calibri"/>
          <w:i/>
          <w:color w:val="003366"/>
          <w:sz w:val="20"/>
        </w:rPr>
        <w:t>Superannuation Expenses -</w:t>
      </w:r>
      <w:r>
        <w:rPr>
          <w:rFonts w:ascii="Calibri" w:hAnsi="Calibri"/>
          <w:i/>
          <w:color w:val="003366"/>
          <w:spacing w:val="-2"/>
          <w:sz w:val="20"/>
        </w:rPr>
        <w:t xml:space="preserve"> </w:t>
      </w:r>
      <w:r>
        <w:rPr>
          <w:rFonts w:ascii="Calibri" w:hAnsi="Calibri"/>
          <w:i/>
          <w:color w:val="003366"/>
          <w:sz w:val="20"/>
        </w:rPr>
        <w:t>Territorial</w:t>
      </w:r>
      <w:r>
        <w:rPr>
          <w:rFonts w:ascii="Calibri" w:hAnsi="Calibri"/>
          <w:color w:val="003366"/>
          <w:sz w:val="20"/>
        </w:rPr>
        <w:t>).</w:t>
      </w:r>
    </w:p>
    <w:p w:rsidR="006C17CB" w:rsidRDefault="006C17CB">
      <w:pPr>
        <w:spacing w:line="204" w:lineRule="auto"/>
        <w:jc w:val="both"/>
        <w:rPr>
          <w:rFonts w:ascii="Calibri" w:hAnsi="Calibri"/>
          <w:sz w:val="20"/>
        </w:rPr>
        <w:sectPr w:rsidR="006C17CB">
          <w:headerReference w:type="even" r:id="rId178"/>
          <w:headerReference w:type="default" r:id="rId179"/>
          <w:pgSz w:w="11910" w:h="16840"/>
          <w:pgMar w:top="2080" w:right="0" w:bottom="740" w:left="980" w:header="1189" w:footer="551" w:gutter="0"/>
          <w:cols w:space="720"/>
        </w:sectPr>
      </w:pPr>
    </w:p>
    <w:p w:rsidR="006C17CB" w:rsidRDefault="0030091C">
      <w:pPr>
        <w:spacing w:before="79" w:line="267" w:lineRule="exact"/>
        <w:jc w:val="right"/>
        <w:rPr>
          <w:rFonts w:ascii="Calibri"/>
          <w:b/>
          <w:sz w:val="20"/>
        </w:rPr>
      </w:pPr>
      <w:r>
        <w:rPr>
          <w:rFonts w:ascii="Calibri"/>
          <w:b/>
          <w:color w:val="003366"/>
          <w:sz w:val="20"/>
        </w:rPr>
        <w:t>2018</w:t>
      </w:r>
    </w:p>
    <w:p w:rsidR="006C17CB" w:rsidRDefault="0030091C">
      <w:pPr>
        <w:spacing w:line="267" w:lineRule="exact"/>
        <w:jc w:val="right"/>
        <w:rPr>
          <w:rFonts w:ascii="Calibri" w:hAnsi="Calibri"/>
          <w:b/>
          <w:sz w:val="20"/>
        </w:rPr>
      </w:pPr>
      <w:r>
        <w:rPr>
          <w:rFonts w:ascii="Calibri" w:hAnsi="Calibri"/>
          <w:b/>
          <w:color w:val="003366"/>
          <w:sz w:val="20"/>
        </w:rPr>
        <w:t>$’000</w:t>
      </w:r>
    </w:p>
    <w:p w:rsidR="006C17CB" w:rsidRDefault="0030091C">
      <w:pPr>
        <w:spacing w:before="79" w:line="267" w:lineRule="exact"/>
        <w:ind w:left="713"/>
        <w:rPr>
          <w:rFonts w:ascii="Calibri"/>
          <w:b/>
          <w:sz w:val="20"/>
        </w:rPr>
      </w:pPr>
      <w:r>
        <w:br w:type="column"/>
      </w:r>
      <w:r>
        <w:rPr>
          <w:rFonts w:ascii="Calibri"/>
          <w:b/>
          <w:color w:val="003366"/>
          <w:sz w:val="20"/>
        </w:rPr>
        <w:t>2017</w:t>
      </w:r>
    </w:p>
    <w:p w:rsidR="006C17CB" w:rsidRDefault="0030091C">
      <w:pPr>
        <w:spacing w:line="267" w:lineRule="exact"/>
        <w:ind w:left="663"/>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2" w:space="720" w:equalWidth="0">
            <w:col w:w="8289" w:space="40"/>
            <w:col w:w="2601"/>
          </w:cols>
        </w:sectPr>
      </w:pPr>
    </w:p>
    <w:p w:rsidR="006C17CB" w:rsidRDefault="0030091C">
      <w:pPr>
        <w:tabs>
          <w:tab w:val="left" w:pos="7223"/>
          <w:tab w:val="left" w:pos="7835"/>
          <w:tab w:val="left" w:pos="8991"/>
        </w:tabs>
        <w:spacing w:line="285" w:lineRule="exact"/>
        <w:ind w:left="784"/>
        <w:rPr>
          <w:rFonts w:ascii="Calibri"/>
          <w:sz w:val="20"/>
        </w:rPr>
      </w:pPr>
      <w:r>
        <w:rPr>
          <w:rFonts w:ascii="Calibri"/>
          <w:color w:val="003366"/>
          <w:sz w:val="20"/>
        </w:rPr>
        <w:t>Payment for Expenses on Behalf of</w:t>
      </w:r>
      <w:r>
        <w:rPr>
          <w:rFonts w:ascii="Calibri"/>
          <w:color w:val="003366"/>
          <w:spacing w:val="-12"/>
          <w:sz w:val="20"/>
        </w:rPr>
        <w:t xml:space="preserve"> </w:t>
      </w:r>
      <w:r>
        <w:rPr>
          <w:rFonts w:ascii="Calibri"/>
          <w:color w:val="003366"/>
          <w:sz w:val="20"/>
        </w:rPr>
        <w:t>the</w:t>
      </w:r>
      <w:r>
        <w:rPr>
          <w:rFonts w:ascii="Calibri"/>
          <w:color w:val="003366"/>
          <w:spacing w:val="-3"/>
          <w:sz w:val="20"/>
        </w:rPr>
        <w:t xml:space="preserve"> </w:t>
      </w:r>
      <w:r>
        <w:rPr>
          <w:rFonts w:ascii="Calibri"/>
          <w:color w:val="003366"/>
          <w:sz w:val="20"/>
        </w:rPr>
        <w:t>Territory</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9,027</w:t>
      </w:r>
      <w:r>
        <w:rPr>
          <w:rFonts w:ascii="Calibri"/>
          <w:color w:val="003366"/>
          <w:sz w:val="20"/>
          <w:u w:val="single" w:color="003366"/>
        </w:rPr>
        <w:tab/>
        <w:t>8,125</w:t>
      </w:r>
      <w:r>
        <w:rPr>
          <w:rFonts w:ascii="Calibri"/>
          <w:color w:val="003366"/>
          <w:spacing w:val="16"/>
          <w:sz w:val="20"/>
          <w:u w:val="single" w:color="003366"/>
        </w:rPr>
        <w:t xml:space="preserve"> </w:t>
      </w:r>
    </w:p>
    <w:p w:rsidR="006C17CB" w:rsidRDefault="0030091C">
      <w:pPr>
        <w:tabs>
          <w:tab w:val="left" w:pos="7835"/>
          <w:tab w:val="left" w:pos="8991"/>
        </w:tabs>
        <w:ind w:left="784"/>
        <w:rPr>
          <w:rFonts w:ascii="Calibri"/>
          <w:b/>
          <w:sz w:val="20"/>
        </w:rPr>
      </w:pPr>
      <w:r>
        <w:rPr>
          <w:rFonts w:ascii="Calibri"/>
          <w:b/>
          <w:color w:val="003366"/>
          <w:sz w:val="20"/>
        </w:rPr>
        <w:t>Total Payment for Expenses on Behalf of the</w:t>
      </w:r>
      <w:r>
        <w:rPr>
          <w:rFonts w:ascii="Calibri"/>
          <w:b/>
          <w:color w:val="003366"/>
          <w:spacing w:val="-14"/>
          <w:sz w:val="20"/>
        </w:rPr>
        <w:t xml:space="preserve"> </w:t>
      </w:r>
      <w:r>
        <w:rPr>
          <w:rFonts w:ascii="Calibri"/>
          <w:b/>
          <w:color w:val="003366"/>
          <w:sz w:val="20"/>
        </w:rPr>
        <w:t>Territory</w:t>
      </w:r>
      <w:r>
        <w:rPr>
          <w:rFonts w:ascii="Calibri"/>
          <w:b/>
          <w:color w:val="003366"/>
          <w:spacing w:val="-2"/>
          <w:sz w:val="20"/>
        </w:rPr>
        <w:t xml:space="preserve"> </w:t>
      </w:r>
      <w:r>
        <w:rPr>
          <w:rFonts w:ascii="Calibri"/>
          <w:b/>
          <w:color w:val="003366"/>
          <w:sz w:val="20"/>
          <w:vertAlign w:val="superscript"/>
        </w:rPr>
        <w:t>a</w:t>
      </w:r>
      <w:r>
        <w:rPr>
          <w:rFonts w:ascii="Calibri"/>
          <w:b/>
          <w:color w:val="003366"/>
          <w:sz w:val="20"/>
        </w:rPr>
        <w:tab/>
        <w:t>9,027</w:t>
      </w:r>
      <w:r>
        <w:rPr>
          <w:rFonts w:ascii="Calibri"/>
          <w:b/>
          <w:color w:val="003366"/>
          <w:sz w:val="20"/>
        </w:rPr>
        <w:tab/>
        <w:t>8,125</w:t>
      </w:r>
    </w:p>
    <w:p w:rsidR="006C17CB" w:rsidRDefault="00FE24A7">
      <w:pPr>
        <w:pStyle w:val="BodyText"/>
        <w:spacing w:line="29" w:lineRule="exact"/>
        <w:ind w:left="7218"/>
        <w:rPr>
          <w:rFonts w:ascii="Calibri"/>
          <w:sz w:val="2"/>
        </w:rPr>
      </w:pPr>
      <w:r>
        <w:rPr>
          <w:rFonts w:ascii="Calibri"/>
          <w:sz w:val="2"/>
        </w:rPr>
      </w:r>
      <w:r>
        <w:rPr>
          <w:rFonts w:ascii="Calibri"/>
          <w:sz w:val="2"/>
        </w:rPr>
        <w:pict>
          <v:group id="_x0000_s1149" alt="" style="width:116.55pt;height:1.45pt;mso-position-horizontal-relative:char;mso-position-vertical-relative:line" coordsize="2331,29">
            <v:line id="_x0000_s1150" alt="" style="position:absolute" from="0,5" to="1176,5" strokecolor="#036" strokeweight=".48pt"/>
            <v:line id="_x0000_s1151" alt="" style="position:absolute" from="0,24" to="1176,24" strokecolor="#036" strokeweight=".48pt"/>
            <v:rect id="_x0000_s1152" alt="" style="position:absolute;left:1176;width:29;height:10" fillcolor="#036" stroked="f"/>
            <v:rect id="_x0000_s1153" alt="" style="position:absolute;left:1176;top:19;width:29;height:10" fillcolor="#036" stroked="f"/>
            <v:line id="_x0000_s1154" alt="" style="position:absolute" from="1205,5" to="2330,5" strokecolor="#036" strokeweight=".48pt"/>
            <v:line id="_x0000_s1155" alt="" style="position:absolute" from="1205,24" to="2330,24" strokecolor="#036" strokeweight=".48pt"/>
            <w10:anchorlock/>
          </v:group>
        </w:pict>
      </w:r>
    </w:p>
    <w:p w:rsidR="006C17CB" w:rsidRDefault="006C17CB">
      <w:pPr>
        <w:pStyle w:val="BodyText"/>
        <w:spacing w:before="11"/>
        <w:rPr>
          <w:rFonts w:ascii="Calibri"/>
          <w:b/>
        </w:rPr>
      </w:pPr>
    </w:p>
    <w:p w:rsidR="006C17CB" w:rsidRDefault="0030091C">
      <w:pPr>
        <w:tabs>
          <w:tab w:val="left" w:pos="1143"/>
        </w:tabs>
        <w:spacing w:before="56" w:line="204" w:lineRule="auto"/>
        <w:ind w:left="1143" w:right="1487" w:hanging="360"/>
        <w:rPr>
          <w:rFonts w:ascii="Calibri" w:hAnsi="Calibri"/>
          <w:sz w:val="18"/>
        </w:rPr>
      </w:pPr>
      <w:r>
        <w:rPr>
          <w:rFonts w:ascii="Calibri" w:hAnsi="Calibri"/>
          <w:color w:val="003366"/>
          <w:sz w:val="18"/>
        </w:rPr>
        <w:t>a)</w:t>
      </w:r>
      <w:r>
        <w:rPr>
          <w:rFonts w:ascii="Calibri" w:hAnsi="Calibri"/>
          <w:color w:val="003366"/>
          <w:sz w:val="18"/>
        </w:rPr>
        <w:tab/>
        <w:t>The</w:t>
      </w:r>
      <w:r>
        <w:rPr>
          <w:rFonts w:ascii="Calibri" w:hAnsi="Calibri"/>
          <w:color w:val="003366"/>
          <w:spacing w:val="-8"/>
          <w:sz w:val="18"/>
        </w:rPr>
        <w:t xml:space="preserve"> </w:t>
      </w:r>
      <w:r>
        <w:rPr>
          <w:rFonts w:ascii="Calibri" w:hAnsi="Calibri"/>
          <w:color w:val="003366"/>
          <w:sz w:val="18"/>
        </w:rPr>
        <w:t>increase</w:t>
      </w:r>
      <w:r>
        <w:rPr>
          <w:rFonts w:ascii="Calibri" w:hAnsi="Calibri"/>
          <w:color w:val="003366"/>
          <w:spacing w:val="-8"/>
          <w:sz w:val="18"/>
        </w:rPr>
        <w:t xml:space="preserve"> </w:t>
      </w:r>
      <w:r>
        <w:rPr>
          <w:rFonts w:ascii="Calibri" w:hAnsi="Calibri"/>
          <w:color w:val="003366"/>
          <w:sz w:val="18"/>
        </w:rPr>
        <w:t>of</w:t>
      </w:r>
      <w:r>
        <w:rPr>
          <w:rFonts w:ascii="Calibri" w:hAnsi="Calibri"/>
          <w:color w:val="003366"/>
          <w:spacing w:val="-7"/>
          <w:sz w:val="18"/>
        </w:rPr>
        <w:t xml:space="preserve"> </w:t>
      </w:r>
      <w:r>
        <w:rPr>
          <w:rFonts w:ascii="Calibri" w:hAnsi="Calibri"/>
          <w:color w:val="003366"/>
          <w:sz w:val="18"/>
        </w:rPr>
        <w:t>$902,000</w:t>
      </w:r>
      <w:r>
        <w:rPr>
          <w:rFonts w:ascii="Calibri" w:hAnsi="Calibri"/>
          <w:color w:val="003366"/>
          <w:spacing w:val="-8"/>
          <w:sz w:val="18"/>
        </w:rPr>
        <w:t xml:space="preserve"> </w:t>
      </w:r>
      <w:r>
        <w:rPr>
          <w:rFonts w:ascii="Calibri" w:hAnsi="Calibri"/>
          <w:color w:val="003366"/>
          <w:sz w:val="18"/>
        </w:rPr>
        <w:t>in</w:t>
      </w:r>
      <w:r>
        <w:rPr>
          <w:rFonts w:ascii="Calibri" w:hAnsi="Calibri"/>
          <w:color w:val="003366"/>
          <w:spacing w:val="-8"/>
          <w:sz w:val="18"/>
        </w:rPr>
        <w:t xml:space="preserve"> </w:t>
      </w:r>
      <w:r>
        <w:rPr>
          <w:rFonts w:ascii="Calibri" w:hAnsi="Calibri"/>
          <w:color w:val="003366"/>
          <w:sz w:val="18"/>
        </w:rPr>
        <w:t>Payment</w:t>
      </w:r>
      <w:r>
        <w:rPr>
          <w:rFonts w:ascii="Calibri" w:hAnsi="Calibri"/>
          <w:color w:val="003366"/>
          <w:spacing w:val="-7"/>
          <w:sz w:val="18"/>
        </w:rPr>
        <w:t xml:space="preserve"> </w:t>
      </w:r>
      <w:r>
        <w:rPr>
          <w:rFonts w:ascii="Calibri" w:hAnsi="Calibri"/>
          <w:color w:val="003366"/>
          <w:sz w:val="18"/>
        </w:rPr>
        <w:t>for</w:t>
      </w:r>
      <w:r>
        <w:rPr>
          <w:rFonts w:ascii="Calibri" w:hAnsi="Calibri"/>
          <w:color w:val="003366"/>
          <w:spacing w:val="-8"/>
          <w:sz w:val="18"/>
        </w:rPr>
        <w:t xml:space="preserve"> </w:t>
      </w:r>
      <w:r>
        <w:rPr>
          <w:rFonts w:ascii="Calibri" w:hAnsi="Calibri"/>
          <w:color w:val="003366"/>
          <w:sz w:val="18"/>
        </w:rPr>
        <w:t>Expenses</w:t>
      </w:r>
      <w:r>
        <w:rPr>
          <w:rFonts w:ascii="Calibri" w:hAnsi="Calibri"/>
          <w:color w:val="003366"/>
          <w:spacing w:val="-8"/>
          <w:sz w:val="18"/>
        </w:rPr>
        <w:t xml:space="preserve"> </w:t>
      </w:r>
      <w:r>
        <w:rPr>
          <w:rFonts w:ascii="Calibri" w:hAnsi="Calibri"/>
          <w:color w:val="003366"/>
          <w:sz w:val="18"/>
        </w:rPr>
        <w:t>on</w:t>
      </w:r>
      <w:r>
        <w:rPr>
          <w:rFonts w:ascii="Calibri" w:hAnsi="Calibri"/>
          <w:color w:val="003366"/>
          <w:spacing w:val="-8"/>
          <w:sz w:val="18"/>
        </w:rPr>
        <w:t xml:space="preserve"> </w:t>
      </w:r>
      <w:r>
        <w:rPr>
          <w:rFonts w:ascii="Calibri" w:hAnsi="Calibri"/>
          <w:color w:val="003366"/>
          <w:sz w:val="18"/>
        </w:rPr>
        <w:t>Behalf</w:t>
      </w:r>
      <w:r>
        <w:rPr>
          <w:rFonts w:ascii="Calibri" w:hAnsi="Calibri"/>
          <w:color w:val="003366"/>
          <w:spacing w:val="-7"/>
          <w:sz w:val="18"/>
        </w:rPr>
        <w:t xml:space="preserve"> </w:t>
      </w:r>
      <w:r>
        <w:rPr>
          <w:rFonts w:ascii="Calibri" w:hAnsi="Calibri"/>
          <w:color w:val="003366"/>
          <w:sz w:val="18"/>
        </w:rPr>
        <w:t>of</w:t>
      </w:r>
      <w:r>
        <w:rPr>
          <w:rFonts w:ascii="Calibri" w:hAnsi="Calibri"/>
          <w:color w:val="003366"/>
          <w:spacing w:val="-7"/>
          <w:sz w:val="18"/>
        </w:rPr>
        <w:t xml:space="preserve"> </w:t>
      </w:r>
      <w:r>
        <w:rPr>
          <w:rFonts w:ascii="Calibri" w:hAnsi="Calibri"/>
          <w:color w:val="003366"/>
          <w:sz w:val="18"/>
        </w:rPr>
        <w:t>the</w:t>
      </w:r>
      <w:r>
        <w:rPr>
          <w:rFonts w:ascii="Calibri" w:hAnsi="Calibri"/>
          <w:color w:val="003366"/>
          <w:spacing w:val="-8"/>
          <w:sz w:val="18"/>
        </w:rPr>
        <w:t xml:space="preserve"> </w:t>
      </w:r>
      <w:r>
        <w:rPr>
          <w:rFonts w:ascii="Calibri" w:hAnsi="Calibri"/>
          <w:color w:val="003366"/>
          <w:sz w:val="18"/>
        </w:rPr>
        <w:t>Territory</w:t>
      </w:r>
      <w:r>
        <w:rPr>
          <w:rFonts w:ascii="Calibri" w:hAnsi="Calibri"/>
          <w:color w:val="003366"/>
          <w:spacing w:val="-7"/>
          <w:sz w:val="18"/>
        </w:rPr>
        <w:t xml:space="preserve"> </w:t>
      </w:r>
      <w:r>
        <w:rPr>
          <w:rFonts w:ascii="Calibri" w:hAnsi="Calibri"/>
          <w:color w:val="003366"/>
          <w:sz w:val="18"/>
        </w:rPr>
        <w:t>is</w:t>
      </w:r>
      <w:r>
        <w:rPr>
          <w:rFonts w:ascii="Calibri" w:hAnsi="Calibri"/>
          <w:color w:val="003366"/>
          <w:spacing w:val="-8"/>
          <w:sz w:val="18"/>
        </w:rPr>
        <w:t xml:space="preserve"> </w:t>
      </w:r>
      <w:r>
        <w:rPr>
          <w:rFonts w:ascii="Calibri" w:hAnsi="Calibri"/>
          <w:color w:val="003366"/>
          <w:sz w:val="18"/>
        </w:rPr>
        <w:t>the</w:t>
      </w:r>
      <w:r>
        <w:rPr>
          <w:rFonts w:ascii="Calibri" w:hAnsi="Calibri"/>
          <w:color w:val="003366"/>
          <w:spacing w:val="-8"/>
          <w:sz w:val="18"/>
        </w:rPr>
        <w:t xml:space="preserve"> </w:t>
      </w:r>
      <w:r>
        <w:rPr>
          <w:rFonts w:ascii="Calibri" w:hAnsi="Calibri"/>
          <w:color w:val="003366"/>
          <w:sz w:val="18"/>
        </w:rPr>
        <w:t>full</w:t>
      </w:r>
      <w:r>
        <w:rPr>
          <w:rFonts w:ascii="Calibri" w:hAnsi="Calibri"/>
          <w:color w:val="003366"/>
          <w:spacing w:val="-8"/>
          <w:sz w:val="18"/>
        </w:rPr>
        <w:t xml:space="preserve"> </w:t>
      </w:r>
      <w:r>
        <w:rPr>
          <w:rFonts w:ascii="Calibri" w:hAnsi="Calibri"/>
          <w:color w:val="003366"/>
          <w:sz w:val="18"/>
        </w:rPr>
        <w:t>year</w:t>
      </w:r>
      <w:r>
        <w:rPr>
          <w:rFonts w:ascii="Calibri" w:hAnsi="Calibri"/>
          <w:color w:val="003366"/>
          <w:spacing w:val="-7"/>
          <w:sz w:val="18"/>
        </w:rPr>
        <w:t xml:space="preserve"> </w:t>
      </w:r>
      <w:r>
        <w:rPr>
          <w:rFonts w:ascii="Calibri" w:hAnsi="Calibri"/>
          <w:color w:val="003366"/>
          <w:sz w:val="18"/>
        </w:rPr>
        <w:t>impact</w:t>
      </w:r>
      <w:r>
        <w:rPr>
          <w:rFonts w:ascii="Calibri" w:hAnsi="Calibri"/>
          <w:color w:val="003366"/>
          <w:spacing w:val="-8"/>
          <w:sz w:val="18"/>
        </w:rPr>
        <w:t xml:space="preserve"> </w:t>
      </w:r>
      <w:r>
        <w:rPr>
          <w:rFonts w:ascii="Calibri" w:hAnsi="Calibri"/>
          <w:color w:val="003366"/>
          <w:sz w:val="18"/>
        </w:rPr>
        <w:t>of</w:t>
      </w:r>
      <w:r>
        <w:rPr>
          <w:rFonts w:ascii="Calibri" w:hAnsi="Calibri"/>
          <w:color w:val="003366"/>
          <w:spacing w:val="-7"/>
          <w:sz w:val="18"/>
        </w:rPr>
        <w:t xml:space="preserve"> </w:t>
      </w:r>
      <w:r>
        <w:rPr>
          <w:rFonts w:ascii="Calibri" w:hAnsi="Calibri"/>
          <w:color w:val="003366"/>
          <w:sz w:val="18"/>
        </w:rPr>
        <w:t>the</w:t>
      </w:r>
      <w:r>
        <w:rPr>
          <w:rFonts w:ascii="Calibri" w:hAnsi="Calibri"/>
          <w:color w:val="003366"/>
          <w:spacing w:val="-8"/>
          <w:sz w:val="18"/>
        </w:rPr>
        <w:t xml:space="preserve"> </w:t>
      </w:r>
      <w:r>
        <w:rPr>
          <w:rFonts w:ascii="Calibri" w:hAnsi="Calibri"/>
          <w:color w:val="003366"/>
          <w:sz w:val="18"/>
        </w:rPr>
        <w:t>increased members and members’ staffing costs resulting from the expansion of the Assembly from 17 to 25</w:t>
      </w:r>
      <w:r>
        <w:rPr>
          <w:rFonts w:ascii="Calibri" w:hAnsi="Calibri"/>
          <w:color w:val="003366"/>
          <w:spacing w:val="-26"/>
          <w:sz w:val="18"/>
        </w:rPr>
        <w:t xml:space="preserve"> </w:t>
      </w:r>
      <w:r>
        <w:rPr>
          <w:rFonts w:ascii="Calibri" w:hAnsi="Calibri"/>
          <w:color w:val="003366"/>
          <w:sz w:val="18"/>
        </w:rPr>
        <w:t>members.</w:t>
      </w:r>
    </w:p>
    <w:p w:rsidR="006C17CB" w:rsidRDefault="006C17CB">
      <w:pPr>
        <w:pStyle w:val="BodyText"/>
        <w:spacing w:before="11"/>
        <w:rPr>
          <w:rFonts w:ascii="Calibri"/>
        </w:rPr>
      </w:pPr>
    </w:p>
    <w:p w:rsidR="006C17CB" w:rsidRDefault="0030091C">
      <w:pPr>
        <w:pStyle w:val="Heading6"/>
        <w:tabs>
          <w:tab w:val="left" w:pos="1916"/>
        </w:tabs>
        <w:ind w:left="784"/>
      </w:pPr>
      <w:r>
        <w:rPr>
          <w:color w:val="003366"/>
        </w:rPr>
        <w:t>NOTE</w:t>
      </w:r>
      <w:r>
        <w:rPr>
          <w:color w:val="003366"/>
          <w:spacing w:val="-1"/>
        </w:rPr>
        <w:t xml:space="preserve"> </w:t>
      </w:r>
      <w:r>
        <w:rPr>
          <w:color w:val="003366"/>
        </w:rPr>
        <w:t>25.</w:t>
      </w:r>
      <w:r>
        <w:rPr>
          <w:color w:val="003366"/>
        </w:rPr>
        <w:tab/>
        <w:t>RESOURCES RECEIVED FREE OF CHARGE –</w:t>
      </w:r>
      <w:r>
        <w:rPr>
          <w:color w:val="003366"/>
          <w:spacing w:val="-1"/>
        </w:rPr>
        <w:t xml:space="preserve"> </w:t>
      </w:r>
      <w:r>
        <w:rPr>
          <w:color w:val="003366"/>
        </w:rPr>
        <w:t>TERRITORIAL</w:t>
      </w:r>
    </w:p>
    <w:p w:rsidR="006C17CB" w:rsidRDefault="006C17CB">
      <w:pPr>
        <w:pStyle w:val="BodyText"/>
        <w:spacing w:before="5"/>
        <w:rPr>
          <w:rFonts w:ascii="Calibri"/>
          <w:b/>
          <w:sz w:val="16"/>
        </w:rPr>
      </w:pPr>
    </w:p>
    <w:p w:rsidR="006C17CB" w:rsidRDefault="0030091C">
      <w:pPr>
        <w:spacing w:line="201" w:lineRule="auto"/>
        <w:ind w:left="784" w:right="1412"/>
        <w:rPr>
          <w:rFonts w:ascii="Calibri" w:hAnsi="Calibri"/>
          <w:sz w:val="20"/>
        </w:rPr>
      </w:pPr>
      <w:r>
        <w:rPr>
          <w:rFonts w:ascii="Calibri" w:hAnsi="Calibri"/>
          <w:color w:val="003366"/>
          <w:sz w:val="20"/>
        </w:rPr>
        <w:t>Resources received free of charge relate to goods and services being provided free of charge from the Office’s Controlled operations.</w:t>
      </w:r>
    </w:p>
    <w:p w:rsidR="006C17CB" w:rsidRDefault="006C17CB">
      <w:pPr>
        <w:spacing w:line="201" w:lineRule="auto"/>
        <w:rPr>
          <w:rFonts w:ascii="Calibri" w:hAnsi="Calibri"/>
          <w:sz w:val="20"/>
        </w:rPr>
        <w:sectPr w:rsidR="006C17CB">
          <w:type w:val="continuous"/>
          <w:pgSz w:w="11910" w:h="16840"/>
          <w:pgMar w:top="1580" w:right="0" w:bottom="280" w:left="980" w:header="720" w:footer="720" w:gutter="0"/>
          <w:cols w:space="720"/>
        </w:sectPr>
      </w:pPr>
    </w:p>
    <w:p w:rsidR="006C17CB" w:rsidRDefault="006C17CB">
      <w:pPr>
        <w:pStyle w:val="BodyText"/>
        <w:rPr>
          <w:rFonts w:ascii="Calibri"/>
          <w:sz w:val="20"/>
        </w:rPr>
      </w:pPr>
    </w:p>
    <w:p w:rsidR="006C17CB" w:rsidRDefault="006C17CB">
      <w:pPr>
        <w:pStyle w:val="BodyText"/>
        <w:spacing w:before="8"/>
        <w:rPr>
          <w:rFonts w:ascii="Calibri"/>
        </w:rPr>
      </w:pPr>
    </w:p>
    <w:p w:rsidR="006C17CB" w:rsidRDefault="0030091C">
      <w:pPr>
        <w:ind w:left="784"/>
        <w:rPr>
          <w:rFonts w:ascii="Calibri"/>
          <w:b/>
          <w:sz w:val="20"/>
        </w:rPr>
      </w:pPr>
      <w:r>
        <w:rPr>
          <w:rFonts w:ascii="Calibri"/>
          <w:b/>
          <w:color w:val="003366"/>
          <w:sz w:val="20"/>
        </w:rPr>
        <w:t>Resources Received Free of Charge</w:t>
      </w:r>
    </w:p>
    <w:p w:rsidR="006C17CB" w:rsidRDefault="0030091C">
      <w:pPr>
        <w:spacing w:before="85" w:line="267" w:lineRule="exact"/>
        <w:jc w:val="right"/>
        <w:rPr>
          <w:rFonts w:ascii="Calibri"/>
          <w:b/>
          <w:sz w:val="20"/>
        </w:rPr>
      </w:pPr>
      <w:r>
        <w:br w:type="column"/>
      </w:r>
      <w:r>
        <w:rPr>
          <w:rFonts w:ascii="Calibri"/>
          <w:b/>
          <w:color w:val="003366"/>
          <w:sz w:val="20"/>
        </w:rPr>
        <w:t>2018</w:t>
      </w:r>
    </w:p>
    <w:p w:rsidR="006C17CB" w:rsidRDefault="0030091C">
      <w:pPr>
        <w:spacing w:line="267" w:lineRule="exact"/>
        <w:jc w:val="right"/>
        <w:rPr>
          <w:rFonts w:ascii="Calibri" w:hAnsi="Calibri"/>
          <w:b/>
          <w:sz w:val="20"/>
        </w:rPr>
      </w:pPr>
      <w:r>
        <w:rPr>
          <w:rFonts w:ascii="Calibri" w:hAnsi="Calibri"/>
          <w:b/>
          <w:color w:val="003366"/>
          <w:sz w:val="20"/>
        </w:rPr>
        <w:t>$’000</w:t>
      </w:r>
    </w:p>
    <w:p w:rsidR="006C17CB" w:rsidRDefault="0030091C">
      <w:pPr>
        <w:spacing w:before="85" w:line="267" w:lineRule="exact"/>
        <w:ind w:left="713"/>
        <w:rPr>
          <w:rFonts w:ascii="Calibri"/>
          <w:b/>
          <w:sz w:val="20"/>
        </w:rPr>
      </w:pPr>
      <w:r>
        <w:br w:type="column"/>
      </w:r>
      <w:r>
        <w:rPr>
          <w:rFonts w:ascii="Calibri"/>
          <w:b/>
          <w:color w:val="003366"/>
          <w:sz w:val="20"/>
        </w:rPr>
        <w:t>2017</w:t>
      </w:r>
    </w:p>
    <w:p w:rsidR="006C17CB" w:rsidRDefault="0030091C">
      <w:pPr>
        <w:spacing w:line="267" w:lineRule="exact"/>
        <w:ind w:left="663"/>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3" w:space="720" w:equalWidth="0">
            <w:col w:w="3711" w:space="3340"/>
            <w:col w:w="1238" w:space="40"/>
            <w:col w:w="2601"/>
          </w:cols>
        </w:sectPr>
      </w:pPr>
    </w:p>
    <w:p w:rsidR="006C17CB" w:rsidRDefault="0030091C">
      <w:pPr>
        <w:tabs>
          <w:tab w:val="left" w:pos="7223"/>
          <w:tab w:val="left" w:pos="7986"/>
          <w:tab w:val="left" w:pos="9143"/>
        </w:tabs>
        <w:spacing w:line="286" w:lineRule="exact"/>
        <w:ind w:left="784"/>
        <w:rPr>
          <w:rFonts w:ascii="Calibri"/>
          <w:sz w:val="20"/>
        </w:rPr>
      </w:pPr>
      <w:r>
        <w:rPr>
          <w:rFonts w:ascii="Calibri"/>
          <w:color w:val="003366"/>
          <w:sz w:val="20"/>
        </w:rPr>
        <w:t>Building</w:t>
      </w:r>
      <w:r>
        <w:rPr>
          <w:rFonts w:ascii="Calibri"/>
          <w:color w:val="003366"/>
          <w:spacing w:val="-3"/>
          <w:sz w:val="20"/>
        </w:rPr>
        <w:t xml:space="preserve"> </w:t>
      </w:r>
      <w:r>
        <w:rPr>
          <w:rFonts w:ascii="Calibri"/>
          <w:color w:val="003366"/>
          <w:sz w:val="20"/>
        </w:rPr>
        <w:t>Management</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402</w:t>
      </w:r>
      <w:r>
        <w:rPr>
          <w:rFonts w:ascii="Calibri"/>
          <w:color w:val="003366"/>
          <w:sz w:val="20"/>
          <w:u w:val="single" w:color="003366"/>
        </w:rPr>
        <w:tab/>
        <w:t>389</w:t>
      </w:r>
      <w:r>
        <w:rPr>
          <w:rFonts w:ascii="Calibri"/>
          <w:color w:val="003366"/>
          <w:spacing w:val="16"/>
          <w:sz w:val="20"/>
          <w:u w:val="single" w:color="003366"/>
        </w:rPr>
        <w:t xml:space="preserve"> </w:t>
      </w:r>
    </w:p>
    <w:p w:rsidR="006C17CB" w:rsidRDefault="006C17CB">
      <w:pPr>
        <w:pStyle w:val="BodyText"/>
        <w:spacing w:before="12"/>
        <w:rPr>
          <w:rFonts w:ascii="Calibri"/>
          <w:sz w:val="5"/>
        </w:rPr>
      </w:pPr>
    </w:p>
    <w:tbl>
      <w:tblPr>
        <w:tblW w:w="0" w:type="auto"/>
        <w:tblInd w:w="734" w:type="dxa"/>
        <w:tblLayout w:type="fixed"/>
        <w:tblCellMar>
          <w:left w:w="0" w:type="dxa"/>
          <w:right w:w="0" w:type="dxa"/>
        </w:tblCellMar>
        <w:tblLook w:val="01E0" w:firstRow="1" w:lastRow="1" w:firstColumn="1" w:lastColumn="1" w:noHBand="0" w:noVBand="0"/>
      </w:tblPr>
      <w:tblGrid>
        <w:gridCol w:w="6489"/>
        <w:gridCol w:w="1418"/>
        <w:gridCol w:w="912"/>
      </w:tblGrid>
      <w:tr w:rsidR="006C17CB">
        <w:trPr>
          <w:trHeight w:val="203"/>
        </w:trPr>
        <w:tc>
          <w:tcPr>
            <w:tcW w:w="6489" w:type="dxa"/>
          </w:tcPr>
          <w:p w:rsidR="006C17CB" w:rsidRDefault="0030091C">
            <w:pPr>
              <w:pStyle w:val="TableParagraph"/>
              <w:spacing w:line="184" w:lineRule="exact"/>
              <w:ind w:left="50"/>
              <w:jc w:val="left"/>
              <w:rPr>
                <w:b/>
                <w:sz w:val="20"/>
              </w:rPr>
            </w:pPr>
            <w:r>
              <w:rPr>
                <w:b/>
                <w:color w:val="003366"/>
                <w:sz w:val="20"/>
              </w:rPr>
              <w:t>Total Resources Received Free of Charge</w:t>
            </w:r>
          </w:p>
        </w:tc>
        <w:tc>
          <w:tcPr>
            <w:tcW w:w="1418" w:type="dxa"/>
            <w:tcBorders>
              <w:bottom w:val="double" w:sz="1" w:space="0" w:color="003366"/>
            </w:tcBorders>
          </w:tcPr>
          <w:p w:rsidR="006C17CB" w:rsidRDefault="0030091C">
            <w:pPr>
              <w:pStyle w:val="TableParagraph"/>
              <w:spacing w:line="184" w:lineRule="exact"/>
              <w:ind w:right="350"/>
              <w:rPr>
                <w:b/>
                <w:sz w:val="20"/>
              </w:rPr>
            </w:pPr>
            <w:r>
              <w:rPr>
                <w:b/>
                <w:color w:val="003366"/>
                <w:w w:val="95"/>
                <w:sz w:val="20"/>
              </w:rPr>
              <w:t>402</w:t>
            </w:r>
          </w:p>
        </w:tc>
        <w:tc>
          <w:tcPr>
            <w:tcW w:w="912" w:type="dxa"/>
            <w:tcBorders>
              <w:bottom w:val="double" w:sz="1" w:space="0" w:color="003366"/>
            </w:tcBorders>
          </w:tcPr>
          <w:p w:rsidR="006C17CB" w:rsidRDefault="0030091C">
            <w:pPr>
              <w:pStyle w:val="TableParagraph"/>
              <w:spacing w:line="184" w:lineRule="exact"/>
              <w:ind w:right="105"/>
              <w:rPr>
                <w:b/>
                <w:sz w:val="20"/>
              </w:rPr>
            </w:pPr>
            <w:r>
              <w:rPr>
                <w:b/>
                <w:color w:val="003366"/>
                <w:w w:val="95"/>
                <w:sz w:val="20"/>
              </w:rPr>
              <w:t>389</w:t>
            </w:r>
          </w:p>
        </w:tc>
      </w:tr>
      <w:tr w:rsidR="006C17CB">
        <w:trPr>
          <w:trHeight w:val="775"/>
        </w:trPr>
        <w:tc>
          <w:tcPr>
            <w:tcW w:w="6489" w:type="dxa"/>
          </w:tcPr>
          <w:p w:rsidR="006C17CB" w:rsidRDefault="006C17CB">
            <w:pPr>
              <w:pStyle w:val="TableParagraph"/>
              <w:spacing w:before="5"/>
              <w:jc w:val="left"/>
              <w:rPr>
                <w:sz w:val="24"/>
              </w:rPr>
            </w:pPr>
          </w:p>
          <w:p w:rsidR="006C17CB" w:rsidRDefault="0030091C">
            <w:pPr>
              <w:pStyle w:val="TableParagraph"/>
              <w:tabs>
                <w:tab w:val="left" w:pos="1182"/>
              </w:tabs>
              <w:ind w:left="50"/>
              <w:jc w:val="left"/>
              <w:rPr>
                <w:b/>
                <w:sz w:val="24"/>
              </w:rPr>
            </w:pPr>
            <w:r>
              <w:rPr>
                <w:b/>
                <w:color w:val="003366"/>
                <w:sz w:val="24"/>
              </w:rPr>
              <w:t>NOTE</w:t>
            </w:r>
            <w:r>
              <w:rPr>
                <w:b/>
                <w:color w:val="003366"/>
                <w:spacing w:val="-1"/>
                <w:sz w:val="24"/>
              </w:rPr>
              <w:t xml:space="preserve"> </w:t>
            </w:r>
            <w:r>
              <w:rPr>
                <w:b/>
                <w:color w:val="003366"/>
                <w:sz w:val="24"/>
              </w:rPr>
              <w:t>26.</w:t>
            </w:r>
            <w:r>
              <w:rPr>
                <w:b/>
                <w:color w:val="003366"/>
                <w:sz w:val="24"/>
              </w:rPr>
              <w:tab/>
              <w:t>EMPLOYEE EXPENSES –</w:t>
            </w:r>
            <w:r>
              <w:rPr>
                <w:b/>
                <w:color w:val="003366"/>
                <w:spacing w:val="-2"/>
                <w:sz w:val="24"/>
              </w:rPr>
              <w:t xml:space="preserve"> </w:t>
            </w:r>
            <w:r>
              <w:rPr>
                <w:b/>
                <w:color w:val="003366"/>
                <w:sz w:val="24"/>
              </w:rPr>
              <w:t>TERRITORIAL</w:t>
            </w:r>
          </w:p>
        </w:tc>
        <w:tc>
          <w:tcPr>
            <w:tcW w:w="1418" w:type="dxa"/>
            <w:tcBorders>
              <w:top w:val="double" w:sz="1" w:space="0" w:color="003366"/>
            </w:tcBorders>
          </w:tcPr>
          <w:p w:rsidR="006C17CB" w:rsidRDefault="006C17CB">
            <w:pPr>
              <w:pStyle w:val="TableParagraph"/>
              <w:jc w:val="left"/>
              <w:rPr>
                <w:rFonts w:ascii="Times New Roman"/>
                <w:sz w:val="20"/>
              </w:rPr>
            </w:pPr>
          </w:p>
        </w:tc>
        <w:tc>
          <w:tcPr>
            <w:tcW w:w="912" w:type="dxa"/>
            <w:tcBorders>
              <w:top w:val="double" w:sz="1" w:space="0" w:color="003366"/>
            </w:tcBorders>
          </w:tcPr>
          <w:p w:rsidR="006C17CB" w:rsidRDefault="006C17CB">
            <w:pPr>
              <w:pStyle w:val="TableParagraph"/>
              <w:jc w:val="left"/>
              <w:rPr>
                <w:rFonts w:ascii="Times New Roman"/>
                <w:sz w:val="20"/>
              </w:rPr>
            </w:pPr>
          </w:p>
        </w:tc>
      </w:tr>
      <w:tr w:rsidR="006C17CB">
        <w:trPr>
          <w:trHeight w:val="558"/>
        </w:trPr>
        <w:tc>
          <w:tcPr>
            <w:tcW w:w="6489" w:type="dxa"/>
          </w:tcPr>
          <w:p w:rsidR="006C17CB" w:rsidRDefault="006C17CB">
            <w:pPr>
              <w:pStyle w:val="TableParagraph"/>
              <w:jc w:val="left"/>
              <w:rPr>
                <w:rFonts w:ascii="Times New Roman"/>
                <w:sz w:val="20"/>
              </w:rPr>
            </w:pPr>
          </w:p>
        </w:tc>
        <w:tc>
          <w:tcPr>
            <w:tcW w:w="1418" w:type="dxa"/>
          </w:tcPr>
          <w:p w:rsidR="006C17CB" w:rsidRDefault="0030091C">
            <w:pPr>
              <w:pStyle w:val="TableParagraph"/>
              <w:spacing w:line="263" w:lineRule="exact"/>
              <w:ind w:left="662"/>
              <w:jc w:val="left"/>
              <w:rPr>
                <w:b/>
                <w:sz w:val="20"/>
              </w:rPr>
            </w:pPr>
            <w:r>
              <w:rPr>
                <w:b/>
                <w:color w:val="003366"/>
                <w:sz w:val="20"/>
              </w:rPr>
              <w:t>2018</w:t>
            </w:r>
          </w:p>
          <w:p w:rsidR="006C17CB" w:rsidRDefault="0030091C">
            <w:pPr>
              <w:pStyle w:val="TableParagraph"/>
              <w:spacing w:line="265" w:lineRule="exact"/>
              <w:ind w:left="612"/>
              <w:jc w:val="left"/>
              <w:rPr>
                <w:b/>
                <w:sz w:val="20"/>
              </w:rPr>
            </w:pPr>
            <w:r>
              <w:rPr>
                <w:b/>
                <w:color w:val="003366"/>
                <w:sz w:val="20"/>
              </w:rPr>
              <w:t>$’000</w:t>
            </w:r>
          </w:p>
        </w:tc>
        <w:tc>
          <w:tcPr>
            <w:tcW w:w="912" w:type="dxa"/>
          </w:tcPr>
          <w:p w:rsidR="006C17CB" w:rsidRDefault="0030091C">
            <w:pPr>
              <w:pStyle w:val="TableParagraph"/>
              <w:spacing w:line="263" w:lineRule="exact"/>
              <w:ind w:left="401"/>
              <w:jc w:val="left"/>
              <w:rPr>
                <w:b/>
                <w:sz w:val="20"/>
              </w:rPr>
            </w:pPr>
            <w:r>
              <w:rPr>
                <w:b/>
                <w:color w:val="003366"/>
                <w:sz w:val="20"/>
              </w:rPr>
              <w:t>2017</w:t>
            </w:r>
          </w:p>
          <w:p w:rsidR="006C17CB" w:rsidRDefault="0030091C">
            <w:pPr>
              <w:pStyle w:val="TableParagraph"/>
              <w:spacing w:line="265" w:lineRule="exact"/>
              <w:ind w:left="351"/>
              <w:jc w:val="left"/>
              <w:rPr>
                <w:b/>
                <w:sz w:val="20"/>
              </w:rPr>
            </w:pPr>
            <w:r>
              <w:rPr>
                <w:b/>
                <w:color w:val="003366"/>
                <w:sz w:val="20"/>
              </w:rPr>
              <w:t>$’000</w:t>
            </w:r>
          </w:p>
        </w:tc>
      </w:tr>
      <w:tr w:rsidR="006C17CB">
        <w:trPr>
          <w:trHeight w:val="294"/>
        </w:trPr>
        <w:tc>
          <w:tcPr>
            <w:tcW w:w="6489" w:type="dxa"/>
          </w:tcPr>
          <w:p w:rsidR="006C17CB" w:rsidRDefault="0030091C">
            <w:pPr>
              <w:pStyle w:val="TableParagraph"/>
              <w:spacing w:line="255" w:lineRule="exact"/>
              <w:ind w:left="50"/>
              <w:jc w:val="left"/>
              <w:rPr>
                <w:sz w:val="20"/>
              </w:rPr>
            </w:pPr>
            <w:r>
              <w:rPr>
                <w:color w:val="003366"/>
                <w:sz w:val="20"/>
              </w:rPr>
              <w:t xml:space="preserve">Wages and Salaries </w:t>
            </w:r>
            <w:r>
              <w:rPr>
                <w:color w:val="003366"/>
                <w:sz w:val="20"/>
                <w:vertAlign w:val="superscript"/>
              </w:rPr>
              <w:t>a</w:t>
            </w:r>
          </w:p>
        </w:tc>
        <w:tc>
          <w:tcPr>
            <w:tcW w:w="1418" w:type="dxa"/>
          </w:tcPr>
          <w:p w:rsidR="006C17CB" w:rsidRDefault="0030091C">
            <w:pPr>
              <w:pStyle w:val="TableParagraph"/>
              <w:spacing w:line="255" w:lineRule="exact"/>
              <w:ind w:right="350"/>
              <w:rPr>
                <w:sz w:val="20"/>
              </w:rPr>
            </w:pPr>
            <w:r>
              <w:rPr>
                <w:color w:val="003366"/>
                <w:w w:val="95"/>
                <w:sz w:val="20"/>
              </w:rPr>
              <w:t>7,565</w:t>
            </w:r>
          </w:p>
        </w:tc>
        <w:tc>
          <w:tcPr>
            <w:tcW w:w="912" w:type="dxa"/>
          </w:tcPr>
          <w:p w:rsidR="006C17CB" w:rsidRDefault="0030091C">
            <w:pPr>
              <w:pStyle w:val="TableParagraph"/>
              <w:spacing w:line="255" w:lineRule="exact"/>
              <w:ind w:right="105"/>
              <w:rPr>
                <w:sz w:val="20"/>
              </w:rPr>
            </w:pPr>
            <w:r>
              <w:rPr>
                <w:color w:val="003366"/>
                <w:w w:val="95"/>
                <w:sz w:val="20"/>
              </w:rPr>
              <w:t>6,713</w:t>
            </w:r>
          </w:p>
        </w:tc>
      </w:tr>
      <w:tr w:rsidR="006C17CB">
        <w:trPr>
          <w:trHeight w:val="284"/>
        </w:trPr>
        <w:tc>
          <w:tcPr>
            <w:tcW w:w="6489" w:type="dxa"/>
          </w:tcPr>
          <w:p w:rsidR="006C17CB" w:rsidRDefault="0030091C">
            <w:pPr>
              <w:pStyle w:val="TableParagraph"/>
              <w:spacing w:line="246" w:lineRule="exact"/>
              <w:ind w:left="50"/>
              <w:jc w:val="left"/>
              <w:rPr>
                <w:sz w:val="20"/>
              </w:rPr>
            </w:pPr>
            <w:r>
              <w:rPr>
                <w:color w:val="003366"/>
                <w:sz w:val="20"/>
              </w:rPr>
              <w:t>Annual Leave Expense</w:t>
            </w:r>
          </w:p>
        </w:tc>
        <w:tc>
          <w:tcPr>
            <w:tcW w:w="1418" w:type="dxa"/>
          </w:tcPr>
          <w:p w:rsidR="006C17CB" w:rsidRDefault="0030091C">
            <w:pPr>
              <w:pStyle w:val="TableParagraph"/>
              <w:spacing w:line="246" w:lineRule="exact"/>
              <w:ind w:right="350"/>
              <w:rPr>
                <w:sz w:val="20"/>
              </w:rPr>
            </w:pPr>
            <w:r>
              <w:rPr>
                <w:color w:val="003366"/>
                <w:w w:val="95"/>
                <w:sz w:val="20"/>
              </w:rPr>
              <w:t>328</w:t>
            </w:r>
          </w:p>
        </w:tc>
        <w:tc>
          <w:tcPr>
            <w:tcW w:w="912" w:type="dxa"/>
          </w:tcPr>
          <w:p w:rsidR="006C17CB" w:rsidRDefault="0030091C">
            <w:pPr>
              <w:pStyle w:val="TableParagraph"/>
              <w:spacing w:line="246" w:lineRule="exact"/>
              <w:ind w:right="105"/>
              <w:rPr>
                <w:sz w:val="20"/>
              </w:rPr>
            </w:pPr>
            <w:r>
              <w:rPr>
                <w:color w:val="003366"/>
                <w:w w:val="95"/>
                <w:sz w:val="20"/>
              </w:rPr>
              <w:t>264</w:t>
            </w:r>
          </w:p>
        </w:tc>
      </w:tr>
      <w:tr w:rsidR="006C17CB">
        <w:trPr>
          <w:trHeight w:val="283"/>
        </w:trPr>
        <w:tc>
          <w:tcPr>
            <w:tcW w:w="6489" w:type="dxa"/>
          </w:tcPr>
          <w:p w:rsidR="006C17CB" w:rsidRDefault="0030091C">
            <w:pPr>
              <w:pStyle w:val="TableParagraph"/>
              <w:spacing w:line="245" w:lineRule="exact"/>
              <w:ind w:left="50"/>
              <w:jc w:val="left"/>
              <w:rPr>
                <w:sz w:val="20"/>
              </w:rPr>
            </w:pPr>
            <w:r>
              <w:rPr>
                <w:color w:val="003366"/>
                <w:sz w:val="20"/>
              </w:rPr>
              <w:t>Long Service Leave Expense</w:t>
            </w:r>
          </w:p>
        </w:tc>
        <w:tc>
          <w:tcPr>
            <w:tcW w:w="1418" w:type="dxa"/>
          </w:tcPr>
          <w:p w:rsidR="006C17CB" w:rsidRDefault="0030091C">
            <w:pPr>
              <w:pStyle w:val="TableParagraph"/>
              <w:spacing w:line="245" w:lineRule="exact"/>
              <w:ind w:right="347"/>
              <w:rPr>
                <w:sz w:val="20"/>
              </w:rPr>
            </w:pPr>
            <w:r>
              <w:rPr>
                <w:color w:val="003366"/>
                <w:w w:val="95"/>
                <w:sz w:val="20"/>
              </w:rPr>
              <w:t>88</w:t>
            </w:r>
          </w:p>
        </w:tc>
        <w:tc>
          <w:tcPr>
            <w:tcW w:w="912" w:type="dxa"/>
          </w:tcPr>
          <w:p w:rsidR="006C17CB" w:rsidRDefault="0030091C">
            <w:pPr>
              <w:pStyle w:val="TableParagraph"/>
              <w:spacing w:line="245" w:lineRule="exact"/>
              <w:ind w:right="103"/>
              <w:rPr>
                <w:sz w:val="20"/>
              </w:rPr>
            </w:pPr>
            <w:r>
              <w:rPr>
                <w:color w:val="003366"/>
                <w:w w:val="95"/>
                <w:sz w:val="20"/>
              </w:rPr>
              <w:t>83</w:t>
            </w:r>
          </w:p>
        </w:tc>
      </w:tr>
      <w:tr w:rsidR="006C17CB">
        <w:trPr>
          <w:trHeight w:val="275"/>
        </w:trPr>
        <w:tc>
          <w:tcPr>
            <w:tcW w:w="6489" w:type="dxa"/>
          </w:tcPr>
          <w:p w:rsidR="006C17CB" w:rsidRDefault="0030091C">
            <w:pPr>
              <w:pStyle w:val="TableParagraph"/>
              <w:spacing w:line="245" w:lineRule="exact"/>
              <w:ind w:left="50"/>
              <w:jc w:val="left"/>
              <w:rPr>
                <w:sz w:val="20"/>
              </w:rPr>
            </w:pPr>
            <w:r>
              <w:rPr>
                <w:color w:val="003366"/>
                <w:sz w:val="20"/>
              </w:rPr>
              <w:t>Workers’ Compensation Insurance</w:t>
            </w:r>
          </w:p>
        </w:tc>
        <w:tc>
          <w:tcPr>
            <w:tcW w:w="1418" w:type="dxa"/>
          </w:tcPr>
          <w:p w:rsidR="006C17CB" w:rsidRDefault="0030091C">
            <w:pPr>
              <w:pStyle w:val="TableParagraph"/>
              <w:spacing w:line="245" w:lineRule="exact"/>
              <w:ind w:right="347"/>
              <w:rPr>
                <w:sz w:val="20"/>
              </w:rPr>
            </w:pPr>
            <w:r>
              <w:rPr>
                <w:color w:val="003366"/>
                <w:w w:val="95"/>
                <w:sz w:val="20"/>
              </w:rPr>
              <w:t>15</w:t>
            </w:r>
          </w:p>
        </w:tc>
        <w:tc>
          <w:tcPr>
            <w:tcW w:w="912" w:type="dxa"/>
          </w:tcPr>
          <w:p w:rsidR="006C17CB" w:rsidRDefault="0030091C">
            <w:pPr>
              <w:pStyle w:val="TableParagraph"/>
              <w:spacing w:line="245" w:lineRule="exact"/>
              <w:ind w:right="103"/>
              <w:rPr>
                <w:sz w:val="20"/>
              </w:rPr>
            </w:pPr>
            <w:r>
              <w:rPr>
                <w:color w:val="003366"/>
                <w:w w:val="95"/>
                <w:sz w:val="20"/>
              </w:rPr>
              <w:t>27</w:t>
            </w:r>
          </w:p>
        </w:tc>
      </w:tr>
      <w:tr w:rsidR="006C17CB">
        <w:trPr>
          <w:trHeight w:val="251"/>
        </w:trPr>
        <w:tc>
          <w:tcPr>
            <w:tcW w:w="6489" w:type="dxa"/>
          </w:tcPr>
          <w:p w:rsidR="006C17CB" w:rsidRDefault="0030091C">
            <w:pPr>
              <w:pStyle w:val="TableParagraph"/>
              <w:spacing w:line="231" w:lineRule="exact"/>
              <w:ind w:left="50"/>
              <w:jc w:val="left"/>
              <w:rPr>
                <w:sz w:val="20"/>
              </w:rPr>
            </w:pPr>
            <w:r>
              <w:rPr>
                <w:color w:val="003366"/>
                <w:sz w:val="20"/>
              </w:rPr>
              <w:t xml:space="preserve">Termination Expense </w:t>
            </w:r>
            <w:r>
              <w:rPr>
                <w:color w:val="003366"/>
                <w:sz w:val="20"/>
                <w:vertAlign w:val="superscript"/>
              </w:rPr>
              <w:t>b</w:t>
            </w:r>
          </w:p>
        </w:tc>
        <w:tc>
          <w:tcPr>
            <w:tcW w:w="1418" w:type="dxa"/>
          </w:tcPr>
          <w:p w:rsidR="006C17CB" w:rsidRDefault="0030091C">
            <w:pPr>
              <w:pStyle w:val="TableParagraph"/>
              <w:spacing w:line="231" w:lineRule="exact"/>
              <w:ind w:right="347"/>
              <w:rPr>
                <w:sz w:val="20"/>
              </w:rPr>
            </w:pPr>
            <w:r>
              <w:rPr>
                <w:color w:val="003366"/>
                <w:w w:val="95"/>
                <w:sz w:val="20"/>
              </w:rPr>
              <w:t>47</w:t>
            </w:r>
          </w:p>
        </w:tc>
        <w:tc>
          <w:tcPr>
            <w:tcW w:w="912" w:type="dxa"/>
          </w:tcPr>
          <w:p w:rsidR="006C17CB" w:rsidRDefault="0030091C">
            <w:pPr>
              <w:pStyle w:val="TableParagraph"/>
              <w:spacing w:line="231" w:lineRule="exact"/>
              <w:ind w:right="105"/>
              <w:rPr>
                <w:sz w:val="20"/>
              </w:rPr>
            </w:pPr>
            <w:r>
              <w:rPr>
                <w:color w:val="003366"/>
                <w:w w:val="95"/>
                <w:sz w:val="20"/>
              </w:rPr>
              <w:t>209</w:t>
            </w:r>
          </w:p>
        </w:tc>
      </w:tr>
    </w:tbl>
    <w:p w:rsidR="006C17CB" w:rsidRDefault="0030091C">
      <w:pPr>
        <w:tabs>
          <w:tab w:val="left" w:pos="7223"/>
          <w:tab w:val="left" w:pos="8089"/>
          <w:tab w:val="left" w:pos="9246"/>
        </w:tabs>
        <w:ind w:left="784"/>
        <w:rPr>
          <w:rFonts w:ascii="Calibri"/>
          <w:sz w:val="20"/>
        </w:rPr>
      </w:pPr>
      <w:r>
        <w:rPr>
          <w:rFonts w:ascii="Calibri"/>
          <w:color w:val="003366"/>
          <w:sz w:val="20"/>
        </w:rPr>
        <w:t>Other Employee Benefits</w:t>
      </w:r>
      <w:r>
        <w:rPr>
          <w:rFonts w:ascii="Calibri"/>
          <w:color w:val="003366"/>
          <w:spacing w:val="-8"/>
          <w:sz w:val="20"/>
        </w:rPr>
        <w:t xml:space="preserve"> </w:t>
      </w:r>
      <w:r>
        <w:rPr>
          <w:rFonts w:ascii="Calibri"/>
          <w:color w:val="003366"/>
          <w:sz w:val="20"/>
        </w:rPr>
        <w:t>and</w:t>
      </w:r>
      <w:r>
        <w:rPr>
          <w:rFonts w:ascii="Calibri"/>
          <w:color w:val="003366"/>
          <w:spacing w:val="-1"/>
          <w:sz w:val="20"/>
        </w:rPr>
        <w:t xml:space="preserve"> </w:t>
      </w:r>
      <w:r>
        <w:rPr>
          <w:rFonts w:ascii="Calibri"/>
          <w:color w:val="003366"/>
          <w:sz w:val="20"/>
        </w:rPr>
        <w:t>On-Costs</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40</w:t>
      </w:r>
      <w:r>
        <w:rPr>
          <w:rFonts w:ascii="Calibri"/>
          <w:color w:val="003366"/>
          <w:sz w:val="20"/>
          <w:u w:val="single" w:color="003366"/>
        </w:rPr>
        <w:tab/>
        <w:t>31</w:t>
      </w:r>
      <w:r>
        <w:rPr>
          <w:rFonts w:ascii="Calibri"/>
          <w:color w:val="003366"/>
          <w:spacing w:val="15"/>
          <w:sz w:val="20"/>
          <w:u w:val="single" w:color="003366"/>
        </w:rPr>
        <w:t xml:space="preserve"> </w:t>
      </w:r>
    </w:p>
    <w:p w:rsidR="006C17CB" w:rsidRDefault="0030091C">
      <w:pPr>
        <w:tabs>
          <w:tab w:val="left" w:pos="7835"/>
          <w:tab w:val="left" w:pos="8991"/>
        </w:tabs>
        <w:spacing w:before="2"/>
        <w:ind w:left="784"/>
        <w:rPr>
          <w:rFonts w:ascii="Calibri"/>
          <w:b/>
          <w:sz w:val="20"/>
        </w:rPr>
      </w:pPr>
      <w:r>
        <w:rPr>
          <w:rFonts w:ascii="Calibri"/>
          <w:b/>
          <w:color w:val="003366"/>
          <w:sz w:val="20"/>
        </w:rPr>
        <w:t>Total</w:t>
      </w:r>
      <w:r>
        <w:rPr>
          <w:rFonts w:ascii="Calibri"/>
          <w:b/>
          <w:color w:val="003366"/>
          <w:spacing w:val="-4"/>
          <w:sz w:val="20"/>
        </w:rPr>
        <w:t xml:space="preserve"> </w:t>
      </w:r>
      <w:r>
        <w:rPr>
          <w:rFonts w:ascii="Calibri"/>
          <w:b/>
          <w:color w:val="003366"/>
          <w:sz w:val="20"/>
        </w:rPr>
        <w:t>Employee Expenses</w:t>
      </w:r>
      <w:r>
        <w:rPr>
          <w:rFonts w:ascii="Calibri"/>
          <w:b/>
          <w:color w:val="003366"/>
          <w:sz w:val="20"/>
        </w:rPr>
        <w:tab/>
        <w:t>8,083</w:t>
      </w:r>
      <w:r>
        <w:rPr>
          <w:rFonts w:ascii="Calibri"/>
          <w:b/>
          <w:color w:val="003366"/>
          <w:sz w:val="20"/>
        </w:rPr>
        <w:tab/>
        <w:t>7,327</w:t>
      </w:r>
    </w:p>
    <w:p w:rsidR="006C17CB" w:rsidRDefault="00FE24A7">
      <w:pPr>
        <w:pStyle w:val="BodyText"/>
        <w:spacing w:line="29" w:lineRule="exact"/>
        <w:ind w:left="7218"/>
        <w:rPr>
          <w:rFonts w:ascii="Calibri"/>
          <w:sz w:val="2"/>
        </w:rPr>
      </w:pPr>
      <w:r>
        <w:rPr>
          <w:rFonts w:ascii="Calibri"/>
          <w:sz w:val="2"/>
        </w:rPr>
      </w:r>
      <w:r>
        <w:rPr>
          <w:rFonts w:ascii="Calibri"/>
          <w:sz w:val="2"/>
        </w:rPr>
        <w:pict>
          <v:group id="_x0000_s1142" alt="" style="width:116.55pt;height:1.45pt;mso-position-horizontal-relative:char;mso-position-vertical-relative:line" coordsize="2331,29">
            <v:line id="_x0000_s1143" alt="" style="position:absolute" from="0,5" to="1176,5" strokecolor="#036" strokeweight=".48pt"/>
            <v:line id="_x0000_s1144" alt="" style="position:absolute" from="0,24" to="1176,24" strokecolor="#036" strokeweight=".17003mm"/>
            <v:rect id="_x0000_s1145" alt="" style="position:absolute;left:1176;width:29;height:10" fillcolor="#036" stroked="f"/>
            <v:rect id="_x0000_s1146" alt="" style="position:absolute;left:1176;top:19;width:29;height:10" fillcolor="#036" stroked="f"/>
            <v:line id="_x0000_s1147" alt="" style="position:absolute" from="1205,5" to="2330,5" strokecolor="#036" strokeweight=".48pt"/>
            <v:line id="_x0000_s1148" alt="" style="position:absolute" from="1205,24" to="2330,24" strokecolor="#036" strokeweight=".17003mm"/>
            <w10:anchorlock/>
          </v:group>
        </w:pict>
      </w:r>
    </w:p>
    <w:p w:rsidR="006C17CB" w:rsidRDefault="006C17CB">
      <w:pPr>
        <w:pStyle w:val="BodyText"/>
        <w:spacing w:before="10"/>
        <w:rPr>
          <w:rFonts w:ascii="Calibri"/>
          <w:b/>
          <w:sz w:val="17"/>
        </w:rPr>
      </w:pPr>
    </w:p>
    <w:p w:rsidR="006C17CB" w:rsidRDefault="0030091C">
      <w:pPr>
        <w:pStyle w:val="ListParagraph"/>
        <w:numPr>
          <w:ilvl w:val="0"/>
          <w:numId w:val="4"/>
        </w:numPr>
        <w:tabs>
          <w:tab w:val="left" w:pos="1143"/>
          <w:tab w:val="left" w:pos="1144"/>
        </w:tabs>
        <w:spacing w:before="58" w:line="201" w:lineRule="auto"/>
        <w:ind w:right="1477"/>
        <w:rPr>
          <w:rFonts w:ascii="Calibri" w:hAnsi="Calibri"/>
          <w:sz w:val="18"/>
        </w:rPr>
      </w:pPr>
      <w:r>
        <w:rPr>
          <w:rFonts w:ascii="Calibri" w:hAnsi="Calibri"/>
          <w:color w:val="003366"/>
          <w:sz w:val="18"/>
        </w:rPr>
        <w:t>The increase in wages and salaries is the full year impact of the increased members and members’ staffing costs resulting from the expansion of the Assembly from 17 to 25</w:t>
      </w:r>
      <w:r>
        <w:rPr>
          <w:rFonts w:ascii="Calibri" w:hAnsi="Calibri"/>
          <w:color w:val="003366"/>
          <w:spacing w:val="-6"/>
          <w:sz w:val="18"/>
        </w:rPr>
        <w:t xml:space="preserve"> </w:t>
      </w:r>
      <w:r>
        <w:rPr>
          <w:rFonts w:ascii="Calibri" w:hAnsi="Calibri"/>
          <w:color w:val="003366"/>
          <w:sz w:val="18"/>
        </w:rPr>
        <w:t>members.</w:t>
      </w:r>
    </w:p>
    <w:p w:rsidR="006C17CB" w:rsidRDefault="0030091C">
      <w:pPr>
        <w:pStyle w:val="ListParagraph"/>
        <w:numPr>
          <w:ilvl w:val="0"/>
          <w:numId w:val="4"/>
        </w:numPr>
        <w:tabs>
          <w:tab w:val="left" w:pos="1143"/>
          <w:tab w:val="left" w:pos="1144"/>
        </w:tabs>
        <w:spacing w:before="124" w:line="201" w:lineRule="auto"/>
        <w:ind w:right="1479"/>
        <w:rPr>
          <w:rFonts w:ascii="Calibri"/>
          <w:sz w:val="18"/>
        </w:rPr>
      </w:pPr>
      <w:r>
        <w:rPr>
          <w:rFonts w:ascii="Calibri"/>
          <w:color w:val="003366"/>
          <w:sz w:val="18"/>
        </w:rPr>
        <w:t>One termination payment was made in 2017-18, whereas in 2016-17 several termination payments were paid to non-Executive members and staff who were not re-employed following the October 2016</w:t>
      </w:r>
      <w:r>
        <w:rPr>
          <w:rFonts w:ascii="Calibri"/>
          <w:color w:val="003366"/>
          <w:spacing w:val="-13"/>
          <w:sz w:val="18"/>
        </w:rPr>
        <w:t xml:space="preserve"> </w:t>
      </w:r>
      <w:r>
        <w:rPr>
          <w:rFonts w:ascii="Calibri"/>
          <w:color w:val="003366"/>
          <w:sz w:val="18"/>
        </w:rPr>
        <w:t>election.</w:t>
      </w:r>
    </w:p>
    <w:p w:rsidR="006C17CB" w:rsidRDefault="006C17CB">
      <w:pPr>
        <w:spacing w:line="201" w:lineRule="auto"/>
        <w:rPr>
          <w:rFonts w:ascii="Calibri"/>
          <w:sz w:val="18"/>
        </w:rPr>
        <w:sectPr w:rsidR="006C17CB">
          <w:type w:val="continuous"/>
          <w:pgSz w:w="11910" w:h="16840"/>
          <w:pgMar w:top="1580" w:right="0" w:bottom="280" w:left="980" w:header="720" w:footer="720" w:gutter="0"/>
          <w:cols w:space="720"/>
        </w:sectPr>
      </w:pPr>
    </w:p>
    <w:p w:rsidR="006C17CB" w:rsidRDefault="006C17CB">
      <w:pPr>
        <w:pStyle w:val="BodyText"/>
        <w:rPr>
          <w:rFonts w:ascii="Calibri"/>
          <w:sz w:val="20"/>
        </w:rPr>
      </w:pPr>
    </w:p>
    <w:p w:rsidR="006C17CB" w:rsidRDefault="006C17CB">
      <w:pPr>
        <w:pStyle w:val="BodyText"/>
        <w:spacing w:before="7"/>
        <w:rPr>
          <w:rFonts w:ascii="Calibri"/>
          <w:sz w:val="12"/>
        </w:rPr>
      </w:pPr>
    </w:p>
    <w:tbl>
      <w:tblPr>
        <w:tblW w:w="0" w:type="auto"/>
        <w:tblInd w:w="734" w:type="dxa"/>
        <w:tblLayout w:type="fixed"/>
        <w:tblCellMar>
          <w:left w:w="0" w:type="dxa"/>
          <w:right w:w="0" w:type="dxa"/>
        </w:tblCellMar>
        <w:tblLook w:val="01E0" w:firstRow="1" w:lastRow="1" w:firstColumn="1" w:lastColumn="1" w:noHBand="0" w:noVBand="0"/>
      </w:tblPr>
      <w:tblGrid>
        <w:gridCol w:w="6389"/>
        <w:gridCol w:w="1519"/>
        <w:gridCol w:w="856"/>
      </w:tblGrid>
      <w:tr w:rsidR="006C17CB">
        <w:trPr>
          <w:trHeight w:val="323"/>
        </w:trPr>
        <w:tc>
          <w:tcPr>
            <w:tcW w:w="6389" w:type="dxa"/>
          </w:tcPr>
          <w:p w:rsidR="006C17CB" w:rsidRDefault="0030091C">
            <w:pPr>
              <w:pStyle w:val="TableParagraph"/>
              <w:tabs>
                <w:tab w:val="left" w:pos="1182"/>
              </w:tabs>
              <w:spacing w:line="244" w:lineRule="exact"/>
              <w:ind w:left="50"/>
              <w:jc w:val="left"/>
              <w:rPr>
                <w:b/>
                <w:sz w:val="24"/>
              </w:rPr>
            </w:pPr>
            <w:r>
              <w:rPr>
                <w:b/>
                <w:color w:val="003366"/>
                <w:sz w:val="24"/>
              </w:rPr>
              <w:t>NOTE</w:t>
            </w:r>
            <w:r>
              <w:rPr>
                <w:b/>
                <w:color w:val="003366"/>
                <w:spacing w:val="-1"/>
                <w:sz w:val="24"/>
              </w:rPr>
              <w:t xml:space="preserve"> </w:t>
            </w:r>
            <w:r>
              <w:rPr>
                <w:b/>
                <w:color w:val="003366"/>
                <w:sz w:val="24"/>
              </w:rPr>
              <w:t>27.</w:t>
            </w:r>
            <w:r>
              <w:rPr>
                <w:b/>
                <w:color w:val="003366"/>
                <w:sz w:val="24"/>
              </w:rPr>
              <w:tab/>
              <w:t>SUPERANNUATION EXPENSES –</w:t>
            </w:r>
            <w:r>
              <w:rPr>
                <w:b/>
                <w:color w:val="003366"/>
                <w:spacing w:val="-4"/>
                <w:sz w:val="24"/>
              </w:rPr>
              <w:t xml:space="preserve"> </w:t>
            </w:r>
            <w:r>
              <w:rPr>
                <w:b/>
                <w:color w:val="003366"/>
                <w:sz w:val="24"/>
              </w:rPr>
              <w:t>TERRITORIAL</w:t>
            </w:r>
          </w:p>
        </w:tc>
        <w:tc>
          <w:tcPr>
            <w:tcW w:w="1519" w:type="dxa"/>
          </w:tcPr>
          <w:p w:rsidR="006C17CB" w:rsidRDefault="006C17CB">
            <w:pPr>
              <w:pStyle w:val="TableParagraph"/>
              <w:jc w:val="left"/>
              <w:rPr>
                <w:rFonts w:ascii="Times New Roman"/>
                <w:sz w:val="20"/>
              </w:rPr>
            </w:pPr>
          </w:p>
        </w:tc>
        <w:tc>
          <w:tcPr>
            <w:tcW w:w="856" w:type="dxa"/>
          </w:tcPr>
          <w:p w:rsidR="006C17CB" w:rsidRDefault="006C17CB">
            <w:pPr>
              <w:pStyle w:val="TableParagraph"/>
              <w:jc w:val="left"/>
              <w:rPr>
                <w:rFonts w:ascii="Times New Roman"/>
                <w:sz w:val="20"/>
              </w:rPr>
            </w:pPr>
          </w:p>
        </w:tc>
      </w:tr>
      <w:tr w:rsidR="006C17CB">
        <w:trPr>
          <w:trHeight w:val="568"/>
        </w:trPr>
        <w:tc>
          <w:tcPr>
            <w:tcW w:w="6389" w:type="dxa"/>
          </w:tcPr>
          <w:p w:rsidR="006C17CB" w:rsidRDefault="006C17CB">
            <w:pPr>
              <w:pStyle w:val="TableParagraph"/>
              <w:jc w:val="left"/>
              <w:rPr>
                <w:rFonts w:ascii="Times New Roman"/>
                <w:sz w:val="20"/>
              </w:rPr>
            </w:pPr>
          </w:p>
        </w:tc>
        <w:tc>
          <w:tcPr>
            <w:tcW w:w="1519" w:type="dxa"/>
          </w:tcPr>
          <w:p w:rsidR="006C17CB" w:rsidRDefault="0030091C">
            <w:pPr>
              <w:pStyle w:val="TableParagraph"/>
              <w:spacing w:line="264" w:lineRule="exact"/>
              <w:ind w:left="762"/>
              <w:jc w:val="left"/>
              <w:rPr>
                <w:b/>
                <w:sz w:val="20"/>
              </w:rPr>
            </w:pPr>
            <w:r>
              <w:rPr>
                <w:b/>
                <w:color w:val="003366"/>
                <w:sz w:val="20"/>
              </w:rPr>
              <w:t>2018</w:t>
            </w:r>
          </w:p>
          <w:p w:rsidR="006C17CB" w:rsidRDefault="0030091C">
            <w:pPr>
              <w:pStyle w:val="TableParagraph"/>
              <w:spacing w:line="265" w:lineRule="exact"/>
              <w:ind w:left="712"/>
              <w:jc w:val="left"/>
              <w:rPr>
                <w:b/>
                <w:sz w:val="20"/>
              </w:rPr>
            </w:pPr>
            <w:r>
              <w:rPr>
                <w:b/>
                <w:color w:val="003366"/>
                <w:sz w:val="20"/>
              </w:rPr>
              <w:t>$’000</w:t>
            </w:r>
          </w:p>
        </w:tc>
        <w:tc>
          <w:tcPr>
            <w:tcW w:w="856" w:type="dxa"/>
          </w:tcPr>
          <w:p w:rsidR="006C17CB" w:rsidRDefault="0030091C">
            <w:pPr>
              <w:pStyle w:val="TableParagraph"/>
              <w:spacing w:line="264" w:lineRule="exact"/>
              <w:ind w:left="400"/>
              <w:jc w:val="left"/>
              <w:rPr>
                <w:b/>
                <w:sz w:val="20"/>
              </w:rPr>
            </w:pPr>
            <w:r>
              <w:rPr>
                <w:b/>
                <w:color w:val="003366"/>
                <w:sz w:val="20"/>
              </w:rPr>
              <w:t>2017</w:t>
            </w:r>
          </w:p>
          <w:p w:rsidR="006C17CB" w:rsidRDefault="0030091C">
            <w:pPr>
              <w:pStyle w:val="TableParagraph"/>
              <w:spacing w:line="265" w:lineRule="exact"/>
              <w:ind w:left="350"/>
              <w:jc w:val="left"/>
              <w:rPr>
                <w:b/>
                <w:sz w:val="20"/>
              </w:rPr>
            </w:pPr>
            <w:r>
              <w:rPr>
                <w:b/>
                <w:color w:val="003366"/>
                <w:sz w:val="20"/>
              </w:rPr>
              <w:t>$’000</w:t>
            </w:r>
          </w:p>
        </w:tc>
      </w:tr>
      <w:tr w:rsidR="006C17CB">
        <w:trPr>
          <w:trHeight w:val="284"/>
        </w:trPr>
        <w:tc>
          <w:tcPr>
            <w:tcW w:w="6389" w:type="dxa"/>
          </w:tcPr>
          <w:p w:rsidR="006C17CB" w:rsidRDefault="0030091C">
            <w:pPr>
              <w:pStyle w:val="TableParagraph"/>
              <w:spacing w:line="246" w:lineRule="exact"/>
              <w:ind w:left="50"/>
              <w:jc w:val="left"/>
              <w:rPr>
                <w:sz w:val="20"/>
              </w:rPr>
            </w:pPr>
            <w:r>
              <w:rPr>
                <w:color w:val="003366"/>
                <w:sz w:val="20"/>
              </w:rPr>
              <w:t>Superannuation Contributions to the Territory Banking Account</w:t>
            </w:r>
          </w:p>
        </w:tc>
        <w:tc>
          <w:tcPr>
            <w:tcW w:w="1519" w:type="dxa"/>
          </w:tcPr>
          <w:p w:rsidR="006C17CB" w:rsidRDefault="0030091C">
            <w:pPr>
              <w:pStyle w:val="TableParagraph"/>
              <w:spacing w:line="246" w:lineRule="exact"/>
              <w:ind w:right="348"/>
              <w:rPr>
                <w:sz w:val="20"/>
              </w:rPr>
            </w:pPr>
            <w:r>
              <w:rPr>
                <w:color w:val="003366"/>
                <w:w w:val="95"/>
                <w:sz w:val="20"/>
              </w:rPr>
              <w:t>96</w:t>
            </w:r>
          </w:p>
        </w:tc>
        <w:tc>
          <w:tcPr>
            <w:tcW w:w="856" w:type="dxa"/>
          </w:tcPr>
          <w:p w:rsidR="006C17CB" w:rsidRDefault="0030091C">
            <w:pPr>
              <w:pStyle w:val="TableParagraph"/>
              <w:spacing w:line="246" w:lineRule="exact"/>
              <w:ind w:right="50"/>
              <w:rPr>
                <w:sz w:val="20"/>
              </w:rPr>
            </w:pPr>
            <w:r>
              <w:rPr>
                <w:color w:val="003366"/>
                <w:w w:val="95"/>
                <w:sz w:val="20"/>
              </w:rPr>
              <w:t>115</w:t>
            </w:r>
          </w:p>
        </w:tc>
      </w:tr>
      <w:tr w:rsidR="006C17CB">
        <w:trPr>
          <w:trHeight w:val="241"/>
        </w:trPr>
        <w:tc>
          <w:tcPr>
            <w:tcW w:w="6389" w:type="dxa"/>
          </w:tcPr>
          <w:p w:rsidR="006C17CB" w:rsidRDefault="0030091C">
            <w:pPr>
              <w:pStyle w:val="TableParagraph"/>
              <w:spacing w:line="221" w:lineRule="exact"/>
              <w:ind w:left="50"/>
              <w:jc w:val="left"/>
              <w:rPr>
                <w:sz w:val="20"/>
              </w:rPr>
            </w:pPr>
            <w:r>
              <w:rPr>
                <w:color w:val="003366"/>
                <w:sz w:val="20"/>
              </w:rPr>
              <w:t>Productivity Benefit</w:t>
            </w:r>
          </w:p>
        </w:tc>
        <w:tc>
          <w:tcPr>
            <w:tcW w:w="1519" w:type="dxa"/>
          </w:tcPr>
          <w:p w:rsidR="006C17CB" w:rsidRDefault="0030091C">
            <w:pPr>
              <w:pStyle w:val="TableParagraph"/>
              <w:spacing w:line="221" w:lineRule="exact"/>
              <w:ind w:right="348"/>
              <w:rPr>
                <w:sz w:val="20"/>
              </w:rPr>
            </w:pPr>
            <w:r>
              <w:rPr>
                <w:color w:val="003366"/>
                <w:w w:val="99"/>
                <w:sz w:val="20"/>
              </w:rPr>
              <w:t>7</w:t>
            </w:r>
          </w:p>
        </w:tc>
        <w:tc>
          <w:tcPr>
            <w:tcW w:w="856" w:type="dxa"/>
          </w:tcPr>
          <w:p w:rsidR="006C17CB" w:rsidRDefault="0030091C">
            <w:pPr>
              <w:pStyle w:val="TableParagraph"/>
              <w:spacing w:line="221" w:lineRule="exact"/>
              <w:ind w:right="48"/>
              <w:rPr>
                <w:sz w:val="20"/>
              </w:rPr>
            </w:pPr>
            <w:r>
              <w:rPr>
                <w:color w:val="003366"/>
                <w:w w:val="95"/>
                <w:sz w:val="20"/>
              </w:rPr>
              <w:t>10</w:t>
            </w:r>
          </w:p>
        </w:tc>
      </w:tr>
    </w:tbl>
    <w:p w:rsidR="006C17CB" w:rsidRDefault="0030091C">
      <w:pPr>
        <w:tabs>
          <w:tab w:val="left" w:pos="7223"/>
          <w:tab w:val="left" w:pos="7986"/>
          <w:tab w:val="left" w:pos="9143"/>
        </w:tabs>
        <w:spacing w:before="1" w:line="288" w:lineRule="exact"/>
        <w:ind w:left="784"/>
        <w:rPr>
          <w:rFonts w:ascii="Calibri"/>
          <w:sz w:val="20"/>
        </w:rPr>
      </w:pPr>
      <w:r>
        <w:rPr>
          <w:rFonts w:ascii="Calibri"/>
          <w:color w:val="003366"/>
          <w:sz w:val="20"/>
        </w:rPr>
        <w:t>Superannuation Contributions paid to External</w:t>
      </w:r>
      <w:r>
        <w:rPr>
          <w:rFonts w:ascii="Calibri"/>
          <w:color w:val="003366"/>
          <w:spacing w:val="-16"/>
          <w:sz w:val="20"/>
        </w:rPr>
        <w:t xml:space="preserve"> </w:t>
      </w:r>
      <w:r>
        <w:rPr>
          <w:rFonts w:ascii="Calibri"/>
          <w:color w:val="003366"/>
          <w:sz w:val="20"/>
        </w:rPr>
        <w:t>Providers</w:t>
      </w:r>
      <w:r>
        <w:rPr>
          <w:rFonts w:ascii="Calibri"/>
          <w:color w:val="003366"/>
          <w:spacing w:val="-21"/>
          <w:sz w:val="20"/>
        </w:rPr>
        <w:t xml:space="preserve"> </w:t>
      </w:r>
      <w:r>
        <w:rPr>
          <w:rFonts w:ascii="Calibri"/>
          <w:color w:val="003366"/>
          <w:sz w:val="20"/>
          <w:vertAlign w:val="superscript"/>
        </w:rPr>
        <w:t>a</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825</w:t>
      </w:r>
      <w:r>
        <w:rPr>
          <w:rFonts w:ascii="Calibri"/>
          <w:color w:val="003366"/>
          <w:sz w:val="20"/>
          <w:u w:val="single" w:color="003366"/>
        </w:rPr>
        <w:tab/>
        <w:t>706</w:t>
      </w:r>
      <w:r>
        <w:rPr>
          <w:rFonts w:ascii="Calibri"/>
          <w:color w:val="003366"/>
          <w:spacing w:val="16"/>
          <w:sz w:val="20"/>
          <w:u w:val="single" w:color="003366"/>
        </w:rPr>
        <w:t xml:space="preserve"> </w:t>
      </w:r>
    </w:p>
    <w:p w:rsidR="006C17CB" w:rsidRDefault="00FE24A7">
      <w:pPr>
        <w:tabs>
          <w:tab w:val="left" w:pos="7986"/>
          <w:tab w:val="right" w:pos="9445"/>
        </w:tabs>
        <w:ind w:left="784"/>
        <w:rPr>
          <w:rFonts w:ascii="Calibri"/>
          <w:b/>
          <w:sz w:val="20"/>
        </w:rPr>
      </w:pPr>
      <w:r>
        <w:pict>
          <v:group id="_x0000_s1138" alt="" style="position:absolute;left:0;text-align:left;margin-left:410.15pt;margin-top:14.5pt;width:116.55pt;height:1.45pt;z-index:3040;mso-position-horizontal-relative:page" coordorigin="8203,290" coordsize="2331,29">
            <v:shape id="_x0000_s1139" alt="" style="position:absolute;left:8203;top:294;width:1177;height:20" coordorigin="8203,295" coordsize="1177,20" o:spt="100" adj="0,,0" path="m8203,295r1176,m8203,314r1176,e" filled="f" strokecolor="#036" strokeweight=".48pt">
              <v:stroke joinstyle="round"/>
              <v:formulas/>
              <v:path arrowok="t" o:connecttype="segments"/>
            </v:shape>
            <v:shape id="_x0000_s1140" alt="" style="position:absolute;left:9379;top:289;width:29;height:29" coordorigin="9379,290" coordsize="29,29" o:spt="100" adj="0,,0" path="m9408,309r-29,l9379,319r29,l9408,309t,-19l9379,290r,9l9408,299r,-9e" fillcolor="#036" stroked="f">
              <v:stroke joinstyle="round"/>
              <v:formulas/>
              <v:path arrowok="t" o:connecttype="segments"/>
            </v:shape>
            <v:shape id="_x0000_s1141" alt="" style="position:absolute;left:9408;top:294;width:1126;height:20" coordorigin="9408,295" coordsize="1126,20" o:spt="100" adj="0,,0" path="m9408,295r1126,m9408,314r1126,e" filled="f" strokecolor="#036" strokeweight=".48pt">
              <v:stroke joinstyle="round"/>
              <v:formulas/>
              <v:path arrowok="t" o:connecttype="segments"/>
            </v:shape>
            <w10:wrap anchorx="page"/>
          </v:group>
        </w:pict>
      </w:r>
      <w:r w:rsidR="0030091C">
        <w:rPr>
          <w:rFonts w:ascii="Calibri"/>
          <w:b/>
          <w:color w:val="003366"/>
          <w:sz w:val="20"/>
        </w:rPr>
        <w:t>Total</w:t>
      </w:r>
      <w:r w:rsidR="0030091C">
        <w:rPr>
          <w:rFonts w:ascii="Calibri"/>
          <w:b/>
          <w:color w:val="003366"/>
          <w:spacing w:val="-3"/>
          <w:sz w:val="20"/>
        </w:rPr>
        <w:t xml:space="preserve"> </w:t>
      </w:r>
      <w:r w:rsidR="0030091C">
        <w:rPr>
          <w:rFonts w:ascii="Calibri"/>
          <w:b/>
          <w:color w:val="003366"/>
          <w:sz w:val="20"/>
        </w:rPr>
        <w:t>Superannuation</w:t>
      </w:r>
      <w:r w:rsidR="0030091C">
        <w:rPr>
          <w:rFonts w:ascii="Calibri"/>
          <w:b/>
          <w:color w:val="003366"/>
          <w:spacing w:val="-1"/>
          <w:sz w:val="20"/>
        </w:rPr>
        <w:t xml:space="preserve"> </w:t>
      </w:r>
      <w:r w:rsidR="0030091C">
        <w:rPr>
          <w:rFonts w:ascii="Calibri"/>
          <w:b/>
          <w:color w:val="003366"/>
          <w:sz w:val="20"/>
        </w:rPr>
        <w:t>Expenses</w:t>
      </w:r>
      <w:r w:rsidR="0030091C">
        <w:rPr>
          <w:rFonts w:ascii="Calibri"/>
          <w:b/>
          <w:color w:val="003366"/>
          <w:sz w:val="20"/>
        </w:rPr>
        <w:tab/>
        <w:t>928</w:t>
      </w:r>
      <w:r w:rsidR="0030091C">
        <w:rPr>
          <w:rFonts w:ascii="Calibri"/>
          <w:b/>
          <w:color w:val="003366"/>
          <w:sz w:val="20"/>
        </w:rPr>
        <w:tab/>
        <w:t>831</w:t>
      </w:r>
    </w:p>
    <w:p w:rsidR="006C17CB" w:rsidRDefault="0030091C">
      <w:pPr>
        <w:tabs>
          <w:tab w:val="left" w:pos="1143"/>
        </w:tabs>
        <w:spacing w:before="434" w:line="204" w:lineRule="auto"/>
        <w:ind w:left="1144" w:right="1479" w:hanging="360"/>
        <w:rPr>
          <w:rFonts w:ascii="Calibri"/>
          <w:sz w:val="18"/>
        </w:rPr>
      </w:pPr>
      <w:r>
        <w:rPr>
          <w:rFonts w:ascii="Calibri"/>
          <w:color w:val="003366"/>
          <w:sz w:val="18"/>
        </w:rPr>
        <w:t>a)</w:t>
      </w:r>
      <w:r>
        <w:rPr>
          <w:rFonts w:ascii="Calibri"/>
          <w:color w:val="003366"/>
          <w:sz w:val="18"/>
        </w:rPr>
        <w:tab/>
        <w:t>Superannuation contributions paid to external providers increased as the majority of new staff have the choice to select their own external superannuation</w:t>
      </w:r>
      <w:r>
        <w:rPr>
          <w:rFonts w:ascii="Calibri"/>
          <w:color w:val="003366"/>
          <w:spacing w:val="-6"/>
          <w:sz w:val="18"/>
        </w:rPr>
        <w:t xml:space="preserve"> </w:t>
      </w:r>
      <w:r>
        <w:rPr>
          <w:rFonts w:ascii="Calibri"/>
          <w:color w:val="003366"/>
          <w:sz w:val="18"/>
        </w:rPr>
        <w:t>providers.</w:t>
      </w:r>
    </w:p>
    <w:p w:rsidR="006C17CB" w:rsidRDefault="006C17CB">
      <w:pPr>
        <w:pStyle w:val="BodyText"/>
        <w:rPr>
          <w:rFonts w:ascii="Calibri"/>
          <w:sz w:val="20"/>
        </w:rPr>
      </w:pPr>
    </w:p>
    <w:p w:rsidR="006C17CB" w:rsidRDefault="006C17CB">
      <w:pPr>
        <w:pStyle w:val="BodyText"/>
        <w:spacing w:before="11"/>
        <w:rPr>
          <w:rFonts w:ascii="Calibri"/>
          <w:sz w:val="20"/>
        </w:rPr>
      </w:pPr>
    </w:p>
    <w:tbl>
      <w:tblPr>
        <w:tblW w:w="0" w:type="auto"/>
        <w:tblInd w:w="734" w:type="dxa"/>
        <w:tblLayout w:type="fixed"/>
        <w:tblCellMar>
          <w:left w:w="0" w:type="dxa"/>
          <w:right w:w="0" w:type="dxa"/>
        </w:tblCellMar>
        <w:tblLook w:val="01E0" w:firstRow="1" w:lastRow="1" w:firstColumn="1" w:lastColumn="1" w:noHBand="0" w:noVBand="0"/>
      </w:tblPr>
      <w:tblGrid>
        <w:gridCol w:w="6113"/>
        <w:gridCol w:w="1795"/>
        <w:gridCol w:w="854"/>
      </w:tblGrid>
      <w:tr w:rsidR="006C17CB">
        <w:trPr>
          <w:trHeight w:val="322"/>
        </w:trPr>
        <w:tc>
          <w:tcPr>
            <w:tcW w:w="6113" w:type="dxa"/>
          </w:tcPr>
          <w:p w:rsidR="006C17CB" w:rsidRDefault="0030091C">
            <w:pPr>
              <w:pStyle w:val="TableParagraph"/>
              <w:tabs>
                <w:tab w:val="left" w:pos="1182"/>
              </w:tabs>
              <w:spacing w:line="244" w:lineRule="exact"/>
              <w:ind w:left="50"/>
              <w:jc w:val="left"/>
              <w:rPr>
                <w:b/>
                <w:sz w:val="24"/>
              </w:rPr>
            </w:pPr>
            <w:r>
              <w:rPr>
                <w:b/>
                <w:color w:val="003366"/>
                <w:sz w:val="24"/>
              </w:rPr>
              <w:t>NOTE</w:t>
            </w:r>
            <w:r>
              <w:rPr>
                <w:b/>
                <w:color w:val="003366"/>
                <w:spacing w:val="-1"/>
                <w:sz w:val="24"/>
              </w:rPr>
              <w:t xml:space="preserve"> </w:t>
            </w:r>
            <w:r>
              <w:rPr>
                <w:b/>
                <w:color w:val="003366"/>
                <w:sz w:val="24"/>
              </w:rPr>
              <w:t>28.</w:t>
            </w:r>
            <w:r>
              <w:rPr>
                <w:b/>
                <w:color w:val="003366"/>
                <w:sz w:val="24"/>
              </w:rPr>
              <w:tab/>
              <w:t>SUPPLIES AND SERVICES –</w:t>
            </w:r>
            <w:r>
              <w:rPr>
                <w:b/>
                <w:color w:val="003366"/>
                <w:spacing w:val="-2"/>
                <w:sz w:val="24"/>
              </w:rPr>
              <w:t xml:space="preserve"> </w:t>
            </w:r>
            <w:r>
              <w:rPr>
                <w:b/>
                <w:color w:val="003366"/>
                <w:sz w:val="24"/>
              </w:rPr>
              <w:t>TERRITORIAL</w:t>
            </w:r>
          </w:p>
        </w:tc>
        <w:tc>
          <w:tcPr>
            <w:tcW w:w="2649" w:type="dxa"/>
            <w:gridSpan w:val="2"/>
          </w:tcPr>
          <w:p w:rsidR="006C17CB" w:rsidRDefault="006C17CB">
            <w:pPr>
              <w:pStyle w:val="TableParagraph"/>
              <w:jc w:val="left"/>
              <w:rPr>
                <w:rFonts w:ascii="Times New Roman"/>
                <w:sz w:val="20"/>
              </w:rPr>
            </w:pPr>
          </w:p>
        </w:tc>
      </w:tr>
      <w:tr w:rsidR="006C17CB">
        <w:trPr>
          <w:trHeight w:val="560"/>
        </w:trPr>
        <w:tc>
          <w:tcPr>
            <w:tcW w:w="6113" w:type="dxa"/>
          </w:tcPr>
          <w:p w:rsidR="006C17CB" w:rsidRDefault="006C17CB">
            <w:pPr>
              <w:pStyle w:val="TableParagraph"/>
              <w:jc w:val="left"/>
              <w:rPr>
                <w:rFonts w:ascii="Times New Roman"/>
                <w:sz w:val="20"/>
              </w:rPr>
            </w:pPr>
          </w:p>
        </w:tc>
        <w:tc>
          <w:tcPr>
            <w:tcW w:w="1795" w:type="dxa"/>
          </w:tcPr>
          <w:p w:rsidR="006C17CB" w:rsidRDefault="0030091C">
            <w:pPr>
              <w:pStyle w:val="TableParagraph"/>
              <w:spacing w:line="264" w:lineRule="exact"/>
              <w:ind w:left="1038"/>
              <w:jc w:val="left"/>
              <w:rPr>
                <w:b/>
                <w:sz w:val="20"/>
              </w:rPr>
            </w:pPr>
            <w:r>
              <w:rPr>
                <w:b/>
                <w:color w:val="003366"/>
                <w:sz w:val="20"/>
              </w:rPr>
              <w:t>2018</w:t>
            </w:r>
          </w:p>
          <w:p w:rsidR="006C17CB" w:rsidRDefault="0030091C">
            <w:pPr>
              <w:pStyle w:val="TableParagraph"/>
              <w:spacing w:line="267" w:lineRule="exact"/>
              <w:ind w:left="988"/>
              <w:jc w:val="left"/>
              <w:rPr>
                <w:b/>
                <w:sz w:val="20"/>
              </w:rPr>
            </w:pPr>
            <w:r>
              <w:rPr>
                <w:b/>
                <w:color w:val="003366"/>
                <w:sz w:val="20"/>
              </w:rPr>
              <w:t>$’000</w:t>
            </w:r>
          </w:p>
        </w:tc>
        <w:tc>
          <w:tcPr>
            <w:tcW w:w="854" w:type="dxa"/>
          </w:tcPr>
          <w:p w:rsidR="006C17CB" w:rsidRDefault="0030091C">
            <w:pPr>
              <w:pStyle w:val="TableParagraph"/>
              <w:spacing w:line="264" w:lineRule="exact"/>
              <w:ind w:left="400"/>
              <w:jc w:val="left"/>
              <w:rPr>
                <w:b/>
                <w:sz w:val="20"/>
              </w:rPr>
            </w:pPr>
            <w:r>
              <w:rPr>
                <w:b/>
                <w:color w:val="003366"/>
                <w:sz w:val="20"/>
              </w:rPr>
              <w:t>2017</w:t>
            </w:r>
          </w:p>
          <w:p w:rsidR="006C17CB" w:rsidRDefault="0030091C">
            <w:pPr>
              <w:pStyle w:val="TableParagraph"/>
              <w:spacing w:line="267" w:lineRule="exact"/>
              <w:ind w:left="350"/>
              <w:jc w:val="left"/>
              <w:rPr>
                <w:b/>
                <w:sz w:val="20"/>
              </w:rPr>
            </w:pPr>
            <w:r>
              <w:rPr>
                <w:b/>
                <w:color w:val="003366"/>
                <w:sz w:val="20"/>
              </w:rPr>
              <w:t>$’000</w:t>
            </w:r>
          </w:p>
        </w:tc>
      </w:tr>
      <w:tr w:rsidR="006C17CB">
        <w:trPr>
          <w:trHeight w:val="251"/>
        </w:trPr>
        <w:tc>
          <w:tcPr>
            <w:tcW w:w="6113" w:type="dxa"/>
          </w:tcPr>
          <w:p w:rsidR="006C17CB" w:rsidRDefault="0030091C">
            <w:pPr>
              <w:pStyle w:val="TableParagraph"/>
              <w:spacing w:line="231" w:lineRule="exact"/>
              <w:ind w:left="50"/>
              <w:jc w:val="left"/>
              <w:rPr>
                <w:sz w:val="20"/>
              </w:rPr>
            </w:pPr>
            <w:r>
              <w:rPr>
                <w:color w:val="003366"/>
                <w:sz w:val="20"/>
              </w:rPr>
              <w:t xml:space="preserve">Consultants, Contractors and Professional Services </w:t>
            </w:r>
            <w:r>
              <w:rPr>
                <w:color w:val="003366"/>
                <w:sz w:val="20"/>
                <w:vertAlign w:val="superscript"/>
              </w:rPr>
              <w:t>a</w:t>
            </w:r>
          </w:p>
        </w:tc>
        <w:tc>
          <w:tcPr>
            <w:tcW w:w="1795" w:type="dxa"/>
          </w:tcPr>
          <w:p w:rsidR="006C17CB" w:rsidRDefault="0030091C">
            <w:pPr>
              <w:pStyle w:val="TableParagraph"/>
              <w:spacing w:line="231" w:lineRule="exact"/>
              <w:ind w:right="348"/>
              <w:rPr>
                <w:sz w:val="20"/>
              </w:rPr>
            </w:pPr>
            <w:r>
              <w:rPr>
                <w:color w:val="003366"/>
                <w:w w:val="95"/>
                <w:sz w:val="20"/>
              </w:rPr>
              <w:t>64</w:t>
            </w:r>
          </w:p>
        </w:tc>
        <w:tc>
          <w:tcPr>
            <w:tcW w:w="854" w:type="dxa"/>
          </w:tcPr>
          <w:p w:rsidR="006C17CB" w:rsidRDefault="0030091C">
            <w:pPr>
              <w:pStyle w:val="TableParagraph"/>
              <w:spacing w:line="231" w:lineRule="exact"/>
              <w:ind w:left="501"/>
              <w:jc w:val="left"/>
              <w:rPr>
                <w:sz w:val="20"/>
              </w:rPr>
            </w:pPr>
            <w:r>
              <w:rPr>
                <w:color w:val="003366"/>
                <w:sz w:val="20"/>
              </w:rPr>
              <w:t>118</w:t>
            </w:r>
          </w:p>
        </w:tc>
      </w:tr>
    </w:tbl>
    <w:p w:rsidR="006C17CB" w:rsidRDefault="0030091C">
      <w:pPr>
        <w:tabs>
          <w:tab w:val="left" w:pos="7223"/>
          <w:tab w:val="left" w:pos="7986"/>
          <w:tab w:val="left" w:pos="9143"/>
        </w:tabs>
        <w:ind w:left="784"/>
        <w:rPr>
          <w:rFonts w:ascii="Calibri"/>
          <w:sz w:val="20"/>
        </w:rPr>
      </w:pPr>
      <w:r>
        <w:rPr>
          <w:rFonts w:ascii="Calibri"/>
          <w:color w:val="003366"/>
          <w:sz w:val="20"/>
        </w:rPr>
        <w:t>Building</w:t>
      </w:r>
      <w:r>
        <w:rPr>
          <w:rFonts w:ascii="Calibri"/>
          <w:color w:val="003366"/>
          <w:spacing w:val="-4"/>
          <w:sz w:val="20"/>
        </w:rPr>
        <w:t xml:space="preserve"> </w:t>
      </w:r>
      <w:r>
        <w:rPr>
          <w:rFonts w:ascii="Calibri"/>
          <w:color w:val="003366"/>
          <w:sz w:val="20"/>
        </w:rPr>
        <w:t>Management</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402</w:t>
      </w:r>
      <w:r>
        <w:rPr>
          <w:rFonts w:ascii="Calibri"/>
          <w:color w:val="003366"/>
          <w:sz w:val="20"/>
          <w:u w:val="single" w:color="003366"/>
        </w:rPr>
        <w:tab/>
        <w:t>389</w:t>
      </w:r>
      <w:r>
        <w:rPr>
          <w:rFonts w:ascii="Calibri"/>
          <w:color w:val="003366"/>
          <w:spacing w:val="16"/>
          <w:sz w:val="20"/>
          <w:u w:val="single" w:color="003366"/>
        </w:rPr>
        <w:t xml:space="preserve"> </w:t>
      </w:r>
    </w:p>
    <w:p w:rsidR="006C17CB" w:rsidRDefault="0030091C">
      <w:pPr>
        <w:tabs>
          <w:tab w:val="left" w:pos="7986"/>
          <w:tab w:val="right" w:pos="9445"/>
        </w:tabs>
        <w:spacing w:before="2"/>
        <w:ind w:left="784"/>
        <w:rPr>
          <w:rFonts w:ascii="Calibri"/>
          <w:b/>
          <w:sz w:val="20"/>
        </w:rPr>
      </w:pPr>
      <w:r>
        <w:rPr>
          <w:rFonts w:ascii="Calibri"/>
          <w:b/>
          <w:color w:val="003366"/>
          <w:sz w:val="20"/>
        </w:rPr>
        <w:t>Total Supplies</w:t>
      </w:r>
      <w:r>
        <w:rPr>
          <w:rFonts w:ascii="Calibri"/>
          <w:b/>
          <w:color w:val="003366"/>
          <w:spacing w:val="-5"/>
          <w:sz w:val="20"/>
        </w:rPr>
        <w:t xml:space="preserve"> </w:t>
      </w:r>
      <w:r>
        <w:rPr>
          <w:rFonts w:ascii="Calibri"/>
          <w:b/>
          <w:color w:val="003366"/>
          <w:sz w:val="20"/>
        </w:rPr>
        <w:t>and</w:t>
      </w:r>
      <w:r>
        <w:rPr>
          <w:rFonts w:ascii="Calibri"/>
          <w:b/>
          <w:color w:val="003366"/>
          <w:spacing w:val="-1"/>
          <w:sz w:val="20"/>
        </w:rPr>
        <w:t xml:space="preserve"> </w:t>
      </w:r>
      <w:r>
        <w:rPr>
          <w:rFonts w:ascii="Calibri"/>
          <w:b/>
          <w:color w:val="003366"/>
          <w:sz w:val="20"/>
        </w:rPr>
        <w:t>Services</w:t>
      </w:r>
      <w:r>
        <w:rPr>
          <w:rFonts w:ascii="Calibri"/>
          <w:b/>
          <w:color w:val="003366"/>
          <w:sz w:val="20"/>
        </w:rPr>
        <w:tab/>
        <w:t>466</w:t>
      </w:r>
      <w:r>
        <w:rPr>
          <w:rFonts w:ascii="Calibri"/>
          <w:b/>
          <w:color w:val="003366"/>
          <w:sz w:val="20"/>
        </w:rPr>
        <w:tab/>
        <w:t>507</w:t>
      </w:r>
    </w:p>
    <w:p w:rsidR="006C17CB" w:rsidRDefault="00FE24A7">
      <w:pPr>
        <w:pStyle w:val="BodyText"/>
        <w:spacing w:line="29" w:lineRule="exact"/>
        <w:ind w:left="7218"/>
        <w:rPr>
          <w:rFonts w:ascii="Calibri"/>
          <w:sz w:val="2"/>
        </w:rPr>
      </w:pPr>
      <w:r>
        <w:rPr>
          <w:rFonts w:ascii="Calibri"/>
          <w:sz w:val="2"/>
        </w:rPr>
      </w:r>
      <w:r>
        <w:rPr>
          <w:rFonts w:ascii="Calibri"/>
          <w:sz w:val="2"/>
        </w:rPr>
        <w:pict>
          <v:group id="_x0000_s1131" alt="" style="width:116.55pt;height:1.45pt;mso-position-horizontal-relative:char;mso-position-vertical-relative:line" coordsize="2331,29">
            <v:line id="_x0000_s1132" alt="" style="position:absolute" from="0,5" to="1176,5" strokecolor="#036" strokeweight=".48pt"/>
            <v:line id="_x0000_s1133" alt="" style="position:absolute" from="0,24" to="1176,24" strokecolor="#036" strokeweight=".48pt"/>
            <v:rect id="_x0000_s1134" alt="" style="position:absolute;left:1176;width:29;height:10" fillcolor="#036" stroked="f"/>
            <v:rect id="_x0000_s1135" alt="" style="position:absolute;left:1176;top:19;width:29;height:10" fillcolor="#036" stroked="f"/>
            <v:line id="_x0000_s1136" alt="" style="position:absolute" from="1205,5" to="2330,5" strokecolor="#036" strokeweight=".48pt"/>
            <v:line id="_x0000_s1137" alt="" style="position:absolute" from="1205,24" to="2330,24" strokecolor="#036" strokeweight=".48pt"/>
            <w10:anchorlock/>
          </v:group>
        </w:pict>
      </w:r>
    </w:p>
    <w:p w:rsidR="006C17CB" w:rsidRDefault="006C17CB">
      <w:pPr>
        <w:pStyle w:val="BodyText"/>
        <w:rPr>
          <w:rFonts w:ascii="Calibri"/>
          <w:b/>
          <w:sz w:val="18"/>
        </w:rPr>
      </w:pPr>
    </w:p>
    <w:p w:rsidR="006C17CB" w:rsidRDefault="0030091C">
      <w:pPr>
        <w:tabs>
          <w:tab w:val="left" w:pos="1143"/>
        </w:tabs>
        <w:spacing w:before="144" w:line="204" w:lineRule="auto"/>
        <w:ind w:left="1144" w:right="1541" w:hanging="361"/>
        <w:rPr>
          <w:rFonts w:ascii="Calibri"/>
          <w:sz w:val="18"/>
        </w:rPr>
      </w:pPr>
      <w:r>
        <w:rPr>
          <w:rFonts w:ascii="Calibri"/>
          <w:color w:val="003366"/>
          <w:sz w:val="18"/>
        </w:rPr>
        <w:t>a)</w:t>
      </w:r>
      <w:r>
        <w:rPr>
          <w:rFonts w:ascii="Calibri"/>
          <w:color w:val="003366"/>
          <w:sz w:val="18"/>
        </w:rPr>
        <w:tab/>
        <w:t>The use of consultants by non-Executive members fell in 2017-18 in lieu of employing additional staff in their offices.</w:t>
      </w:r>
    </w:p>
    <w:p w:rsidR="006C17CB" w:rsidRDefault="006C17CB">
      <w:pPr>
        <w:pStyle w:val="BodyText"/>
        <w:rPr>
          <w:rFonts w:ascii="Calibri"/>
          <w:sz w:val="18"/>
        </w:rPr>
      </w:pPr>
    </w:p>
    <w:p w:rsidR="006C17CB" w:rsidRDefault="006C17CB">
      <w:pPr>
        <w:pStyle w:val="BodyText"/>
        <w:spacing w:before="11"/>
        <w:rPr>
          <w:rFonts w:ascii="Calibri"/>
          <w:sz w:val="15"/>
        </w:rPr>
      </w:pPr>
    </w:p>
    <w:p w:rsidR="006C17CB" w:rsidRDefault="0030091C">
      <w:pPr>
        <w:pStyle w:val="Heading6"/>
        <w:tabs>
          <w:tab w:val="left" w:pos="1916"/>
        </w:tabs>
        <w:ind w:left="784"/>
      </w:pPr>
      <w:r>
        <w:rPr>
          <w:color w:val="003366"/>
        </w:rPr>
        <w:t>NOTE</w:t>
      </w:r>
      <w:r>
        <w:rPr>
          <w:color w:val="003366"/>
          <w:spacing w:val="-1"/>
        </w:rPr>
        <w:t xml:space="preserve"> </w:t>
      </w:r>
      <w:r>
        <w:rPr>
          <w:color w:val="003366"/>
        </w:rPr>
        <w:t>29.</w:t>
      </w:r>
      <w:r>
        <w:rPr>
          <w:color w:val="003366"/>
        </w:rPr>
        <w:tab/>
        <w:t>CASH AND CASH EQUIVALENTS –</w:t>
      </w:r>
      <w:r>
        <w:rPr>
          <w:color w:val="003366"/>
          <w:spacing w:val="-2"/>
        </w:rPr>
        <w:t xml:space="preserve"> </w:t>
      </w:r>
      <w:r>
        <w:rPr>
          <w:color w:val="003366"/>
        </w:rPr>
        <w:t>TERRITORIAL</w:t>
      </w:r>
    </w:p>
    <w:p w:rsidR="006C17CB" w:rsidRDefault="006C17CB">
      <w:pPr>
        <w:pStyle w:val="BodyText"/>
        <w:rPr>
          <w:rFonts w:ascii="Calibri"/>
          <w:b/>
          <w:sz w:val="16"/>
        </w:rPr>
      </w:pPr>
    </w:p>
    <w:p w:rsidR="006C17CB" w:rsidRDefault="0030091C">
      <w:pPr>
        <w:spacing w:line="204" w:lineRule="auto"/>
        <w:ind w:left="783" w:right="1476"/>
        <w:jc w:val="both"/>
        <w:rPr>
          <w:rFonts w:ascii="Calibri" w:hAnsi="Calibri"/>
          <w:sz w:val="20"/>
        </w:rPr>
      </w:pPr>
      <w:r>
        <w:rPr>
          <w:rFonts w:ascii="Calibri" w:hAnsi="Calibri"/>
          <w:color w:val="003366"/>
          <w:sz w:val="20"/>
        </w:rPr>
        <w:t>The Office holds one bank account for the Territorial entity with the Westpac Bank as part of the whole-of-government</w:t>
      </w:r>
      <w:r>
        <w:rPr>
          <w:rFonts w:ascii="Calibri" w:hAnsi="Calibri"/>
          <w:color w:val="003366"/>
          <w:spacing w:val="-9"/>
          <w:sz w:val="20"/>
        </w:rPr>
        <w:t xml:space="preserve"> </w:t>
      </w:r>
      <w:r>
        <w:rPr>
          <w:rFonts w:ascii="Calibri" w:hAnsi="Calibri"/>
          <w:color w:val="003366"/>
          <w:sz w:val="20"/>
        </w:rPr>
        <w:t>banking</w:t>
      </w:r>
      <w:r>
        <w:rPr>
          <w:rFonts w:ascii="Calibri" w:hAnsi="Calibri"/>
          <w:color w:val="003366"/>
          <w:spacing w:val="-10"/>
          <w:sz w:val="20"/>
        </w:rPr>
        <w:t xml:space="preserve"> </w:t>
      </w:r>
      <w:r>
        <w:rPr>
          <w:rFonts w:ascii="Calibri" w:hAnsi="Calibri"/>
          <w:color w:val="003366"/>
          <w:sz w:val="20"/>
        </w:rPr>
        <w:t>arrangements.</w:t>
      </w:r>
      <w:r>
        <w:rPr>
          <w:rFonts w:ascii="Calibri" w:hAnsi="Calibri"/>
          <w:color w:val="003366"/>
          <w:spacing w:val="-9"/>
          <w:sz w:val="20"/>
        </w:rPr>
        <w:t xml:space="preserve"> </w:t>
      </w:r>
      <w:r>
        <w:rPr>
          <w:rFonts w:ascii="Calibri" w:hAnsi="Calibri"/>
          <w:color w:val="003366"/>
          <w:sz w:val="20"/>
        </w:rPr>
        <w:t>Under</w:t>
      </w:r>
      <w:r>
        <w:rPr>
          <w:rFonts w:ascii="Calibri" w:hAnsi="Calibri"/>
          <w:color w:val="003366"/>
          <w:spacing w:val="-9"/>
          <w:sz w:val="20"/>
        </w:rPr>
        <w:t xml:space="preserve"> </w:t>
      </w:r>
      <w:r>
        <w:rPr>
          <w:rFonts w:ascii="Calibri" w:hAnsi="Calibri"/>
          <w:color w:val="003366"/>
          <w:sz w:val="20"/>
        </w:rPr>
        <w:t>whole-of-government</w:t>
      </w:r>
      <w:r>
        <w:rPr>
          <w:rFonts w:ascii="Calibri" w:hAnsi="Calibri"/>
          <w:color w:val="003366"/>
          <w:spacing w:val="-9"/>
          <w:sz w:val="20"/>
        </w:rPr>
        <w:t xml:space="preserve"> </w:t>
      </w:r>
      <w:r>
        <w:rPr>
          <w:rFonts w:ascii="Calibri" w:hAnsi="Calibri"/>
          <w:color w:val="003366"/>
          <w:sz w:val="20"/>
        </w:rPr>
        <w:t>banking</w:t>
      </w:r>
      <w:r>
        <w:rPr>
          <w:rFonts w:ascii="Calibri" w:hAnsi="Calibri"/>
          <w:color w:val="003366"/>
          <w:spacing w:val="-10"/>
          <w:sz w:val="20"/>
        </w:rPr>
        <w:t xml:space="preserve"> </w:t>
      </w:r>
      <w:r>
        <w:rPr>
          <w:rFonts w:ascii="Calibri" w:hAnsi="Calibri"/>
          <w:color w:val="003366"/>
          <w:sz w:val="20"/>
        </w:rPr>
        <w:t>arrangements,</w:t>
      </w:r>
      <w:r>
        <w:rPr>
          <w:rFonts w:ascii="Calibri" w:hAnsi="Calibri"/>
          <w:color w:val="003366"/>
          <w:spacing w:val="-9"/>
          <w:sz w:val="20"/>
        </w:rPr>
        <w:t xml:space="preserve"> </w:t>
      </w:r>
      <w:r>
        <w:rPr>
          <w:rFonts w:ascii="Calibri" w:hAnsi="Calibri"/>
          <w:color w:val="003366"/>
          <w:sz w:val="20"/>
        </w:rPr>
        <w:t>interest is not earned on cash at bank held by the Office’s Territorial</w:t>
      </w:r>
      <w:r>
        <w:rPr>
          <w:rFonts w:ascii="Calibri" w:hAnsi="Calibri"/>
          <w:color w:val="003366"/>
          <w:spacing w:val="-4"/>
          <w:sz w:val="20"/>
        </w:rPr>
        <w:t xml:space="preserve"> </w:t>
      </w:r>
      <w:r>
        <w:rPr>
          <w:rFonts w:ascii="Calibri" w:hAnsi="Calibri"/>
          <w:color w:val="003366"/>
          <w:sz w:val="20"/>
        </w:rPr>
        <w:t>operations.</w:t>
      </w:r>
    </w:p>
    <w:p w:rsidR="006C17CB" w:rsidRDefault="006C17CB">
      <w:pPr>
        <w:spacing w:line="204" w:lineRule="auto"/>
        <w:jc w:val="both"/>
        <w:rPr>
          <w:rFonts w:ascii="Calibri" w:hAnsi="Calibri"/>
          <w:sz w:val="20"/>
        </w:rPr>
        <w:sectPr w:rsidR="006C17CB">
          <w:footerReference w:type="even" r:id="rId180"/>
          <w:footerReference w:type="default" r:id="rId181"/>
          <w:pgSz w:w="11910" w:h="16840"/>
          <w:pgMar w:top="2080" w:right="0" w:bottom="720" w:left="980" w:header="1189" w:footer="523" w:gutter="0"/>
          <w:cols w:space="720"/>
        </w:sectPr>
      </w:pPr>
    </w:p>
    <w:p w:rsidR="006C17CB" w:rsidRDefault="0030091C">
      <w:pPr>
        <w:spacing w:before="84" w:line="265" w:lineRule="exact"/>
        <w:jc w:val="right"/>
        <w:rPr>
          <w:rFonts w:ascii="Calibri"/>
          <w:b/>
          <w:sz w:val="20"/>
        </w:rPr>
      </w:pPr>
      <w:r>
        <w:rPr>
          <w:rFonts w:ascii="Calibri"/>
          <w:b/>
          <w:color w:val="003366"/>
          <w:sz w:val="20"/>
        </w:rPr>
        <w:t>2018</w:t>
      </w:r>
    </w:p>
    <w:p w:rsidR="006C17CB" w:rsidRDefault="0030091C">
      <w:pPr>
        <w:spacing w:line="265" w:lineRule="exact"/>
        <w:jc w:val="right"/>
        <w:rPr>
          <w:rFonts w:ascii="Calibri" w:hAnsi="Calibri"/>
          <w:b/>
          <w:sz w:val="20"/>
        </w:rPr>
      </w:pPr>
      <w:r>
        <w:rPr>
          <w:rFonts w:ascii="Calibri" w:hAnsi="Calibri"/>
          <w:b/>
          <w:color w:val="003366"/>
          <w:sz w:val="20"/>
        </w:rPr>
        <w:t>$’000</w:t>
      </w:r>
    </w:p>
    <w:p w:rsidR="006C17CB" w:rsidRDefault="0030091C">
      <w:pPr>
        <w:spacing w:before="84" w:line="265" w:lineRule="exact"/>
        <w:ind w:left="704"/>
        <w:rPr>
          <w:rFonts w:ascii="Calibri"/>
          <w:b/>
          <w:sz w:val="20"/>
        </w:rPr>
      </w:pPr>
      <w:r>
        <w:br w:type="column"/>
      </w:r>
      <w:r>
        <w:rPr>
          <w:rFonts w:ascii="Calibri"/>
          <w:b/>
          <w:color w:val="003366"/>
          <w:sz w:val="20"/>
        </w:rPr>
        <w:t>2017</w:t>
      </w:r>
    </w:p>
    <w:p w:rsidR="006C17CB" w:rsidRDefault="0030091C">
      <w:pPr>
        <w:spacing w:line="265" w:lineRule="exact"/>
        <w:ind w:left="653"/>
        <w:rPr>
          <w:rFonts w:ascii="Calibri" w:hAnsi="Calibri"/>
          <w:b/>
          <w:sz w:val="20"/>
        </w:rPr>
      </w:pPr>
      <w:r>
        <w:rPr>
          <w:rFonts w:ascii="Calibri" w:hAnsi="Calibri"/>
          <w:b/>
          <w:color w:val="003366"/>
          <w:sz w:val="20"/>
        </w:rPr>
        <w:t>$’000</w:t>
      </w:r>
    </w:p>
    <w:p w:rsidR="006C17CB" w:rsidRDefault="006C17CB">
      <w:pPr>
        <w:spacing w:line="265" w:lineRule="exact"/>
        <w:rPr>
          <w:rFonts w:ascii="Calibri" w:hAnsi="Calibri"/>
          <w:sz w:val="20"/>
        </w:rPr>
        <w:sectPr w:rsidR="006C17CB">
          <w:type w:val="continuous"/>
          <w:pgSz w:w="11910" w:h="16840"/>
          <w:pgMar w:top="1580" w:right="0" w:bottom="280" w:left="980" w:header="720" w:footer="720" w:gutter="0"/>
          <w:cols w:num="2" w:space="720" w:equalWidth="0">
            <w:col w:w="8296" w:space="40"/>
            <w:col w:w="2594"/>
          </w:cols>
        </w:sectPr>
      </w:pPr>
    </w:p>
    <w:p w:rsidR="006C17CB" w:rsidRDefault="0030091C">
      <w:pPr>
        <w:tabs>
          <w:tab w:val="left" w:pos="7223"/>
          <w:tab w:val="left" w:pos="7993"/>
          <w:tab w:val="left" w:pos="9243"/>
        </w:tabs>
        <w:spacing w:line="286" w:lineRule="exact"/>
        <w:ind w:left="784"/>
        <w:rPr>
          <w:rFonts w:ascii="Calibri"/>
          <w:sz w:val="20"/>
        </w:rPr>
      </w:pPr>
      <w:r>
        <w:rPr>
          <w:rFonts w:ascii="Calibri"/>
          <w:color w:val="003366"/>
          <w:sz w:val="20"/>
        </w:rPr>
        <w:t>Cash at</w:t>
      </w:r>
      <w:r>
        <w:rPr>
          <w:rFonts w:ascii="Calibri"/>
          <w:color w:val="003366"/>
          <w:spacing w:val="-2"/>
          <w:sz w:val="20"/>
        </w:rPr>
        <w:t xml:space="preserve"> </w:t>
      </w:r>
      <w:r>
        <w:rPr>
          <w:rFonts w:ascii="Calibri"/>
          <w:color w:val="003366"/>
          <w:sz w:val="20"/>
        </w:rPr>
        <w:t>Bank</w:t>
      </w:r>
      <w:r>
        <w:rPr>
          <w:rFonts w:ascii="Calibri"/>
          <w:color w:val="003366"/>
          <w:spacing w:val="-2"/>
          <w:sz w:val="20"/>
        </w:rPr>
        <w:t xml:space="preserve"> </w:t>
      </w:r>
      <w:r>
        <w:rPr>
          <w:rFonts w:ascii="Calibri"/>
          <w:color w:val="003366"/>
          <w:sz w:val="20"/>
          <w:vertAlign w:val="superscript"/>
        </w:rPr>
        <w:t>a</w:t>
      </w:r>
      <w:r>
        <w:rPr>
          <w:rFonts w:ascii="Calibri"/>
          <w:color w:val="003366"/>
          <w:sz w:val="20"/>
        </w:rPr>
        <w:tab/>
      </w:r>
      <w:r>
        <w:rPr>
          <w:rFonts w:ascii="Calibri"/>
          <w:color w:val="003366"/>
          <w:sz w:val="20"/>
          <w:u w:val="single" w:color="000000"/>
        </w:rPr>
        <w:t xml:space="preserve"> </w:t>
      </w:r>
      <w:r>
        <w:rPr>
          <w:rFonts w:ascii="Calibri"/>
          <w:color w:val="003366"/>
          <w:sz w:val="20"/>
          <w:u w:val="single" w:color="000000"/>
        </w:rPr>
        <w:tab/>
        <w:t>102</w:t>
      </w:r>
      <w:r>
        <w:rPr>
          <w:rFonts w:ascii="Calibri"/>
          <w:color w:val="003366"/>
          <w:sz w:val="20"/>
          <w:u w:val="single" w:color="000000"/>
        </w:rPr>
        <w:tab/>
        <w:t>41</w:t>
      </w:r>
      <w:r>
        <w:rPr>
          <w:rFonts w:ascii="Calibri"/>
          <w:color w:val="003366"/>
          <w:spacing w:val="16"/>
          <w:sz w:val="20"/>
          <w:u w:val="single" w:color="000000"/>
        </w:rPr>
        <w:t xml:space="preserve"> </w:t>
      </w:r>
    </w:p>
    <w:p w:rsidR="006C17CB" w:rsidRDefault="00FE24A7">
      <w:pPr>
        <w:tabs>
          <w:tab w:val="left" w:pos="7993"/>
          <w:tab w:val="right" w:pos="9445"/>
        </w:tabs>
        <w:spacing w:before="7"/>
        <w:ind w:left="784"/>
        <w:rPr>
          <w:rFonts w:ascii="Calibri"/>
          <w:b/>
          <w:sz w:val="20"/>
        </w:rPr>
      </w:pPr>
      <w:r>
        <w:pict>
          <v:group id="_x0000_s1127" alt="" style="position:absolute;left:0;text-align:left;margin-left:410.15pt;margin-top:14.7pt;width:116.55pt;height:1.45pt;z-index:3064;mso-position-horizontal-relative:page" coordorigin="8203,294" coordsize="2331,29">
            <v:shape id="_x0000_s1128" alt="" style="position:absolute;left:8203;top:299;width:1181;height:20" coordorigin="8203,299" coordsize="1181,20" o:spt="100" adj="0,,0" path="m8203,299r1181,m8203,318r1181,e" filled="f" strokecolor="#036" strokeweight=".48pt">
              <v:stroke joinstyle="round"/>
              <v:formulas/>
              <v:path arrowok="t" o:connecttype="segments"/>
            </v:shape>
            <v:shape id="_x0000_s1129" alt="" style="position:absolute;left:9384;top:294;width:29;height:29" coordorigin="9384,294" coordsize="29,29" o:spt="100" adj="0,,0" path="m9413,314r-29,l9384,323r29,l9413,314t,-20l9384,294r,10l9413,304r,-10e" fillcolor="#036" stroked="f">
              <v:stroke joinstyle="round"/>
              <v:formulas/>
              <v:path arrowok="t" o:connecttype="segments"/>
            </v:shape>
            <v:shape id="_x0000_s1130" alt="" style="position:absolute;left:9412;top:299;width:1121;height:20" coordorigin="9413,299" coordsize="1121,20" o:spt="100" adj="0,,0" path="m9413,299r1121,m9413,318r1121,e" filled="f" strokecolor="#036" strokeweight=".48pt">
              <v:stroke joinstyle="round"/>
              <v:formulas/>
              <v:path arrowok="t" o:connecttype="segments"/>
            </v:shape>
            <w10:wrap anchorx="page"/>
          </v:group>
        </w:pict>
      </w:r>
      <w:r w:rsidR="0030091C">
        <w:rPr>
          <w:rFonts w:ascii="Calibri"/>
          <w:b/>
          <w:color w:val="003366"/>
          <w:sz w:val="20"/>
        </w:rPr>
        <w:t>Total Cash and</w:t>
      </w:r>
      <w:r w:rsidR="0030091C">
        <w:rPr>
          <w:rFonts w:ascii="Calibri"/>
          <w:b/>
          <w:color w:val="003366"/>
          <w:spacing w:val="-4"/>
          <w:sz w:val="20"/>
        </w:rPr>
        <w:t xml:space="preserve"> </w:t>
      </w:r>
      <w:r w:rsidR="0030091C">
        <w:rPr>
          <w:rFonts w:ascii="Calibri"/>
          <w:b/>
          <w:color w:val="003366"/>
          <w:sz w:val="20"/>
        </w:rPr>
        <w:t>Cash</w:t>
      </w:r>
      <w:r w:rsidR="0030091C">
        <w:rPr>
          <w:rFonts w:ascii="Calibri"/>
          <w:b/>
          <w:color w:val="003366"/>
          <w:spacing w:val="-1"/>
          <w:sz w:val="20"/>
        </w:rPr>
        <w:t xml:space="preserve"> </w:t>
      </w:r>
      <w:r w:rsidR="0030091C">
        <w:rPr>
          <w:rFonts w:ascii="Calibri"/>
          <w:b/>
          <w:color w:val="003366"/>
          <w:sz w:val="20"/>
        </w:rPr>
        <w:t>Equivalents</w:t>
      </w:r>
      <w:r w:rsidR="0030091C">
        <w:rPr>
          <w:rFonts w:ascii="Calibri"/>
          <w:b/>
          <w:color w:val="003366"/>
          <w:sz w:val="20"/>
        </w:rPr>
        <w:tab/>
        <w:t>102</w:t>
      </w:r>
      <w:r w:rsidR="0030091C">
        <w:rPr>
          <w:rFonts w:ascii="Calibri"/>
          <w:b/>
          <w:color w:val="003366"/>
          <w:sz w:val="20"/>
        </w:rPr>
        <w:tab/>
        <w:t>41</w:t>
      </w:r>
    </w:p>
    <w:p w:rsidR="006C17CB" w:rsidRDefault="0030091C">
      <w:pPr>
        <w:pStyle w:val="ListParagraph"/>
        <w:numPr>
          <w:ilvl w:val="0"/>
          <w:numId w:val="3"/>
        </w:numPr>
        <w:tabs>
          <w:tab w:val="left" w:pos="1143"/>
          <w:tab w:val="left" w:pos="1144"/>
        </w:tabs>
        <w:spacing w:before="436" w:line="201" w:lineRule="auto"/>
        <w:ind w:right="1479"/>
        <w:rPr>
          <w:rFonts w:ascii="Calibri"/>
          <w:sz w:val="18"/>
        </w:rPr>
      </w:pPr>
      <w:r>
        <w:rPr>
          <w:rFonts w:ascii="Calibri"/>
          <w:color w:val="003366"/>
          <w:sz w:val="18"/>
        </w:rPr>
        <w:t>The higher balance at year-end was for payments for capital works that were required to be made at the commencement of the new financial</w:t>
      </w:r>
      <w:r>
        <w:rPr>
          <w:rFonts w:ascii="Calibri"/>
          <w:color w:val="003366"/>
          <w:spacing w:val="-4"/>
          <w:sz w:val="18"/>
        </w:rPr>
        <w:t xml:space="preserve"> </w:t>
      </w:r>
      <w:r>
        <w:rPr>
          <w:rFonts w:ascii="Calibri"/>
          <w:color w:val="003366"/>
          <w:sz w:val="18"/>
        </w:rPr>
        <w:t>year.</w:t>
      </w:r>
    </w:p>
    <w:p w:rsidR="006C17CB" w:rsidRDefault="006C17CB">
      <w:pPr>
        <w:spacing w:line="201" w:lineRule="auto"/>
        <w:rPr>
          <w:rFonts w:ascii="Calibri"/>
          <w:sz w:val="18"/>
        </w:rPr>
        <w:sectPr w:rsidR="006C17CB">
          <w:type w:val="continuous"/>
          <w:pgSz w:w="11910" w:h="16840"/>
          <w:pgMar w:top="1580" w:right="0" w:bottom="280" w:left="980" w:header="720" w:footer="720" w:gutter="0"/>
          <w:cols w:space="720"/>
        </w:sectPr>
      </w:pPr>
    </w:p>
    <w:p w:rsidR="006C17CB" w:rsidRDefault="006C17CB">
      <w:pPr>
        <w:pStyle w:val="BodyText"/>
        <w:spacing w:before="7"/>
        <w:rPr>
          <w:rFonts w:ascii="Calibri"/>
          <w:sz w:val="21"/>
        </w:rPr>
      </w:pPr>
    </w:p>
    <w:p w:rsidR="006C17CB" w:rsidRDefault="0030091C">
      <w:pPr>
        <w:pStyle w:val="Heading6"/>
        <w:tabs>
          <w:tab w:val="left" w:pos="1916"/>
        </w:tabs>
        <w:spacing w:before="1"/>
        <w:ind w:left="784"/>
      </w:pPr>
      <w:r>
        <w:rPr>
          <w:color w:val="003366"/>
        </w:rPr>
        <w:t>NOTE</w:t>
      </w:r>
      <w:r>
        <w:rPr>
          <w:color w:val="003366"/>
          <w:spacing w:val="-1"/>
        </w:rPr>
        <w:t xml:space="preserve"> </w:t>
      </w:r>
      <w:r>
        <w:rPr>
          <w:color w:val="003366"/>
        </w:rPr>
        <w:t>30.</w:t>
      </w:r>
      <w:r>
        <w:rPr>
          <w:color w:val="003366"/>
        </w:rPr>
        <w:tab/>
        <w:t>PROPERTY, PLANT AND EQUIPMENT –</w:t>
      </w:r>
      <w:r>
        <w:rPr>
          <w:color w:val="003366"/>
          <w:spacing w:val="-2"/>
        </w:rPr>
        <w:t xml:space="preserve"> </w:t>
      </w:r>
      <w:r>
        <w:rPr>
          <w:color w:val="003366"/>
        </w:rPr>
        <w:t>TERRITORIAL</w:t>
      </w:r>
    </w:p>
    <w:p w:rsidR="006C17CB" w:rsidRDefault="006C17CB">
      <w:pPr>
        <w:pStyle w:val="BodyText"/>
        <w:spacing w:before="4"/>
        <w:rPr>
          <w:rFonts w:ascii="Calibri"/>
          <w:b/>
          <w:sz w:val="16"/>
        </w:rPr>
      </w:pPr>
    </w:p>
    <w:p w:rsidR="006C17CB" w:rsidRDefault="0030091C">
      <w:pPr>
        <w:spacing w:line="201" w:lineRule="auto"/>
        <w:ind w:left="783" w:right="1412"/>
        <w:rPr>
          <w:rFonts w:ascii="Calibri"/>
          <w:sz w:val="20"/>
        </w:rPr>
      </w:pPr>
      <w:r>
        <w:rPr>
          <w:rFonts w:ascii="Calibri"/>
          <w:color w:val="003366"/>
          <w:sz w:val="20"/>
        </w:rPr>
        <w:t>Property, plant and equipment includes the ACT Legislative Assembly building, building improvements and the land upon which the building sits.</w:t>
      </w:r>
    </w:p>
    <w:p w:rsidR="006C17CB" w:rsidRDefault="0030091C">
      <w:pPr>
        <w:spacing w:before="86"/>
        <w:ind w:left="784"/>
        <w:rPr>
          <w:rFonts w:ascii="Calibri" w:hAnsi="Calibri"/>
          <w:i/>
          <w:sz w:val="20"/>
        </w:rPr>
      </w:pPr>
      <w:r>
        <w:rPr>
          <w:rFonts w:ascii="Calibri" w:hAnsi="Calibri"/>
          <w:i/>
          <w:color w:val="003366"/>
          <w:sz w:val="20"/>
        </w:rPr>
        <w:t>Major Cyclical Maintenance – Assembly Building</w:t>
      </w:r>
    </w:p>
    <w:p w:rsidR="006C17CB" w:rsidRDefault="0030091C">
      <w:pPr>
        <w:spacing w:before="114" w:line="201" w:lineRule="auto"/>
        <w:ind w:left="783" w:right="1412"/>
        <w:rPr>
          <w:rFonts w:ascii="Calibri"/>
          <w:sz w:val="20"/>
        </w:rPr>
      </w:pPr>
      <w:r>
        <w:rPr>
          <w:rFonts w:ascii="Calibri"/>
          <w:color w:val="003366"/>
          <w:sz w:val="20"/>
        </w:rPr>
        <w:t>The Office undertakes major cyclical maintenance on the Assembly building. Where the maintenance leads to an upgrade increasing the service potential of the existing building, the cost is capitalised.</w:t>
      </w:r>
    </w:p>
    <w:p w:rsidR="006C17CB" w:rsidRDefault="0030091C">
      <w:pPr>
        <w:spacing w:before="85"/>
        <w:ind w:left="784"/>
        <w:rPr>
          <w:rFonts w:ascii="Calibri" w:hAnsi="Calibri"/>
          <w:i/>
          <w:sz w:val="20"/>
        </w:rPr>
      </w:pPr>
      <w:r>
        <w:rPr>
          <w:rFonts w:ascii="Calibri" w:hAnsi="Calibri"/>
          <w:i/>
          <w:color w:val="003366"/>
          <w:sz w:val="20"/>
        </w:rPr>
        <w:t>Significant Accounting Judgements and Estimates – Fair Value of Assets</w:t>
      </w:r>
    </w:p>
    <w:p w:rsidR="006C17CB" w:rsidRDefault="0030091C">
      <w:pPr>
        <w:spacing w:before="112" w:line="204" w:lineRule="auto"/>
        <w:ind w:left="784" w:right="1475"/>
        <w:jc w:val="both"/>
        <w:rPr>
          <w:rFonts w:ascii="Calibri"/>
          <w:sz w:val="20"/>
        </w:rPr>
      </w:pPr>
      <w:r>
        <w:rPr>
          <w:rFonts w:ascii="Calibri"/>
          <w:color w:val="003366"/>
          <w:sz w:val="20"/>
        </w:rPr>
        <w:t>Land and buildings have been valued at fair value using the capitalisation approach, discounted cash flow and market approach. The capitalisation approach and discounted cash flow converts future cash flows to a</w:t>
      </w:r>
      <w:r>
        <w:rPr>
          <w:rFonts w:ascii="Calibri"/>
          <w:color w:val="003366"/>
          <w:spacing w:val="-10"/>
          <w:sz w:val="20"/>
        </w:rPr>
        <w:t xml:space="preserve"> </w:t>
      </w:r>
      <w:r>
        <w:rPr>
          <w:rFonts w:ascii="Calibri"/>
          <w:color w:val="003366"/>
          <w:sz w:val="20"/>
        </w:rPr>
        <w:t>single</w:t>
      </w:r>
      <w:r>
        <w:rPr>
          <w:rFonts w:ascii="Calibri"/>
          <w:color w:val="003366"/>
          <w:spacing w:val="-11"/>
          <w:sz w:val="20"/>
        </w:rPr>
        <w:t xml:space="preserve"> </w:t>
      </w:r>
      <w:r>
        <w:rPr>
          <w:rFonts w:ascii="Calibri"/>
          <w:color w:val="003366"/>
          <w:sz w:val="20"/>
        </w:rPr>
        <w:t>current</w:t>
      </w:r>
      <w:r>
        <w:rPr>
          <w:rFonts w:ascii="Calibri"/>
          <w:color w:val="003366"/>
          <w:spacing w:val="-10"/>
          <w:sz w:val="20"/>
        </w:rPr>
        <w:t xml:space="preserve"> </w:t>
      </w:r>
      <w:r>
        <w:rPr>
          <w:rFonts w:ascii="Calibri"/>
          <w:color w:val="003366"/>
          <w:sz w:val="20"/>
        </w:rPr>
        <w:t>amount</w:t>
      </w:r>
      <w:r>
        <w:rPr>
          <w:rFonts w:ascii="Calibri"/>
          <w:color w:val="003366"/>
          <w:spacing w:val="-10"/>
          <w:sz w:val="20"/>
        </w:rPr>
        <w:t xml:space="preserve"> </w:t>
      </w:r>
      <w:r>
        <w:rPr>
          <w:rFonts w:ascii="Calibri"/>
          <w:color w:val="003366"/>
          <w:sz w:val="20"/>
        </w:rPr>
        <w:t>through</w:t>
      </w:r>
      <w:r>
        <w:rPr>
          <w:rFonts w:ascii="Calibri"/>
          <w:color w:val="003366"/>
          <w:spacing w:val="-10"/>
          <w:sz w:val="20"/>
        </w:rPr>
        <w:t xml:space="preserve"> </w:t>
      </w:r>
      <w:r>
        <w:rPr>
          <w:rFonts w:ascii="Calibri"/>
          <w:color w:val="003366"/>
          <w:sz w:val="20"/>
        </w:rPr>
        <w:t>an</w:t>
      </w:r>
      <w:r>
        <w:rPr>
          <w:rFonts w:ascii="Calibri"/>
          <w:color w:val="003366"/>
          <w:spacing w:val="-10"/>
          <w:sz w:val="20"/>
        </w:rPr>
        <w:t xml:space="preserve"> </w:t>
      </w:r>
      <w:r>
        <w:rPr>
          <w:rFonts w:ascii="Calibri"/>
          <w:color w:val="003366"/>
          <w:sz w:val="20"/>
        </w:rPr>
        <w:t>appropriate</w:t>
      </w:r>
      <w:r>
        <w:rPr>
          <w:rFonts w:ascii="Calibri"/>
          <w:color w:val="003366"/>
          <w:spacing w:val="-11"/>
          <w:sz w:val="20"/>
        </w:rPr>
        <w:t xml:space="preserve"> </w:t>
      </w:r>
      <w:r>
        <w:rPr>
          <w:rFonts w:ascii="Calibri"/>
          <w:color w:val="003366"/>
          <w:sz w:val="20"/>
        </w:rPr>
        <w:t>discount</w:t>
      </w:r>
      <w:r>
        <w:rPr>
          <w:rFonts w:ascii="Calibri"/>
          <w:color w:val="003366"/>
          <w:spacing w:val="-10"/>
          <w:sz w:val="20"/>
        </w:rPr>
        <w:t xml:space="preserve"> </w:t>
      </w:r>
      <w:r>
        <w:rPr>
          <w:rFonts w:ascii="Calibri"/>
          <w:color w:val="003366"/>
          <w:sz w:val="20"/>
        </w:rPr>
        <w:t>rate</w:t>
      </w:r>
      <w:r>
        <w:rPr>
          <w:rFonts w:ascii="Calibri"/>
          <w:color w:val="003366"/>
          <w:spacing w:val="-11"/>
          <w:sz w:val="20"/>
        </w:rPr>
        <w:t xml:space="preserve"> </w:t>
      </w:r>
      <w:r>
        <w:rPr>
          <w:rFonts w:ascii="Calibri"/>
          <w:color w:val="003366"/>
          <w:sz w:val="20"/>
        </w:rPr>
        <w:t>having</w:t>
      </w:r>
      <w:r>
        <w:rPr>
          <w:rFonts w:ascii="Calibri"/>
          <w:color w:val="003366"/>
          <w:spacing w:val="-9"/>
          <w:sz w:val="20"/>
        </w:rPr>
        <w:t xml:space="preserve"> </w:t>
      </w:r>
      <w:r>
        <w:rPr>
          <w:rFonts w:ascii="Calibri"/>
          <w:color w:val="003366"/>
          <w:sz w:val="20"/>
        </w:rPr>
        <w:t>regard</w:t>
      </w:r>
      <w:r>
        <w:rPr>
          <w:rFonts w:ascii="Calibri"/>
          <w:color w:val="003366"/>
          <w:spacing w:val="-10"/>
          <w:sz w:val="20"/>
        </w:rPr>
        <w:t xml:space="preserve"> </w:t>
      </w:r>
      <w:r>
        <w:rPr>
          <w:rFonts w:ascii="Calibri"/>
          <w:color w:val="003366"/>
          <w:sz w:val="20"/>
        </w:rPr>
        <w:t>to</w:t>
      </w:r>
      <w:r>
        <w:rPr>
          <w:rFonts w:ascii="Calibri"/>
          <w:color w:val="003366"/>
          <w:spacing w:val="-7"/>
          <w:sz w:val="20"/>
        </w:rPr>
        <w:t xml:space="preserve"> </w:t>
      </w:r>
      <w:r>
        <w:rPr>
          <w:rFonts w:ascii="Calibri"/>
          <w:color w:val="003366"/>
          <w:sz w:val="20"/>
        </w:rPr>
        <w:t>current</w:t>
      </w:r>
      <w:r>
        <w:rPr>
          <w:rFonts w:ascii="Calibri"/>
          <w:color w:val="003366"/>
          <w:spacing w:val="-8"/>
          <w:sz w:val="20"/>
        </w:rPr>
        <w:t xml:space="preserve"> </w:t>
      </w:r>
      <w:r>
        <w:rPr>
          <w:rFonts w:ascii="Calibri"/>
          <w:color w:val="003366"/>
          <w:sz w:val="20"/>
        </w:rPr>
        <w:t>market</w:t>
      </w:r>
      <w:r>
        <w:rPr>
          <w:rFonts w:ascii="Calibri"/>
          <w:color w:val="003366"/>
          <w:spacing w:val="-10"/>
          <w:sz w:val="20"/>
        </w:rPr>
        <w:t xml:space="preserve"> </w:t>
      </w:r>
      <w:r>
        <w:rPr>
          <w:rFonts w:ascii="Calibri"/>
          <w:color w:val="003366"/>
          <w:sz w:val="20"/>
        </w:rPr>
        <w:t>expectations about those future amounts. The market approach considered transactions and pricing data that has occurred in the principal market in arriving at fair</w:t>
      </w:r>
      <w:r>
        <w:rPr>
          <w:rFonts w:ascii="Calibri"/>
          <w:color w:val="003366"/>
          <w:spacing w:val="-1"/>
          <w:sz w:val="20"/>
        </w:rPr>
        <w:t xml:space="preserve"> </w:t>
      </w:r>
      <w:r>
        <w:rPr>
          <w:rFonts w:ascii="Calibri"/>
          <w:color w:val="003366"/>
          <w:sz w:val="20"/>
        </w:rPr>
        <w:t>value.</w:t>
      </w:r>
    </w:p>
    <w:p w:rsidR="006C17CB" w:rsidRDefault="0030091C">
      <w:pPr>
        <w:spacing w:before="81"/>
        <w:ind w:left="784"/>
        <w:rPr>
          <w:rFonts w:ascii="Calibri"/>
          <w:i/>
          <w:sz w:val="20"/>
        </w:rPr>
      </w:pPr>
      <w:r>
        <w:rPr>
          <w:rFonts w:ascii="Calibri"/>
          <w:i/>
          <w:color w:val="003366"/>
          <w:sz w:val="20"/>
        </w:rPr>
        <w:t>Depreciation</w:t>
      </w:r>
    </w:p>
    <w:p w:rsidR="006C17CB" w:rsidRDefault="0030091C">
      <w:pPr>
        <w:spacing w:before="109" w:line="204" w:lineRule="auto"/>
        <w:ind w:left="783" w:right="1412"/>
        <w:rPr>
          <w:rFonts w:ascii="Calibri"/>
          <w:sz w:val="20"/>
        </w:rPr>
      </w:pPr>
      <w:r>
        <w:rPr>
          <w:rFonts w:ascii="Calibri"/>
          <w:color w:val="003366"/>
          <w:sz w:val="20"/>
        </w:rPr>
        <w:t>Depreciation is applied to physical assets such as buildings and building improvements. All depreciation is calculated after first deducting any residual values which remain for each asset.</w:t>
      </w:r>
    </w:p>
    <w:p w:rsidR="006C17CB" w:rsidRDefault="0030091C">
      <w:pPr>
        <w:spacing w:before="84"/>
        <w:ind w:left="783"/>
        <w:rPr>
          <w:rFonts w:ascii="Calibri"/>
          <w:sz w:val="20"/>
        </w:rPr>
      </w:pPr>
      <w:r>
        <w:rPr>
          <w:rFonts w:ascii="Calibri"/>
          <w:color w:val="003366"/>
          <w:sz w:val="20"/>
        </w:rPr>
        <w:t>Depreciation for non-current assets is shown in the table below.</w:t>
      </w:r>
    </w:p>
    <w:p w:rsidR="006C17CB" w:rsidRDefault="0030091C">
      <w:pPr>
        <w:tabs>
          <w:tab w:val="left" w:pos="4866"/>
          <w:tab w:val="left" w:pos="7760"/>
        </w:tabs>
        <w:spacing w:before="116"/>
        <w:ind w:left="784"/>
        <w:rPr>
          <w:rFonts w:ascii="Calibri"/>
          <w:b/>
          <w:sz w:val="20"/>
        </w:rPr>
      </w:pPr>
      <w:r>
        <w:rPr>
          <w:rFonts w:ascii="Calibri"/>
          <w:b/>
          <w:color w:val="003366"/>
          <w:sz w:val="20"/>
        </w:rPr>
        <w:t>Class</w:t>
      </w:r>
      <w:r>
        <w:rPr>
          <w:rFonts w:ascii="Calibri"/>
          <w:b/>
          <w:color w:val="003366"/>
          <w:spacing w:val="-2"/>
          <w:sz w:val="20"/>
        </w:rPr>
        <w:t xml:space="preserve"> </w:t>
      </w:r>
      <w:r>
        <w:rPr>
          <w:rFonts w:ascii="Calibri"/>
          <w:b/>
          <w:color w:val="003366"/>
          <w:sz w:val="20"/>
        </w:rPr>
        <w:t>of Asset</w:t>
      </w:r>
      <w:r>
        <w:rPr>
          <w:rFonts w:ascii="Calibri"/>
          <w:b/>
          <w:color w:val="003366"/>
          <w:sz w:val="20"/>
        </w:rPr>
        <w:tab/>
        <w:t>Depreciation</w:t>
      </w:r>
      <w:r>
        <w:rPr>
          <w:rFonts w:ascii="Calibri"/>
          <w:b/>
          <w:color w:val="003366"/>
          <w:spacing w:val="-1"/>
          <w:sz w:val="20"/>
        </w:rPr>
        <w:t xml:space="preserve"> </w:t>
      </w:r>
      <w:r>
        <w:rPr>
          <w:rFonts w:ascii="Calibri"/>
          <w:b/>
          <w:color w:val="003366"/>
          <w:sz w:val="20"/>
        </w:rPr>
        <w:t>Method</w:t>
      </w:r>
      <w:r>
        <w:rPr>
          <w:rFonts w:ascii="Calibri"/>
          <w:b/>
          <w:color w:val="003366"/>
          <w:sz w:val="20"/>
        </w:rPr>
        <w:tab/>
        <w:t>Useful Life</w:t>
      </w:r>
      <w:r>
        <w:rPr>
          <w:rFonts w:ascii="Calibri"/>
          <w:b/>
          <w:color w:val="003366"/>
          <w:spacing w:val="-2"/>
          <w:sz w:val="20"/>
        </w:rPr>
        <w:t xml:space="preserve"> </w:t>
      </w:r>
      <w:r>
        <w:rPr>
          <w:rFonts w:ascii="Calibri"/>
          <w:b/>
          <w:color w:val="003366"/>
          <w:sz w:val="20"/>
        </w:rPr>
        <w:t>(Years)</w:t>
      </w:r>
    </w:p>
    <w:p w:rsidR="006C17CB" w:rsidRDefault="006C17CB">
      <w:pPr>
        <w:rPr>
          <w:rFonts w:ascii="Calibri"/>
          <w:sz w:val="20"/>
        </w:rPr>
        <w:sectPr w:rsidR="006C17CB">
          <w:pgSz w:w="11910" w:h="16840"/>
          <w:pgMar w:top="2140" w:right="0" w:bottom="740" w:left="980" w:header="1189" w:footer="551" w:gutter="0"/>
          <w:cols w:space="720"/>
        </w:sectPr>
      </w:pPr>
    </w:p>
    <w:p w:rsidR="006C17CB" w:rsidRDefault="0030091C">
      <w:pPr>
        <w:spacing w:line="283" w:lineRule="exact"/>
        <w:ind w:left="784"/>
        <w:rPr>
          <w:rFonts w:ascii="Calibri"/>
          <w:sz w:val="20"/>
        </w:rPr>
      </w:pPr>
      <w:r>
        <w:rPr>
          <w:rFonts w:ascii="Calibri"/>
          <w:color w:val="003366"/>
          <w:sz w:val="20"/>
        </w:rPr>
        <w:t>Buildings</w:t>
      </w:r>
    </w:p>
    <w:p w:rsidR="006C17CB" w:rsidRDefault="0030091C">
      <w:pPr>
        <w:spacing w:line="286" w:lineRule="exact"/>
        <w:ind w:left="784"/>
        <w:rPr>
          <w:rFonts w:ascii="Calibri"/>
          <w:sz w:val="20"/>
        </w:rPr>
      </w:pPr>
      <w:r>
        <w:rPr>
          <w:rFonts w:ascii="Calibri"/>
          <w:color w:val="003366"/>
          <w:sz w:val="20"/>
        </w:rPr>
        <w:t>Building Improvements</w:t>
      </w:r>
    </w:p>
    <w:p w:rsidR="006C17CB" w:rsidRDefault="0030091C">
      <w:pPr>
        <w:tabs>
          <w:tab w:val="right" w:pos="4143"/>
        </w:tabs>
        <w:spacing w:line="283" w:lineRule="exact"/>
        <w:ind w:left="783"/>
        <w:rPr>
          <w:rFonts w:ascii="Calibri"/>
          <w:sz w:val="20"/>
        </w:rPr>
      </w:pPr>
      <w:r>
        <w:br w:type="column"/>
      </w:r>
      <w:r>
        <w:rPr>
          <w:rFonts w:ascii="Calibri"/>
          <w:color w:val="003366"/>
          <w:sz w:val="20"/>
        </w:rPr>
        <w:t>Straight</w:t>
      </w:r>
      <w:r>
        <w:rPr>
          <w:rFonts w:ascii="Calibri"/>
          <w:color w:val="003366"/>
          <w:spacing w:val="-1"/>
          <w:sz w:val="20"/>
        </w:rPr>
        <w:t xml:space="preserve"> </w:t>
      </w:r>
      <w:r>
        <w:rPr>
          <w:rFonts w:ascii="Calibri"/>
          <w:color w:val="003366"/>
          <w:sz w:val="20"/>
        </w:rPr>
        <w:t>Line</w:t>
      </w:r>
      <w:r>
        <w:rPr>
          <w:rFonts w:ascii="Calibri"/>
          <w:color w:val="003366"/>
          <w:sz w:val="20"/>
        </w:rPr>
        <w:tab/>
        <w:t>50</w:t>
      </w:r>
    </w:p>
    <w:p w:rsidR="006C17CB" w:rsidRDefault="0030091C">
      <w:pPr>
        <w:tabs>
          <w:tab w:val="right" w:pos="4143"/>
        </w:tabs>
        <w:spacing w:line="286" w:lineRule="exact"/>
        <w:ind w:left="783"/>
        <w:rPr>
          <w:rFonts w:ascii="Calibri"/>
          <w:sz w:val="20"/>
        </w:rPr>
      </w:pPr>
      <w:r>
        <w:rPr>
          <w:rFonts w:ascii="Calibri"/>
          <w:color w:val="003366"/>
          <w:sz w:val="20"/>
        </w:rPr>
        <w:t>Straight</w:t>
      </w:r>
      <w:r>
        <w:rPr>
          <w:rFonts w:ascii="Calibri"/>
          <w:color w:val="003366"/>
          <w:spacing w:val="-1"/>
          <w:sz w:val="20"/>
        </w:rPr>
        <w:t xml:space="preserve"> </w:t>
      </w:r>
      <w:r>
        <w:rPr>
          <w:rFonts w:ascii="Calibri"/>
          <w:color w:val="003366"/>
          <w:sz w:val="20"/>
        </w:rPr>
        <w:t>Line</w:t>
      </w:r>
      <w:r>
        <w:rPr>
          <w:rFonts w:ascii="Calibri"/>
          <w:color w:val="003366"/>
          <w:sz w:val="20"/>
        </w:rPr>
        <w:tab/>
        <w:t>25</w:t>
      </w:r>
    </w:p>
    <w:p w:rsidR="006C17CB" w:rsidRDefault="006C17CB">
      <w:pPr>
        <w:spacing w:line="286" w:lineRule="exact"/>
        <w:rPr>
          <w:rFonts w:ascii="Calibri"/>
          <w:sz w:val="20"/>
        </w:rPr>
        <w:sectPr w:rsidR="006C17CB">
          <w:type w:val="continuous"/>
          <w:pgSz w:w="11910" w:h="16840"/>
          <w:pgMar w:top="1580" w:right="0" w:bottom="280" w:left="980" w:header="720" w:footer="720" w:gutter="0"/>
          <w:cols w:num="2" w:space="720" w:equalWidth="0">
            <w:col w:w="2714" w:space="1752"/>
            <w:col w:w="6464"/>
          </w:cols>
        </w:sectPr>
      </w:pPr>
    </w:p>
    <w:p w:rsidR="006C17CB" w:rsidRDefault="0030091C">
      <w:pPr>
        <w:spacing w:before="729"/>
        <w:ind w:left="784"/>
        <w:rPr>
          <w:rFonts w:ascii="Calibri"/>
          <w:b/>
          <w:sz w:val="20"/>
        </w:rPr>
      </w:pPr>
      <w:r>
        <w:rPr>
          <w:rFonts w:ascii="Calibri"/>
          <w:b/>
          <w:color w:val="003366"/>
          <w:sz w:val="20"/>
        </w:rPr>
        <w:t>Land and Building</w:t>
      </w:r>
    </w:p>
    <w:p w:rsidR="006C17CB" w:rsidRDefault="0030091C">
      <w:pPr>
        <w:spacing w:before="199" w:line="267" w:lineRule="exact"/>
        <w:ind w:left="834"/>
        <w:rPr>
          <w:rFonts w:ascii="Calibri"/>
          <w:b/>
          <w:sz w:val="20"/>
        </w:rPr>
      </w:pPr>
      <w:r>
        <w:br w:type="column"/>
      </w:r>
      <w:r>
        <w:rPr>
          <w:rFonts w:ascii="Calibri"/>
          <w:b/>
          <w:color w:val="003366"/>
          <w:sz w:val="20"/>
        </w:rPr>
        <w:t>2018</w:t>
      </w:r>
    </w:p>
    <w:p w:rsidR="006C17CB" w:rsidRDefault="0030091C">
      <w:pPr>
        <w:spacing w:line="267" w:lineRule="exact"/>
        <w:ind w:left="783"/>
        <w:rPr>
          <w:rFonts w:ascii="Calibri" w:hAnsi="Calibri"/>
          <w:b/>
          <w:sz w:val="20"/>
        </w:rPr>
      </w:pPr>
      <w:r>
        <w:rPr>
          <w:rFonts w:ascii="Calibri" w:hAnsi="Calibri"/>
          <w:b/>
          <w:color w:val="003366"/>
          <w:sz w:val="20"/>
        </w:rPr>
        <w:t>$’000</w:t>
      </w:r>
    </w:p>
    <w:p w:rsidR="006C17CB" w:rsidRDefault="0030091C">
      <w:pPr>
        <w:spacing w:before="199" w:line="267" w:lineRule="exact"/>
        <w:ind w:left="834"/>
        <w:rPr>
          <w:rFonts w:ascii="Calibri"/>
          <w:b/>
          <w:sz w:val="20"/>
        </w:rPr>
      </w:pPr>
      <w:r>
        <w:br w:type="column"/>
      </w:r>
      <w:r>
        <w:rPr>
          <w:rFonts w:ascii="Calibri"/>
          <w:b/>
          <w:color w:val="003366"/>
          <w:sz w:val="20"/>
        </w:rPr>
        <w:t>2017</w:t>
      </w:r>
    </w:p>
    <w:p w:rsidR="006C17CB" w:rsidRDefault="0030091C">
      <w:pPr>
        <w:spacing w:line="267" w:lineRule="exact"/>
        <w:ind w:left="783"/>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3" w:space="720" w:equalWidth="0">
            <w:col w:w="2304" w:space="4495"/>
            <w:col w:w="1278" w:space="129"/>
            <w:col w:w="2724"/>
          </w:cols>
        </w:sectPr>
      </w:pPr>
    </w:p>
    <w:p w:rsidR="006C17CB" w:rsidRDefault="0030091C">
      <w:pPr>
        <w:tabs>
          <w:tab w:val="left" w:pos="6743"/>
          <w:tab w:val="left" w:pos="7583"/>
          <w:tab w:val="left" w:pos="8989"/>
        </w:tabs>
        <w:spacing w:line="284" w:lineRule="exact"/>
        <w:ind w:left="784"/>
        <w:rPr>
          <w:rFonts w:ascii="Calibri"/>
          <w:sz w:val="20"/>
        </w:rPr>
      </w:pPr>
      <w:r>
        <w:rPr>
          <w:rFonts w:ascii="Calibri"/>
          <w:color w:val="003366"/>
          <w:sz w:val="20"/>
        </w:rPr>
        <w:t>Land at</w:t>
      </w:r>
      <w:r>
        <w:rPr>
          <w:rFonts w:ascii="Calibri"/>
          <w:color w:val="003366"/>
          <w:spacing w:val="-2"/>
          <w:sz w:val="20"/>
        </w:rPr>
        <w:t xml:space="preserve"> </w:t>
      </w:r>
      <w:r>
        <w:rPr>
          <w:rFonts w:ascii="Calibri"/>
          <w:color w:val="003366"/>
          <w:sz w:val="20"/>
        </w:rPr>
        <w:t>Fair</w:t>
      </w:r>
      <w:r>
        <w:rPr>
          <w:rFonts w:ascii="Calibri"/>
          <w:color w:val="003366"/>
          <w:spacing w:val="-2"/>
          <w:sz w:val="20"/>
        </w:rPr>
        <w:t xml:space="preserve"> </w:t>
      </w:r>
      <w:r>
        <w:rPr>
          <w:rFonts w:ascii="Calibri"/>
          <w:color w:val="003366"/>
          <w:sz w:val="20"/>
        </w:rPr>
        <w:t>Value</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4,650</w:t>
      </w:r>
      <w:r>
        <w:rPr>
          <w:rFonts w:ascii="Calibri"/>
          <w:color w:val="003366"/>
          <w:sz w:val="20"/>
          <w:u w:val="single" w:color="003366"/>
        </w:rPr>
        <w:tab/>
        <w:t>4,650</w:t>
      </w:r>
      <w:r>
        <w:rPr>
          <w:rFonts w:ascii="Calibri"/>
          <w:color w:val="003366"/>
          <w:spacing w:val="18"/>
          <w:sz w:val="20"/>
          <w:u w:val="single" w:color="003366"/>
        </w:rPr>
        <w:t xml:space="preserve"> </w:t>
      </w:r>
    </w:p>
    <w:p w:rsidR="006C17CB" w:rsidRDefault="0030091C">
      <w:pPr>
        <w:tabs>
          <w:tab w:val="left" w:pos="7583"/>
          <w:tab w:val="left" w:pos="8989"/>
        </w:tabs>
        <w:spacing w:before="7"/>
        <w:ind w:left="784"/>
        <w:rPr>
          <w:rFonts w:ascii="Calibri"/>
          <w:b/>
          <w:sz w:val="20"/>
        </w:rPr>
      </w:pPr>
      <w:r>
        <w:rPr>
          <w:rFonts w:ascii="Calibri"/>
          <w:b/>
          <w:color w:val="003366"/>
          <w:sz w:val="20"/>
        </w:rPr>
        <w:t>Total</w:t>
      </w:r>
      <w:r>
        <w:rPr>
          <w:rFonts w:ascii="Calibri"/>
          <w:b/>
          <w:color w:val="003366"/>
          <w:spacing w:val="-3"/>
          <w:sz w:val="20"/>
        </w:rPr>
        <w:t xml:space="preserve"> </w:t>
      </w:r>
      <w:r>
        <w:rPr>
          <w:rFonts w:ascii="Calibri"/>
          <w:b/>
          <w:color w:val="003366"/>
          <w:sz w:val="20"/>
        </w:rPr>
        <w:t>Land</w:t>
      </w:r>
      <w:r>
        <w:rPr>
          <w:rFonts w:ascii="Calibri"/>
          <w:b/>
          <w:color w:val="003366"/>
          <w:spacing w:val="-1"/>
          <w:sz w:val="20"/>
        </w:rPr>
        <w:t xml:space="preserve"> </w:t>
      </w:r>
      <w:r>
        <w:rPr>
          <w:rFonts w:ascii="Calibri"/>
          <w:b/>
          <w:color w:val="003366"/>
          <w:sz w:val="20"/>
        </w:rPr>
        <w:t>Assets</w:t>
      </w:r>
      <w:r>
        <w:rPr>
          <w:rFonts w:ascii="Calibri"/>
          <w:b/>
          <w:color w:val="003366"/>
          <w:sz w:val="20"/>
        </w:rPr>
        <w:tab/>
        <w:t>4,650</w:t>
      </w:r>
      <w:r>
        <w:rPr>
          <w:rFonts w:ascii="Calibri"/>
          <w:b/>
          <w:color w:val="003366"/>
          <w:sz w:val="20"/>
        </w:rPr>
        <w:tab/>
        <w:t>4,650</w:t>
      </w:r>
    </w:p>
    <w:p w:rsidR="006C17CB" w:rsidRDefault="006C17CB">
      <w:pPr>
        <w:pStyle w:val="BodyText"/>
        <w:spacing w:before="13"/>
        <w:rPr>
          <w:rFonts w:ascii="Calibri"/>
          <w:b/>
          <w:sz w:val="14"/>
        </w:rPr>
      </w:pPr>
    </w:p>
    <w:p w:rsidR="006C17CB" w:rsidRDefault="0030091C">
      <w:pPr>
        <w:tabs>
          <w:tab w:val="left" w:pos="7482"/>
          <w:tab w:val="left" w:pos="8888"/>
        </w:tabs>
        <w:spacing w:before="1" w:line="286" w:lineRule="exact"/>
        <w:ind w:left="784"/>
        <w:rPr>
          <w:rFonts w:ascii="Calibri"/>
          <w:sz w:val="20"/>
        </w:rPr>
      </w:pPr>
      <w:r>
        <w:rPr>
          <w:rFonts w:ascii="Calibri"/>
          <w:color w:val="003366"/>
          <w:sz w:val="20"/>
        </w:rPr>
        <w:t>Building at</w:t>
      </w:r>
      <w:r>
        <w:rPr>
          <w:rFonts w:ascii="Calibri"/>
          <w:color w:val="003366"/>
          <w:spacing w:val="-5"/>
          <w:sz w:val="20"/>
        </w:rPr>
        <w:t xml:space="preserve"> </w:t>
      </w:r>
      <w:r>
        <w:rPr>
          <w:rFonts w:ascii="Calibri"/>
          <w:color w:val="003366"/>
          <w:sz w:val="20"/>
        </w:rPr>
        <w:t>Fair</w:t>
      </w:r>
      <w:r>
        <w:rPr>
          <w:rFonts w:ascii="Calibri"/>
          <w:color w:val="003366"/>
          <w:spacing w:val="-3"/>
          <w:sz w:val="20"/>
        </w:rPr>
        <w:t xml:space="preserve"> </w:t>
      </w:r>
      <w:r>
        <w:rPr>
          <w:rFonts w:ascii="Calibri"/>
          <w:color w:val="003366"/>
          <w:sz w:val="20"/>
        </w:rPr>
        <w:t>Value</w:t>
      </w:r>
      <w:r>
        <w:rPr>
          <w:rFonts w:ascii="Calibri"/>
          <w:color w:val="003366"/>
          <w:sz w:val="20"/>
        </w:rPr>
        <w:tab/>
        <w:t>23,850</w:t>
      </w:r>
      <w:r>
        <w:rPr>
          <w:rFonts w:ascii="Calibri"/>
          <w:color w:val="003366"/>
          <w:sz w:val="20"/>
        </w:rPr>
        <w:tab/>
        <w:t>23,850</w:t>
      </w:r>
    </w:p>
    <w:p w:rsidR="006C17CB" w:rsidRDefault="0030091C">
      <w:pPr>
        <w:tabs>
          <w:tab w:val="left" w:pos="6743"/>
          <w:tab w:val="left" w:pos="7614"/>
          <w:tab w:val="left" w:pos="9383"/>
        </w:tabs>
        <w:spacing w:line="286" w:lineRule="exact"/>
        <w:ind w:left="784"/>
        <w:rPr>
          <w:rFonts w:ascii="Calibri"/>
          <w:sz w:val="20"/>
        </w:rPr>
      </w:pPr>
      <w:r>
        <w:rPr>
          <w:rFonts w:ascii="Calibri"/>
          <w:color w:val="003366"/>
          <w:sz w:val="20"/>
        </w:rPr>
        <w:t>Less:</w:t>
      </w:r>
      <w:r>
        <w:rPr>
          <w:rFonts w:ascii="Calibri"/>
          <w:color w:val="003366"/>
          <w:spacing w:val="-4"/>
          <w:sz w:val="20"/>
        </w:rPr>
        <w:t xml:space="preserve"> </w:t>
      </w:r>
      <w:r>
        <w:rPr>
          <w:rFonts w:ascii="Calibri"/>
          <w:color w:val="003366"/>
          <w:sz w:val="20"/>
        </w:rPr>
        <w:t>Accumulated</w:t>
      </w:r>
      <w:r>
        <w:rPr>
          <w:rFonts w:ascii="Calibri"/>
          <w:color w:val="003366"/>
          <w:spacing w:val="-2"/>
          <w:sz w:val="20"/>
        </w:rPr>
        <w:t xml:space="preserve"> </w:t>
      </w:r>
      <w:r>
        <w:rPr>
          <w:rFonts w:ascii="Calibri"/>
          <w:color w:val="003366"/>
          <w:sz w:val="20"/>
        </w:rPr>
        <w:t>Depreciation</w:t>
      </w:r>
      <w:r>
        <w:rPr>
          <w:rFonts w:ascii="Calibri"/>
          <w:color w:val="003366"/>
          <w:sz w:val="20"/>
        </w:rPr>
        <w:tab/>
      </w:r>
      <w:r>
        <w:rPr>
          <w:rFonts w:ascii="Calibri"/>
          <w:color w:val="003366"/>
          <w:sz w:val="20"/>
          <w:u w:val="single" w:color="000000"/>
        </w:rPr>
        <w:t xml:space="preserve"> </w:t>
      </w:r>
      <w:r>
        <w:rPr>
          <w:rFonts w:ascii="Calibri"/>
          <w:color w:val="003366"/>
          <w:sz w:val="20"/>
          <w:u w:val="single" w:color="000000"/>
        </w:rPr>
        <w:tab/>
        <w:t>(530)</w:t>
      </w:r>
      <w:r>
        <w:rPr>
          <w:rFonts w:ascii="Calibri"/>
          <w:color w:val="003366"/>
          <w:sz w:val="20"/>
          <w:u w:val="single" w:color="000000"/>
        </w:rPr>
        <w:tab/>
        <w:t>-</w:t>
      </w:r>
      <w:r>
        <w:rPr>
          <w:rFonts w:ascii="Calibri"/>
          <w:color w:val="003366"/>
          <w:spacing w:val="17"/>
          <w:sz w:val="20"/>
          <w:u w:val="single" w:color="000000"/>
        </w:rPr>
        <w:t xml:space="preserve"> </w:t>
      </w:r>
    </w:p>
    <w:p w:rsidR="006C17CB" w:rsidRDefault="0030091C">
      <w:pPr>
        <w:tabs>
          <w:tab w:val="left" w:pos="7482"/>
          <w:tab w:val="left" w:pos="8888"/>
        </w:tabs>
        <w:spacing w:before="6"/>
        <w:ind w:left="6743"/>
        <w:rPr>
          <w:rFonts w:ascii="Calibri"/>
          <w:sz w:val="20"/>
        </w:rPr>
      </w:pPr>
      <w:r>
        <w:rPr>
          <w:rFonts w:ascii="Calibri"/>
          <w:color w:val="003366"/>
          <w:w w:val="99"/>
          <w:sz w:val="20"/>
          <w:u w:val="single" w:color="000000"/>
        </w:rPr>
        <w:t xml:space="preserve"> </w:t>
      </w:r>
      <w:r>
        <w:rPr>
          <w:rFonts w:ascii="Calibri"/>
          <w:color w:val="003366"/>
          <w:sz w:val="20"/>
          <w:u w:val="single" w:color="000000"/>
        </w:rPr>
        <w:tab/>
        <w:t>23,320</w:t>
      </w:r>
      <w:r>
        <w:rPr>
          <w:rFonts w:ascii="Calibri"/>
          <w:color w:val="003366"/>
          <w:sz w:val="20"/>
          <w:u w:val="single" w:color="000000"/>
        </w:rPr>
        <w:tab/>
        <w:t>23,850</w:t>
      </w:r>
      <w:r>
        <w:rPr>
          <w:rFonts w:ascii="Calibri"/>
          <w:color w:val="003366"/>
          <w:spacing w:val="18"/>
          <w:sz w:val="20"/>
          <w:u w:val="single" w:color="000000"/>
        </w:rPr>
        <w:t xml:space="preserve"> </w:t>
      </w:r>
    </w:p>
    <w:p w:rsidR="006C17CB" w:rsidRDefault="006C17CB">
      <w:pPr>
        <w:pStyle w:val="BodyText"/>
        <w:spacing w:before="4"/>
        <w:rPr>
          <w:rFonts w:ascii="Calibri"/>
          <w:sz w:val="17"/>
        </w:rPr>
      </w:pPr>
    </w:p>
    <w:p w:rsidR="006C17CB" w:rsidRDefault="0030091C">
      <w:pPr>
        <w:tabs>
          <w:tab w:val="left" w:pos="7734"/>
          <w:tab w:val="left" w:pos="9383"/>
        </w:tabs>
        <w:spacing w:before="15" w:line="287" w:lineRule="exact"/>
        <w:ind w:left="784"/>
        <w:rPr>
          <w:rFonts w:ascii="Calibri"/>
          <w:sz w:val="20"/>
        </w:rPr>
      </w:pPr>
      <w:r>
        <w:rPr>
          <w:rFonts w:ascii="Calibri"/>
          <w:color w:val="003366"/>
          <w:sz w:val="20"/>
        </w:rPr>
        <w:t>Building Improvements</w:t>
      </w:r>
      <w:r>
        <w:rPr>
          <w:rFonts w:ascii="Calibri"/>
          <w:color w:val="003366"/>
          <w:spacing w:val="-6"/>
          <w:sz w:val="20"/>
        </w:rPr>
        <w:t xml:space="preserve"> </w:t>
      </w:r>
      <w:r>
        <w:rPr>
          <w:rFonts w:ascii="Calibri"/>
          <w:color w:val="003366"/>
          <w:sz w:val="20"/>
        </w:rPr>
        <w:t>at</w:t>
      </w:r>
      <w:r>
        <w:rPr>
          <w:rFonts w:ascii="Calibri"/>
          <w:color w:val="003366"/>
          <w:spacing w:val="-3"/>
          <w:sz w:val="20"/>
        </w:rPr>
        <w:t xml:space="preserve"> </w:t>
      </w:r>
      <w:r>
        <w:rPr>
          <w:rFonts w:ascii="Calibri"/>
          <w:color w:val="003366"/>
          <w:sz w:val="20"/>
        </w:rPr>
        <w:t>Cost</w:t>
      </w:r>
      <w:r>
        <w:rPr>
          <w:rFonts w:ascii="Calibri"/>
          <w:color w:val="003366"/>
          <w:sz w:val="20"/>
        </w:rPr>
        <w:tab/>
        <w:t>784</w:t>
      </w:r>
      <w:r>
        <w:rPr>
          <w:rFonts w:ascii="Calibri"/>
          <w:color w:val="003366"/>
          <w:sz w:val="20"/>
        </w:rPr>
        <w:tab/>
        <w:t>-</w:t>
      </w:r>
    </w:p>
    <w:p w:rsidR="006C17CB" w:rsidRDefault="0030091C">
      <w:pPr>
        <w:tabs>
          <w:tab w:val="left" w:pos="6743"/>
          <w:tab w:val="left" w:pos="7815"/>
          <w:tab w:val="left" w:pos="9383"/>
        </w:tabs>
        <w:spacing w:line="287" w:lineRule="exact"/>
        <w:ind w:left="784"/>
        <w:rPr>
          <w:rFonts w:ascii="Calibri"/>
          <w:sz w:val="20"/>
        </w:rPr>
      </w:pPr>
      <w:r>
        <w:rPr>
          <w:rFonts w:ascii="Calibri"/>
          <w:color w:val="003366"/>
          <w:sz w:val="20"/>
        </w:rPr>
        <w:t>Less:</w:t>
      </w:r>
      <w:r>
        <w:rPr>
          <w:rFonts w:ascii="Calibri"/>
          <w:color w:val="003366"/>
          <w:spacing w:val="-4"/>
          <w:sz w:val="20"/>
        </w:rPr>
        <w:t xml:space="preserve"> </w:t>
      </w:r>
      <w:r>
        <w:rPr>
          <w:rFonts w:ascii="Calibri"/>
          <w:color w:val="003366"/>
          <w:sz w:val="20"/>
        </w:rPr>
        <w:t>Accumulated</w:t>
      </w:r>
      <w:r>
        <w:rPr>
          <w:rFonts w:ascii="Calibri"/>
          <w:color w:val="003366"/>
          <w:spacing w:val="-2"/>
          <w:sz w:val="20"/>
        </w:rPr>
        <w:t xml:space="preserve"> </w:t>
      </w:r>
      <w:r>
        <w:rPr>
          <w:rFonts w:ascii="Calibri"/>
          <w:color w:val="003366"/>
          <w:sz w:val="20"/>
        </w:rPr>
        <w:t>Depreciation</w:t>
      </w:r>
      <w:r>
        <w:rPr>
          <w:rFonts w:ascii="Calibri"/>
          <w:color w:val="003366"/>
          <w:sz w:val="20"/>
        </w:rPr>
        <w:tab/>
      </w:r>
      <w:r>
        <w:rPr>
          <w:rFonts w:ascii="Calibri"/>
          <w:color w:val="003366"/>
          <w:sz w:val="20"/>
          <w:u w:val="single" w:color="000000"/>
        </w:rPr>
        <w:t xml:space="preserve"> </w:t>
      </w:r>
      <w:r>
        <w:rPr>
          <w:rFonts w:ascii="Calibri"/>
          <w:color w:val="003366"/>
          <w:sz w:val="20"/>
          <w:u w:val="single" w:color="000000"/>
        </w:rPr>
        <w:tab/>
        <w:t>(5)</w:t>
      </w:r>
      <w:r>
        <w:rPr>
          <w:rFonts w:ascii="Calibri"/>
          <w:color w:val="003366"/>
          <w:sz w:val="20"/>
          <w:u w:val="single" w:color="000000"/>
        </w:rPr>
        <w:tab/>
        <w:t>-</w:t>
      </w:r>
      <w:r>
        <w:rPr>
          <w:rFonts w:ascii="Calibri"/>
          <w:color w:val="003366"/>
          <w:spacing w:val="17"/>
          <w:sz w:val="20"/>
          <w:u w:val="single" w:color="000000"/>
        </w:rPr>
        <w:t xml:space="preserve"> </w:t>
      </w:r>
    </w:p>
    <w:p w:rsidR="006C17CB" w:rsidRDefault="0030091C">
      <w:pPr>
        <w:tabs>
          <w:tab w:val="left" w:pos="7734"/>
          <w:tab w:val="left" w:pos="9383"/>
        </w:tabs>
        <w:spacing w:before="5"/>
        <w:ind w:left="6743"/>
        <w:rPr>
          <w:rFonts w:ascii="Calibri"/>
          <w:sz w:val="20"/>
        </w:rPr>
      </w:pPr>
      <w:r>
        <w:rPr>
          <w:rFonts w:ascii="Calibri"/>
          <w:color w:val="003366"/>
          <w:w w:val="99"/>
          <w:sz w:val="20"/>
          <w:u w:val="single" w:color="000000"/>
        </w:rPr>
        <w:t xml:space="preserve"> </w:t>
      </w:r>
      <w:r>
        <w:rPr>
          <w:rFonts w:ascii="Calibri"/>
          <w:color w:val="003366"/>
          <w:sz w:val="20"/>
          <w:u w:val="single" w:color="000000"/>
        </w:rPr>
        <w:tab/>
        <w:t>779</w:t>
      </w:r>
      <w:r>
        <w:rPr>
          <w:rFonts w:ascii="Calibri"/>
          <w:color w:val="003366"/>
          <w:sz w:val="20"/>
          <w:u w:val="single" w:color="000000"/>
        </w:rPr>
        <w:tab/>
        <w:t>-</w:t>
      </w:r>
      <w:r>
        <w:rPr>
          <w:rFonts w:ascii="Calibri"/>
          <w:color w:val="003366"/>
          <w:spacing w:val="17"/>
          <w:sz w:val="20"/>
          <w:u w:val="single" w:color="000000"/>
        </w:rPr>
        <w:t xml:space="preserve"> </w:t>
      </w:r>
    </w:p>
    <w:p w:rsidR="006C17CB" w:rsidRDefault="00FE24A7">
      <w:pPr>
        <w:pStyle w:val="BodyText"/>
        <w:spacing w:before="9"/>
        <w:rPr>
          <w:rFonts w:ascii="Calibri"/>
          <w:sz w:val="17"/>
        </w:rPr>
      </w:pPr>
      <w:r>
        <w:pict>
          <v:group id="_x0000_s1123" alt="" style="position:absolute;margin-left:386.15pt;margin-top:14.7pt;width:140.55pt;height:.5pt;z-index:3088;mso-wrap-distance-left:0;mso-wrap-distance-right:0;mso-position-horizontal-relative:page" coordorigin="7723,294" coordsize="2811,10">
            <v:line id="_x0000_s1124" alt="" style="position:absolute" from="7723,299" to="9127,299" strokecolor="#036" strokeweight=".17003mm"/>
            <v:rect id="_x0000_s1125" alt="" style="position:absolute;left:9127;top:294;width:10;height:10" fillcolor="#036" stroked="f"/>
            <v:line id="_x0000_s1126" alt="" style="position:absolute" from="9137,299" to="10534,299" strokecolor="#036" strokeweight=".17003mm"/>
            <w10:wrap type="topAndBottom" anchorx="page"/>
          </v:group>
        </w:pict>
      </w:r>
    </w:p>
    <w:p w:rsidR="006C17CB" w:rsidRDefault="0030091C">
      <w:pPr>
        <w:tabs>
          <w:tab w:val="left" w:pos="7479"/>
          <w:tab w:val="left" w:pos="8886"/>
        </w:tabs>
        <w:spacing w:line="255" w:lineRule="exact"/>
        <w:ind w:left="784"/>
        <w:rPr>
          <w:rFonts w:ascii="Calibri"/>
          <w:b/>
          <w:sz w:val="20"/>
        </w:rPr>
      </w:pPr>
      <w:r>
        <w:rPr>
          <w:rFonts w:ascii="Calibri"/>
          <w:b/>
          <w:color w:val="003366"/>
          <w:sz w:val="20"/>
        </w:rPr>
        <w:t>Total Written Down Value</w:t>
      </w:r>
      <w:r>
        <w:rPr>
          <w:rFonts w:ascii="Calibri"/>
          <w:b/>
          <w:color w:val="003366"/>
          <w:spacing w:val="-7"/>
          <w:sz w:val="20"/>
        </w:rPr>
        <w:t xml:space="preserve"> </w:t>
      </w:r>
      <w:r>
        <w:rPr>
          <w:rFonts w:ascii="Calibri"/>
          <w:b/>
          <w:color w:val="003366"/>
          <w:sz w:val="20"/>
        </w:rPr>
        <w:t>of Building</w:t>
      </w:r>
      <w:r>
        <w:rPr>
          <w:rFonts w:ascii="Calibri"/>
          <w:b/>
          <w:color w:val="003366"/>
          <w:sz w:val="20"/>
        </w:rPr>
        <w:tab/>
        <w:t>24,099</w:t>
      </w:r>
      <w:r>
        <w:rPr>
          <w:rFonts w:ascii="Calibri"/>
          <w:b/>
          <w:color w:val="003366"/>
          <w:sz w:val="20"/>
        </w:rPr>
        <w:tab/>
        <w:t>23,850</w:t>
      </w:r>
    </w:p>
    <w:p w:rsidR="006C17CB" w:rsidRDefault="00FE24A7">
      <w:pPr>
        <w:pStyle w:val="BodyText"/>
        <w:spacing w:before="10"/>
        <w:rPr>
          <w:rFonts w:ascii="Calibri"/>
          <w:b/>
          <w:sz w:val="17"/>
        </w:rPr>
      </w:pPr>
      <w:r>
        <w:pict>
          <v:group id="_x0000_s1119" alt="" style="position:absolute;margin-left:386.15pt;margin-top:14.7pt;width:140.55pt;height:.5pt;z-index:3112;mso-wrap-distance-left:0;mso-wrap-distance-right:0;mso-position-horizontal-relative:page" coordorigin="7723,294" coordsize="2811,10">
            <v:line id="_x0000_s1120" alt="" style="position:absolute" from="7723,299" to="9127,299" strokecolor="#036" strokeweight=".48pt"/>
            <v:rect id="_x0000_s1121" alt="" style="position:absolute;left:9127;top:294;width:10;height:10" fillcolor="#036" stroked="f"/>
            <v:line id="_x0000_s1122" alt="" style="position:absolute" from="9137,299" to="10534,299" strokecolor="#036" strokeweight=".48pt"/>
            <w10:wrap type="topAndBottom" anchorx="page"/>
          </v:group>
        </w:pict>
      </w:r>
    </w:p>
    <w:p w:rsidR="006C17CB" w:rsidRDefault="0030091C">
      <w:pPr>
        <w:tabs>
          <w:tab w:val="left" w:pos="6743"/>
          <w:tab w:val="left" w:pos="7479"/>
          <w:tab w:val="left" w:pos="8886"/>
        </w:tabs>
        <w:spacing w:line="255" w:lineRule="exact"/>
        <w:ind w:left="784"/>
        <w:rPr>
          <w:rFonts w:ascii="Calibri"/>
          <w:b/>
          <w:sz w:val="20"/>
        </w:rPr>
      </w:pPr>
      <w:r>
        <w:rPr>
          <w:rFonts w:ascii="Calibri"/>
          <w:b/>
          <w:color w:val="003366"/>
          <w:sz w:val="20"/>
        </w:rPr>
        <w:t>Total Land and Written Down Value</w:t>
      </w:r>
      <w:r>
        <w:rPr>
          <w:rFonts w:ascii="Calibri"/>
          <w:b/>
          <w:color w:val="003366"/>
          <w:spacing w:val="-8"/>
          <w:sz w:val="20"/>
        </w:rPr>
        <w:t xml:space="preserve"> </w:t>
      </w:r>
      <w:r>
        <w:rPr>
          <w:rFonts w:ascii="Calibri"/>
          <w:b/>
          <w:color w:val="003366"/>
          <w:sz w:val="20"/>
        </w:rPr>
        <w:t>of</w:t>
      </w:r>
      <w:r>
        <w:rPr>
          <w:rFonts w:ascii="Calibri"/>
          <w:b/>
          <w:color w:val="003366"/>
          <w:spacing w:val="-3"/>
          <w:sz w:val="20"/>
        </w:rPr>
        <w:t xml:space="preserve"> </w:t>
      </w:r>
      <w:r>
        <w:rPr>
          <w:rFonts w:ascii="Calibri"/>
          <w:b/>
          <w:color w:val="003366"/>
          <w:sz w:val="20"/>
        </w:rPr>
        <w:t>Building</w:t>
      </w:r>
      <w:r>
        <w:rPr>
          <w:rFonts w:ascii="Calibri"/>
          <w:b/>
          <w:color w:val="003366"/>
          <w:sz w:val="20"/>
        </w:rPr>
        <w:tab/>
      </w:r>
      <w:r>
        <w:rPr>
          <w:rFonts w:ascii="Calibri"/>
          <w:b/>
          <w:color w:val="003366"/>
          <w:sz w:val="20"/>
          <w:u w:val="single" w:color="000000"/>
        </w:rPr>
        <w:t xml:space="preserve"> </w:t>
      </w:r>
      <w:r>
        <w:rPr>
          <w:rFonts w:ascii="Calibri"/>
          <w:b/>
          <w:color w:val="003366"/>
          <w:sz w:val="20"/>
          <w:u w:val="single" w:color="000000"/>
        </w:rPr>
        <w:tab/>
        <w:t>28,749</w:t>
      </w:r>
      <w:r>
        <w:rPr>
          <w:rFonts w:ascii="Calibri"/>
          <w:b/>
          <w:color w:val="003366"/>
          <w:sz w:val="20"/>
          <w:u w:val="single" w:color="000000"/>
        </w:rPr>
        <w:tab/>
        <w:t>28,500</w:t>
      </w:r>
      <w:r>
        <w:rPr>
          <w:rFonts w:ascii="Calibri"/>
          <w:b/>
          <w:color w:val="003366"/>
          <w:spacing w:val="18"/>
          <w:sz w:val="20"/>
          <w:u w:val="single" w:color="000000"/>
        </w:rPr>
        <w:t xml:space="preserve"> </w:t>
      </w:r>
    </w:p>
    <w:p w:rsidR="006C17CB" w:rsidRDefault="00FE24A7">
      <w:pPr>
        <w:pStyle w:val="BodyText"/>
        <w:spacing w:before="5"/>
        <w:rPr>
          <w:rFonts w:ascii="Calibri"/>
          <w:b/>
          <w:sz w:val="18"/>
        </w:rPr>
      </w:pPr>
      <w:r>
        <w:pict>
          <v:group id="_x0000_s1115" alt="" style="position:absolute;margin-left:386.15pt;margin-top:15.2pt;width:140.55pt;height:.5pt;z-index:3136;mso-wrap-distance-left:0;mso-wrap-distance-right:0;mso-position-horizontal-relative:page" coordorigin="7723,304" coordsize="2811,10">
            <v:line id="_x0000_s1116" alt="" style="position:absolute" from="7723,309" to="9127,309" strokecolor="#036" strokeweight=".48pt"/>
            <v:rect id="_x0000_s1117" alt="" style="position:absolute;left:9127;top:303;width:10;height:10" fillcolor="#036" stroked="f"/>
            <v:line id="_x0000_s1118" alt="" style="position:absolute" from="9137,309" to="10534,309" strokecolor="#036" strokeweight=".48pt"/>
            <w10:wrap type="topAndBottom" anchorx="page"/>
          </v:group>
        </w:pict>
      </w:r>
    </w:p>
    <w:p w:rsidR="006C17CB" w:rsidRDefault="0030091C">
      <w:pPr>
        <w:tabs>
          <w:tab w:val="left" w:pos="7479"/>
          <w:tab w:val="left" w:pos="8886"/>
        </w:tabs>
        <w:spacing w:line="255" w:lineRule="exact"/>
        <w:ind w:left="784"/>
        <w:rPr>
          <w:rFonts w:ascii="Calibri"/>
          <w:b/>
          <w:sz w:val="20"/>
        </w:rPr>
      </w:pPr>
      <w:r>
        <w:rPr>
          <w:rFonts w:ascii="Calibri"/>
          <w:b/>
          <w:color w:val="003366"/>
          <w:sz w:val="20"/>
        </w:rPr>
        <w:t>Total Written Down Value of Property, Plant</w:t>
      </w:r>
      <w:r>
        <w:rPr>
          <w:rFonts w:ascii="Calibri"/>
          <w:b/>
          <w:color w:val="003366"/>
          <w:spacing w:val="-11"/>
          <w:sz w:val="20"/>
        </w:rPr>
        <w:t xml:space="preserve"> </w:t>
      </w:r>
      <w:r>
        <w:rPr>
          <w:rFonts w:ascii="Calibri"/>
          <w:b/>
          <w:color w:val="003366"/>
          <w:sz w:val="20"/>
        </w:rPr>
        <w:t>and</w:t>
      </w:r>
      <w:r>
        <w:rPr>
          <w:rFonts w:ascii="Calibri"/>
          <w:b/>
          <w:color w:val="003366"/>
          <w:spacing w:val="-1"/>
          <w:sz w:val="20"/>
        </w:rPr>
        <w:t xml:space="preserve"> </w:t>
      </w:r>
      <w:r>
        <w:rPr>
          <w:rFonts w:ascii="Calibri"/>
          <w:b/>
          <w:color w:val="003366"/>
          <w:sz w:val="20"/>
        </w:rPr>
        <w:t>Equipment</w:t>
      </w:r>
      <w:r>
        <w:rPr>
          <w:rFonts w:ascii="Calibri"/>
          <w:b/>
          <w:color w:val="003366"/>
          <w:sz w:val="20"/>
        </w:rPr>
        <w:tab/>
        <w:t>28,749</w:t>
      </w:r>
      <w:r>
        <w:rPr>
          <w:rFonts w:ascii="Calibri"/>
          <w:b/>
          <w:color w:val="003366"/>
          <w:sz w:val="20"/>
        </w:rPr>
        <w:tab/>
        <w:t>28,500</w:t>
      </w:r>
    </w:p>
    <w:p w:rsidR="006C17CB" w:rsidRDefault="00FE24A7">
      <w:pPr>
        <w:pStyle w:val="BodyText"/>
        <w:spacing w:line="29" w:lineRule="exact"/>
        <w:ind w:left="6738"/>
        <w:rPr>
          <w:rFonts w:ascii="Calibri"/>
          <w:sz w:val="2"/>
        </w:rPr>
      </w:pPr>
      <w:r>
        <w:rPr>
          <w:rFonts w:ascii="Calibri"/>
          <w:sz w:val="2"/>
        </w:rPr>
      </w:r>
      <w:r>
        <w:rPr>
          <w:rFonts w:ascii="Calibri"/>
          <w:sz w:val="2"/>
        </w:rPr>
        <w:pict>
          <v:group id="_x0000_s1108" alt="" style="width:140.55pt;height:1.45pt;mso-position-horizontal-relative:char;mso-position-vertical-relative:line" coordsize="2811,29">
            <v:line id="_x0000_s1109" alt="" style="position:absolute" from="0,5" to="1404,5" strokecolor="#036" strokeweight=".48pt"/>
            <v:line id="_x0000_s1110" alt="" style="position:absolute" from="0,24" to="1404,24" strokecolor="#036" strokeweight=".17003mm"/>
            <v:rect id="_x0000_s1111" alt="" style="position:absolute;left:1404;width:29;height:10" fillcolor="#036" stroked="f"/>
            <v:rect id="_x0000_s1112" alt="" style="position:absolute;left:1404;top:19;width:29;height:10" fillcolor="#036" stroked="f"/>
            <v:line id="_x0000_s1113" alt="" style="position:absolute" from="1433,5" to="2810,5" strokecolor="#036" strokeweight=".48pt"/>
            <v:line id="_x0000_s1114" alt="" style="position:absolute" from="1433,24" to="2810,24" strokecolor="#036" strokeweight=".17003mm"/>
            <w10:anchorlock/>
          </v:group>
        </w:pict>
      </w:r>
    </w:p>
    <w:p w:rsidR="006C17CB" w:rsidRDefault="006C17CB">
      <w:pPr>
        <w:spacing w:line="29" w:lineRule="exact"/>
        <w:rPr>
          <w:rFonts w:ascii="Calibri"/>
          <w:sz w:val="2"/>
        </w:rPr>
        <w:sectPr w:rsidR="006C17CB">
          <w:type w:val="continuous"/>
          <w:pgSz w:w="11910" w:h="16840"/>
          <w:pgMar w:top="1580" w:right="0" w:bottom="280" w:left="980" w:header="720" w:footer="720" w:gutter="0"/>
          <w:cols w:space="720"/>
        </w:sectPr>
      </w:pPr>
    </w:p>
    <w:p w:rsidR="006C17CB" w:rsidRDefault="006C17CB">
      <w:pPr>
        <w:pStyle w:val="BodyText"/>
        <w:spacing w:before="9"/>
        <w:rPr>
          <w:rFonts w:ascii="Calibri"/>
          <w:b/>
          <w:sz w:val="21"/>
        </w:rPr>
      </w:pPr>
    </w:p>
    <w:p w:rsidR="006C17CB" w:rsidRDefault="0030091C">
      <w:pPr>
        <w:pStyle w:val="Heading6"/>
        <w:spacing w:line="345" w:lineRule="exact"/>
        <w:ind w:left="784"/>
      </w:pPr>
      <w:r>
        <w:rPr>
          <w:color w:val="003366"/>
        </w:rPr>
        <w:t>NOTE 30. PROPERTY, PLANT AND EQUIPMENT – TERRITORIAL – CONTINUED</w:t>
      </w:r>
    </w:p>
    <w:p w:rsidR="006C17CB" w:rsidRDefault="0030091C">
      <w:pPr>
        <w:spacing w:before="197"/>
        <w:ind w:left="784"/>
        <w:rPr>
          <w:rFonts w:ascii="Calibri"/>
          <w:b/>
          <w:sz w:val="20"/>
        </w:rPr>
      </w:pPr>
      <w:r>
        <w:rPr>
          <w:rFonts w:ascii="Calibri"/>
          <w:b/>
          <w:color w:val="003366"/>
          <w:sz w:val="20"/>
        </w:rPr>
        <w:t>Valuation of Non-Current Assets</w:t>
      </w:r>
    </w:p>
    <w:p w:rsidR="006C17CB" w:rsidRDefault="006C17CB">
      <w:pPr>
        <w:pStyle w:val="BodyText"/>
        <w:spacing w:before="13"/>
        <w:rPr>
          <w:rFonts w:ascii="Calibri"/>
          <w:b/>
          <w:sz w:val="15"/>
        </w:rPr>
      </w:pPr>
    </w:p>
    <w:p w:rsidR="006C17CB" w:rsidRDefault="0030091C">
      <w:pPr>
        <w:spacing w:before="1" w:line="204" w:lineRule="auto"/>
        <w:ind w:left="783" w:right="1475"/>
        <w:jc w:val="both"/>
        <w:rPr>
          <w:rFonts w:ascii="Calibri" w:hAnsi="Calibri"/>
          <w:sz w:val="20"/>
        </w:rPr>
      </w:pPr>
      <w:r>
        <w:rPr>
          <w:rFonts w:ascii="Calibri" w:hAnsi="Calibri"/>
          <w:color w:val="003366"/>
          <w:sz w:val="20"/>
        </w:rPr>
        <w:t>Jones</w:t>
      </w:r>
      <w:r>
        <w:rPr>
          <w:rFonts w:ascii="Calibri" w:hAnsi="Calibri"/>
          <w:color w:val="003366"/>
          <w:spacing w:val="-10"/>
          <w:sz w:val="20"/>
        </w:rPr>
        <w:t xml:space="preserve"> </w:t>
      </w:r>
      <w:r>
        <w:rPr>
          <w:rFonts w:ascii="Calibri" w:hAnsi="Calibri"/>
          <w:color w:val="003366"/>
          <w:sz w:val="20"/>
        </w:rPr>
        <w:t>Lang</w:t>
      </w:r>
      <w:r>
        <w:rPr>
          <w:rFonts w:ascii="Calibri" w:hAnsi="Calibri"/>
          <w:color w:val="003366"/>
          <w:spacing w:val="-9"/>
          <w:sz w:val="20"/>
        </w:rPr>
        <w:t xml:space="preserve"> </w:t>
      </w:r>
      <w:r>
        <w:rPr>
          <w:rFonts w:ascii="Calibri" w:hAnsi="Calibri"/>
          <w:color w:val="003366"/>
          <w:sz w:val="20"/>
        </w:rPr>
        <w:t>LaSalle</w:t>
      </w:r>
      <w:r>
        <w:rPr>
          <w:rFonts w:ascii="Calibri" w:hAnsi="Calibri"/>
          <w:color w:val="003366"/>
          <w:spacing w:val="-10"/>
          <w:sz w:val="20"/>
        </w:rPr>
        <w:t xml:space="preserve"> </w:t>
      </w:r>
      <w:r>
        <w:rPr>
          <w:rFonts w:ascii="Calibri" w:hAnsi="Calibri"/>
          <w:color w:val="003366"/>
          <w:sz w:val="20"/>
        </w:rPr>
        <w:t>Public</w:t>
      </w:r>
      <w:r>
        <w:rPr>
          <w:rFonts w:ascii="Calibri" w:hAnsi="Calibri"/>
          <w:color w:val="003366"/>
          <w:spacing w:val="-9"/>
          <w:sz w:val="20"/>
        </w:rPr>
        <w:t xml:space="preserve"> </w:t>
      </w:r>
      <w:r>
        <w:rPr>
          <w:rFonts w:ascii="Calibri" w:hAnsi="Calibri"/>
          <w:color w:val="003366"/>
          <w:sz w:val="20"/>
        </w:rPr>
        <w:t>Sector</w:t>
      </w:r>
      <w:r>
        <w:rPr>
          <w:rFonts w:ascii="Calibri" w:hAnsi="Calibri"/>
          <w:color w:val="003366"/>
          <w:spacing w:val="-9"/>
          <w:sz w:val="20"/>
        </w:rPr>
        <w:t xml:space="preserve"> </w:t>
      </w:r>
      <w:r>
        <w:rPr>
          <w:rFonts w:ascii="Calibri" w:hAnsi="Calibri"/>
          <w:color w:val="003366"/>
          <w:sz w:val="20"/>
        </w:rPr>
        <w:t>Valuations</w:t>
      </w:r>
      <w:r>
        <w:rPr>
          <w:rFonts w:ascii="Calibri" w:hAnsi="Calibri"/>
          <w:color w:val="003366"/>
          <w:spacing w:val="-10"/>
          <w:sz w:val="20"/>
        </w:rPr>
        <w:t xml:space="preserve"> </w:t>
      </w:r>
      <w:r>
        <w:rPr>
          <w:rFonts w:ascii="Calibri" w:hAnsi="Calibri"/>
          <w:color w:val="003366"/>
          <w:sz w:val="20"/>
        </w:rPr>
        <w:t>Pty</w:t>
      </w:r>
      <w:r>
        <w:rPr>
          <w:rFonts w:ascii="Calibri" w:hAnsi="Calibri"/>
          <w:color w:val="003366"/>
          <w:spacing w:val="-8"/>
          <w:sz w:val="20"/>
        </w:rPr>
        <w:t xml:space="preserve"> </w:t>
      </w:r>
      <w:r>
        <w:rPr>
          <w:rFonts w:ascii="Calibri" w:hAnsi="Calibri"/>
          <w:color w:val="003366"/>
          <w:sz w:val="20"/>
        </w:rPr>
        <w:t>Ltd</w:t>
      </w:r>
      <w:r>
        <w:rPr>
          <w:rFonts w:ascii="Calibri" w:hAnsi="Calibri"/>
          <w:color w:val="003366"/>
          <w:spacing w:val="-11"/>
          <w:sz w:val="20"/>
        </w:rPr>
        <w:t xml:space="preserve"> </w:t>
      </w:r>
      <w:r>
        <w:rPr>
          <w:rFonts w:ascii="Calibri" w:hAnsi="Calibri"/>
          <w:color w:val="003366"/>
          <w:sz w:val="20"/>
        </w:rPr>
        <w:t>performed</w:t>
      </w:r>
      <w:r>
        <w:rPr>
          <w:rFonts w:ascii="Calibri" w:hAnsi="Calibri"/>
          <w:color w:val="003366"/>
          <w:spacing w:val="-8"/>
          <w:sz w:val="20"/>
        </w:rPr>
        <w:t xml:space="preserve"> </w:t>
      </w:r>
      <w:r>
        <w:rPr>
          <w:rFonts w:ascii="Calibri" w:hAnsi="Calibri"/>
          <w:color w:val="003366"/>
          <w:sz w:val="20"/>
        </w:rPr>
        <w:t>revaluations</w:t>
      </w:r>
      <w:r>
        <w:rPr>
          <w:rFonts w:ascii="Calibri" w:hAnsi="Calibri"/>
          <w:color w:val="003366"/>
          <w:spacing w:val="-10"/>
          <w:sz w:val="20"/>
        </w:rPr>
        <w:t xml:space="preserve"> </w:t>
      </w:r>
      <w:r>
        <w:rPr>
          <w:rFonts w:ascii="Calibri" w:hAnsi="Calibri"/>
          <w:color w:val="003366"/>
          <w:sz w:val="20"/>
        </w:rPr>
        <w:t>of</w:t>
      </w:r>
      <w:r>
        <w:rPr>
          <w:rFonts w:ascii="Calibri" w:hAnsi="Calibri"/>
          <w:color w:val="003366"/>
          <w:spacing w:val="-10"/>
          <w:sz w:val="20"/>
        </w:rPr>
        <w:t xml:space="preserve"> </w:t>
      </w:r>
      <w:r>
        <w:rPr>
          <w:rFonts w:ascii="Calibri" w:hAnsi="Calibri"/>
          <w:color w:val="003366"/>
          <w:sz w:val="20"/>
        </w:rPr>
        <w:t>the</w:t>
      </w:r>
      <w:r>
        <w:rPr>
          <w:rFonts w:ascii="Calibri" w:hAnsi="Calibri"/>
          <w:color w:val="003366"/>
          <w:spacing w:val="-9"/>
          <w:sz w:val="20"/>
        </w:rPr>
        <w:t xml:space="preserve"> </w:t>
      </w:r>
      <w:r>
        <w:rPr>
          <w:rFonts w:ascii="Calibri" w:hAnsi="Calibri"/>
          <w:color w:val="003366"/>
          <w:sz w:val="20"/>
        </w:rPr>
        <w:t>Office’s</w:t>
      </w:r>
      <w:r>
        <w:rPr>
          <w:rFonts w:ascii="Calibri" w:hAnsi="Calibri"/>
          <w:color w:val="003366"/>
          <w:spacing w:val="-8"/>
          <w:sz w:val="20"/>
        </w:rPr>
        <w:t xml:space="preserve"> </w:t>
      </w:r>
      <w:r>
        <w:rPr>
          <w:rFonts w:ascii="Calibri" w:hAnsi="Calibri"/>
          <w:color w:val="003366"/>
          <w:sz w:val="20"/>
        </w:rPr>
        <w:t>land</w:t>
      </w:r>
      <w:r>
        <w:rPr>
          <w:rFonts w:ascii="Calibri" w:hAnsi="Calibri"/>
          <w:color w:val="003366"/>
          <w:spacing w:val="-8"/>
          <w:sz w:val="20"/>
        </w:rPr>
        <w:t xml:space="preserve"> </w:t>
      </w:r>
      <w:r>
        <w:rPr>
          <w:rFonts w:ascii="Calibri" w:hAnsi="Calibri"/>
          <w:color w:val="003366"/>
          <w:sz w:val="20"/>
        </w:rPr>
        <w:t>and</w:t>
      </w:r>
      <w:r>
        <w:rPr>
          <w:rFonts w:ascii="Calibri" w:hAnsi="Calibri"/>
          <w:color w:val="003366"/>
          <w:spacing w:val="-8"/>
          <w:sz w:val="20"/>
        </w:rPr>
        <w:t xml:space="preserve"> </w:t>
      </w:r>
      <w:r>
        <w:rPr>
          <w:rFonts w:ascii="Calibri" w:hAnsi="Calibri"/>
          <w:color w:val="003366"/>
          <w:sz w:val="20"/>
        </w:rPr>
        <w:t>building. All members of the valuation team are Certified Practising Valuers of the Australian Property Institute. The latest valuation was performed as at 30 June</w:t>
      </w:r>
      <w:r>
        <w:rPr>
          <w:rFonts w:ascii="Calibri" w:hAnsi="Calibri"/>
          <w:color w:val="003366"/>
          <w:spacing w:val="-3"/>
          <w:sz w:val="20"/>
        </w:rPr>
        <w:t xml:space="preserve"> </w:t>
      </w:r>
      <w:r>
        <w:rPr>
          <w:rFonts w:ascii="Calibri" w:hAnsi="Calibri"/>
          <w:color w:val="003366"/>
          <w:sz w:val="20"/>
        </w:rPr>
        <w:t>2017.</w:t>
      </w:r>
    </w:p>
    <w:p w:rsidR="006C17CB" w:rsidRDefault="006C17CB">
      <w:pPr>
        <w:pStyle w:val="BodyText"/>
        <w:spacing w:before="14"/>
        <w:rPr>
          <w:rFonts w:ascii="Calibri"/>
          <w:sz w:val="13"/>
        </w:rPr>
      </w:pPr>
    </w:p>
    <w:p w:rsidR="006C17CB" w:rsidRDefault="0030091C">
      <w:pPr>
        <w:ind w:left="783"/>
        <w:jc w:val="both"/>
        <w:rPr>
          <w:rFonts w:ascii="Calibri"/>
          <w:b/>
          <w:sz w:val="20"/>
        </w:rPr>
      </w:pPr>
      <w:r>
        <w:rPr>
          <w:rFonts w:ascii="Calibri"/>
          <w:b/>
          <w:color w:val="003366"/>
          <w:sz w:val="20"/>
        </w:rPr>
        <w:t>Reconciliation of Property, Plant and Equipment</w:t>
      </w:r>
    </w:p>
    <w:p w:rsidR="006C17CB" w:rsidRDefault="0030091C">
      <w:pPr>
        <w:spacing w:before="76"/>
        <w:ind w:left="783"/>
        <w:jc w:val="both"/>
        <w:rPr>
          <w:rFonts w:ascii="Calibri"/>
          <w:sz w:val="20"/>
        </w:rPr>
      </w:pPr>
      <w:r>
        <w:rPr>
          <w:rFonts w:ascii="Calibri"/>
          <w:color w:val="003366"/>
          <w:sz w:val="20"/>
        </w:rPr>
        <w:t>The following table shows the movement of Property, Plant and Equipment during 2017-18.</w:t>
      </w:r>
    </w:p>
    <w:p w:rsidR="006C17CB" w:rsidRDefault="006C17CB">
      <w:pPr>
        <w:pStyle w:val="BodyText"/>
        <w:spacing w:before="3" w:after="1"/>
        <w:rPr>
          <w:rFonts w:ascii="Calibri"/>
          <w:sz w:val="11"/>
        </w:rPr>
      </w:pPr>
    </w:p>
    <w:tbl>
      <w:tblPr>
        <w:tblW w:w="0" w:type="auto"/>
        <w:tblInd w:w="734" w:type="dxa"/>
        <w:tblLayout w:type="fixed"/>
        <w:tblCellMar>
          <w:left w:w="0" w:type="dxa"/>
          <w:right w:w="0" w:type="dxa"/>
        </w:tblCellMar>
        <w:tblLook w:val="01E0" w:firstRow="1" w:lastRow="1" w:firstColumn="1" w:lastColumn="1" w:noHBand="0" w:noVBand="0"/>
      </w:tblPr>
      <w:tblGrid>
        <w:gridCol w:w="5181"/>
        <w:gridCol w:w="1437"/>
        <w:gridCol w:w="1237"/>
        <w:gridCol w:w="964"/>
      </w:tblGrid>
      <w:tr w:rsidR="006C17CB">
        <w:trPr>
          <w:trHeight w:val="222"/>
        </w:trPr>
        <w:tc>
          <w:tcPr>
            <w:tcW w:w="5181" w:type="dxa"/>
            <w:vMerge w:val="restart"/>
          </w:tcPr>
          <w:p w:rsidR="006C17CB" w:rsidRDefault="006C17CB">
            <w:pPr>
              <w:pStyle w:val="TableParagraph"/>
              <w:jc w:val="left"/>
              <w:rPr>
                <w:rFonts w:ascii="Times New Roman"/>
                <w:sz w:val="20"/>
              </w:rPr>
            </w:pPr>
          </w:p>
        </w:tc>
        <w:tc>
          <w:tcPr>
            <w:tcW w:w="1437" w:type="dxa"/>
          </w:tcPr>
          <w:p w:rsidR="006C17CB" w:rsidRDefault="0030091C">
            <w:pPr>
              <w:pStyle w:val="TableParagraph"/>
              <w:spacing w:line="202" w:lineRule="exact"/>
              <w:ind w:right="259"/>
              <w:rPr>
                <w:b/>
                <w:sz w:val="20"/>
              </w:rPr>
            </w:pPr>
            <w:r>
              <w:rPr>
                <w:b/>
                <w:color w:val="003366"/>
                <w:w w:val="95"/>
                <w:sz w:val="20"/>
              </w:rPr>
              <w:t>Land</w:t>
            </w:r>
          </w:p>
        </w:tc>
        <w:tc>
          <w:tcPr>
            <w:tcW w:w="1237" w:type="dxa"/>
          </w:tcPr>
          <w:p w:rsidR="006C17CB" w:rsidRDefault="0030091C">
            <w:pPr>
              <w:pStyle w:val="TableParagraph"/>
              <w:spacing w:line="202" w:lineRule="exact"/>
              <w:ind w:right="297"/>
              <w:rPr>
                <w:b/>
                <w:sz w:val="20"/>
              </w:rPr>
            </w:pPr>
            <w:r>
              <w:rPr>
                <w:b/>
                <w:color w:val="003366"/>
                <w:w w:val="95"/>
                <w:sz w:val="20"/>
              </w:rPr>
              <w:t>Building</w:t>
            </w:r>
          </w:p>
        </w:tc>
        <w:tc>
          <w:tcPr>
            <w:tcW w:w="964" w:type="dxa"/>
          </w:tcPr>
          <w:p w:rsidR="006C17CB" w:rsidRDefault="0030091C">
            <w:pPr>
              <w:pStyle w:val="TableParagraph"/>
              <w:spacing w:line="202" w:lineRule="exact"/>
              <w:ind w:right="104"/>
              <w:rPr>
                <w:b/>
                <w:sz w:val="20"/>
              </w:rPr>
            </w:pPr>
            <w:r>
              <w:rPr>
                <w:b/>
                <w:color w:val="003366"/>
                <w:sz w:val="20"/>
              </w:rPr>
              <w:t>Total</w:t>
            </w:r>
          </w:p>
        </w:tc>
      </w:tr>
      <w:tr w:rsidR="006C17CB">
        <w:trPr>
          <w:trHeight w:val="263"/>
        </w:trPr>
        <w:tc>
          <w:tcPr>
            <w:tcW w:w="5181" w:type="dxa"/>
            <w:vMerge/>
            <w:tcBorders>
              <w:top w:val="nil"/>
            </w:tcBorders>
          </w:tcPr>
          <w:p w:rsidR="006C17CB" w:rsidRDefault="006C17CB">
            <w:pPr>
              <w:rPr>
                <w:sz w:val="2"/>
                <w:szCs w:val="2"/>
              </w:rPr>
            </w:pPr>
          </w:p>
        </w:tc>
        <w:tc>
          <w:tcPr>
            <w:tcW w:w="1437" w:type="dxa"/>
          </w:tcPr>
          <w:p w:rsidR="006C17CB" w:rsidRDefault="0030091C">
            <w:pPr>
              <w:pStyle w:val="TableParagraph"/>
              <w:spacing w:line="226" w:lineRule="exact"/>
              <w:ind w:right="261"/>
              <w:rPr>
                <w:b/>
                <w:sz w:val="20"/>
              </w:rPr>
            </w:pPr>
            <w:r>
              <w:rPr>
                <w:b/>
                <w:color w:val="003366"/>
                <w:w w:val="95"/>
                <w:sz w:val="20"/>
              </w:rPr>
              <w:t>$’000</w:t>
            </w:r>
          </w:p>
        </w:tc>
        <w:tc>
          <w:tcPr>
            <w:tcW w:w="1237" w:type="dxa"/>
          </w:tcPr>
          <w:p w:rsidR="006C17CB" w:rsidRDefault="0030091C">
            <w:pPr>
              <w:pStyle w:val="TableParagraph"/>
              <w:spacing w:line="226" w:lineRule="exact"/>
              <w:ind w:right="298"/>
              <w:rPr>
                <w:b/>
                <w:sz w:val="20"/>
              </w:rPr>
            </w:pPr>
            <w:r>
              <w:rPr>
                <w:b/>
                <w:color w:val="003366"/>
                <w:w w:val="95"/>
                <w:sz w:val="20"/>
              </w:rPr>
              <w:t>$’000</w:t>
            </w:r>
          </w:p>
        </w:tc>
        <w:tc>
          <w:tcPr>
            <w:tcW w:w="964" w:type="dxa"/>
          </w:tcPr>
          <w:p w:rsidR="006C17CB" w:rsidRDefault="0030091C">
            <w:pPr>
              <w:pStyle w:val="TableParagraph"/>
              <w:spacing w:line="226" w:lineRule="exact"/>
              <w:ind w:right="105"/>
              <w:rPr>
                <w:b/>
                <w:sz w:val="20"/>
              </w:rPr>
            </w:pPr>
            <w:r>
              <w:rPr>
                <w:b/>
                <w:color w:val="003366"/>
                <w:w w:val="95"/>
                <w:sz w:val="20"/>
              </w:rPr>
              <w:t>$’000</w:t>
            </w:r>
          </w:p>
        </w:tc>
      </w:tr>
      <w:tr w:rsidR="006C17CB">
        <w:trPr>
          <w:trHeight w:val="284"/>
        </w:trPr>
        <w:tc>
          <w:tcPr>
            <w:tcW w:w="5181" w:type="dxa"/>
          </w:tcPr>
          <w:p w:rsidR="006C17CB" w:rsidRDefault="0030091C">
            <w:pPr>
              <w:pStyle w:val="TableParagraph"/>
              <w:spacing w:line="245" w:lineRule="exact"/>
              <w:ind w:left="50"/>
              <w:jc w:val="left"/>
              <w:rPr>
                <w:b/>
                <w:sz w:val="20"/>
              </w:rPr>
            </w:pPr>
            <w:r>
              <w:rPr>
                <w:b/>
                <w:color w:val="003366"/>
                <w:sz w:val="20"/>
              </w:rPr>
              <w:t>Carrying Amount at the Beginning of the Reporting Period</w:t>
            </w:r>
          </w:p>
        </w:tc>
        <w:tc>
          <w:tcPr>
            <w:tcW w:w="1437" w:type="dxa"/>
          </w:tcPr>
          <w:p w:rsidR="006C17CB" w:rsidRDefault="0030091C">
            <w:pPr>
              <w:pStyle w:val="TableParagraph"/>
              <w:spacing w:line="245" w:lineRule="exact"/>
              <w:ind w:right="261"/>
              <w:rPr>
                <w:b/>
                <w:sz w:val="20"/>
              </w:rPr>
            </w:pPr>
            <w:r>
              <w:rPr>
                <w:b/>
                <w:color w:val="003366"/>
                <w:w w:val="95"/>
                <w:sz w:val="20"/>
              </w:rPr>
              <w:t>4,650</w:t>
            </w:r>
          </w:p>
        </w:tc>
        <w:tc>
          <w:tcPr>
            <w:tcW w:w="1237" w:type="dxa"/>
          </w:tcPr>
          <w:p w:rsidR="006C17CB" w:rsidRDefault="0030091C">
            <w:pPr>
              <w:pStyle w:val="TableParagraph"/>
              <w:spacing w:line="245" w:lineRule="exact"/>
              <w:ind w:right="298"/>
              <w:rPr>
                <w:b/>
                <w:sz w:val="20"/>
              </w:rPr>
            </w:pPr>
            <w:r>
              <w:rPr>
                <w:b/>
                <w:color w:val="003366"/>
                <w:sz w:val="20"/>
              </w:rPr>
              <w:t>23,850</w:t>
            </w:r>
          </w:p>
        </w:tc>
        <w:tc>
          <w:tcPr>
            <w:tcW w:w="964" w:type="dxa"/>
          </w:tcPr>
          <w:p w:rsidR="006C17CB" w:rsidRDefault="0030091C">
            <w:pPr>
              <w:pStyle w:val="TableParagraph"/>
              <w:spacing w:line="245" w:lineRule="exact"/>
              <w:ind w:right="105"/>
              <w:rPr>
                <w:b/>
                <w:sz w:val="20"/>
              </w:rPr>
            </w:pPr>
            <w:r>
              <w:rPr>
                <w:b/>
                <w:color w:val="003366"/>
                <w:sz w:val="20"/>
              </w:rPr>
              <w:t>28,500</w:t>
            </w:r>
          </w:p>
        </w:tc>
      </w:tr>
      <w:tr w:rsidR="006C17CB">
        <w:trPr>
          <w:trHeight w:val="284"/>
        </w:trPr>
        <w:tc>
          <w:tcPr>
            <w:tcW w:w="5181" w:type="dxa"/>
          </w:tcPr>
          <w:p w:rsidR="006C17CB" w:rsidRDefault="0030091C">
            <w:pPr>
              <w:pStyle w:val="TableParagraph"/>
              <w:spacing w:line="246" w:lineRule="exact"/>
              <w:ind w:left="50"/>
              <w:jc w:val="left"/>
              <w:rPr>
                <w:sz w:val="20"/>
              </w:rPr>
            </w:pPr>
            <w:r>
              <w:rPr>
                <w:color w:val="003366"/>
                <w:sz w:val="20"/>
              </w:rPr>
              <w:t>Additions</w:t>
            </w:r>
          </w:p>
        </w:tc>
        <w:tc>
          <w:tcPr>
            <w:tcW w:w="1437" w:type="dxa"/>
          </w:tcPr>
          <w:p w:rsidR="006C17CB" w:rsidRDefault="0030091C">
            <w:pPr>
              <w:pStyle w:val="TableParagraph"/>
              <w:spacing w:line="246" w:lineRule="exact"/>
              <w:ind w:right="260"/>
              <w:rPr>
                <w:sz w:val="20"/>
              </w:rPr>
            </w:pPr>
            <w:r>
              <w:rPr>
                <w:color w:val="003366"/>
                <w:w w:val="99"/>
                <w:sz w:val="20"/>
              </w:rPr>
              <w:t>-</w:t>
            </w:r>
          </w:p>
        </w:tc>
        <w:tc>
          <w:tcPr>
            <w:tcW w:w="1237" w:type="dxa"/>
          </w:tcPr>
          <w:p w:rsidR="006C17CB" w:rsidRDefault="0030091C">
            <w:pPr>
              <w:pStyle w:val="TableParagraph"/>
              <w:spacing w:line="246" w:lineRule="exact"/>
              <w:ind w:right="298"/>
              <w:rPr>
                <w:sz w:val="20"/>
              </w:rPr>
            </w:pPr>
            <w:r>
              <w:rPr>
                <w:color w:val="003366"/>
                <w:w w:val="95"/>
                <w:sz w:val="20"/>
              </w:rPr>
              <w:t>784</w:t>
            </w:r>
          </w:p>
        </w:tc>
        <w:tc>
          <w:tcPr>
            <w:tcW w:w="964" w:type="dxa"/>
          </w:tcPr>
          <w:p w:rsidR="006C17CB" w:rsidRDefault="0030091C">
            <w:pPr>
              <w:pStyle w:val="TableParagraph"/>
              <w:spacing w:line="246" w:lineRule="exact"/>
              <w:ind w:right="105"/>
              <w:rPr>
                <w:sz w:val="20"/>
              </w:rPr>
            </w:pPr>
            <w:r>
              <w:rPr>
                <w:color w:val="003366"/>
                <w:w w:val="95"/>
                <w:sz w:val="20"/>
              </w:rPr>
              <w:t>784</w:t>
            </w:r>
          </w:p>
        </w:tc>
      </w:tr>
      <w:tr w:rsidR="006C17CB">
        <w:trPr>
          <w:trHeight w:val="286"/>
        </w:trPr>
        <w:tc>
          <w:tcPr>
            <w:tcW w:w="5181" w:type="dxa"/>
          </w:tcPr>
          <w:p w:rsidR="006C17CB" w:rsidRDefault="0030091C">
            <w:pPr>
              <w:pStyle w:val="TableParagraph"/>
              <w:spacing w:line="245" w:lineRule="exact"/>
              <w:ind w:left="50"/>
              <w:jc w:val="left"/>
              <w:rPr>
                <w:sz w:val="20"/>
              </w:rPr>
            </w:pPr>
            <w:r>
              <w:rPr>
                <w:color w:val="003366"/>
                <w:sz w:val="20"/>
              </w:rPr>
              <w:t>Depreciation</w:t>
            </w:r>
          </w:p>
        </w:tc>
        <w:tc>
          <w:tcPr>
            <w:tcW w:w="3638" w:type="dxa"/>
            <w:gridSpan w:val="3"/>
          </w:tcPr>
          <w:p w:rsidR="006C17CB" w:rsidRDefault="0030091C">
            <w:pPr>
              <w:pStyle w:val="TableParagraph"/>
              <w:tabs>
                <w:tab w:val="left" w:pos="1113"/>
                <w:tab w:val="left" w:pos="1951"/>
                <w:tab w:val="left" w:pos="3108"/>
              </w:tabs>
              <w:spacing w:line="245" w:lineRule="exact"/>
              <w:ind w:right="-15"/>
              <w:jc w:val="left"/>
              <w:rPr>
                <w:sz w:val="20"/>
              </w:rPr>
            </w:pPr>
            <w:r>
              <w:rPr>
                <w:color w:val="003366"/>
                <w:w w:val="99"/>
                <w:sz w:val="20"/>
                <w:u w:val="single" w:color="003366"/>
              </w:rPr>
              <w:t xml:space="preserve"> </w:t>
            </w:r>
            <w:r>
              <w:rPr>
                <w:color w:val="003366"/>
                <w:sz w:val="20"/>
                <w:u w:val="single" w:color="003366"/>
              </w:rPr>
              <w:tab/>
              <w:t>-</w:t>
            </w:r>
            <w:r>
              <w:rPr>
                <w:color w:val="003366"/>
                <w:sz w:val="20"/>
                <w:u w:val="single" w:color="003366"/>
              </w:rPr>
              <w:tab/>
              <w:t>(535)</w:t>
            </w:r>
            <w:r>
              <w:rPr>
                <w:color w:val="003366"/>
                <w:sz w:val="20"/>
                <w:u w:val="single" w:color="003366"/>
              </w:rPr>
              <w:tab/>
              <w:t>(535)</w:t>
            </w:r>
            <w:r>
              <w:rPr>
                <w:color w:val="003366"/>
                <w:spacing w:val="16"/>
                <w:sz w:val="20"/>
                <w:u w:val="single" w:color="003366"/>
              </w:rPr>
              <w:t xml:space="preserve"> </w:t>
            </w:r>
          </w:p>
        </w:tc>
      </w:tr>
      <w:tr w:rsidR="006C17CB">
        <w:trPr>
          <w:trHeight w:val="247"/>
        </w:trPr>
        <w:tc>
          <w:tcPr>
            <w:tcW w:w="5181" w:type="dxa"/>
          </w:tcPr>
          <w:p w:rsidR="006C17CB" w:rsidRDefault="0030091C">
            <w:pPr>
              <w:pStyle w:val="TableParagraph"/>
              <w:spacing w:line="227" w:lineRule="exact"/>
              <w:ind w:left="50"/>
              <w:jc w:val="left"/>
              <w:rPr>
                <w:b/>
                <w:sz w:val="20"/>
              </w:rPr>
            </w:pPr>
            <w:r>
              <w:rPr>
                <w:b/>
                <w:color w:val="003366"/>
                <w:sz w:val="20"/>
              </w:rPr>
              <w:t>Carrying Amount at the End of the Reporting Period</w:t>
            </w:r>
          </w:p>
        </w:tc>
        <w:tc>
          <w:tcPr>
            <w:tcW w:w="3638" w:type="dxa"/>
            <w:gridSpan w:val="3"/>
            <w:tcBorders>
              <w:bottom w:val="double" w:sz="1" w:space="0" w:color="003366"/>
            </w:tcBorders>
          </w:tcPr>
          <w:p w:rsidR="006C17CB" w:rsidRDefault="0030091C">
            <w:pPr>
              <w:pStyle w:val="TableParagraph"/>
              <w:tabs>
                <w:tab w:val="left" w:pos="1816"/>
                <w:tab w:val="left" w:pos="2973"/>
              </w:tabs>
              <w:spacing w:line="227" w:lineRule="exact"/>
              <w:ind w:left="720"/>
              <w:jc w:val="left"/>
              <w:rPr>
                <w:b/>
                <w:sz w:val="20"/>
              </w:rPr>
            </w:pPr>
            <w:r>
              <w:rPr>
                <w:b/>
                <w:color w:val="003366"/>
                <w:sz w:val="20"/>
              </w:rPr>
              <w:t>4,650</w:t>
            </w:r>
            <w:r>
              <w:rPr>
                <w:b/>
                <w:color w:val="003366"/>
                <w:sz w:val="20"/>
              </w:rPr>
              <w:tab/>
              <w:t>24,099</w:t>
            </w:r>
            <w:r>
              <w:rPr>
                <w:b/>
                <w:color w:val="003366"/>
                <w:sz w:val="20"/>
              </w:rPr>
              <w:tab/>
              <w:t>28,749</w:t>
            </w:r>
          </w:p>
        </w:tc>
      </w:tr>
      <w:tr w:rsidR="006C17CB">
        <w:trPr>
          <w:trHeight w:val="723"/>
        </w:trPr>
        <w:tc>
          <w:tcPr>
            <w:tcW w:w="5181" w:type="dxa"/>
          </w:tcPr>
          <w:p w:rsidR="006C17CB" w:rsidRDefault="006C17CB">
            <w:pPr>
              <w:pStyle w:val="TableParagraph"/>
              <w:jc w:val="left"/>
              <w:rPr>
                <w:sz w:val="20"/>
              </w:rPr>
            </w:pPr>
          </w:p>
          <w:p w:rsidR="006C17CB" w:rsidRDefault="0030091C">
            <w:pPr>
              <w:pStyle w:val="TableParagraph"/>
              <w:spacing w:before="151" w:line="264" w:lineRule="exact"/>
              <w:ind w:left="50"/>
              <w:jc w:val="left"/>
              <w:rPr>
                <w:b/>
                <w:sz w:val="20"/>
              </w:rPr>
            </w:pPr>
            <w:r>
              <w:rPr>
                <w:b/>
                <w:color w:val="003366"/>
                <w:sz w:val="20"/>
              </w:rPr>
              <w:t>Reconciliation of Property, Plant and Equipment</w:t>
            </w:r>
          </w:p>
        </w:tc>
        <w:tc>
          <w:tcPr>
            <w:tcW w:w="3638" w:type="dxa"/>
            <w:gridSpan w:val="3"/>
            <w:tcBorders>
              <w:top w:val="double" w:sz="1" w:space="0" w:color="003366"/>
            </w:tcBorders>
          </w:tcPr>
          <w:p w:rsidR="006C17CB" w:rsidRDefault="006C17CB">
            <w:pPr>
              <w:pStyle w:val="TableParagraph"/>
              <w:jc w:val="left"/>
              <w:rPr>
                <w:rFonts w:ascii="Times New Roman"/>
                <w:sz w:val="20"/>
              </w:rPr>
            </w:pPr>
          </w:p>
        </w:tc>
      </w:tr>
      <w:tr w:rsidR="006C17CB">
        <w:trPr>
          <w:trHeight w:val="447"/>
        </w:trPr>
        <w:tc>
          <w:tcPr>
            <w:tcW w:w="8819" w:type="dxa"/>
            <w:gridSpan w:val="4"/>
          </w:tcPr>
          <w:p w:rsidR="006C17CB" w:rsidRDefault="0030091C">
            <w:pPr>
              <w:pStyle w:val="TableParagraph"/>
              <w:spacing w:before="80"/>
              <w:ind w:left="49"/>
              <w:jc w:val="left"/>
              <w:rPr>
                <w:sz w:val="20"/>
              </w:rPr>
            </w:pPr>
            <w:r>
              <w:rPr>
                <w:color w:val="003366"/>
                <w:sz w:val="20"/>
              </w:rPr>
              <w:t>The following table shows the movement of Property, Plant and Equipment during 2016-17.</w:t>
            </w:r>
          </w:p>
        </w:tc>
      </w:tr>
      <w:tr w:rsidR="006C17CB">
        <w:trPr>
          <w:trHeight w:val="567"/>
        </w:trPr>
        <w:tc>
          <w:tcPr>
            <w:tcW w:w="5181" w:type="dxa"/>
          </w:tcPr>
          <w:p w:rsidR="006C17CB" w:rsidRDefault="006C17CB">
            <w:pPr>
              <w:pStyle w:val="TableParagraph"/>
              <w:jc w:val="left"/>
              <w:rPr>
                <w:rFonts w:ascii="Times New Roman"/>
                <w:sz w:val="20"/>
              </w:rPr>
            </w:pPr>
          </w:p>
        </w:tc>
        <w:tc>
          <w:tcPr>
            <w:tcW w:w="1437" w:type="dxa"/>
          </w:tcPr>
          <w:p w:rsidR="006C17CB" w:rsidRDefault="0030091C">
            <w:pPr>
              <w:pStyle w:val="TableParagraph"/>
              <w:spacing w:line="263" w:lineRule="exact"/>
              <w:ind w:left="777"/>
              <w:jc w:val="left"/>
              <w:rPr>
                <w:b/>
                <w:sz w:val="20"/>
              </w:rPr>
            </w:pPr>
            <w:r>
              <w:rPr>
                <w:b/>
                <w:color w:val="003366"/>
                <w:sz w:val="20"/>
              </w:rPr>
              <w:t>Land</w:t>
            </w:r>
          </w:p>
          <w:p w:rsidR="006C17CB" w:rsidRDefault="0030091C">
            <w:pPr>
              <w:pStyle w:val="TableParagraph"/>
              <w:spacing w:line="265" w:lineRule="exact"/>
              <w:ind w:left="720"/>
              <w:jc w:val="left"/>
              <w:rPr>
                <w:b/>
                <w:sz w:val="20"/>
              </w:rPr>
            </w:pPr>
            <w:r>
              <w:rPr>
                <w:b/>
                <w:color w:val="003366"/>
                <w:sz w:val="20"/>
              </w:rPr>
              <w:t>$’000</w:t>
            </w:r>
          </w:p>
        </w:tc>
        <w:tc>
          <w:tcPr>
            <w:tcW w:w="1237" w:type="dxa"/>
          </w:tcPr>
          <w:p w:rsidR="006C17CB" w:rsidRDefault="0030091C">
            <w:pPr>
              <w:pStyle w:val="TableParagraph"/>
              <w:spacing w:line="263" w:lineRule="exact"/>
              <w:ind w:left="262"/>
              <w:jc w:val="left"/>
              <w:rPr>
                <w:b/>
                <w:sz w:val="20"/>
              </w:rPr>
            </w:pPr>
            <w:r>
              <w:rPr>
                <w:b/>
                <w:color w:val="003366"/>
                <w:sz w:val="20"/>
              </w:rPr>
              <w:t>Building</w:t>
            </w:r>
          </w:p>
          <w:p w:rsidR="006C17CB" w:rsidRDefault="0030091C">
            <w:pPr>
              <w:pStyle w:val="TableParagraph"/>
              <w:spacing w:line="265" w:lineRule="exact"/>
              <w:ind w:left="483"/>
              <w:jc w:val="left"/>
              <w:rPr>
                <w:b/>
                <w:sz w:val="20"/>
              </w:rPr>
            </w:pPr>
            <w:r>
              <w:rPr>
                <w:b/>
                <w:color w:val="003366"/>
                <w:sz w:val="20"/>
              </w:rPr>
              <w:t>$’000</w:t>
            </w:r>
          </w:p>
        </w:tc>
        <w:tc>
          <w:tcPr>
            <w:tcW w:w="964" w:type="dxa"/>
          </w:tcPr>
          <w:p w:rsidR="006C17CB" w:rsidRDefault="0030091C">
            <w:pPr>
              <w:pStyle w:val="TableParagraph"/>
              <w:spacing w:line="263" w:lineRule="exact"/>
              <w:ind w:left="434"/>
              <w:jc w:val="left"/>
              <w:rPr>
                <w:b/>
                <w:sz w:val="20"/>
              </w:rPr>
            </w:pPr>
            <w:r>
              <w:rPr>
                <w:b/>
                <w:color w:val="003366"/>
                <w:sz w:val="20"/>
              </w:rPr>
              <w:t>Total</w:t>
            </w:r>
          </w:p>
          <w:p w:rsidR="006C17CB" w:rsidRDefault="0030091C">
            <w:pPr>
              <w:pStyle w:val="TableParagraph"/>
              <w:spacing w:line="265" w:lineRule="exact"/>
              <w:ind w:left="402"/>
              <w:jc w:val="left"/>
              <w:rPr>
                <w:b/>
                <w:sz w:val="20"/>
              </w:rPr>
            </w:pPr>
            <w:r>
              <w:rPr>
                <w:b/>
                <w:color w:val="003366"/>
                <w:sz w:val="20"/>
              </w:rPr>
              <w:t>$’000</w:t>
            </w:r>
          </w:p>
        </w:tc>
      </w:tr>
      <w:tr w:rsidR="006C17CB">
        <w:trPr>
          <w:trHeight w:val="285"/>
        </w:trPr>
        <w:tc>
          <w:tcPr>
            <w:tcW w:w="5181" w:type="dxa"/>
          </w:tcPr>
          <w:p w:rsidR="006C17CB" w:rsidRDefault="0030091C">
            <w:pPr>
              <w:pStyle w:val="TableParagraph"/>
              <w:spacing w:line="246" w:lineRule="exact"/>
              <w:ind w:left="50"/>
              <w:jc w:val="left"/>
              <w:rPr>
                <w:b/>
                <w:sz w:val="20"/>
              </w:rPr>
            </w:pPr>
            <w:r>
              <w:rPr>
                <w:b/>
                <w:color w:val="003366"/>
                <w:sz w:val="20"/>
              </w:rPr>
              <w:t>Carrying Amount at the Beginning of the Reporting Period</w:t>
            </w:r>
          </w:p>
        </w:tc>
        <w:tc>
          <w:tcPr>
            <w:tcW w:w="1437" w:type="dxa"/>
          </w:tcPr>
          <w:p w:rsidR="006C17CB" w:rsidRDefault="0030091C">
            <w:pPr>
              <w:pStyle w:val="TableParagraph"/>
              <w:spacing w:line="246" w:lineRule="exact"/>
              <w:ind w:right="261"/>
              <w:rPr>
                <w:b/>
                <w:sz w:val="20"/>
              </w:rPr>
            </w:pPr>
            <w:r>
              <w:rPr>
                <w:b/>
                <w:color w:val="003366"/>
                <w:w w:val="95"/>
                <w:sz w:val="20"/>
              </w:rPr>
              <w:t>4,560</w:t>
            </w:r>
          </w:p>
        </w:tc>
        <w:tc>
          <w:tcPr>
            <w:tcW w:w="1237" w:type="dxa"/>
          </w:tcPr>
          <w:p w:rsidR="006C17CB" w:rsidRDefault="0030091C">
            <w:pPr>
              <w:pStyle w:val="TableParagraph"/>
              <w:spacing w:line="246" w:lineRule="exact"/>
              <w:ind w:right="298"/>
              <w:rPr>
                <w:b/>
                <w:sz w:val="20"/>
              </w:rPr>
            </w:pPr>
            <w:r>
              <w:rPr>
                <w:b/>
                <w:color w:val="003366"/>
                <w:sz w:val="20"/>
              </w:rPr>
              <w:t>24,823</w:t>
            </w:r>
          </w:p>
        </w:tc>
        <w:tc>
          <w:tcPr>
            <w:tcW w:w="964" w:type="dxa"/>
          </w:tcPr>
          <w:p w:rsidR="006C17CB" w:rsidRDefault="0030091C">
            <w:pPr>
              <w:pStyle w:val="TableParagraph"/>
              <w:spacing w:line="246" w:lineRule="exact"/>
              <w:ind w:right="105"/>
              <w:rPr>
                <w:b/>
                <w:sz w:val="20"/>
              </w:rPr>
            </w:pPr>
            <w:r>
              <w:rPr>
                <w:b/>
                <w:color w:val="003366"/>
                <w:sz w:val="20"/>
              </w:rPr>
              <w:t>29,383</w:t>
            </w:r>
          </w:p>
        </w:tc>
      </w:tr>
      <w:tr w:rsidR="006C17CB">
        <w:trPr>
          <w:trHeight w:val="284"/>
        </w:trPr>
        <w:tc>
          <w:tcPr>
            <w:tcW w:w="5181" w:type="dxa"/>
          </w:tcPr>
          <w:p w:rsidR="006C17CB" w:rsidRDefault="0030091C">
            <w:pPr>
              <w:pStyle w:val="TableParagraph"/>
              <w:spacing w:line="246" w:lineRule="exact"/>
              <w:ind w:left="50"/>
              <w:jc w:val="left"/>
              <w:rPr>
                <w:sz w:val="20"/>
              </w:rPr>
            </w:pPr>
            <w:r>
              <w:rPr>
                <w:color w:val="003366"/>
                <w:sz w:val="20"/>
              </w:rPr>
              <w:t>Additions</w:t>
            </w:r>
          </w:p>
        </w:tc>
        <w:tc>
          <w:tcPr>
            <w:tcW w:w="1437" w:type="dxa"/>
          </w:tcPr>
          <w:p w:rsidR="006C17CB" w:rsidRDefault="0030091C">
            <w:pPr>
              <w:pStyle w:val="TableParagraph"/>
              <w:spacing w:line="246" w:lineRule="exact"/>
              <w:ind w:right="260"/>
              <w:rPr>
                <w:sz w:val="20"/>
              </w:rPr>
            </w:pPr>
            <w:r>
              <w:rPr>
                <w:color w:val="003366"/>
                <w:w w:val="99"/>
                <w:sz w:val="20"/>
              </w:rPr>
              <w:t>-</w:t>
            </w:r>
          </w:p>
        </w:tc>
        <w:tc>
          <w:tcPr>
            <w:tcW w:w="1237" w:type="dxa"/>
          </w:tcPr>
          <w:p w:rsidR="006C17CB" w:rsidRDefault="0030091C">
            <w:pPr>
              <w:pStyle w:val="TableParagraph"/>
              <w:spacing w:line="246" w:lineRule="exact"/>
              <w:ind w:right="298"/>
              <w:rPr>
                <w:sz w:val="20"/>
              </w:rPr>
            </w:pPr>
            <w:r>
              <w:rPr>
                <w:color w:val="003366"/>
                <w:w w:val="95"/>
                <w:sz w:val="20"/>
              </w:rPr>
              <w:t>5,168</w:t>
            </w:r>
          </w:p>
        </w:tc>
        <w:tc>
          <w:tcPr>
            <w:tcW w:w="964" w:type="dxa"/>
          </w:tcPr>
          <w:p w:rsidR="006C17CB" w:rsidRDefault="0030091C">
            <w:pPr>
              <w:pStyle w:val="TableParagraph"/>
              <w:spacing w:line="246" w:lineRule="exact"/>
              <w:ind w:right="105"/>
              <w:rPr>
                <w:sz w:val="20"/>
              </w:rPr>
            </w:pPr>
            <w:r>
              <w:rPr>
                <w:color w:val="003366"/>
                <w:w w:val="95"/>
                <w:sz w:val="20"/>
              </w:rPr>
              <w:t>5,168</w:t>
            </w:r>
          </w:p>
        </w:tc>
      </w:tr>
      <w:tr w:rsidR="006C17CB">
        <w:trPr>
          <w:trHeight w:val="241"/>
        </w:trPr>
        <w:tc>
          <w:tcPr>
            <w:tcW w:w="5181" w:type="dxa"/>
          </w:tcPr>
          <w:p w:rsidR="006C17CB" w:rsidRDefault="0030091C">
            <w:pPr>
              <w:pStyle w:val="TableParagraph"/>
              <w:spacing w:line="221" w:lineRule="exact"/>
              <w:ind w:left="50"/>
              <w:jc w:val="left"/>
              <w:rPr>
                <w:sz w:val="20"/>
              </w:rPr>
            </w:pPr>
            <w:r>
              <w:rPr>
                <w:color w:val="003366"/>
                <w:sz w:val="20"/>
              </w:rPr>
              <w:t>Depreciation</w:t>
            </w:r>
          </w:p>
        </w:tc>
        <w:tc>
          <w:tcPr>
            <w:tcW w:w="1437" w:type="dxa"/>
          </w:tcPr>
          <w:p w:rsidR="006C17CB" w:rsidRDefault="0030091C">
            <w:pPr>
              <w:pStyle w:val="TableParagraph"/>
              <w:spacing w:line="221" w:lineRule="exact"/>
              <w:ind w:right="260"/>
              <w:rPr>
                <w:sz w:val="20"/>
              </w:rPr>
            </w:pPr>
            <w:r>
              <w:rPr>
                <w:color w:val="003366"/>
                <w:w w:val="99"/>
                <w:sz w:val="20"/>
              </w:rPr>
              <w:t>-</w:t>
            </w:r>
          </w:p>
        </w:tc>
        <w:tc>
          <w:tcPr>
            <w:tcW w:w="1237" w:type="dxa"/>
          </w:tcPr>
          <w:p w:rsidR="006C17CB" w:rsidRDefault="0030091C">
            <w:pPr>
              <w:pStyle w:val="TableParagraph"/>
              <w:spacing w:line="221" w:lineRule="exact"/>
              <w:ind w:right="297"/>
              <w:rPr>
                <w:sz w:val="20"/>
              </w:rPr>
            </w:pPr>
            <w:r>
              <w:rPr>
                <w:color w:val="003366"/>
                <w:w w:val="95"/>
                <w:sz w:val="20"/>
              </w:rPr>
              <w:t>(760)</w:t>
            </w:r>
          </w:p>
        </w:tc>
        <w:tc>
          <w:tcPr>
            <w:tcW w:w="964" w:type="dxa"/>
          </w:tcPr>
          <w:p w:rsidR="006C17CB" w:rsidRDefault="0030091C">
            <w:pPr>
              <w:pStyle w:val="TableParagraph"/>
              <w:spacing w:line="221" w:lineRule="exact"/>
              <w:ind w:right="105"/>
              <w:rPr>
                <w:sz w:val="20"/>
              </w:rPr>
            </w:pPr>
            <w:r>
              <w:rPr>
                <w:color w:val="003366"/>
                <w:w w:val="95"/>
                <w:sz w:val="20"/>
              </w:rPr>
              <w:t>(760)</w:t>
            </w:r>
          </w:p>
        </w:tc>
      </w:tr>
    </w:tbl>
    <w:p w:rsidR="006C17CB" w:rsidRDefault="0030091C">
      <w:pPr>
        <w:tabs>
          <w:tab w:val="left" w:pos="5915"/>
          <w:tab w:val="left" w:pos="6889"/>
          <w:tab w:val="left" w:pos="7715"/>
          <w:tab w:val="left" w:pos="8871"/>
        </w:tabs>
        <w:ind w:left="784"/>
        <w:jc w:val="both"/>
        <w:rPr>
          <w:rFonts w:ascii="Calibri"/>
          <w:sz w:val="20"/>
        </w:rPr>
      </w:pPr>
      <w:r>
        <w:rPr>
          <w:rFonts w:ascii="Calibri"/>
          <w:color w:val="003366"/>
          <w:sz w:val="20"/>
        </w:rPr>
        <w:t>Revaluation</w:t>
      </w:r>
      <w:r>
        <w:rPr>
          <w:rFonts w:ascii="Calibri"/>
          <w:color w:val="003366"/>
          <w:spacing w:val="-4"/>
          <w:sz w:val="20"/>
        </w:rPr>
        <w:t xml:space="preserve"> </w:t>
      </w:r>
      <w:r>
        <w:rPr>
          <w:rFonts w:ascii="Calibri"/>
          <w:color w:val="003366"/>
          <w:sz w:val="20"/>
        </w:rPr>
        <w:t>Increment/(Decrement)</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90</w:t>
      </w:r>
      <w:r>
        <w:rPr>
          <w:rFonts w:ascii="Calibri"/>
          <w:color w:val="003366"/>
          <w:sz w:val="20"/>
          <w:u w:val="single" w:color="003366"/>
        </w:rPr>
        <w:tab/>
        <w:t>(5,381)</w:t>
      </w:r>
      <w:r>
        <w:rPr>
          <w:rFonts w:ascii="Calibri"/>
          <w:color w:val="003366"/>
          <w:sz w:val="20"/>
          <w:u w:val="single" w:color="003366"/>
        </w:rPr>
        <w:tab/>
        <w:t xml:space="preserve">(5,291) </w:t>
      </w:r>
      <w:r>
        <w:rPr>
          <w:rFonts w:ascii="Calibri"/>
          <w:color w:val="003366"/>
          <w:spacing w:val="16"/>
          <w:sz w:val="20"/>
          <w:u w:val="single" w:color="003366"/>
        </w:rPr>
        <w:t xml:space="preserve"> </w:t>
      </w:r>
    </w:p>
    <w:p w:rsidR="006C17CB" w:rsidRDefault="0030091C">
      <w:pPr>
        <w:tabs>
          <w:tab w:val="left" w:pos="6635"/>
          <w:tab w:val="left" w:pos="7731"/>
          <w:tab w:val="left" w:pos="8888"/>
        </w:tabs>
        <w:spacing w:before="2"/>
        <w:ind w:left="784"/>
        <w:jc w:val="both"/>
        <w:rPr>
          <w:rFonts w:ascii="Calibri"/>
          <w:b/>
          <w:sz w:val="20"/>
        </w:rPr>
      </w:pPr>
      <w:r>
        <w:rPr>
          <w:rFonts w:ascii="Calibri"/>
          <w:b/>
          <w:color w:val="003366"/>
          <w:sz w:val="20"/>
        </w:rPr>
        <w:t>Carrying Amount at the End of the</w:t>
      </w:r>
      <w:r>
        <w:rPr>
          <w:rFonts w:ascii="Calibri"/>
          <w:b/>
          <w:color w:val="003366"/>
          <w:spacing w:val="-12"/>
          <w:sz w:val="20"/>
        </w:rPr>
        <w:t xml:space="preserve"> </w:t>
      </w:r>
      <w:r>
        <w:rPr>
          <w:rFonts w:ascii="Calibri"/>
          <w:b/>
          <w:color w:val="003366"/>
          <w:sz w:val="20"/>
        </w:rPr>
        <w:t>Reporting</w:t>
      </w:r>
      <w:r>
        <w:rPr>
          <w:rFonts w:ascii="Calibri"/>
          <w:b/>
          <w:color w:val="003366"/>
          <w:spacing w:val="-3"/>
          <w:sz w:val="20"/>
        </w:rPr>
        <w:t xml:space="preserve"> </w:t>
      </w:r>
      <w:r>
        <w:rPr>
          <w:rFonts w:ascii="Calibri"/>
          <w:b/>
          <w:color w:val="003366"/>
          <w:sz w:val="20"/>
        </w:rPr>
        <w:t>Period</w:t>
      </w:r>
      <w:r>
        <w:rPr>
          <w:rFonts w:ascii="Calibri"/>
          <w:b/>
          <w:color w:val="003366"/>
          <w:sz w:val="20"/>
        </w:rPr>
        <w:tab/>
        <w:t>4,650</w:t>
      </w:r>
      <w:r>
        <w:rPr>
          <w:rFonts w:ascii="Calibri"/>
          <w:b/>
          <w:color w:val="003366"/>
          <w:sz w:val="20"/>
        </w:rPr>
        <w:tab/>
        <w:t>23,850</w:t>
      </w:r>
      <w:r>
        <w:rPr>
          <w:rFonts w:ascii="Calibri"/>
          <w:b/>
          <w:color w:val="003366"/>
          <w:sz w:val="20"/>
        </w:rPr>
        <w:tab/>
        <w:t>28,500</w:t>
      </w:r>
    </w:p>
    <w:p w:rsidR="006C17CB" w:rsidRDefault="00FE24A7">
      <w:pPr>
        <w:pStyle w:val="BodyText"/>
        <w:spacing w:line="29" w:lineRule="exact"/>
        <w:ind w:left="5895"/>
        <w:rPr>
          <w:rFonts w:ascii="Calibri"/>
          <w:sz w:val="2"/>
        </w:rPr>
      </w:pPr>
      <w:r>
        <w:rPr>
          <w:rFonts w:ascii="Calibri"/>
          <w:sz w:val="2"/>
        </w:rPr>
      </w:r>
      <w:r>
        <w:rPr>
          <w:rFonts w:ascii="Calibri"/>
          <w:sz w:val="2"/>
        </w:rPr>
        <w:pict>
          <v:group id="_x0000_s1097" alt="" style="width:182.65pt;height:1.45pt;mso-position-horizontal-relative:char;mso-position-vertical-relative:line" coordsize="3653,29">
            <v:line id="_x0000_s1098" alt="" style="position:absolute" from="0,24" to="1301,24" strokecolor="#036" strokeweight=".16969mm"/>
            <v:line id="_x0000_s1099" alt="" style="position:absolute" from="0,5" to="1301,5" strokecolor="#036" strokeweight=".48pt"/>
            <v:rect id="_x0000_s1100" alt="" style="position:absolute;left:1286;width:29;height:10" fillcolor="#036" stroked="f"/>
            <v:rect id="_x0000_s1101" alt="" style="position:absolute;left:1286;top:19;width:29;height:10" fillcolor="#036" stroked="f"/>
            <v:line id="_x0000_s1102" alt="" style="position:absolute" from="1315,24" to="2498,24" strokecolor="#036" strokeweight=".16969mm"/>
            <v:line id="_x0000_s1103" alt="" style="position:absolute" from="1315,5" to="2498,5" strokecolor="#036" strokeweight=".48pt"/>
            <v:rect id="_x0000_s1104" alt="" style="position:absolute;left:2484;width:29;height:10" fillcolor="#036" stroked="f"/>
            <v:rect id="_x0000_s1105" alt="" style="position:absolute;left:2484;top:19;width:29;height:10" fillcolor="#036" stroked="f"/>
            <v:line id="_x0000_s1106" alt="" style="position:absolute" from="2513,24" to="3653,24" strokecolor="#036" strokeweight=".16969mm"/>
            <v:line id="_x0000_s1107" alt="" style="position:absolute" from="2513,5" to="3653,5" strokecolor="#036" strokeweight=".48pt"/>
            <w10:anchorlock/>
          </v:group>
        </w:pict>
      </w:r>
    </w:p>
    <w:p w:rsidR="006C17CB" w:rsidRDefault="006C17CB">
      <w:pPr>
        <w:pStyle w:val="BodyText"/>
        <w:spacing w:before="7"/>
        <w:rPr>
          <w:rFonts w:ascii="Calibri"/>
          <w:b/>
          <w:sz w:val="24"/>
        </w:rPr>
      </w:pPr>
    </w:p>
    <w:p w:rsidR="006C17CB" w:rsidRDefault="0030091C">
      <w:pPr>
        <w:spacing w:before="15"/>
        <w:ind w:left="798"/>
        <w:rPr>
          <w:rFonts w:ascii="Calibri"/>
          <w:b/>
          <w:sz w:val="20"/>
        </w:rPr>
      </w:pPr>
      <w:r>
        <w:rPr>
          <w:rFonts w:ascii="Calibri"/>
          <w:b/>
          <w:color w:val="17365D"/>
          <w:sz w:val="20"/>
        </w:rPr>
        <w:t>Fair Value Hierarchy</w:t>
      </w:r>
    </w:p>
    <w:p w:rsidR="006C17CB" w:rsidRDefault="0030091C">
      <w:pPr>
        <w:spacing w:before="109" w:line="204" w:lineRule="auto"/>
        <w:ind w:left="798" w:right="1488"/>
        <w:jc w:val="both"/>
        <w:rPr>
          <w:rFonts w:ascii="Calibri"/>
          <w:sz w:val="20"/>
        </w:rPr>
      </w:pPr>
      <w:r>
        <w:rPr>
          <w:rFonts w:ascii="Calibri"/>
          <w:color w:val="17365D"/>
          <w:sz w:val="20"/>
        </w:rPr>
        <w:t>The Office is required to classify property, plant and equipment into the Fair Value Hierarchy that reflects the significance of the inputs used in determining their fair value. The Fair Value Hierarchy is made up of the following three levels:</w:t>
      </w:r>
    </w:p>
    <w:p w:rsidR="006C17CB" w:rsidRDefault="0030091C">
      <w:pPr>
        <w:pStyle w:val="ListParagraph"/>
        <w:numPr>
          <w:ilvl w:val="1"/>
          <w:numId w:val="3"/>
        </w:numPr>
        <w:tabs>
          <w:tab w:val="left" w:pos="1518"/>
          <w:tab w:val="left" w:pos="1519"/>
        </w:tabs>
        <w:spacing w:before="134" w:line="201" w:lineRule="auto"/>
        <w:ind w:right="1488"/>
        <w:rPr>
          <w:rFonts w:ascii="Arial" w:hAnsi="Arial"/>
          <w:sz w:val="20"/>
        </w:rPr>
      </w:pPr>
      <w:r>
        <w:rPr>
          <w:rFonts w:ascii="Calibri" w:hAnsi="Calibri"/>
          <w:color w:val="17365D"/>
          <w:sz w:val="20"/>
        </w:rPr>
        <w:t>Level 1 – quoted prices (unadjusted) in active markets for identical assets or liabilities that the Office can access at the measurement</w:t>
      </w:r>
      <w:r>
        <w:rPr>
          <w:rFonts w:ascii="Calibri" w:hAnsi="Calibri"/>
          <w:color w:val="17365D"/>
          <w:spacing w:val="-3"/>
          <w:sz w:val="20"/>
        </w:rPr>
        <w:t xml:space="preserve"> </w:t>
      </w:r>
      <w:r>
        <w:rPr>
          <w:rFonts w:ascii="Calibri" w:hAnsi="Calibri"/>
          <w:color w:val="17365D"/>
          <w:sz w:val="20"/>
        </w:rPr>
        <w:t>date;</w:t>
      </w:r>
    </w:p>
    <w:p w:rsidR="006C17CB" w:rsidRDefault="0030091C">
      <w:pPr>
        <w:pStyle w:val="ListParagraph"/>
        <w:numPr>
          <w:ilvl w:val="1"/>
          <w:numId w:val="3"/>
        </w:numPr>
        <w:tabs>
          <w:tab w:val="left" w:pos="1518"/>
          <w:tab w:val="left" w:pos="1519"/>
        </w:tabs>
        <w:spacing w:before="14" w:line="201" w:lineRule="auto"/>
        <w:ind w:right="1492"/>
        <w:rPr>
          <w:rFonts w:ascii="Arial" w:hAnsi="Arial"/>
          <w:sz w:val="20"/>
        </w:rPr>
      </w:pPr>
      <w:r>
        <w:rPr>
          <w:rFonts w:ascii="Calibri" w:hAnsi="Calibri"/>
          <w:color w:val="17365D"/>
          <w:sz w:val="20"/>
        </w:rPr>
        <w:t>Level</w:t>
      </w:r>
      <w:r>
        <w:rPr>
          <w:rFonts w:ascii="Calibri" w:hAnsi="Calibri"/>
          <w:color w:val="17365D"/>
          <w:spacing w:val="-4"/>
          <w:sz w:val="20"/>
        </w:rPr>
        <w:t xml:space="preserve"> </w:t>
      </w:r>
      <w:r>
        <w:rPr>
          <w:rFonts w:ascii="Calibri" w:hAnsi="Calibri"/>
          <w:color w:val="17365D"/>
          <w:sz w:val="20"/>
        </w:rPr>
        <w:t>2</w:t>
      </w:r>
      <w:r>
        <w:rPr>
          <w:rFonts w:ascii="Calibri" w:hAnsi="Calibri"/>
          <w:color w:val="17365D"/>
          <w:spacing w:val="-4"/>
          <w:sz w:val="20"/>
        </w:rPr>
        <w:t xml:space="preserve"> </w:t>
      </w:r>
      <w:r>
        <w:rPr>
          <w:rFonts w:ascii="Calibri" w:hAnsi="Calibri"/>
          <w:color w:val="17365D"/>
          <w:sz w:val="20"/>
        </w:rPr>
        <w:t>–</w:t>
      </w:r>
      <w:r>
        <w:rPr>
          <w:rFonts w:ascii="Calibri" w:hAnsi="Calibri"/>
          <w:color w:val="17365D"/>
          <w:spacing w:val="-5"/>
          <w:sz w:val="20"/>
        </w:rPr>
        <w:t xml:space="preserve"> </w:t>
      </w:r>
      <w:r>
        <w:rPr>
          <w:rFonts w:ascii="Calibri" w:hAnsi="Calibri"/>
          <w:color w:val="17365D"/>
          <w:sz w:val="20"/>
        </w:rPr>
        <w:t>inputs</w:t>
      </w:r>
      <w:r>
        <w:rPr>
          <w:rFonts w:ascii="Calibri" w:hAnsi="Calibri"/>
          <w:color w:val="17365D"/>
          <w:spacing w:val="-5"/>
          <w:sz w:val="20"/>
        </w:rPr>
        <w:t xml:space="preserve"> </w:t>
      </w:r>
      <w:r>
        <w:rPr>
          <w:rFonts w:ascii="Calibri" w:hAnsi="Calibri"/>
          <w:color w:val="17365D"/>
          <w:sz w:val="20"/>
        </w:rPr>
        <w:t>other</w:t>
      </w:r>
      <w:r>
        <w:rPr>
          <w:rFonts w:ascii="Calibri" w:hAnsi="Calibri"/>
          <w:color w:val="17365D"/>
          <w:spacing w:val="-6"/>
          <w:sz w:val="20"/>
        </w:rPr>
        <w:t xml:space="preserve"> </w:t>
      </w:r>
      <w:r>
        <w:rPr>
          <w:rFonts w:ascii="Calibri" w:hAnsi="Calibri"/>
          <w:color w:val="17365D"/>
          <w:sz w:val="20"/>
        </w:rPr>
        <w:t>than</w:t>
      </w:r>
      <w:r>
        <w:rPr>
          <w:rFonts w:ascii="Calibri" w:hAnsi="Calibri"/>
          <w:color w:val="17365D"/>
          <w:spacing w:val="-6"/>
          <w:sz w:val="20"/>
        </w:rPr>
        <w:t xml:space="preserve"> </w:t>
      </w:r>
      <w:r>
        <w:rPr>
          <w:rFonts w:ascii="Calibri" w:hAnsi="Calibri"/>
          <w:color w:val="17365D"/>
          <w:sz w:val="20"/>
        </w:rPr>
        <w:t>quoted</w:t>
      </w:r>
      <w:r>
        <w:rPr>
          <w:rFonts w:ascii="Calibri" w:hAnsi="Calibri"/>
          <w:color w:val="17365D"/>
          <w:spacing w:val="-3"/>
          <w:sz w:val="20"/>
        </w:rPr>
        <w:t xml:space="preserve"> </w:t>
      </w:r>
      <w:r>
        <w:rPr>
          <w:rFonts w:ascii="Calibri" w:hAnsi="Calibri"/>
          <w:color w:val="17365D"/>
          <w:sz w:val="20"/>
        </w:rPr>
        <w:t>prices</w:t>
      </w:r>
      <w:r>
        <w:rPr>
          <w:rFonts w:ascii="Calibri" w:hAnsi="Calibri"/>
          <w:color w:val="17365D"/>
          <w:spacing w:val="-5"/>
          <w:sz w:val="20"/>
        </w:rPr>
        <w:t xml:space="preserve"> </w:t>
      </w:r>
      <w:r>
        <w:rPr>
          <w:rFonts w:ascii="Calibri" w:hAnsi="Calibri"/>
          <w:color w:val="17365D"/>
          <w:sz w:val="20"/>
        </w:rPr>
        <w:t>included</w:t>
      </w:r>
      <w:r>
        <w:rPr>
          <w:rFonts w:ascii="Calibri" w:hAnsi="Calibri"/>
          <w:color w:val="17365D"/>
          <w:spacing w:val="-3"/>
          <w:sz w:val="20"/>
        </w:rPr>
        <w:t xml:space="preserve"> </w:t>
      </w:r>
      <w:r>
        <w:rPr>
          <w:rFonts w:ascii="Calibri" w:hAnsi="Calibri"/>
          <w:color w:val="17365D"/>
          <w:sz w:val="20"/>
        </w:rPr>
        <w:t>within</w:t>
      </w:r>
      <w:r>
        <w:rPr>
          <w:rFonts w:ascii="Calibri" w:hAnsi="Calibri"/>
          <w:color w:val="17365D"/>
          <w:spacing w:val="-3"/>
          <w:sz w:val="20"/>
        </w:rPr>
        <w:t xml:space="preserve"> </w:t>
      </w:r>
      <w:r>
        <w:rPr>
          <w:rFonts w:ascii="Calibri" w:hAnsi="Calibri"/>
          <w:color w:val="17365D"/>
          <w:sz w:val="20"/>
        </w:rPr>
        <w:t>Level</w:t>
      </w:r>
      <w:r>
        <w:rPr>
          <w:rFonts w:ascii="Calibri" w:hAnsi="Calibri"/>
          <w:color w:val="17365D"/>
          <w:spacing w:val="-4"/>
          <w:sz w:val="20"/>
        </w:rPr>
        <w:t xml:space="preserve"> </w:t>
      </w:r>
      <w:r>
        <w:rPr>
          <w:rFonts w:ascii="Calibri" w:hAnsi="Calibri"/>
          <w:color w:val="17365D"/>
          <w:sz w:val="20"/>
        </w:rPr>
        <w:t>1</w:t>
      </w:r>
      <w:r>
        <w:rPr>
          <w:rFonts w:ascii="Calibri" w:hAnsi="Calibri"/>
          <w:color w:val="17365D"/>
          <w:spacing w:val="-4"/>
          <w:sz w:val="20"/>
        </w:rPr>
        <w:t xml:space="preserve"> </w:t>
      </w:r>
      <w:r>
        <w:rPr>
          <w:rFonts w:ascii="Calibri" w:hAnsi="Calibri"/>
          <w:color w:val="17365D"/>
          <w:sz w:val="20"/>
        </w:rPr>
        <w:t>that</w:t>
      </w:r>
      <w:r>
        <w:rPr>
          <w:rFonts w:ascii="Calibri" w:hAnsi="Calibri"/>
          <w:color w:val="17365D"/>
          <w:spacing w:val="-4"/>
          <w:sz w:val="20"/>
        </w:rPr>
        <w:t xml:space="preserve"> </w:t>
      </w:r>
      <w:r>
        <w:rPr>
          <w:rFonts w:ascii="Calibri" w:hAnsi="Calibri"/>
          <w:color w:val="17365D"/>
          <w:sz w:val="20"/>
        </w:rPr>
        <w:t>are</w:t>
      </w:r>
      <w:r>
        <w:rPr>
          <w:rFonts w:ascii="Calibri" w:hAnsi="Calibri"/>
          <w:color w:val="17365D"/>
          <w:spacing w:val="-5"/>
          <w:sz w:val="20"/>
        </w:rPr>
        <w:t xml:space="preserve"> </w:t>
      </w:r>
      <w:r>
        <w:rPr>
          <w:rFonts w:ascii="Calibri" w:hAnsi="Calibri"/>
          <w:color w:val="17365D"/>
          <w:sz w:val="20"/>
        </w:rPr>
        <w:t>observable</w:t>
      </w:r>
      <w:r>
        <w:rPr>
          <w:rFonts w:ascii="Calibri" w:hAnsi="Calibri"/>
          <w:color w:val="17365D"/>
          <w:spacing w:val="-5"/>
          <w:sz w:val="20"/>
        </w:rPr>
        <w:t xml:space="preserve"> </w:t>
      </w:r>
      <w:r>
        <w:rPr>
          <w:rFonts w:ascii="Calibri" w:hAnsi="Calibri"/>
          <w:color w:val="17365D"/>
          <w:sz w:val="20"/>
        </w:rPr>
        <w:t>for</w:t>
      </w:r>
      <w:r>
        <w:rPr>
          <w:rFonts w:ascii="Calibri" w:hAnsi="Calibri"/>
          <w:color w:val="17365D"/>
          <w:spacing w:val="-4"/>
          <w:sz w:val="20"/>
        </w:rPr>
        <w:t xml:space="preserve"> </w:t>
      </w:r>
      <w:r>
        <w:rPr>
          <w:rFonts w:ascii="Calibri" w:hAnsi="Calibri"/>
          <w:color w:val="17365D"/>
          <w:sz w:val="20"/>
        </w:rPr>
        <w:t>the</w:t>
      </w:r>
      <w:r>
        <w:rPr>
          <w:rFonts w:ascii="Calibri" w:hAnsi="Calibri"/>
          <w:color w:val="17365D"/>
          <w:spacing w:val="-5"/>
          <w:sz w:val="20"/>
        </w:rPr>
        <w:t xml:space="preserve"> </w:t>
      </w:r>
      <w:r>
        <w:rPr>
          <w:rFonts w:ascii="Calibri" w:hAnsi="Calibri"/>
          <w:color w:val="17365D"/>
          <w:sz w:val="20"/>
        </w:rPr>
        <w:t>asset or liability, either directly or indirectly;</w:t>
      </w:r>
      <w:r>
        <w:rPr>
          <w:rFonts w:ascii="Calibri" w:hAnsi="Calibri"/>
          <w:color w:val="17365D"/>
          <w:spacing w:val="-1"/>
          <w:sz w:val="20"/>
        </w:rPr>
        <w:t xml:space="preserve"> </w:t>
      </w:r>
      <w:r>
        <w:rPr>
          <w:rFonts w:ascii="Calibri" w:hAnsi="Calibri"/>
          <w:color w:val="17365D"/>
          <w:sz w:val="20"/>
        </w:rPr>
        <w:t>and</w:t>
      </w:r>
    </w:p>
    <w:p w:rsidR="006C17CB" w:rsidRDefault="0030091C">
      <w:pPr>
        <w:pStyle w:val="ListParagraph"/>
        <w:numPr>
          <w:ilvl w:val="1"/>
          <w:numId w:val="3"/>
        </w:numPr>
        <w:tabs>
          <w:tab w:val="left" w:pos="1518"/>
          <w:tab w:val="left" w:pos="1519"/>
        </w:tabs>
        <w:spacing w:line="263" w:lineRule="exact"/>
        <w:rPr>
          <w:rFonts w:ascii="Arial" w:hAnsi="Arial"/>
          <w:sz w:val="20"/>
        </w:rPr>
      </w:pPr>
      <w:r>
        <w:rPr>
          <w:rFonts w:ascii="Calibri" w:hAnsi="Calibri"/>
          <w:color w:val="17365D"/>
          <w:sz w:val="20"/>
        </w:rPr>
        <w:t>Level 3 – inputs that are unobservable for particular assets or</w:t>
      </w:r>
      <w:r>
        <w:rPr>
          <w:rFonts w:ascii="Calibri" w:hAnsi="Calibri"/>
          <w:color w:val="17365D"/>
          <w:spacing w:val="-8"/>
          <w:sz w:val="20"/>
        </w:rPr>
        <w:t xml:space="preserve"> </w:t>
      </w:r>
      <w:r>
        <w:rPr>
          <w:rFonts w:ascii="Calibri" w:hAnsi="Calibri"/>
          <w:color w:val="17365D"/>
          <w:sz w:val="20"/>
        </w:rPr>
        <w:t>liabilities.</w:t>
      </w:r>
    </w:p>
    <w:p w:rsidR="006C17CB" w:rsidRDefault="006C17CB">
      <w:pPr>
        <w:pStyle w:val="BodyText"/>
        <w:spacing w:before="8"/>
        <w:rPr>
          <w:rFonts w:ascii="Calibri"/>
          <w:sz w:val="24"/>
        </w:rPr>
      </w:pPr>
    </w:p>
    <w:p w:rsidR="006C17CB" w:rsidRDefault="0030091C">
      <w:pPr>
        <w:spacing w:before="1" w:line="201" w:lineRule="auto"/>
        <w:ind w:left="798" w:right="1491"/>
        <w:jc w:val="both"/>
        <w:rPr>
          <w:rFonts w:ascii="Calibri" w:hAnsi="Calibri"/>
          <w:sz w:val="20"/>
        </w:rPr>
      </w:pPr>
      <w:r>
        <w:rPr>
          <w:rFonts w:ascii="Calibri" w:hAnsi="Calibri"/>
          <w:color w:val="17365D"/>
          <w:sz w:val="20"/>
        </w:rPr>
        <w:t>Details of the Office’s property, plant and equipment at fair value and information about the Fair Value Hierarchy as at 30 June 2018 are shown on the next page.</w:t>
      </w:r>
    </w:p>
    <w:p w:rsidR="006C17CB" w:rsidRDefault="006C17CB">
      <w:pPr>
        <w:spacing w:line="201" w:lineRule="auto"/>
        <w:jc w:val="both"/>
        <w:rPr>
          <w:rFonts w:ascii="Calibri" w:hAnsi="Calibri"/>
          <w:sz w:val="20"/>
        </w:rPr>
        <w:sectPr w:rsidR="006C17CB">
          <w:footerReference w:type="even" r:id="rId182"/>
          <w:footerReference w:type="default" r:id="rId183"/>
          <w:pgSz w:w="11910" w:h="16840"/>
          <w:pgMar w:top="2080" w:right="0" w:bottom="720" w:left="980" w:header="1189" w:footer="523" w:gutter="0"/>
          <w:pgNumType w:start="142"/>
          <w:cols w:space="720"/>
        </w:sectPr>
      </w:pPr>
    </w:p>
    <w:p w:rsidR="006C17CB" w:rsidRDefault="006C17CB">
      <w:pPr>
        <w:pStyle w:val="BodyText"/>
        <w:spacing w:before="9"/>
        <w:rPr>
          <w:rFonts w:ascii="Calibri"/>
          <w:sz w:val="21"/>
        </w:rPr>
      </w:pPr>
    </w:p>
    <w:p w:rsidR="006C17CB" w:rsidRDefault="0030091C">
      <w:pPr>
        <w:pStyle w:val="Heading6"/>
        <w:spacing w:line="345" w:lineRule="exact"/>
        <w:ind w:left="781"/>
      </w:pPr>
      <w:r>
        <w:rPr>
          <w:color w:val="003366"/>
        </w:rPr>
        <w:t>NOTE 30. PROPERTY, PLANT AND EQUIPMENT – TERRITORIAL – CONTINUED</w:t>
      </w:r>
    </w:p>
    <w:p w:rsidR="006C17CB" w:rsidRDefault="006C17CB">
      <w:pPr>
        <w:pStyle w:val="BodyText"/>
        <w:spacing w:before="9"/>
        <w:rPr>
          <w:rFonts w:ascii="Calibri"/>
          <w:b/>
          <w:sz w:val="12"/>
        </w:rPr>
      </w:pPr>
    </w:p>
    <w:p w:rsidR="006C17CB" w:rsidRDefault="006C17CB">
      <w:pPr>
        <w:rPr>
          <w:rFonts w:ascii="Calibri"/>
          <w:sz w:val="12"/>
        </w:rPr>
        <w:sectPr w:rsidR="006C17CB">
          <w:pgSz w:w="11910" w:h="16840"/>
          <w:pgMar w:top="2080" w:right="0" w:bottom="740" w:left="980" w:header="1189" w:footer="551" w:gutter="0"/>
          <w:cols w:space="720"/>
        </w:sectPr>
      </w:pPr>
    </w:p>
    <w:p w:rsidR="006C17CB" w:rsidRDefault="0030091C">
      <w:pPr>
        <w:spacing w:before="16"/>
        <w:ind w:left="781"/>
        <w:rPr>
          <w:rFonts w:ascii="Calibri"/>
          <w:b/>
          <w:sz w:val="20"/>
        </w:rPr>
      </w:pPr>
      <w:r>
        <w:rPr>
          <w:rFonts w:ascii="Calibri"/>
          <w:b/>
          <w:color w:val="17365D"/>
          <w:sz w:val="20"/>
        </w:rPr>
        <w:t>2018</w:t>
      </w:r>
    </w:p>
    <w:p w:rsidR="006C17CB" w:rsidRDefault="0030091C">
      <w:pPr>
        <w:pStyle w:val="BodyText"/>
        <w:spacing w:before="7"/>
        <w:rPr>
          <w:rFonts w:ascii="Calibri"/>
          <w:b/>
          <w:sz w:val="26"/>
        </w:rPr>
      </w:pPr>
      <w:r>
        <w:br w:type="column"/>
      </w:r>
    </w:p>
    <w:p w:rsidR="006C17CB" w:rsidRDefault="0030091C">
      <w:pPr>
        <w:ind w:left="781"/>
        <w:rPr>
          <w:rFonts w:ascii="Calibri"/>
          <w:b/>
          <w:sz w:val="18"/>
        </w:rPr>
      </w:pPr>
      <w:r>
        <w:rPr>
          <w:rFonts w:ascii="Calibri"/>
          <w:b/>
          <w:color w:val="003366"/>
          <w:sz w:val="18"/>
        </w:rPr>
        <w:t>Classification According to the Fair Value Hierarchy</w:t>
      </w:r>
    </w:p>
    <w:p w:rsidR="006C17CB" w:rsidRDefault="006C17CB">
      <w:pPr>
        <w:rPr>
          <w:rFonts w:ascii="Calibri"/>
          <w:sz w:val="18"/>
        </w:rPr>
        <w:sectPr w:rsidR="006C17CB">
          <w:type w:val="continuous"/>
          <w:pgSz w:w="11910" w:h="16840"/>
          <w:pgMar w:top="1580" w:right="0" w:bottom="280" w:left="980" w:header="720" w:footer="720" w:gutter="0"/>
          <w:cols w:num="2" w:space="720" w:equalWidth="0">
            <w:col w:w="1225" w:space="2615"/>
            <w:col w:w="7090"/>
          </w:cols>
        </w:sectPr>
      </w:pPr>
    </w:p>
    <w:p w:rsidR="006C17CB" w:rsidRDefault="006C17CB">
      <w:pPr>
        <w:pStyle w:val="BodyText"/>
        <w:rPr>
          <w:rFonts w:ascii="Calibri"/>
          <w:b/>
          <w:sz w:val="20"/>
        </w:rPr>
      </w:pPr>
    </w:p>
    <w:p w:rsidR="006C17CB" w:rsidRDefault="006C17CB">
      <w:pPr>
        <w:pStyle w:val="BodyText"/>
        <w:spacing w:before="2"/>
        <w:rPr>
          <w:rFonts w:ascii="Calibri"/>
          <w:b/>
          <w:sz w:val="19"/>
        </w:rPr>
      </w:pPr>
    </w:p>
    <w:p w:rsidR="006C17CB" w:rsidRDefault="0030091C">
      <w:pPr>
        <w:spacing w:before="1"/>
        <w:ind w:left="781"/>
        <w:rPr>
          <w:rFonts w:ascii="Calibri"/>
          <w:b/>
          <w:sz w:val="20"/>
        </w:rPr>
      </w:pPr>
      <w:r>
        <w:rPr>
          <w:rFonts w:ascii="Calibri"/>
          <w:b/>
          <w:color w:val="003366"/>
          <w:sz w:val="20"/>
        </w:rPr>
        <w:t>Property, Plant and Equipment at Fair Value</w:t>
      </w:r>
    </w:p>
    <w:p w:rsidR="006C17CB" w:rsidRDefault="0030091C">
      <w:pPr>
        <w:spacing w:line="224" w:lineRule="exact"/>
        <w:ind w:left="594"/>
        <w:jc w:val="center"/>
        <w:rPr>
          <w:rFonts w:ascii="Calibri"/>
          <w:b/>
          <w:sz w:val="20"/>
        </w:rPr>
      </w:pPr>
      <w:r>
        <w:br w:type="column"/>
      </w:r>
      <w:r>
        <w:rPr>
          <w:rFonts w:ascii="Calibri"/>
          <w:b/>
          <w:color w:val="003366"/>
          <w:sz w:val="20"/>
        </w:rPr>
        <w:t>Level</w:t>
      </w:r>
      <w:r>
        <w:rPr>
          <w:rFonts w:ascii="Calibri"/>
          <w:b/>
          <w:color w:val="003366"/>
          <w:spacing w:val="-6"/>
          <w:sz w:val="20"/>
        </w:rPr>
        <w:t xml:space="preserve"> </w:t>
      </w:r>
      <w:r>
        <w:rPr>
          <w:rFonts w:ascii="Calibri"/>
          <w:b/>
          <w:color w:val="003366"/>
          <w:sz w:val="20"/>
        </w:rPr>
        <w:t>1</w:t>
      </w:r>
    </w:p>
    <w:p w:rsidR="006C17CB" w:rsidRDefault="0030091C">
      <w:pPr>
        <w:spacing w:line="267" w:lineRule="exact"/>
        <w:ind w:left="714"/>
        <w:jc w:val="center"/>
        <w:rPr>
          <w:rFonts w:ascii="Calibri" w:hAnsi="Calibri"/>
          <w:b/>
          <w:sz w:val="20"/>
        </w:rPr>
      </w:pPr>
      <w:r>
        <w:rPr>
          <w:rFonts w:ascii="Calibri" w:hAnsi="Calibri"/>
          <w:b/>
          <w:color w:val="003366"/>
          <w:w w:val="95"/>
          <w:sz w:val="20"/>
        </w:rPr>
        <w:t>$’000</w:t>
      </w:r>
    </w:p>
    <w:p w:rsidR="006C17CB" w:rsidRDefault="0030091C">
      <w:pPr>
        <w:spacing w:line="224" w:lineRule="exact"/>
        <w:ind w:left="627"/>
        <w:jc w:val="center"/>
        <w:rPr>
          <w:rFonts w:ascii="Calibri"/>
          <w:b/>
          <w:sz w:val="20"/>
        </w:rPr>
      </w:pPr>
      <w:r>
        <w:br w:type="column"/>
      </w:r>
      <w:r>
        <w:rPr>
          <w:rFonts w:ascii="Calibri"/>
          <w:b/>
          <w:color w:val="003366"/>
          <w:sz w:val="20"/>
        </w:rPr>
        <w:t>Level</w:t>
      </w:r>
      <w:r>
        <w:rPr>
          <w:rFonts w:ascii="Calibri"/>
          <w:b/>
          <w:color w:val="003366"/>
          <w:spacing w:val="-6"/>
          <w:sz w:val="20"/>
        </w:rPr>
        <w:t xml:space="preserve"> </w:t>
      </w:r>
      <w:r>
        <w:rPr>
          <w:rFonts w:ascii="Calibri"/>
          <w:b/>
          <w:color w:val="003366"/>
          <w:sz w:val="20"/>
        </w:rPr>
        <w:t>2</w:t>
      </w:r>
    </w:p>
    <w:p w:rsidR="006C17CB" w:rsidRDefault="0030091C">
      <w:pPr>
        <w:spacing w:line="267" w:lineRule="exact"/>
        <w:ind w:left="747"/>
        <w:jc w:val="center"/>
        <w:rPr>
          <w:rFonts w:ascii="Calibri" w:hAnsi="Calibri"/>
          <w:b/>
          <w:sz w:val="20"/>
        </w:rPr>
      </w:pPr>
      <w:r>
        <w:rPr>
          <w:rFonts w:ascii="Calibri" w:hAnsi="Calibri"/>
          <w:b/>
          <w:color w:val="003366"/>
          <w:w w:val="95"/>
          <w:sz w:val="20"/>
        </w:rPr>
        <w:t>$’000</w:t>
      </w:r>
    </w:p>
    <w:p w:rsidR="006C17CB" w:rsidRDefault="0030091C">
      <w:pPr>
        <w:spacing w:line="224" w:lineRule="exact"/>
        <w:ind w:left="518" w:right="18"/>
        <w:jc w:val="center"/>
        <w:rPr>
          <w:rFonts w:ascii="Calibri"/>
          <w:b/>
          <w:sz w:val="20"/>
        </w:rPr>
      </w:pPr>
      <w:r>
        <w:br w:type="column"/>
      </w:r>
      <w:r>
        <w:rPr>
          <w:rFonts w:ascii="Calibri"/>
          <w:b/>
          <w:color w:val="003366"/>
          <w:sz w:val="20"/>
        </w:rPr>
        <w:t>Level 3</w:t>
      </w:r>
    </w:p>
    <w:p w:rsidR="006C17CB" w:rsidRDefault="0030091C">
      <w:pPr>
        <w:spacing w:line="267" w:lineRule="exact"/>
        <w:ind w:left="638" w:right="18"/>
        <w:jc w:val="center"/>
        <w:rPr>
          <w:rFonts w:ascii="Calibri" w:hAnsi="Calibri"/>
          <w:b/>
          <w:sz w:val="20"/>
        </w:rPr>
      </w:pPr>
      <w:r>
        <w:rPr>
          <w:rFonts w:ascii="Calibri" w:hAnsi="Calibri"/>
          <w:b/>
          <w:color w:val="003366"/>
          <w:sz w:val="20"/>
        </w:rPr>
        <w:t>$’000</w:t>
      </w:r>
    </w:p>
    <w:p w:rsidR="006C17CB" w:rsidRDefault="0030091C">
      <w:pPr>
        <w:spacing w:line="224" w:lineRule="exact"/>
        <w:ind w:left="812"/>
        <w:rPr>
          <w:rFonts w:ascii="Calibri"/>
          <w:b/>
          <w:sz w:val="20"/>
        </w:rPr>
      </w:pPr>
      <w:r>
        <w:br w:type="column"/>
      </w:r>
      <w:r>
        <w:rPr>
          <w:rFonts w:ascii="Calibri"/>
          <w:b/>
          <w:color w:val="003366"/>
          <w:sz w:val="20"/>
        </w:rPr>
        <w:t>Total</w:t>
      </w:r>
    </w:p>
    <w:p w:rsidR="006C17CB" w:rsidRDefault="0030091C">
      <w:pPr>
        <w:spacing w:line="267" w:lineRule="exact"/>
        <w:ind w:left="781"/>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5" w:space="720" w:equalWidth="0">
            <w:col w:w="4439" w:space="40"/>
            <w:col w:w="1168" w:space="39"/>
            <w:col w:w="1201" w:space="40"/>
            <w:col w:w="1155" w:space="102"/>
            <w:col w:w="2746"/>
          </w:cols>
        </w:sectPr>
      </w:pPr>
    </w:p>
    <w:p w:rsidR="006C17CB" w:rsidRDefault="006C17CB">
      <w:pPr>
        <w:pStyle w:val="BodyText"/>
        <w:spacing w:before="1"/>
        <w:rPr>
          <w:rFonts w:ascii="Calibri"/>
          <w:b/>
          <w:sz w:val="7"/>
        </w:rPr>
      </w:pPr>
    </w:p>
    <w:p w:rsidR="006C17CB" w:rsidRDefault="0030091C">
      <w:pPr>
        <w:tabs>
          <w:tab w:val="left" w:pos="5586"/>
          <w:tab w:val="left" w:pos="6433"/>
          <w:tab w:val="left" w:pos="7981"/>
          <w:tab w:val="left" w:pos="8965"/>
        </w:tabs>
        <w:spacing w:before="15" w:line="286" w:lineRule="exact"/>
        <w:ind w:left="781"/>
        <w:rPr>
          <w:rFonts w:ascii="Calibri"/>
          <w:sz w:val="20"/>
        </w:rPr>
      </w:pPr>
      <w:r>
        <w:rPr>
          <w:rFonts w:ascii="Calibri"/>
          <w:color w:val="003366"/>
          <w:sz w:val="20"/>
        </w:rPr>
        <w:t>Land</w:t>
      </w:r>
      <w:r>
        <w:rPr>
          <w:rFonts w:ascii="Calibri"/>
          <w:color w:val="003366"/>
          <w:sz w:val="20"/>
        </w:rPr>
        <w:tab/>
        <w:t>-</w:t>
      </w:r>
      <w:r>
        <w:rPr>
          <w:rFonts w:ascii="Calibri"/>
          <w:color w:val="003366"/>
          <w:sz w:val="20"/>
        </w:rPr>
        <w:tab/>
        <w:t>4,650</w:t>
      </w:r>
      <w:r>
        <w:rPr>
          <w:rFonts w:ascii="Calibri"/>
          <w:color w:val="003366"/>
          <w:sz w:val="20"/>
        </w:rPr>
        <w:tab/>
        <w:t>-</w:t>
      </w:r>
      <w:r>
        <w:rPr>
          <w:rFonts w:ascii="Calibri"/>
          <w:color w:val="003366"/>
          <w:sz w:val="20"/>
        </w:rPr>
        <w:tab/>
        <w:t>4,650</w:t>
      </w:r>
    </w:p>
    <w:p w:rsidR="006C17CB" w:rsidRDefault="0030091C">
      <w:pPr>
        <w:tabs>
          <w:tab w:val="left" w:pos="4681"/>
          <w:tab w:val="left" w:pos="5586"/>
          <w:tab w:val="left" w:pos="6332"/>
          <w:tab w:val="left" w:pos="7981"/>
          <w:tab w:val="left" w:pos="8864"/>
        </w:tabs>
        <w:spacing w:line="286" w:lineRule="exact"/>
        <w:ind w:left="781"/>
        <w:rPr>
          <w:rFonts w:ascii="Calibri"/>
          <w:sz w:val="20"/>
        </w:rPr>
      </w:pPr>
      <w:r>
        <w:rPr>
          <w:rFonts w:ascii="Calibri"/>
          <w:color w:val="003366"/>
          <w:sz w:val="20"/>
        </w:rPr>
        <w:t>Building</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w:t>
      </w:r>
      <w:r>
        <w:rPr>
          <w:rFonts w:ascii="Calibri"/>
          <w:color w:val="003366"/>
          <w:sz w:val="20"/>
          <w:u w:val="single" w:color="003366"/>
        </w:rPr>
        <w:tab/>
        <w:t>23,320</w:t>
      </w:r>
      <w:r>
        <w:rPr>
          <w:rFonts w:ascii="Calibri"/>
          <w:color w:val="003366"/>
          <w:sz w:val="20"/>
          <w:u w:val="single" w:color="003366"/>
        </w:rPr>
        <w:tab/>
        <w:t>-</w:t>
      </w:r>
      <w:r>
        <w:rPr>
          <w:rFonts w:ascii="Calibri"/>
          <w:color w:val="003366"/>
          <w:sz w:val="20"/>
          <w:u w:val="single" w:color="003366"/>
        </w:rPr>
        <w:tab/>
        <w:t>23,320</w:t>
      </w:r>
      <w:r>
        <w:rPr>
          <w:rFonts w:ascii="Calibri"/>
          <w:color w:val="003366"/>
          <w:spacing w:val="16"/>
          <w:sz w:val="20"/>
          <w:u w:val="single" w:color="003366"/>
        </w:rPr>
        <w:t xml:space="preserve"> </w:t>
      </w:r>
    </w:p>
    <w:p w:rsidR="006C17CB" w:rsidRDefault="0030091C">
      <w:pPr>
        <w:tabs>
          <w:tab w:val="left" w:pos="6330"/>
          <w:tab w:val="left" w:pos="7981"/>
          <w:tab w:val="left" w:pos="8862"/>
        </w:tabs>
        <w:spacing w:before="2"/>
        <w:ind w:left="5586"/>
        <w:rPr>
          <w:rFonts w:ascii="Calibri"/>
          <w:b/>
          <w:sz w:val="20"/>
        </w:rPr>
      </w:pPr>
      <w:r>
        <w:rPr>
          <w:rFonts w:ascii="Calibri"/>
          <w:b/>
          <w:color w:val="003366"/>
          <w:sz w:val="20"/>
        </w:rPr>
        <w:t>-</w:t>
      </w:r>
      <w:r>
        <w:rPr>
          <w:rFonts w:ascii="Calibri"/>
          <w:b/>
          <w:color w:val="003366"/>
          <w:sz w:val="20"/>
        </w:rPr>
        <w:tab/>
        <w:t>27,970</w:t>
      </w:r>
      <w:r>
        <w:rPr>
          <w:rFonts w:ascii="Calibri"/>
          <w:b/>
          <w:color w:val="003366"/>
          <w:sz w:val="20"/>
        </w:rPr>
        <w:tab/>
        <w:t>-</w:t>
      </w:r>
      <w:r>
        <w:rPr>
          <w:rFonts w:ascii="Calibri"/>
          <w:b/>
          <w:color w:val="003366"/>
          <w:sz w:val="20"/>
        </w:rPr>
        <w:tab/>
        <w:t>27,970</w:t>
      </w:r>
    </w:p>
    <w:p w:rsidR="006C17CB" w:rsidRDefault="00FE24A7">
      <w:pPr>
        <w:pStyle w:val="BodyText"/>
        <w:spacing w:line="29" w:lineRule="exact"/>
        <w:ind w:left="4676"/>
        <w:rPr>
          <w:rFonts w:ascii="Calibri"/>
          <w:sz w:val="2"/>
        </w:rPr>
      </w:pPr>
      <w:r>
        <w:rPr>
          <w:rFonts w:ascii="Calibri"/>
          <w:sz w:val="2"/>
        </w:rPr>
      </w:r>
      <w:r>
        <w:rPr>
          <w:rFonts w:ascii="Calibri"/>
          <w:sz w:val="2"/>
        </w:rPr>
        <w:pict>
          <v:group id="_x0000_s1082" alt="" style="width:242.3pt;height:1.45pt;mso-position-horizontal-relative:char;mso-position-vertical-relative:line" coordsize="4846,29">
            <v:line id="_x0000_s1083" alt="" style="position:absolute" from="0,5" to="1075,5" strokecolor="#036" strokeweight=".16969mm"/>
            <v:line id="_x0000_s1084" alt="" style="position:absolute" from="0,24" to="1075,24" strokecolor="#036" strokeweight=".16969mm"/>
            <v:rect id="_x0000_s1085" alt="" style="position:absolute;left:1075;width:29;height:10" fillcolor="#036" stroked="f"/>
            <v:rect id="_x0000_s1086" alt="" style="position:absolute;left:1075;top:19;width:29;height:10" fillcolor="#036" stroked="f"/>
            <v:line id="_x0000_s1087" alt="" style="position:absolute" from="1104,5" to="2314,5" strokecolor="#036" strokeweight=".16969mm"/>
            <v:line id="_x0000_s1088" alt="" style="position:absolute" from="1104,24" to="2314,24" strokecolor="#036" strokeweight=".16969mm"/>
            <v:rect id="_x0000_s1089" alt="" style="position:absolute;left:2313;width:29;height:10" fillcolor="#036" stroked="f"/>
            <v:rect id="_x0000_s1090" alt="" style="position:absolute;left:2313;top:19;width:29;height:10" fillcolor="#036" stroked="f"/>
            <v:line id="_x0000_s1091" alt="" style="position:absolute" from="2342,5" to="3468,5" strokecolor="#036" strokeweight=".16969mm"/>
            <v:line id="_x0000_s1092" alt="" style="position:absolute" from="2342,24" to="3468,24" strokecolor="#036" strokeweight=".16969mm"/>
            <v:rect id="_x0000_s1093" alt="" style="position:absolute;left:3468;width:29;height:10" fillcolor="#036" stroked="f"/>
            <v:rect id="_x0000_s1094" alt="" style="position:absolute;left:3468;top:19;width:29;height:10" fillcolor="#036" stroked="f"/>
            <v:line id="_x0000_s1095" alt="" style="position:absolute" from="3497,5" to="4846,5" strokecolor="#036" strokeweight=".16969mm"/>
            <v:line id="_x0000_s1096" alt="" style="position:absolute" from="3497,24" to="4846,24" strokecolor="#036" strokeweight=".16969mm"/>
            <w10:anchorlock/>
          </v:group>
        </w:pict>
      </w:r>
    </w:p>
    <w:p w:rsidR="006C17CB" w:rsidRDefault="0030091C">
      <w:pPr>
        <w:spacing w:before="112" w:line="204" w:lineRule="auto"/>
        <w:ind w:left="781" w:right="1412"/>
        <w:rPr>
          <w:rFonts w:ascii="Calibri" w:hAnsi="Calibri"/>
          <w:sz w:val="20"/>
        </w:rPr>
      </w:pPr>
      <w:r>
        <w:rPr>
          <w:rFonts w:ascii="Calibri" w:hAnsi="Calibri"/>
          <w:color w:val="17365D"/>
          <w:sz w:val="20"/>
        </w:rPr>
        <w:t>Details of the Office’s property, plant and equipment at fair value and information about the Fair Value Hierarchy as at 30 June 2017 are shown below.</w:t>
      </w:r>
    </w:p>
    <w:p w:rsidR="006C17CB" w:rsidRDefault="006C17CB">
      <w:pPr>
        <w:pStyle w:val="BodyText"/>
        <w:spacing w:before="14"/>
        <w:rPr>
          <w:rFonts w:ascii="Calibri"/>
          <w:sz w:val="12"/>
        </w:rPr>
      </w:pPr>
    </w:p>
    <w:p w:rsidR="006C17CB" w:rsidRDefault="006C17CB">
      <w:pPr>
        <w:rPr>
          <w:rFonts w:ascii="Calibri"/>
          <w:sz w:val="12"/>
        </w:rPr>
        <w:sectPr w:rsidR="006C17CB">
          <w:type w:val="continuous"/>
          <w:pgSz w:w="11910" w:h="16840"/>
          <w:pgMar w:top="1580" w:right="0" w:bottom="280" w:left="980" w:header="720" w:footer="720" w:gutter="0"/>
          <w:cols w:space="720"/>
        </w:sectPr>
      </w:pPr>
    </w:p>
    <w:p w:rsidR="006C17CB" w:rsidRDefault="0030091C">
      <w:pPr>
        <w:spacing w:before="15"/>
        <w:ind w:left="781"/>
        <w:rPr>
          <w:rFonts w:ascii="Calibri"/>
          <w:b/>
          <w:sz w:val="20"/>
        </w:rPr>
      </w:pPr>
      <w:r>
        <w:rPr>
          <w:rFonts w:ascii="Calibri"/>
          <w:b/>
          <w:color w:val="17365D"/>
          <w:sz w:val="20"/>
        </w:rPr>
        <w:t>2017</w:t>
      </w:r>
    </w:p>
    <w:p w:rsidR="006C17CB" w:rsidRDefault="0030091C">
      <w:pPr>
        <w:pStyle w:val="BodyText"/>
        <w:spacing w:before="9"/>
        <w:rPr>
          <w:rFonts w:ascii="Calibri"/>
          <w:b/>
          <w:sz w:val="26"/>
        </w:rPr>
      </w:pPr>
      <w:r>
        <w:br w:type="column"/>
      </w:r>
    </w:p>
    <w:p w:rsidR="006C17CB" w:rsidRDefault="0030091C">
      <w:pPr>
        <w:ind w:left="781"/>
        <w:rPr>
          <w:rFonts w:ascii="Calibri"/>
          <w:b/>
          <w:sz w:val="18"/>
        </w:rPr>
      </w:pPr>
      <w:r>
        <w:rPr>
          <w:rFonts w:ascii="Calibri"/>
          <w:b/>
          <w:color w:val="003366"/>
          <w:sz w:val="18"/>
        </w:rPr>
        <w:t>Classification According to the Fair Value Hierarchy</w:t>
      </w:r>
    </w:p>
    <w:p w:rsidR="006C17CB" w:rsidRDefault="006C17CB">
      <w:pPr>
        <w:rPr>
          <w:rFonts w:ascii="Calibri"/>
          <w:sz w:val="18"/>
        </w:rPr>
        <w:sectPr w:rsidR="006C17CB">
          <w:type w:val="continuous"/>
          <w:pgSz w:w="11910" w:h="16840"/>
          <w:pgMar w:top="1580" w:right="0" w:bottom="280" w:left="980" w:header="720" w:footer="720" w:gutter="0"/>
          <w:cols w:num="2" w:space="720" w:equalWidth="0">
            <w:col w:w="1225" w:space="2492"/>
            <w:col w:w="7213"/>
          </w:cols>
        </w:sectPr>
      </w:pPr>
    </w:p>
    <w:p w:rsidR="006C17CB" w:rsidRDefault="006C17CB">
      <w:pPr>
        <w:pStyle w:val="BodyText"/>
        <w:rPr>
          <w:rFonts w:ascii="Calibri"/>
          <w:b/>
          <w:sz w:val="20"/>
        </w:rPr>
      </w:pPr>
    </w:p>
    <w:p w:rsidR="006C17CB" w:rsidRDefault="006C17CB">
      <w:pPr>
        <w:pStyle w:val="BodyText"/>
        <w:spacing w:before="8"/>
        <w:rPr>
          <w:rFonts w:ascii="Calibri"/>
          <w:b/>
          <w:sz w:val="21"/>
        </w:rPr>
      </w:pPr>
    </w:p>
    <w:p w:rsidR="006C17CB" w:rsidRDefault="0030091C">
      <w:pPr>
        <w:spacing w:line="204" w:lineRule="auto"/>
        <w:ind w:left="781" w:right="21"/>
        <w:rPr>
          <w:rFonts w:ascii="Calibri"/>
          <w:b/>
          <w:sz w:val="20"/>
        </w:rPr>
      </w:pPr>
      <w:r>
        <w:rPr>
          <w:rFonts w:ascii="Calibri"/>
          <w:b/>
          <w:color w:val="003366"/>
          <w:sz w:val="20"/>
        </w:rPr>
        <w:t>Property, Plant and Equipment at Fair Value</w:t>
      </w:r>
    </w:p>
    <w:p w:rsidR="006C17CB" w:rsidRDefault="0030091C">
      <w:pPr>
        <w:spacing w:line="223" w:lineRule="exact"/>
        <w:ind w:left="781"/>
        <w:jc w:val="center"/>
        <w:rPr>
          <w:rFonts w:ascii="Calibri"/>
          <w:b/>
          <w:sz w:val="20"/>
        </w:rPr>
      </w:pPr>
      <w:r>
        <w:br w:type="column"/>
      </w:r>
      <w:r>
        <w:rPr>
          <w:rFonts w:ascii="Calibri"/>
          <w:b/>
          <w:color w:val="003366"/>
          <w:sz w:val="20"/>
        </w:rPr>
        <w:t>Level</w:t>
      </w:r>
      <w:r>
        <w:rPr>
          <w:rFonts w:ascii="Calibri"/>
          <w:b/>
          <w:color w:val="003366"/>
          <w:spacing w:val="-6"/>
          <w:sz w:val="20"/>
        </w:rPr>
        <w:t xml:space="preserve"> </w:t>
      </w:r>
      <w:r>
        <w:rPr>
          <w:rFonts w:ascii="Calibri"/>
          <w:b/>
          <w:color w:val="003366"/>
          <w:sz w:val="20"/>
        </w:rPr>
        <w:t>1</w:t>
      </w:r>
    </w:p>
    <w:p w:rsidR="006C17CB" w:rsidRDefault="0030091C">
      <w:pPr>
        <w:spacing w:line="265" w:lineRule="exact"/>
        <w:ind w:left="901"/>
        <w:jc w:val="center"/>
        <w:rPr>
          <w:rFonts w:ascii="Calibri" w:hAnsi="Calibri"/>
          <w:b/>
          <w:sz w:val="20"/>
        </w:rPr>
      </w:pPr>
      <w:r>
        <w:rPr>
          <w:rFonts w:ascii="Calibri" w:hAnsi="Calibri"/>
          <w:b/>
          <w:color w:val="003366"/>
          <w:w w:val="95"/>
          <w:sz w:val="20"/>
        </w:rPr>
        <w:t>$’000</w:t>
      </w:r>
    </w:p>
    <w:p w:rsidR="006C17CB" w:rsidRDefault="0030091C">
      <w:pPr>
        <w:spacing w:line="223" w:lineRule="exact"/>
        <w:ind w:left="627"/>
        <w:jc w:val="center"/>
        <w:rPr>
          <w:rFonts w:ascii="Calibri"/>
          <w:b/>
          <w:sz w:val="20"/>
        </w:rPr>
      </w:pPr>
      <w:r>
        <w:br w:type="column"/>
      </w:r>
      <w:r>
        <w:rPr>
          <w:rFonts w:ascii="Calibri"/>
          <w:b/>
          <w:color w:val="003366"/>
          <w:sz w:val="20"/>
        </w:rPr>
        <w:t>Level</w:t>
      </w:r>
      <w:r>
        <w:rPr>
          <w:rFonts w:ascii="Calibri"/>
          <w:b/>
          <w:color w:val="003366"/>
          <w:spacing w:val="-6"/>
          <w:sz w:val="20"/>
        </w:rPr>
        <w:t xml:space="preserve"> </w:t>
      </w:r>
      <w:r>
        <w:rPr>
          <w:rFonts w:ascii="Calibri"/>
          <w:b/>
          <w:color w:val="003366"/>
          <w:sz w:val="20"/>
        </w:rPr>
        <w:t>2</w:t>
      </w:r>
    </w:p>
    <w:p w:rsidR="006C17CB" w:rsidRDefault="0030091C">
      <w:pPr>
        <w:spacing w:line="265" w:lineRule="exact"/>
        <w:ind w:left="747"/>
        <w:jc w:val="center"/>
        <w:rPr>
          <w:rFonts w:ascii="Calibri" w:hAnsi="Calibri"/>
          <w:b/>
          <w:sz w:val="20"/>
        </w:rPr>
      </w:pPr>
      <w:r>
        <w:rPr>
          <w:rFonts w:ascii="Calibri" w:hAnsi="Calibri"/>
          <w:b/>
          <w:color w:val="003366"/>
          <w:w w:val="95"/>
          <w:sz w:val="20"/>
        </w:rPr>
        <w:t>$’000</w:t>
      </w:r>
    </w:p>
    <w:p w:rsidR="006C17CB" w:rsidRDefault="0030091C">
      <w:pPr>
        <w:spacing w:line="223" w:lineRule="exact"/>
        <w:ind w:left="629"/>
        <w:jc w:val="center"/>
        <w:rPr>
          <w:rFonts w:ascii="Calibri"/>
          <w:b/>
          <w:sz w:val="20"/>
        </w:rPr>
      </w:pPr>
      <w:r>
        <w:br w:type="column"/>
      </w:r>
      <w:r>
        <w:rPr>
          <w:rFonts w:ascii="Calibri"/>
          <w:b/>
          <w:color w:val="003366"/>
          <w:sz w:val="20"/>
        </w:rPr>
        <w:t>Level</w:t>
      </w:r>
      <w:r>
        <w:rPr>
          <w:rFonts w:ascii="Calibri"/>
          <w:b/>
          <w:color w:val="003366"/>
          <w:spacing w:val="-6"/>
          <w:sz w:val="20"/>
        </w:rPr>
        <w:t xml:space="preserve"> </w:t>
      </w:r>
      <w:r>
        <w:rPr>
          <w:rFonts w:ascii="Calibri"/>
          <w:b/>
          <w:color w:val="003366"/>
          <w:sz w:val="20"/>
        </w:rPr>
        <w:t>3</w:t>
      </w:r>
    </w:p>
    <w:p w:rsidR="006C17CB" w:rsidRDefault="0030091C">
      <w:pPr>
        <w:spacing w:line="265" w:lineRule="exact"/>
        <w:ind w:left="749"/>
        <w:jc w:val="center"/>
        <w:rPr>
          <w:rFonts w:ascii="Calibri" w:hAnsi="Calibri"/>
          <w:b/>
          <w:sz w:val="20"/>
        </w:rPr>
      </w:pPr>
      <w:r>
        <w:rPr>
          <w:rFonts w:ascii="Calibri" w:hAnsi="Calibri"/>
          <w:b/>
          <w:color w:val="003366"/>
          <w:w w:val="95"/>
          <w:sz w:val="20"/>
        </w:rPr>
        <w:t>$’000</w:t>
      </w:r>
    </w:p>
    <w:p w:rsidR="006C17CB" w:rsidRDefault="0030091C">
      <w:pPr>
        <w:spacing w:line="223" w:lineRule="exact"/>
        <w:ind w:left="812"/>
        <w:rPr>
          <w:rFonts w:ascii="Calibri"/>
          <w:b/>
          <w:sz w:val="20"/>
        </w:rPr>
      </w:pPr>
      <w:r>
        <w:br w:type="column"/>
      </w:r>
      <w:r>
        <w:rPr>
          <w:rFonts w:ascii="Calibri"/>
          <w:b/>
          <w:color w:val="003366"/>
          <w:sz w:val="20"/>
        </w:rPr>
        <w:t>Total</w:t>
      </w:r>
    </w:p>
    <w:p w:rsidR="006C17CB" w:rsidRDefault="0030091C">
      <w:pPr>
        <w:spacing w:line="265" w:lineRule="exact"/>
        <w:ind w:left="781"/>
        <w:rPr>
          <w:rFonts w:ascii="Calibri" w:hAnsi="Calibri"/>
          <w:b/>
          <w:sz w:val="20"/>
        </w:rPr>
      </w:pPr>
      <w:r>
        <w:rPr>
          <w:rFonts w:ascii="Calibri" w:hAnsi="Calibri"/>
          <w:b/>
          <w:color w:val="003366"/>
          <w:sz w:val="20"/>
        </w:rPr>
        <w:t>$’000</w:t>
      </w:r>
    </w:p>
    <w:p w:rsidR="006C17CB" w:rsidRDefault="006C17CB">
      <w:pPr>
        <w:spacing w:line="265" w:lineRule="exact"/>
        <w:rPr>
          <w:rFonts w:ascii="Calibri" w:hAnsi="Calibri"/>
          <w:sz w:val="20"/>
        </w:rPr>
        <w:sectPr w:rsidR="006C17CB">
          <w:type w:val="continuous"/>
          <w:pgSz w:w="11910" w:h="16840"/>
          <w:pgMar w:top="1580" w:right="0" w:bottom="280" w:left="980" w:header="720" w:footer="720" w:gutter="0"/>
          <w:cols w:num="5" w:space="720" w:equalWidth="0">
            <w:col w:w="3960" w:space="331"/>
            <w:col w:w="1356" w:space="40"/>
            <w:col w:w="1201" w:space="39"/>
            <w:col w:w="1204" w:space="51"/>
            <w:col w:w="2748"/>
          </w:cols>
        </w:sectPr>
      </w:pPr>
    </w:p>
    <w:p w:rsidR="006C17CB" w:rsidRDefault="006C17CB">
      <w:pPr>
        <w:pStyle w:val="BodyText"/>
        <w:spacing w:before="7"/>
        <w:rPr>
          <w:rFonts w:ascii="Calibri"/>
          <w:b/>
          <w:sz w:val="7"/>
        </w:rPr>
      </w:pPr>
    </w:p>
    <w:p w:rsidR="006C17CB" w:rsidRDefault="0030091C">
      <w:pPr>
        <w:tabs>
          <w:tab w:val="left" w:pos="5586"/>
          <w:tab w:val="left" w:pos="6433"/>
          <w:tab w:val="left" w:pos="8070"/>
          <w:tab w:val="left" w:pos="8963"/>
        </w:tabs>
        <w:spacing w:before="15" w:line="287" w:lineRule="exact"/>
        <w:ind w:left="781"/>
        <w:rPr>
          <w:rFonts w:ascii="Calibri"/>
          <w:sz w:val="20"/>
        </w:rPr>
      </w:pPr>
      <w:r>
        <w:rPr>
          <w:rFonts w:ascii="Calibri"/>
          <w:color w:val="003366"/>
          <w:sz w:val="20"/>
        </w:rPr>
        <w:t>Land</w:t>
      </w:r>
      <w:r>
        <w:rPr>
          <w:rFonts w:ascii="Calibri"/>
          <w:color w:val="003366"/>
          <w:sz w:val="20"/>
        </w:rPr>
        <w:tab/>
        <w:t>-</w:t>
      </w:r>
      <w:r>
        <w:rPr>
          <w:rFonts w:ascii="Calibri"/>
          <w:color w:val="003366"/>
          <w:sz w:val="20"/>
        </w:rPr>
        <w:tab/>
        <w:t>4,650</w:t>
      </w:r>
      <w:r>
        <w:rPr>
          <w:rFonts w:ascii="Calibri"/>
          <w:color w:val="003366"/>
          <w:sz w:val="20"/>
        </w:rPr>
        <w:tab/>
        <w:t>-</w:t>
      </w:r>
      <w:r>
        <w:rPr>
          <w:rFonts w:ascii="Calibri"/>
          <w:color w:val="003366"/>
          <w:sz w:val="20"/>
        </w:rPr>
        <w:tab/>
        <w:t>4,650</w:t>
      </w:r>
    </w:p>
    <w:p w:rsidR="006C17CB" w:rsidRDefault="0030091C">
      <w:pPr>
        <w:tabs>
          <w:tab w:val="left" w:pos="4508"/>
          <w:tab w:val="left" w:pos="5586"/>
          <w:tab w:val="left" w:pos="6332"/>
          <w:tab w:val="left" w:pos="8070"/>
          <w:tab w:val="left" w:pos="8862"/>
        </w:tabs>
        <w:spacing w:line="287" w:lineRule="exact"/>
        <w:ind w:left="781"/>
        <w:rPr>
          <w:rFonts w:ascii="Calibri"/>
          <w:sz w:val="20"/>
        </w:rPr>
      </w:pPr>
      <w:r>
        <w:rPr>
          <w:rFonts w:ascii="Calibri"/>
          <w:color w:val="003366"/>
          <w:sz w:val="20"/>
        </w:rPr>
        <w:t>Building</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w:t>
      </w:r>
      <w:r>
        <w:rPr>
          <w:rFonts w:ascii="Calibri"/>
          <w:color w:val="003366"/>
          <w:sz w:val="20"/>
          <w:u w:val="single" w:color="003366"/>
        </w:rPr>
        <w:tab/>
        <w:t>23,850</w:t>
      </w:r>
      <w:r>
        <w:rPr>
          <w:rFonts w:ascii="Calibri"/>
          <w:color w:val="003366"/>
          <w:sz w:val="20"/>
          <w:u w:val="single" w:color="003366"/>
        </w:rPr>
        <w:tab/>
        <w:t>-</w:t>
      </w:r>
      <w:r>
        <w:rPr>
          <w:rFonts w:ascii="Calibri"/>
          <w:color w:val="003366"/>
          <w:sz w:val="20"/>
          <w:u w:val="single" w:color="003366"/>
        </w:rPr>
        <w:tab/>
        <w:t>23,850</w:t>
      </w:r>
      <w:r>
        <w:rPr>
          <w:rFonts w:ascii="Calibri"/>
          <w:color w:val="003366"/>
          <w:spacing w:val="18"/>
          <w:sz w:val="20"/>
          <w:u w:val="single" w:color="003366"/>
        </w:rPr>
        <w:t xml:space="preserve"> </w:t>
      </w:r>
    </w:p>
    <w:p w:rsidR="006C17CB" w:rsidRDefault="0030091C">
      <w:pPr>
        <w:tabs>
          <w:tab w:val="left" w:pos="6330"/>
          <w:tab w:val="left" w:pos="8070"/>
          <w:tab w:val="left" w:pos="8859"/>
        </w:tabs>
        <w:ind w:left="5586"/>
        <w:rPr>
          <w:rFonts w:ascii="Calibri"/>
          <w:b/>
          <w:sz w:val="20"/>
        </w:rPr>
      </w:pPr>
      <w:r>
        <w:rPr>
          <w:rFonts w:ascii="Calibri"/>
          <w:b/>
          <w:color w:val="003366"/>
          <w:sz w:val="20"/>
        </w:rPr>
        <w:t>-</w:t>
      </w:r>
      <w:r>
        <w:rPr>
          <w:rFonts w:ascii="Calibri"/>
          <w:b/>
          <w:color w:val="003366"/>
          <w:sz w:val="20"/>
        </w:rPr>
        <w:tab/>
        <w:t>28,500</w:t>
      </w:r>
      <w:r>
        <w:rPr>
          <w:rFonts w:ascii="Calibri"/>
          <w:b/>
          <w:color w:val="003366"/>
          <w:sz w:val="20"/>
        </w:rPr>
        <w:tab/>
        <w:t>-</w:t>
      </w:r>
      <w:r>
        <w:rPr>
          <w:rFonts w:ascii="Calibri"/>
          <w:b/>
          <w:color w:val="003366"/>
          <w:sz w:val="20"/>
        </w:rPr>
        <w:tab/>
        <w:t>28,500</w:t>
      </w:r>
    </w:p>
    <w:p w:rsidR="006C17CB" w:rsidRDefault="00FE24A7">
      <w:pPr>
        <w:pStyle w:val="BodyText"/>
        <w:spacing w:line="29" w:lineRule="exact"/>
        <w:ind w:left="4503"/>
        <w:rPr>
          <w:rFonts w:ascii="Calibri"/>
          <w:sz w:val="2"/>
        </w:rPr>
      </w:pPr>
      <w:r>
        <w:rPr>
          <w:rFonts w:ascii="Calibri"/>
          <w:sz w:val="2"/>
        </w:rPr>
      </w:r>
      <w:r>
        <w:rPr>
          <w:rFonts w:ascii="Calibri"/>
          <w:sz w:val="2"/>
        </w:rPr>
        <w:pict>
          <v:group id="_x0000_s1067" alt="" style="width:250.95pt;height:1.45pt;mso-position-horizontal-relative:char;mso-position-vertical-relative:line" coordsize="5019,29">
            <v:line id="_x0000_s1068" alt="" style="position:absolute" from="0,5" to="1248,5" strokecolor="#036" strokeweight=".48pt"/>
            <v:line id="_x0000_s1069" alt="" style="position:absolute" from="0,24" to="1248,24" strokecolor="#036" strokeweight=".16969mm"/>
            <v:rect id="_x0000_s1070" alt="" style="position:absolute;left:1248;width:29;height:10" fillcolor="#036" stroked="f"/>
            <v:rect id="_x0000_s1071" alt="" style="position:absolute;left:1248;top:19;width:29;height:10" fillcolor="#036" stroked="f"/>
            <v:line id="_x0000_s1072" alt="" style="position:absolute" from="1277,5" to="2486,5" strokecolor="#036" strokeweight=".48pt"/>
            <v:line id="_x0000_s1073" alt="" style="position:absolute" from="1277,24" to="2486,24" strokecolor="#036" strokeweight=".16969mm"/>
            <v:rect id="_x0000_s1074" alt="" style="position:absolute;left:2486;width:29;height:10" fillcolor="#036" stroked="f"/>
            <v:rect id="_x0000_s1075" alt="" style="position:absolute;left:2486;top:19;width:29;height:10" fillcolor="#036" stroked="f"/>
            <v:line id="_x0000_s1076" alt="" style="position:absolute" from="2515,5" to="3730,5" strokecolor="#036" strokeweight=".48pt"/>
            <v:line id="_x0000_s1077" alt="" style="position:absolute" from="2515,24" to="3730,24" strokecolor="#036" strokeweight=".16969mm"/>
            <v:rect id="_x0000_s1078" alt="" style="position:absolute;left:3729;width:29;height:10" fillcolor="#036" stroked="f"/>
            <v:rect id="_x0000_s1079" alt="" style="position:absolute;left:3729;top:19;width:29;height:10" fillcolor="#036" stroked="f"/>
            <v:line id="_x0000_s1080" alt="" style="position:absolute" from="3758,5" to="5018,5" strokecolor="#036" strokeweight=".48pt"/>
            <v:line id="_x0000_s1081" alt="" style="position:absolute" from="3758,24" to="5018,24" strokecolor="#036" strokeweight=".16969mm"/>
            <w10:anchorlock/>
          </v:group>
        </w:pict>
      </w:r>
    </w:p>
    <w:p w:rsidR="006C17CB" w:rsidRDefault="006C17CB">
      <w:pPr>
        <w:pStyle w:val="BodyText"/>
        <w:spacing w:before="7"/>
        <w:rPr>
          <w:rFonts w:ascii="Calibri"/>
          <w:b/>
          <w:sz w:val="24"/>
        </w:rPr>
      </w:pPr>
    </w:p>
    <w:p w:rsidR="006C17CB" w:rsidRDefault="0030091C">
      <w:pPr>
        <w:spacing w:before="15"/>
        <w:ind w:left="781"/>
        <w:jc w:val="both"/>
        <w:rPr>
          <w:rFonts w:ascii="Calibri"/>
          <w:b/>
          <w:sz w:val="20"/>
        </w:rPr>
      </w:pPr>
      <w:r>
        <w:rPr>
          <w:rFonts w:ascii="Calibri"/>
          <w:b/>
          <w:color w:val="003366"/>
          <w:sz w:val="20"/>
        </w:rPr>
        <w:t>Transfers Between Categories</w:t>
      </w:r>
    </w:p>
    <w:p w:rsidR="006C17CB" w:rsidRDefault="006C17CB">
      <w:pPr>
        <w:pStyle w:val="BodyText"/>
        <w:spacing w:before="9"/>
        <w:rPr>
          <w:rFonts w:ascii="Calibri"/>
          <w:b/>
          <w:sz w:val="13"/>
        </w:rPr>
      </w:pPr>
    </w:p>
    <w:p w:rsidR="006C17CB" w:rsidRDefault="0030091C">
      <w:pPr>
        <w:ind w:left="781"/>
        <w:jc w:val="both"/>
        <w:rPr>
          <w:rFonts w:ascii="Calibri"/>
          <w:sz w:val="20"/>
        </w:rPr>
      </w:pPr>
      <w:r>
        <w:rPr>
          <w:rFonts w:ascii="Calibri"/>
          <w:color w:val="003366"/>
          <w:sz w:val="20"/>
        </w:rPr>
        <w:t>There have been no transfers between Levels 1, 2 and 3 during the reporting period.</w:t>
      </w:r>
    </w:p>
    <w:p w:rsidR="006C17CB" w:rsidRDefault="006C17CB">
      <w:pPr>
        <w:pStyle w:val="BodyText"/>
        <w:spacing w:before="9"/>
        <w:rPr>
          <w:rFonts w:ascii="Calibri"/>
          <w:sz w:val="13"/>
        </w:rPr>
      </w:pPr>
    </w:p>
    <w:p w:rsidR="006C17CB" w:rsidRDefault="0030091C">
      <w:pPr>
        <w:ind w:left="793"/>
        <w:jc w:val="both"/>
        <w:rPr>
          <w:rFonts w:ascii="Calibri"/>
          <w:b/>
          <w:sz w:val="20"/>
        </w:rPr>
      </w:pPr>
      <w:r>
        <w:rPr>
          <w:rFonts w:ascii="Calibri"/>
          <w:b/>
          <w:color w:val="003366"/>
          <w:sz w:val="20"/>
        </w:rPr>
        <w:t>Valuation Techniques, Inputs and Processes</w:t>
      </w:r>
    </w:p>
    <w:p w:rsidR="006C17CB" w:rsidRDefault="006C17CB">
      <w:pPr>
        <w:pStyle w:val="BodyText"/>
        <w:spacing w:before="7"/>
        <w:rPr>
          <w:rFonts w:ascii="Calibri"/>
          <w:b/>
          <w:sz w:val="16"/>
        </w:rPr>
      </w:pPr>
    </w:p>
    <w:p w:rsidR="006C17CB" w:rsidRDefault="0030091C">
      <w:pPr>
        <w:spacing w:before="1"/>
        <w:ind w:left="793"/>
        <w:jc w:val="both"/>
        <w:rPr>
          <w:rFonts w:ascii="Calibri-BoldItalic"/>
          <w:b/>
          <w:i/>
          <w:sz w:val="20"/>
        </w:rPr>
      </w:pPr>
      <w:r>
        <w:rPr>
          <w:rFonts w:ascii="Calibri-BoldItalic"/>
          <w:b/>
          <w:i/>
          <w:color w:val="003366"/>
          <w:sz w:val="20"/>
        </w:rPr>
        <w:t>Level 2 Valuation Techniques and Inputs</w:t>
      </w:r>
    </w:p>
    <w:p w:rsidR="006C17CB" w:rsidRDefault="006C17CB">
      <w:pPr>
        <w:pStyle w:val="BodyText"/>
        <w:spacing w:before="11"/>
        <w:rPr>
          <w:rFonts w:ascii="Calibri-BoldItalic"/>
          <w:b/>
          <w:i/>
          <w:sz w:val="18"/>
        </w:rPr>
      </w:pPr>
    </w:p>
    <w:p w:rsidR="006C17CB" w:rsidRDefault="0030091C">
      <w:pPr>
        <w:spacing w:before="1" w:line="204" w:lineRule="auto"/>
        <w:ind w:left="793" w:right="1476"/>
        <w:jc w:val="both"/>
        <w:rPr>
          <w:rFonts w:ascii="Calibri"/>
          <w:sz w:val="20"/>
        </w:rPr>
      </w:pPr>
      <w:r>
        <w:rPr>
          <w:rFonts w:ascii="Calibri"/>
          <w:color w:val="003366"/>
          <w:sz w:val="20"/>
        </w:rPr>
        <w:t>Valuation Technique: The capitalisation approach, discounted cash flow and market approach have been utilised to determine fair value. The capitalisation approach and discounted cash flow converts future cash flows to a single current amount through an appropriate discount rate having regard to current market expectations about those future amounts. The market approach considered transactions and pricing data that has occurred in the principal market in arriving at fair value.</w:t>
      </w:r>
    </w:p>
    <w:p w:rsidR="006C17CB" w:rsidRDefault="006C17CB">
      <w:pPr>
        <w:pStyle w:val="BodyText"/>
        <w:spacing w:before="7"/>
        <w:rPr>
          <w:rFonts w:ascii="Calibri"/>
          <w:sz w:val="16"/>
        </w:rPr>
      </w:pPr>
    </w:p>
    <w:p w:rsidR="006C17CB" w:rsidRDefault="0030091C">
      <w:pPr>
        <w:spacing w:before="1" w:line="201" w:lineRule="auto"/>
        <w:ind w:left="793" w:right="1412"/>
        <w:rPr>
          <w:rFonts w:ascii="Calibri"/>
          <w:sz w:val="20"/>
        </w:rPr>
      </w:pPr>
      <w:r>
        <w:rPr>
          <w:rFonts w:ascii="Calibri"/>
          <w:color w:val="003366"/>
          <w:sz w:val="20"/>
        </w:rPr>
        <w:t>Inputs: Prices and other relevant information generated by market transactions involving comparable land and buildings were considered. Regard was given to:</w:t>
      </w:r>
    </w:p>
    <w:p w:rsidR="006C17CB" w:rsidRDefault="0030091C">
      <w:pPr>
        <w:pStyle w:val="ListParagraph"/>
        <w:numPr>
          <w:ilvl w:val="1"/>
          <w:numId w:val="3"/>
        </w:numPr>
        <w:tabs>
          <w:tab w:val="left" w:pos="1513"/>
          <w:tab w:val="left" w:pos="1514"/>
        </w:tabs>
        <w:spacing w:before="97" w:line="271" w:lineRule="exact"/>
        <w:ind w:left="1513"/>
        <w:rPr>
          <w:rFonts w:ascii="Arial"/>
          <w:color w:val="003366"/>
          <w:sz w:val="20"/>
        </w:rPr>
      </w:pPr>
      <w:r>
        <w:rPr>
          <w:rFonts w:ascii="Calibri"/>
          <w:color w:val="003366"/>
          <w:sz w:val="20"/>
        </w:rPr>
        <w:t>the Crown Lease terms and</w:t>
      </w:r>
      <w:r>
        <w:rPr>
          <w:rFonts w:ascii="Calibri"/>
          <w:color w:val="003366"/>
          <w:spacing w:val="-2"/>
          <w:sz w:val="20"/>
        </w:rPr>
        <w:t xml:space="preserve"> </w:t>
      </w:r>
      <w:r>
        <w:rPr>
          <w:rFonts w:ascii="Calibri"/>
          <w:color w:val="003366"/>
          <w:sz w:val="20"/>
        </w:rPr>
        <w:t>tenure;</w:t>
      </w:r>
    </w:p>
    <w:p w:rsidR="006C17CB" w:rsidRDefault="0030091C">
      <w:pPr>
        <w:pStyle w:val="ListParagraph"/>
        <w:numPr>
          <w:ilvl w:val="1"/>
          <w:numId w:val="3"/>
        </w:numPr>
        <w:tabs>
          <w:tab w:val="left" w:pos="1513"/>
          <w:tab w:val="left" w:pos="1514"/>
        </w:tabs>
        <w:spacing w:before="18" w:line="204" w:lineRule="auto"/>
        <w:ind w:left="1513" w:right="1476"/>
        <w:rPr>
          <w:rFonts w:ascii="Arial"/>
          <w:color w:val="003366"/>
          <w:sz w:val="20"/>
        </w:rPr>
      </w:pPr>
      <w:r>
        <w:rPr>
          <w:rFonts w:ascii="Calibri"/>
          <w:color w:val="003366"/>
          <w:sz w:val="20"/>
        </w:rPr>
        <w:t>the Australian Capital Territory Plan and the National Capital Plan, where applicable, as well as current</w:t>
      </w:r>
      <w:r>
        <w:rPr>
          <w:rFonts w:ascii="Calibri"/>
          <w:color w:val="003366"/>
          <w:spacing w:val="-1"/>
          <w:sz w:val="20"/>
        </w:rPr>
        <w:t xml:space="preserve"> </w:t>
      </w:r>
      <w:r>
        <w:rPr>
          <w:rFonts w:ascii="Calibri"/>
          <w:color w:val="003366"/>
          <w:sz w:val="20"/>
        </w:rPr>
        <w:t>zoning;</w:t>
      </w:r>
    </w:p>
    <w:p w:rsidR="006C17CB" w:rsidRDefault="0030091C">
      <w:pPr>
        <w:pStyle w:val="ListParagraph"/>
        <w:numPr>
          <w:ilvl w:val="1"/>
          <w:numId w:val="3"/>
        </w:numPr>
        <w:tabs>
          <w:tab w:val="left" w:pos="1513"/>
          <w:tab w:val="left" w:pos="1514"/>
        </w:tabs>
        <w:spacing w:before="12" w:line="201" w:lineRule="auto"/>
        <w:ind w:left="1513" w:right="1478"/>
        <w:rPr>
          <w:rFonts w:ascii="Arial"/>
          <w:color w:val="003366"/>
          <w:sz w:val="20"/>
        </w:rPr>
      </w:pPr>
      <w:r>
        <w:rPr>
          <w:rFonts w:ascii="Calibri"/>
          <w:color w:val="003366"/>
          <w:sz w:val="20"/>
        </w:rPr>
        <w:t>market cash flows from transaction of comparable assets, adjusted to reflect the expected circumstances that a market participant would take into consideration;</w:t>
      </w:r>
      <w:r>
        <w:rPr>
          <w:rFonts w:ascii="Calibri"/>
          <w:color w:val="003366"/>
          <w:spacing w:val="-10"/>
          <w:sz w:val="20"/>
        </w:rPr>
        <w:t xml:space="preserve"> </w:t>
      </w:r>
      <w:r>
        <w:rPr>
          <w:rFonts w:ascii="Calibri"/>
          <w:color w:val="003366"/>
          <w:sz w:val="20"/>
        </w:rPr>
        <w:t>and</w:t>
      </w:r>
    </w:p>
    <w:p w:rsidR="006C17CB" w:rsidRDefault="0030091C">
      <w:pPr>
        <w:pStyle w:val="ListParagraph"/>
        <w:numPr>
          <w:ilvl w:val="1"/>
          <w:numId w:val="3"/>
        </w:numPr>
        <w:tabs>
          <w:tab w:val="left" w:pos="1513"/>
          <w:tab w:val="left" w:pos="1514"/>
        </w:tabs>
        <w:spacing w:before="51" w:line="204" w:lineRule="auto"/>
        <w:ind w:left="1513" w:right="1478"/>
        <w:rPr>
          <w:rFonts w:ascii="Arial"/>
          <w:color w:val="003366"/>
          <w:sz w:val="24"/>
        </w:rPr>
      </w:pPr>
      <w:r>
        <w:rPr>
          <w:rFonts w:ascii="Calibri"/>
          <w:color w:val="003366"/>
          <w:sz w:val="20"/>
        </w:rPr>
        <w:t>market capitalisation rates as represented by the income produced by an investment property, expressed as a percentage and derived from recent market</w:t>
      </w:r>
      <w:r>
        <w:rPr>
          <w:rFonts w:ascii="Calibri"/>
          <w:color w:val="003366"/>
          <w:spacing w:val="-2"/>
          <w:sz w:val="20"/>
        </w:rPr>
        <w:t xml:space="preserve"> </w:t>
      </w:r>
      <w:r>
        <w:rPr>
          <w:rFonts w:ascii="Calibri"/>
          <w:color w:val="003366"/>
          <w:sz w:val="20"/>
        </w:rPr>
        <w:t>transactions.</w:t>
      </w:r>
    </w:p>
    <w:p w:rsidR="006C17CB" w:rsidRDefault="006C17CB">
      <w:pPr>
        <w:spacing w:line="204" w:lineRule="auto"/>
        <w:rPr>
          <w:rFonts w:ascii="Arial"/>
          <w:sz w:val="24"/>
        </w:rPr>
        <w:sectPr w:rsidR="006C17CB">
          <w:type w:val="continuous"/>
          <w:pgSz w:w="11910" w:h="16840"/>
          <w:pgMar w:top="1580" w:right="0" w:bottom="280" w:left="980" w:header="720" w:footer="720" w:gutter="0"/>
          <w:cols w:space="720"/>
        </w:sectPr>
      </w:pPr>
    </w:p>
    <w:p w:rsidR="006C17CB" w:rsidRDefault="006C17CB">
      <w:pPr>
        <w:pStyle w:val="BodyText"/>
        <w:spacing w:before="9"/>
        <w:rPr>
          <w:rFonts w:ascii="Calibri"/>
          <w:sz w:val="21"/>
        </w:rPr>
      </w:pPr>
    </w:p>
    <w:p w:rsidR="006C17CB" w:rsidRDefault="006C17CB">
      <w:pPr>
        <w:rPr>
          <w:rFonts w:ascii="Calibri"/>
          <w:sz w:val="21"/>
        </w:rPr>
        <w:sectPr w:rsidR="006C17CB">
          <w:pgSz w:w="11910" w:h="16840"/>
          <w:pgMar w:top="2080" w:right="0" w:bottom="720" w:left="980" w:header="1189" w:footer="523" w:gutter="0"/>
          <w:cols w:space="720"/>
        </w:sectPr>
      </w:pPr>
    </w:p>
    <w:p w:rsidR="006C17CB" w:rsidRDefault="0030091C">
      <w:pPr>
        <w:pStyle w:val="Heading6"/>
        <w:tabs>
          <w:tab w:val="left" w:pos="1959"/>
        </w:tabs>
        <w:spacing w:line="345" w:lineRule="exact"/>
        <w:ind w:left="827"/>
      </w:pPr>
      <w:r>
        <w:rPr>
          <w:color w:val="003366"/>
        </w:rPr>
        <w:t>NOTE</w:t>
      </w:r>
      <w:r>
        <w:rPr>
          <w:color w:val="003366"/>
          <w:spacing w:val="-1"/>
        </w:rPr>
        <w:t xml:space="preserve"> </w:t>
      </w:r>
      <w:r>
        <w:rPr>
          <w:color w:val="003366"/>
        </w:rPr>
        <w:t>31.</w:t>
      </w:r>
      <w:r>
        <w:rPr>
          <w:color w:val="003366"/>
        </w:rPr>
        <w:tab/>
        <w:t>PAYABLES –</w:t>
      </w:r>
      <w:r>
        <w:rPr>
          <w:color w:val="003366"/>
          <w:spacing w:val="-8"/>
        </w:rPr>
        <w:t xml:space="preserve"> </w:t>
      </w:r>
      <w:r>
        <w:rPr>
          <w:color w:val="003366"/>
        </w:rPr>
        <w:t>TERRITORIAL</w:t>
      </w:r>
    </w:p>
    <w:p w:rsidR="006C17CB" w:rsidRDefault="006C17CB">
      <w:pPr>
        <w:pStyle w:val="BodyText"/>
        <w:rPr>
          <w:rFonts w:ascii="Calibri"/>
          <w:b/>
          <w:sz w:val="24"/>
        </w:rPr>
      </w:pPr>
    </w:p>
    <w:p w:rsidR="006C17CB" w:rsidRDefault="006C17CB">
      <w:pPr>
        <w:pStyle w:val="BodyText"/>
        <w:rPr>
          <w:rFonts w:ascii="Calibri"/>
          <w:b/>
          <w:sz w:val="18"/>
        </w:rPr>
      </w:pPr>
    </w:p>
    <w:p w:rsidR="006C17CB" w:rsidRDefault="0030091C">
      <w:pPr>
        <w:ind w:left="827"/>
        <w:rPr>
          <w:rFonts w:ascii="Calibri"/>
          <w:b/>
          <w:sz w:val="20"/>
        </w:rPr>
      </w:pPr>
      <w:r>
        <w:rPr>
          <w:rFonts w:ascii="Calibri"/>
          <w:b/>
          <w:color w:val="003366"/>
          <w:sz w:val="20"/>
        </w:rPr>
        <w:t>Current Payables</w:t>
      </w:r>
    </w:p>
    <w:p w:rsidR="006C17CB" w:rsidRDefault="0030091C">
      <w:pPr>
        <w:pStyle w:val="BodyText"/>
        <w:spacing w:before="4"/>
        <w:rPr>
          <w:rFonts w:ascii="Calibri"/>
          <w:b/>
          <w:sz w:val="29"/>
        </w:rPr>
      </w:pPr>
      <w:r>
        <w:br w:type="column"/>
      </w:r>
    </w:p>
    <w:p w:rsidR="006C17CB" w:rsidRDefault="0030091C">
      <w:pPr>
        <w:spacing w:line="265" w:lineRule="exact"/>
        <w:jc w:val="right"/>
        <w:rPr>
          <w:rFonts w:ascii="Calibri"/>
          <w:b/>
          <w:sz w:val="20"/>
        </w:rPr>
      </w:pPr>
      <w:r>
        <w:rPr>
          <w:rFonts w:ascii="Calibri"/>
          <w:b/>
          <w:color w:val="003366"/>
          <w:sz w:val="20"/>
        </w:rPr>
        <w:t>2018</w:t>
      </w:r>
    </w:p>
    <w:p w:rsidR="006C17CB" w:rsidRDefault="0030091C">
      <w:pPr>
        <w:spacing w:line="265" w:lineRule="exact"/>
        <w:jc w:val="right"/>
        <w:rPr>
          <w:rFonts w:ascii="Calibri" w:hAnsi="Calibri"/>
          <w:b/>
          <w:sz w:val="20"/>
        </w:rPr>
      </w:pPr>
      <w:r>
        <w:rPr>
          <w:rFonts w:ascii="Calibri" w:hAnsi="Calibri"/>
          <w:b/>
          <w:color w:val="003366"/>
          <w:sz w:val="20"/>
        </w:rPr>
        <w:t>$’000</w:t>
      </w:r>
    </w:p>
    <w:p w:rsidR="006C17CB" w:rsidRDefault="0030091C">
      <w:pPr>
        <w:pStyle w:val="BodyText"/>
        <w:spacing w:before="4"/>
        <w:rPr>
          <w:rFonts w:ascii="Calibri"/>
          <w:b/>
          <w:sz w:val="29"/>
        </w:rPr>
      </w:pPr>
      <w:r>
        <w:br w:type="column"/>
      </w:r>
    </w:p>
    <w:p w:rsidR="006C17CB" w:rsidRDefault="0030091C">
      <w:pPr>
        <w:spacing w:line="265" w:lineRule="exact"/>
        <w:ind w:left="665"/>
        <w:rPr>
          <w:rFonts w:ascii="Calibri"/>
          <w:b/>
          <w:sz w:val="20"/>
        </w:rPr>
      </w:pPr>
      <w:r>
        <w:rPr>
          <w:rFonts w:ascii="Calibri"/>
          <w:b/>
          <w:color w:val="003366"/>
          <w:sz w:val="20"/>
        </w:rPr>
        <w:t>2017</w:t>
      </w:r>
    </w:p>
    <w:p w:rsidR="006C17CB" w:rsidRDefault="0030091C">
      <w:pPr>
        <w:spacing w:line="265" w:lineRule="exact"/>
        <w:ind w:left="615"/>
        <w:rPr>
          <w:rFonts w:ascii="Calibri" w:hAnsi="Calibri"/>
          <w:b/>
          <w:sz w:val="20"/>
        </w:rPr>
      </w:pPr>
      <w:r>
        <w:rPr>
          <w:rFonts w:ascii="Calibri" w:hAnsi="Calibri"/>
          <w:b/>
          <w:color w:val="003366"/>
          <w:sz w:val="20"/>
        </w:rPr>
        <w:t>$’000</w:t>
      </w:r>
    </w:p>
    <w:p w:rsidR="006C17CB" w:rsidRDefault="006C17CB">
      <w:pPr>
        <w:spacing w:line="265" w:lineRule="exact"/>
        <w:rPr>
          <w:rFonts w:ascii="Calibri" w:hAnsi="Calibri"/>
          <w:sz w:val="20"/>
        </w:rPr>
        <w:sectPr w:rsidR="006C17CB">
          <w:type w:val="continuous"/>
          <w:pgSz w:w="11910" w:h="16840"/>
          <w:pgMar w:top="1580" w:right="0" w:bottom="280" w:left="980" w:header="720" w:footer="720" w:gutter="0"/>
          <w:cols w:num="3" w:space="720" w:equalWidth="0">
            <w:col w:w="4536" w:space="2475"/>
            <w:col w:w="1281" w:space="39"/>
            <w:col w:w="2599"/>
          </w:cols>
        </w:sectPr>
      </w:pPr>
    </w:p>
    <w:p w:rsidR="006C17CB" w:rsidRDefault="0030091C">
      <w:pPr>
        <w:tabs>
          <w:tab w:val="left" w:pos="8091"/>
          <w:tab w:val="right" w:pos="9402"/>
        </w:tabs>
        <w:spacing w:line="282" w:lineRule="exact"/>
        <w:ind w:left="827"/>
        <w:rPr>
          <w:rFonts w:ascii="Calibri"/>
          <w:sz w:val="20"/>
        </w:rPr>
      </w:pPr>
      <w:r>
        <w:rPr>
          <w:rFonts w:ascii="Calibri"/>
          <w:color w:val="003366"/>
          <w:sz w:val="20"/>
        </w:rPr>
        <w:t>Trade</w:t>
      </w:r>
      <w:r>
        <w:rPr>
          <w:rFonts w:ascii="Calibri"/>
          <w:color w:val="003366"/>
          <w:spacing w:val="-3"/>
          <w:sz w:val="20"/>
        </w:rPr>
        <w:t xml:space="preserve"> </w:t>
      </w:r>
      <w:r>
        <w:rPr>
          <w:rFonts w:ascii="Calibri"/>
          <w:color w:val="003366"/>
          <w:sz w:val="20"/>
        </w:rPr>
        <w:t>Payables</w:t>
      </w:r>
      <w:r>
        <w:rPr>
          <w:rFonts w:ascii="Calibri"/>
          <w:color w:val="003366"/>
          <w:sz w:val="20"/>
        </w:rPr>
        <w:tab/>
        <w:t>82</w:t>
      </w:r>
      <w:r>
        <w:rPr>
          <w:rFonts w:ascii="Calibri"/>
          <w:color w:val="003366"/>
          <w:sz w:val="20"/>
        </w:rPr>
        <w:tab/>
        <w:t>34</w:t>
      </w:r>
    </w:p>
    <w:p w:rsidR="006C17CB" w:rsidRDefault="0030091C">
      <w:pPr>
        <w:tabs>
          <w:tab w:val="left" w:pos="7261"/>
          <w:tab w:val="left" w:pos="8091"/>
          <w:tab w:val="left" w:pos="9200"/>
        </w:tabs>
        <w:spacing w:line="287" w:lineRule="exact"/>
        <w:ind w:left="827"/>
        <w:rPr>
          <w:rFonts w:ascii="Calibri"/>
          <w:sz w:val="20"/>
        </w:rPr>
      </w:pPr>
      <w:r>
        <w:rPr>
          <w:rFonts w:ascii="Calibri"/>
          <w:color w:val="003366"/>
          <w:sz w:val="20"/>
        </w:rPr>
        <w:t>Accrued</w:t>
      </w:r>
      <w:r>
        <w:rPr>
          <w:rFonts w:ascii="Calibri"/>
          <w:color w:val="003366"/>
          <w:spacing w:val="-2"/>
          <w:sz w:val="20"/>
        </w:rPr>
        <w:t xml:space="preserve"> </w:t>
      </w:r>
      <w:r>
        <w:rPr>
          <w:rFonts w:ascii="Calibri"/>
          <w:color w:val="003366"/>
          <w:sz w:val="20"/>
        </w:rPr>
        <w:t>Expenses</w:t>
      </w:r>
      <w:r>
        <w:rPr>
          <w:rFonts w:ascii="Calibri"/>
          <w:color w:val="003366"/>
          <w:sz w:val="20"/>
        </w:rPr>
        <w:tab/>
      </w:r>
      <w:r>
        <w:rPr>
          <w:rFonts w:ascii="Calibri"/>
          <w:color w:val="003366"/>
          <w:sz w:val="20"/>
          <w:u w:val="single" w:color="000000"/>
        </w:rPr>
        <w:t xml:space="preserve"> </w:t>
      </w:r>
      <w:r>
        <w:rPr>
          <w:rFonts w:ascii="Calibri"/>
          <w:color w:val="003366"/>
          <w:sz w:val="20"/>
          <w:u w:val="single" w:color="000000"/>
        </w:rPr>
        <w:tab/>
        <w:t>19</w:t>
      </w:r>
      <w:r>
        <w:rPr>
          <w:rFonts w:ascii="Calibri"/>
          <w:color w:val="003366"/>
          <w:sz w:val="20"/>
          <w:u w:val="single" w:color="000000"/>
        </w:rPr>
        <w:tab/>
        <w:t>50</w:t>
      </w:r>
      <w:r>
        <w:rPr>
          <w:rFonts w:ascii="Calibri"/>
          <w:color w:val="003366"/>
          <w:spacing w:val="18"/>
          <w:sz w:val="20"/>
          <w:u w:val="single" w:color="000000"/>
        </w:rPr>
        <w:t xml:space="preserve"> </w:t>
      </w:r>
    </w:p>
    <w:p w:rsidR="006C17CB" w:rsidRDefault="0030091C">
      <w:pPr>
        <w:tabs>
          <w:tab w:val="left" w:pos="7261"/>
          <w:tab w:val="left" w:pos="7988"/>
          <w:tab w:val="left" w:pos="9200"/>
        </w:tabs>
        <w:spacing w:before="4"/>
        <w:ind w:left="827"/>
        <w:rPr>
          <w:rFonts w:ascii="Calibri"/>
          <w:b/>
          <w:sz w:val="20"/>
        </w:rPr>
      </w:pPr>
      <w:r>
        <w:rPr>
          <w:rFonts w:ascii="Calibri"/>
          <w:b/>
          <w:color w:val="003366"/>
          <w:sz w:val="20"/>
        </w:rPr>
        <w:t>Total</w:t>
      </w:r>
      <w:r>
        <w:rPr>
          <w:rFonts w:ascii="Calibri"/>
          <w:b/>
          <w:color w:val="003366"/>
          <w:spacing w:val="-3"/>
          <w:sz w:val="20"/>
        </w:rPr>
        <w:t xml:space="preserve"> </w:t>
      </w:r>
      <w:r>
        <w:rPr>
          <w:rFonts w:ascii="Calibri"/>
          <w:b/>
          <w:color w:val="003366"/>
          <w:sz w:val="20"/>
        </w:rPr>
        <w:t>Current</w:t>
      </w:r>
      <w:r>
        <w:rPr>
          <w:rFonts w:ascii="Calibri"/>
          <w:b/>
          <w:color w:val="003366"/>
          <w:spacing w:val="-2"/>
          <w:sz w:val="20"/>
        </w:rPr>
        <w:t xml:space="preserve"> </w:t>
      </w:r>
      <w:r>
        <w:rPr>
          <w:rFonts w:ascii="Calibri"/>
          <w:b/>
          <w:color w:val="003366"/>
          <w:sz w:val="20"/>
        </w:rPr>
        <w:t>Payables</w:t>
      </w:r>
      <w:r>
        <w:rPr>
          <w:rFonts w:ascii="Calibri"/>
          <w:b/>
          <w:color w:val="003366"/>
          <w:sz w:val="20"/>
        </w:rPr>
        <w:tab/>
      </w:r>
      <w:r>
        <w:rPr>
          <w:rFonts w:ascii="Calibri"/>
          <w:b/>
          <w:color w:val="003366"/>
          <w:sz w:val="20"/>
          <w:u w:val="single" w:color="000000"/>
        </w:rPr>
        <w:t xml:space="preserve"> </w:t>
      </w:r>
      <w:r>
        <w:rPr>
          <w:rFonts w:ascii="Calibri"/>
          <w:b/>
          <w:color w:val="003366"/>
          <w:sz w:val="20"/>
          <w:u w:val="single" w:color="000000"/>
        </w:rPr>
        <w:tab/>
        <w:t>101</w:t>
      </w:r>
      <w:r>
        <w:rPr>
          <w:rFonts w:ascii="Calibri"/>
          <w:b/>
          <w:color w:val="003366"/>
          <w:sz w:val="20"/>
          <w:u w:val="single" w:color="000000"/>
        </w:rPr>
        <w:tab/>
        <w:t>84</w:t>
      </w:r>
      <w:r>
        <w:rPr>
          <w:rFonts w:ascii="Calibri"/>
          <w:b/>
          <w:color w:val="003366"/>
          <w:spacing w:val="18"/>
          <w:sz w:val="20"/>
          <w:u w:val="single" w:color="000000"/>
        </w:rPr>
        <w:t xml:space="preserve"> </w:t>
      </w:r>
    </w:p>
    <w:p w:rsidR="006C17CB" w:rsidRDefault="0030091C">
      <w:pPr>
        <w:spacing w:before="202" w:line="287" w:lineRule="exact"/>
        <w:ind w:left="827"/>
        <w:rPr>
          <w:rFonts w:ascii="Calibri"/>
          <w:sz w:val="20"/>
        </w:rPr>
      </w:pPr>
      <w:r>
        <w:rPr>
          <w:rFonts w:ascii="Calibri"/>
          <w:color w:val="003366"/>
          <w:sz w:val="20"/>
        </w:rPr>
        <w:t>Payables are aged as follows:</w:t>
      </w:r>
    </w:p>
    <w:p w:rsidR="006C17CB" w:rsidRDefault="0030091C">
      <w:pPr>
        <w:tabs>
          <w:tab w:val="left" w:pos="7261"/>
          <w:tab w:val="left" w:pos="7988"/>
          <w:tab w:val="left" w:pos="9200"/>
        </w:tabs>
        <w:spacing w:line="287" w:lineRule="exact"/>
        <w:ind w:left="827"/>
        <w:rPr>
          <w:rFonts w:ascii="Calibri"/>
          <w:sz w:val="20"/>
        </w:rPr>
      </w:pPr>
      <w:r>
        <w:rPr>
          <w:rFonts w:ascii="Calibri"/>
          <w:color w:val="003366"/>
          <w:sz w:val="20"/>
        </w:rPr>
        <w:t>Not</w:t>
      </w:r>
      <w:r>
        <w:rPr>
          <w:rFonts w:ascii="Calibri"/>
          <w:color w:val="003366"/>
          <w:spacing w:val="-2"/>
          <w:sz w:val="20"/>
        </w:rPr>
        <w:t xml:space="preserve"> </w:t>
      </w:r>
      <w:r>
        <w:rPr>
          <w:rFonts w:ascii="Calibri"/>
          <w:color w:val="003366"/>
          <w:sz w:val="20"/>
        </w:rPr>
        <w:t>Overdue</w:t>
      </w:r>
      <w:r>
        <w:rPr>
          <w:rFonts w:ascii="Calibri"/>
          <w:color w:val="003366"/>
          <w:sz w:val="20"/>
        </w:rPr>
        <w:tab/>
      </w:r>
      <w:r>
        <w:rPr>
          <w:rFonts w:ascii="Calibri"/>
          <w:color w:val="003366"/>
          <w:sz w:val="20"/>
          <w:u w:val="single" w:color="000000"/>
        </w:rPr>
        <w:t xml:space="preserve"> </w:t>
      </w:r>
      <w:r>
        <w:rPr>
          <w:rFonts w:ascii="Calibri"/>
          <w:color w:val="003366"/>
          <w:sz w:val="20"/>
          <w:u w:val="single" w:color="000000"/>
        </w:rPr>
        <w:tab/>
        <w:t>101</w:t>
      </w:r>
      <w:r>
        <w:rPr>
          <w:rFonts w:ascii="Calibri"/>
          <w:color w:val="003366"/>
          <w:sz w:val="20"/>
          <w:u w:val="single" w:color="000000"/>
        </w:rPr>
        <w:tab/>
        <w:t>84</w:t>
      </w:r>
      <w:r>
        <w:rPr>
          <w:rFonts w:ascii="Calibri"/>
          <w:color w:val="003366"/>
          <w:spacing w:val="18"/>
          <w:sz w:val="20"/>
          <w:u w:val="single" w:color="000000"/>
        </w:rPr>
        <w:t xml:space="preserve"> </w:t>
      </w:r>
    </w:p>
    <w:p w:rsidR="006C17CB" w:rsidRDefault="0030091C">
      <w:pPr>
        <w:tabs>
          <w:tab w:val="left" w:pos="7988"/>
          <w:tab w:val="left" w:pos="9200"/>
        </w:tabs>
        <w:spacing w:before="4"/>
        <w:ind w:left="827"/>
        <w:rPr>
          <w:rFonts w:ascii="Calibri"/>
          <w:b/>
          <w:sz w:val="20"/>
        </w:rPr>
      </w:pPr>
      <w:r>
        <w:rPr>
          <w:rFonts w:ascii="Calibri"/>
          <w:b/>
          <w:color w:val="003366"/>
          <w:sz w:val="20"/>
        </w:rPr>
        <w:t>Total</w:t>
      </w:r>
      <w:r>
        <w:rPr>
          <w:rFonts w:ascii="Calibri"/>
          <w:b/>
          <w:color w:val="003366"/>
          <w:spacing w:val="-3"/>
          <w:sz w:val="20"/>
        </w:rPr>
        <w:t xml:space="preserve"> </w:t>
      </w:r>
      <w:r>
        <w:rPr>
          <w:rFonts w:ascii="Calibri"/>
          <w:b/>
          <w:color w:val="003366"/>
          <w:sz w:val="20"/>
        </w:rPr>
        <w:t>Payables</w:t>
      </w:r>
      <w:r>
        <w:rPr>
          <w:rFonts w:ascii="Calibri"/>
          <w:b/>
          <w:color w:val="003366"/>
          <w:sz w:val="20"/>
        </w:rPr>
        <w:tab/>
        <w:t>101</w:t>
      </w:r>
      <w:r>
        <w:rPr>
          <w:rFonts w:ascii="Calibri"/>
          <w:b/>
          <w:color w:val="003366"/>
          <w:sz w:val="20"/>
        </w:rPr>
        <w:tab/>
        <w:t>84</w:t>
      </w:r>
    </w:p>
    <w:p w:rsidR="006C17CB" w:rsidRDefault="00FE24A7">
      <w:pPr>
        <w:pStyle w:val="BodyText"/>
        <w:spacing w:line="29" w:lineRule="exact"/>
        <w:ind w:left="7256"/>
        <w:rPr>
          <w:rFonts w:ascii="Calibri"/>
          <w:sz w:val="2"/>
        </w:rPr>
      </w:pPr>
      <w:r>
        <w:rPr>
          <w:rFonts w:ascii="Calibri"/>
          <w:sz w:val="2"/>
        </w:rPr>
      </w:r>
      <w:r>
        <w:rPr>
          <w:rFonts w:ascii="Calibri"/>
          <w:sz w:val="2"/>
        </w:rPr>
        <w:pict>
          <v:group id="_x0000_s1060" alt="" style="width:112.6pt;height:1.45pt;mso-position-horizontal-relative:char;mso-position-vertical-relative:line" coordsize="2252,29">
            <v:line id="_x0000_s1061" alt="" style="position:absolute" from="0,5" to="1140,5" strokecolor="#036" strokeweight=".16969mm"/>
            <v:line id="_x0000_s1062" alt="" style="position:absolute" from="0,24" to="1140,24" strokecolor="#036" strokeweight=".48pt"/>
            <v:rect id="_x0000_s1063" alt="" style="position:absolute;left:1140;width:29;height:10" fillcolor="#036" stroked="f"/>
            <v:rect id="_x0000_s1064" alt="" style="position:absolute;left:1140;top:19;width:29;height:10" fillcolor="#036" stroked="f"/>
            <v:line id="_x0000_s1065" alt="" style="position:absolute" from="1169,5" to="2251,5" strokecolor="#036" strokeweight=".16969mm"/>
            <v:line id="_x0000_s1066" alt="" style="position:absolute" from="1169,24" to="2251,24" strokecolor="#036" strokeweight=".48pt"/>
            <w10:anchorlock/>
          </v:group>
        </w:pict>
      </w:r>
    </w:p>
    <w:p w:rsidR="006C17CB" w:rsidRDefault="006C17CB">
      <w:pPr>
        <w:pStyle w:val="BodyText"/>
        <w:rPr>
          <w:rFonts w:ascii="Calibri"/>
          <w:b/>
          <w:sz w:val="16"/>
        </w:rPr>
      </w:pPr>
    </w:p>
    <w:p w:rsidR="006C17CB" w:rsidRDefault="0030091C">
      <w:pPr>
        <w:spacing w:line="287" w:lineRule="exact"/>
        <w:ind w:left="827"/>
        <w:rPr>
          <w:rFonts w:ascii="Calibri"/>
          <w:b/>
          <w:sz w:val="20"/>
        </w:rPr>
      </w:pPr>
      <w:r>
        <w:rPr>
          <w:rFonts w:ascii="Calibri"/>
          <w:b/>
          <w:color w:val="003366"/>
          <w:sz w:val="20"/>
        </w:rPr>
        <w:t>Payables with ACT Government Entities</w:t>
      </w:r>
    </w:p>
    <w:p w:rsidR="006C17CB" w:rsidRDefault="0030091C">
      <w:pPr>
        <w:tabs>
          <w:tab w:val="left" w:pos="7261"/>
          <w:tab w:val="left" w:pos="8091"/>
          <w:tab w:val="left" w:pos="9339"/>
        </w:tabs>
        <w:spacing w:line="287" w:lineRule="exact"/>
        <w:ind w:left="827"/>
        <w:rPr>
          <w:rFonts w:ascii="Calibri"/>
          <w:sz w:val="20"/>
        </w:rPr>
      </w:pPr>
      <w:r>
        <w:rPr>
          <w:rFonts w:ascii="Calibri"/>
          <w:color w:val="003366"/>
          <w:sz w:val="20"/>
        </w:rPr>
        <w:t>Accrued</w:t>
      </w:r>
      <w:r>
        <w:rPr>
          <w:rFonts w:ascii="Calibri"/>
          <w:color w:val="003366"/>
          <w:spacing w:val="-2"/>
          <w:sz w:val="20"/>
        </w:rPr>
        <w:t xml:space="preserve"> </w:t>
      </w:r>
      <w:r>
        <w:rPr>
          <w:rFonts w:ascii="Calibri"/>
          <w:color w:val="003366"/>
          <w:sz w:val="20"/>
        </w:rPr>
        <w:t>Expenses</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12</w:t>
      </w:r>
      <w:r>
        <w:rPr>
          <w:rFonts w:ascii="Calibri"/>
          <w:color w:val="003366"/>
          <w:sz w:val="20"/>
          <w:u w:val="single" w:color="003366"/>
        </w:rPr>
        <w:tab/>
        <w:t>-</w:t>
      </w:r>
      <w:r>
        <w:rPr>
          <w:rFonts w:ascii="Calibri"/>
          <w:color w:val="003366"/>
          <w:spacing w:val="20"/>
          <w:sz w:val="20"/>
          <w:u w:val="single" w:color="003366"/>
        </w:rPr>
        <w:t xml:space="preserve"> </w:t>
      </w:r>
    </w:p>
    <w:p w:rsidR="006C17CB" w:rsidRDefault="0030091C">
      <w:pPr>
        <w:tabs>
          <w:tab w:val="left" w:pos="7261"/>
          <w:tab w:val="left" w:pos="8091"/>
          <w:tab w:val="left" w:pos="9339"/>
        </w:tabs>
        <w:ind w:left="827"/>
        <w:rPr>
          <w:rFonts w:ascii="Calibri"/>
          <w:b/>
          <w:sz w:val="20"/>
        </w:rPr>
      </w:pPr>
      <w:r>
        <w:rPr>
          <w:rFonts w:ascii="Calibri"/>
          <w:b/>
          <w:color w:val="003366"/>
          <w:sz w:val="20"/>
        </w:rPr>
        <w:t>Total Payables with ACT</w:t>
      </w:r>
      <w:r>
        <w:rPr>
          <w:rFonts w:ascii="Calibri"/>
          <w:b/>
          <w:color w:val="003366"/>
          <w:spacing w:val="-7"/>
          <w:sz w:val="20"/>
        </w:rPr>
        <w:t xml:space="preserve"> </w:t>
      </w:r>
      <w:r>
        <w:rPr>
          <w:rFonts w:ascii="Calibri"/>
          <w:b/>
          <w:color w:val="003366"/>
          <w:sz w:val="20"/>
        </w:rPr>
        <w:t>Government</w:t>
      </w:r>
      <w:r>
        <w:rPr>
          <w:rFonts w:ascii="Calibri"/>
          <w:b/>
          <w:color w:val="003366"/>
          <w:spacing w:val="-2"/>
          <w:sz w:val="20"/>
        </w:rPr>
        <w:t xml:space="preserve"> </w:t>
      </w:r>
      <w:r>
        <w:rPr>
          <w:rFonts w:ascii="Calibri"/>
          <w:b/>
          <w:color w:val="003366"/>
          <w:sz w:val="20"/>
        </w:rPr>
        <w:t>Entities</w:t>
      </w:r>
      <w:r>
        <w:rPr>
          <w:rFonts w:ascii="Calibri"/>
          <w:b/>
          <w:color w:val="003366"/>
          <w:sz w:val="20"/>
        </w:rPr>
        <w:tab/>
      </w:r>
      <w:r>
        <w:rPr>
          <w:rFonts w:ascii="Calibri"/>
          <w:b/>
          <w:color w:val="003366"/>
          <w:sz w:val="20"/>
          <w:u w:val="single" w:color="003366"/>
        </w:rPr>
        <w:t xml:space="preserve"> </w:t>
      </w:r>
      <w:r>
        <w:rPr>
          <w:rFonts w:ascii="Calibri"/>
          <w:b/>
          <w:color w:val="003366"/>
          <w:sz w:val="20"/>
          <w:u w:val="single" w:color="003366"/>
        </w:rPr>
        <w:tab/>
        <w:t>12</w:t>
      </w:r>
      <w:r>
        <w:rPr>
          <w:rFonts w:ascii="Calibri"/>
          <w:b/>
          <w:color w:val="003366"/>
          <w:sz w:val="20"/>
          <w:u w:val="single" w:color="003366"/>
        </w:rPr>
        <w:tab/>
        <w:t>-</w:t>
      </w:r>
      <w:r>
        <w:rPr>
          <w:rFonts w:ascii="Calibri"/>
          <w:b/>
          <w:color w:val="003366"/>
          <w:spacing w:val="20"/>
          <w:sz w:val="20"/>
          <w:u w:val="single" w:color="003366"/>
        </w:rPr>
        <w:t xml:space="preserve"> </w:t>
      </w:r>
    </w:p>
    <w:p w:rsidR="006C17CB" w:rsidRDefault="006C17CB">
      <w:pPr>
        <w:pStyle w:val="BodyText"/>
        <w:spacing w:before="6"/>
        <w:rPr>
          <w:rFonts w:ascii="Calibri"/>
          <w:b/>
          <w:sz w:val="15"/>
        </w:rPr>
      </w:pPr>
    </w:p>
    <w:p w:rsidR="006C17CB" w:rsidRDefault="0030091C">
      <w:pPr>
        <w:spacing w:before="15" w:line="286" w:lineRule="exact"/>
        <w:ind w:left="827"/>
        <w:rPr>
          <w:rFonts w:ascii="Calibri"/>
          <w:b/>
          <w:sz w:val="20"/>
        </w:rPr>
      </w:pPr>
      <w:r>
        <w:rPr>
          <w:rFonts w:ascii="Calibri"/>
          <w:b/>
          <w:color w:val="003366"/>
          <w:sz w:val="20"/>
        </w:rPr>
        <w:t>Payables with Non-ACT Government Entities</w:t>
      </w:r>
    </w:p>
    <w:p w:rsidR="006C17CB" w:rsidRDefault="0030091C">
      <w:pPr>
        <w:tabs>
          <w:tab w:val="left" w:pos="8091"/>
          <w:tab w:val="right" w:pos="9402"/>
        </w:tabs>
        <w:spacing w:line="283" w:lineRule="exact"/>
        <w:ind w:left="827"/>
        <w:rPr>
          <w:rFonts w:ascii="Calibri"/>
          <w:sz w:val="20"/>
        </w:rPr>
      </w:pPr>
      <w:r>
        <w:rPr>
          <w:rFonts w:ascii="Calibri"/>
          <w:color w:val="003366"/>
          <w:sz w:val="20"/>
        </w:rPr>
        <w:t>Trade</w:t>
      </w:r>
      <w:r>
        <w:rPr>
          <w:rFonts w:ascii="Calibri"/>
          <w:color w:val="003366"/>
          <w:spacing w:val="-3"/>
          <w:sz w:val="20"/>
        </w:rPr>
        <w:t xml:space="preserve"> </w:t>
      </w:r>
      <w:r>
        <w:rPr>
          <w:rFonts w:ascii="Calibri"/>
          <w:color w:val="003366"/>
          <w:sz w:val="20"/>
        </w:rPr>
        <w:t>Payables</w:t>
      </w:r>
      <w:r>
        <w:rPr>
          <w:rFonts w:ascii="Calibri"/>
          <w:color w:val="003366"/>
          <w:sz w:val="20"/>
        </w:rPr>
        <w:tab/>
        <w:t>82</w:t>
      </w:r>
      <w:r>
        <w:rPr>
          <w:rFonts w:ascii="Calibri"/>
          <w:color w:val="003366"/>
          <w:sz w:val="20"/>
        </w:rPr>
        <w:tab/>
        <w:t>34</w:t>
      </w:r>
    </w:p>
    <w:p w:rsidR="006C17CB" w:rsidRDefault="0030091C">
      <w:pPr>
        <w:tabs>
          <w:tab w:val="left" w:pos="7261"/>
          <w:tab w:val="left" w:pos="8192"/>
          <w:tab w:val="left" w:pos="9200"/>
        </w:tabs>
        <w:spacing w:line="286" w:lineRule="exact"/>
        <w:ind w:left="827"/>
        <w:rPr>
          <w:rFonts w:ascii="Calibri"/>
          <w:sz w:val="20"/>
        </w:rPr>
      </w:pPr>
      <w:r>
        <w:rPr>
          <w:rFonts w:ascii="Calibri"/>
          <w:color w:val="003366"/>
          <w:sz w:val="20"/>
        </w:rPr>
        <w:t>Accrued</w:t>
      </w:r>
      <w:r>
        <w:rPr>
          <w:rFonts w:ascii="Calibri"/>
          <w:color w:val="003366"/>
          <w:spacing w:val="-2"/>
          <w:sz w:val="20"/>
        </w:rPr>
        <w:t xml:space="preserve"> </w:t>
      </w:r>
      <w:r>
        <w:rPr>
          <w:rFonts w:ascii="Calibri"/>
          <w:color w:val="003366"/>
          <w:sz w:val="20"/>
        </w:rPr>
        <w:t>Expenses</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7</w:t>
      </w:r>
      <w:r>
        <w:rPr>
          <w:rFonts w:ascii="Calibri"/>
          <w:color w:val="003366"/>
          <w:sz w:val="20"/>
          <w:u w:val="single" w:color="003366"/>
        </w:rPr>
        <w:tab/>
        <w:t>50</w:t>
      </w:r>
      <w:r>
        <w:rPr>
          <w:rFonts w:ascii="Calibri"/>
          <w:color w:val="003366"/>
          <w:spacing w:val="18"/>
          <w:sz w:val="20"/>
          <w:u w:val="single" w:color="003366"/>
        </w:rPr>
        <w:t xml:space="preserve"> </w:t>
      </w:r>
    </w:p>
    <w:p w:rsidR="006C17CB" w:rsidRDefault="0030091C">
      <w:pPr>
        <w:tabs>
          <w:tab w:val="left" w:pos="7261"/>
          <w:tab w:val="left" w:pos="8091"/>
          <w:tab w:val="left" w:pos="9200"/>
        </w:tabs>
        <w:spacing w:before="2"/>
        <w:ind w:left="827"/>
        <w:rPr>
          <w:rFonts w:ascii="Calibri"/>
          <w:b/>
          <w:sz w:val="20"/>
        </w:rPr>
      </w:pPr>
      <w:r>
        <w:rPr>
          <w:rFonts w:ascii="Calibri"/>
          <w:b/>
          <w:color w:val="003366"/>
          <w:sz w:val="20"/>
        </w:rPr>
        <w:t>Total Payables with Non-ACT</w:t>
      </w:r>
      <w:r>
        <w:rPr>
          <w:rFonts w:ascii="Calibri"/>
          <w:b/>
          <w:color w:val="003366"/>
          <w:spacing w:val="-10"/>
          <w:sz w:val="20"/>
        </w:rPr>
        <w:t xml:space="preserve"> </w:t>
      </w:r>
      <w:r>
        <w:rPr>
          <w:rFonts w:ascii="Calibri"/>
          <w:b/>
          <w:color w:val="003366"/>
          <w:sz w:val="20"/>
        </w:rPr>
        <w:t>Government</w:t>
      </w:r>
      <w:r>
        <w:rPr>
          <w:rFonts w:ascii="Calibri"/>
          <w:b/>
          <w:color w:val="003366"/>
          <w:spacing w:val="-3"/>
          <w:sz w:val="20"/>
        </w:rPr>
        <w:t xml:space="preserve"> </w:t>
      </w:r>
      <w:r>
        <w:rPr>
          <w:rFonts w:ascii="Calibri"/>
          <w:b/>
          <w:color w:val="003366"/>
          <w:sz w:val="20"/>
        </w:rPr>
        <w:t>Entities</w:t>
      </w:r>
      <w:r>
        <w:rPr>
          <w:rFonts w:ascii="Calibri"/>
          <w:b/>
          <w:color w:val="003366"/>
          <w:sz w:val="20"/>
        </w:rPr>
        <w:tab/>
      </w:r>
      <w:r>
        <w:rPr>
          <w:rFonts w:ascii="Calibri"/>
          <w:b/>
          <w:color w:val="003366"/>
          <w:sz w:val="20"/>
          <w:u w:val="single" w:color="003366"/>
        </w:rPr>
        <w:t xml:space="preserve"> </w:t>
      </w:r>
      <w:r>
        <w:rPr>
          <w:rFonts w:ascii="Calibri"/>
          <w:b/>
          <w:color w:val="003366"/>
          <w:sz w:val="20"/>
          <w:u w:val="single" w:color="003366"/>
        </w:rPr>
        <w:tab/>
        <w:t>89</w:t>
      </w:r>
      <w:r>
        <w:rPr>
          <w:rFonts w:ascii="Calibri"/>
          <w:b/>
          <w:color w:val="003366"/>
          <w:sz w:val="20"/>
          <w:u w:val="single" w:color="003366"/>
        </w:rPr>
        <w:tab/>
        <w:t>84</w:t>
      </w:r>
      <w:r>
        <w:rPr>
          <w:rFonts w:ascii="Calibri"/>
          <w:b/>
          <w:color w:val="003366"/>
          <w:spacing w:val="18"/>
          <w:sz w:val="20"/>
          <w:u w:val="single" w:color="003366"/>
        </w:rPr>
        <w:t xml:space="preserve"> </w:t>
      </w:r>
    </w:p>
    <w:p w:rsidR="006C17CB" w:rsidRDefault="00FE24A7">
      <w:pPr>
        <w:tabs>
          <w:tab w:val="left" w:pos="7988"/>
          <w:tab w:val="right" w:pos="9402"/>
        </w:tabs>
        <w:spacing w:before="206"/>
        <w:ind w:left="827"/>
        <w:rPr>
          <w:rFonts w:ascii="Calibri"/>
          <w:b/>
          <w:sz w:val="20"/>
        </w:rPr>
      </w:pPr>
      <w:r>
        <w:pict>
          <v:group id="_x0000_s1056" alt="" style="position:absolute;left:0;text-align:left;margin-left:412.1pt;margin-top:10.05pt;width:112.6pt;height:.5pt;z-index:3328;mso-position-horizontal-relative:page" coordorigin="8242,201" coordsize="2252,10">
            <v:line id="_x0000_s1057" alt="" style="position:absolute" from="8242,205" to="9382,205" strokeweight=".48pt"/>
            <v:rect id="_x0000_s1058" alt="" style="position:absolute;left:9381;top:200;width:10;height:10" fillcolor="black" stroked="f"/>
            <v:line id="_x0000_s1059" alt="" style="position:absolute" from="9391,205" to="10493,205" strokeweight=".48pt"/>
            <w10:wrap anchorx="page"/>
          </v:group>
        </w:pict>
      </w:r>
      <w:r w:rsidR="0030091C">
        <w:rPr>
          <w:rFonts w:ascii="Calibri"/>
          <w:b/>
          <w:color w:val="003366"/>
          <w:sz w:val="20"/>
        </w:rPr>
        <w:t>Total</w:t>
      </w:r>
      <w:r w:rsidR="0030091C">
        <w:rPr>
          <w:rFonts w:ascii="Calibri"/>
          <w:b/>
          <w:color w:val="003366"/>
          <w:spacing w:val="-3"/>
          <w:sz w:val="20"/>
        </w:rPr>
        <w:t xml:space="preserve"> </w:t>
      </w:r>
      <w:r w:rsidR="0030091C">
        <w:rPr>
          <w:rFonts w:ascii="Calibri"/>
          <w:b/>
          <w:color w:val="003366"/>
          <w:sz w:val="20"/>
        </w:rPr>
        <w:t>Payables</w:t>
      </w:r>
      <w:r w:rsidR="0030091C">
        <w:rPr>
          <w:rFonts w:ascii="Calibri"/>
          <w:b/>
          <w:color w:val="003366"/>
          <w:sz w:val="20"/>
        </w:rPr>
        <w:tab/>
        <w:t>101</w:t>
      </w:r>
      <w:r w:rsidR="0030091C">
        <w:rPr>
          <w:rFonts w:ascii="Calibri"/>
          <w:b/>
          <w:color w:val="003366"/>
          <w:sz w:val="20"/>
        </w:rPr>
        <w:tab/>
        <w:t>84</w:t>
      </w:r>
    </w:p>
    <w:p w:rsidR="006C17CB" w:rsidRDefault="00FE24A7">
      <w:pPr>
        <w:pStyle w:val="BodyText"/>
        <w:spacing w:line="29" w:lineRule="exact"/>
        <w:ind w:left="7256"/>
        <w:rPr>
          <w:rFonts w:ascii="Calibri"/>
          <w:sz w:val="2"/>
        </w:rPr>
      </w:pPr>
      <w:r>
        <w:rPr>
          <w:rFonts w:ascii="Calibri"/>
          <w:sz w:val="2"/>
        </w:rPr>
      </w:r>
      <w:r>
        <w:rPr>
          <w:rFonts w:ascii="Calibri"/>
          <w:sz w:val="2"/>
        </w:rPr>
        <w:pict>
          <v:group id="_x0000_s1049" alt="" style="width:112.6pt;height:1.45pt;mso-position-horizontal-relative:char;mso-position-vertical-relative:line" coordsize="2252,29">
            <v:line id="_x0000_s1050" alt="" style="position:absolute" from="0,5" to="1140,5" strokecolor="#036" strokeweight=".16969mm"/>
            <v:line id="_x0000_s1051" alt="" style="position:absolute" from="0,24" to="1140,24" strokecolor="#036" strokeweight=".16969mm"/>
            <v:rect id="_x0000_s1052" alt="" style="position:absolute;left:1140;width:29;height:10" fillcolor="#036" stroked="f"/>
            <v:rect id="_x0000_s1053" alt="" style="position:absolute;left:1140;top:19;width:29;height:10" fillcolor="#036" stroked="f"/>
            <v:line id="_x0000_s1054" alt="" style="position:absolute" from="1169,5" to="2251,5" strokecolor="#036" strokeweight=".16969mm"/>
            <v:line id="_x0000_s1055" alt="" style="position:absolute" from="1169,24" to="2251,24" strokecolor="#036" strokeweight=".16969mm"/>
            <w10:anchorlock/>
          </v:group>
        </w:pict>
      </w:r>
    </w:p>
    <w:p w:rsidR="006C17CB" w:rsidRDefault="006C17CB">
      <w:pPr>
        <w:pStyle w:val="BodyText"/>
        <w:rPr>
          <w:rFonts w:ascii="Calibri"/>
          <w:b/>
          <w:sz w:val="21"/>
        </w:rPr>
      </w:pPr>
    </w:p>
    <w:p w:rsidR="006C17CB" w:rsidRDefault="0030091C">
      <w:pPr>
        <w:pStyle w:val="Heading6"/>
        <w:tabs>
          <w:tab w:val="left" w:pos="1959"/>
        </w:tabs>
        <w:spacing w:before="1"/>
        <w:ind w:left="827"/>
      </w:pPr>
      <w:r>
        <w:rPr>
          <w:color w:val="003366"/>
        </w:rPr>
        <w:t>NOTE</w:t>
      </w:r>
      <w:r>
        <w:rPr>
          <w:color w:val="003366"/>
          <w:spacing w:val="-1"/>
        </w:rPr>
        <w:t xml:space="preserve"> </w:t>
      </w:r>
      <w:r>
        <w:rPr>
          <w:color w:val="003366"/>
        </w:rPr>
        <w:t>32.</w:t>
      </w:r>
      <w:r>
        <w:rPr>
          <w:color w:val="003366"/>
        </w:rPr>
        <w:tab/>
        <w:t>EMPLOYEE BENEFITS –</w:t>
      </w:r>
      <w:r>
        <w:rPr>
          <w:color w:val="003366"/>
          <w:spacing w:val="-1"/>
        </w:rPr>
        <w:t xml:space="preserve"> </w:t>
      </w:r>
      <w:r>
        <w:rPr>
          <w:color w:val="003366"/>
        </w:rPr>
        <w:t>TERRITORIAL</w:t>
      </w:r>
    </w:p>
    <w:p w:rsidR="006C17CB" w:rsidRDefault="0030091C">
      <w:pPr>
        <w:spacing w:before="195"/>
        <w:ind w:left="827"/>
        <w:rPr>
          <w:rFonts w:ascii="Calibri" w:hAnsi="Calibri"/>
          <w:i/>
          <w:sz w:val="20"/>
        </w:rPr>
      </w:pPr>
      <w:r>
        <w:rPr>
          <w:rFonts w:ascii="Calibri" w:hAnsi="Calibri"/>
          <w:i/>
          <w:color w:val="003366"/>
          <w:sz w:val="20"/>
        </w:rPr>
        <w:t>Annual and Long Service Leave – Legislative Assembly members’ staff</w:t>
      </w:r>
    </w:p>
    <w:p w:rsidR="006C17CB" w:rsidRDefault="0030091C">
      <w:pPr>
        <w:spacing w:before="112" w:line="204" w:lineRule="auto"/>
        <w:ind w:left="826" w:right="1517"/>
        <w:jc w:val="both"/>
        <w:rPr>
          <w:rFonts w:ascii="Calibri" w:hAnsi="Calibri"/>
          <w:sz w:val="20"/>
        </w:rPr>
      </w:pPr>
      <w:r>
        <w:rPr>
          <w:rFonts w:ascii="Calibri" w:hAnsi="Calibri"/>
          <w:color w:val="003366"/>
          <w:sz w:val="20"/>
        </w:rPr>
        <w:t xml:space="preserve">Legislative Assembly members’ staff are employed under the </w:t>
      </w:r>
      <w:r>
        <w:rPr>
          <w:rFonts w:ascii="Calibri" w:hAnsi="Calibri"/>
          <w:i/>
          <w:color w:val="003366"/>
          <w:sz w:val="20"/>
        </w:rPr>
        <w:t>ACT Legislative Assembly Members’ Staff Enterprise Agreement 2013-2018</w:t>
      </w:r>
      <w:r>
        <w:rPr>
          <w:rFonts w:ascii="Calibri" w:hAnsi="Calibri"/>
          <w:color w:val="003366"/>
          <w:sz w:val="20"/>
        </w:rPr>
        <w:t xml:space="preserve">. Entitlements under this Agreement are the same as those for Office staff, therefore the accounting policy in Note 17 </w:t>
      </w:r>
      <w:r>
        <w:rPr>
          <w:rFonts w:ascii="Calibri" w:hAnsi="Calibri"/>
          <w:i/>
          <w:color w:val="003366"/>
          <w:sz w:val="20"/>
        </w:rPr>
        <w:t xml:space="preserve">Employee Benefits </w:t>
      </w:r>
      <w:r>
        <w:rPr>
          <w:rFonts w:ascii="Calibri" w:hAnsi="Calibri"/>
          <w:color w:val="003366"/>
          <w:sz w:val="20"/>
        </w:rPr>
        <w:t>applies equally to members’ staff.</w:t>
      </w:r>
    </w:p>
    <w:p w:rsidR="006C17CB" w:rsidRDefault="0030091C">
      <w:pPr>
        <w:spacing w:before="117" w:line="204" w:lineRule="auto"/>
        <w:ind w:left="826" w:right="1518"/>
        <w:jc w:val="both"/>
        <w:rPr>
          <w:rFonts w:ascii="Calibri" w:hAnsi="Calibri"/>
          <w:sz w:val="20"/>
        </w:rPr>
      </w:pPr>
      <w:r>
        <w:rPr>
          <w:rFonts w:ascii="Calibri" w:hAnsi="Calibri"/>
          <w:color w:val="003366"/>
          <w:sz w:val="20"/>
        </w:rPr>
        <w:t>Under</w:t>
      </w:r>
      <w:r>
        <w:rPr>
          <w:rFonts w:ascii="Calibri" w:hAnsi="Calibri"/>
          <w:color w:val="003366"/>
          <w:spacing w:val="-14"/>
          <w:sz w:val="20"/>
        </w:rPr>
        <w:t xml:space="preserve"> </w:t>
      </w:r>
      <w:r>
        <w:rPr>
          <w:rFonts w:ascii="Calibri" w:hAnsi="Calibri"/>
          <w:color w:val="003366"/>
          <w:sz w:val="20"/>
        </w:rPr>
        <w:t>the</w:t>
      </w:r>
      <w:r>
        <w:rPr>
          <w:rFonts w:ascii="Calibri" w:hAnsi="Calibri"/>
          <w:color w:val="003366"/>
          <w:spacing w:val="-12"/>
          <w:sz w:val="20"/>
        </w:rPr>
        <w:t xml:space="preserve"> </w:t>
      </w:r>
      <w:r>
        <w:rPr>
          <w:rFonts w:ascii="Calibri" w:hAnsi="Calibri"/>
          <w:i/>
          <w:color w:val="003366"/>
          <w:sz w:val="20"/>
        </w:rPr>
        <w:t>ACT</w:t>
      </w:r>
      <w:r>
        <w:rPr>
          <w:rFonts w:ascii="Calibri" w:hAnsi="Calibri"/>
          <w:i/>
          <w:color w:val="003366"/>
          <w:spacing w:val="-15"/>
          <w:sz w:val="20"/>
        </w:rPr>
        <w:t xml:space="preserve"> </w:t>
      </w:r>
      <w:r>
        <w:rPr>
          <w:rFonts w:ascii="Calibri" w:hAnsi="Calibri"/>
          <w:i/>
          <w:color w:val="003366"/>
          <w:sz w:val="20"/>
        </w:rPr>
        <w:t>Legislative</w:t>
      </w:r>
      <w:r>
        <w:rPr>
          <w:rFonts w:ascii="Calibri" w:hAnsi="Calibri"/>
          <w:i/>
          <w:color w:val="003366"/>
          <w:spacing w:val="-11"/>
          <w:sz w:val="20"/>
        </w:rPr>
        <w:t xml:space="preserve"> </w:t>
      </w:r>
      <w:r>
        <w:rPr>
          <w:rFonts w:ascii="Calibri" w:hAnsi="Calibri"/>
          <w:i/>
          <w:color w:val="003366"/>
          <w:sz w:val="20"/>
        </w:rPr>
        <w:t>Assembly</w:t>
      </w:r>
      <w:r>
        <w:rPr>
          <w:rFonts w:ascii="Calibri" w:hAnsi="Calibri"/>
          <w:i/>
          <w:color w:val="003366"/>
          <w:spacing w:val="-14"/>
          <w:sz w:val="20"/>
        </w:rPr>
        <w:t xml:space="preserve"> </w:t>
      </w:r>
      <w:r>
        <w:rPr>
          <w:rFonts w:ascii="Calibri" w:hAnsi="Calibri"/>
          <w:i/>
          <w:color w:val="003366"/>
          <w:sz w:val="20"/>
        </w:rPr>
        <w:t>Members’</w:t>
      </w:r>
      <w:r>
        <w:rPr>
          <w:rFonts w:ascii="Calibri" w:hAnsi="Calibri"/>
          <w:i/>
          <w:color w:val="003366"/>
          <w:spacing w:val="-13"/>
          <w:sz w:val="20"/>
        </w:rPr>
        <w:t xml:space="preserve"> </w:t>
      </w:r>
      <w:r>
        <w:rPr>
          <w:rFonts w:ascii="Calibri" w:hAnsi="Calibri"/>
          <w:i/>
          <w:color w:val="003366"/>
          <w:sz w:val="20"/>
        </w:rPr>
        <w:t>Staff</w:t>
      </w:r>
      <w:r>
        <w:rPr>
          <w:rFonts w:ascii="Calibri" w:hAnsi="Calibri"/>
          <w:i/>
          <w:color w:val="003366"/>
          <w:spacing w:val="-12"/>
          <w:sz w:val="20"/>
        </w:rPr>
        <w:t xml:space="preserve"> </w:t>
      </w:r>
      <w:r>
        <w:rPr>
          <w:rFonts w:ascii="Calibri" w:hAnsi="Calibri"/>
          <w:i/>
          <w:color w:val="003366"/>
          <w:sz w:val="20"/>
        </w:rPr>
        <w:t>Enterprise</w:t>
      </w:r>
      <w:r>
        <w:rPr>
          <w:rFonts w:ascii="Calibri" w:hAnsi="Calibri"/>
          <w:i/>
          <w:color w:val="003366"/>
          <w:spacing w:val="-13"/>
          <w:sz w:val="20"/>
        </w:rPr>
        <w:t xml:space="preserve"> </w:t>
      </w:r>
      <w:r>
        <w:rPr>
          <w:rFonts w:ascii="Calibri" w:hAnsi="Calibri"/>
          <w:i/>
          <w:color w:val="003366"/>
          <w:sz w:val="20"/>
        </w:rPr>
        <w:t>Agreement</w:t>
      </w:r>
      <w:r>
        <w:rPr>
          <w:rFonts w:ascii="Calibri" w:hAnsi="Calibri"/>
          <w:i/>
          <w:color w:val="003366"/>
          <w:spacing w:val="-13"/>
          <w:sz w:val="20"/>
        </w:rPr>
        <w:t xml:space="preserve"> </w:t>
      </w:r>
      <w:r>
        <w:rPr>
          <w:rFonts w:ascii="Calibri" w:hAnsi="Calibri"/>
          <w:i/>
          <w:color w:val="003366"/>
          <w:sz w:val="20"/>
        </w:rPr>
        <w:t>2013-2018</w:t>
      </w:r>
      <w:r>
        <w:rPr>
          <w:rFonts w:ascii="Calibri" w:hAnsi="Calibri"/>
          <w:i/>
          <w:color w:val="003366"/>
          <w:spacing w:val="-12"/>
          <w:sz w:val="20"/>
        </w:rPr>
        <w:t xml:space="preserve"> </w:t>
      </w:r>
      <w:r>
        <w:rPr>
          <w:rFonts w:ascii="Calibri" w:hAnsi="Calibri"/>
          <w:color w:val="003366"/>
          <w:sz w:val="20"/>
        </w:rPr>
        <w:t>employees</w:t>
      </w:r>
      <w:r>
        <w:rPr>
          <w:rFonts w:ascii="Calibri" w:hAnsi="Calibri"/>
          <w:color w:val="003366"/>
          <w:spacing w:val="-12"/>
          <w:sz w:val="20"/>
        </w:rPr>
        <w:t xml:space="preserve"> </w:t>
      </w:r>
      <w:r>
        <w:rPr>
          <w:rFonts w:ascii="Calibri" w:hAnsi="Calibri"/>
          <w:color w:val="003366"/>
          <w:sz w:val="20"/>
        </w:rPr>
        <w:t>may</w:t>
      </w:r>
      <w:r>
        <w:rPr>
          <w:rFonts w:ascii="Calibri" w:hAnsi="Calibri"/>
          <w:color w:val="003366"/>
          <w:spacing w:val="-11"/>
          <w:sz w:val="20"/>
        </w:rPr>
        <w:t xml:space="preserve"> </w:t>
      </w:r>
      <w:r>
        <w:rPr>
          <w:rFonts w:ascii="Calibri" w:hAnsi="Calibri"/>
          <w:color w:val="003366"/>
          <w:sz w:val="20"/>
        </w:rPr>
        <w:t>elect to receive an annual allowance instead of accruing long service leave. The majority of employees have chosen</w:t>
      </w:r>
      <w:r>
        <w:rPr>
          <w:rFonts w:ascii="Calibri" w:hAnsi="Calibri"/>
          <w:color w:val="003366"/>
          <w:spacing w:val="-5"/>
          <w:sz w:val="20"/>
        </w:rPr>
        <w:t xml:space="preserve"> </w:t>
      </w:r>
      <w:r>
        <w:rPr>
          <w:rFonts w:ascii="Calibri" w:hAnsi="Calibri"/>
          <w:color w:val="003366"/>
          <w:sz w:val="20"/>
        </w:rPr>
        <w:t>to</w:t>
      </w:r>
      <w:r>
        <w:rPr>
          <w:rFonts w:ascii="Calibri" w:hAnsi="Calibri"/>
          <w:color w:val="003366"/>
          <w:spacing w:val="-6"/>
          <w:sz w:val="20"/>
        </w:rPr>
        <w:t xml:space="preserve"> </w:t>
      </w:r>
      <w:r>
        <w:rPr>
          <w:rFonts w:ascii="Calibri" w:hAnsi="Calibri"/>
          <w:color w:val="003366"/>
          <w:sz w:val="20"/>
        </w:rPr>
        <w:t>receive</w:t>
      </w:r>
      <w:r>
        <w:rPr>
          <w:rFonts w:ascii="Calibri" w:hAnsi="Calibri"/>
          <w:color w:val="003366"/>
          <w:spacing w:val="-7"/>
          <w:sz w:val="20"/>
        </w:rPr>
        <w:t xml:space="preserve"> </w:t>
      </w:r>
      <w:r>
        <w:rPr>
          <w:rFonts w:ascii="Calibri" w:hAnsi="Calibri"/>
          <w:color w:val="003366"/>
          <w:sz w:val="20"/>
        </w:rPr>
        <w:t>this</w:t>
      </w:r>
      <w:r>
        <w:rPr>
          <w:rFonts w:ascii="Calibri" w:hAnsi="Calibri"/>
          <w:color w:val="003366"/>
          <w:spacing w:val="-7"/>
          <w:sz w:val="20"/>
        </w:rPr>
        <w:t xml:space="preserve"> </w:t>
      </w:r>
      <w:r>
        <w:rPr>
          <w:rFonts w:ascii="Calibri" w:hAnsi="Calibri"/>
          <w:color w:val="003366"/>
          <w:sz w:val="20"/>
        </w:rPr>
        <w:t>allowance.</w:t>
      </w:r>
      <w:r>
        <w:rPr>
          <w:rFonts w:ascii="Calibri" w:hAnsi="Calibri"/>
          <w:color w:val="003366"/>
          <w:spacing w:val="-6"/>
          <w:sz w:val="20"/>
        </w:rPr>
        <w:t xml:space="preserve"> </w:t>
      </w:r>
      <w:r>
        <w:rPr>
          <w:rFonts w:ascii="Calibri" w:hAnsi="Calibri"/>
          <w:color w:val="003366"/>
          <w:sz w:val="20"/>
        </w:rPr>
        <w:t>Employees</w:t>
      </w:r>
      <w:r>
        <w:rPr>
          <w:rFonts w:ascii="Calibri" w:hAnsi="Calibri"/>
          <w:color w:val="003366"/>
          <w:spacing w:val="-7"/>
          <w:sz w:val="20"/>
        </w:rPr>
        <w:t xml:space="preserve"> </w:t>
      </w:r>
      <w:r>
        <w:rPr>
          <w:rFonts w:ascii="Calibri" w:hAnsi="Calibri"/>
          <w:color w:val="003366"/>
          <w:sz w:val="20"/>
        </w:rPr>
        <w:t>who</w:t>
      </w:r>
      <w:r>
        <w:rPr>
          <w:rFonts w:ascii="Calibri" w:hAnsi="Calibri"/>
          <w:color w:val="003366"/>
          <w:spacing w:val="-6"/>
          <w:sz w:val="20"/>
        </w:rPr>
        <w:t xml:space="preserve"> </w:t>
      </w:r>
      <w:r>
        <w:rPr>
          <w:rFonts w:ascii="Calibri" w:hAnsi="Calibri"/>
          <w:color w:val="003366"/>
          <w:sz w:val="20"/>
        </w:rPr>
        <w:t>elect</w:t>
      </w:r>
      <w:r>
        <w:rPr>
          <w:rFonts w:ascii="Calibri" w:hAnsi="Calibri"/>
          <w:color w:val="003366"/>
          <w:spacing w:val="-6"/>
          <w:sz w:val="20"/>
        </w:rPr>
        <w:t xml:space="preserve"> </w:t>
      </w:r>
      <w:r>
        <w:rPr>
          <w:rFonts w:ascii="Calibri" w:hAnsi="Calibri"/>
          <w:color w:val="003366"/>
          <w:sz w:val="20"/>
        </w:rPr>
        <w:t>to</w:t>
      </w:r>
      <w:r>
        <w:rPr>
          <w:rFonts w:ascii="Calibri" w:hAnsi="Calibri"/>
          <w:color w:val="003366"/>
          <w:spacing w:val="-6"/>
          <w:sz w:val="20"/>
        </w:rPr>
        <w:t xml:space="preserve"> </w:t>
      </w:r>
      <w:r>
        <w:rPr>
          <w:rFonts w:ascii="Calibri" w:hAnsi="Calibri"/>
          <w:color w:val="003366"/>
          <w:sz w:val="20"/>
        </w:rPr>
        <w:t>accrue</w:t>
      </w:r>
      <w:r>
        <w:rPr>
          <w:rFonts w:ascii="Calibri" w:hAnsi="Calibri"/>
          <w:color w:val="003366"/>
          <w:spacing w:val="-7"/>
          <w:sz w:val="20"/>
        </w:rPr>
        <w:t xml:space="preserve"> </w:t>
      </w:r>
      <w:r>
        <w:rPr>
          <w:rFonts w:ascii="Calibri" w:hAnsi="Calibri"/>
          <w:color w:val="003366"/>
          <w:sz w:val="20"/>
        </w:rPr>
        <w:t>long</w:t>
      </w:r>
      <w:r>
        <w:rPr>
          <w:rFonts w:ascii="Calibri" w:hAnsi="Calibri"/>
          <w:color w:val="003366"/>
          <w:spacing w:val="-7"/>
          <w:sz w:val="20"/>
        </w:rPr>
        <w:t xml:space="preserve"> </w:t>
      </w:r>
      <w:r>
        <w:rPr>
          <w:rFonts w:ascii="Calibri" w:hAnsi="Calibri"/>
          <w:color w:val="003366"/>
          <w:sz w:val="20"/>
        </w:rPr>
        <w:t>service</w:t>
      </w:r>
      <w:r>
        <w:rPr>
          <w:rFonts w:ascii="Calibri" w:hAnsi="Calibri"/>
          <w:color w:val="003366"/>
          <w:spacing w:val="-7"/>
          <w:sz w:val="20"/>
        </w:rPr>
        <w:t xml:space="preserve"> </w:t>
      </w:r>
      <w:r>
        <w:rPr>
          <w:rFonts w:ascii="Calibri" w:hAnsi="Calibri"/>
          <w:color w:val="003366"/>
          <w:sz w:val="20"/>
        </w:rPr>
        <w:t>leave,</w:t>
      </w:r>
      <w:r>
        <w:rPr>
          <w:rFonts w:ascii="Calibri" w:hAnsi="Calibri"/>
          <w:color w:val="003366"/>
          <w:spacing w:val="-6"/>
          <w:sz w:val="20"/>
        </w:rPr>
        <w:t xml:space="preserve"> </w:t>
      </w:r>
      <w:r>
        <w:rPr>
          <w:rFonts w:ascii="Calibri" w:hAnsi="Calibri"/>
          <w:color w:val="003366"/>
          <w:sz w:val="20"/>
        </w:rPr>
        <w:t>whose</w:t>
      </w:r>
      <w:r>
        <w:rPr>
          <w:rFonts w:ascii="Calibri" w:hAnsi="Calibri"/>
          <w:color w:val="003366"/>
          <w:spacing w:val="-7"/>
          <w:sz w:val="20"/>
        </w:rPr>
        <w:t xml:space="preserve"> </w:t>
      </w:r>
      <w:r>
        <w:rPr>
          <w:rFonts w:ascii="Calibri" w:hAnsi="Calibri"/>
          <w:color w:val="003366"/>
          <w:sz w:val="20"/>
        </w:rPr>
        <w:t>employment</w:t>
      </w:r>
      <w:r>
        <w:rPr>
          <w:rFonts w:ascii="Calibri" w:hAnsi="Calibri"/>
          <w:color w:val="003366"/>
          <w:spacing w:val="-6"/>
          <w:sz w:val="20"/>
        </w:rPr>
        <w:t xml:space="preserve"> </w:t>
      </w:r>
      <w:r>
        <w:rPr>
          <w:rFonts w:ascii="Calibri" w:hAnsi="Calibri"/>
          <w:color w:val="003366"/>
          <w:sz w:val="20"/>
        </w:rPr>
        <w:t>is terminated otherwise than because of death, will receive payment for any pro-rata entitlement following the completion of one year of</w:t>
      </w:r>
      <w:r>
        <w:rPr>
          <w:rFonts w:ascii="Calibri" w:hAnsi="Calibri"/>
          <w:color w:val="003366"/>
          <w:spacing w:val="-2"/>
          <w:sz w:val="20"/>
        </w:rPr>
        <w:t xml:space="preserve"> </w:t>
      </w:r>
      <w:r>
        <w:rPr>
          <w:rFonts w:ascii="Calibri" w:hAnsi="Calibri"/>
          <w:color w:val="003366"/>
          <w:sz w:val="20"/>
        </w:rPr>
        <w:t>service.</w:t>
      </w:r>
    </w:p>
    <w:p w:rsidR="006C17CB" w:rsidRDefault="006C17CB">
      <w:pPr>
        <w:pStyle w:val="BodyText"/>
        <w:spacing w:before="5"/>
        <w:rPr>
          <w:rFonts w:ascii="Calibri"/>
          <w:sz w:val="11"/>
        </w:rPr>
      </w:pPr>
    </w:p>
    <w:tbl>
      <w:tblPr>
        <w:tblW w:w="0" w:type="auto"/>
        <w:tblInd w:w="777" w:type="dxa"/>
        <w:tblLayout w:type="fixed"/>
        <w:tblCellMar>
          <w:left w:w="0" w:type="dxa"/>
          <w:right w:w="0" w:type="dxa"/>
        </w:tblCellMar>
        <w:tblLook w:val="01E0" w:firstRow="1" w:lastRow="1" w:firstColumn="1" w:lastColumn="1" w:noHBand="0" w:noVBand="0"/>
      </w:tblPr>
      <w:tblGrid>
        <w:gridCol w:w="4651"/>
        <w:gridCol w:w="3177"/>
        <w:gridCol w:w="851"/>
      </w:tblGrid>
      <w:tr w:rsidR="006C17CB">
        <w:trPr>
          <w:trHeight w:val="762"/>
        </w:trPr>
        <w:tc>
          <w:tcPr>
            <w:tcW w:w="4651" w:type="dxa"/>
          </w:tcPr>
          <w:p w:rsidR="006C17CB" w:rsidRDefault="006C17CB">
            <w:pPr>
              <w:pStyle w:val="TableParagraph"/>
              <w:jc w:val="left"/>
              <w:rPr>
                <w:sz w:val="20"/>
              </w:rPr>
            </w:pPr>
          </w:p>
          <w:p w:rsidR="006C17CB" w:rsidRDefault="0030091C">
            <w:pPr>
              <w:pStyle w:val="TableParagraph"/>
              <w:spacing w:before="157"/>
              <w:ind w:left="50"/>
              <w:jc w:val="left"/>
              <w:rPr>
                <w:b/>
                <w:sz w:val="20"/>
              </w:rPr>
            </w:pPr>
            <w:r>
              <w:rPr>
                <w:b/>
                <w:color w:val="003366"/>
                <w:sz w:val="20"/>
              </w:rPr>
              <w:t>Current Employee Benefits</w:t>
            </w:r>
          </w:p>
        </w:tc>
        <w:tc>
          <w:tcPr>
            <w:tcW w:w="3177" w:type="dxa"/>
          </w:tcPr>
          <w:p w:rsidR="006C17CB" w:rsidRDefault="0030091C">
            <w:pPr>
              <w:pStyle w:val="TableParagraph"/>
              <w:spacing w:line="181" w:lineRule="exact"/>
              <w:ind w:right="345"/>
              <w:rPr>
                <w:b/>
                <w:sz w:val="20"/>
              </w:rPr>
            </w:pPr>
            <w:r>
              <w:rPr>
                <w:b/>
                <w:color w:val="003366"/>
                <w:sz w:val="20"/>
              </w:rPr>
              <w:t>2018</w:t>
            </w:r>
          </w:p>
          <w:p w:rsidR="006C17CB" w:rsidRDefault="0030091C">
            <w:pPr>
              <w:pStyle w:val="TableParagraph"/>
              <w:spacing w:line="267" w:lineRule="exact"/>
              <w:ind w:right="345"/>
              <w:rPr>
                <w:b/>
                <w:sz w:val="20"/>
              </w:rPr>
            </w:pPr>
            <w:r>
              <w:rPr>
                <w:b/>
                <w:color w:val="003366"/>
                <w:sz w:val="20"/>
              </w:rPr>
              <w:t>$’000</w:t>
            </w:r>
          </w:p>
        </w:tc>
        <w:tc>
          <w:tcPr>
            <w:tcW w:w="851" w:type="dxa"/>
          </w:tcPr>
          <w:p w:rsidR="006C17CB" w:rsidRDefault="0030091C">
            <w:pPr>
              <w:pStyle w:val="TableParagraph"/>
              <w:spacing w:line="181" w:lineRule="exact"/>
              <w:ind w:left="393"/>
              <w:jc w:val="left"/>
              <w:rPr>
                <w:b/>
                <w:sz w:val="20"/>
              </w:rPr>
            </w:pPr>
            <w:r>
              <w:rPr>
                <w:b/>
                <w:color w:val="003366"/>
                <w:sz w:val="20"/>
              </w:rPr>
              <w:t>2017</w:t>
            </w:r>
          </w:p>
          <w:p w:rsidR="006C17CB" w:rsidRDefault="0030091C">
            <w:pPr>
              <w:pStyle w:val="TableParagraph"/>
              <w:spacing w:line="267" w:lineRule="exact"/>
              <w:ind w:left="343"/>
              <w:jc w:val="left"/>
              <w:rPr>
                <w:b/>
                <w:sz w:val="20"/>
              </w:rPr>
            </w:pPr>
            <w:r>
              <w:rPr>
                <w:b/>
                <w:color w:val="003366"/>
                <w:sz w:val="20"/>
              </w:rPr>
              <w:t>$’000</w:t>
            </w:r>
          </w:p>
        </w:tc>
      </w:tr>
      <w:tr w:rsidR="006C17CB">
        <w:trPr>
          <w:trHeight w:val="293"/>
        </w:trPr>
        <w:tc>
          <w:tcPr>
            <w:tcW w:w="4651" w:type="dxa"/>
          </w:tcPr>
          <w:p w:rsidR="006C17CB" w:rsidRDefault="0030091C">
            <w:pPr>
              <w:pStyle w:val="TableParagraph"/>
              <w:spacing w:line="254" w:lineRule="exact"/>
              <w:ind w:left="50"/>
              <w:jc w:val="left"/>
              <w:rPr>
                <w:sz w:val="20"/>
              </w:rPr>
            </w:pPr>
            <w:r>
              <w:rPr>
                <w:color w:val="003366"/>
                <w:sz w:val="20"/>
              </w:rPr>
              <w:t xml:space="preserve">Annual Leave </w:t>
            </w:r>
            <w:r>
              <w:rPr>
                <w:color w:val="003366"/>
                <w:sz w:val="20"/>
                <w:vertAlign w:val="superscript"/>
              </w:rPr>
              <w:t>a</w:t>
            </w:r>
          </w:p>
        </w:tc>
        <w:tc>
          <w:tcPr>
            <w:tcW w:w="3177" w:type="dxa"/>
          </w:tcPr>
          <w:p w:rsidR="006C17CB" w:rsidRDefault="0030091C">
            <w:pPr>
              <w:pStyle w:val="TableParagraph"/>
              <w:spacing w:line="254" w:lineRule="exact"/>
              <w:ind w:right="345"/>
              <w:rPr>
                <w:sz w:val="20"/>
              </w:rPr>
            </w:pPr>
            <w:r>
              <w:rPr>
                <w:color w:val="003366"/>
                <w:w w:val="95"/>
                <w:sz w:val="20"/>
              </w:rPr>
              <w:t>301</w:t>
            </w:r>
          </w:p>
        </w:tc>
        <w:tc>
          <w:tcPr>
            <w:tcW w:w="851" w:type="dxa"/>
          </w:tcPr>
          <w:p w:rsidR="006C17CB" w:rsidRDefault="0030091C">
            <w:pPr>
              <w:pStyle w:val="TableParagraph"/>
              <w:spacing w:line="254" w:lineRule="exact"/>
              <w:ind w:right="51"/>
              <w:rPr>
                <w:sz w:val="20"/>
              </w:rPr>
            </w:pPr>
            <w:r>
              <w:rPr>
                <w:color w:val="003366"/>
                <w:w w:val="95"/>
                <w:sz w:val="20"/>
              </w:rPr>
              <w:t>207</w:t>
            </w:r>
          </w:p>
        </w:tc>
      </w:tr>
      <w:tr w:rsidR="006C17CB">
        <w:trPr>
          <w:trHeight w:val="242"/>
        </w:trPr>
        <w:tc>
          <w:tcPr>
            <w:tcW w:w="4651" w:type="dxa"/>
          </w:tcPr>
          <w:p w:rsidR="006C17CB" w:rsidRDefault="0030091C">
            <w:pPr>
              <w:pStyle w:val="TableParagraph"/>
              <w:spacing w:line="222" w:lineRule="exact"/>
              <w:ind w:left="50"/>
              <w:jc w:val="left"/>
              <w:rPr>
                <w:sz w:val="20"/>
              </w:rPr>
            </w:pPr>
            <w:r>
              <w:rPr>
                <w:color w:val="003366"/>
                <w:sz w:val="20"/>
              </w:rPr>
              <w:t>Long Service Leave</w:t>
            </w:r>
          </w:p>
        </w:tc>
        <w:tc>
          <w:tcPr>
            <w:tcW w:w="3177" w:type="dxa"/>
          </w:tcPr>
          <w:p w:rsidR="006C17CB" w:rsidRDefault="0030091C">
            <w:pPr>
              <w:pStyle w:val="TableParagraph"/>
              <w:spacing w:line="222" w:lineRule="exact"/>
              <w:ind w:right="343"/>
              <w:rPr>
                <w:sz w:val="20"/>
              </w:rPr>
            </w:pPr>
            <w:r>
              <w:rPr>
                <w:color w:val="003366"/>
                <w:w w:val="95"/>
                <w:sz w:val="20"/>
              </w:rPr>
              <w:t>63</w:t>
            </w:r>
          </w:p>
        </w:tc>
        <w:tc>
          <w:tcPr>
            <w:tcW w:w="851" w:type="dxa"/>
          </w:tcPr>
          <w:p w:rsidR="006C17CB" w:rsidRDefault="0030091C">
            <w:pPr>
              <w:pStyle w:val="TableParagraph"/>
              <w:spacing w:line="222" w:lineRule="exact"/>
              <w:ind w:right="49"/>
              <w:rPr>
                <w:sz w:val="20"/>
              </w:rPr>
            </w:pPr>
            <w:r>
              <w:rPr>
                <w:color w:val="003366"/>
                <w:w w:val="95"/>
                <w:sz w:val="20"/>
              </w:rPr>
              <w:t>62</w:t>
            </w:r>
          </w:p>
        </w:tc>
      </w:tr>
    </w:tbl>
    <w:p w:rsidR="006C17CB" w:rsidRDefault="0030091C">
      <w:pPr>
        <w:tabs>
          <w:tab w:val="left" w:pos="7098"/>
          <w:tab w:val="left" w:pos="8058"/>
          <w:tab w:val="left" w:pos="9203"/>
        </w:tabs>
        <w:spacing w:line="286" w:lineRule="exact"/>
        <w:ind w:left="827"/>
        <w:jc w:val="both"/>
        <w:rPr>
          <w:rFonts w:ascii="Calibri"/>
          <w:sz w:val="20"/>
        </w:rPr>
      </w:pPr>
      <w:r>
        <w:rPr>
          <w:rFonts w:ascii="Calibri"/>
          <w:color w:val="003366"/>
          <w:sz w:val="20"/>
        </w:rPr>
        <w:t>Accrued</w:t>
      </w:r>
      <w:r>
        <w:rPr>
          <w:rFonts w:ascii="Calibri"/>
          <w:color w:val="003366"/>
          <w:spacing w:val="-2"/>
          <w:sz w:val="20"/>
        </w:rPr>
        <w:t xml:space="preserve"> </w:t>
      </w:r>
      <w:r>
        <w:rPr>
          <w:rFonts w:ascii="Calibri"/>
          <w:color w:val="003366"/>
          <w:sz w:val="20"/>
        </w:rPr>
        <w:t>Salaries</w:t>
      </w:r>
      <w:r>
        <w:rPr>
          <w:rFonts w:ascii="Calibri"/>
          <w:color w:val="003366"/>
          <w:sz w:val="20"/>
        </w:rPr>
        <w:tab/>
      </w:r>
      <w:r>
        <w:rPr>
          <w:rFonts w:ascii="Calibri"/>
          <w:color w:val="003366"/>
          <w:sz w:val="20"/>
          <w:u w:val="single" w:color="003366"/>
        </w:rPr>
        <w:t xml:space="preserve"> </w:t>
      </w:r>
      <w:r>
        <w:rPr>
          <w:rFonts w:ascii="Calibri"/>
          <w:color w:val="003366"/>
          <w:sz w:val="20"/>
          <w:u w:val="single" w:color="003366"/>
        </w:rPr>
        <w:tab/>
        <w:t>67</w:t>
      </w:r>
      <w:r>
        <w:rPr>
          <w:rFonts w:ascii="Calibri"/>
          <w:color w:val="003366"/>
          <w:sz w:val="20"/>
          <w:u w:val="single" w:color="003366"/>
        </w:rPr>
        <w:tab/>
        <w:t xml:space="preserve">68 </w:t>
      </w:r>
      <w:r>
        <w:rPr>
          <w:rFonts w:ascii="Calibri"/>
          <w:color w:val="003366"/>
          <w:spacing w:val="16"/>
          <w:sz w:val="20"/>
          <w:u w:val="single" w:color="003366"/>
        </w:rPr>
        <w:t xml:space="preserve"> </w:t>
      </w:r>
    </w:p>
    <w:p w:rsidR="006C17CB" w:rsidRDefault="0030091C">
      <w:pPr>
        <w:tabs>
          <w:tab w:val="left" w:pos="7098"/>
          <w:tab w:val="left" w:pos="7955"/>
          <w:tab w:val="left" w:pos="9099"/>
        </w:tabs>
        <w:ind w:left="827"/>
        <w:jc w:val="both"/>
        <w:rPr>
          <w:rFonts w:ascii="Calibri"/>
          <w:b/>
          <w:sz w:val="20"/>
        </w:rPr>
      </w:pPr>
      <w:r>
        <w:rPr>
          <w:rFonts w:ascii="Calibri"/>
          <w:b/>
          <w:color w:val="003366"/>
          <w:sz w:val="20"/>
        </w:rPr>
        <w:t>Total Current</w:t>
      </w:r>
      <w:r>
        <w:rPr>
          <w:rFonts w:ascii="Calibri"/>
          <w:b/>
          <w:color w:val="003366"/>
          <w:spacing w:val="-5"/>
          <w:sz w:val="20"/>
        </w:rPr>
        <w:t xml:space="preserve"> </w:t>
      </w:r>
      <w:r>
        <w:rPr>
          <w:rFonts w:ascii="Calibri"/>
          <w:b/>
          <w:color w:val="003366"/>
          <w:sz w:val="20"/>
        </w:rPr>
        <w:t>Employee</w:t>
      </w:r>
      <w:r>
        <w:rPr>
          <w:rFonts w:ascii="Calibri"/>
          <w:b/>
          <w:color w:val="003366"/>
          <w:spacing w:val="-2"/>
          <w:sz w:val="20"/>
        </w:rPr>
        <w:t xml:space="preserve"> </w:t>
      </w:r>
      <w:r>
        <w:rPr>
          <w:rFonts w:ascii="Calibri"/>
          <w:b/>
          <w:color w:val="003366"/>
          <w:sz w:val="20"/>
        </w:rPr>
        <w:t>Benefits</w:t>
      </w:r>
      <w:r>
        <w:rPr>
          <w:rFonts w:ascii="Calibri"/>
          <w:b/>
          <w:color w:val="003366"/>
          <w:sz w:val="20"/>
        </w:rPr>
        <w:tab/>
      </w:r>
      <w:r>
        <w:rPr>
          <w:rFonts w:ascii="Calibri"/>
          <w:b/>
          <w:color w:val="003366"/>
          <w:sz w:val="20"/>
          <w:u w:val="single" w:color="003366"/>
        </w:rPr>
        <w:t xml:space="preserve"> </w:t>
      </w:r>
      <w:r>
        <w:rPr>
          <w:rFonts w:ascii="Calibri"/>
          <w:b/>
          <w:color w:val="003366"/>
          <w:sz w:val="20"/>
          <w:u w:val="single" w:color="003366"/>
        </w:rPr>
        <w:tab/>
        <w:t>431</w:t>
      </w:r>
      <w:r>
        <w:rPr>
          <w:rFonts w:ascii="Calibri"/>
          <w:b/>
          <w:color w:val="003366"/>
          <w:sz w:val="20"/>
          <w:u w:val="single" w:color="003366"/>
        </w:rPr>
        <w:tab/>
        <w:t xml:space="preserve">337 </w:t>
      </w:r>
      <w:r>
        <w:rPr>
          <w:rFonts w:ascii="Calibri"/>
          <w:b/>
          <w:color w:val="003366"/>
          <w:spacing w:val="18"/>
          <w:sz w:val="20"/>
          <w:u w:val="single" w:color="003366"/>
        </w:rPr>
        <w:t xml:space="preserve"> </w:t>
      </w:r>
    </w:p>
    <w:p w:rsidR="006C17CB" w:rsidRDefault="00FE24A7">
      <w:pPr>
        <w:pStyle w:val="BodyText"/>
        <w:spacing w:before="14"/>
        <w:rPr>
          <w:rFonts w:ascii="Calibri"/>
          <w:b/>
          <w:sz w:val="13"/>
        </w:rPr>
      </w:pPr>
      <w:r>
        <w:pict>
          <v:group id="_x0000_s1045" alt="" style="position:absolute;margin-left:403.9pt;margin-top:12.05pt;width:120.75pt;height:.25pt;z-index:3304;mso-wrap-distance-left:0;mso-wrap-distance-right:0;mso-position-horizontal-relative:page" coordorigin="8078,241" coordsize="2415,5">
            <v:line id="_x0000_s1046" alt="" style="position:absolute" from="8078,244" to="9350,244" strokecolor="#036" strokeweight=".08431mm"/>
            <v:rect id="_x0000_s1047" alt="" style="position:absolute;left:9350;top:241;width:5;height:5" fillcolor="#036" stroked="f"/>
            <v:line id="_x0000_s1048" alt="" style="position:absolute" from="9355,244" to="10493,244" strokecolor="#036" strokeweight=".08431mm"/>
            <w10:wrap type="topAndBottom" anchorx="page"/>
          </v:group>
        </w:pict>
      </w:r>
    </w:p>
    <w:p w:rsidR="006C17CB" w:rsidRDefault="0030091C">
      <w:pPr>
        <w:tabs>
          <w:tab w:val="left" w:pos="7955"/>
          <w:tab w:val="right" w:pos="9402"/>
        </w:tabs>
        <w:spacing w:line="255" w:lineRule="exact"/>
        <w:ind w:left="827"/>
        <w:rPr>
          <w:rFonts w:ascii="Calibri"/>
          <w:b/>
          <w:sz w:val="20"/>
        </w:rPr>
      </w:pPr>
      <w:r>
        <w:rPr>
          <w:rFonts w:ascii="Calibri"/>
          <w:b/>
          <w:color w:val="003366"/>
          <w:sz w:val="20"/>
        </w:rPr>
        <w:t>Total</w:t>
      </w:r>
      <w:r>
        <w:rPr>
          <w:rFonts w:ascii="Calibri"/>
          <w:b/>
          <w:color w:val="003366"/>
          <w:spacing w:val="-4"/>
          <w:sz w:val="20"/>
        </w:rPr>
        <w:t xml:space="preserve"> </w:t>
      </w:r>
      <w:r>
        <w:rPr>
          <w:rFonts w:ascii="Calibri"/>
          <w:b/>
          <w:color w:val="003366"/>
          <w:sz w:val="20"/>
        </w:rPr>
        <w:t>Employee</w:t>
      </w:r>
      <w:r>
        <w:rPr>
          <w:rFonts w:ascii="Calibri"/>
          <w:b/>
          <w:color w:val="003366"/>
          <w:spacing w:val="-3"/>
          <w:sz w:val="20"/>
        </w:rPr>
        <w:t xml:space="preserve"> </w:t>
      </w:r>
      <w:r>
        <w:rPr>
          <w:rFonts w:ascii="Calibri"/>
          <w:b/>
          <w:color w:val="003366"/>
          <w:sz w:val="20"/>
        </w:rPr>
        <w:t>Benefits</w:t>
      </w:r>
      <w:r>
        <w:rPr>
          <w:rFonts w:ascii="Calibri"/>
          <w:b/>
          <w:color w:val="003366"/>
          <w:sz w:val="20"/>
        </w:rPr>
        <w:tab/>
        <w:t>431</w:t>
      </w:r>
      <w:r>
        <w:rPr>
          <w:rFonts w:ascii="Calibri"/>
          <w:b/>
          <w:color w:val="003366"/>
          <w:sz w:val="20"/>
        </w:rPr>
        <w:tab/>
        <w:t>337</w:t>
      </w:r>
    </w:p>
    <w:p w:rsidR="006C17CB" w:rsidRDefault="00FE24A7">
      <w:pPr>
        <w:tabs>
          <w:tab w:val="left" w:pos="1187"/>
        </w:tabs>
        <w:spacing w:before="316" w:line="204" w:lineRule="auto"/>
        <w:ind w:left="1187" w:right="1532" w:hanging="360"/>
        <w:rPr>
          <w:rFonts w:ascii="Calibri" w:hAnsi="Calibri"/>
          <w:sz w:val="18"/>
        </w:rPr>
      </w:pPr>
      <w:r>
        <w:pict>
          <v:group id="_x0000_s1041" alt="" style="position:absolute;left:0;text-align:left;margin-left:403.9pt;margin-top:-.05pt;width:120.75pt;height:1.45pt;z-index:3352;mso-position-horizontal-relative:page" coordorigin="8078,-1" coordsize="2415,29">
            <v:shape id="_x0000_s1042" alt="" style="position:absolute;left:8078;top:3;width:1272;height:20" coordorigin="8078,3" coordsize="1272,20" o:spt="100" adj="0,,0" path="m8078,3r1272,m8078,23r1272,e" filled="f" strokecolor="#036" strokeweight=".16969mm">
              <v:stroke joinstyle="round"/>
              <v:formulas/>
              <v:path arrowok="t" o:connecttype="segments"/>
            </v:shape>
            <v:shape id="_x0000_s1043" alt="" style="position:absolute;left:9350;top:-2;width:29;height:29" coordorigin="9350,-1" coordsize="29,29" o:spt="100" adj="0,,0" path="m9379,18r-29,l9350,27r29,l9379,18t,-19l9350,-1r,9l9379,8r,-9e" fillcolor="#036" stroked="f">
              <v:stroke joinstyle="round"/>
              <v:formulas/>
              <v:path arrowok="t" o:connecttype="segments"/>
            </v:shape>
            <v:shape id="_x0000_s1044" alt="" style="position:absolute;left:9379;top:3;width:1114;height:20" coordorigin="9379,3" coordsize="1114,20" o:spt="100" adj="0,,0" path="m9379,3r1114,m9379,23r1114,e" filled="f" strokecolor="#036" strokeweight=".16969mm">
              <v:stroke joinstyle="round"/>
              <v:formulas/>
              <v:path arrowok="t" o:connecttype="segments"/>
            </v:shape>
            <w10:wrap anchorx="page"/>
          </v:group>
        </w:pict>
      </w:r>
      <w:r w:rsidR="0030091C">
        <w:rPr>
          <w:rFonts w:ascii="Calibri" w:hAnsi="Calibri"/>
          <w:color w:val="003366"/>
          <w:sz w:val="18"/>
        </w:rPr>
        <w:t>a)</w:t>
      </w:r>
      <w:r w:rsidR="0030091C">
        <w:rPr>
          <w:rFonts w:ascii="Calibri" w:hAnsi="Calibri"/>
          <w:color w:val="003366"/>
          <w:sz w:val="18"/>
        </w:rPr>
        <w:tab/>
        <w:t>Annual leave rose due to an additional year of entitlements being added to Legislative Assembly members’ staff leave</w:t>
      </w:r>
      <w:r w:rsidR="0030091C">
        <w:rPr>
          <w:rFonts w:ascii="Calibri" w:hAnsi="Calibri"/>
          <w:color w:val="003366"/>
          <w:spacing w:val="-2"/>
          <w:sz w:val="18"/>
        </w:rPr>
        <w:t xml:space="preserve"> </w:t>
      </w:r>
      <w:r w:rsidR="0030091C">
        <w:rPr>
          <w:rFonts w:ascii="Calibri" w:hAnsi="Calibri"/>
          <w:color w:val="003366"/>
          <w:sz w:val="18"/>
        </w:rPr>
        <w:t>balances.</w:t>
      </w:r>
    </w:p>
    <w:p w:rsidR="006C17CB" w:rsidRDefault="0030091C">
      <w:pPr>
        <w:spacing w:before="118" w:line="204" w:lineRule="auto"/>
        <w:ind w:left="827" w:right="1541"/>
        <w:rPr>
          <w:rFonts w:ascii="Calibri" w:hAnsi="Calibri"/>
          <w:sz w:val="20"/>
        </w:rPr>
      </w:pPr>
      <w:r>
        <w:rPr>
          <w:rFonts w:ascii="Calibri" w:hAnsi="Calibri"/>
          <w:color w:val="003366"/>
          <w:sz w:val="20"/>
        </w:rPr>
        <w:t>As at 30 June 2018, the Office’s Territorial entity employed 45.9 full time equivalent (FTE) staff (46.5 FTE at 30 June 2017). All employee leave entitlements and accrued salaries are payable within 12 months.</w:t>
      </w:r>
    </w:p>
    <w:p w:rsidR="006C17CB" w:rsidRDefault="006C17CB">
      <w:pPr>
        <w:spacing w:line="204" w:lineRule="auto"/>
        <w:rPr>
          <w:rFonts w:ascii="Calibri" w:hAnsi="Calibri"/>
          <w:sz w:val="20"/>
        </w:rPr>
        <w:sectPr w:rsidR="006C17CB">
          <w:type w:val="continuous"/>
          <w:pgSz w:w="11910" w:h="16840"/>
          <w:pgMar w:top="1580" w:right="0" w:bottom="280" w:left="980" w:header="720" w:footer="720" w:gutter="0"/>
          <w:cols w:space="720"/>
        </w:sectPr>
      </w:pPr>
    </w:p>
    <w:p w:rsidR="006C17CB" w:rsidRDefault="0030091C">
      <w:pPr>
        <w:pStyle w:val="Heading6"/>
        <w:tabs>
          <w:tab w:val="left" w:pos="1959"/>
        </w:tabs>
        <w:spacing w:before="310"/>
        <w:ind w:left="827"/>
      </w:pPr>
      <w:r>
        <w:rPr>
          <w:color w:val="003366"/>
        </w:rPr>
        <w:t>NOTE</w:t>
      </w:r>
      <w:r>
        <w:rPr>
          <w:color w:val="003366"/>
          <w:spacing w:val="-1"/>
        </w:rPr>
        <w:t xml:space="preserve"> </w:t>
      </w:r>
      <w:r>
        <w:rPr>
          <w:color w:val="003366"/>
        </w:rPr>
        <w:t>33.</w:t>
      </w:r>
      <w:r>
        <w:rPr>
          <w:color w:val="003366"/>
        </w:rPr>
        <w:tab/>
        <w:t>CASH FLOW RECONCILIATION –</w:t>
      </w:r>
      <w:r>
        <w:rPr>
          <w:color w:val="003366"/>
          <w:spacing w:val="-3"/>
        </w:rPr>
        <w:t xml:space="preserve"> </w:t>
      </w:r>
      <w:r>
        <w:rPr>
          <w:color w:val="003366"/>
        </w:rPr>
        <w:t>TERRITORIAL</w:t>
      </w:r>
    </w:p>
    <w:p w:rsidR="006C17CB" w:rsidRDefault="0030091C">
      <w:pPr>
        <w:pStyle w:val="ListParagraph"/>
        <w:numPr>
          <w:ilvl w:val="0"/>
          <w:numId w:val="2"/>
        </w:numPr>
        <w:tabs>
          <w:tab w:val="left" w:pos="1188"/>
        </w:tabs>
        <w:spacing w:before="154" w:line="204" w:lineRule="auto"/>
        <w:ind w:right="1520"/>
        <w:jc w:val="both"/>
        <w:rPr>
          <w:rFonts w:ascii="Calibri"/>
          <w:b/>
          <w:sz w:val="20"/>
        </w:rPr>
      </w:pPr>
      <w:r>
        <w:rPr>
          <w:rFonts w:ascii="Calibri"/>
          <w:b/>
          <w:color w:val="003366"/>
          <w:sz w:val="20"/>
        </w:rPr>
        <w:t>Reconciliation of Cash and Cash Equivalents at the End of the Reporting Period in the Cash Flow Statement on Behalf of the Territory to the Related Items in the Statement of Assets and Liabilities on Behalf of the</w:t>
      </w:r>
      <w:r>
        <w:rPr>
          <w:rFonts w:ascii="Calibri"/>
          <w:b/>
          <w:color w:val="003366"/>
          <w:spacing w:val="-2"/>
          <w:sz w:val="20"/>
        </w:rPr>
        <w:t xml:space="preserve"> </w:t>
      </w:r>
      <w:r>
        <w:rPr>
          <w:rFonts w:ascii="Calibri"/>
          <w:b/>
          <w:color w:val="003366"/>
          <w:sz w:val="20"/>
        </w:rPr>
        <w:t>Territory</w:t>
      </w:r>
    </w:p>
    <w:p w:rsidR="006C17CB" w:rsidRDefault="006C17CB">
      <w:pPr>
        <w:spacing w:line="204" w:lineRule="auto"/>
        <w:jc w:val="both"/>
        <w:rPr>
          <w:rFonts w:ascii="Calibri"/>
          <w:sz w:val="20"/>
        </w:rPr>
        <w:sectPr w:rsidR="006C17CB">
          <w:pgSz w:w="11910" w:h="16840"/>
          <w:pgMar w:top="2080" w:right="0" w:bottom="740" w:left="980" w:header="1189" w:footer="551" w:gutter="0"/>
          <w:cols w:space="720"/>
        </w:sectPr>
      </w:pPr>
    </w:p>
    <w:p w:rsidR="006C17CB" w:rsidRDefault="0030091C">
      <w:pPr>
        <w:spacing w:before="569"/>
        <w:ind w:left="827"/>
        <w:rPr>
          <w:rFonts w:ascii="Calibri"/>
          <w:sz w:val="20"/>
        </w:rPr>
      </w:pPr>
      <w:r>
        <w:rPr>
          <w:rFonts w:ascii="Calibri"/>
          <w:color w:val="003366"/>
          <w:sz w:val="20"/>
        </w:rPr>
        <w:t>Total Cash and Cash Equivalents Disclosed on the Statement of Assets</w:t>
      </w:r>
    </w:p>
    <w:p w:rsidR="006C17CB" w:rsidRDefault="0030091C">
      <w:pPr>
        <w:spacing w:line="226" w:lineRule="exact"/>
        <w:ind w:left="877"/>
        <w:rPr>
          <w:rFonts w:ascii="Calibri"/>
          <w:b/>
          <w:sz w:val="20"/>
        </w:rPr>
      </w:pPr>
      <w:r>
        <w:br w:type="column"/>
      </w:r>
      <w:r>
        <w:rPr>
          <w:rFonts w:ascii="Calibri"/>
          <w:b/>
          <w:color w:val="003366"/>
          <w:sz w:val="20"/>
        </w:rPr>
        <w:t>2018</w:t>
      </w:r>
    </w:p>
    <w:p w:rsidR="006C17CB" w:rsidRDefault="0030091C">
      <w:pPr>
        <w:spacing w:line="267" w:lineRule="exact"/>
        <w:ind w:left="827"/>
        <w:rPr>
          <w:rFonts w:ascii="Calibri" w:hAnsi="Calibri"/>
          <w:b/>
          <w:sz w:val="20"/>
        </w:rPr>
      </w:pPr>
      <w:r>
        <w:rPr>
          <w:rFonts w:ascii="Calibri" w:hAnsi="Calibri"/>
          <w:b/>
          <w:color w:val="003366"/>
          <w:sz w:val="20"/>
        </w:rPr>
        <w:t>$’000</w:t>
      </w:r>
    </w:p>
    <w:p w:rsidR="006C17CB" w:rsidRDefault="0030091C">
      <w:pPr>
        <w:spacing w:line="226" w:lineRule="exact"/>
        <w:ind w:left="877"/>
        <w:rPr>
          <w:rFonts w:ascii="Calibri"/>
          <w:b/>
          <w:sz w:val="20"/>
        </w:rPr>
      </w:pPr>
      <w:r>
        <w:br w:type="column"/>
      </w:r>
      <w:r>
        <w:rPr>
          <w:rFonts w:ascii="Calibri"/>
          <w:b/>
          <w:color w:val="003366"/>
          <w:sz w:val="20"/>
        </w:rPr>
        <w:t>2017</w:t>
      </w:r>
    </w:p>
    <w:p w:rsidR="006C17CB" w:rsidRDefault="0030091C">
      <w:pPr>
        <w:spacing w:line="267" w:lineRule="exact"/>
        <w:ind w:left="827"/>
        <w:rPr>
          <w:rFonts w:ascii="Calibri" w:hAnsi="Calibri"/>
          <w:b/>
          <w:sz w:val="20"/>
        </w:rPr>
      </w:pPr>
      <w:r>
        <w:rPr>
          <w:rFonts w:ascii="Calibri" w:hAnsi="Calibri"/>
          <w:b/>
          <w:color w:val="003366"/>
          <w:sz w:val="20"/>
        </w:rPr>
        <w:t>$’000</w:t>
      </w:r>
    </w:p>
    <w:p w:rsidR="006C17CB" w:rsidRDefault="006C17CB">
      <w:pPr>
        <w:spacing w:line="267" w:lineRule="exact"/>
        <w:rPr>
          <w:rFonts w:ascii="Calibri" w:hAnsi="Calibri"/>
          <w:sz w:val="20"/>
        </w:rPr>
        <w:sectPr w:rsidR="006C17CB">
          <w:type w:val="continuous"/>
          <w:pgSz w:w="11910" w:h="16840"/>
          <w:pgMar w:top="1580" w:right="0" w:bottom="280" w:left="980" w:header="720" w:footer="720" w:gutter="0"/>
          <w:cols w:num="3" w:space="720" w:equalWidth="0">
            <w:col w:w="6525" w:space="231"/>
            <w:col w:w="1321" w:space="42"/>
            <w:col w:w="2811"/>
          </w:cols>
        </w:sectPr>
      </w:pPr>
    </w:p>
    <w:p w:rsidR="006C17CB" w:rsidRDefault="0030091C">
      <w:pPr>
        <w:tabs>
          <w:tab w:val="left" w:pos="7734"/>
          <w:tab w:val="right" w:pos="9402"/>
        </w:tabs>
        <w:spacing w:line="245" w:lineRule="exact"/>
        <w:ind w:left="1110"/>
        <w:rPr>
          <w:rFonts w:ascii="Calibri"/>
          <w:sz w:val="20"/>
        </w:rPr>
      </w:pPr>
      <w:r>
        <w:rPr>
          <w:rFonts w:ascii="Calibri"/>
          <w:color w:val="003366"/>
          <w:sz w:val="20"/>
        </w:rPr>
        <w:t>and Liabilities on Behalf of</w:t>
      </w:r>
      <w:r>
        <w:rPr>
          <w:rFonts w:ascii="Calibri"/>
          <w:color w:val="003366"/>
          <w:spacing w:val="-15"/>
          <w:sz w:val="20"/>
        </w:rPr>
        <w:t xml:space="preserve"> </w:t>
      </w:r>
      <w:r>
        <w:rPr>
          <w:rFonts w:ascii="Calibri"/>
          <w:color w:val="003366"/>
          <w:sz w:val="20"/>
        </w:rPr>
        <w:t>the</w:t>
      </w:r>
      <w:r>
        <w:rPr>
          <w:rFonts w:ascii="Calibri"/>
          <w:color w:val="003366"/>
          <w:spacing w:val="-1"/>
          <w:sz w:val="20"/>
        </w:rPr>
        <w:t xml:space="preserve"> </w:t>
      </w:r>
      <w:r>
        <w:rPr>
          <w:rFonts w:ascii="Calibri"/>
          <w:color w:val="003366"/>
          <w:sz w:val="20"/>
        </w:rPr>
        <w:t>Territory</w:t>
      </w:r>
      <w:r>
        <w:rPr>
          <w:rFonts w:ascii="Calibri"/>
          <w:color w:val="003366"/>
          <w:sz w:val="20"/>
        </w:rPr>
        <w:tab/>
        <w:t>102</w:t>
      </w:r>
      <w:r>
        <w:rPr>
          <w:rFonts w:ascii="Calibri"/>
          <w:color w:val="003366"/>
          <w:sz w:val="20"/>
        </w:rPr>
        <w:tab/>
        <w:t>41</w:t>
      </w:r>
    </w:p>
    <w:p w:rsidR="006C17CB" w:rsidRDefault="00FE24A7">
      <w:pPr>
        <w:spacing w:before="199" w:line="267" w:lineRule="exact"/>
        <w:ind w:left="827"/>
        <w:rPr>
          <w:rFonts w:ascii="Calibri"/>
          <w:b/>
          <w:sz w:val="20"/>
        </w:rPr>
      </w:pPr>
      <w:r>
        <w:pict>
          <v:group id="_x0000_s1037" alt="" style="position:absolute;left:0;text-align:left;margin-left:393.25pt;margin-top:5.95pt;width:131.4pt;height:.25pt;z-index:3400;mso-position-horizontal-relative:page" coordorigin="7865,119" coordsize="2628,5">
            <v:line id="_x0000_s1038" alt="" style="position:absolute" from="7865,122" to="9127,122" strokecolor="#036" strokeweight=".08431mm"/>
            <v:rect id="_x0000_s1039" alt="" style="position:absolute;left:9127;top:119;width:5;height:5" fillcolor="#036" stroked="f"/>
            <v:line id="_x0000_s1040" alt="" style="position:absolute" from="9132,122" to="10493,122" strokecolor="#036" strokeweight=".08431mm"/>
            <w10:wrap anchorx="page"/>
          </v:group>
        </w:pict>
      </w:r>
      <w:r w:rsidR="0030091C">
        <w:rPr>
          <w:rFonts w:ascii="Calibri"/>
          <w:b/>
          <w:color w:val="003366"/>
          <w:sz w:val="20"/>
        </w:rPr>
        <w:t>Cash and Cash Equivalents at the End of the Reporting Period as</w:t>
      </w:r>
    </w:p>
    <w:p w:rsidR="006C17CB" w:rsidRDefault="00FE24A7">
      <w:pPr>
        <w:tabs>
          <w:tab w:val="left" w:pos="7734"/>
          <w:tab w:val="right" w:pos="9402"/>
        </w:tabs>
        <w:spacing w:line="267" w:lineRule="exact"/>
        <w:ind w:left="1110"/>
        <w:rPr>
          <w:rFonts w:ascii="Calibri"/>
          <w:b/>
          <w:sz w:val="20"/>
        </w:rPr>
      </w:pPr>
      <w:r>
        <w:pict>
          <v:group id="_x0000_s1030" alt="" style="position:absolute;left:0;text-align:left;margin-left:393.25pt;margin-top:19.4pt;width:131.4pt;height:1.45pt;z-index:3376;mso-wrap-distance-left:0;mso-wrap-distance-right:0;mso-position-horizontal-relative:page" coordorigin="7865,388" coordsize="2628,29">
            <v:line id="_x0000_s1031" alt="" style="position:absolute" from="7865,393" to="9127,393" strokecolor="#036" strokeweight=".48pt"/>
            <v:line id="_x0000_s1032" alt="" style="position:absolute" from="7865,412" to="9127,412" strokecolor="#036" strokeweight=".16969mm"/>
            <v:rect id="_x0000_s1033" alt="" style="position:absolute;left:9127;top:388;width:29;height:10" fillcolor="#036" stroked="f"/>
            <v:rect id="_x0000_s1034" alt="" style="position:absolute;left:9127;top:407;width:29;height:10" fillcolor="#036" stroked="f"/>
            <v:line id="_x0000_s1035" alt="" style="position:absolute" from="9156,393" to="10493,393" strokecolor="#036" strokeweight=".48pt"/>
            <v:line id="_x0000_s1036" alt="" style="position:absolute" from="9156,412" to="10493,412" strokecolor="#036" strokeweight=".16969mm"/>
            <w10:wrap type="topAndBottom" anchorx="page"/>
          </v:group>
        </w:pict>
      </w:r>
      <w:r w:rsidR="0030091C">
        <w:rPr>
          <w:rFonts w:ascii="Calibri"/>
          <w:b/>
          <w:color w:val="003366"/>
          <w:sz w:val="20"/>
        </w:rPr>
        <w:t>Recorded in the Cash Flow Statement on Behalf of</w:t>
      </w:r>
      <w:r w:rsidR="0030091C">
        <w:rPr>
          <w:rFonts w:ascii="Calibri"/>
          <w:b/>
          <w:color w:val="003366"/>
          <w:spacing w:val="-18"/>
          <w:sz w:val="20"/>
        </w:rPr>
        <w:t xml:space="preserve"> </w:t>
      </w:r>
      <w:r w:rsidR="0030091C">
        <w:rPr>
          <w:rFonts w:ascii="Calibri"/>
          <w:b/>
          <w:color w:val="003366"/>
          <w:sz w:val="20"/>
        </w:rPr>
        <w:t>the</w:t>
      </w:r>
      <w:r w:rsidR="0030091C">
        <w:rPr>
          <w:rFonts w:ascii="Calibri"/>
          <w:b/>
          <w:color w:val="003366"/>
          <w:spacing w:val="-2"/>
          <w:sz w:val="20"/>
        </w:rPr>
        <w:t xml:space="preserve"> </w:t>
      </w:r>
      <w:r w:rsidR="0030091C">
        <w:rPr>
          <w:rFonts w:ascii="Calibri"/>
          <w:b/>
          <w:color w:val="003366"/>
          <w:sz w:val="20"/>
        </w:rPr>
        <w:t>Territory</w:t>
      </w:r>
      <w:r w:rsidR="0030091C">
        <w:rPr>
          <w:rFonts w:ascii="Calibri"/>
          <w:b/>
          <w:color w:val="003366"/>
          <w:sz w:val="20"/>
        </w:rPr>
        <w:tab/>
        <w:t>102</w:t>
      </w:r>
      <w:r w:rsidR="0030091C">
        <w:rPr>
          <w:rFonts w:ascii="Calibri"/>
          <w:b/>
          <w:color w:val="003366"/>
          <w:sz w:val="20"/>
        </w:rPr>
        <w:tab/>
        <w:t>41</w:t>
      </w:r>
    </w:p>
    <w:p w:rsidR="006C17CB" w:rsidRDefault="006C17CB">
      <w:pPr>
        <w:pStyle w:val="BodyText"/>
        <w:spacing w:before="14"/>
        <w:rPr>
          <w:rFonts w:ascii="Calibri"/>
          <w:b/>
          <w:sz w:val="17"/>
        </w:rPr>
      </w:pPr>
    </w:p>
    <w:p w:rsidR="006C17CB" w:rsidRDefault="0030091C">
      <w:pPr>
        <w:pStyle w:val="ListParagraph"/>
        <w:numPr>
          <w:ilvl w:val="0"/>
          <w:numId w:val="2"/>
        </w:numPr>
        <w:tabs>
          <w:tab w:val="left" w:pos="1188"/>
        </w:tabs>
        <w:spacing w:line="240" w:lineRule="auto"/>
        <w:rPr>
          <w:rFonts w:ascii="Calibri"/>
          <w:b/>
          <w:sz w:val="20"/>
        </w:rPr>
      </w:pPr>
      <w:r>
        <w:rPr>
          <w:rFonts w:ascii="Calibri"/>
          <w:b/>
          <w:color w:val="003366"/>
          <w:sz w:val="20"/>
        </w:rPr>
        <w:t>Reconciliation of the Operating (Deficit) to Net Cash Inflows/(Outflows) from Operating</w:t>
      </w:r>
      <w:r>
        <w:rPr>
          <w:rFonts w:ascii="Calibri"/>
          <w:b/>
          <w:color w:val="003366"/>
          <w:spacing w:val="-9"/>
          <w:sz w:val="20"/>
        </w:rPr>
        <w:t xml:space="preserve"> </w:t>
      </w:r>
      <w:r>
        <w:rPr>
          <w:rFonts w:ascii="Calibri"/>
          <w:b/>
          <w:color w:val="003366"/>
          <w:sz w:val="20"/>
        </w:rPr>
        <w:t>Activities</w:t>
      </w:r>
    </w:p>
    <w:p w:rsidR="006C17CB" w:rsidRDefault="006C17CB">
      <w:pPr>
        <w:pStyle w:val="BodyText"/>
        <w:spacing w:before="12" w:after="1"/>
        <w:rPr>
          <w:rFonts w:ascii="Calibri"/>
          <w:b/>
        </w:rPr>
      </w:pPr>
    </w:p>
    <w:tbl>
      <w:tblPr>
        <w:tblW w:w="0" w:type="auto"/>
        <w:tblInd w:w="777" w:type="dxa"/>
        <w:tblLayout w:type="fixed"/>
        <w:tblCellMar>
          <w:left w:w="0" w:type="dxa"/>
          <w:right w:w="0" w:type="dxa"/>
        </w:tblCellMar>
        <w:tblLook w:val="01E0" w:firstRow="1" w:lastRow="1" w:firstColumn="1" w:lastColumn="1" w:noHBand="0" w:noVBand="0"/>
      </w:tblPr>
      <w:tblGrid>
        <w:gridCol w:w="6108"/>
        <w:gridCol w:w="1621"/>
        <w:gridCol w:w="1007"/>
      </w:tblGrid>
      <w:tr w:rsidR="006C17CB">
        <w:trPr>
          <w:trHeight w:val="390"/>
        </w:trPr>
        <w:tc>
          <w:tcPr>
            <w:tcW w:w="6108" w:type="dxa"/>
          </w:tcPr>
          <w:p w:rsidR="006C17CB" w:rsidRDefault="0030091C">
            <w:pPr>
              <w:pStyle w:val="TableParagraph"/>
              <w:spacing w:line="203" w:lineRule="exact"/>
              <w:ind w:left="50"/>
              <w:jc w:val="left"/>
              <w:rPr>
                <w:sz w:val="20"/>
              </w:rPr>
            </w:pPr>
            <w:r>
              <w:rPr>
                <w:color w:val="003366"/>
                <w:sz w:val="20"/>
              </w:rPr>
              <w:t>Operating (Deficit)</w:t>
            </w:r>
          </w:p>
        </w:tc>
        <w:tc>
          <w:tcPr>
            <w:tcW w:w="1621" w:type="dxa"/>
          </w:tcPr>
          <w:p w:rsidR="006C17CB" w:rsidRDefault="0030091C">
            <w:pPr>
              <w:pStyle w:val="TableParagraph"/>
              <w:spacing w:line="203" w:lineRule="exact"/>
              <w:ind w:right="467"/>
              <w:rPr>
                <w:sz w:val="20"/>
              </w:rPr>
            </w:pPr>
            <w:r>
              <w:rPr>
                <w:color w:val="003366"/>
                <w:w w:val="95"/>
                <w:sz w:val="20"/>
              </w:rPr>
              <w:t>(583)</w:t>
            </w:r>
          </w:p>
        </w:tc>
        <w:tc>
          <w:tcPr>
            <w:tcW w:w="1007" w:type="dxa"/>
          </w:tcPr>
          <w:p w:rsidR="006C17CB" w:rsidRDefault="0030091C">
            <w:pPr>
              <w:pStyle w:val="TableParagraph"/>
              <w:spacing w:line="203" w:lineRule="exact"/>
              <w:ind w:right="110"/>
              <w:rPr>
                <w:sz w:val="20"/>
              </w:rPr>
            </w:pPr>
            <w:r>
              <w:rPr>
                <w:color w:val="003366"/>
                <w:w w:val="95"/>
                <w:sz w:val="20"/>
              </w:rPr>
              <w:t>(911)</w:t>
            </w:r>
          </w:p>
        </w:tc>
      </w:tr>
      <w:tr w:rsidR="006C17CB">
        <w:trPr>
          <w:trHeight w:val="572"/>
        </w:trPr>
        <w:tc>
          <w:tcPr>
            <w:tcW w:w="6108" w:type="dxa"/>
          </w:tcPr>
          <w:p w:rsidR="006C17CB" w:rsidRDefault="0030091C">
            <w:pPr>
              <w:pStyle w:val="TableParagraph"/>
              <w:spacing w:before="105"/>
              <w:ind w:left="50"/>
              <w:jc w:val="left"/>
              <w:rPr>
                <w:b/>
                <w:sz w:val="20"/>
              </w:rPr>
            </w:pPr>
            <w:r>
              <w:rPr>
                <w:b/>
                <w:color w:val="003366"/>
                <w:sz w:val="20"/>
              </w:rPr>
              <w:t>Add/(Less) Non-Cash Items</w:t>
            </w:r>
          </w:p>
        </w:tc>
        <w:tc>
          <w:tcPr>
            <w:tcW w:w="1621" w:type="dxa"/>
          </w:tcPr>
          <w:p w:rsidR="006C17CB" w:rsidRDefault="006C17CB">
            <w:pPr>
              <w:pStyle w:val="TableParagraph"/>
              <w:jc w:val="left"/>
              <w:rPr>
                <w:rFonts w:ascii="Times New Roman"/>
                <w:sz w:val="20"/>
              </w:rPr>
            </w:pPr>
          </w:p>
        </w:tc>
        <w:tc>
          <w:tcPr>
            <w:tcW w:w="1007" w:type="dxa"/>
          </w:tcPr>
          <w:p w:rsidR="006C17CB" w:rsidRDefault="006C17CB">
            <w:pPr>
              <w:pStyle w:val="TableParagraph"/>
              <w:jc w:val="left"/>
              <w:rPr>
                <w:rFonts w:ascii="Times New Roman"/>
                <w:sz w:val="20"/>
              </w:rPr>
            </w:pPr>
          </w:p>
        </w:tc>
      </w:tr>
      <w:tr w:rsidR="006C17CB">
        <w:trPr>
          <w:trHeight w:val="669"/>
        </w:trPr>
        <w:tc>
          <w:tcPr>
            <w:tcW w:w="6108" w:type="dxa"/>
          </w:tcPr>
          <w:p w:rsidR="006C17CB" w:rsidRDefault="0030091C">
            <w:pPr>
              <w:pStyle w:val="TableParagraph"/>
              <w:spacing w:before="97"/>
              <w:ind w:left="50"/>
              <w:jc w:val="left"/>
              <w:rPr>
                <w:sz w:val="20"/>
              </w:rPr>
            </w:pPr>
            <w:r>
              <w:rPr>
                <w:color w:val="003366"/>
                <w:sz w:val="20"/>
              </w:rPr>
              <w:t>Depreciation of Property, Plant and Equipment</w:t>
            </w:r>
          </w:p>
        </w:tc>
        <w:tc>
          <w:tcPr>
            <w:tcW w:w="1621" w:type="dxa"/>
            <w:tcBorders>
              <w:bottom w:val="single" w:sz="4" w:space="0" w:color="000000"/>
            </w:tcBorders>
          </w:tcPr>
          <w:p w:rsidR="006C17CB" w:rsidRDefault="0030091C">
            <w:pPr>
              <w:pStyle w:val="TableParagraph"/>
              <w:spacing w:before="97"/>
              <w:ind w:right="467"/>
              <w:rPr>
                <w:sz w:val="20"/>
              </w:rPr>
            </w:pPr>
            <w:r>
              <w:rPr>
                <w:color w:val="003366"/>
                <w:w w:val="95"/>
                <w:sz w:val="20"/>
              </w:rPr>
              <w:t>535</w:t>
            </w:r>
          </w:p>
        </w:tc>
        <w:tc>
          <w:tcPr>
            <w:tcW w:w="1007" w:type="dxa"/>
            <w:tcBorders>
              <w:bottom w:val="single" w:sz="4" w:space="0" w:color="000000"/>
            </w:tcBorders>
          </w:tcPr>
          <w:p w:rsidR="006C17CB" w:rsidRDefault="0030091C">
            <w:pPr>
              <w:pStyle w:val="TableParagraph"/>
              <w:spacing w:before="97"/>
              <w:ind w:right="111"/>
              <w:rPr>
                <w:sz w:val="20"/>
              </w:rPr>
            </w:pPr>
            <w:r>
              <w:rPr>
                <w:color w:val="003366"/>
                <w:w w:val="95"/>
                <w:sz w:val="20"/>
              </w:rPr>
              <w:t>760</w:t>
            </w:r>
          </w:p>
        </w:tc>
      </w:tr>
      <w:tr w:rsidR="006C17CB">
        <w:trPr>
          <w:trHeight w:val="282"/>
        </w:trPr>
        <w:tc>
          <w:tcPr>
            <w:tcW w:w="6108" w:type="dxa"/>
          </w:tcPr>
          <w:p w:rsidR="006C17CB" w:rsidRDefault="0030091C">
            <w:pPr>
              <w:pStyle w:val="TableParagraph"/>
              <w:spacing w:line="263" w:lineRule="exact"/>
              <w:ind w:left="50"/>
              <w:jc w:val="left"/>
              <w:rPr>
                <w:b/>
                <w:sz w:val="20"/>
              </w:rPr>
            </w:pPr>
            <w:r>
              <w:rPr>
                <w:b/>
                <w:color w:val="003366"/>
                <w:sz w:val="20"/>
              </w:rPr>
              <w:t>Cash Before Changes in Operating Assets and Liabilities</w:t>
            </w:r>
          </w:p>
        </w:tc>
        <w:tc>
          <w:tcPr>
            <w:tcW w:w="1621" w:type="dxa"/>
            <w:tcBorders>
              <w:top w:val="single" w:sz="4" w:space="0" w:color="000000"/>
              <w:bottom w:val="single" w:sz="4" w:space="0" w:color="000000"/>
            </w:tcBorders>
          </w:tcPr>
          <w:p w:rsidR="006C17CB" w:rsidRDefault="0030091C">
            <w:pPr>
              <w:pStyle w:val="TableParagraph"/>
              <w:spacing w:line="263" w:lineRule="exact"/>
              <w:ind w:right="465"/>
              <w:rPr>
                <w:b/>
                <w:sz w:val="20"/>
              </w:rPr>
            </w:pPr>
            <w:r>
              <w:rPr>
                <w:b/>
                <w:color w:val="003366"/>
                <w:w w:val="95"/>
                <w:sz w:val="20"/>
              </w:rPr>
              <w:t>(48)</w:t>
            </w:r>
          </w:p>
        </w:tc>
        <w:tc>
          <w:tcPr>
            <w:tcW w:w="1007" w:type="dxa"/>
            <w:tcBorders>
              <w:top w:val="single" w:sz="4" w:space="0" w:color="000000"/>
              <w:bottom w:val="single" w:sz="2" w:space="0" w:color="003366"/>
            </w:tcBorders>
          </w:tcPr>
          <w:p w:rsidR="006C17CB" w:rsidRDefault="0030091C">
            <w:pPr>
              <w:pStyle w:val="TableParagraph"/>
              <w:spacing w:line="263" w:lineRule="exact"/>
              <w:ind w:right="111"/>
              <w:rPr>
                <w:b/>
                <w:sz w:val="20"/>
              </w:rPr>
            </w:pPr>
            <w:r>
              <w:rPr>
                <w:b/>
                <w:color w:val="003366"/>
                <w:w w:val="95"/>
                <w:sz w:val="20"/>
              </w:rPr>
              <w:t>(151)</w:t>
            </w:r>
          </w:p>
        </w:tc>
      </w:tr>
      <w:tr w:rsidR="006C17CB">
        <w:trPr>
          <w:trHeight w:val="616"/>
        </w:trPr>
        <w:tc>
          <w:tcPr>
            <w:tcW w:w="6108" w:type="dxa"/>
          </w:tcPr>
          <w:p w:rsidR="006C17CB" w:rsidRDefault="006C17CB">
            <w:pPr>
              <w:pStyle w:val="TableParagraph"/>
              <w:jc w:val="left"/>
              <w:rPr>
                <w:b/>
                <w:sz w:val="20"/>
              </w:rPr>
            </w:pPr>
          </w:p>
          <w:p w:rsidR="006C17CB" w:rsidRDefault="0030091C">
            <w:pPr>
              <w:pStyle w:val="TableParagraph"/>
              <w:ind w:left="50"/>
              <w:jc w:val="left"/>
              <w:rPr>
                <w:b/>
                <w:sz w:val="20"/>
              </w:rPr>
            </w:pPr>
            <w:r>
              <w:rPr>
                <w:b/>
                <w:color w:val="003366"/>
                <w:sz w:val="20"/>
              </w:rPr>
              <w:t>Changes in Operating Assets and Liabilities</w:t>
            </w:r>
          </w:p>
        </w:tc>
        <w:tc>
          <w:tcPr>
            <w:tcW w:w="1621" w:type="dxa"/>
            <w:tcBorders>
              <w:top w:val="single" w:sz="4" w:space="0" w:color="000000"/>
            </w:tcBorders>
          </w:tcPr>
          <w:p w:rsidR="006C17CB" w:rsidRDefault="006C17CB">
            <w:pPr>
              <w:pStyle w:val="TableParagraph"/>
              <w:jc w:val="left"/>
              <w:rPr>
                <w:rFonts w:ascii="Times New Roman"/>
                <w:sz w:val="20"/>
              </w:rPr>
            </w:pPr>
          </w:p>
        </w:tc>
        <w:tc>
          <w:tcPr>
            <w:tcW w:w="1007" w:type="dxa"/>
            <w:tcBorders>
              <w:top w:val="single" w:sz="2" w:space="0" w:color="003366"/>
            </w:tcBorders>
          </w:tcPr>
          <w:p w:rsidR="006C17CB" w:rsidRDefault="006C17CB">
            <w:pPr>
              <w:pStyle w:val="TableParagraph"/>
              <w:jc w:val="left"/>
              <w:rPr>
                <w:rFonts w:ascii="Times New Roman"/>
                <w:sz w:val="20"/>
              </w:rPr>
            </w:pPr>
          </w:p>
        </w:tc>
      </w:tr>
      <w:tr w:rsidR="006C17CB">
        <w:trPr>
          <w:trHeight w:val="284"/>
        </w:trPr>
        <w:tc>
          <w:tcPr>
            <w:tcW w:w="6108" w:type="dxa"/>
          </w:tcPr>
          <w:p w:rsidR="006C17CB" w:rsidRDefault="0030091C">
            <w:pPr>
              <w:pStyle w:val="TableParagraph"/>
              <w:spacing w:line="246" w:lineRule="exact"/>
              <w:ind w:left="50"/>
              <w:jc w:val="left"/>
              <w:rPr>
                <w:sz w:val="20"/>
              </w:rPr>
            </w:pPr>
            <w:r>
              <w:rPr>
                <w:color w:val="003366"/>
                <w:sz w:val="20"/>
              </w:rPr>
              <w:t>(Increase)/Decrease in Receivables</w:t>
            </w:r>
          </w:p>
        </w:tc>
        <w:tc>
          <w:tcPr>
            <w:tcW w:w="1621" w:type="dxa"/>
          </w:tcPr>
          <w:p w:rsidR="006C17CB" w:rsidRDefault="0030091C">
            <w:pPr>
              <w:pStyle w:val="TableParagraph"/>
              <w:spacing w:line="246" w:lineRule="exact"/>
              <w:ind w:right="467"/>
              <w:rPr>
                <w:sz w:val="20"/>
              </w:rPr>
            </w:pPr>
            <w:r>
              <w:rPr>
                <w:color w:val="003366"/>
                <w:sz w:val="20"/>
              </w:rPr>
              <w:t>(2)</w:t>
            </w:r>
          </w:p>
        </w:tc>
        <w:tc>
          <w:tcPr>
            <w:tcW w:w="1007" w:type="dxa"/>
          </w:tcPr>
          <w:p w:rsidR="006C17CB" w:rsidRDefault="0030091C">
            <w:pPr>
              <w:pStyle w:val="TableParagraph"/>
              <w:spacing w:line="246" w:lineRule="exact"/>
              <w:ind w:right="108"/>
              <w:rPr>
                <w:sz w:val="20"/>
              </w:rPr>
            </w:pPr>
            <w:r>
              <w:rPr>
                <w:color w:val="003366"/>
                <w:w w:val="95"/>
                <w:sz w:val="20"/>
              </w:rPr>
              <w:t>35</w:t>
            </w:r>
          </w:p>
        </w:tc>
      </w:tr>
      <w:tr w:rsidR="006C17CB">
        <w:trPr>
          <w:trHeight w:val="284"/>
        </w:trPr>
        <w:tc>
          <w:tcPr>
            <w:tcW w:w="6108" w:type="dxa"/>
          </w:tcPr>
          <w:p w:rsidR="006C17CB" w:rsidRDefault="0030091C">
            <w:pPr>
              <w:pStyle w:val="TableParagraph"/>
              <w:spacing w:line="245" w:lineRule="exact"/>
              <w:ind w:left="50"/>
              <w:jc w:val="left"/>
              <w:rPr>
                <w:sz w:val="20"/>
              </w:rPr>
            </w:pPr>
            <w:r>
              <w:rPr>
                <w:color w:val="003366"/>
                <w:sz w:val="20"/>
              </w:rPr>
              <w:t>(Decrease)/Increase in Payables</w:t>
            </w:r>
          </w:p>
        </w:tc>
        <w:tc>
          <w:tcPr>
            <w:tcW w:w="1621" w:type="dxa"/>
          </w:tcPr>
          <w:p w:rsidR="006C17CB" w:rsidRDefault="0030091C">
            <w:pPr>
              <w:pStyle w:val="TableParagraph"/>
              <w:spacing w:line="245" w:lineRule="exact"/>
              <w:ind w:right="467"/>
              <w:rPr>
                <w:sz w:val="20"/>
              </w:rPr>
            </w:pPr>
            <w:r>
              <w:rPr>
                <w:color w:val="003366"/>
                <w:w w:val="95"/>
                <w:sz w:val="20"/>
              </w:rPr>
              <w:t>(14)</w:t>
            </w:r>
          </w:p>
        </w:tc>
        <w:tc>
          <w:tcPr>
            <w:tcW w:w="1007" w:type="dxa"/>
          </w:tcPr>
          <w:p w:rsidR="006C17CB" w:rsidRDefault="0030091C">
            <w:pPr>
              <w:pStyle w:val="TableParagraph"/>
              <w:spacing w:line="245" w:lineRule="exact"/>
              <w:ind w:right="108"/>
              <w:rPr>
                <w:sz w:val="20"/>
              </w:rPr>
            </w:pPr>
            <w:r>
              <w:rPr>
                <w:color w:val="003366"/>
                <w:w w:val="95"/>
                <w:sz w:val="20"/>
              </w:rPr>
              <w:t>53</w:t>
            </w:r>
          </w:p>
        </w:tc>
      </w:tr>
      <w:tr w:rsidR="006C17CB">
        <w:trPr>
          <w:trHeight w:val="286"/>
        </w:trPr>
        <w:tc>
          <w:tcPr>
            <w:tcW w:w="6108" w:type="dxa"/>
          </w:tcPr>
          <w:p w:rsidR="006C17CB" w:rsidRDefault="0030091C">
            <w:pPr>
              <w:pStyle w:val="TableParagraph"/>
              <w:spacing w:line="246" w:lineRule="exact"/>
              <w:ind w:left="50"/>
              <w:jc w:val="left"/>
              <w:rPr>
                <w:sz w:val="20"/>
              </w:rPr>
            </w:pPr>
            <w:r>
              <w:rPr>
                <w:color w:val="003366"/>
                <w:sz w:val="20"/>
              </w:rPr>
              <w:t>Increase/(Decrease) in Employee Benefits</w:t>
            </w:r>
          </w:p>
        </w:tc>
        <w:tc>
          <w:tcPr>
            <w:tcW w:w="2628" w:type="dxa"/>
            <w:gridSpan w:val="2"/>
          </w:tcPr>
          <w:p w:rsidR="006C17CB" w:rsidRDefault="0030091C">
            <w:pPr>
              <w:pStyle w:val="TableParagraph"/>
              <w:tabs>
                <w:tab w:val="left" w:pos="952"/>
                <w:tab w:val="left" w:pos="2092"/>
              </w:tabs>
              <w:spacing w:line="246" w:lineRule="exact"/>
              <w:ind w:left="-1"/>
              <w:jc w:val="left"/>
              <w:rPr>
                <w:sz w:val="20"/>
              </w:rPr>
            </w:pPr>
            <w:r>
              <w:rPr>
                <w:color w:val="003366"/>
                <w:w w:val="99"/>
                <w:sz w:val="20"/>
                <w:u w:val="single" w:color="003366"/>
              </w:rPr>
              <w:t xml:space="preserve"> </w:t>
            </w:r>
            <w:r>
              <w:rPr>
                <w:color w:val="003366"/>
                <w:sz w:val="20"/>
                <w:u w:val="single" w:color="003366"/>
              </w:rPr>
              <w:tab/>
              <w:t>94</w:t>
            </w:r>
            <w:r>
              <w:rPr>
                <w:color w:val="003366"/>
                <w:sz w:val="20"/>
                <w:u w:val="single" w:color="003366"/>
              </w:rPr>
              <w:tab/>
              <w:t>(135)</w:t>
            </w:r>
            <w:r>
              <w:rPr>
                <w:color w:val="003366"/>
                <w:spacing w:val="20"/>
                <w:sz w:val="20"/>
                <w:u w:val="single" w:color="003366"/>
              </w:rPr>
              <w:t xml:space="preserve"> </w:t>
            </w:r>
          </w:p>
        </w:tc>
      </w:tr>
      <w:tr w:rsidR="006C17CB">
        <w:trPr>
          <w:trHeight w:val="546"/>
        </w:trPr>
        <w:tc>
          <w:tcPr>
            <w:tcW w:w="6108" w:type="dxa"/>
          </w:tcPr>
          <w:p w:rsidR="006C17CB" w:rsidRDefault="0030091C">
            <w:pPr>
              <w:pStyle w:val="TableParagraph"/>
              <w:spacing w:line="248" w:lineRule="exact"/>
              <w:ind w:left="50"/>
              <w:jc w:val="left"/>
              <w:rPr>
                <w:b/>
                <w:sz w:val="20"/>
              </w:rPr>
            </w:pPr>
            <w:r>
              <w:rPr>
                <w:b/>
                <w:color w:val="003366"/>
                <w:sz w:val="20"/>
              </w:rPr>
              <w:t>Net Changes in Operating Assets and Liabilities</w:t>
            </w:r>
          </w:p>
        </w:tc>
        <w:tc>
          <w:tcPr>
            <w:tcW w:w="2628" w:type="dxa"/>
            <w:gridSpan w:val="2"/>
            <w:tcBorders>
              <w:bottom w:val="single" w:sz="2" w:space="0" w:color="003366"/>
            </w:tcBorders>
          </w:tcPr>
          <w:p w:rsidR="006C17CB" w:rsidRDefault="0030091C">
            <w:pPr>
              <w:pStyle w:val="TableParagraph"/>
              <w:tabs>
                <w:tab w:val="left" w:pos="952"/>
                <w:tab w:val="left" w:pos="2190"/>
              </w:tabs>
              <w:spacing w:line="248" w:lineRule="exact"/>
              <w:ind w:left="-1"/>
              <w:jc w:val="left"/>
              <w:rPr>
                <w:b/>
                <w:sz w:val="20"/>
              </w:rPr>
            </w:pPr>
            <w:r>
              <w:rPr>
                <w:b/>
                <w:color w:val="003366"/>
                <w:w w:val="99"/>
                <w:sz w:val="20"/>
                <w:u w:val="single" w:color="003366"/>
              </w:rPr>
              <w:t xml:space="preserve"> </w:t>
            </w:r>
            <w:r>
              <w:rPr>
                <w:b/>
                <w:color w:val="003366"/>
                <w:sz w:val="20"/>
                <w:u w:val="single" w:color="003366"/>
              </w:rPr>
              <w:tab/>
              <w:t>78</w:t>
            </w:r>
            <w:r>
              <w:rPr>
                <w:b/>
                <w:color w:val="003366"/>
                <w:sz w:val="20"/>
                <w:u w:val="single" w:color="003366"/>
              </w:rPr>
              <w:tab/>
              <w:t>(47)</w:t>
            </w:r>
            <w:r>
              <w:rPr>
                <w:b/>
                <w:color w:val="003366"/>
                <w:spacing w:val="20"/>
                <w:sz w:val="20"/>
                <w:u w:val="single" w:color="003366"/>
              </w:rPr>
              <w:t xml:space="preserve"> </w:t>
            </w:r>
          </w:p>
        </w:tc>
      </w:tr>
      <w:tr w:rsidR="006C17CB">
        <w:trPr>
          <w:trHeight w:val="284"/>
        </w:trPr>
        <w:tc>
          <w:tcPr>
            <w:tcW w:w="6108" w:type="dxa"/>
          </w:tcPr>
          <w:p w:rsidR="006C17CB" w:rsidRDefault="0030091C">
            <w:pPr>
              <w:pStyle w:val="TableParagraph"/>
              <w:spacing w:line="265" w:lineRule="exact"/>
              <w:ind w:left="50"/>
              <w:jc w:val="left"/>
              <w:rPr>
                <w:b/>
                <w:sz w:val="20"/>
              </w:rPr>
            </w:pPr>
            <w:r>
              <w:rPr>
                <w:b/>
                <w:color w:val="003366"/>
                <w:sz w:val="20"/>
              </w:rPr>
              <w:t>Net Cash Inflows/(Outflows) from Operating Activities</w:t>
            </w:r>
          </w:p>
        </w:tc>
        <w:tc>
          <w:tcPr>
            <w:tcW w:w="2628" w:type="dxa"/>
            <w:gridSpan w:val="2"/>
            <w:tcBorders>
              <w:top w:val="single" w:sz="2" w:space="0" w:color="003366"/>
              <w:bottom w:val="double" w:sz="1" w:space="0" w:color="003366"/>
            </w:tcBorders>
          </w:tcPr>
          <w:p w:rsidR="006C17CB" w:rsidRDefault="0030091C">
            <w:pPr>
              <w:pStyle w:val="TableParagraph"/>
              <w:tabs>
                <w:tab w:val="left" w:pos="2087"/>
              </w:tabs>
              <w:spacing w:line="265" w:lineRule="exact"/>
              <w:ind w:left="952"/>
              <w:jc w:val="left"/>
              <w:rPr>
                <w:b/>
                <w:sz w:val="20"/>
              </w:rPr>
            </w:pPr>
            <w:r>
              <w:rPr>
                <w:b/>
                <w:color w:val="003366"/>
                <w:sz w:val="20"/>
              </w:rPr>
              <w:t>30</w:t>
            </w:r>
            <w:r>
              <w:rPr>
                <w:b/>
                <w:color w:val="003366"/>
                <w:sz w:val="20"/>
              </w:rPr>
              <w:tab/>
              <w:t>(198)</w:t>
            </w:r>
          </w:p>
        </w:tc>
      </w:tr>
      <w:tr w:rsidR="006C17CB">
        <w:trPr>
          <w:trHeight w:val="743"/>
        </w:trPr>
        <w:tc>
          <w:tcPr>
            <w:tcW w:w="6108" w:type="dxa"/>
          </w:tcPr>
          <w:p w:rsidR="006C17CB" w:rsidRDefault="006C17CB">
            <w:pPr>
              <w:pStyle w:val="TableParagraph"/>
              <w:spacing w:before="12"/>
              <w:jc w:val="left"/>
              <w:rPr>
                <w:b/>
                <w:sz w:val="27"/>
              </w:rPr>
            </w:pPr>
          </w:p>
          <w:p w:rsidR="006C17CB" w:rsidRDefault="0030091C">
            <w:pPr>
              <w:pStyle w:val="TableParagraph"/>
              <w:tabs>
                <w:tab w:val="left" w:pos="1185"/>
              </w:tabs>
              <w:spacing w:line="321" w:lineRule="exact"/>
              <w:ind w:left="52"/>
              <w:jc w:val="left"/>
              <w:rPr>
                <w:b/>
                <w:sz w:val="24"/>
              </w:rPr>
            </w:pPr>
            <w:r>
              <w:rPr>
                <w:b/>
                <w:color w:val="003366"/>
                <w:sz w:val="24"/>
              </w:rPr>
              <w:t>NOTE</w:t>
            </w:r>
            <w:r>
              <w:rPr>
                <w:b/>
                <w:color w:val="003366"/>
                <w:spacing w:val="-1"/>
                <w:sz w:val="24"/>
              </w:rPr>
              <w:t xml:space="preserve"> </w:t>
            </w:r>
            <w:r>
              <w:rPr>
                <w:b/>
                <w:color w:val="003366"/>
                <w:sz w:val="24"/>
              </w:rPr>
              <w:t>34.</w:t>
            </w:r>
            <w:r>
              <w:rPr>
                <w:b/>
                <w:color w:val="003366"/>
                <w:sz w:val="24"/>
              </w:rPr>
              <w:tab/>
              <w:t>FINANCIAL INSTRUMENTS –</w:t>
            </w:r>
            <w:r>
              <w:rPr>
                <w:b/>
                <w:color w:val="003366"/>
                <w:spacing w:val="-3"/>
                <w:sz w:val="24"/>
              </w:rPr>
              <w:t xml:space="preserve"> </w:t>
            </w:r>
            <w:r>
              <w:rPr>
                <w:b/>
                <w:color w:val="003366"/>
                <w:sz w:val="24"/>
              </w:rPr>
              <w:t>TERRITORIAL</w:t>
            </w:r>
          </w:p>
        </w:tc>
        <w:tc>
          <w:tcPr>
            <w:tcW w:w="2628" w:type="dxa"/>
            <w:gridSpan w:val="2"/>
            <w:tcBorders>
              <w:top w:val="double" w:sz="1" w:space="0" w:color="003366"/>
            </w:tcBorders>
          </w:tcPr>
          <w:p w:rsidR="006C17CB" w:rsidRDefault="006C17CB">
            <w:pPr>
              <w:pStyle w:val="TableParagraph"/>
              <w:jc w:val="left"/>
              <w:rPr>
                <w:rFonts w:ascii="Times New Roman"/>
                <w:sz w:val="20"/>
              </w:rPr>
            </w:pPr>
          </w:p>
        </w:tc>
      </w:tr>
    </w:tbl>
    <w:p w:rsidR="006C17CB" w:rsidRDefault="006C17CB">
      <w:pPr>
        <w:pStyle w:val="BodyText"/>
        <w:spacing w:before="6"/>
        <w:rPr>
          <w:rFonts w:ascii="Calibri"/>
          <w:b/>
          <w:sz w:val="16"/>
        </w:rPr>
      </w:pPr>
    </w:p>
    <w:p w:rsidR="006C17CB" w:rsidRDefault="0030091C">
      <w:pPr>
        <w:spacing w:line="201" w:lineRule="auto"/>
        <w:ind w:left="829" w:right="1412"/>
        <w:rPr>
          <w:rFonts w:ascii="Calibri"/>
          <w:sz w:val="20"/>
        </w:rPr>
      </w:pPr>
      <w:r>
        <w:rPr>
          <w:rFonts w:ascii="Calibri"/>
          <w:color w:val="003366"/>
          <w:sz w:val="20"/>
        </w:rPr>
        <w:t>Financial assets and liabilities are carried at amortised cost. The carrying amounts approximate fair value. They are non-interest bearing.</w:t>
      </w:r>
    </w:p>
    <w:p w:rsidR="006C17CB" w:rsidRDefault="0030091C">
      <w:pPr>
        <w:spacing w:before="86"/>
        <w:ind w:left="829"/>
        <w:rPr>
          <w:rFonts w:ascii="Calibri" w:hAnsi="Calibri"/>
          <w:sz w:val="20"/>
        </w:rPr>
      </w:pPr>
      <w:r>
        <w:rPr>
          <w:rFonts w:ascii="Calibri" w:hAnsi="Calibri"/>
          <w:color w:val="003366"/>
          <w:sz w:val="20"/>
        </w:rPr>
        <w:t>The Office’s Territorial entity is not exposed to any interest rate, credit or price risk.</w:t>
      </w:r>
    </w:p>
    <w:p w:rsidR="006C17CB" w:rsidRDefault="006C17CB">
      <w:pPr>
        <w:pStyle w:val="BodyText"/>
        <w:spacing w:before="9"/>
        <w:rPr>
          <w:rFonts w:ascii="Calibri"/>
          <w:sz w:val="16"/>
        </w:rPr>
      </w:pPr>
    </w:p>
    <w:p w:rsidR="006C17CB" w:rsidRDefault="0030091C">
      <w:pPr>
        <w:ind w:left="829"/>
        <w:rPr>
          <w:rFonts w:ascii="Calibri"/>
          <w:b/>
          <w:sz w:val="20"/>
        </w:rPr>
      </w:pPr>
      <w:r>
        <w:rPr>
          <w:rFonts w:ascii="Calibri"/>
          <w:b/>
          <w:color w:val="003366"/>
          <w:sz w:val="20"/>
        </w:rPr>
        <w:t>Liquidity Risk</w:t>
      </w:r>
    </w:p>
    <w:p w:rsidR="006C17CB" w:rsidRDefault="006C17CB">
      <w:pPr>
        <w:pStyle w:val="BodyText"/>
        <w:spacing w:before="13"/>
        <w:rPr>
          <w:rFonts w:ascii="Calibri"/>
          <w:b/>
          <w:sz w:val="13"/>
        </w:rPr>
      </w:pPr>
    </w:p>
    <w:p w:rsidR="006C17CB" w:rsidRDefault="0030091C">
      <w:pPr>
        <w:spacing w:line="204" w:lineRule="auto"/>
        <w:ind w:left="829" w:right="1412"/>
        <w:rPr>
          <w:rFonts w:ascii="Calibri"/>
          <w:sz w:val="20"/>
        </w:rPr>
      </w:pPr>
      <w:r>
        <w:rPr>
          <w:rFonts w:ascii="Calibri"/>
          <w:color w:val="003366"/>
          <w:sz w:val="20"/>
        </w:rPr>
        <w:t>Liquidity risk is the risk that the Office will encounter difficulties in meeting obligations associated with financial liabilities that are settled by delivering cash or another financial asset.</w:t>
      </w:r>
    </w:p>
    <w:p w:rsidR="006C17CB" w:rsidRDefault="0030091C">
      <w:pPr>
        <w:spacing w:before="119" w:line="204" w:lineRule="auto"/>
        <w:ind w:left="829" w:right="1521"/>
        <w:jc w:val="both"/>
        <w:rPr>
          <w:rFonts w:ascii="Calibri"/>
          <w:sz w:val="20"/>
        </w:rPr>
      </w:pPr>
      <w:r>
        <w:rPr>
          <w:rFonts w:ascii="Calibri"/>
          <w:color w:val="003366"/>
          <w:sz w:val="20"/>
        </w:rPr>
        <w:t>The Office has the ability to request additional appropriation (Payment for Expenses on Behalf of the Territory) in order to meet its Territorial payables. This ensures the Office has enough liquidity to meet is emerging financial liabilities.</w:t>
      </w:r>
    </w:p>
    <w:p w:rsidR="006C17CB" w:rsidRDefault="0030091C">
      <w:pPr>
        <w:spacing w:before="117" w:line="204" w:lineRule="auto"/>
        <w:ind w:left="829" w:right="1412"/>
        <w:rPr>
          <w:rFonts w:ascii="Calibri" w:hAnsi="Calibri"/>
          <w:sz w:val="20"/>
        </w:rPr>
      </w:pPr>
      <w:r>
        <w:rPr>
          <w:rFonts w:ascii="Calibri" w:hAnsi="Calibri"/>
          <w:color w:val="003366"/>
          <w:sz w:val="20"/>
        </w:rPr>
        <w:t>The</w:t>
      </w:r>
      <w:r>
        <w:rPr>
          <w:rFonts w:ascii="Calibri" w:hAnsi="Calibri"/>
          <w:color w:val="003366"/>
          <w:spacing w:val="-11"/>
          <w:sz w:val="20"/>
        </w:rPr>
        <w:t xml:space="preserve"> </w:t>
      </w:r>
      <w:r>
        <w:rPr>
          <w:rFonts w:ascii="Calibri" w:hAnsi="Calibri"/>
          <w:color w:val="003366"/>
          <w:sz w:val="20"/>
        </w:rPr>
        <w:t>Office’s</w:t>
      </w:r>
      <w:r>
        <w:rPr>
          <w:rFonts w:ascii="Calibri" w:hAnsi="Calibri"/>
          <w:color w:val="003366"/>
          <w:spacing w:val="-11"/>
          <w:sz w:val="20"/>
        </w:rPr>
        <w:t xml:space="preserve"> </w:t>
      </w:r>
      <w:r>
        <w:rPr>
          <w:rFonts w:ascii="Calibri" w:hAnsi="Calibri"/>
          <w:color w:val="003366"/>
          <w:sz w:val="20"/>
        </w:rPr>
        <w:t>exposure</w:t>
      </w:r>
      <w:r>
        <w:rPr>
          <w:rFonts w:ascii="Calibri" w:hAnsi="Calibri"/>
          <w:color w:val="003366"/>
          <w:spacing w:val="-11"/>
          <w:sz w:val="20"/>
        </w:rPr>
        <w:t xml:space="preserve"> </w:t>
      </w:r>
      <w:r>
        <w:rPr>
          <w:rFonts w:ascii="Calibri" w:hAnsi="Calibri"/>
          <w:color w:val="003366"/>
          <w:sz w:val="20"/>
        </w:rPr>
        <w:t>to</w:t>
      </w:r>
      <w:r>
        <w:rPr>
          <w:rFonts w:ascii="Calibri" w:hAnsi="Calibri"/>
          <w:color w:val="003366"/>
          <w:spacing w:val="-10"/>
          <w:sz w:val="20"/>
        </w:rPr>
        <w:t xml:space="preserve"> </w:t>
      </w:r>
      <w:r>
        <w:rPr>
          <w:rFonts w:ascii="Calibri" w:hAnsi="Calibri"/>
          <w:color w:val="003366"/>
          <w:sz w:val="20"/>
        </w:rPr>
        <w:t>liquidity</w:t>
      </w:r>
      <w:r>
        <w:rPr>
          <w:rFonts w:ascii="Calibri" w:hAnsi="Calibri"/>
          <w:color w:val="003366"/>
          <w:spacing w:val="-9"/>
          <w:sz w:val="20"/>
        </w:rPr>
        <w:t xml:space="preserve"> </w:t>
      </w:r>
      <w:r>
        <w:rPr>
          <w:rFonts w:ascii="Calibri" w:hAnsi="Calibri"/>
          <w:color w:val="003366"/>
          <w:sz w:val="20"/>
        </w:rPr>
        <w:t>risk</w:t>
      </w:r>
      <w:r>
        <w:rPr>
          <w:rFonts w:ascii="Calibri" w:hAnsi="Calibri"/>
          <w:color w:val="003366"/>
          <w:spacing w:val="-10"/>
          <w:sz w:val="20"/>
        </w:rPr>
        <w:t xml:space="preserve"> </w:t>
      </w:r>
      <w:r>
        <w:rPr>
          <w:rFonts w:ascii="Calibri" w:hAnsi="Calibri"/>
          <w:color w:val="003366"/>
          <w:sz w:val="20"/>
        </w:rPr>
        <w:t>and</w:t>
      </w:r>
      <w:r>
        <w:rPr>
          <w:rFonts w:ascii="Calibri" w:hAnsi="Calibri"/>
          <w:color w:val="003366"/>
          <w:spacing w:val="-9"/>
          <w:sz w:val="20"/>
        </w:rPr>
        <w:t xml:space="preserve"> </w:t>
      </w:r>
      <w:r>
        <w:rPr>
          <w:rFonts w:ascii="Calibri" w:hAnsi="Calibri"/>
          <w:color w:val="003366"/>
          <w:sz w:val="20"/>
        </w:rPr>
        <w:t>the</w:t>
      </w:r>
      <w:r>
        <w:rPr>
          <w:rFonts w:ascii="Calibri" w:hAnsi="Calibri"/>
          <w:color w:val="003366"/>
          <w:spacing w:val="-11"/>
          <w:sz w:val="20"/>
        </w:rPr>
        <w:t xml:space="preserve"> </w:t>
      </w:r>
      <w:r>
        <w:rPr>
          <w:rFonts w:ascii="Calibri" w:hAnsi="Calibri"/>
          <w:color w:val="003366"/>
          <w:sz w:val="20"/>
        </w:rPr>
        <w:t>management</w:t>
      </w:r>
      <w:r>
        <w:rPr>
          <w:rFonts w:ascii="Calibri" w:hAnsi="Calibri"/>
          <w:color w:val="003366"/>
          <w:spacing w:val="-10"/>
          <w:sz w:val="20"/>
        </w:rPr>
        <w:t xml:space="preserve"> </w:t>
      </w:r>
      <w:r>
        <w:rPr>
          <w:rFonts w:ascii="Calibri" w:hAnsi="Calibri"/>
          <w:color w:val="003366"/>
          <w:sz w:val="20"/>
        </w:rPr>
        <w:t>of</w:t>
      </w:r>
      <w:r>
        <w:rPr>
          <w:rFonts w:ascii="Calibri" w:hAnsi="Calibri"/>
          <w:color w:val="003366"/>
          <w:spacing w:val="-11"/>
          <w:sz w:val="20"/>
        </w:rPr>
        <w:t xml:space="preserve"> </w:t>
      </w:r>
      <w:r>
        <w:rPr>
          <w:rFonts w:ascii="Calibri" w:hAnsi="Calibri"/>
          <w:color w:val="003366"/>
          <w:sz w:val="20"/>
        </w:rPr>
        <w:t>this</w:t>
      </w:r>
      <w:r>
        <w:rPr>
          <w:rFonts w:ascii="Calibri" w:hAnsi="Calibri"/>
          <w:color w:val="003366"/>
          <w:spacing w:val="-11"/>
          <w:sz w:val="20"/>
        </w:rPr>
        <w:t xml:space="preserve"> </w:t>
      </w:r>
      <w:r>
        <w:rPr>
          <w:rFonts w:ascii="Calibri" w:hAnsi="Calibri"/>
          <w:color w:val="003366"/>
          <w:sz w:val="20"/>
        </w:rPr>
        <w:t>risk</w:t>
      </w:r>
      <w:r>
        <w:rPr>
          <w:rFonts w:ascii="Calibri" w:hAnsi="Calibri"/>
          <w:color w:val="003366"/>
          <w:spacing w:val="-10"/>
          <w:sz w:val="20"/>
        </w:rPr>
        <w:t xml:space="preserve"> </w:t>
      </w:r>
      <w:r>
        <w:rPr>
          <w:rFonts w:ascii="Calibri" w:hAnsi="Calibri"/>
          <w:color w:val="003366"/>
          <w:sz w:val="20"/>
        </w:rPr>
        <w:t>have</w:t>
      </w:r>
      <w:r>
        <w:rPr>
          <w:rFonts w:ascii="Calibri" w:hAnsi="Calibri"/>
          <w:color w:val="003366"/>
          <w:spacing w:val="-11"/>
          <w:sz w:val="20"/>
        </w:rPr>
        <w:t xml:space="preserve"> </w:t>
      </w:r>
      <w:r>
        <w:rPr>
          <w:rFonts w:ascii="Calibri" w:hAnsi="Calibri"/>
          <w:color w:val="003366"/>
          <w:sz w:val="20"/>
        </w:rPr>
        <w:t>not</w:t>
      </w:r>
      <w:r>
        <w:rPr>
          <w:rFonts w:ascii="Calibri" w:hAnsi="Calibri"/>
          <w:color w:val="003366"/>
          <w:spacing w:val="-10"/>
          <w:sz w:val="20"/>
        </w:rPr>
        <w:t xml:space="preserve"> </w:t>
      </w:r>
      <w:r>
        <w:rPr>
          <w:rFonts w:ascii="Calibri" w:hAnsi="Calibri"/>
          <w:color w:val="003366"/>
          <w:sz w:val="20"/>
        </w:rPr>
        <w:t>changed</w:t>
      </w:r>
      <w:r>
        <w:rPr>
          <w:rFonts w:ascii="Calibri" w:hAnsi="Calibri"/>
          <w:color w:val="003366"/>
          <w:spacing w:val="-9"/>
          <w:sz w:val="20"/>
        </w:rPr>
        <w:t xml:space="preserve"> </w:t>
      </w:r>
      <w:r>
        <w:rPr>
          <w:rFonts w:ascii="Calibri" w:hAnsi="Calibri"/>
          <w:color w:val="003366"/>
          <w:sz w:val="20"/>
        </w:rPr>
        <w:t>since</w:t>
      </w:r>
      <w:r>
        <w:rPr>
          <w:rFonts w:ascii="Calibri" w:hAnsi="Calibri"/>
          <w:color w:val="003366"/>
          <w:spacing w:val="-11"/>
          <w:sz w:val="20"/>
        </w:rPr>
        <w:t xml:space="preserve"> </w:t>
      </w:r>
      <w:r>
        <w:rPr>
          <w:rFonts w:ascii="Calibri" w:hAnsi="Calibri"/>
          <w:color w:val="003366"/>
          <w:sz w:val="20"/>
        </w:rPr>
        <w:t>the</w:t>
      </w:r>
      <w:r>
        <w:rPr>
          <w:rFonts w:ascii="Calibri" w:hAnsi="Calibri"/>
          <w:color w:val="003366"/>
          <w:spacing w:val="-11"/>
          <w:sz w:val="20"/>
        </w:rPr>
        <w:t xml:space="preserve"> </w:t>
      </w:r>
      <w:r>
        <w:rPr>
          <w:rFonts w:ascii="Calibri" w:hAnsi="Calibri"/>
          <w:color w:val="003366"/>
          <w:sz w:val="20"/>
        </w:rPr>
        <w:t>previous reporting</w:t>
      </w:r>
      <w:r>
        <w:rPr>
          <w:rFonts w:ascii="Calibri" w:hAnsi="Calibri"/>
          <w:color w:val="003366"/>
          <w:spacing w:val="-1"/>
          <w:sz w:val="20"/>
        </w:rPr>
        <w:t xml:space="preserve"> </w:t>
      </w:r>
      <w:r>
        <w:rPr>
          <w:rFonts w:ascii="Calibri" w:hAnsi="Calibri"/>
          <w:color w:val="003366"/>
          <w:sz w:val="20"/>
        </w:rPr>
        <w:t>period.</w:t>
      </w:r>
    </w:p>
    <w:p w:rsidR="006C17CB" w:rsidRDefault="006C17CB">
      <w:pPr>
        <w:spacing w:line="204" w:lineRule="auto"/>
        <w:rPr>
          <w:rFonts w:ascii="Calibri" w:hAnsi="Calibri"/>
          <w:sz w:val="20"/>
        </w:rPr>
        <w:sectPr w:rsidR="006C17CB">
          <w:type w:val="continuous"/>
          <w:pgSz w:w="11910" w:h="16840"/>
          <w:pgMar w:top="1580" w:right="0" w:bottom="280" w:left="980" w:header="720" w:footer="720" w:gutter="0"/>
          <w:cols w:space="720"/>
        </w:sectPr>
      </w:pPr>
    </w:p>
    <w:p w:rsidR="006C17CB" w:rsidRDefault="006C17CB">
      <w:pPr>
        <w:pStyle w:val="BodyText"/>
        <w:spacing w:before="9"/>
        <w:rPr>
          <w:rFonts w:ascii="Calibri"/>
          <w:sz w:val="21"/>
        </w:rPr>
      </w:pPr>
    </w:p>
    <w:p w:rsidR="006C17CB" w:rsidRDefault="0030091C">
      <w:pPr>
        <w:pStyle w:val="Heading6"/>
        <w:tabs>
          <w:tab w:val="left" w:pos="1962"/>
        </w:tabs>
        <w:spacing w:line="345" w:lineRule="exact"/>
      </w:pPr>
      <w:r>
        <w:rPr>
          <w:color w:val="003366"/>
        </w:rPr>
        <w:t>NOTE</w:t>
      </w:r>
      <w:r>
        <w:rPr>
          <w:color w:val="003366"/>
          <w:spacing w:val="-1"/>
        </w:rPr>
        <w:t xml:space="preserve"> </w:t>
      </w:r>
      <w:r>
        <w:rPr>
          <w:color w:val="003366"/>
        </w:rPr>
        <w:t>35.</w:t>
      </w:r>
      <w:r>
        <w:rPr>
          <w:color w:val="003366"/>
        </w:rPr>
        <w:tab/>
        <w:t>BUDGETARY REPORTING –</w:t>
      </w:r>
      <w:r>
        <w:rPr>
          <w:color w:val="003366"/>
          <w:spacing w:val="-1"/>
        </w:rPr>
        <w:t xml:space="preserve"> </w:t>
      </w:r>
      <w:r>
        <w:rPr>
          <w:color w:val="003366"/>
        </w:rPr>
        <w:t>TERRITORIAL</w:t>
      </w:r>
    </w:p>
    <w:p w:rsidR="006C17CB" w:rsidRDefault="0030091C">
      <w:pPr>
        <w:spacing w:before="197"/>
        <w:ind w:left="829"/>
        <w:rPr>
          <w:rFonts w:ascii="Calibri" w:hAnsi="Calibri"/>
          <w:i/>
          <w:sz w:val="20"/>
        </w:rPr>
      </w:pPr>
      <w:r>
        <w:rPr>
          <w:rFonts w:ascii="Calibri" w:hAnsi="Calibri"/>
          <w:i/>
          <w:color w:val="17365D"/>
          <w:sz w:val="20"/>
        </w:rPr>
        <w:t>Significant Judgements and Estimates – Budgetary Reporting</w:t>
      </w:r>
    </w:p>
    <w:p w:rsidR="006C17CB" w:rsidRDefault="0030091C">
      <w:pPr>
        <w:spacing w:before="110" w:line="204" w:lineRule="auto"/>
        <w:ind w:left="829" w:right="1412"/>
        <w:rPr>
          <w:rFonts w:ascii="Calibri" w:hAnsi="Calibri"/>
          <w:sz w:val="20"/>
        </w:rPr>
      </w:pPr>
      <w:r>
        <w:rPr>
          <w:rFonts w:ascii="Calibri" w:hAnsi="Calibri"/>
          <w:color w:val="17365D"/>
          <w:sz w:val="20"/>
        </w:rPr>
        <w:t>Significant judgements have been applied in determining what variances are considered as ‘major variances’. Variances are considered to be major variances if both of the following criteria are met:</w:t>
      </w:r>
    </w:p>
    <w:p w:rsidR="006C17CB" w:rsidRDefault="0030091C">
      <w:pPr>
        <w:pStyle w:val="ListParagraph"/>
        <w:numPr>
          <w:ilvl w:val="1"/>
          <w:numId w:val="6"/>
        </w:numPr>
        <w:tabs>
          <w:tab w:val="left" w:pos="1962"/>
          <w:tab w:val="left" w:pos="1963"/>
        </w:tabs>
        <w:spacing w:before="134" w:line="201" w:lineRule="auto"/>
        <w:ind w:right="1522"/>
        <w:jc w:val="both"/>
        <w:rPr>
          <w:rFonts w:ascii="Calibri"/>
          <w:sz w:val="20"/>
        </w:rPr>
      </w:pPr>
      <w:r>
        <w:rPr>
          <w:rFonts w:ascii="Calibri"/>
          <w:color w:val="17365D"/>
          <w:sz w:val="20"/>
        </w:rPr>
        <w:t>The</w:t>
      </w:r>
      <w:r>
        <w:rPr>
          <w:rFonts w:ascii="Calibri"/>
          <w:color w:val="17365D"/>
          <w:spacing w:val="-8"/>
          <w:sz w:val="20"/>
        </w:rPr>
        <w:t xml:space="preserve"> </w:t>
      </w:r>
      <w:r>
        <w:rPr>
          <w:rFonts w:ascii="Calibri"/>
          <w:color w:val="17365D"/>
          <w:sz w:val="20"/>
        </w:rPr>
        <w:t>line</w:t>
      </w:r>
      <w:r>
        <w:rPr>
          <w:rFonts w:ascii="Calibri"/>
          <w:color w:val="17365D"/>
          <w:spacing w:val="-8"/>
          <w:sz w:val="20"/>
        </w:rPr>
        <w:t xml:space="preserve"> </w:t>
      </w:r>
      <w:r>
        <w:rPr>
          <w:rFonts w:ascii="Calibri"/>
          <w:color w:val="17365D"/>
          <w:sz w:val="20"/>
        </w:rPr>
        <w:t>item</w:t>
      </w:r>
      <w:r>
        <w:rPr>
          <w:rFonts w:ascii="Calibri"/>
          <w:color w:val="17365D"/>
          <w:spacing w:val="-8"/>
          <w:sz w:val="20"/>
        </w:rPr>
        <w:t xml:space="preserve"> </w:t>
      </w:r>
      <w:r>
        <w:rPr>
          <w:rFonts w:ascii="Calibri"/>
          <w:color w:val="17365D"/>
          <w:sz w:val="20"/>
        </w:rPr>
        <w:t>is</w:t>
      </w:r>
      <w:r>
        <w:rPr>
          <w:rFonts w:ascii="Calibri"/>
          <w:color w:val="17365D"/>
          <w:spacing w:val="-8"/>
          <w:sz w:val="20"/>
        </w:rPr>
        <w:t xml:space="preserve"> </w:t>
      </w:r>
      <w:r>
        <w:rPr>
          <w:rFonts w:ascii="Calibri"/>
          <w:color w:val="17365D"/>
          <w:sz w:val="20"/>
        </w:rPr>
        <w:t>a</w:t>
      </w:r>
      <w:r>
        <w:rPr>
          <w:rFonts w:ascii="Calibri"/>
          <w:color w:val="17365D"/>
          <w:spacing w:val="-6"/>
          <w:sz w:val="20"/>
        </w:rPr>
        <w:t xml:space="preserve"> </w:t>
      </w:r>
      <w:r>
        <w:rPr>
          <w:rFonts w:ascii="Calibri"/>
          <w:color w:val="17365D"/>
          <w:sz w:val="20"/>
        </w:rPr>
        <w:t>significant</w:t>
      </w:r>
      <w:r>
        <w:rPr>
          <w:rFonts w:ascii="Calibri"/>
          <w:color w:val="17365D"/>
          <w:spacing w:val="-6"/>
          <w:sz w:val="20"/>
        </w:rPr>
        <w:t xml:space="preserve"> </w:t>
      </w:r>
      <w:r>
        <w:rPr>
          <w:rFonts w:ascii="Calibri"/>
          <w:color w:val="17365D"/>
          <w:sz w:val="20"/>
        </w:rPr>
        <w:t>line</w:t>
      </w:r>
      <w:r>
        <w:rPr>
          <w:rFonts w:ascii="Calibri"/>
          <w:color w:val="17365D"/>
          <w:spacing w:val="-8"/>
          <w:sz w:val="20"/>
        </w:rPr>
        <w:t xml:space="preserve"> </w:t>
      </w:r>
      <w:r>
        <w:rPr>
          <w:rFonts w:ascii="Calibri"/>
          <w:color w:val="17365D"/>
          <w:sz w:val="20"/>
        </w:rPr>
        <w:t>item:</w:t>
      </w:r>
      <w:r>
        <w:rPr>
          <w:rFonts w:ascii="Calibri"/>
          <w:color w:val="17365D"/>
          <w:spacing w:val="-6"/>
          <w:sz w:val="20"/>
        </w:rPr>
        <w:t xml:space="preserve"> </w:t>
      </w:r>
      <w:r>
        <w:rPr>
          <w:rFonts w:ascii="Calibri"/>
          <w:color w:val="17365D"/>
          <w:sz w:val="20"/>
        </w:rPr>
        <w:t>where</w:t>
      </w:r>
      <w:r>
        <w:rPr>
          <w:rFonts w:ascii="Calibri"/>
          <w:color w:val="17365D"/>
          <w:spacing w:val="-5"/>
          <w:sz w:val="20"/>
        </w:rPr>
        <w:t xml:space="preserve"> </w:t>
      </w:r>
      <w:r>
        <w:rPr>
          <w:rFonts w:ascii="Calibri"/>
          <w:color w:val="17365D"/>
          <w:sz w:val="20"/>
        </w:rPr>
        <w:t>either</w:t>
      </w:r>
      <w:r>
        <w:rPr>
          <w:rFonts w:ascii="Calibri"/>
          <w:color w:val="17365D"/>
          <w:spacing w:val="-7"/>
          <w:sz w:val="20"/>
        </w:rPr>
        <w:t xml:space="preserve"> </w:t>
      </w:r>
      <w:r>
        <w:rPr>
          <w:rFonts w:ascii="Calibri"/>
          <w:color w:val="17365D"/>
          <w:sz w:val="20"/>
        </w:rPr>
        <w:t>the</w:t>
      </w:r>
      <w:r>
        <w:rPr>
          <w:rFonts w:ascii="Calibri"/>
          <w:color w:val="17365D"/>
          <w:spacing w:val="-8"/>
          <w:sz w:val="20"/>
        </w:rPr>
        <w:t xml:space="preserve"> </w:t>
      </w:r>
      <w:r>
        <w:rPr>
          <w:rFonts w:ascii="Calibri"/>
          <w:color w:val="17365D"/>
          <w:sz w:val="20"/>
        </w:rPr>
        <w:t>line</w:t>
      </w:r>
      <w:r>
        <w:rPr>
          <w:rFonts w:ascii="Calibri"/>
          <w:color w:val="17365D"/>
          <w:spacing w:val="-5"/>
          <w:sz w:val="20"/>
        </w:rPr>
        <w:t xml:space="preserve"> </w:t>
      </w:r>
      <w:r>
        <w:rPr>
          <w:rFonts w:ascii="Calibri"/>
          <w:color w:val="17365D"/>
          <w:sz w:val="20"/>
        </w:rPr>
        <w:t>item</w:t>
      </w:r>
      <w:r>
        <w:rPr>
          <w:rFonts w:ascii="Calibri"/>
          <w:color w:val="17365D"/>
          <w:spacing w:val="-8"/>
          <w:sz w:val="20"/>
        </w:rPr>
        <w:t xml:space="preserve"> </w:t>
      </w:r>
      <w:r>
        <w:rPr>
          <w:rFonts w:ascii="Calibri"/>
          <w:color w:val="17365D"/>
          <w:sz w:val="20"/>
        </w:rPr>
        <w:t>actual</w:t>
      </w:r>
      <w:r>
        <w:rPr>
          <w:rFonts w:ascii="Calibri"/>
          <w:color w:val="17365D"/>
          <w:spacing w:val="-7"/>
          <w:sz w:val="20"/>
        </w:rPr>
        <w:t xml:space="preserve"> </w:t>
      </w:r>
      <w:r>
        <w:rPr>
          <w:rFonts w:ascii="Calibri"/>
          <w:color w:val="17365D"/>
          <w:sz w:val="20"/>
        </w:rPr>
        <w:t>amount</w:t>
      </w:r>
      <w:r>
        <w:rPr>
          <w:rFonts w:ascii="Calibri"/>
          <w:color w:val="17365D"/>
          <w:spacing w:val="-6"/>
          <w:sz w:val="20"/>
        </w:rPr>
        <w:t xml:space="preserve"> </w:t>
      </w:r>
      <w:r>
        <w:rPr>
          <w:rFonts w:ascii="Calibri"/>
          <w:color w:val="17365D"/>
          <w:sz w:val="20"/>
        </w:rPr>
        <w:t>accounts</w:t>
      </w:r>
      <w:r>
        <w:rPr>
          <w:rFonts w:ascii="Calibri"/>
          <w:color w:val="17365D"/>
          <w:spacing w:val="-8"/>
          <w:sz w:val="20"/>
        </w:rPr>
        <w:t xml:space="preserve"> </w:t>
      </w:r>
      <w:r>
        <w:rPr>
          <w:rFonts w:ascii="Calibri"/>
          <w:color w:val="17365D"/>
          <w:sz w:val="20"/>
        </w:rPr>
        <w:t>for more than 10% of the relevant associated category (Income, Expenses and Equity totals) or</w:t>
      </w:r>
      <w:r>
        <w:rPr>
          <w:rFonts w:ascii="Calibri"/>
          <w:color w:val="17365D"/>
          <w:sz w:val="20"/>
          <w:u w:val="single" w:color="17365D"/>
        </w:rPr>
        <w:t xml:space="preserve"> more than</w:t>
      </w:r>
      <w:r>
        <w:rPr>
          <w:rFonts w:ascii="Calibri"/>
          <w:color w:val="17365D"/>
          <w:sz w:val="20"/>
        </w:rPr>
        <w:t xml:space="preserve"> 10% of the sub-element (e.g. Current Liabilities and Receipts from Operating Activities totals) of the financial statements;</w:t>
      </w:r>
      <w:r>
        <w:rPr>
          <w:rFonts w:ascii="Calibri"/>
          <w:color w:val="17365D"/>
          <w:spacing w:val="-6"/>
          <w:sz w:val="20"/>
        </w:rPr>
        <w:t xml:space="preserve"> </w:t>
      </w:r>
      <w:r>
        <w:rPr>
          <w:rFonts w:ascii="Calibri"/>
          <w:color w:val="17365D"/>
          <w:sz w:val="20"/>
        </w:rPr>
        <w:t>and</w:t>
      </w:r>
    </w:p>
    <w:p w:rsidR="006C17CB" w:rsidRDefault="0030091C">
      <w:pPr>
        <w:pStyle w:val="ListParagraph"/>
        <w:numPr>
          <w:ilvl w:val="1"/>
          <w:numId w:val="6"/>
        </w:numPr>
        <w:tabs>
          <w:tab w:val="left" w:pos="1962"/>
          <w:tab w:val="left" w:pos="1963"/>
        </w:tabs>
        <w:spacing w:before="138" w:line="201" w:lineRule="auto"/>
        <w:ind w:right="1522"/>
        <w:rPr>
          <w:rFonts w:ascii="Calibri"/>
          <w:sz w:val="20"/>
        </w:rPr>
      </w:pPr>
      <w:r>
        <w:rPr>
          <w:rFonts w:ascii="Calibri"/>
          <w:color w:val="17365D"/>
          <w:sz w:val="20"/>
        </w:rPr>
        <w:t>The variances (original budget to actual) are greater than plus (+) or minus (-) 10% of the budget for the financial statement line</w:t>
      </w:r>
      <w:r>
        <w:rPr>
          <w:rFonts w:ascii="Calibri"/>
          <w:color w:val="17365D"/>
          <w:spacing w:val="-4"/>
          <w:sz w:val="20"/>
        </w:rPr>
        <w:t xml:space="preserve"> </w:t>
      </w:r>
      <w:r>
        <w:rPr>
          <w:rFonts w:ascii="Calibri"/>
          <w:color w:val="17365D"/>
          <w:sz w:val="20"/>
        </w:rPr>
        <w:t>item.</w:t>
      </w:r>
    </w:p>
    <w:p w:rsidR="006C17CB" w:rsidRDefault="006C17CB">
      <w:pPr>
        <w:spacing w:line="201" w:lineRule="auto"/>
        <w:rPr>
          <w:rFonts w:ascii="Calibri"/>
          <w:sz w:val="20"/>
        </w:rPr>
        <w:sectPr w:rsidR="006C17CB">
          <w:pgSz w:w="11910" w:h="16840"/>
          <w:pgMar w:top="2080" w:right="0" w:bottom="720" w:left="980" w:header="1189" w:footer="523" w:gutter="0"/>
          <w:cols w:space="720"/>
        </w:sectPr>
      </w:pPr>
    </w:p>
    <w:p w:rsidR="006C17CB" w:rsidRDefault="006C17CB">
      <w:pPr>
        <w:pStyle w:val="BodyText"/>
        <w:spacing w:before="13"/>
        <w:rPr>
          <w:rFonts w:ascii="Calibri"/>
          <w:sz w:val="16"/>
        </w:rPr>
      </w:pPr>
    </w:p>
    <w:tbl>
      <w:tblPr>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1"/>
        <w:gridCol w:w="1075"/>
        <w:gridCol w:w="1205"/>
        <w:gridCol w:w="1063"/>
        <w:gridCol w:w="1065"/>
        <w:gridCol w:w="1939"/>
      </w:tblGrid>
      <w:tr w:rsidR="006C17CB">
        <w:trPr>
          <w:trHeight w:val="978"/>
        </w:trPr>
        <w:tc>
          <w:tcPr>
            <w:tcW w:w="2321" w:type="dxa"/>
            <w:tcBorders>
              <w:bottom w:val="single" w:sz="6" w:space="0" w:color="000000"/>
              <w:right w:val="single" w:sz="6" w:space="0" w:color="000000"/>
            </w:tcBorders>
          </w:tcPr>
          <w:p w:rsidR="006C17CB" w:rsidRDefault="0030091C">
            <w:pPr>
              <w:pStyle w:val="TableParagraph"/>
              <w:spacing w:line="204" w:lineRule="auto"/>
              <w:ind w:left="179" w:right="165" w:hanging="4"/>
              <w:jc w:val="center"/>
              <w:rPr>
                <w:b/>
                <w:sz w:val="20"/>
              </w:rPr>
            </w:pPr>
            <w:r>
              <w:rPr>
                <w:b/>
                <w:color w:val="17365D"/>
                <w:sz w:val="20"/>
              </w:rPr>
              <w:t>Statement of Income and Expenses on Behalf of The Territory Line</w:t>
            </w:r>
          </w:p>
          <w:p w:rsidR="006C17CB" w:rsidRDefault="0030091C">
            <w:pPr>
              <w:pStyle w:val="TableParagraph"/>
              <w:spacing w:line="231" w:lineRule="exact"/>
              <w:ind w:left="145" w:right="136"/>
              <w:jc w:val="center"/>
              <w:rPr>
                <w:b/>
                <w:sz w:val="20"/>
              </w:rPr>
            </w:pPr>
            <w:r>
              <w:rPr>
                <w:b/>
                <w:color w:val="17365D"/>
                <w:sz w:val="20"/>
              </w:rPr>
              <w:t>Items</w:t>
            </w:r>
          </w:p>
        </w:tc>
        <w:tc>
          <w:tcPr>
            <w:tcW w:w="1075" w:type="dxa"/>
            <w:tcBorders>
              <w:left w:val="single" w:sz="6" w:space="0" w:color="000000"/>
              <w:bottom w:val="single" w:sz="6" w:space="0" w:color="000000"/>
              <w:right w:val="single" w:sz="6" w:space="0" w:color="000000"/>
            </w:tcBorders>
          </w:tcPr>
          <w:p w:rsidR="006C17CB" w:rsidRDefault="0030091C">
            <w:pPr>
              <w:pStyle w:val="TableParagraph"/>
              <w:spacing w:line="201" w:lineRule="auto"/>
              <w:ind w:left="198" w:right="192" w:firstLine="69"/>
              <w:jc w:val="left"/>
              <w:rPr>
                <w:b/>
                <w:sz w:val="20"/>
              </w:rPr>
            </w:pPr>
            <w:r>
              <w:rPr>
                <w:b/>
                <w:color w:val="17365D"/>
                <w:sz w:val="20"/>
              </w:rPr>
              <w:t xml:space="preserve">Actual </w:t>
            </w:r>
            <w:r>
              <w:rPr>
                <w:b/>
                <w:color w:val="17365D"/>
                <w:w w:val="95"/>
                <w:sz w:val="20"/>
              </w:rPr>
              <w:t>2017-18</w:t>
            </w:r>
          </w:p>
          <w:p w:rsidR="006C17CB" w:rsidRDefault="006C17CB">
            <w:pPr>
              <w:pStyle w:val="TableParagraph"/>
              <w:spacing w:before="3"/>
              <w:jc w:val="left"/>
              <w:rPr>
                <w:sz w:val="14"/>
              </w:rPr>
            </w:pPr>
          </w:p>
          <w:p w:rsidR="006C17CB" w:rsidRDefault="0030091C">
            <w:pPr>
              <w:pStyle w:val="TableParagraph"/>
              <w:spacing w:line="269" w:lineRule="exact"/>
              <w:ind w:left="304"/>
              <w:jc w:val="left"/>
              <w:rPr>
                <w:b/>
                <w:sz w:val="20"/>
              </w:rPr>
            </w:pPr>
            <w:r>
              <w:rPr>
                <w:b/>
                <w:color w:val="17365D"/>
                <w:sz w:val="20"/>
              </w:rPr>
              <w:t>$’000</w:t>
            </w:r>
          </w:p>
        </w:tc>
        <w:tc>
          <w:tcPr>
            <w:tcW w:w="1205" w:type="dxa"/>
            <w:tcBorders>
              <w:left w:val="single" w:sz="6" w:space="0" w:color="000000"/>
              <w:bottom w:val="single" w:sz="6" w:space="0" w:color="000000"/>
              <w:right w:val="single" w:sz="6" w:space="0" w:color="000000"/>
            </w:tcBorders>
          </w:tcPr>
          <w:p w:rsidR="006C17CB" w:rsidRDefault="0030091C">
            <w:pPr>
              <w:pStyle w:val="TableParagraph"/>
              <w:spacing w:line="201" w:lineRule="auto"/>
              <w:ind w:left="246" w:right="221" w:firstLine="24"/>
              <w:jc w:val="left"/>
              <w:rPr>
                <w:sz w:val="20"/>
              </w:rPr>
            </w:pPr>
            <w:r>
              <w:rPr>
                <w:b/>
                <w:color w:val="17365D"/>
                <w:sz w:val="20"/>
              </w:rPr>
              <w:t xml:space="preserve">Original Budget </w:t>
            </w:r>
            <w:r>
              <w:rPr>
                <w:color w:val="17365D"/>
                <w:sz w:val="20"/>
                <w:vertAlign w:val="superscript"/>
              </w:rPr>
              <w:t>1</w:t>
            </w:r>
          </w:p>
          <w:p w:rsidR="006C17CB" w:rsidRDefault="0030091C">
            <w:pPr>
              <w:pStyle w:val="TableParagraph"/>
              <w:spacing w:line="232" w:lineRule="exact"/>
              <w:ind w:left="176" w:right="172"/>
              <w:jc w:val="center"/>
              <w:rPr>
                <w:b/>
                <w:sz w:val="20"/>
              </w:rPr>
            </w:pPr>
            <w:r>
              <w:rPr>
                <w:b/>
                <w:color w:val="17365D"/>
                <w:sz w:val="20"/>
              </w:rPr>
              <w:t>2017-18</w:t>
            </w:r>
          </w:p>
          <w:p w:rsidR="006C17CB" w:rsidRDefault="0030091C">
            <w:pPr>
              <w:pStyle w:val="TableParagraph"/>
              <w:spacing w:line="248" w:lineRule="exact"/>
              <w:ind w:left="174" w:right="172"/>
              <w:jc w:val="center"/>
              <w:rPr>
                <w:b/>
                <w:sz w:val="20"/>
              </w:rPr>
            </w:pPr>
            <w:r>
              <w:rPr>
                <w:b/>
                <w:color w:val="17365D"/>
                <w:sz w:val="20"/>
              </w:rPr>
              <w:t>$’000</w:t>
            </w:r>
          </w:p>
        </w:tc>
        <w:tc>
          <w:tcPr>
            <w:tcW w:w="1063" w:type="dxa"/>
            <w:tcBorders>
              <w:left w:val="single" w:sz="6" w:space="0" w:color="000000"/>
              <w:bottom w:val="single" w:sz="6" w:space="0" w:color="000000"/>
              <w:right w:val="single" w:sz="6" w:space="0" w:color="000000"/>
            </w:tcBorders>
          </w:tcPr>
          <w:p w:rsidR="006C17CB" w:rsidRDefault="0030091C">
            <w:pPr>
              <w:pStyle w:val="TableParagraph"/>
              <w:spacing w:line="246" w:lineRule="exact"/>
              <w:ind w:left="78" w:right="74"/>
              <w:jc w:val="center"/>
              <w:rPr>
                <w:b/>
                <w:sz w:val="20"/>
              </w:rPr>
            </w:pPr>
            <w:r>
              <w:rPr>
                <w:b/>
                <w:color w:val="17365D"/>
                <w:sz w:val="20"/>
              </w:rPr>
              <w:t>Variance</w:t>
            </w:r>
          </w:p>
          <w:p w:rsidR="006C17CB" w:rsidRDefault="006C17CB">
            <w:pPr>
              <w:pStyle w:val="TableParagraph"/>
              <w:jc w:val="left"/>
              <w:rPr>
                <w:sz w:val="20"/>
              </w:rPr>
            </w:pPr>
          </w:p>
          <w:p w:rsidR="006C17CB" w:rsidRDefault="0030091C">
            <w:pPr>
              <w:pStyle w:val="TableParagraph"/>
              <w:spacing w:before="155" w:line="269" w:lineRule="exact"/>
              <w:ind w:left="78" w:right="74"/>
              <w:jc w:val="center"/>
              <w:rPr>
                <w:b/>
                <w:sz w:val="20"/>
              </w:rPr>
            </w:pPr>
            <w:r>
              <w:rPr>
                <w:b/>
                <w:color w:val="17365D"/>
                <w:sz w:val="20"/>
              </w:rPr>
              <w:t>$’000</w:t>
            </w:r>
          </w:p>
        </w:tc>
        <w:tc>
          <w:tcPr>
            <w:tcW w:w="1065" w:type="dxa"/>
            <w:tcBorders>
              <w:left w:val="single" w:sz="6" w:space="0" w:color="000000"/>
              <w:bottom w:val="single" w:sz="6" w:space="0" w:color="000000"/>
              <w:right w:val="single" w:sz="6" w:space="0" w:color="000000"/>
            </w:tcBorders>
          </w:tcPr>
          <w:p w:rsidR="006C17CB" w:rsidRDefault="0030091C">
            <w:pPr>
              <w:pStyle w:val="TableParagraph"/>
              <w:spacing w:line="246" w:lineRule="exact"/>
              <w:ind w:left="142" w:right="135"/>
              <w:jc w:val="center"/>
              <w:rPr>
                <w:b/>
                <w:sz w:val="20"/>
              </w:rPr>
            </w:pPr>
            <w:r>
              <w:rPr>
                <w:b/>
                <w:color w:val="17365D"/>
                <w:sz w:val="20"/>
              </w:rPr>
              <w:t>Variance</w:t>
            </w:r>
          </w:p>
          <w:p w:rsidR="006C17CB" w:rsidRDefault="006C17CB">
            <w:pPr>
              <w:pStyle w:val="TableParagraph"/>
              <w:jc w:val="left"/>
              <w:rPr>
                <w:sz w:val="20"/>
              </w:rPr>
            </w:pPr>
          </w:p>
          <w:p w:rsidR="006C17CB" w:rsidRDefault="0030091C">
            <w:pPr>
              <w:pStyle w:val="TableParagraph"/>
              <w:spacing w:before="155" w:line="269" w:lineRule="exact"/>
              <w:ind w:left="6"/>
              <w:jc w:val="center"/>
              <w:rPr>
                <w:b/>
                <w:sz w:val="20"/>
              </w:rPr>
            </w:pPr>
            <w:r>
              <w:rPr>
                <w:b/>
                <w:color w:val="17365D"/>
                <w:w w:val="99"/>
                <w:sz w:val="20"/>
              </w:rPr>
              <w:t>%</w:t>
            </w:r>
          </w:p>
        </w:tc>
        <w:tc>
          <w:tcPr>
            <w:tcW w:w="1939" w:type="dxa"/>
            <w:tcBorders>
              <w:left w:val="single" w:sz="6" w:space="0" w:color="000000"/>
              <w:bottom w:val="single" w:sz="6" w:space="0" w:color="000000"/>
            </w:tcBorders>
          </w:tcPr>
          <w:p w:rsidR="006C17CB" w:rsidRDefault="0030091C">
            <w:pPr>
              <w:pStyle w:val="TableParagraph"/>
              <w:spacing w:line="201" w:lineRule="auto"/>
              <w:ind w:left="475" w:right="116" w:firstLine="127"/>
              <w:jc w:val="left"/>
              <w:rPr>
                <w:b/>
                <w:sz w:val="20"/>
              </w:rPr>
            </w:pPr>
            <w:r>
              <w:rPr>
                <w:b/>
                <w:color w:val="17365D"/>
                <w:sz w:val="20"/>
              </w:rPr>
              <w:t xml:space="preserve">Variance </w:t>
            </w:r>
            <w:r>
              <w:rPr>
                <w:b/>
                <w:color w:val="17365D"/>
                <w:w w:val="95"/>
                <w:sz w:val="20"/>
              </w:rPr>
              <w:t>Explanation</w:t>
            </w:r>
          </w:p>
        </w:tc>
      </w:tr>
      <w:tr w:rsidR="006C17CB">
        <w:trPr>
          <w:trHeight w:val="2097"/>
        </w:trPr>
        <w:tc>
          <w:tcPr>
            <w:tcW w:w="2321" w:type="dxa"/>
            <w:tcBorders>
              <w:top w:val="single" w:sz="6" w:space="0" w:color="000000"/>
              <w:bottom w:val="single" w:sz="6" w:space="0" w:color="000000"/>
              <w:right w:val="single" w:sz="6" w:space="0" w:color="000000"/>
            </w:tcBorders>
          </w:tcPr>
          <w:p w:rsidR="006C17CB" w:rsidRDefault="0030091C">
            <w:pPr>
              <w:pStyle w:val="TableParagraph"/>
              <w:spacing w:line="201" w:lineRule="auto"/>
              <w:ind w:left="107" w:right="333"/>
              <w:jc w:val="left"/>
              <w:rPr>
                <w:sz w:val="18"/>
              </w:rPr>
            </w:pPr>
            <w:r>
              <w:rPr>
                <w:color w:val="17365D"/>
                <w:sz w:val="18"/>
              </w:rPr>
              <w:t>Payment for Expenses on Behalf of the Territory</w:t>
            </w:r>
          </w:p>
          <w:p w:rsidR="006C17CB" w:rsidRDefault="006C17CB">
            <w:pPr>
              <w:pStyle w:val="TableParagraph"/>
              <w:spacing w:before="7"/>
              <w:jc w:val="left"/>
              <w:rPr>
                <w:sz w:val="12"/>
              </w:rPr>
            </w:pPr>
          </w:p>
          <w:p w:rsidR="006C17CB" w:rsidRDefault="0030091C">
            <w:pPr>
              <w:pStyle w:val="TableParagraph"/>
              <w:ind w:left="107"/>
              <w:jc w:val="left"/>
              <w:rPr>
                <w:sz w:val="18"/>
              </w:rPr>
            </w:pPr>
            <w:r>
              <w:rPr>
                <w:color w:val="17365D"/>
                <w:sz w:val="18"/>
              </w:rPr>
              <w:t>Employee Expenses</w:t>
            </w:r>
          </w:p>
        </w:tc>
        <w:tc>
          <w:tcPr>
            <w:tcW w:w="1075"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left="553"/>
              <w:jc w:val="left"/>
              <w:rPr>
                <w:sz w:val="18"/>
              </w:rPr>
            </w:pPr>
            <w:r>
              <w:rPr>
                <w:color w:val="17365D"/>
                <w:sz w:val="18"/>
              </w:rPr>
              <w:t>9,027</w:t>
            </w:r>
          </w:p>
          <w:p w:rsidR="006C17CB" w:rsidRDefault="006C17CB">
            <w:pPr>
              <w:pStyle w:val="TableParagraph"/>
              <w:jc w:val="left"/>
              <w:rPr>
                <w:sz w:val="18"/>
              </w:rPr>
            </w:pPr>
          </w:p>
          <w:p w:rsidR="006C17CB" w:rsidRDefault="0030091C">
            <w:pPr>
              <w:pStyle w:val="TableParagraph"/>
              <w:spacing w:before="138"/>
              <w:ind w:left="553"/>
              <w:jc w:val="left"/>
              <w:rPr>
                <w:sz w:val="18"/>
              </w:rPr>
            </w:pPr>
            <w:r>
              <w:rPr>
                <w:color w:val="17365D"/>
                <w:sz w:val="18"/>
              </w:rPr>
              <w:t>8,083</w:t>
            </w:r>
          </w:p>
        </w:tc>
        <w:tc>
          <w:tcPr>
            <w:tcW w:w="1205"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left="681"/>
              <w:jc w:val="left"/>
              <w:rPr>
                <w:sz w:val="18"/>
              </w:rPr>
            </w:pPr>
            <w:r>
              <w:rPr>
                <w:color w:val="17365D"/>
                <w:sz w:val="18"/>
              </w:rPr>
              <w:t>9,923</w:t>
            </w:r>
          </w:p>
          <w:p w:rsidR="006C17CB" w:rsidRDefault="006C17CB">
            <w:pPr>
              <w:pStyle w:val="TableParagraph"/>
              <w:jc w:val="left"/>
              <w:rPr>
                <w:sz w:val="18"/>
              </w:rPr>
            </w:pPr>
          </w:p>
          <w:p w:rsidR="006C17CB" w:rsidRDefault="0030091C">
            <w:pPr>
              <w:pStyle w:val="TableParagraph"/>
              <w:spacing w:before="138"/>
              <w:ind w:left="681"/>
              <w:jc w:val="left"/>
              <w:rPr>
                <w:sz w:val="18"/>
              </w:rPr>
            </w:pPr>
            <w:r>
              <w:rPr>
                <w:color w:val="17365D"/>
                <w:sz w:val="18"/>
              </w:rPr>
              <w:t>9,170</w:t>
            </w:r>
          </w:p>
        </w:tc>
        <w:tc>
          <w:tcPr>
            <w:tcW w:w="1063"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left="545" w:right="74"/>
              <w:jc w:val="center"/>
              <w:rPr>
                <w:sz w:val="18"/>
              </w:rPr>
            </w:pPr>
            <w:r>
              <w:rPr>
                <w:color w:val="17365D"/>
                <w:sz w:val="18"/>
              </w:rPr>
              <w:t>(896)</w:t>
            </w:r>
          </w:p>
          <w:p w:rsidR="006C17CB" w:rsidRDefault="006C17CB">
            <w:pPr>
              <w:pStyle w:val="TableParagraph"/>
              <w:jc w:val="left"/>
              <w:rPr>
                <w:sz w:val="18"/>
              </w:rPr>
            </w:pPr>
          </w:p>
          <w:p w:rsidR="006C17CB" w:rsidRDefault="0030091C">
            <w:pPr>
              <w:pStyle w:val="TableParagraph"/>
              <w:spacing w:before="138"/>
              <w:ind w:left="414" w:right="74"/>
              <w:jc w:val="center"/>
              <w:rPr>
                <w:sz w:val="18"/>
              </w:rPr>
            </w:pPr>
            <w:r>
              <w:rPr>
                <w:color w:val="17365D"/>
                <w:sz w:val="18"/>
              </w:rPr>
              <w:t>(1,087)</w:t>
            </w:r>
          </w:p>
        </w:tc>
        <w:tc>
          <w:tcPr>
            <w:tcW w:w="1065"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left="618"/>
              <w:jc w:val="left"/>
              <w:rPr>
                <w:sz w:val="18"/>
              </w:rPr>
            </w:pPr>
            <w:r>
              <w:rPr>
                <w:color w:val="17365D"/>
                <w:sz w:val="18"/>
              </w:rPr>
              <w:t>(9.0)</w:t>
            </w:r>
          </w:p>
          <w:p w:rsidR="006C17CB" w:rsidRDefault="006C17CB">
            <w:pPr>
              <w:pStyle w:val="TableParagraph"/>
              <w:jc w:val="left"/>
              <w:rPr>
                <w:sz w:val="18"/>
              </w:rPr>
            </w:pPr>
          </w:p>
          <w:p w:rsidR="006C17CB" w:rsidRDefault="0030091C">
            <w:pPr>
              <w:pStyle w:val="TableParagraph"/>
              <w:spacing w:before="138"/>
              <w:ind w:left="527"/>
              <w:jc w:val="left"/>
              <w:rPr>
                <w:sz w:val="18"/>
              </w:rPr>
            </w:pPr>
            <w:r>
              <w:rPr>
                <w:color w:val="17365D"/>
                <w:sz w:val="18"/>
              </w:rPr>
              <w:t>(12.0)</w:t>
            </w:r>
          </w:p>
        </w:tc>
        <w:tc>
          <w:tcPr>
            <w:tcW w:w="1939" w:type="dxa"/>
            <w:tcBorders>
              <w:top w:val="single" w:sz="6" w:space="0" w:color="000000"/>
              <w:left w:val="single" w:sz="6" w:space="0" w:color="000000"/>
              <w:bottom w:val="single" w:sz="6" w:space="0" w:color="000000"/>
            </w:tcBorders>
          </w:tcPr>
          <w:p w:rsidR="006C17CB" w:rsidRDefault="0030091C">
            <w:pPr>
              <w:pStyle w:val="TableParagraph"/>
              <w:spacing w:line="204" w:lineRule="auto"/>
              <w:ind w:left="105" w:right="116"/>
              <w:jc w:val="left"/>
              <w:rPr>
                <w:sz w:val="18"/>
              </w:rPr>
            </w:pPr>
            <w:r>
              <w:rPr>
                <w:color w:val="003366"/>
                <w:sz w:val="18"/>
              </w:rPr>
              <w:t>Expenses on Behalf of the Territory were lower than budgeted because non-Executive members did not spend their full staff salary allocations and there were fewer leave payouts</w:t>
            </w:r>
            <w:r>
              <w:rPr>
                <w:color w:val="003366"/>
                <w:spacing w:val="-2"/>
                <w:sz w:val="18"/>
              </w:rPr>
              <w:t xml:space="preserve"> </w:t>
            </w:r>
            <w:r>
              <w:rPr>
                <w:color w:val="003366"/>
                <w:sz w:val="18"/>
              </w:rPr>
              <w:t>made.</w:t>
            </w:r>
          </w:p>
        </w:tc>
      </w:tr>
      <w:tr w:rsidR="006C17CB">
        <w:trPr>
          <w:trHeight w:val="851"/>
        </w:trPr>
        <w:tc>
          <w:tcPr>
            <w:tcW w:w="2321" w:type="dxa"/>
            <w:tcBorders>
              <w:top w:val="single" w:sz="6" w:space="0" w:color="000000"/>
              <w:bottom w:val="single" w:sz="6" w:space="0" w:color="000000"/>
              <w:right w:val="single" w:sz="6" w:space="0" w:color="000000"/>
            </w:tcBorders>
          </w:tcPr>
          <w:p w:rsidR="006C17CB" w:rsidRDefault="0030091C">
            <w:pPr>
              <w:pStyle w:val="TableParagraph"/>
              <w:spacing w:line="204" w:lineRule="auto"/>
              <w:ind w:left="148" w:right="136"/>
              <w:jc w:val="center"/>
              <w:rPr>
                <w:b/>
                <w:sz w:val="20"/>
              </w:rPr>
            </w:pPr>
            <w:r>
              <w:rPr>
                <w:b/>
                <w:color w:val="17365D"/>
                <w:sz w:val="20"/>
              </w:rPr>
              <w:t>Statement of Assets and Liabilities on Behalf of The Territory Line Items</w:t>
            </w:r>
          </w:p>
        </w:tc>
        <w:tc>
          <w:tcPr>
            <w:tcW w:w="1075" w:type="dxa"/>
            <w:tcBorders>
              <w:top w:val="single" w:sz="6" w:space="0" w:color="000000"/>
              <w:left w:val="single" w:sz="6" w:space="0" w:color="000000"/>
              <w:bottom w:val="single" w:sz="6" w:space="0" w:color="000000"/>
              <w:right w:val="single" w:sz="6" w:space="0" w:color="000000"/>
            </w:tcBorders>
          </w:tcPr>
          <w:p w:rsidR="006C17CB" w:rsidRDefault="006C17CB">
            <w:pPr>
              <w:pStyle w:val="TableParagraph"/>
              <w:jc w:val="left"/>
              <w:rPr>
                <w:rFonts w:ascii="Times New Roman"/>
                <w:sz w:val="18"/>
              </w:rPr>
            </w:pPr>
          </w:p>
        </w:tc>
        <w:tc>
          <w:tcPr>
            <w:tcW w:w="1205" w:type="dxa"/>
            <w:tcBorders>
              <w:top w:val="single" w:sz="6" w:space="0" w:color="000000"/>
              <w:left w:val="single" w:sz="6" w:space="0" w:color="000000"/>
              <w:bottom w:val="single" w:sz="6" w:space="0" w:color="000000"/>
              <w:right w:val="single" w:sz="6" w:space="0" w:color="000000"/>
            </w:tcBorders>
          </w:tcPr>
          <w:p w:rsidR="006C17CB" w:rsidRDefault="006C17CB">
            <w:pPr>
              <w:pStyle w:val="TableParagraph"/>
              <w:jc w:val="left"/>
              <w:rPr>
                <w:rFonts w:ascii="Times New Roman"/>
                <w:sz w:val="18"/>
              </w:rPr>
            </w:pPr>
          </w:p>
        </w:tc>
        <w:tc>
          <w:tcPr>
            <w:tcW w:w="1063" w:type="dxa"/>
            <w:tcBorders>
              <w:top w:val="single" w:sz="6" w:space="0" w:color="000000"/>
              <w:left w:val="single" w:sz="6" w:space="0" w:color="000000"/>
              <w:bottom w:val="single" w:sz="6" w:space="0" w:color="000000"/>
              <w:right w:val="single" w:sz="6" w:space="0" w:color="000000"/>
            </w:tcBorders>
          </w:tcPr>
          <w:p w:rsidR="006C17CB" w:rsidRDefault="006C17CB">
            <w:pPr>
              <w:pStyle w:val="TableParagraph"/>
              <w:jc w:val="left"/>
              <w:rPr>
                <w:rFonts w:ascii="Times New Roman"/>
                <w:sz w:val="18"/>
              </w:rPr>
            </w:pPr>
          </w:p>
        </w:tc>
        <w:tc>
          <w:tcPr>
            <w:tcW w:w="1065" w:type="dxa"/>
            <w:tcBorders>
              <w:top w:val="single" w:sz="6" w:space="0" w:color="000000"/>
              <w:left w:val="single" w:sz="6" w:space="0" w:color="000000"/>
              <w:bottom w:val="single" w:sz="6" w:space="0" w:color="000000"/>
              <w:right w:val="single" w:sz="6" w:space="0" w:color="000000"/>
            </w:tcBorders>
          </w:tcPr>
          <w:p w:rsidR="006C17CB" w:rsidRDefault="006C17CB">
            <w:pPr>
              <w:pStyle w:val="TableParagraph"/>
              <w:jc w:val="left"/>
              <w:rPr>
                <w:rFonts w:ascii="Times New Roman"/>
                <w:sz w:val="18"/>
              </w:rPr>
            </w:pPr>
          </w:p>
        </w:tc>
        <w:tc>
          <w:tcPr>
            <w:tcW w:w="1939" w:type="dxa"/>
            <w:tcBorders>
              <w:top w:val="single" w:sz="6" w:space="0" w:color="000000"/>
              <w:left w:val="single" w:sz="6" w:space="0" w:color="000000"/>
              <w:bottom w:val="single" w:sz="6" w:space="0" w:color="000000"/>
            </w:tcBorders>
          </w:tcPr>
          <w:p w:rsidR="006C17CB" w:rsidRDefault="006C17CB">
            <w:pPr>
              <w:pStyle w:val="TableParagraph"/>
              <w:jc w:val="left"/>
              <w:rPr>
                <w:rFonts w:ascii="Times New Roman"/>
                <w:sz w:val="18"/>
              </w:rPr>
            </w:pPr>
          </w:p>
        </w:tc>
      </w:tr>
      <w:tr w:rsidR="006C17CB">
        <w:trPr>
          <w:trHeight w:val="1878"/>
        </w:trPr>
        <w:tc>
          <w:tcPr>
            <w:tcW w:w="2321" w:type="dxa"/>
            <w:tcBorders>
              <w:top w:val="single" w:sz="6" w:space="0" w:color="000000"/>
              <w:bottom w:val="single" w:sz="6" w:space="0" w:color="000000"/>
              <w:right w:val="single" w:sz="6" w:space="0" w:color="000000"/>
            </w:tcBorders>
          </w:tcPr>
          <w:p w:rsidR="006C17CB" w:rsidRDefault="0030091C">
            <w:pPr>
              <w:pStyle w:val="TableParagraph"/>
              <w:spacing w:line="218" w:lineRule="exact"/>
              <w:ind w:left="107"/>
              <w:jc w:val="left"/>
              <w:rPr>
                <w:sz w:val="18"/>
              </w:rPr>
            </w:pPr>
            <w:r>
              <w:rPr>
                <w:color w:val="17365D"/>
                <w:sz w:val="18"/>
              </w:rPr>
              <w:t>Cash and Cash Equivalents</w:t>
            </w:r>
          </w:p>
        </w:tc>
        <w:tc>
          <w:tcPr>
            <w:tcW w:w="1075"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right="93"/>
              <w:rPr>
                <w:sz w:val="18"/>
              </w:rPr>
            </w:pPr>
            <w:r>
              <w:rPr>
                <w:color w:val="17365D"/>
                <w:sz w:val="18"/>
              </w:rPr>
              <w:t>102</w:t>
            </w:r>
          </w:p>
        </w:tc>
        <w:tc>
          <w:tcPr>
            <w:tcW w:w="1205"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right="96"/>
              <w:rPr>
                <w:sz w:val="18"/>
              </w:rPr>
            </w:pPr>
            <w:r>
              <w:rPr>
                <w:color w:val="17365D"/>
                <w:sz w:val="18"/>
              </w:rPr>
              <w:t>436</w:t>
            </w:r>
          </w:p>
        </w:tc>
        <w:tc>
          <w:tcPr>
            <w:tcW w:w="1063"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right="94"/>
              <w:rPr>
                <w:sz w:val="18"/>
              </w:rPr>
            </w:pPr>
            <w:r>
              <w:rPr>
                <w:color w:val="17365D"/>
                <w:sz w:val="18"/>
              </w:rPr>
              <w:t>(334)</w:t>
            </w:r>
          </w:p>
        </w:tc>
        <w:tc>
          <w:tcPr>
            <w:tcW w:w="1065"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right="91"/>
              <w:rPr>
                <w:sz w:val="18"/>
              </w:rPr>
            </w:pPr>
            <w:r>
              <w:rPr>
                <w:color w:val="17365D"/>
                <w:sz w:val="18"/>
              </w:rPr>
              <w:t>(76.6)</w:t>
            </w:r>
          </w:p>
        </w:tc>
        <w:tc>
          <w:tcPr>
            <w:tcW w:w="1939" w:type="dxa"/>
            <w:tcBorders>
              <w:top w:val="single" w:sz="6" w:space="0" w:color="000000"/>
              <w:left w:val="single" w:sz="6" w:space="0" w:color="000000"/>
              <w:bottom w:val="single" w:sz="6" w:space="0" w:color="000000"/>
            </w:tcBorders>
          </w:tcPr>
          <w:p w:rsidR="006C17CB" w:rsidRDefault="0030091C">
            <w:pPr>
              <w:pStyle w:val="TableParagraph"/>
              <w:spacing w:line="204" w:lineRule="auto"/>
              <w:ind w:left="105" w:right="84"/>
              <w:jc w:val="left"/>
              <w:rPr>
                <w:sz w:val="18"/>
              </w:rPr>
            </w:pPr>
            <w:r>
              <w:rPr>
                <w:color w:val="003366"/>
                <w:sz w:val="18"/>
              </w:rPr>
              <w:t>The budget assumed that capital works payments would be made early in the new financial year and that cash would be required before the budget was passed.</w:t>
            </w:r>
          </w:p>
        </w:tc>
      </w:tr>
      <w:tr w:rsidR="006C17CB">
        <w:trPr>
          <w:trHeight w:val="1218"/>
        </w:trPr>
        <w:tc>
          <w:tcPr>
            <w:tcW w:w="2321" w:type="dxa"/>
            <w:tcBorders>
              <w:top w:val="single" w:sz="6" w:space="0" w:color="000000"/>
              <w:bottom w:val="single" w:sz="6" w:space="0" w:color="000000"/>
              <w:right w:val="single" w:sz="6" w:space="0" w:color="000000"/>
            </w:tcBorders>
          </w:tcPr>
          <w:p w:rsidR="006C17CB" w:rsidRDefault="0030091C">
            <w:pPr>
              <w:pStyle w:val="TableParagraph"/>
              <w:spacing w:line="204" w:lineRule="auto"/>
              <w:ind w:left="107" w:right="765"/>
              <w:jc w:val="left"/>
              <w:rPr>
                <w:sz w:val="18"/>
              </w:rPr>
            </w:pPr>
            <w:r>
              <w:rPr>
                <w:color w:val="17365D"/>
                <w:sz w:val="18"/>
              </w:rPr>
              <w:t>Property, Plant and Equipment</w:t>
            </w:r>
          </w:p>
          <w:p w:rsidR="006C17CB" w:rsidRDefault="006C17CB">
            <w:pPr>
              <w:pStyle w:val="TableParagraph"/>
              <w:spacing w:before="4"/>
              <w:jc w:val="left"/>
              <w:rPr>
                <w:sz w:val="12"/>
              </w:rPr>
            </w:pPr>
          </w:p>
          <w:p w:rsidR="006C17CB" w:rsidRDefault="0030091C">
            <w:pPr>
              <w:pStyle w:val="TableParagraph"/>
              <w:spacing w:before="1"/>
              <w:ind w:left="107"/>
              <w:jc w:val="left"/>
              <w:rPr>
                <w:sz w:val="18"/>
              </w:rPr>
            </w:pPr>
            <w:r>
              <w:rPr>
                <w:color w:val="17365D"/>
                <w:sz w:val="18"/>
              </w:rPr>
              <w:t>Asset Revaluation Surplus</w:t>
            </w:r>
          </w:p>
        </w:tc>
        <w:tc>
          <w:tcPr>
            <w:tcW w:w="1075"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left="462"/>
              <w:jc w:val="left"/>
              <w:rPr>
                <w:sz w:val="18"/>
              </w:rPr>
            </w:pPr>
            <w:r>
              <w:rPr>
                <w:color w:val="17365D"/>
                <w:sz w:val="18"/>
              </w:rPr>
              <w:t>28,749</w:t>
            </w:r>
          </w:p>
          <w:p w:rsidR="006C17CB" w:rsidRDefault="006C17CB">
            <w:pPr>
              <w:pStyle w:val="TableParagraph"/>
              <w:jc w:val="left"/>
              <w:rPr>
                <w:sz w:val="18"/>
              </w:rPr>
            </w:pPr>
          </w:p>
          <w:p w:rsidR="006C17CB" w:rsidRDefault="0030091C">
            <w:pPr>
              <w:pStyle w:val="TableParagraph"/>
              <w:spacing w:before="141"/>
              <w:ind w:left="462"/>
              <w:jc w:val="left"/>
              <w:rPr>
                <w:sz w:val="18"/>
              </w:rPr>
            </w:pPr>
            <w:r>
              <w:rPr>
                <w:color w:val="17365D"/>
                <w:sz w:val="18"/>
              </w:rPr>
              <w:t>12,918</w:t>
            </w:r>
          </w:p>
        </w:tc>
        <w:tc>
          <w:tcPr>
            <w:tcW w:w="1205"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left="590"/>
              <w:jc w:val="left"/>
              <w:rPr>
                <w:sz w:val="18"/>
              </w:rPr>
            </w:pPr>
            <w:r>
              <w:rPr>
                <w:color w:val="17365D"/>
                <w:sz w:val="18"/>
              </w:rPr>
              <w:t>32,670</w:t>
            </w:r>
          </w:p>
          <w:p w:rsidR="006C17CB" w:rsidRDefault="006C17CB">
            <w:pPr>
              <w:pStyle w:val="TableParagraph"/>
              <w:jc w:val="left"/>
              <w:rPr>
                <w:sz w:val="18"/>
              </w:rPr>
            </w:pPr>
          </w:p>
          <w:p w:rsidR="006C17CB" w:rsidRDefault="0030091C">
            <w:pPr>
              <w:pStyle w:val="TableParagraph"/>
              <w:spacing w:before="141"/>
              <w:ind w:left="590"/>
              <w:jc w:val="left"/>
              <w:rPr>
                <w:sz w:val="18"/>
              </w:rPr>
            </w:pPr>
            <w:r>
              <w:rPr>
                <w:color w:val="17365D"/>
                <w:sz w:val="18"/>
              </w:rPr>
              <w:t>18,208</w:t>
            </w:r>
          </w:p>
        </w:tc>
        <w:tc>
          <w:tcPr>
            <w:tcW w:w="1063"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left="433"/>
              <w:jc w:val="left"/>
              <w:rPr>
                <w:sz w:val="18"/>
              </w:rPr>
            </w:pPr>
            <w:r>
              <w:rPr>
                <w:color w:val="17365D"/>
                <w:sz w:val="18"/>
              </w:rPr>
              <w:t>(3,911)</w:t>
            </w:r>
          </w:p>
          <w:p w:rsidR="006C17CB" w:rsidRDefault="006C17CB">
            <w:pPr>
              <w:pStyle w:val="TableParagraph"/>
              <w:jc w:val="left"/>
              <w:rPr>
                <w:sz w:val="18"/>
              </w:rPr>
            </w:pPr>
          </w:p>
          <w:p w:rsidR="006C17CB" w:rsidRDefault="0030091C">
            <w:pPr>
              <w:pStyle w:val="TableParagraph"/>
              <w:spacing w:before="141"/>
              <w:ind w:left="433"/>
              <w:jc w:val="left"/>
              <w:rPr>
                <w:sz w:val="18"/>
              </w:rPr>
            </w:pPr>
            <w:r>
              <w:rPr>
                <w:color w:val="17365D"/>
                <w:sz w:val="18"/>
              </w:rPr>
              <w:t>(5,291)</w:t>
            </w:r>
          </w:p>
        </w:tc>
        <w:tc>
          <w:tcPr>
            <w:tcW w:w="1065"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left="527"/>
              <w:jc w:val="left"/>
              <w:rPr>
                <w:sz w:val="18"/>
              </w:rPr>
            </w:pPr>
            <w:r>
              <w:rPr>
                <w:color w:val="17365D"/>
                <w:sz w:val="18"/>
              </w:rPr>
              <w:t>(12.0)</w:t>
            </w:r>
          </w:p>
          <w:p w:rsidR="006C17CB" w:rsidRDefault="006C17CB">
            <w:pPr>
              <w:pStyle w:val="TableParagraph"/>
              <w:jc w:val="left"/>
              <w:rPr>
                <w:sz w:val="18"/>
              </w:rPr>
            </w:pPr>
          </w:p>
          <w:p w:rsidR="006C17CB" w:rsidRDefault="0030091C">
            <w:pPr>
              <w:pStyle w:val="TableParagraph"/>
              <w:spacing w:before="141"/>
              <w:ind w:left="527"/>
              <w:jc w:val="left"/>
              <w:rPr>
                <w:sz w:val="18"/>
              </w:rPr>
            </w:pPr>
            <w:r>
              <w:rPr>
                <w:color w:val="17365D"/>
                <w:sz w:val="18"/>
              </w:rPr>
              <w:t>(29.1)</w:t>
            </w:r>
          </w:p>
        </w:tc>
        <w:tc>
          <w:tcPr>
            <w:tcW w:w="1939" w:type="dxa"/>
            <w:tcBorders>
              <w:top w:val="single" w:sz="6" w:space="0" w:color="000000"/>
              <w:left w:val="single" w:sz="6" w:space="0" w:color="000000"/>
              <w:bottom w:val="single" w:sz="6" w:space="0" w:color="000000"/>
            </w:tcBorders>
          </w:tcPr>
          <w:p w:rsidR="006C17CB" w:rsidRDefault="0030091C">
            <w:pPr>
              <w:pStyle w:val="TableParagraph"/>
              <w:spacing w:line="204" w:lineRule="auto"/>
              <w:ind w:left="105" w:right="176"/>
              <w:jc w:val="left"/>
              <w:rPr>
                <w:sz w:val="18"/>
              </w:rPr>
            </w:pPr>
            <w:r>
              <w:rPr>
                <w:color w:val="003366"/>
                <w:sz w:val="18"/>
              </w:rPr>
              <w:t>The write-down in the Assembly building at 30 June 2017 was not anticipated when the Budget was prepared.</w:t>
            </w:r>
          </w:p>
        </w:tc>
      </w:tr>
      <w:tr w:rsidR="006C17CB">
        <w:trPr>
          <w:trHeight w:val="1657"/>
        </w:trPr>
        <w:tc>
          <w:tcPr>
            <w:tcW w:w="2321" w:type="dxa"/>
            <w:tcBorders>
              <w:top w:val="single" w:sz="6" w:space="0" w:color="000000"/>
              <w:bottom w:val="single" w:sz="6" w:space="0" w:color="000000"/>
              <w:right w:val="single" w:sz="6" w:space="0" w:color="000000"/>
            </w:tcBorders>
          </w:tcPr>
          <w:p w:rsidR="006C17CB" w:rsidRDefault="0030091C">
            <w:pPr>
              <w:pStyle w:val="TableParagraph"/>
              <w:spacing w:line="218" w:lineRule="exact"/>
              <w:ind w:left="107"/>
              <w:jc w:val="left"/>
              <w:rPr>
                <w:sz w:val="18"/>
              </w:rPr>
            </w:pPr>
            <w:r>
              <w:rPr>
                <w:color w:val="17365D"/>
                <w:sz w:val="18"/>
              </w:rPr>
              <w:t>Payables</w:t>
            </w:r>
          </w:p>
        </w:tc>
        <w:tc>
          <w:tcPr>
            <w:tcW w:w="1075"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right="93"/>
              <w:rPr>
                <w:sz w:val="18"/>
              </w:rPr>
            </w:pPr>
            <w:r>
              <w:rPr>
                <w:color w:val="17365D"/>
                <w:sz w:val="18"/>
              </w:rPr>
              <w:t>101</w:t>
            </w:r>
          </w:p>
        </w:tc>
        <w:tc>
          <w:tcPr>
            <w:tcW w:w="1205"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right="96"/>
              <w:rPr>
                <w:sz w:val="18"/>
              </w:rPr>
            </w:pPr>
            <w:r>
              <w:rPr>
                <w:color w:val="17365D"/>
                <w:sz w:val="18"/>
              </w:rPr>
              <w:t>39</w:t>
            </w:r>
          </w:p>
        </w:tc>
        <w:tc>
          <w:tcPr>
            <w:tcW w:w="1063"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right="93"/>
              <w:rPr>
                <w:sz w:val="18"/>
              </w:rPr>
            </w:pPr>
            <w:r>
              <w:rPr>
                <w:color w:val="17365D"/>
                <w:sz w:val="18"/>
              </w:rPr>
              <w:t>62</w:t>
            </w:r>
          </w:p>
        </w:tc>
        <w:tc>
          <w:tcPr>
            <w:tcW w:w="1065"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18" w:lineRule="exact"/>
              <w:ind w:right="92"/>
              <w:rPr>
                <w:sz w:val="18"/>
              </w:rPr>
            </w:pPr>
            <w:r>
              <w:rPr>
                <w:color w:val="17365D"/>
                <w:sz w:val="18"/>
              </w:rPr>
              <w:t>159.0</w:t>
            </w:r>
          </w:p>
        </w:tc>
        <w:tc>
          <w:tcPr>
            <w:tcW w:w="1939" w:type="dxa"/>
            <w:tcBorders>
              <w:top w:val="single" w:sz="6" w:space="0" w:color="000000"/>
              <w:left w:val="single" w:sz="6" w:space="0" w:color="000000"/>
              <w:bottom w:val="single" w:sz="6" w:space="0" w:color="000000"/>
            </w:tcBorders>
          </w:tcPr>
          <w:p w:rsidR="006C17CB" w:rsidRDefault="0030091C">
            <w:pPr>
              <w:pStyle w:val="TableParagraph"/>
              <w:spacing w:line="204" w:lineRule="auto"/>
              <w:ind w:left="105" w:right="145"/>
              <w:jc w:val="left"/>
              <w:rPr>
                <w:sz w:val="18"/>
              </w:rPr>
            </w:pPr>
            <w:r>
              <w:rPr>
                <w:color w:val="003366"/>
                <w:sz w:val="18"/>
              </w:rPr>
              <w:t>Payables were higher than budget due to a capital works payment being outstanding and members employing several consultants in June 2018.</w:t>
            </w:r>
          </w:p>
        </w:tc>
      </w:tr>
      <w:tr w:rsidR="006C17CB">
        <w:trPr>
          <w:trHeight w:val="2197"/>
        </w:trPr>
        <w:tc>
          <w:tcPr>
            <w:tcW w:w="2321" w:type="dxa"/>
            <w:tcBorders>
              <w:top w:val="single" w:sz="6" w:space="0" w:color="000000"/>
              <w:right w:val="single" w:sz="6" w:space="0" w:color="000000"/>
            </w:tcBorders>
          </w:tcPr>
          <w:p w:rsidR="006C17CB" w:rsidRDefault="0030091C">
            <w:pPr>
              <w:pStyle w:val="TableParagraph"/>
              <w:spacing w:line="218" w:lineRule="exact"/>
              <w:ind w:left="107"/>
              <w:jc w:val="left"/>
              <w:rPr>
                <w:sz w:val="18"/>
              </w:rPr>
            </w:pPr>
            <w:r>
              <w:rPr>
                <w:color w:val="17365D"/>
                <w:sz w:val="18"/>
              </w:rPr>
              <w:t>Employee benefits</w:t>
            </w:r>
          </w:p>
        </w:tc>
        <w:tc>
          <w:tcPr>
            <w:tcW w:w="1075" w:type="dxa"/>
            <w:tcBorders>
              <w:top w:val="single" w:sz="6" w:space="0" w:color="000000"/>
              <w:left w:val="single" w:sz="6" w:space="0" w:color="000000"/>
              <w:right w:val="single" w:sz="6" w:space="0" w:color="000000"/>
            </w:tcBorders>
          </w:tcPr>
          <w:p w:rsidR="006C17CB" w:rsidRDefault="0030091C">
            <w:pPr>
              <w:pStyle w:val="TableParagraph"/>
              <w:spacing w:line="218" w:lineRule="exact"/>
              <w:ind w:right="93"/>
              <w:rPr>
                <w:sz w:val="18"/>
              </w:rPr>
            </w:pPr>
            <w:r>
              <w:rPr>
                <w:color w:val="17365D"/>
                <w:sz w:val="18"/>
              </w:rPr>
              <w:t>431</w:t>
            </w:r>
          </w:p>
        </w:tc>
        <w:tc>
          <w:tcPr>
            <w:tcW w:w="1205" w:type="dxa"/>
            <w:tcBorders>
              <w:top w:val="single" w:sz="6" w:space="0" w:color="000000"/>
              <w:left w:val="single" w:sz="6" w:space="0" w:color="000000"/>
              <w:right w:val="single" w:sz="6" w:space="0" w:color="000000"/>
            </w:tcBorders>
          </w:tcPr>
          <w:p w:rsidR="006C17CB" w:rsidRDefault="0030091C">
            <w:pPr>
              <w:pStyle w:val="TableParagraph"/>
              <w:spacing w:line="218" w:lineRule="exact"/>
              <w:ind w:right="96"/>
              <w:rPr>
                <w:sz w:val="18"/>
              </w:rPr>
            </w:pPr>
            <w:r>
              <w:rPr>
                <w:color w:val="17365D"/>
                <w:sz w:val="18"/>
              </w:rPr>
              <w:t>815</w:t>
            </w:r>
          </w:p>
        </w:tc>
        <w:tc>
          <w:tcPr>
            <w:tcW w:w="1063" w:type="dxa"/>
            <w:tcBorders>
              <w:top w:val="single" w:sz="6" w:space="0" w:color="000000"/>
              <w:left w:val="single" w:sz="6" w:space="0" w:color="000000"/>
              <w:right w:val="single" w:sz="6" w:space="0" w:color="000000"/>
            </w:tcBorders>
          </w:tcPr>
          <w:p w:rsidR="006C17CB" w:rsidRDefault="0030091C">
            <w:pPr>
              <w:pStyle w:val="TableParagraph"/>
              <w:spacing w:line="218" w:lineRule="exact"/>
              <w:ind w:right="94"/>
              <w:rPr>
                <w:sz w:val="18"/>
              </w:rPr>
            </w:pPr>
            <w:r>
              <w:rPr>
                <w:color w:val="17365D"/>
                <w:sz w:val="18"/>
              </w:rPr>
              <w:t>(384)</w:t>
            </w:r>
          </w:p>
        </w:tc>
        <w:tc>
          <w:tcPr>
            <w:tcW w:w="1065" w:type="dxa"/>
            <w:tcBorders>
              <w:top w:val="single" w:sz="6" w:space="0" w:color="000000"/>
              <w:left w:val="single" w:sz="6" w:space="0" w:color="000000"/>
              <w:right w:val="single" w:sz="6" w:space="0" w:color="000000"/>
            </w:tcBorders>
          </w:tcPr>
          <w:p w:rsidR="006C17CB" w:rsidRDefault="0030091C">
            <w:pPr>
              <w:pStyle w:val="TableParagraph"/>
              <w:spacing w:line="218" w:lineRule="exact"/>
              <w:ind w:right="91"/>
              <w:rPr>
                <w:sz w:val="18"/>
              </w:rPr>
            </w:pPr>
            <w:r>
              <w:rPr>
                <w:color w:val="17365D"/>
                <w:sz w:val="18"/>
              </w:rPr>
              <w:t>(47.1)</w:t>
            </w:r>
          </w:p>
        </w:tc>
        <w:tc>
          <w:tcPr>
            <w:tcW w:w="1939" w:type="dxa"/>
            <w:tcBorders>
              <w:top w:val="single" w:sz="6" w:space="0" w:color="000000"/>
              <w:left w:val="single" w:sz="6" w:space="0" w:color="000000"/>
            </w:tcBorders>
          </w:tcPr>
          <w:p w:rsidR="006C17CB" w:rsidRDefault="0030091C">
            <w:pPr>
              <w:pStyle w:val="TableParagraph"/>
              <w:spacing w:line="204" w:lineRule="auto"/>
              <w:ind w:left="105" w:right="112"/>
              <w:jc w:val="left"/>
              <w:rPr>
                <w:sz w:val="18"/>
              </w:rPr>
            </w:pPr>
            <w:r>
              <w:rPr>
                <w:color w:val="003366"/>
                <w:sz w:val="18"/>
              </w:rPr>
              <w:t>Employee benefits were less than budget as recent staff recruited to Members offices have been at lower classifications and part-time resulting in less leave entitlements being</w:t>
            </w:r>
          </w:p>
          <w:p w:rsidR="006C17CB" w:rsidRDefault="0030091C">
            <w:pPr>
              <w:pStyle w:val="TableParagraph"/>
              <w:spacing w:line="202" w:lineRule="exact"/>
              <w:ind w:left="105"/>
              <w:jc w:val="left"/>
              <w:rPr>
                <w:sz w:val="18"/>
              </w:rPr>
            </w:pPr>
            <w:r>
              <w:rPr>
                <w:color w:val="003366"/>
                <w:sz w:val="18"/>
              </w:rPr>
              <w:t>incurred.</w:t>
            </w:r>
          </w:p>
        </w:tc>
      </w:tr>
    </w:tbl>
    <w:p w:rsidR="006C17CB" w:rsidRDefault="006C17CB">
      <w:pPr>
        <w:pStyle w:val="BodyText"/>
        <w:spacing w:before="9"/>
        <w:rPr>
          <w:rFonts w:ascii="Calibri"/>
          <w:sz w:val="11"/>
        </w:rPr>
      </w:pPr>
    </w:p>
    <w:p w:rsidR="006C17CB" w:rsidRDefault="0030091C">
      <w:pPr>
        <w:spacing w:before="67" w:line="204" w:lineRule="auto"/>
        <w:ind w:left="829" w:right="1523"/>
        <w:jc w:val="both"/>
        <w:rPr>
          <w:rFonts w:ascii="Calibri"/>
          <w:sz w:val="20"/>
        </w:rPr>
      </w:pPr>
      <w:r>
        <w:rPr>
          <w:rFonts w:ascii="Calibri"/>
          <w:color w:val="17365D"/>
          <w:position w:val="7"/>
          <w:sz w:val="13"/>
        </w:rPr>
        <w:t xml:space="preserve">1 </w:t>
      </w:r>
      <w:r>
        <w:rPr>
          <w:rFonts w:ascii="Calibri"/>
          <w:color w:val="17365D"/>
          <w:sz w:val="20"/>
        </w:rPr>
        <w:t>Original Budget refers to the amounts presented to the Legislative Assembly in the original budgeted financial</w:t>
      </w:r>
      <w:r>
        <w:rPr>
          <w:rFonts w:ascii="Calibri"/>
          <w:color w:val="17365D"/>
          <w:spacing w:val="-8"/>
          <w:sz w:val="20"/>
        </w:rPr>
        <w:t xml:space="preserve"> </w:t>
      </w:r>
      <w:r>
        <w:rPr>
          <w:rFonts w:ascii="Calibri"/>
          <w:color w:val="17365D"/>
          <w:sz w:val="20"/>
        </w:rPr>
        <w:t>statements</w:t>
      </w:r>
      <w:r>
        <w:rPr>
          <w:rFonts w:ascii="Calibri"/>
          <w:color w:val="17365D"/>
          <w:spacing w:val="-9"/>
          <w:sz w:val="20"/>
        </w:rPr>
        <w:t xml:space="preserve"> </w:t>
      </w:r>
      <w:r>
        <w:rPr>
          <w:rFonts w:ascii="Calibri"/>
          <w:color w:val="17365D"/>
          <w:sz w:val="20"/>
        </w:rPr>
        <w:t>in</w:t>
      </w:r>
      <w:r>
        <w:rPr>
          <w:rFonts w:ascii="Calibri"/>
          <w:color w:val="17365D"/>
          <w:spacing w:val="-7"/>
          <w:sz w:val="20"/>
        </w:rPr>
        <w:t xml:space="preserve"> </w:t>
      </w:r>
      <w:r>
        <w:rPr>
          <w:rFonts w:ascii="Calibri"/>
          <w:color w:val="17365D"/>
          <w:sz w:val="20"/>
        </w:rPr>
        <w:t>respect</w:t>
      </w:r>
      <w:r>
        <w:rPr>
          <w:rFonts w:ascii="Calibri"/>
          <w:color w:val="17365D"/>
          <w:spacing w:val="-7"/>
          <w:sz w:val="20"/>
        </w:rPr>
        <w:t xml:space="preserve"> </w:t>
      </w:r>
      <w:r>
        <w:rPr>
          <w:rFonts w:ascii="Calibri"/>
          <w:color w:val="17365D"/>
          <w:sz w:val="20"/>
        </w:rPr>
        <w:t>of</w:t>
      </w:r>
      <w:r>
        <w:rPr>
          <w:rFonts w:ascii="Calibri"/>
          <w:color w:val="17365D"/>
          <w:spacing w:val="-8"/>
          <w:sz w:val="20"/>
        </w:rPr>
        <w:t xml:space="preserve"> </w:t>
      </w:r>
      <w:r>
        <w:rPr>
          <w:rFonts w:ascii="Calibri"/>
          <w:color w:val="17365D"/>
          <w:sz w:val="20"/>
        </w:rPr>
        <w:t>the</w:t>
      </w:r>
      <w:r>
        <w:rPr>
          <w:rFonts w:ascii="Calibri"/>
          <w:color w:val="17365D"/>
          <w:spacing w:val="-8"/>
          <w:sz w:val="20"/>
        </w:rPr>
        <w:t xml:space="preserve"> </w:t>
      </w:r>
      <w:r>
        <w:rPr>
          <w:rFonts w:ascii="Calibri"/>
          <w:color w:val="17365D"/>
          <w:sz w:val="20"/>
        </w:rPr>
        <w:t>reporting</w:t>
      </w:r>
      <w:r>
        <w:rPr>
          <w:rFonts w:ascii="Calibri"/>
          <w:color w:val="17365D"/>
          <w:spacing w:val="-8"/>
          <w:sz w:val="20"/>
        </w:rPr>
        <w:t xml:space="preserve"> </w:t>
      </w:r>
      <w:r>
        <w:rPr>
          <w:rFonts w:ascii="Calibri"/>
          <w:color w:val="17365D"/>
          <w:sz w:val="20"/>
        </w:rPr>
        <w:t>period</w:t>
      </w:r>
      <w:r>
        <w:rPr>
          <w:rFonts w:ascii="Calibri"/>
          <w:color w:val="17365D"/>
          <w:spacing w:val="-7"/>
          <w:sz w:val="20"/>
        </w:rPr>
        <w:t xml:space="preserve"> </w:t>
      </w:r>
      <w:r>
        <w:rPr>
          <w:rFonts w:ascii="Calibri"/>
          <w:color w:val="17365D"/>
          <w:sz w:val="20"/>
        </w:rPr>
        <w:t>(2017-18</w:t>
      </w:r>
      <w:r>
        <w:rPr>
          <w:rFonts w:ascii="Calibri"/>
          <w:color w:val="17365D"/>
          <w:spacing w:val="-8"/>
          <w:sz w:val="20"/>
        </w:rPr>
        <w:t xml:space="preserve"> </w:t>
      </w:r>
      <w:r>
        <w:rPr>
          <w:rFonts w:ascii="Calibri"/>
          <w:color w:val="17365D"/>
          <w:sz w:val="20"/>
        </w:rPr>
        <w:t>Budget</w:t>
      </w:r>
      <w:r>
        <w:rPr>
          <w:rFonts w:ascii="Calibri"/>
          <w:color w:val="17365D"/>
          <w:spacing w:val="-7"/>
          <w:sz w:val="20"/>
        </w:rPr>
        <w:t xml:space="preserve"> </w:t>
      </w:r>
      <w:r>
        <w:rPr>
          <w:rFonts w:ascii="Calibri"/>
          <w:color w:val="17365D"/>
          <w:sz w:val="20"/>
        </w:rPr>
        <w:t>Statements).</w:t>
      </w:r>
      <w:r>
        <w:rPr>
          <w:rFonts w:ascii="Calibri"/>
          <w:color w:val="17365D"/>
          <w:spacing w:val="-7"/>
          <w:sz w:val="20"/>
        </w:rPr>
        <w:t xml:space="preserve"> </w:t>
      </w:r>
      <w:r>
        <w:rPr>
          <w:rFonts w:ascii="Calibri"/>
          <w:color w:val="17365D"/>
          <w:sz w:val="20"/>
        </w:rPr>
        <w:t>These</w:t>
      </w:r>
      <w:r>
        <w:rPr>
          <w:rFonts w:ascii="Calibri"/>
          <w:color w:val="17365D"/>
          <w:spacing w:val="-8"/>
          <w:sz w:val="20"/>
        </w:rPr>
        <w:t xml:space="preserve"> </w:t>
      </w:r>
      <w:r>
        <w:rPr>
          <w:rFonts w:ascii="Calibri"/>
          <w:color w:val="17365D"/>
          <w:sz w:val="20"/>
        </w:rPr>
        <w:t>amounts</w:t>
      </w:r>
      <w:r>
        <w:rPr>
          <w:rFonts w:ascii="Calibri"/>
          <w:color w:val="17365D"/>
          <w:spacing w:val="-9"/>
          <w:sz w:val="20"/>
        </w:rPr>
        <w:t xml:space="preserve"> </w:t>
      </w:r>
      <w:r>
        <w:rPr>
          <w:rFonts w:ascii="Calibri"/>
          <w:color w:val="17365D"/>
          <w:sz w:val="20"/>
        </w:rPr>
        <w:t>have not been adjusted to reflect supplementary appropriation or appropriation</w:t>
      </w:r>
      <w:r>
        <w:rPr>
          <w:rFonts w:ascii="Calibri"/>
          <w:color w:val="17365D"/>
          <w:spacing w:val="-7"/>
          <w:sz w:val="20"/>
        </w:rPr>
        <w:t xml:space="preserve"> </w:t>
      </w:r>
      <w:r>
        <w:rPr>
          <w:rFonts w:ascii="Calibri"/>
          <w:color w:val="17365D"/>
          <w:sz w:val="20"/>
        </w:rPr>
        <w:t>instruments.</w:t>
      </w:r>
    </w:p>
    <w:p w:rsidR="006C17CB" w:rsidRDefault="006C17CB">
      <w:pPr>
        <w:spacing w:line="204" w:lineRule="auto"/>
        <w:jc w:val="both"/>
        <w:rPr>
          <w:rFonts w:ascii="Calibri"/>
          <w:sz w:val="20"/>
        </w:rPr>
        <w:sectPr w:rsidR="006C17CB">
          <w:pgSz w:w="11910" w:h="16840"/>
          <w:pgMar w:top="2080" w:right="0" w:bottom="740" w:left="980" w:header="1189" w:footer="551" w:gutter="0"/>
          <w:cols w:space="720"/>
        </w:sectPr>
      </w:pPr>
    </w:p>
    <w:p w:rsidR="006C17CB" w:rsidRDefault="006C17CB">
      <w:pPr>
        <w:pStyle w:val="BodyText"/>
        <w:spacing w:before="9"/>
        <w:rPr>
          <w:rFonts w:ascii="Calibri"/>
          <w:sz w:val="21"/>
        </w:rPr>
      </w:pPr>
    </w:p>
    <w:p w:rsidR="006C17CB" w:rsidRDefault="0030091C">
      <w:pPr>
        <w:pStyle w:val="Heading6"/>
        <w:spacing w:line="345" w:lineRule="exact"/>
      </w:pPr>
      <w:r>
        <w:rPr>
          <w:color w:val="003366"/>
        </w:rPr>
        <w:t>NOTE 35. BUDGETARY REPORTING – TERRITORIAL – CONTINUED</w:t>
      </w:r>
    </w:p>
    <w:p w:rsidR="006C17CB" w:rsidRDefault="006C17CB">
      <w:pPr>
        <w:pStyle w:val="BodyText"/>
        <w:spacing w:before="4"/>
        <w:rPr>
          <w:rFonts w:ascii="Calibri"/>
          <w:b/>
          <w:sz w:val="25"/>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1058"/>
        <w:gridCol w:w="1084"/>
        <w:gridCol w:w="1101"/>
        <w:gridCol w:w="1053"/>
        <w:gridCol w:w="2013"/>
      </w:tblGrid>
      <w:tr w:rsidR="006C17CB">
        <w:trPr>
          <w:trHeight w:val="976"/>
        </w:trPr>
        <w:tc>
          <w:tcPr>
            <w:tcW w:w="2251" w:type="dxa"/>
            <w:tcBorders>
              <w:bottom w:val="single" w:sz="6" w:space="0" w:color="000000"/>
              <w:right w:val="single" w:sz="6" w:space="0" w:color="000000"/>
            </w:tcBorders>
          </w:tcPr>
          <w:p w:rsidR="006C17CB" w:rsidRDefault="0030091C">
            <w:pPr>
              <w:pStyle w:val="TableParagraph"/>
              <w:spacing w:line="204" w:lineRule="auto"/>
              <w:ind w:left="117" w:right="106"/>
              <w:jc w:val="center"/>
              <w:rPr>
                <w:b/>
                <w:sz w:val="20"/>
              </w:rPr>
            </w:pPr>
            <w:r>
              <w:rPr>
                <w:b/>
                <w:color w:val="17365D"/>
                <w:sz w:val="20"/>
              </w:rPr>
              <w:t>Cash Flow Statement on Behalf of the Territory Line Items</w:t>
            </w:r>
          </w:p>
        </w:tc>
        <w:tc>
          <w:tcPr>
            <w:tcW w:w="1058" w:type="dxa"/>
            <w:tcBorders>
              <w:left w:val="single" w:sz="6" w:space="0" w:color="000000"/>
              <w:bottom w:val="single" w:sz="6" w:space="0" w:color="000000"/>
              <w:right w:val="single" w:sz="6" w:space="0" w:color="000000"/>
            </w:tcBorders>
          </w:tcPr>
          <w:p w:rsidR="006C17CB" w:rsidRDefault="0030091C">
            <w:pPr>
              <w:pStyle w:val="TableParagraph"/>
              <w:spacing w:line="204" w:lineRule="auto"/>
              <w:ind w:left="191" w:right="181" w:firstLine="69"/>
              <w:jc w:val="left"/>
              <w:rPr>
                <w:b/>
                <w:sz w:val="20"/>
              </w:rPr>
            </w:pPr>
            <w:r>
              <w:rPr>
                <w:b/>
                <w:color w:val="17365D"/>
                <w:sz w:val="20"/>
              </w:rPr>
              <w:t xml:space="preserve">Actual </w:t>
            </w:r>
            <w:r>
              <w:rPr>
                <w:b/>
                <w:color w:val="17365D"/>
                <w:w w:val="95"/>
                <w:sz w:val="20"/>
              </w:rPr>
              <w:t>2017-18</w:t>
            </w:r>
          </w:p>
          <w:p w:rsidR="006C17CB" w:rsidRDefault="006C17CB">
            <w:pPr>
              <w:pStyle w:val="TableParagraph"/>
              <w:spacing w:before="11"/>
              <w:jc w:val="left"/>
              <w:rPr>
                <w:b/>
                <w:sz w:val="13"/>
              </w:rPr>
            </w:pPr>
          </w:p>
          <w:p w:rsidR="006C17CB" w:rsidRDefault="0030091C">
            <w:pPr>
              <w:pStyle w:val="TableParagraph"/>
              <w:spacing w:line="267" w:lineRule="exact"/>
              <w:ind w:left="297"/>
              <w:jc w:val="left"/>
              <w:rPr>
                <w:b/>
                <w:sz w:val="20"/>
              </w:rPr>
            </w:pPr>
            <w:r>
              <w:rPr>
                <w:b/>
                <w:color w:val="17365D"/>
                <w:sz w:val="20"/>
              </w:rPr>
              <w:t>$’000</w:t>
            </w:r>
          </w:p>
        </w:tc>
        <w:tc>
          <w:tcPr>
            <w:tcW w:w="1084" w:type="dxa"/>
            <w:tcBorders>
              <w:left w:val="single" w:sz="6" w:space="0" w:color="000000"/>
              <w:bottom w:val="single" w:sz="6" w:space="0" w:color="000000"/>
              <w:right w:val="single" w:sz="6" w:space="0" w:color="000000"/>
            </w:tcBorders>
          </w:tcPr>
          <w:p w:rsidR="006C17CB" w:rsidRDefault="0030091C">
            <w:pPr>
              <w:pStyle w:val="TableParagraph"/>
              <w:spacing w:line="204" w:lineRule="auto"/>
              <w:ind w:left="187" w:right="175" w:hanging="3"/>
              <w:jc w:val="center"/>
              <w:rPr>
                <w:sz w:val="20"/>
              </w:rPr>
            </w:pPr>
            <w:r>
              <w:rPr>
                <w:b/>
                <w:color w:val="17365D"/>
                <w:sz w:val="20"/>
              </w:rPr>
              <w:t xml:space="preserve">Original Budget </w:t>
            </w:r>
            <w:r>
              <w:rPr>
                <w:color w:val="17365D"/>
                <w:sz w:val="20"/>
                <w:vertAlign w:val="superscript"/>
              </w:rPr>
              <w:t>1</w:t>
            </w:r>
          </w:p>
          <w:p w:rsidR="006C17CB" w:rsidRDefault="0030091C">
            <w:pPr>
              <w:pStyle w:val="TableParagraph"/>
              <w:spacing w:line="231" w:lineRule="exact"/>
              <w:ind w:left="182" w:right="176"/>
              <w:jc w:val="center"/>
              <w:rPr>
                <w:b/>
                <w:sz w:val="20"/>
              </w:rPr>
            </w:pPr>
            <w:r>
              <w:rPr>
                <w:b/>
                <w:color w:val="17365D"/>
                <w:sz w:val="20"/>
              </w:rPr>
              <w:t>2017-18</w:t>
            </w:r>
          </w:p>
          <w:p w:rsidR="006C17CB" w:rsidRDefault="0030091C">
            <w:pPr>
              <w:pStyle w:val="TableParagraph"/>
              <w:spacing w:line="245" w:lineRule="exact"/>
              <w:ind w:left="182" w:right="173"/>
              <w:jc w:val="center"/>
              <w:rPr>
                <w:b/>
                <w:sz w:val="20"/>
              </w:rPr>
            </w:pPr>
            <w:r>
              <w:rPr>
                <w:b/>
                <w:color w:val="17365D"/>
                <w:sz w:val="20"/>
              </w:rPr>
              <w:t>$’000</w:t>
            </w:r>
          </w:p>
        </w:tc>
        <w:tc>
          <w:tcPr>
            <w:tcW w:w="1101" w:type="dxa"/>
            <w:tcBorders>
              <w:left w:val="single" w:sz="6" w:space="0" w:color="000000"/>
              <w:bottom w:val="single" w:sz="6" w:space="0" w:color="000000"/>
              <w:right w:val="single" w:sz="6" w:space="0" w:color="000000"/>
            </w:tcBorders>
          </w:tcPr>
          <w:p w:rsidR="006C17CB" w:rsidRDefault="0030091C">
            <w:pPr>
              <w:pStyle w:val="TableParagraph"/>
              <w:spacing w:line="243" w:lineRule="exact"/>
              <w:ind w:left="82" w:right="75"/>
              <w:jc w:val="center"/>
              <w:rPr>
                <w:b/>
                <w:sz w:val="20"/>
              </w:rPr>
            </w:pPr>
            <w:r>
              <w:rPr>
                <w:b/>
                <w:color w:val="17365D"/>
                <w:sz w:val="20"/>
              </w:rPr>
              <w:t>Variance</w:t>
            </w:r>
          </w:p>
          <w:p w:rsidR="006C17CB" w:rsidRDefault="006C17CB">
            <w:pPr>
              <w:pStyle w:val="TableParagraph"/>
              <w:jc w:val="left"/>
              <w:rPr>
                <w:b/>
                <w:sz w:val="20"/>
              </w:rPr>
            </w:pPr>
          </w:p>
          <w:p w:rsidR="006C17CB" w:rsidRDefault="0030091C">
            <w:pPr>
              <w:pStyle w:val="TableParagraph"/>
              <w:spacing w:before="158" w:line="267" w:lineRule="exact"/>
              <w:ind w:left="83" w:right="75"/>
              <w:jc w:val="center"/>
              <w:rPr>
                <w:b/>
                <w:sz w:val="20"/>
              </w:rPr>
            </w:pPr>
            <w:r>
              <w:rPr>
                <w:b/>
                <w:color w:val="17365D"/>
                <w:sz w:val="20"/>
              </w:rPr>
              <w:t>$’000</w:t>
            </w:r>
          </w:p>
        </w:tc>
        <w:tc>
          <w:tcPr>
            <w:tcW w:w="1053" w:type="dxa"/>
            <w:tcBorders>
              <w:left w:val="single" w:sz="6" w:space="0" w:color="000000"/>
              <w:bottom w:val="single" w:sz="6" w:space="0" w:color="000000"/>
              <w:right w:val="single" w:sz="6" w:space="0" w:color="000000"/>
            </w:tcBorders>
          </w:tcPr>
          <w:p w:rsidR="006C17CB" w:rsidRDefault="0030091C">
            <w:pPr>
              <w:pStyle w:val="TableParagraph"/>
              <w:spacing w:line="243" w:lineRule="exact"/>
              <w:ind w:left="139" w:right="130"/>
              <w:jc w:val="center"/>
              <w:rPr>
                <w:b/>
                <w:sz w:val="20"/>
              </w:rPr>
            </w:pPr>
            <w:r>
              <w:rPr>
                <w:b/>
                <w:color w:val="17365D"/>
                <w:sz w:val="20"/>
              </w:rPr>
              <w:t>Variance</w:t>
            </w:r>
          </w:p>
          <w:p w:rsidR="006C17CB" w:rsidRDefault="006C17CB">
            <w:pPr>
              <w:pStyle w:val="TableParagraph"/>
              <w:jc w:val="left"/>
              <w:rPr>
                <w:b/>
                <w:sz w:val="20"/>
              </w:rPr>
            </w:pPr>
          </w:p>
          <w:p w:rsidR="006C17CB" w:rsidRDefault="0030091C">
            <w:pPr>
              <w:pStyle w:val="TableParagraph"/>
              <w:spacing w:before="158" w:line="267" w:lineRule="exact"/>
              <w:ind w:left="8"/>
              <w:jc w:val="center"/>
              <w:rPr>
                <w:b/>
                <w:sz w:val="20"/>
              </w:rPr>
            </w:pPr>
            <w:r>
              <w:rPr>
                <w:b/>
                <w:color w:val="17365D"/>
                <w:w w:val="99"/>
                <w:sz w:val="20"/>
              </w:rPr>
              <w:t>%</w:t>
            </w:r>
          </w:p>
        </w:tc>
        <w:tc>
          <w:tcPr>
            <w:tcW w:w="2013" w:type="dxa"/>
            <w:tcBorders>
              <w:left w:val="single" w:sz="6" w:space="0" w:color="000000"/>
              <w:bottom w:val="single" w:sz="6" w:space="0" w:color="000000"/>
            </w:tcBorders>
          </w:tcPr>
          <w:p w:rsidR="006C17CB" w:rsidRDefault="0030091C">
            <w:pPr>
              <w:pStyle w:val="TableParagraph"/>
              <w:spacing w:line="243" w:lineRule="exact"/>
              <w:ind w:left="127"/>
              <w:jc w:val="left"/>
              <w:rPr>
                <w:b/>
                <w:sz w:val="20"/>
              </w:rPr>
            </w:pPr>
            <w:r>
              <w:rPr>
                <w:b/>
                <w:color w:val="17365D"/>
                <w:sz w:val="20"/>
              </w:rPr>
              <w:t>Variance Explanation</w:t>
            </w:r>
          </w:p>
        </w:tc>
      </w:tr>
      <w:tr w:rsidR="006C17CB">
        <w:trPr>
          <w:trHeight w:val="1218"/>
        </w:trPr>
        <w:tc>
          <w:tcPr>
            <w:tcW w:w="2251" w:type="dxa"/>
            <w:tcBorders>
              <w:top w:val="single" w:sz="6" w:space="0" w:color="000000"/>
              <w:bottom w:val="single" w:sz="6" w:space="0" w:color="000000"/>
              <w:right w:val="single" w:sz="6" w:space="0" w:color="000000"/>
            </w:tcBorders>
          </w:tcPr>
          <w:p w:rsidR="006C17CB" w:rsidRDefault="0030091C">
            <w:pPr>
              <w:pStyle w:val="TableParagraph"/>
              <w:spacing w:line="204" w:lineRule="auto"/>
              <w:ind w:left="107" w:right="148"/>
              <w:jc w:val="left"/>
              <w:rPr>
                <w:sz w:val="18"/>
              </w:rPr>
            </w:pPr>
            <w:r>
              <w:rPr>
                <w:color w:val="17365D"/>
                <w:sz w:val="18"/>
              </w:rPr>
              <w:t>Cash from Government for Expenses on Behalf of the Territory</w:t>
            </w:r>
          </w:p>
          <w:p w:rsidR="006C17CB" w:rsidRDefault="006C17CB">
            <w:pPr>
              <w:pStyle w:val="TableParagraph"/>
              <w:spacing w:before="5"/>
              <w:jc w:val="left"/>
              <w:rPr>
                <w:b/>
                <w:sz w:val="12"/>
              </w:rPr>
            </w:pPr>
          </w:p>
          <w:p w:rsidR="006C17CB" w:rsidRDefault="0030091C">
            <w:pPr>
              <w:pStyle w:val="TableParagraph"/>
              <w:ind w:left="107"/>
              <w:jc w:val="left"/>
              <w:rPr>
                <w:sz w:val="18"/>
              </w:rPr>
            </w:pPr>
            <w:r>
              <w:rPr>
                <w:color w:val="17365D"/>
                <w:sz w:val="18"/>
              </w:rPr>
              <w:t>Employee Expenses</w:t>
            </w:r>
          </w:p>
        </w:tc>
        <w:tc>
          <w:tcPr>
            <w:tcW w:w="1058"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537"/>
              <w:jc w:val="left"/>
              <w:rPr>
                <w:sz w:val="18"/>
              </w:rPr>
            </w:pPr>
            <w:r>
              <w:rPr>
                <w:color w:val="17365D"/>
                <w:sz w:val="18"/>
              </w:rPr>
              <w:t>9,027</w:t>
            </w:r>
          </w:p>
          <w:p w:rsidR="006C17CB" w:rsidRDefault="006C17CB">
            <w:pPr>
              <w:pStyle w:val="TableParagraph"/>
              <w:jc w:val="left"/>
              <w:rPr>
                <w:b/>
                <w:sz w:val="18"/>
              </w:rPr>
            </w:pPr>
          </w:p>
          <w:p w:rsidR="006C17CB" w:rsidRDefault="006C17CB">
            <w:pPr>
              <w:pStyle w:val="TableParagraph"/>
              <w:spacing w:before="13"/>
              <w:jc w:val="left"/>
              <w:rPr>
                <w:b/>
                <w:sz w:val="24"/>
              </w:rPr>
            </w:pPr>
          </w:p>
          <w:p w:rsidR="006C17CB" w:rsidRDefault="0030091C">
            <w:pPr>
              <w:pStyle w:val="TableParagraph"/>
              <w:ind w:left="537"/>
              <w:jc w:val="left"/>
              <w:rPr>
                <w:sz w:val="18"/>
              </w:rPr>
            </w:pPr>
            <w:r>
              <w:rPr>
                <w:color w:val="17365D"/>
                <w:sz w:val="18"/>
              </w:rPr>
              <w:t>8,017</w:t>
            </w:r>
          </w:p>
        </w:tc>
        <w:tc>
          <w:tcPr>
            <w:tcW w:w="1084"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564"/>
              <w:jc w:val="left"/>
              <w:rPr>
                <w:sz w:val="18"/>
              </w:rPr>
            </w:pPr>
            <w:r>
              <w:rPr>
                <w:color w:val="17365D"/>
                <w:sz w:val="18"/>
              </w:rPr>
              <w:t>9,923</w:t>
            </w:r>
          </w:p>
          <w:p w:rsidR="006C17CB" w:rsidRDefault="006C17CB">
            <w:pPr>
              <w:pStyle w:val="TableParagraph"/>
              <w:jc w:val="left"/>
              <w:rPr>
                <w:b/>
                <w:sz w:val="18"/>
              </w:rPr>
            </w:pPr>
          </w:p>
          <w:p w:rsidR="006C17CB" w:rsidRDefault="006C17CB">
            <w:pPr>
              <w:pStyle w:val="TableParagraph"/>
              <w:spacing w:before="13"/>
              <w:jc w:val="left"/>
              <w:rPr>
                <w:b/>
                <w:sz w:val="24"/>
              </w:rPr>
            </w:pPr>
          </w:p>
          <w:p w:rsidR="006C17CB" w:rsidRDefault="0030091C">
            <w:pPr>
              <w:pStyle w:val="TableParagraph"/>
              <w:ind w:left="564"/>
              <w:jc w:val="left"/>
              <w:rPr>
                <w:sz w:val="18"/>
              </w:rPr>
            </w:pPr>
            <w:r>
              <w:rPr>
                <w:color w:val="17365D"/>
                <w:sz w:val="18"/>
              </w:rPr>
              <w:t>9,229</w:t>
            </w:r>
          </w:p>
        </w:tc>
        <w:tc>
          <w:tcPr>
            <w:tcW w:w="1101"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584" w:right="75"/>
              <w:jc w:val="center"/>
              <w:rPr>
                <w:sz w:val="18"/>
              </w:rPr>
            </w:pPr>
            <w:r>
              <w:rPr>
                <w:color w:val="17365D"/>
                <w:sz w:val="18"/>
              </w:rPr>
              <w:t>(896)</w:t>
            </w:r>
          </w:p>
          <w:p w:rsidR="006C17CB" w:rsidRDefault="006C17CB">
            <w:pPr>
              <w:pStyle w:val="TableParagraph"/>
              <w:jc w:val="left"/>
              <w:rPr>
                <w:b/>
                <w:sz w:val="18"/>
              </w:rPr>
            </w:pPr>
          </w:p>
          <w:p w:rsidR="006C17CB" w:rsidRDefault="006C17CB">
            <w:pPr>
              <w:pStyle w:val="TableParagraph"/>
              <w:spacing w:before="13"/>
              <w:jc w:val="left"/>
              <w:rPr>
                <w:b/>
                <w:sz w:val="24"/>
              </w:rPr>
            </w:pPr>
          </w:p>
          <w:p w:rsidR="006C17CB" w:rsidRDefault="0030091C">
            <w:pPr>
              <w:pStyle w:val="TableParagraph"/>
              <w:ind w:left="452" w:right="75"/>
              <w:jc w:val="center"/>
              <w:rPr>
                <w:sz w:val="18"/>
              </w:rPr>
            </w:pPr>
            <w:r>
              <w:rPr>
                <w:color w:val="17365D"/>
                <w:sz w:val="18"/>
              </w:rPr>
              <w:t>(1,212)</w:t>
            </w:r>
          </w:p>
        </w:tc>
        <w:tc>
          <w:tcPr>
            <w:tcW w:w="1053"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606"/>
              <w:jc w:val="left"/>
              <w:rPr>
                <w:sz w:val="18"/>
              </w:rPr>
            </w:pPr>
            <w:r>
              <w:rPr>
                <w:color w:val="17365D"/>
                <w:sz w:val="18"/>
              </w:rPr>
              <w:t>(9.0)</w:t>
            </w:r>
          </w:p>
          <w:p w:rsidR="006C17CB" w:rsidRDefault="006C17CB">
            <w:pPr>
              <w:pStyle w:val="TableParagraph"/>
              <w:jc w:val="left"/>
              <w:rPr>
                <w:b/>
                <w:sz w:val="18"/>
              </w:rPr>
            </w:pPr>
          </w:p>
          <w:p w:rsidR="006C17CB" w:rsidRDefault="006C17CB">
            <w:pPr>
              <w:pStyle w:val="TableParagraph"/>
              <w:spacing w:before="13"/>
              <w:jc w:val="left"/>
              <w:rPr>
                <w:b/>
                <w:sz w:val="24"/>
              </w:rPr>
            </w:pPr>
          </w:p>
          <w:p w:rsidR="006C17CB" w:rsidRDefault="0030091C">
            <w:pPr>
              <w:pStyle w:val="TableParagraph"/>
              <w:ind w:left="515"/>
              <w:jc w:val="left"/>
              <w:rPr>
                <w:sz w:val="18"/>
              </w:rPr>
            </w:pPr>
            <w:r>
              <w:rPr>
                <w:color w:val="17365D"/>
                <w:sz w:val="18"/>
              </w:rPr>
              <w:t>(13.1)</w:t>
            </w:r>
          </w:p>
        </w:tc>
        <w:tc>
          <w:tcPr>
            <w:tcW w:w="2013" w:type="dxa"/>
            <w:tcBorders>
              <w:top w:val="single" w:sz="6" w:space="0" w:color="000000"/>
              <w:left w:val="single" w:sz="6" w:space="0" w:color="000000"/>
              <w:bottom w:val="single" w:sz="6" w:space="0" w:color="000000"/>
            </w:tcBorders>
          </w:tcPr>
          <w:p w:rsidR="006C17CB" w:rsidRDefault="0030091C">
            <w:pPr>
              <w:pStyle w:val="TableParagraph"/>
              <w:spacing w:line="201" w:lineRule="auto"/>
              <w:ind w:left="107" w:right="147"/>
              <w:jc w:val="left"/>
              <w:rPr>
                <w:sz w:val="18"/>
              </w:rPr>
            </w:pPr>
            <w:r>
              <w:rPr>
                <w:color w:val="003366"/>
                <w:sz w:val="18"/>
              </w:rPr>
              <w:t>See explanation on Statement of Income and Expenses on Behalf of the Territory.</w:t>
            </w:r>
          </w:p>
        </w:tc>
      </w:tr>
      <w:tr w:rsidR="006C17CB">
        <w:trPr>
          <w:trHeight w:val="2099"/>
        </w:trPr>
        <w:tc>
          <w:tcPr>
            <w:tcW w:w="2251" w:type="dxa"/>
            <w:tcBorders>
              <w:top w:val="single" w:sz="6" w:space="0" w:color="000000"/>
              <w:bottom w:val="single" w:sz="6" w:space="0" w:color="000000"/>
              <w:right w:val="single" w:sz="6" w:space="0" w:color="000000"/>
            </w:tcBorders>
          </w:tcPr>
          <w:p w:rsidR="006C17CB" w:rsidRDefault="0030091C">
            <w:pPr>
              <w:pStyle w:val="TableParagraph"/>
              <w:spacing w:line="221" w:lineRule="exact"/>
              <w:ind w:left="107"/>
              <w:jc w:val="left"/>
              <w:rPr>
                <w:sz w:val="18"/>
              </w:rPr>
            </w:pPr>
            <w:r>
              <w:rPr>
                <w:color w:val="17365D"/>
                <w:sz w:val="18"/>
              </w:rPr>
              <w:t>Superannuation</w:t>
            </w:r>
          </w:p>
        </w:tc>
        <w:tc>
          <w:tcPr>
            <w:tcW w:w="1058"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674"/>
              <w:jc w:val="left"/>
              <w:rPr>
                <w:sz w:val="18"/>
              </w:rPr>
            </w:pPr>
            <w:r>
              <w:rPr>
                <w:color w:val="17365D"/>
                <w:sz w:val="18"/>
              </w:rPr>
              <w:t>930</w:t>
            </w:r>
          </w:p>
        </w:tc>
        <w:tc>
          <w:tcPr>
            <w:tcW w:w="1084"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701"/>
              <w:jc w:val="left"/>
              <w:rPr>
                <w:sz w:val="18"/>
              </w:rPr>
            </w:pPr>
            <w:r>
              <w:rPr>
                <w:color w:val="17365D"/>
                <w:sz w:val="18"/>
              </w:rPr>
              <w:t>588</w:t>
            </w:r>
          </w:p>
        </w:tc>
        <w:tc>
          <w:tcPr>
            <w:tcW w:w="1101"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716"/>
              <w:jc w:val="left"/>
              <w:rPr>
                <w:sz w:val="18"/>
              </w:rPr>
            </w:pPr>
            <w:r>
              <w:rPr>
                <w:color w:val="17365D"/>
                <w:sz w:val="18"/>
              </w:rPr>
              <w:t>342</w:t>
            </w:r>
          </w:p>
        </w:tc>
        <w:tc>
          <w:tcPr>
            <w:tcW w:w="1053" w:type="dxa"/>
            <w:tcBorders>
              <w:top w:val="single" w:sz="6" w:space="0" w:color="000000"/>
              <w:left w:val="single" w:sz="6" w:space="0" w:color="000000"/>
              <w:bottom w:val="single" w:sz="6" w:space="0" w:color="000000"/>
              <w:right w:val="single" w:sz="6" w:space="0" w:color="000000"/>
            </w:tcBorders>
          </w:tcPr>
          <w:p w:rsidR="006C17CB" w:rsidRDefault="0030091C">
            <w:pPr>
              <w:pStyle w:val="TableParagraph"/>
              <w:spacing w:line="221" w:lineRule="exact"/>
              <w:ind w:left="623"/>
              <w:jc w:val="left"/>
              <w:rPr>
                <w:sz w:val="18"/>
              </w:rPr>
            </w:pPr>
            <w:r>
              <w:rPr>
                <w:color w:val="17365D"/>
                <w:sz w:val="18"/>
              </w:rPr>
              <w:t>58.2</w:t>
            </w:r>
          </w:p>
        </w:tc>
        <w:tc>
          <w:tcPr>
            <w:tcW w:w="2013" w:type="dxa"/>
            <w:tcBorders>
              <w:top w:val="single" w:sz="6" w:space="0" w:color="000000"/>
              <w:left w:val="single" w:sz="6" w:space="0" w:color="000000"/>
              <w:bottom w:val="single" w:sz="6" w:space="0" w:color="000000"/>
            </w:tcBorders>
          </w:tcPr>
          <w:p w:rsidR="006C17CB" w:rsidRDefault="0030091C">
            <w:pPr>
              <w:pStyle w:val="TableParagraph"/>
              <w:spacing w:line="204" w:lineRule="auto"/>
              <w:ind w:left="107" w:right="219"/>
              <w:jc w:val="left"/>
              <w:rPr>
                <w:sz w:val="18"/>
              </w:rPr>
            </w:pPr>
            <w:r>
              <w:rPr>
                <w:color w:val="003366"/>
                <w:sz w:val="18"/>
              </w:rPr>
              <w:t>The budget assumed a certain mix of defined benefit members and freedom of choice members. The actual result was significantly different resulting in a higher than budget outcome.</w:t>
            </w:r>
          </w:p>
        </w:tc>
      </w:tr>
      <w:tr w:rsidR="006C17CB">
        <w:trPr>
          <w:trHeight w:val="2757"/>
        </w:trPr>
        <w:tc>
          <w:tcPr>
            <w:tcW w:w="2251" w:type="dxa"/>
            <w:tcBorders>
              <w:top w:val="single" w:sz="6" w:space="0" w:color="000000"/>
              <w:right w:val="single" w:sz="6" w:space="0" w:color="000000"/>
            </w:tcBorders>
          </w:tcPr>
          <w:p w:rsidR="006C17CB" w:rsidRDefault="0030091C">
            <w:pPr>
              <w:pStyle w:val="TableParagraph"/>
              <w:spacing w:line="201" w:lineRule="auto"/>
              <w:ind w:left="107" w:right="413"/>
              <w:jc w:val="left"/>
              <w:rPr>
                <w:sz w:val="18"/>
              </w:rPr>
            </w:pPr>
            <w:r>
              <w:rPr>
                <w:color w:val="17365D"/>
                <w:sz w:val="18"/>
              </w:rPr>
              <w:t>Payments for Property, Plant and Equipment</w:t>
            </w:r>
          </w:p>
          <w:p w:rsidR="006C17CB" w:rsidRDefault="006C17CB">
            <w:pPr>
              <w:pStyle w:val="TableParagraph"/>
              <w:spacing w:before="10"/>
              <w:jc w:val="left"/>
              <w:rPr>
                <w:b/>
                <w:sz w:val="12"/>
              </w:rPr>
            </w:pPr>
          </w:p>
          <w:p w:rsidR="006C17CB" w:rsidRDefault="0030091C">
            <w:pPr>
              <w:pStyle w:val="TableParagraph"/>
              <w:ind w:left="107"/>
              <w:jc w:val="left"/>
              <w:rPr>
                <w:sz w:val="18"/>
              </w:rPr>
            </w:pPr>
            <w:r>
              <w:rPr>
                <w:color w:val="17365D"/>
                <w:sz w:val="18"/>
              </w:rPr>
              <w:t>Capital Injections</w:t>
            </w:r>
          </w:p>
        </w:tc>
        <w:tc>
          <w:tcPr>
            <w:tcW w:w="1058" w:type="dxa"/>
            <w:tcBorders>
              <w:top w:val="single" w:sz="6" w:space="0" w:color="000000"/>
              <w:left w:val="single" w:sz="6" w:space="0" w:color="000000"/>
              <w:right w:val="single" w:sz="6" w:space="0" w:color="000000"/>
            </w:tcBorders>
          </w:tcPr>
          <w:p w:rsidR="006C17CB" w:rsidRDefault="0030091C">
            <w:pPr>
              <w:pStyle w:val="TableParagraph"/>
              <w:spacing w:line="218" w:lineRule="exact"/>
              <w:ind w:left="674"/>
              <w:jc w:val="left"/>
              <w:rPr>
                <w:sz w:val="18"/>
              </w:rPr>
            </w:pPr>
            <w:r>
              <w:rPr>
                <w:color w:val="17365D"/>
                <w:sz w:val="18"/>
              </w:rPr>
              <w:t>753</w:t>
            </w:r>
          </w:p>
          <w:p w:rsidR="006C17CB" w:rsidRDefault="006C17CB">
            <w:pPr>
              <w:pStyle w:val="TableParagraph"/>
              <w:jc w:val="left"/>
              <w:rPr>
                <w:b/>
                <w:sz w:val="18"/>
              </w:rPr>
            </w:pPr>
          </w:p>
          <w:p w:rsidR="006C17CB" w:rsidRDefault="0030091C">
            <w:pPr>
              <w:pStyle w:val="TableParagraph"/>
              <w:spacing w:before="141"/>
              <w:ind w:left="674"/>
              <w:jc w:val="left"/>
              <w:rPr>
                <w:sz w:val="18"/>
              </w:rPr>
            </w:pPr>
            <w:r>
              <w:rPr>
                <w:color w:val="17365D"/>
                <w:sz w:val="18"/>
              </w:rPr>
              <w:t>784</w:t>
            </w:r>
          </w:p>
        </w:tc>
        <w:tc>
          <w:tcPr>
            <w:tcW w:w="1084" w:type="dxa"/>
            <w:tcBorders>
              <w:top w:val="single" w:sz="6" w:space="0" w:color="000000"/>
              <w:left w:val="single" w:sz="6" w:space="0" w:color="000000"/>
              <w:right w:val="single" w:sz="6" w:space="0" w:color="000000"/>
            </w:tcBorders>
          </w:tcPr>
          <w:p w:rsidR="006C17CB" w:rsidRDefault="0030091C">
            <w:pPr>
              <w:pStyle w:val="TableParagraph"/>
              <w:spacing w:line="218" w:lineRule="exact"/>
              <w:ind w:left="701"/>
              <w:jc w:val="left"/>
              <w:rPr>
                <w:sz w:val="18"/>
              </w:rPr>
            </w:pPr>
            <w:r>
              <w:rPr>
                <w:color w:val="17365D"/>
                <w:sz w:val="18"/>
              </w:rPr>
              <w:t>144</w:t>
            </w:r>
          </w:p>
          <w:p w:rsidR="006C17CB" w:rsidRDefault="006C17CB">
            <w:pPr>
              <w:pStyle w:val="TableParagraph"/>
              <w:jc w:val="left"/>
              <w:rPr>
                <w:b/>
                <w:sz w:val="18"/>
              </w:rPr>
            </w:pPr>
          </w:p>
          <w:p w:rsidR="006C17CB" w:rsidRDefault="0030091C">
            <w:pPr>
              <w:pStyle w:val="TableParagraph"/>
              <w:spacing w:before="141"/>
              <w:ind w:left="701"/>
              <w:jc w:val="left"/>
              <w:rPr>
                <w:sz w:val="18"/>
              </w:rPr>
            </w:pPr>
            <w:r>
              <w:rPr>
                <w:color w:val="17365D"/>
                <w:sz w:val="18"/>
              </w:rPr>
              <w:t>144</w:t>
            </w:r>
          </w:p>
        </w:tc>
        <w:tc>
          <w:tcPr>
            <w:tcW w:w="1101" w:type="dxa"/>
            <w:tcBorders>
              <w:top w:val="single" w:sz="6" w:space="0" w:color="000000"/>
              <w:left w:val="single" w:sz="6" w:space="0" w:color="000000"/>
              <w:right w:val="single" w:sz="6" w:space="0" w:color="000000"/>
            </w:tcBorders>
          </w:tcPr>
          <w:p w:rsidR="006C17CB" w:rsidRDefault="0030091C">
            <w:pPr>
              <w:pStyle w:val="TableParagraph"/>
              <w:spacing w:line="218" w:lineRule="exact"/>
              <w:ind w:left="716"/>
              <w:jc w:val="left"/>
              <w:rPr>
                <w:sz w:val="18"/>
              </w:rPr>
            </w:pPr>
            <w:r>
              <w:rPr>
                <w:color w:val="17365D"/>
                <w:sz w:val="18"/>
              </w:rPr>
              <w:t>609</w:t>
            </w:r>
          </w:p>
          <w:p w:rsidR="006C17CB" w:rsidRDefault="006C17CB">
            <w:pPr>
              <w:pStyle w:val="TableParagraph"/>
              <w:jc w:val="left"/>
              <w:rPr>
                <w:b/>
                <w:sz w:val="18"/>
              </w:rPr>
            </w:pPr>
          </w:p>
          <w:p w:rsidR="006C17CB" w:rsidRDefault="0030091C">
            <w:pPr>
              <w:pStyle w:val="TableParagraph"/>
              <w:spacing w:before="141"/>
              <w:ind w:left="716"/>
              <w:jc w:val="left"/>
              <w:rPr>
                <w:sz w:val="18"/>
              </w:rPr>
            </w:pPr>
            <w:r>
              <w:rPr>
                <w:color w:val="17365D"/>
                <w:sz w:val="18"/>
              </w:rPr>
              <w:t>640</w:t>
            </w:r>
          </w:p>
        </w:tc>
        <w:tc>
          <w:tcPr>
            <w:tcW w:w="1053" w:type="dxa"/>
            <w:tcBorders>
              <w:top w:val="single" w:sz="6" w:space="0" w:color="000000"/>
              <w:left w:val="single" w:sz="6" w:space="0" w:color="000000"/>
              <w:right w:val="single" w:sz="6" w:space="0" w:color="000000"/>
            </w:tcBorders>
          </w:tcPr>
          <w:p w:rsidR="006C17CB" w:rsidRDefault="0030091C">
            <w:pPr>
              <w:pStyle w:val="TableParagraph"/>
              <w:spacing w:line="218" w:lineRule="exact"/>
              <w:ind w:left="532"/>
              <w:jc w:val="left"/>
              <w:rPr>
                <w:sz w:val="18"/>
              </w:rPr>
            </w:pPr>
            <w:r>
              <w:rPr>
                <w:color w:val="17365D"/>
                <w:sz w:val="18"/>
              </w:rPr>
              <w:t>422.9</w:t>
            </w:r>
          </w:p>
          <w:p w:rsidR="006C17CB" w:rsidRDefault="006C17CB">
            <w:pPr>
              <w:pStyle w:val="TableParagraph"/>
              <w:jc w:val="left"/>
              <w:rPr>
                <w:b/>
                <w:sz w:val="18"/>
              </w:rPr>
            </w:pPr>
          </w:p>
          <w:p w:rsidR="006C17CB" w:rsidRDefault="0030091C">
            <w:pPr>
              <w:pStyle w:val="TableParagraph"/>
              <w:spacing w:before="141"/>
              <w:ind w:left="532"/>
              <w:jc w:val="left"/>
              <w:rPr>
                <w:sz w:val="18"/>
              </w:rPr>
            </w:pPr>
            <w:r>
              <w:rPr>
                <w:color w:val="17365D"/>
                <w:sz w:val="18"/>
              </w:rPr>
              <w:t>444.4</w:t>
            </w:r>
          </w:p>
        </w:tc>
        <w:tc>
          <w:tcPr>
            <w:tcW w:w="2013" w:type="dxa"/>
            <w:tcBorders>
              <w:top w:val="single" w:sz="6" w:space="0" w:color="000000"/>
              <w:left w:val="single" w:sz="6" w:space="0" w:color="000000"/>
            </w:tcBorders>
          </w:tcPr>
          <w:p w:rsidR="006C17CB" w:rsidRDefault="0030091C">
            <w:pPr>
              <w:pStyle w:val="TableParagraph"/>
              <w:spacing w:line="204" w:lineRule="auto"/>
              <w:ind w:left="107" w:right="130"/>
              <w:jc w:val="left"/>
              <w:rPr>
                <w:sz w:val="18"/>
              </w:rPr>
            </w:pPr>
            <w:r>
              <w:rPr>
                <w:color w:val="003366"/>
                <w:sz w:val="18"/>
              </w:rPr>
              <w:t>Payments for property, plant and equipment and capital injections were higher than budget due to the carryover of $250k of Better Infrastructure Funding and the receipt of $390k for the first phase of double glazing the Assembly building windows.</w:t>
            </w:r>
          </w:p>
        </w:tc>
      </w:tr>
    </w:tbl>
    <w:p w:rsidR="006C17CB" w:rsidRDefault="006C17CB">
      <w:pPr>
        <w:pStyle w:val="BodyText"/>
        <w:spacing w:before="1"/>
        <w:rPr>
          <w:rFonts w:ascii="Calibri"/>
          <w:b/>
          <w:sz w:val="16"/>
        </w:rPr>
      </w:pPr>
    </w:p>
    <w:p w:rsidR="006C17CB" w:rsidRDefault="0030091C">
      <w:pPr>
        <w:spacing w:before="1" w:line="204" w:lineRule="auto"/>
        <w:ind w:left="829" w:right="1523"/>
        <w:jc w:val="both"/>
        <w:rPr>
          <w:rFonts w:ascii="Calibri"/>
          <w:sz w:val="20"/>
        </w:rPr>
      </w:pPr>
      <w:r>
        <w:rPr>
          <w:rFonts w:ascii="Calibri"/>
          <w:color w:val="17365D"/>
          <w:position w:val="7"/>
          <w:sz w:val="13"/>
        </w:rPr>
        <w:t xml:space="preserve">1 </w:t>
      </w:r>
      <w:r>
        <w:rPr>
          <w:rFonts w:ascii="Calibri"/>
          <w:color w:val="17365D"/>
          <w:sz w:val="20"/>
        </w:rPr>
        <w:t>Original Budget refers to the amounts presented to the Legislative Assembly in the original budgeted financial</w:t>
      </w:r>
      <w:r>
        <w:rPr>
          <w:rFonts w:ascii="Calibri"/>
          <w:color w:val="17365D"/>
          <w:spacing w:val="-8"/>
          <w:sz w:val="20"/>
        </w:rPr>
        <w:t xml:space="preserve"> </w:t>
      </w:r>
      <w:r>
        <w:rPr>
          <w:rFonts w:ascii="Calibri"/>
          <w:color w:val="17365D"/>
          <w:sz w:val="20"/>
        </w:rPr>
        <w:t>statements</w:t>
      </w:r>
      <w:r>
        <w:rPr>
          <w:rFonts w:ascii="Calibri"/>
          <w:color w:val="17365D"/>
          <w:spacing w:val="-9"/>
          <w:sz w:val="20"/>
        </w:rPr>
        <w:t xml:space="preserve"> </w:t>
      </w:r>
      <w:r>
        <w:rPr>
          <w:rFonts w:ascii="Calibri"/>
          <w:color w:val="17365D"/>
          <w:sz w:val="20"/>
        </w:rPr>
        <w:t>in</w:t>
      </w:r>
      <w:r>
        <w:rPr>
          <w:rFonts w:ascii="Calibri"/>
          <w:color w:val="17365D"/>
          <w:spacing w:val="-7"/>
          <w:sz w:val="20"/>
        </w:rPr>
        <w:t xml:space="preserve"> </w:t>
      </w:r>
      <w:r>
        <w:rPr>
          <w:rFonts w:ascii="Calibri"/>
          <w:color w:val="17365D"/>
          <w:sz w:val="20"/>
        </w:rPr>
        <w:t>respect</w:t>
      </w:r>
      <w:r>
        <w:rPr>
          <w:rFonts w:ascii="Calibri"/>
          <w:color w:val="17365D"/>
          <w:spacing w:val="-7"/>
          <w:sz w:val="20"/>
        </w:rPr>
        <w:t xml:space="preserve"> </w:t>
      </w:r>
      <w:r>
        <w:rPr>
          <w:rFonts w:ascii="Calibri"/>
          <w:color w:val="17365D"/>
          <w:sz w:val="20"/>
        </w:rPr>
        <w:t>of</w:t>
      </w:r>
      <w:r>
        <w:rPr>
          <w:rFonts w:ascii="Calibri"/>
          <w:color w:val="17365D"/>
          <w:spacing w:val="-8"/>
          <w:sz w:val="20"/>
        </w:rPr>
        <w:t xml:space="preserve"> </w:t>
      </w:r>
      <w:r>
        <w:rPr>
          <w:rFonts w:ascii="Calibri"/>
          <w:color w:val="17365D"/>
          <w:sz w:val="20"/>
        </w:rPr>
        <w:t>the</w:t>
      </w:r>
      <w:r>
        <w:rPr>
          <w:rFonts w:ascii="Calibri"/>
          <w:color w:val="17365D"/>
          <w:spacing w:val="-8"/>
          <w:sz w:val="20"/>
        </w:rPr>
        <w:t xml:space="preserve"> </w:t>
      </w:r>
      <w:r>
        <w:rPr>
          <w:rFonts w:ascii="Calibri"/>
          <w:color w:val="17365D"/>
          <w:sz w:val="20"/>
        </w:rPr>
        <w:t>reporting</w:t>
      </w:r>
      <w:r>
        <w:rPr>
          <w:rFonts w:ascii="Calibri"/>
          <w:color w:val="17365D"/>
          <w:spacing w:val="-8"/>
          <w:sz w:val="20"/>
        </w:rPr>
        <w:t xml:space="preserve"> </w:t>
      </w:r>
      <w:r>
        <w:rPr>
          <w:rFonts w:ascii="Calibri"/>
          <w:color w:val="17365D"/>
          <w:sz w:val="20"/>
        </w:rPr>
        <w:t>period</w:t>
      </w:r>
      <w:r>
        <w:rPr>
          <w:rFonts w:ascii="Calibri"/>
          <w:color w:val="17365D"/>
          <w:spacing w:val="-7"/>
          <w:sz w:val="20"/>
        </w:rPr>
        <w:t xml:space="preserve"> </w:t>
      </w:r>
      <w:r>
        <w:rPr>
          <w:rFonts w:ascii="Calibri"/>
          <w:color w:val="17365D"/>
          <w:sz w:val="20"/>
        </w:rPr>
        <w:t>(2017-18</w:t>
      </w:r>
      <w:r>
        <w:rPr>
          <w:rFonts w:ascii="Calibri"/>
          <w:color w:val="17365D"/>
          <w:spacing w:val="-8"/>
          <w:sz w:val="20"/>
        </w:rPr>
        <w:t xml:space="preserve"> </w:t>
      </w:r>
      <w:r>
        <w:rPr>
          <w:rFonts w:ascii="Calibri"/>
          <w:color w:val="17365D"/>
          <w:sz w:val="20"/>
        </w:rPr>
        <w:t>Budget</w:t>
      </w:r>
      <w:r>
        <w:rPr>
          <w:rFonts w:ascii="Calibri"/>
          <w:color w:val="17365D"/>
          <w:spacing w:val="-7"/>
          <w:sz w:val="20"/>
        </w:rPr>
        <w:t xml:space="preserve"> </w:t>
      </w:r>
      <w:r>
        <w:rPr>
          <w:rFonts w:ascii="Calibri"/>
          <w:color w:val="17365D"/>
          <w:sz w:val="20"/>
        </w:rPr>
        <w:t>Statements).</w:t>
      </w:r>
      <w:r>
        <w:rPr>
          <w:rFonts w:ascii="Calibri"/>
          <w:color w:val="17365D"/>
          <w:spacing w:val="-7"/>
          <w:sz w:val="20"/>
        </w:rPr>
        <w:t xml:space="preserve"> </w:t>
      </w:r>
      <w:r>
        <w:rPr>
          <w:rFonts w:ascii="Calibri"/>
          <w:color w:val="17365D"/>
          <w:sz w:val="20"/>
        </w:rPr>
        <w:t>These</w:t>
      </w:r>
      <w:r>
        <w:rPr>
          <w:rFonts w:ascii="Calibri"/>
          <w:color w:val="17365D"/>
          <w:spacing w:val="-8"/>
          <w:sz w:val="20"/>
        </w:rPr>
        <w:t xml:space="preserve"> </w:t>
      </w:r>
      <w:r>
        <w:rPr>
          <w:rFonts w:ascii="Calibri"/>
          <w:color w:val="17365D"/>
          <w:sz w:val="20"/>
        </w:rPr>
        <w:t>amounts</w:t>
      </w:r>
      <w:r>
        <w:rPr>
          <w:rFonts w:ascii="Calibri"/>
          <w:color w:val="17365D"/>
          <w:spacing w:val="-9"/>
          <w:sz w:val="20"/>
        </w:rPr>
        <w:t xml:space="preserve"> </w:t>
      </w:r>
      <w:r>
        <w:rPr>
          <w:rFonts w:ascii="Calibri"/>
          <w:color w:val="17365D"/>
          <w:sz w:val="20"/>
        </w:rPr>
        <w:t>have not been adjusted to reflect supplementary appropriation or appropriation</w:t>
      </w:r>
      <w:r>
        <w:rPr>
          <w:rFonts w:ascii="Calibri"/>
          <w:color w:val="17365D"/>
          <w:spacing w:val="-7"/>
          <w:sz w:val="20"/>
        </w:rPr>
        <w:t xml:space="preserve"> </w:t>
      </w:r>
      <w:r>
        <w:rPr>
          <w:rFonts w:ascii="Calibri"/>
          <w:color w:val="17365D"/>
          <w:sz w:val="20"/>
        </w:rPr>
        <w:t>instruments.</w:t>
      </w:r>
    </w:p>
    <w:p w:rsidR="006C17CB" w:rsidRDefault="006C17CB">
      <w:pPr>
        <w:spacing w:line="204" w:lineRule="auto"/>
        <w:jc w:val="both"/>
        <w:rPr>
          <w:rFonts w:ascii="Calibri"/>
          <w:sz w:val="20"/>
        </w:rPr>
        <w:sectPr w:rsidR="006C17CB">
          <w:pgSz w:w="11910" w:h="16840"/>
          <w:pgMar w:top="2080" w:right="0" w:bottom="720" w:left="980" w:header="1189" w:footer="523" w:gutter="0"/>
          <w:cols w:space="720"/>
        </w:sectPr>
      </w:pPr>
    </w:p>
    <w:p w:rsidR="006C17CB" w:rsidRDefault="006C17CB">
      <w:pPr>
        <w:pStyle w:val="BodyText"/>
        <w:spacing w:before="9"/>
        <w:rPr>
          <w:rFonts w:ascii="Calibri"/>
          <w:sz w:val="21"/>
        </w:rPr>
      </w:pPr>
    </w:p>
    <w:p w:rsidR="006C17CB" w:rsidRDefault="0030091C">
      <w:pPr>
        <w:pStyle w:val="Heading6"/>
        <w:spacing w:line="345" w:lineRule="exact"/>
        <w:ind w:left="882"/>
      </w:pPr>
      <w:r>
        <w:rPr>
          <w:color w:val="003366"/>
        </w:rPr>
        <w:t>APPENDIX A – IMPACT OF ACCOUNTING STANDARDS ISSUED BUT YET TO BE APPLIED</w:t>
      </w:r>
    </w:p>
    <w:p w:rsidR="006C17CB" w:rsidRDefault="0030091C">
      <w:pPr>
        <w:spacing w:before="197"/>
        <w:ind w:left="829"/>
        <w:rPr>
          <w:rFonts w:ascii="Calibri"/>
          <w:b/>
          <w:sz w:val="20"/>
        </w:rPr>
      </w:pPr>
      <w:r>
        <w:rPr>
          <w:rFonts w:ascii="Calibri"/>
          <w:b/>
          <w:color w:val="003366"/>
          <w:sz w:val="20"/>
        </w:rPr>
        <w:t>ACCOUNTING STANDARDS ISSUED BUT YET TO BE APPLIED</w:t>
      </w:r>
    </w:p>
    <w:p w:rsidR="006C17CB" w:rsidRDefault="006C17CB">
      <w:pPr>
        <w:pStyle w:val="BodyText"/>
        <w:spacing w:before="9"/>
        <w:rPr>
          <w:rFonts w:ascii="Calibri"/>
          <w:b/>
        </w:rPr>
      </w:pPr>
    </w:p>
    <w:p w:rsidR="006C17CB" w:rsidRDefault="0030091C">
      <w:pPr>
        <w:pStyle w:val="ListParagraph"/>
        <w:numPr>
          <w:ilvl w:val="1"/>
          <w:numId w:val="6"/>
        </w:numPr>
        <w:tabs>
          <w:tab w:val="left" w:pos="1187"/>
          <w:tab w:val="left" w:pos="1188"/>
        </w:tabs>
        <w:spacing w:line="240" w:lineRule="auto"/>
        <w:ind w:left="1187" w:hanging="358"/>
        <w:rPr>
          <w:rFonts w:ascii="Calibri"/>
          <w:sz w:val="20"/>
        </w:rPr>
      </w:pPr>
      <w:r>
        <w:rPr>
          <w:rFonts w:ascii="Calibri"/>
          <w:color w:val="003366"/>
          <w:sz w:val="20"/>
        </w:rPr>
        <w:t>AASB 16 Leases (application date 1 January</w:t>
      </w:r>
      <w:r>
        <w:rPr>
          <w:rFonts w:ascii="Calibri"/>
          <w:color w:val="003366"/>
          <w:spacing w:val="-2"/>
          <w:sz w:val="20"/>
        </w:rPr>
        <w:t xml:space="preserve"> </w:t>
      </w:r>
      <w:r>
        <w:rPr>
          <w:rFonts w:ascii="Calibri"/>
          <w:color w:val="003366"/>
          <w:sz w:val="20"/>
        </w:rPr>
        <w:t>2019)</w:t>
      </w:r>
    </w:p>
    <w:p w:rsidR="006C17CB" w:rsidRDefault="006C17CB">
      <w:pPr>
        <w:pStyle w:val="BodyText"/>
        <w:spacing w:before="13"/>
        <w:rPr>
          <w:rFonts w:ascii="Calibri"/>
          <w:sz w:val="15"/>
        </w:rPr>
      </w:pPr>
    </w:p>
    <w:p w:rsidR="006C17CB" w:rsidRDefault="0030091C">
      <w:pPr>
        <w:spacing w:before="1" w:line="204" w:lineRule="auto"/>
        <w:ind w:left="829" w:right="1520"/>
        <w:jc w:val="both"/>
        <w:rPr>
          <w:rFonts w:ascii="Calibri"/>
          <w:sz w:val="20"/>
        </w:rPr>
      </w:pPr>
      <w:r>
        <w:rPr>
          <w:rFonts w:ascii="Calibri"/>
          <w:color w:val="003366"/>
          <w:sz w:val="20"/>
        </w:rPr>
        <w:t>AASB</w:t>
      </w:r>
      <w:r>
        <w:rPr>
          <w:rFonts w:ascii="Calibri"/>
          <w:color w:val="003366"/>
          <w:spacing w:val="-13"/>
          <w:sz w:val="20"/>
        </w:rPr>
        <w:t xml:space="preserve"> </w:t>
      </w:r>
      <w:r>
        <w:rPr>
          <w:rFonts w:ascii="Calibri"/>
          <w:color w:val="003366"/>
          <w:sz w:val="20"/>
        </w:rPr>
        <w:t>16</w:t>
      </w:r>
      <w:r>
        <w:rPr>
          <w:rFonts w:ascii="Calibri"/>
          <w:color w:val="003366"/>
          <w:spacing w:val="-13"/>
          <w:sz w:val="20"/>
        </w:rPr>
        <w:t xml:space="preserve"> </w:t>
      </w:r>
      <w:r>
        <w:rPr>
          <w:rFonts w:ascii="Calibri"/>
          <w:color w:val="003366"/>
          <w:sz w:val="20"/>
        </w:rPr>
        <w:t>is</w:t>
      </w:r>
      <w:r>
        <w:rPr>
          <w:rFonts w:ascii="Calibri"/>
          <w:color w:val="003366"/>
          <w:spacing w:val="-14"/>
          <w:sz w:val="20"/>
        </w:rPr>
        <w:t xml:space="preserve"> </w:t>
      </w:r>
      <w:r>
        <w:rPr>
          <w:rFonts w:ascii="Calibri"/>
          <w:color w:val="003366"/>
          <w:sz w:val="20"/>
        </w:rPr>
        <w:t>the</w:t>
      </w:r>
      <w:r>
        <w:rPr>
          <w:rFonts w:ascii="Calibri"/>
          <w:color w:val="003366"/>
          <w:spacing w:val="-14"/>
          <w:sz w:val="20"/>
        </w:rPr>
        <w:t xml:space="preserve"> </w:t>
      </w:r>
      <w:r>
        <w:rPr>
          <w:rFonts w:ascii="Calibri"/>
          <w:color w:val="003366"/>
          <w:sz w:val="20"/>
        </w:rPr>
        <w:t>new</w:t>
      </w:r>
      <w:r>
        <w:rPr>
          <w:rFonts w:ascii="Calibri"/>
          <w:color w:val="003366"/>
          <w:spacing w:val="-11"/>
          <w:sz w:val="20"/>
        </w:rPr>
        <w:t xml:space="preserve"> </w:t>
      </w:r>
      <w:r>
        <w:rPr>
          <w:rFonts w:ascii="Calibri"/>
          <w:color w:val="003366"/>
          <w:sz w:val="20"/>
        </w:rPr>
        <w:t>standard</w:t>
      </w:r>
      <w:r>
        <w:rPr>
          <w:rFonts w:ascii="Calibri"/>
          <w:color w:val="003366"/>
          <w:spacing w:val="-12"/>
          <w:sz w:val="20"/>
        </w:rPr>
        <w:t xml:space="preserve"> </w:t>
      </w:r>
      <w:r>
        <w:rPr>
          <w:rFonts w:ascii="Calibri"/>
          <w:color w:val="003366"/>
          <w:sz w:val="20"/>
        </w:rPr>
        <w:t>for</w:t>
      </w:r>
      <w:r>
        <w:rPr>
          <w:rFonts w:ascii="Calibri"/>
          <w:color w:val="003366"/>
          <w:spacing w:val="-13"/>
          <w:sz w:val="20"/>
        </w:rPr>
        <w:t xml:space="preserve"> </w:t>
      </w:r>
      <w:r>
        <w:rPr>
          <w:rFonts w:ascii="Calibri"/>
          <w:color w:val="003366"/>
          <w:sz w:val="20"/>
        </w:rPr>
        <w:t>leases.</w:t>
      </w:r>
      <w:r>
        <w:rPr>
          <w:rFonts w:ascii="Calibri"/>
          <w:color w:val="003366"/>
          <w:spacing w:val="-10"/>
          <w:sz w:val="20"/>
        </w:rPr>
        <w:t xml:space="preserve"> </w:t>
      </w:r>
      <w:r>
        <w:rPr>
          <w:rFonts w:ascii="Calibri"/>
          <w:color w:val="003366"/>
          <w:sz w:val="20"/>
        </w:rPr>
        <w:t>It</w:t>
      </w:r>
      <w:r>
        <w:rPr>
          <w:rFonts w:ascii="Calibri"/>
          <w:color w:val="003366"/>
          <w:spacing w:val="-12"/>
          <w:sz w:val="20"/>
        </w:rPr>
        <w:t xml:space="preserve"> </w:t>
      </w:r>
      <w:r>
        <w:rPr>
          <w:rFonts w:ascii="Calibri"/>
          <w:color w:val="003366"/>
          <w:sz w:val="20"/>
        </w:rPr>
        <w:t>introduces</w:t>
      </w:r>
      <w:r>
        <w:rPr>
          <w:rFonts w:ascii="Calibri"/>
          <w:color w:val="003366"/>
          <w:spacing w:val="-11"/>
          <w:sz w:val="20"/>
        </w:rPr>
        <w:t xml:space="preserve"> </w:t>
      </w:r>
      <w:r>
        <w:rPr>
          <w:rFonts w:ascii="Calibri"/>
          <w:color w:val="003366"/>
          <w:sz w:val="20"/>
        </w:rPr>
        <w:t>a</w:t>
      </w:r>
      <w:r>
        <w:rPr>
          <w:rFonts w:ascii="Calibri"/>
          <w:color w:val="003366"/>
          <w:spacing w:val="-12"/>
          <w:sz w:val="20"/>
        </w:rPr>
        <w:t xml:space="preserve"> </w:t>
      </w:r>
      <w:r>
        <w:rPr>
          <w:rFonts w:ascii="Calibri"/>
          <w:color w:val="003366"/>
          <w:sz w:val="20"/>
        </w:rPr>
        <w:t>single</w:t>
      </w:r>
      <w:r>
        <w:rPr>
          <w:rFonts w:ascii="Calibri"/>
          <w:color w:val="003366"/>
          <w:spacing w:val="-11"/>
          <w:sz w:val="20"/>
        </w:rPr>
        <w:t xml:space="preserve"> </w:t>
      </w:r>
      <w:r>
        <w:rPr>
          <w:rFonts w:ascii="Calibri"/>
          <w:color w:val="003366"/>
          <w:sz w:val="20"/>
        </w:rPr>
        <w:t>lessee</w:t>
      </w:r>
      <w:r>
        <w:rPr>
          <w:rFonts w:ascii="Calibri"/>
          <w:color w:val="003366"/>
          <w:spacing w:val="-13"/>
          <w:sz w:val="20"/>
        </w:rPr>
        <w:t xml:space="preserve"> </w:t>
      </w:r>
      <w:r>
        <w:rPr>
          <w:rFonts w:ascii="Calibri"/>
          <w:color w:val="003366"/>
          <w:sz w:val="20"/>
        </w:rPr>
        <w:t>accounting</w:t>
      </w:r>
      <w:r>
        <w:rPr>
          <w:rFonts w:ascii="Calibri"/>
          <w:color w:val="003366"/>
          <w:spacing w:val="-11"/>
          <w:sz w:val="20"/>
        </w:rPr>
        <w:t xml:space="preserve"> </w:t>
      </w:r>
      <w:r>
        <w:rPr>
          <w:rFonts w:ascii="Calibri"/>
          <w:color w:val="003366"/>
          <w:sz w:val="20"/>
        </w:rPr>
        <w:t>model</w:t>
      </w:r>
      <w:r>
        <w:rPr>
          <w:rFonts w:ascii="Calibri"/>
          <w:color w:val="003366"/>
          <w:spacing w:val="-13"/>
          <w:sz w:val="20"/>
        </w:rPr>
        <w:t xml:space="preserve"> </w:t>
      </w:r>
      <w:r>
        <w:rPr>
          <w:rFonts w:ascii="Calibri"/>
          <w:color w:val="003366"/>
          <w:sz w:val="20"/>
        </w:rPr>
        <w:t>and</w:t>
      </w:r>
      <w:r>
        <w:rPr>
          <w:rFonts w:ascii="Calibri"/>
          <w:color w:val="003366"/>
          <w:spacing w:val="-9"/>
          <w:sz w:val="20"/>
        </w:rPr>
        <w:t xml:space="preserve"> </w:t>
      </w:r>
      <w:r>
        <w:rPr>
          <w:rFonts w:ascii="Calibri"/>
          <w:color w:val="003366"/>
          <w:sz w:val="20"/>
        </w:rPr>
        <w:t>requires</w:t>
      </w:r>
      <w:r>
        <w:rPr>
          <w:rFonts w:ascii="Calibri"/>
          <w:color w:val="003366"/>
          <w:spacing w:val="-11"/>
          <w:sz w:val="20"/>
        </w:rPr>
        <w:t xml:space="preserve"> </w:t>
      </w:r>
      <w:r>
        <w:rPr>
          <w:rFonts w:ascii="Calibri"/>
          <w:color w:val="003366"/>
          <w:sz w:val="20"/>
        </w:rPr>
        <w:t>a</w:t>
      </w:r>
      <w:r>
        <w:rPr>
          <w:rFonts w:ascii="Calibri"/>
          <w:color w:val="003366"/>
          <w:spacing w:val="-12"/>
          <w:sz w:val="20"/>
        </w:rPr>
        <w:t xml:space="preserve"> </w:t>
      </w:r>
      <w:r>
        <w:rPr>
          <w:rFonts w:ascii="Calibri"/>
          <w:color w:val="003366"/>
          <w:sz w:val="20"/>
        </w:rPr>
        <w:t>lessee to recognise assets and liabilities for all leases with a term of more than 12 months, unless the underlying asset value is</w:t>
      </w:r>
      <w:r>
        <w:rPr>
          <w:rFonts w:ascii="Calibri"/>
          <w:color w:val="003366"/>
          <w:spacing w:val="-3"/>
          <w:sz w:val="20"/>
        </w:rPr>
        <w:t xml:space="preserve"> </w:t>
      </w:r>
      <w:r>
        <w:rPr>
          <w:rFonts w:ascii="Calibri"/>
          <w:color w:val="003366"/>
          <w:sz w:val="20"/>
        </w:rPr>
        <w:t>low.</w:t>
      </w:r>
    </w:p>
    <w:p w:rsidR="006C17CB" w:rsidRDefault="006C17CB">
      <w:pPr>
        <w:pStyle w:val="BodyText"/>
        <w:spacing w:before="8"/>
        <w:rPr>
          <w:rFonts w:ascii="Calibri"/>
          <w:sz w:val="16"/>
        </w:rPr>
      </w:pPr>
    </w:p>
    <w:p w:rsidR="006C17CB" w:rsidRDefault="0030091C">
      <w:pPr>
        <w:spacing w:line="204" w:lineRule="auto"/>
        <w:ind w:left="829" w:right="1518"/>
        <w:jc w:val="both"/>
        <w:rPr>
          <w:rFonts w:ascii="Calibri"/>
          <w:sz w:val="20"/>
        </w:rPr>
      </w:pPr>
      <w:r>
        <w:rPr>
          <w:rFonts w:ascii="Calibri"/>
          <w:color w:val="003366"/>
          <w:sz w:val="20"/>
        </w:rPr>
        <w:t>This</w:t>
      </w:r>
      <w:r>
        <w:rPr>
          <w:rFonts w:ascii="Calibri"/>
          <w:color w:val="003366"/>
          <w:spacing w:val="-8"/>
          <w:sz w:val="20"/>
        </w:rPr>
        <w:t xml:space="preserve"> </w:t>
      </w:r>
      <w:r>
        <w:rPr>
          <w:rFonts w:ascii="Calibri"/>
          <w:color w:val="003366"/>
          <w:sz w:val="20"/>
        </w:rPr>
        <w:t>will</w:t>
      </w:r>
      <w:r>
        <w:rPr>
          <w:rFonts w:ascii="Calibri"/>
          <w:color w:val="003366"/>
          <w:spacing w:val="-9"/>
          <w:sz w:val="20"/>
        </w:rPr>
        <w:t xml:space="preserve"> </w:t>
      </w:r>
      <w:r>
        <w:rPr>
          <w:rFonts w:ascii="Calibri"/>
          <w:color w:val="003366"/>
          <w:sz w:val="20"/>
        </w:rPr>
        <w:t>result</w:t>
      </w:r>
      <w:r>
        <w:rPr>
          <w:rFonts w:ascii="Calibri"/>
          <w:color w:val="003366"/>
          <w:spacing w:val="-8"/>
          <w:sz w:val="20"/>
        </w:rPr>
        <w:t xml:space="preserve"> </w:t>
      </w:r>
      <w:r>
        <w:rPr>
          <w:rFonts w:ascii="Calibri"/>
          <w:color w:val="003366"/>
          <w:sz w:val="20"/>
        </w:rPr>
        <w:t>in</w:t>
      </w:r>
      <w:r>
        <w:rPr>
          <w:rFonts w:ascii="Calibri"/>
          <w:color w:val="003366"/>
          <w:spacing w:val="-8"/>
          <w:sz w:val="20"/>
        </w:rPr>
        <w:t xml:space="preserve"> </w:t>
      </w:r>
      <w:r>
        <w:rPr>
          <w:rFonts w:ascii="Calibri"/>
          <w:color w:val="003366"/>
          <w:sz w:val="20"/>
        </w:rPr>
        <w:t>the</w:t>
      </w:r>
      <w:r>
        <w:rPr>
          <w:rFonts w:ascii="Calibri"/>
          <w:color w:val="003366"/>
          <w:spacing w:val="-9"/>
          <w:sz w:val="20"/>
        </w:rPr>
        <w:t xml:space="preserve"> </w:t>
      </w:r>
      <w:r>
        <w:rPr>
          <w:rFonts w:ascii="Calibri"/>
          <w:color w:val="003366"/>
          <w:sz w:val="20"/>
        </w:rPr>
        <w:t>Office</w:t>
      </w:r>
      <w:r>
        <w:rPr>
          <w:rFonts w:ascii="Calibri"/>
          <w:color w:val="003366"/>
          <w:spacing w:val="-9"/>
          <w:sz w:val="20"/>
        </w:rPr>
        <w:t xml:space="preserve"> </w:t>
      </w:r>
      <w:r>
        <w:rPr>
          <w:rFonts w:ascii="Calibri"/>
          <w:color w:val="003366"/>
          <w:sz w:val="20"/>
        </w:rPr>
        <w:t>recognising</w:t>
      </w:r>
      <w:r>
        <w:rPr>
          <w:rFonts w:ascii="Calibri"/>
          <w:color w:val="003366"/>
          <w:spacing w:val="-9"/>
          <w:sz w:val="20"/>
        </w:rPr>
        <w:t xml:space="preserve"> </w:t>
      </w:r>
      <w:r>
        <w:rPr>
          <w:rFonts w:ascii="Calibri"/>
          <w:color w:val="003366"/>
          <w:sz w:val="20"/>
        </w:rPr>
        <w:t>its</w:t>
      </w:r>
      <w:r>
        <w:rPr>
          <w:rFonts w:ascii="Calibri"/>
          <w:color w:val="003366"/>
          <w:spacing w:val="-9"/>
          <w:sz w:val="20"/>
        </w:rPr>
        <w:t xml:space="preserve"> </w:t>
      </w:r>
      <w:r>
        <w:rPr>
          <w:rFonts w:ascii="Calibri"/>
          <w:color w:val="003366"/>
          <w:sz w:val="20"/>
        </w:rPr>
        <w:t>rental</w:t>
      </w:r>
      <w:r>
        <w:rPr>
          <w:rFonts w:ascii="Calibri"/>
          <w:color w:val="003366"/>
          <w:spacing w:val="-9"/>
          <w:sz w:val="20"/>
        </w:rPr>
        <w:t xml:space="preserve"> </w:t>
      </w:r>
      <w:r>
        <w:rPr>
          <w:rFonts w:ascii="Calibri"/>
          <w:color w:val="003366"/>
          <w:sz w:val="20"/>
        </w:rPr>
        <w:t>accommodation</w:t>
      </w:r>
      <w:r>
        <w:rPr>
          <w:rFonts w:ascii="Calibri"/>
          <w:color w:val="003366"/>
          <w:spacing w:val="-8"/>
          <w:sz w:val="20"/>
        </w:rPr>
        <w:t xml:space="preserve"> </w:t>
      </w:r>
      <w:r>
        <w:rPr>
          <w:rFonts w:ascii="Calibri"/>
          <w:color w:val="003366"/>
          <w:sz w:val="20"/>
        </w:rPr>
        <w:t>operating</w:t>
      </w:r>
      <w:r>
        <w:rPr>
          <w:rFonts w:ascii="Calibri"/>
          <w:color w:val="003366"/>
          <w:spacing w:val="-9"/>
          <w:sz w:val="20"/>
        </w:rPr>
        <w:t xml:space="preserve"> </w:t>
      </w:r>
      <w:r>
        <w:rPr>
          <w:rFonts w:ascii="Calibri"/>
          <w:color w:val="003366"/>
          <w:sz w:val="20"/>
        </w:rPr>
        <w:t>lease</w:t>
      </w:r>
      <w:r>
        <w:rPr>
          <w:rFonts w:ascii="Calibri"/>
          <w:color w:val="003366"/>
          <w:spacing w:val="-8"/>
          <w:sz w:val="20"/>
        </w:rPr>
        <w:t xml:space="preserve"> </w:t>
      </w:r>
      <w:r>
        <w:rPr>
          <w:rFonts w:ascii="Calibri"/>
          <w:color w:val="003366"/>
          <w:sz w:val="20"/>
        </w:rPr>
        <w:t>for</w:t>
      </w:r>
      <w:r>
        <w:rPr>
          <w:rFonts w:ascii="Calibri"/>
          <w:color w:val="003366"/>
          <w:spacing w:val="-9"/>
          <w:sz w:val="20"/>
        </w:rPr>
        <w:t xml:space="preserve"> </w:t>
      </w:r>
      <w:r>
        <w:rPr>
          <w:rFonts w:ascii="Calibri"/>
          <w:color w:val="003366"/>
          <w:sz w:val="20"/>
        </w:rPr>
        <w:t>the</w:t>
      </w:r>
      <w:r>
        <w:rPr>
          <w:rFonts w:ascii="Calibri"/>
          <w:color w:val="003366"/>
          <w:spacing w:val="-7"/>
          <w:sz w:val="20"/>
        </w:rPr>
        <w:t xml:space="preserve"> </w:t>
      </w:r>
      <w:r>
        <w:rPr>
          <w:rFonts w:ascii="Calibri"/>
          <w:color w:val="003366"/>
          <w:sz w:val="20"/>
        </w:rPr>
        <w:t>North</w:t>
      </w:r>
      <w:r>
        <w:rPr>
          <w:rFonts w:ascii="Calibri"/>
          <w:color w:val="003366"/>
          <w:spacing w:val="-8"/>
          <w:sz w:val="20"/>
        </w:rPr>
        <w:t xml:space="preserve"> </w:t>
      </w:r>
      <w:r>
        <w:rPr>
          <w:rFonts w:ascii="Calibri"/>
          <w:color w:val="003366"/>
          <w:sz w:val="20"/>
        </w:rPr>
        <w:t>Building</w:t>
      </w:r>
      <w:r>
        <w:rPr>
          <w:rFonts w:ascii="Calibri"/>
          <w:color w:val="003366"/>
          <w:spacing w:val="-9"/>
          <w:sz w:val="20"/>
        </w:rPr>
        <w:t xml:space="preserve"> </w:t>
      </w:r>
      <w:r>
        <w:rPr>
          <w:rFonts w:ascii="Calibri"/>
          <w:color w:val="003366"/>
          <w:sz w:val="20"/>
        </w:rPr>
        <w:t>as an asset alongside the associated liability, rather than accounting for this as operating lease expenditure. The right-of-use asset will initially be recognised at cost and will give rise to a depreciation expense. The lease liability will initially be recognised as the present value of the lease payments during the term of the lease. Lease payments made will reduce this liability over time and also result in an interest</w:t>
      </w:r>
      <w:r>
        <w:rPr>
          <w:rFonts w:ascii="Calibri"/>
          <w:color w:val="003366"/>
          <w:spacing w:val="-28"/>
          <w:sz w:val="20"/>
        </w:rPr>
        <w:t xml:space="preserve"> </w:t>
      </w:r>
      <w:r>
        <w:rPr>
          <w:rFonts w:ascii="Calibri"/>
          <w:color w:val="003366"/>
          <w:sz w:val="20"/>
        </w:rPr>
        <w:t>expense.</w:t>
      </w:r>
    </w:p>
    <w:p w:rsidR="006C17CB" w:rsidRDefault="006C17CB">
      <w:pPr>
        <w:pStyle w:val="BodyText"/>
        <w:spacing w:before="12"/>
        <w:rPr>
          <w:rFonts w:ascii="Calibri"/>
          <w:sz w:val="13"/>
        </w:rPr>
      </w:pPr>
    </w:p>
    <w:p w:rsidR="006C17CB" w:rsidRDefault="0030091C">
      <w:pPr>
        <w:ind w:left="829"/>
        <w:jc w:val="both"/>
        <w:rPr>
          <w:rFonts w:ascii="Calibri"/>
          <w:sz w:val="20"/>
        </w:rPr>
      </w:pPr>
      <w:r>
        <w:rPr>
          <w:rFonts w:ascii="Calibri"/>
          <w:color w:val="003366"/>
          <w:sz w:val="20"/>
        </w:rPr>
        <w:t>The Office will make a detailed assessment of the impact over the next 12 months.</w:t>
      </w:r>
    </w:p>
    <w:p w:rsidR="006C17CB" w:rsidRDefault="006C17CB">
      <w:pPr>
        <w:jc w:val="both"/>
        <w:rPr>
          <w:rFonts w:ascii="Calibri"/>
          <w:sz w:val="20"/>
        </w:rPr>
        <w:sectPr w:rsidR="006C17CB">
          <w:pgSz w:w="11910" w:h="16840"/>
          <w:pgMar w:top="2080" w:right="0" w:bottom="740" w:left="980" w:header="1189" w:footer="551" w:gutter="0"/>
          <w:cols w:space="720"/>
        </w:sectPr>
      </w:pPr>
    </w:p>
    <w:p w:rsidR="006C17CB" w:rsidRDefault="00FE24A7">
      <w:pPr>
        <w:pStyle w:val="BodyText"/>
        <w:spacing w:before="4"/>
        <w:rPr>
          <w:rFonts w:ascii="Times New Roman"/>
          <w:sz w:val="17"/>
        </w:rPr>
      </w:pPr>
      <w:r>
        <w:pict>
          <v:group id="_x0000_s1027" alt="" style="position:absolute;margin-left:0;margin-top:535.9pt;width:335.25pt;height:306pt;z-index:3448;mso-position-horizontal-relative:page;mso-position-vertical-relative:page" coordorigin=",10718" coordsize="6705,6120">
            <v:shape id="_x0000_s1028" alt="" style="position:absolute;top:10717;width:6705;height:6120" coordorigin=",10718" coordsize="6705,6120" o:spt="100" adj="0,,0" path="m1612,16838r-68,-20l1442,16758r-35,-40l1428,16758r10,40l1437,16818r-7,20l1612,16838t622,-491l2233,16284r-8,-61l2210,16164r-1,-2l2188,16109r-28,-51l2125,16015r-42,-37l2035,15951r-54,-17l1900,15929r-81,14l1741,15971r-73,38l1604,16052r-53,42l1512,16131r-22,27l1484,16162r-6,-9l1473,16131r-9,-31l1453,16066r-2,-3l1433,16022r-27,-43l1370,15937r-48,-38l1261,15867r-76,-24l1092,15831r-111,2l874,15843r-104,14l669,15874r-97,19l478,15914r-90,22l303,15958r-292,82l,16043r,33l277,16068r186,-2l555,16066r91,2l731,16070r80,3l884,16078r62,7l997,16093r38,11l1130,16147r79,53l1272,16259r48,62l1353,16382r18,57l1380,16476r16,44l1420,16567r33,48l1497,16661r56,41l1623,16735r85,21l1809,16764r118,-10l1990,16738r56,-26l2095,16677r41,-43l2170,16584r27,-55l2216,16471r13,-61l2234,16347t847,491l3074,16818r-43,-100l2986,16618r-47,-80l2890,16458r-51,-80l2788,16318r-156,-180l2581,16098r-50,-40l2482,16018r-47,-20l2390,15978r-43,-20l2307,15938r-37,-20l2208,15918r-24,-20l2149,15898r-10,20l2139,15918r9,20l2165,15938r51,40l2258,16018r33,20l2316,16078r18,40l2347,16178r9,40l2360,16258r2,60l2362,16338r,140l2364,16538r4,60l2375,16658r12,60l2405,16778r23,60l3081,16838m6704,14918r-89,-20l6533,14878r-78,l6238,14818r-72,l6092,14798r-78,-20l5931,14738r-90,-20l5744,14678r3,-40l5749,14618r2,-20l5756,14518r3,-80l5760,14358r-1,-80l5756,14198r-3,-80l5747,14038r-7,-60l5732,13898r-10,-80l5711,13758r-13,-80l5684,13618r-16,-80l5651,13458r-18,-60l5613,13318r-21,-60l5570,13198r-24,-80l5521,13058r-5,-15l5516,14358r-1,60l5514,14455r,703l4569,14998r-588,-20l3503,15118r-613,360l3249,15098r248,-180l3746,14838r366,-20l4411,14818r396,80l4900,14938r89,20l5074,14978r80,40l5228,15038r67,20l5354,15078r52,20l5448,15118r33,20l5503,15138r11,20l5514,14455r-1,23l5510,14538r-4,80l5445,14598r-63,-40l5316,14538r-69,-20l5174,14498r-76,-40l5018,14438r-84,-20l4216,14258r-518,60l3383,14438r-106,60l3509,14038r176,-540l3798,13038r40,-200l3917,12418r12,-60l3982,12058r35,-220l4054,11558r61,40l4175,11658r59,40l4292,11738r57,60l4405,11838r54,60l4513,11938r53,60l4617,12058r50,60l4716,12158r48,60l4810,12278r45,60l4899,12398r42,60l4983,12518r39,80l5061,12658r37,60l5134,12778r34,80l5200,12918r32,80l5261,13058r29,80l5316,13198r25,80l5365,13338r22,80l5407,13498r18,80l5442,13638r16,80l5471,13798r12,80l5493,13958r8,80l5508,14118r4,80l5515,14278r1,80l5516,13043r-22,-65l5467,12918r-29,-60l5408,12798r-32,-80l5344,12658r-34,-60l5275,12538r-36,-60l5202,12418r-39,-60l5124,12298r-41,-60l5041,12178r-42,-60l4955,12078r-45,-60l4864,11958r-47,-40l4769,11858r-49,-40l4670,11758r-51,-40l4567,11658r-53,-40l4461,11578r-18,-20l4406,11518r-55,-40l4295,11438r-58,-40l4121,11318r-120,-80l3878,11158r-26,-8l3852,11438r-249,140l3422,11690r,728l3300,13138r-140,460l2911,14038r-448,600l2491,14218r42,-640l2656,12978r266,-300l3422,12418r,-728l3346,11738r-203,100l3062,11898r-652,560l2030,13238r-177,680l1809,14218r-9,-140l1789,13978r-15,-120l1756,13738r-20,-100l1713,13538r-25,-100l1660,13338r-29,-100l1600,13138r-32,-80l1534,12978r-35,-80l1464,12818r-37,-80l1422,12729r,1729l1422,14518r-2,80l1417,14678r-3,80l1410,14838r-5,100l1400,15018r-5,80l1389,15198r-5,80l1381,15258r-48,-380l1245,14178r-130,-640l919,13098,580,12638r328,240l1096,13078r119,240l1336,13698r18,80l1370,13838r13,80l1394,13978r9,80l1416,14198r3,80l1421,14358r1,60l1422,14458r,-1729l1390,12678r-18,-40l1353,12598r-75,-120l1241,12418r-36,-40l1169,12318r-35,-40l1101,12238r-33,-40l1037,12158r-29,-40l981,12098r-25,-20l933,12058r-21,-20l895,12018r-42,-20l740,11898,456,11678r-58,-40l255,11538r65,-60l453,11398r68,-20l660,11298r70,-40l802,11238r72,-40l947,11178r74,-40l1481,11018r79,l1720,10978r162,l1964,10958r328,l2373,10978r160,l2691,11018r78,l3223,11138r73,40l3440,11218r141,80l3650,11318r68,40l3852,11438r,-288l3815,11138r-63,-40l3687,11078r-64,-40l3557,11018r-66,-40l3424,10958r-135,-40l3220,10878r-209,-60l2940,10818r-216,-60l2651,10758r-73,-20l2430,10738r-75,-20l1902,10718r-74,20l1680,10738r-74,20l1533,10758r-215,60l1247,10818r-210,60l969,10918r-202,60l701,11018r-66,20l570,11078r-64,20l443,11138r-63,20l257,11238r-120,80l20,11398,,11418r,300l30,11698r59,-60l87,11698r-3,60l81,11818r-3,80l75,11978r-3,80l65,12258r-3,120l160,13158r239,820l642,14618r111,260l649,14818r-98,-60l458,14718r-88,-20l138,14698r-67,20l9,14738r-9,l,15438r21,l175,15358r76,-20l324,15298r70,-20l461,15258r118,l660,15278r93,40l853,15338r98,40l1042,15418r78,20l1178,15458r32,20l1158,15478r-49,-20l1047,15458r-72,-20l613,15438r-294,60l248,15538r-213,60l,15598r,320l22,15898r81,-20l183,15878r78,-20l337,15818r73,-20l1010,15698r337,60l1495,15858r33,60l1716,15698r155,-180l1906,15478r141,-160l2080,15278r32,-40l2121,15198r1,-20l2124,15098r7,-100l2144,14918r21,-80l2197,14798r49,20l2280,14878r19,80l2305,14998r84,-60l2464,14918r61,20l2566,14958r15,20l2565,14978r-112,20l2376,15058r-45,60l2316,15158r-21,120l1883,15738r765,220l3020,16418r118,420l3636,16838r19,-40l3673,16718r12,-60l3691,16598r-1,-80l3681,16458r-18,-60l3635,16338r-38,-60l3547,16198r-61,-80l3296,15998r-32,-20l3040,15958r-173,20l2798,15998r88,-160l3107,15738r525,-80l4634,15598r93,-20l4906,15578r85,-20l5074,15558r80,-20l5231,15538r75,-20l5279,15598r-28,60l5222,15738r-30,80l5161,15878r-32,80l5096,16038r-34,60l5026,16178r-36,80l4952,16318r-39,80l4872,16458r-42,80l4786,16598r-45,60l4694,16718r-48,60l4596,16838r66,l4707,16798r56,-40l4818,16698r53,-60l4924,16578r51,-60l5024,16458r49,-60l5120,16338r45,-60l5209,16218r42,-60l5292,16098r39,-80l5369,15958r36,-60l5439,15818r32,-60l5502,15678r29,-60l5558,15538r6,-20l5576,15478r7,-20l6143,15298r267,-140l6486,15118r172,-140l6704,14918e" fillcolor="#ebf3fb" stroked="f">
              <v:stroke joinstyle="round"/>
              <v:formulas/>
              <v:path arrowok="t" o:connecttype="segments"/>
            </v:shape>
            <v:shape id="_x0000_s1029" type="#_x0000_t202" alt="" style="position:absolute;left:1133;top:16114;width:5247;height:241;mso-wrap-style:square;v-text-anchor:top" filled="f" stroked="f">
              <v:textbox inset="0,0,0,0">
                <w:txbxContent>
                  <w:p w:rsidR="0030091C" w:rsidRDefault="0030091C">
                    <w:pPr>
                      <w:spacing w:before="22"/>
                      <w:rPr>
                        <w:rFonts w:ascii="Montserrat-Light" w:hAnsi="Montserrat-Light"/>
                        <w:sz w:val="14"/>
                      </w:rPr>
                    </w:pPr>
                    <w:r>
                      <w:rPr>
                        <w:rFonts w:ascii="Montserrat-Light" w:hAnsi="Montserrat-Light"/>
                        <w:sz w:val="16"/>
                      </w:rPr>
                      <w:t xml:space="preserve">150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v:shape>
            <w10:wrap anchorx="page" anchory="page"/>
          </v:group>
        </w:pict>
      </w:r>
    </w:p>
    <w:p w:rsidR="006C17CB" w:rsidRDefault="006C17CB">
      <w:pPr>
        <w:rPr>
          <w:rFonts w:ascii="Times New Roman"/>
          <w:sz w:val="17"/>
        </w:rPr>
        <w:sectPr w:rsidR="006C17CB">
          <w:headerReference w:type="even" r:id="rId184"/>
          <w:footerReference w:type="even" r:id="rId185"/>
          <w:pgSz w:w="11910" w:h="16840"/>
          <w:pgMar w:top="1580" w:right="0" w:bottom="0" w:left="980" w:header="0" w:footer="0" w:gutter="0"/>
          <w:cols w:space="720"/>
        </w:sectPr>
      </w:pPr>
    </w:p>
    <w:p w:rsidR="006C17CB" w:rsidRDefault="0030091C">
      <w:pPr>
        <w:pStyle w:val="BodyText"/>
        <w:spacing w:before="4"/>
        <w:rPr>
          <w:rFonts w:ascii="Times New Roman"/>
          <w:sz w:val="17"/>
        </w:rPr>
      </w:pPr>
      <w:r>
        <w:rPr>
          <w:noProof/>
          <w:lang w:val="en-AU" w:eastAsia="en-AU" w:bidi="ar-SA"/>
        </w:rPr>
        <w:drawing>
          <wp:anchor distT="0" distB="0" distL="0" distR="0" simplePos="0" relativeHeight="3472" behindDoc="0" locked="0" layoutInCell="1" allowOverlap="1">
            <wp:simplePos x="0" y="0"/>
            <wp:positionH relativeFrom="page">
              <wp:posOffset>1674032</wp:posOffset>
            </wp:positionH>
            <wp:positionV relativeFrom="page">
              <wp:posOffset>579606</wp:posOffset>
            </wp:positionV>
            <wp:extent cx="5885959" cy="6159500"/>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186" cstate="print"/>
                    <a:stretch>
                      <a:fillRect/>
                    </a:stretch>
                  </pic:blipFill>
                  <pic:spPr>
                    <a:xfrm>
                      <a:off x="0" y="0"/>
                      <a:ext cx="5885959" cy="6159500"/>
                    </a:xfrm>
                    <a:prstGeom prst="rect">
                      <a:avLst/>
                    </a:prstGeom>
                  </pic:spPr>
                </pic:pic>
              </a:graphicData>
            </a:graphic>
          </wp:anchor>
        </w:drawing>
      </w:r>
    </w:p>
    <w:p w:rsidR="006C17CB" w:rsidRDefault="006C17CB">
      <w:pPr>
        <w:rPr>
          <w:rFonts w:ascii="Times New Roman"/>
          <w:sz w:val="17"/>
        </w:rPr>
        <w:sectPr w:rsidR="006C17CB">
          <w:headerReference w:type="default" r:id="rId187"/>
          <w:footerReference w:type="default" r:id="rId188"/>
          <w:pgSz w:w="11910" w:h="16840"/>
          <w:pgMar w:top="900" w:right="0" w:bottom="660" w:left="980" w:header="0" w:footer="471" w:gutter="0"/>
          <w:cols w:space="720"/>
        </w:sect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rPr>
          <w:rFonts w:ascii="Times New Roman"/>
          <w:sz w:val="20"/>
        </w:rPr>
      </w:pPr>
    </w:p>
    <w:p w:rsidR="006C17CB" w:rsidRDefault="006C17CB">
      <w:pPr>
        <w:pStyle w:val="BodyText"/>
        <w:spacing w:before="5"/>
        <w:rPr>
          <w:rFonts w:ascii="Times New Roman"/>
        </w:rPr>
      </w:pPr>
    </w:p>
    <w:p w:rsidR="006C17CB" w:rsidRDefault="0030091C">
      <w:pPr>
        <w:pStyle w:val="BodyText"/>
        <w:ind w:left="153"/>
        <w:rPr>
          <w:rFonts w:ascii="Times New Roman"/>
          <w:sz w:val="20"/>
        </w:rPr>
      </w:pPr>
      <w:r>
        <w:rPr>
          <w:rFonts w:ascii="Times New Roman"/>
          <w:noProof/>
          <w:sz w:val="20"/>
          <w:lang w:val="en-AU" w:eastAsia="en-AU" w:bidi="ar-SA"/>
        </w:rPr>
        <w:drawing>
          <wp:inline distT="0" distB="0" distL="0" distR="0">
            <wp:extent cx="1438275" cy="1438275"/>
            <wp:effectExtent l="0" t="0" r="0" b="0"/>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189" cstate="print"/>
                    <a:stretch>
                      <a:fillRect/>
                    </a:stretch>
                  </pic:blipFill>
                  <pic:spPr>
                    <a:xfrm>
                      <a:off x="0" y="0"/>
                      <a:ext cx="1438275" cy="1438275"/>
                    </a:xfrm>
                    <a:prstGeom prst="rect">
                      <a:avLst/>
                    </a:prstGeom>
                  </pic:spPr>
                </pic:pic>
              </a:graphicData>
            </a:graphic>
          </wp:inline>
        </w:drawing>
      </w:r>
    </w:p>
    <w:p w:rsidR="006C17CB" w:rsidRDefault="006C17CB">
      <w:pPr>
        <w:pStyle w:val="BodyText"/>
        <w:spacing w:before="6"/>
        <w:rPr>
          <w:rFonts w:ascii="Times New Roman"/>
          <w:sz w:val="23"/>
        </w:rPr>
      </w:pPr>
    </w:p>
    <w:p w:rsidR="006C17CB" w:rsidRDefault="00FE24A7">
      <w:pPr>
        <w:pStyle w:val="BodyText"/>
        <w:spacing w:before="135" w:line="595" w:lineRule="auto"/>
        <w:ind w:left="159" w:right="5488"/>
        <w:rPr>
          <w:rFonts w:ascii="Montserrat-Light" w:hAnsi="Montserrat-Light"/>
        </w:rPr>
      </w:pPr>
      <w:r>
        <w:pict>
          <v:shape id="_x0000_s1026" type="#_x0000_t202" alt="" style="position:absolute;left:0;text-align:left;margin-left:56.95pt;margin-top:12.05pt;width:202.35pt;height:36pt;z-index:-475048;mso-wrap-style:square;mso-wrap-edited:f;mso-width-percent:0;mso-height-percent:0;mso-position-horizontal-relative:page;mso-width-percent:0;mso-height-percent:0;v-text-anchor:top" filled="f" stroked="f">
            <v:textbox inset="0,0,0,0">
              <w:txbxContent>
                <w:p w:rsidR="0030091C" w:rsidRDefault="0030091C">
                  <w:pPr>
                    <w:spacing w:before="80"/>
                    <w:rPr>
                      <w:rFonts w:ascii="Montserrat-Medium"/>
                      <w:sz w:val="46"/>
                    </w:rPr>
                  </w:pPr>
                  <w:r>
                    <w:rPr>
                      <w:rFonts w:ascii="Montserrat-Medium"/>
                      <w:color w:val="7098D0"/>
                      <w:sz w:val="46"/>
                    </w:rPr>
                    <w:t>ANNUAL REPORT</w:t>
                  </w:r>
                </w:p>
              </w:txbxContent>
            </v:textbox>
            <w10:wrap anchorx="page"/>
          </v:shape>
        </w:pict>
      </w:r>
      <w:r w:rsidR="0030091C">
        <w:rPr>
          <w:rFonts w:ascii="Montserrat-Light" w:hAnsi="Montserrat-Light"/>
          <w:color w:val="7098D0"/>
        </w:rPr>
        <w:t>OFFICE OF THE LEGISLATIVE ASSEMBLY 2017–2018</w:t>
      </w:r>
    </w:p>
    <w:p w:rsidR="006C17CB" w:rsidRDefault="006C17CB">
      <w:pPr>
        <w:pStyle w:val="BodyText"/>
        <w:rPr>
          <w:rFonts w:ascii="Montserrat-Light"/>
          <w:sz w:val="32"/>
        </w:rPr>
      </w:pPr>
    </w:p>
    <w:p w:rsidR="006C17CB" w:rsidRDefault="006C17CB">
      <w:pPr>
        <w:pStyle w:val="BodyText"/>
        <w:rPr>
          <w:rFonts w:ascii="Montserrat-Light"/>
          <w:sz w:val="32"/>
        </w:rPr>
      </w:pPr>
    </w:p>
    <w:p w:rsidR="006C17CB" w:rsidRDefault="006C17CB">
      <w:pPr>
        <w:pStyle w:val="BodyText"/>
        <w:spacing w:before="8"/>
        <w:rPr>
          <w:rFonts w:ascii="Montserrat-Light"/>
          <w:sz w:val="24"/>
        </w:rPr>
      </w:pPr>
    </w:p>
    <w:p w:rsidR="006C17CB" w:rsidRDefault="0030091C">
      <w:pPr>
        <w:ind w:left="153"/>
        <w:rPr>
          <w:rFonts w:ascii="Montserrat-Light" w:hAnsi="Montserrat-Light"/>
          <w:sz w:val="14"/>
        </w:rPr>
      </w:pPr>
      <w:r>
        <w:rPr>
          <w:rFonts w:ascii="Montserrat-Light" w:hAnsi="Montserrat-Light"/>
          <w:sz w:val="16"/>
        </w:rPr>
        <w:t xml:space="preserve">152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sectPr w:rsidR="006C17CB">
      <w:headerReference w:type="even" r:id="rId190"/>
      <w:footerReference w:type="even" r:id="rId191"/>
      <w:pgSz w:w="11910" w:h="16840"/>
      <w:pgMar w:top="1580" w:right="0" w:bottom="280" w:left="9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D14" w:rsidRDefault="008C7D14">
      <w:r>
        <w:separator/>
      </w:r>
    </w:p>
  </w:endnote>
  <w:endnote w:type="continuationSeparator" w:id="0">
    <w:p w:rsidR="008C7D14" w:rsidRDefault="008C7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Light">
    <w:altName w:val="Calibri"/>
    <w:charset w:val="00"/>
    <w:family w:val="swiss"/>
    <w:pitch w:val="variable"/>
  </w:font>
  <w:font w:name="Arial">
    <w:panose1 w:val="020B0604020202020204"/>
    <w:charset w:val="00"/>
    <w:family w:val="swiss"/>
    <w:pitch w:val="variable"/>
    <w:sig w:usb0="E0002AFF" w:usb1="C0007843" w:usb2="00000009" w:usb3="00000000" w:csb0="000001FF" w:csb1="00000000"/>
  </w:font>
  <w:font w:name="Calibri-BoldItalic">
    <w:altName w:val="Calibri"/>
    <w:charset w:val="00"/>
    <w:family w:val="swiss"/>
    <w:pitch w:val="variable"/>
  </w:font>
  <w:font w:name="Montserrat-SemiBold">
    <w:altName w:val="Montserrat"/>
    <w:panose1 w:val="00000700000000000000"/>
    <w:charset w:val="00"/>
    <w:family w:val="roman"/>
    <w:notTrueType/>
    <w:pitch w:val="variable"/>
  </w:font>
  <w:font w:name="Montserrat-Light">
    <w:altName w:val="Montserrat"/>
    <w:panose1 w:val="00000400000000000000"/>
    <w:charset w:val="00"/>
    <w:family w:val="roman"/>
    <w:notTrueType/>
    <w:pitch w:val="variable"/>
  </w:font>
  <w:font w:name="Montserrat-Medium">
    <w:altName w:val="Montserrat"/>
    <w:panose1 w:val="00000000000000000000"/>
    <w:charset w:val="00"/>
    <w:family w:val="roman"/>
    <w:notTrueType/>
    <w:pitch w:val="variable"/>
  </w:font>
  <w:font w:name="Montserrat">
    <w:panose1 w:val="00000000000000000000"/>
    <w:charset w:val="00"/>
    <w:family w:val="modern"/>
    <w:notTrueType/>
    <w:pitch w:val="variable"/>
    <w:sig w:usb0="00000007" w:usb1="00000000" w:usb2="00000000" w:usb3="00000000" w:csb0="00000093" w:csb1="00000000"/>
  </w:font>
  <w:font w:name="Montserrat-SemiBoldItalic">
    <w:altName w:val="Montserrat"/>
    <w:panose1 w:val="00000000000000000000"/>
    <w:charset w:val="00"/>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4A7" w:rsidRDefault="00FE24A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24" type="#_x0000_t202" alt="" style="position:absolute;margin-left:54.7pt;margin-top:804.75pt;width:264.35pt;height:14.05pt;z-index:-477400;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436"/>
                  </w:tabs>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36</w:t>
                </w:r>
                <w:r>
                  <w:fldChar w:fldCharType="end"/>
                </w:r>
                <w:r>
                  <w:rPr>
                    <w:rFonts w:ascii="Montserrat-Light" w:hAnsi="Montserrat-Light"/>
                    <w:sz w:val="16"/>
                  </w:rPr>
                  <w:tab/>
                </w:r>
                <w:r>
                  <w:rPr>
                    <w:rFonts w:ascii="Montserrat-Light" w:hAnsi="Montserrat-Light"/>
                    <w:sz w:val="14"/>
                  </w:rPr>
                  <w:t xml:space="preserve">OFFICE OF THE LEGISLATIVE ASSEMBLY </w:t>
                </w:r>
                <w:r>
                  <w:rPr>
                    <w:rFonts w:ascii="Montserrat" w:hAnsi="Montserrat"/>
                    <w:b/>
                    <w:sz w:val="14"/>
                  </w:rPr>
                  <w:t>ANNUAL REPORT</w:t>
                </w:r>
                <w:r>
                  <w:rPr>
                    <w:rFonts w:ascii="Montserrat" w:hAnsi="Montserrat"/>
                    <w:b/>
                    <w:spacing w:val="23"/>
                    <w:sz w:val="14"/>
                  </w:rPr>
                  <w:t xml:space="preserve"> </w:t>
                </w:r>
                <w:r>
                  <w:rPr>
                    <w:rFonts w:ascii="Montserrat-Light" w:hAnsi="Montserrat-Light"/>
                    <w:sz w:val="14"/>
                  </w:rPr>
                  <w:t>2017–2018</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23" type="#_x0000_t202" alt="" style="position:absolute;margin-left:54.7pt;margin-top:804.75pt;width:264.35pt;height:14.05pt;z-index:-477376;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436"/>
                  </w:tabs>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38</w:t>
                </w:r>
                <w:r>
                  <w:fldChar w:fldCharType="end"/>
                </w:r>
                <w:r>
                  <w:rPr>
                    <w:rFonts w:ascii="Montserrat-Light" w:hAnsi="Montserrat-Light"/>
                    <w:sz w:val="16"/>
                  </w:rPr>
                  <w:tab/>
                </w:r>
                <w:r>
                  <w:rPr>
                    <w:rFonts w:ascii="Montserrat-Light" w:hAnsi="Montserrat-Light"/>
                    <w:sz w:val="14"/>
                  </w:rPr>
                  <w:t xml:space="preserve">OFFICE OF THE LEGISLATIVE ASSEMBLY </w:t>
                </w:r>
                <w:r>
                  <w:rPr>
                    <w:rFonts w:ascii="Montserrat" w:hAnsi="Montserrat"/>
                    <w:b/>
                    <w:sz w:val="14"/>
                  </w:rPr>
                  <w:t>ANNUAL REPORT</w:t>
                </w:r>
                <w:r>
                  <w:rPr>
                    <w:rFonts w:ascii="Montserrat" w:hAnsi="Montserrat"/>
                    <w:b/>
                    <w:spacing w:val="23"/>
                    <w:sz w:val="14"/>
                  </w:rPr>
                  <w:t xml:space="preserve"> </w:t>
                </w:r>
                <w:r>
                  <w:rPr>
                    <w:rFonts w:ascii="Montserrat-Light" w:hAnsi="Montserrat-Light"/>
                    <w:sz w:val="14"/>
                  </w:rPr>
                  <w:t>2017–2018</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22" type="#_x0000_t202" alt="" style="position:absolute;margin-left:275.15pt;margin-top:803.3pt;width:265.45pt;height:14.05pt;z-index:-477352;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089"/>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fldChar w:fldCharType="begin"/>
                </w:r>
                <w:r>
                  <w:rPr>
                    <w:rFonts w:ascii="Montserrat-Light" w:hAnsi="Montserrat-Light"/>
                    <w:sz w:val="16"/>
                  </w:rPr>
                  <w:instrText xml:space="preserve"> PAGE </w:instrText>
                </w:r>
                <w:r>
                  <w:fldChar w:fldCharType="separate"/>
                </w:r>
                <w:r>
                  <w:t>55</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15" type="#_x0000_t202" alt="" style="position:absolute;margin-left:54.7pt;margin-top:804.75pt;width:264.35pt;height:14.05pt;z-index:-477184;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58</w:t>
                </w:r>
                <w:r>
                  <w:fldChar w:fldCharType="end"/>
                </w:r>
                <w:r>
                  <w:rPr>
                    <w:rFonts w:ascii="Montserrat-Light" w:hAnsi="Montserrat-Light"/>
                    <w:sz w:val="16"/>
                  </w:rPr>
                  <w:t xml:space="preserve">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14" type="#_x0000_t202" alt="" style="position:absolute;margin-left:275.15pt;margin-top:803.3pt;width:265.45pt;height:14.05pt;z-index:-477160;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 xml:space="preserve">2017–2018 </w:t>
                </w:r>
                <w:r>
                  <w:fldChar w:fldCharType="begin"/>
                </w:r>
                <w:r>
                  <w:rPr>
                    <w:rFonts w:ascii="Montserrat-Light" w:hAnsi="Montserrat-Light"/>
                    <w:sz w:val="16"/>
                  </w:rPr>
                  <w:instrText xml:space="preserve"> PAGE </w:instrText>
                </w:r>
                <w:r>
                  <w:fldChar w:fldCharType="separate"/>
                </w:r>
                <w:r>
                  <w:t>109</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08" type="#_x0000_t202" alt="" style="position:absolute;margin-left:54.7pt;margin-top:804.75pt;width:264.35pt;height:14.05pt;z-index:-477016;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66</w:t>
                </w:r>
                <w:r>
                  <w:fldChar w:fldCharType="end"/>
                </w:r>
                <w:r>
                  <w:rPr>
                    <w:rFonts w:ascii="Montserrat-Light" w:hAnsi="Montserrat-Light"/>
                    <w:sz w:val="16"/>
                  </w:rPr>
                  <w:t xml:space="preserve">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07" type="#_x0000_t202" alt="" style="position:absolute;margin-left:275.15pt;margin-top:803.3pt;width:265.45pt;height:14.05pt;z-index:-476992;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092"/>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fldChar w:fldCharType="begin"/>
                </w:r>
                <w:r>
                  <w:rPr>
                    <w:rFonts w:ascii="Montserrat-Light" w:hAnsi="Montserrat-Light"/>
                    <w:sz w:val="16"/>
                  </w:rPr>
                  <w:instrText xml:space="preserve"> PAGE </w:instrText>
                </w:r>
                <w:r>
                  <w:fldChar w:fldCharType="separate"/>
                </w:r>
                <w:r>
                  <w:t>67</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06" type="#_x0000_t202" alt="" style="position:absolute;margin-left:54.7pt;margin-top:804.75pt;width:264.35pt;height:14.05pt;z-index:-476968;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68</w:t>
                </w:r>
                <w:r>
                  <w:fldChar w:fldCharType="end"/>
                </w:r>
                <w:r>
                  <w:rPr>
                    <w:rFonts w:ascii="Montserrat-Light" w:hAnsi="Montserrat-Light"/>
                    <w:sz w:val="16"/>
                  </w:rPr>
                  <w:t xml:space="preserve">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4A7" w:rsidRDefault="00FE24A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05" type="#_x0000_t202" alt="" style="position:absolute;margin-left:275.15pt;margin-top:803.3pt;width:265.45pt;height:14.05pt;z-index:-476944;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081"/>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fldChar w:fldCharType="begin"/>
                </w:r>
                <w:r>
                  <w:rPr>
                    <w:rFonts w:ascii="Montserrat-Light" w:hAnsi="Montserrat-Light"/>
                    <w:sz w:val="16"/>
                  </w:rPr>
                  <w:instrText xml:space="preserve"> PAGE </w:instrText>
                </w:r>
                <w:r>
                  <w:fldChar w:fldCharType="separate"/>
                </w:r>
                <w:r>
                  <w:t>69</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01" type="#_x0000_t202" alt="" style="position:absolute;margin-left:54.7pt;margin-top:804.75pt;width:264.35pt;height:14.05pt;z-index:-476824;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436"/>
                  </w:tabs>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72</w:t>
                </w:r>
                <w:r>
                  <w:fldChar w:fldCharType="end"/>
                </w:r>
                <w:r>
                  <w:rPr>
                    <w:rFonts w:ascii="Montserrat-Light" w:hAnsi="Montserrat-Light"/>
                    <w:sz w:val="16"/>
                  </w:rPr>
                  <w:tab/>
                </w:r>
                <w:r>
                  <w:rPr>
                    <w:rFonts w:ascii="Montserrat-Light" w:hAnsi="Montserrat-Light"/>
                    <w:sz w:val="14"/>
                  </w:rPr>
                  <w:t xml:space="preserve">OFFICE OF THE LEGISLATIVE ASSEMBLY </w:t>
                </w:r>
                <w:r>
                  <w:rPr>
                    <w:rFonts w:ascii="Montserrat" w:hAnsi="Montserrat"/>
                    <w:b/>
                    <w:sz w:val="14"/>
                  </w:rPr>
                  <w:t>ANNUAL REPORT</w:t>
                </w:r>
                <w:r>
                  <w:rPr>
                    <w:rFonts w:ascii="Montserrat" w:hAnsi="Montserrat"/>
                    <w:b/>
                    <w:spacing w:val="23"/>
                    <w:sz w:val="14"/>
                  </w:rPr>
                  <w:t xml:space="preserve"> </w:t>
                </w:r>
                <w:r>
                  <w:rPr>
                    <w:rFonts w:ascii="Montserrat-Light" w:hAnsi="Montserrat-Light"/>
                    <w:sz w:val="14"/>
                  </w:rPr>
                  <w:t>2017–2018</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00" type="#_x0000_t202" alt="" style="position:absolute;margin-left:275.15pt;margin-top:803.3pt;width:265.45pt;height:14.05pt;z-index:-476848;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right" w:pos="5268"/>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r>
                  <w:fldChar w:fldCharType="begin"/>
                </w:r>
                <w:r>
                  <w:rPr>
                    <w:rFonts w:ascii="Montserrat-Light" w:hAnsi="Montserrat-Light"/>
                    <w:sz w:val="14"/>
                  </w:rPr>
                  <w:instrText xml:space="preserve"> PAGE </w:instrText>
                </w:r>
                <w:r>
                  <w:fldChar w:fldCharType="separate"/>
                </w:r>
                <w:r>
                  <w:rPr>
                    <w:rFonts w:ascii="Montserrat-Light" w:hAnsi="Montserrat-Light"/>
                    <w:noProof/>
                    <w:sz w:val="14"/>
                  </w:rPr>
                  <w:t>71</w:t>
                </w:r>
                <w:r>
                  <w:fldChar w:fldCharType="end"/>
                </w:r>
                <w:r>
                  <w:rPr>
                    <w:rFonts w:ascii="Montserrat-Light" w:hAnsi="Montserrat-Light"/>
                    <w:spacing w:val="20"/>
                    <w:sz w:val="14"/>
                  </w:rPr>
                  <w:t xml:space="preserve"> </w:t>
                </w:r>
                <w:r>
                  <w:rPr>
                    <w:rFonts w:ascii="Montserrat-Light" w:hAnsi="Montserrat-Light"/>
                    <w:sz w:val="16"/>
                  </w:rPr>
                  <w:t>71</w:t>
                </w:r>
                <w:r>
                  <w:rPr>
                    <w:rFonts w:ascii="Montserrat-Light" w:hAnsi="Montserrat-Light"/>
                    <w:sz w:val="16"/>
                  </w:rPr>
                  <w:tab/>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96" type="#_x0000_t202" alt="" style="position:absolute;margin-left:54.7pt;margin-top:804.75pt;width:264.35pt;height:14.05pt;z-index:-476704;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436"/>
                  </w:tabs>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78</w:t>
                </w:r>
                <w:r>
                  <w:fldChar w:fldCharType="end"/>
                </w:r>
                <w:r>
                  <w:rPr>
                    <w:rFonts w:ascii="Montserrat-Light" w:hAnsi="Montserrat-Light"/>
                    <w:sz w:val="16"/>
                  </w:rPr>
                  <w:tab/>
                </w:r>
                <w:r>
                  <w:rPr>
                    <w:rFonts w:ascii="Montserrat-Light" w:hAnsi="Montserrat-Light"/>
                    <w:sz w:val="14"/>
                  </w:rPr>
                  <w:t xml:space="preserve">OFFICE OF THE LEGISLATIVE ASSEMBLY </w:t>
                </w:r>
                <w:r>
                  <w:rPr>
                    <w:rFonts w:ascii="Montserrat" w:hAnsi="Montserrat"/>
                    <w:b/>
                    <w:sz w:val="14"/>
                  </w:rPr>
                  <w:t>ANNUAL REPORT</w:t>
                </w:r>
                <w:r>
                  <w:rPr>
                    <w:rFonts w:ascii="Montserrat" w:hAnsi="Montserrat"/>
                    <w:b/>
                    <w:spacing w:val="23"/>
                    <w:sz w:val="14"/>
                  </w:rPr>
                  <w:t xml:space="preserve"> </w:t>
                </w:r>
                <w:r>
                  <w:rPr>
                    <w:rFonts w:ascii="Montserrat-Light" w:hAnsi="Montserrat-Light"/>
                    <w:sz w:val="14"/>
                  </w:rPr>
                  <w:t>2017–2018</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95" type="#_x0000_t202" alt="" style="position:absolute;margin-left:275.15pt;margin-top:803.3pt;width:265.45pt;height:14.05pt;z-index:-476728;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103"/>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fldChar w:fldCharType="begin"/>
                </w:r>
                <w:r>
                  <w:rPr>
                    <w:rFonts w:ascii="Montserrat-Light" w:hAnsi="Montserrat-Light"/>
                    <w:sz w:val="16"/>
                  </w:rPr>
                  <w:instrText xml:space="preserve"> PAGE </w:instrText>
                </w:r>
                <w:r>
                  <w:fldChar w:fldCharType="separate"/>
                </w:r>
                <w:r>
                  <w:t>77</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94" type="#_x0000_t202" alt="" style="position:absolute;margin-left:54.7pt;margin-top:804.75pt;width:264.35pt;height:14.05pt;z-index:-476656;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80</w:t>
                </w:r>
                <w:r>
                  <w:fldChar w:fldCharType="end"/>
                </w:r>
                <w:r>
                  <w:rPr>
                    <w:rFonts w:ascii="Montserrat-Light" w:hAnsi="Montserrat-Light"/>
                    <w:sz w:val="16"/>
                  </w:rPr>
                  <w:t xml:space="preserve">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alt="" style="position:absolute;margin-left:275.15pt;margin-top:803.3pt;width:265.45pt;height:14.05pt;z-index:-476680;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093"/>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fldChar w:fldCharType="begin"/>
                </w:r>
                <w:r>
                  <w:rPr>
                    <w:rFonts w:ascii="Montserrat-Light" w:hAnsi="Montserrat-Light"/>
                    <w:sz w:val="16"/>
                  </w:rPr>
                  <w:instrText xml:space="preserve"> PAGE </w:instrText>
                </w:r>
                <w:r>
                  <w:fldChar w:fldCharType="separate"/>
                </w:r>
                <w:r>
                  <w:t>79</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92" type="#_x0000_t202" alt="" style="position:absolute;margin-left:54.7pt;margin-top:804.75pt;width:264.35pt;height:14.05pt;z-index:-476608;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436"/>
                  </w:tabs>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82</w:t>
                </w:r>
                <w:r>
                  <w:fldChar w:fldCharType="end"/>
                </w:r>
                <w:r>
                  <w:rPr>
                    <w:rFonts w:ascii="Montserrat-Light" w:hAnsi="Montserrat-Light"/>
                    <w:sz w:val="16"/>
                  </w:rPr>
                  <w:tab/>
                </w:r>
                <w:r>
                  <w:rPr>
                    <w:rFonts w:ascii="Montserrat-Light" w:hAnsi="Montserrat-Light"/>
                    <w:sz w:val="14"/>
                  </w:rPr>
                  <w:t xml:space="preserve">OFFICE OF THE LEGISLATIVE ASSEMBLY </w:t>
                </w:r>
                <w:r>
                  <w:rPr>
                    <w:rFonts w:ascii="Montserrat" w:hAnsi="Montserrat"/>
                    <w:b/>
                    <w:sz w:val="14"/>
                  </w:rPr>
                  <w:t>ANNUAL REPORT</w:t>
                </w:r>
                <w:r>
                  <w:rPr>
                    <w:rFonts w:ascii="Montserrat" w:hAnsi="Montserrat"/>
                    <w:b/>
                    <w:spacing w:val="23"/>
                    <w:sz w:val="14"/>
                  </w:rPr>
                  <w:t xml:space="preserve"> </w:t>
                </w:r>
                <w:r>
                  <w:rPr>
                    <w:rFonts w:ascii="Montserrat-Light" w:hAnsi="Montserrat-Light"/>
                    <w:sz w:val="14"/>
                  </w:rPr>
                  <w:t>2017–2018</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91" type="#_x0000_t202" alt="" style="position:absolute;margin-left:275.15pt;margin-top:803.3pt;width:265.45pt;height:14.05pt;z-index:-476632;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122"/>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fldChar w:fldCharType="begin"/>
                </w:r>
                <w:r>
                  <w:rPr>
                    <w:rFonts w:ascii="Montserrat-Light" w:hAnsi="Montserrat-Light"/>
                    <w:sz w:val="16"/>
                  </w:rPr>
                  <w:instrText xml:space="preserve"> PAGE </w:instrText>
                </w:r>
                <w:r>
                  <w:fldChar w:fldCharType="separate"/>
                </w:r>
                <w:r>
                  <w:t>81</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alt="" style="position:absolute;margin-left:54.7pt;margin-top:804.75pt;width:264.35pt;height:14.05pt;z-index:-476560;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436"/>
                  </w:tabs>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84</w:t>
                </w:r>
                <w:r>
                  <w:fldChar w:fldCharType="end"/>
                </w:r>
                <w:r>
                  <w:rPr>
                    <w:rFonts w:ascii="Montserrat-Light" w:hAnsi="Montserrat-Light"/>
                    <w:sz w:val="16"/>
                  </w:rPr>
                  <w:tab/>
                </w:r>
                <w:r>
                  <w:rPr>
                    <w:rFonts w:ascii="Montserrat-Light" w:hAnsi="Montserrat-Light"/>
                    <w:sz w:val="14"/>
                  </w:rPr>
                  <w:t xml:space="preserve">OFFICE OF THE LEGISLATIVE ASSEMBLY </w:t>
                </w:r>
                <w:r>
                  <w:rPr>
                    <w:rFonts w:ascii="Montserrat" w:hAnsi="Montserrat"/>
                    <w:b/>
                    <w:sz w:val="14"/>
                  </w:rPr>
                  <w:t>ANNUAL REPORT</w:t>
                </w:r>
                <w:r>
                  <w:rPr>
                    <w:rFonts w:ascii="Montserrat" w:hAnsi="Montserrat"/>
                    <w:b/>
                    <w:spacing w:val="23"/>
                    <w:sz w:val="14"/>
                  </w:rPr>
                  <w:t xml:space="preserve"> </w:t>
                </w:r>
                <w:r>
                  <w:rPr>
                    <w:rFonts w:ascii="Montserrat-Light" w:hAnsi="Montserrat-Light"/>
                    <w:sz w:val="14"/>
                  </w:rPr>
                  <w:t>2017–2018</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4A7" w:rsidRDefault="00FE24A7">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alt="" style="position:absolute;margin-left:275.15pt;margin-top:803.3pt;width:265.45pt;height:14.05pt;z-index:-476584;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089"/>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fldChar w:fldCharType="begin"/>
                </w:r>
                <w:r>
                  <w:rPr>
                    <w:rFonts w:ascii="Montserrat-Light" w:hAnsi="Montserrat-Light"/>
                    <w:sz w:val="16"/>
                  </w:rPr>
                  <w:instrText xml:space="preserve"> PAGE </w:instrText>
                </w:r>
                <w:r>
                  <w:fldChar w:fldCharType="separate"/>
                </w:r>
                <w:r>
                  <w:t>83</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alt="" style="position:absolute;margin-left:54.7pt;margin-top:804.75pt;width:264.35pt;height:14.05pt;z-index:-476512;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86</w:t>
                </w:r>
                <w:r>
                  <w:fldChar w:fldCharType="end"/>
                </w:r>
                <w:r>
                  <w:rPr>
                    <w:rFonts w:ascii="Montserrat-Light" w:hAnsi="Montserrat-Light"/>
                    <w:sz w:val="16"/>
                  </w:rPr>
                  <w:t xml:space="preserve">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alt="" style="position:absolute;margin-left:275.15pt;margin-top:803.3pt;width:265.45pt;height:14.05pt;z-index:-476536;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085"/>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fldChar w:fldCharType="begin"/>
                </w:r>
                <w:r>
                  <w:rPr>
                    <w:rFonts w:ascii="Montserrat-Light" w:hAnsi="Montserrat-Light"/>
                    <w:sz w:val="16"/>
                  </w:rPr>
                  <w:instrText xml:space="preserve"> PAGE </w:instrText>
                </w:r>
                <w:r>
                  <w:fldChar w:fldCharType="separate"/>
                </w:r>
                <w:r>
                  <w:t>85</w:t>
                </w:r>
                <w: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alt="" style="position:absolute;margin-left:54.7pt;margin-top:804.75pt;width:264.35pt;height:14.05pt;z-index:-476464;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88</w:t>
                </w:r>
                <w:r>
                  <w:fldChar w:fldCharType="end"/>
                </w:r>
                <w:r>
                  <w:rPr>
                    <w:rFonts w:ascii="Montserrat-Light" w:hAnsi="Montserrat-Light"/>
                    <w:sz w:val="16"/>
                  </w:rPr>
                  <w:t xml:space="preserve">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alt="" style="position:absolute;margin-left:275.15pt;margin-top:803.3pt;width:265.45pt;height:14.05pt;z-index:-476488;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092"/>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fldChar w:fldCharType="begin"/>
                </w:r>
                <w:r>
                  <w:rPr>
                    <w:rFonts w:ascii="Montserrat-Light" w:hAnsi="Montserrat-Light"/>
                    <w:sz w:val="16"/>
                  </w:rPr>
                  <w:instrText xml:space="preserve"> PAGE </w:instrText>
                </w:r>
                <w:r>
                  <w:fldChar w:fldCharType="separate"/>
                </w:r>
                <w:r>
                  <w:t>87</w:t>
                </w:r>
                <w: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alt="" style="position:absolute;margin-left:54.7pt;margin-top:804.75pt;width:264.35pt;height:14.05pt;z-index:-476416;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90</w:t>
                </w:r>
                <w:r>
                  <w:fldChar w:fldCharType="end"/>
                </w:r>
                <w:r>
                  <w:rPr>
                    <w:rFonts w:ascii="Montserrat-Light" w:hAnsi="Montserrat-Light"/>
                    <w:sz w:val="16"/>
                  </w:rPr>
                  <w:t xml:space="preserve">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alt="" style="position:absolute;margin-left:275.15pt;margin-top:803.3pt;width:265.45pt;height:14.05pt;z-index:-476440;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081"/>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fldChar w:fldCharType="begin"/>
                </w:r>
                <w:r>
                  <w:rPr>
                    <w:rFonts w:ascii="Montserrat-Light" w:hAnsi="Montserrat-Light"/>
                    <w:sz w:val="16"/>
                  </w:rPr>
                  <w:instrText xml:space="preserve"> PAGE </w:instrText>
                </w:r>
                <w:r>
                  <w:fldChar w:fldCharType="separate"/>
                </w:r>
                <w:r>
                  <w:t>89</w:t>
                </w:r>
                <w: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alt="" style="position:absolute;margin-left:54.7pt;margin-top:804.75pt;width:264.35pt;height:14.05pt;z-index:-476368;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436"/>
                  </w:tabs>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92</w:t>
                </w:r>
                <w:r>
                  <w:fldChar w:fldCharType="end"/>
                </w:r>
                <w:r>
                  <w:rPr>
                    <w:rFonts w:ascii="Montserrat-Light" w:hAnsi="Montserrat-Light"/>
                    <w:sz w:val="16"/>
                  </w:rPr>
                  <w:tab/>
                </w:r>
                <w:r>
                  <w:rPr>
                    <w:rFonts w:ascii="Montserrat-Light" w:hAnsi="Montserrat-Light"/>
                    <w:sz w:val="14"/>
                  </w:rPr>
                  <w:t xml:space="preserve">OFFICE OF THE LEGISLATIVE ASSEMBLY </w:t>
                </w:r>
                <w:r>
                  <w:rPr>
                    <w:rFonts w:ascii="Montserrat" w:hAnsi="Montserrat"/>
                    <w:b/>
                    <w:sz w:val="14"/>
                  </w:rPr>
                  <w:t>ANNUAL REPORT</w:t>
                </w:r>
                <w:r>
                  <w:rPr>
                    <w:rFonts w:ascii="Montserrat" w:hAnsi="Montserrat"/>
                    <w:b/>
                    <w:spacing w:val="23"/>
                    <w:sz w:val="14"/>
                  </w:rPr>
                  <w:t xml:space="preserve"> </w:t>
                </w:r>
                <w:r>
                  <w:rPr>
                    <w:rFonts w:ascii="Montserrat-Light" w:hAnsi="Montserrat-Light"/>
                    <w:sz w:val="14"/>
                  </w:rPr>
                  <w:t>2017–2018</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alt="" style="position:absolute;margin-left:275.15pt;margin-top:803.3pt;width:265.45pt;height:14.05pt;z-index:-476392;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122"/>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fldChar w:fldCharType="begin"/>
                </w:r>
                <w:r>
                  <w:rPr>
                    <w:rFonts w:ascii="Montserrat-Light" w:hAnsi="Montserrat-Light"/>
                    <w:sz w:val="16"/>
                  </w:rPr>
                  <w:instrText xml:space="preserve"> PAGE </w:instrText>
                </w:r>
                <w:r>
                  <w:fldChar w:fldCharType="separate"/>
                </w:r>
                <w:r>
                  <w:t>91</w:t>
                </w:r>
                <w: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alt="" style="position:absolute;margin-left:55.7pt;margin-top:804.75pt;width:263.35pt;height:14.05pt;z-index:-476128;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20"/>
                  <w:rPr>
                    <w:rFonts w:ascii="Montserrat-Light" w:hAnsi="Montserrat-Light"/>
                    <w:sz w:val="14"/>
                  </w:rPr>
                </w:pPr>
                <w:r>
                  <w:rPr>
                    <w:rFonts w:ascii="Montserrat-Light" w:hAnsi="Montserrat-Light"/>
                    <w:sz w:val="16"/>
                  </w:rPr>
                  <w:t xml:space="preserve">120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29" type="#_x0000_t202" alt="" style="position:absolute;margin-left:54.7pt;margin-top:804.75pt;width:264.35pt;height:14.55pt;z-index:-477520;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rsidR="00FE24A7">
                  <w:rPr>
                    <w:rFonts w:ascii="Montserrat-Light" w:hAnsi="Montserrat-Light"/>
                    <w:noProof/>
                    <w:sz w:val="16"/>
                  </w:rPr>
                  <w:t>2</w:t>
                </w:r>
                <w:r>
                  <w:fldChar w:fldCharType="end"/>
                </w:r>
                <w:r>
                  <w:rPr>
                    <w:rFonts w:ascii="Montserrat-Light" w:hAnsi="Montserrat-Light"/>
                    <w:sz w:val="16"/>
                  </w:rPr>
                  <w:t xml:space="preserve">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alt="" style="position:absolute;margin-left:275.15pt;margin-top:803.3pt;width:264.45pt;height:14.05pt;z-index:-476104;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079"/>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rPr>
                    <w:rFonts w:ascii="Montserrat-Light" w:hAnsi="Montserrat-Light"/>
                    <w:w w:val="95"/>
                    <w:sz w:val="16"/>
                  </w:rPr>
                  <w:t>121</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alt="" style="position:absolute;margin-left:54.7pt;margin-top:804.75pt;width:264.35pt;height:14.05pt;z-index:-475984;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128</w:t>
                </w:r>
                <w:r>
                  <w:fldChar w:fldCharType="end"/>
                </w:r>
                <w:r>
                  <w:rPr>
                    <w:rFonts w:ascii="Montserrat-Light" w:hAnsi="Montserrat-Light"/>
                    <w:sz w:val="16"/>
                  </w:rPr>
                  <w:t xml:space="preserve">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alt="" style="position:absolute;margin-left:275.15pt;margin-top:803.3pt;width:265.45pt;height:14.05pt;z-index:-475960;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 xml:space="preserve">2017–2018 </w:t>
                </w:r>
                <w:r>
                  <w:fldChar w:fldCharType="begin"/>
                </w:r>
                <w:r>
                  <w:rPr>
                    <w:rFonts w:ascii="Montserrat-Light" w:hAnsi="Montserrat-Light"/>
                    <w:sz w:val="16"/>
                  </w:rPr>
                  <w:instrText xml:space="preserve"> PAGE </w:instrText>
                </w:r>
                <w:r>
                  <w:fldChar w:fldCharType="separate"/>
                </w:r>
                <w:r>
                  <w:t>129</w:t>
                </w:r>
                <w: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alt="" style="position:absolute;margin-left:55.7pt;margin-top:804.75pt;width:263.35pt;height:14.05pt;z-index:-475888;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20"/>
                  <w:rPr>
                    <w:rFonts w:ascii="Montserrat-Light" w:hAnsi="Montserrat-Light"/>
                    <w:sz w:val="14"/>
                  </w:rPr>
                </w:pPr>
                <w:r>
                  <w:rPr>
                    <w:rFonts w:ascii="Montserrat-Light" w:hAnsi="Montserrat-Light"/>
                    <w:sz w:val="16"/>
                  </w:rPr>
                  <w:t xml:space="preserve">130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alt="" style="position:absolute;margin-left:275.15pt;margin-top:803.3pt;width:264.45pt;height:14.05pt;z-index:-475864;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078"/>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rPr>
                    <w:rFonts w:ascii="Montserrat-Light" w:hAnsi="Montserrat-Light"/>
                    <w:w w:val="95"/>
                    <w:sz w:val="16"/>
                  </w:rPr>
                  <w:t>131</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alt="" style="position:absolute;margin-left:54.7pt;margin-top:804.75pt;width:264.35pt;height:14.05pt;z-index:-475840;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138</w:t>
                </w:r>
                <w:r>
                  <w:fldChar w:fldCharType="end"/>
                </w:r>
                <w:r>
                  <w:rPr>
                    <w:rFonts w:ascii="Montserrat-Light" w:hAnsi="Montserrat-Light"/>
                    <w:sz w:val="16"/>
                  </w:rPr>
                  <w:t xml:space="preserve">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alt="" style="position:absolute;margin-left:275.15pt;margin-top:803.3pt;width:265.45pt;height:14.05pt;z-index:-475816;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 xml:space="preserve">2017–2018 </w:t>
                </w:r>
                <w:r>
                  <w:fldChar w:fldCharType="begin"/>
                </w:r>
                <w:r>
                  <w:rPr>
                    <w:rFonts w:ascii="Montserrat-Light" w:hAnsi="Montserrat-Light"/>
                    <w:sz w:val="16"/>
                  </w:rPr>
                  <w:instrText xml:space="preserve"> PAGE </w:instrText>
                </w:r>
                <w:r>
                  <w:fldChar w:fldCharType="separate"/>
                </w:r>
                <w:r>
                  <w:t>139</w:t>
                </w:r>
                <w: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alt="" style="position:absolute;margin-left:55.7pt;margin-top:804.75pt;width:263.35pt;height:14.05pt;z-index:-475696;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20"/>
                  <w:rPr>
                    <w:rFonts w:ascii="Montserrat-Light" w:hAnsi="Montserrat-Light"/>
                    <w:sz w:val="14"/>
                  </w:rPr>
                </w:pPr>
                <w:r>
                  <w:rPr>
                    <w:rFonts w:ascii="Montserrat-Light" w:hAnsi="Montserrat-Light"/>
                    <w:sz w:val="16"/>
                  </w:rPr>
                  <w:t xml:space="preserve">140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alt="" style="position:absolute;margin-left:275.15pt;margin-top:803.3pt;width:264.45pt;height:14.05pt;z-index:-475672;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077"/>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rPr>
                    <w:rFonts w:ascii="Montserrat-Light" w:hAnsi="Montserrat-Light"/>
                    <w:w w:val="95"/>
                    <w:sz w:val="16"/>
                  </w:rPr>
                  <w:t>141</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alt="" style="position:absolute;margin-left:54.7pt;margin-top:804.75pt;width:264.35pt;height:14.05pt;z-index:-475648;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40"/>
                  <w:rPr>
                    <w:rFonts w:ascii="Montserrat-Light" w:hAnsi="Montserrat-Light"/>
                    <w:sz w:val="14"/>
                  </w:rPr>
                </w:pPr>
                <w:r>
                  <w:fldChar w:fldCharType="begin"/>
                </w:r>
                <w:r>
                  <w:rPr>
                    <w:rFonts w:ascii="Montserrat-Light" w:hAnsi="Montserrat-Light"/>
                    <w:sz w:val="16"/>
                  </w:rPr>
                  <w:instrText xml:space="preserve"> PAGE </w:instrText>
                </w:r>
                <w:r>
                  <w:fldChar w:fldCharType="separate"/>
                </w:r>
                <w:r>
                  <w:t>148</w:t>
                </w:r>
                <w:r>
                  <w:fldChar w:fldCharType="end"/>
                </w:r>
                <w:r>
                  <w:rPr>
                    <w:rFonts w:ascii="Montserrat-Light" w:hAnsi="Montserrat-Light"/>
                    <w:sz w:val="16"/>
                  </w:rPr>
                  <w:t xml:space="preserve"> </w:t>
                </w: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28" type="#_x0000_t202" alt="" style="position:absolute;margin-left:275.15pt;margin-top:803.3pt;width:265.5pt;height:14.05pt;z-index:-477496;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right" w:pos="5268"/>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r>
                  <w:fldChar w:fldCharType="begin"/>
                </w:r>
                <w:r>
                  <w:rPr>
                    <w:rFonts w:ascii="Montserrat-Light" w:hAnsi="Montserrat-Light"/>
                    <w:sz w:val="14"/>
                  </w:rPr>
                  <w:instrText xml:space="preserve"> PAGE </w:instrText>
                </w:r>
                <w:r>
                  <w:fldChar w:fldCharType="separate"/>
                </w:r>
                <w:r w:rsidR="00FE24A7">
                  <w:rPr>
                    <w:rFonts w:ascii="Montserrat-Light" w:hAnsi="Montserrat-Light"/>
                    <w:noProof/>
                    <w:sz w:val="14"/>
                  </w:rPr>
                  <w:t>3</w:t>
                </w:r>
                <w:r>
                  <w:fldChar w:fldCharType="end"/>
                </w:r>
                <w:r>
                  <w:rPr>
                    <w:rFonts w:ascii="Montserrat-Light" w:hAnsi="Montserrat-Light"/>
                    <w:spacing w:val="23"/>
                    <w:sz w:val="14"/>
                  </w:rPr>
                  <w:t xml:space="preserve"> </w:t>
                </w:r>
                <w:r>
                  <w:rPr>
                    <w:rFonts w:ascii="Montserrat-Light" w:hAnsi="Montserrat-Light"/>
                    <w:sz w:val="16"/>
                  </w:rPr>
                  <w:t>9</w:t>
                </w:r>
                <w:r>
                  <w:rPr>
                    <w:rFonts w:ascii="Montserrat-Light" w:hAnsi="Montserrat-Light"/>
                    <w:sz w:val="16"/>
                  </w:rPr>
                  <w:tab/>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alt="" style="position:absolute;margin-left:275.15pt;margin-top:803.3pt;width:265.45pt;height:14.05pt;z-index:-475624;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 xml:space="preserve">2017–2018 </w:t>
                </w:r>
                <w:r>
                  <w:fldChar w:fldCharType="begin"/>
                </w:r>
                <w:r>
                  <w:rPr>
                    <w:rFonts w:ascii="Montserrat-Light" w:hAnsi="Montserrat-Light"/>
                    <w:sz w:val="16"/>
                  </w:rPr>
                  <w:instrText xml:space="preserve"> PAGE </w:instrText>
                </w:r>
                <w:r>
                  <w:fldChar w:fldCharType="separate"/>
                </w:r>
                <w:r>
                  <w:t>149</w:t>
                </w:r>
                <w: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alt="" style="position:absolute;margin-left:275.15pt;margin-top:803.3pt;width:264.45pt;height:14.05pt;z-index:-475600;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073"/>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rPr>
                    <w:rFonts w:ascii="Montserrat-Light" w:hAnsi="Montserrat-Light"/>
                    <w:w w:val="95"/>
                    <w:sz w:val="16"/>
                  </w:rPr>
                  <w:t>151</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27" type="#_x0000_t202" alt="" style="position:absolute;margin-left:54.7pt;margin-top:804.75pt;width:11.5pt;height:13.8pt;z-index:-477472;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2"/>
                  <w:ind w:left="40"/>
                  <w:rPr>
                    <w:rFonts w:ascii="Montserrat-Light"/>
                    <w:sz w:val="16"/>
                  </w:rPr>
                </w:pPr>
                <w:r>
                  <w:fldChar w:fldCharType="begin"/>
                </w:r>
                <w:r>
                  <w:rPr>
                    <w:rFonts w:ascii="Montserrat-Light"/>
                    <w:sz w:val="16"/>
                  </w:rPr>
                  <w:instrText xml:space="preserve"> PAGE </w:instrText>
                </w:r>
                <w:r>
                  <w:fldChar w:fldCharType="separate"/>
                </w:r>
                <w:r>
                  <w:t>12</w:t>
                </w:r>
                <w:r>
                  <w:fldChar w:fldCharType="end"/>
                </w:r>
              </w:p>
            </w:txbxContent>
          </v:textbox>
          <w10:wrap anchorx="page" anchory="page"/>
        </v:shape>
      </w:pict>
    </w:r>
    <w:r>
      <w:pict>
        <v:shape id="_x0000_s2126" type="#_x0000_t202" alt="" style="position:absolute;margin-left:75.55pt;margin-top:805.5pt;width:243.5pt;height:13.3pt;z-index:-477448;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46"/>
                  <w:ind w:left="20"/>
                  <w:rPr>
                    <w:rFonts w:ascii="Montserrat-Light" w:hAnsi="Montserrat-Light"/>
                    <w:sz w:val="14"/>
                  </w:rPr>
                </w:pPr>
                <w:r>
                  <w:rPr>
                    <w:rFonts w:ascii="Montserrat-Light" w:hAnsi="Montserrat-Light"/>
                    <w:sz w:val="14"/>
                  </w:rPr>
                  <w:t xml:space="preserve">OFFICE OF THE LEGISLATIVE ASSEMBLY </w:t>
                </w:r>
                <w:r>
                  <w:rPr>
                    <w:rFonts w:ascii="Montserrat" w:hAnsi="Montserrat"/>
                    <w:b/>
                    <w:sz w:val="14"/>
                  </w:rPr>
                  <w:t xml:space="preserve">ANNUAL REPORT </w:t>
                </w:r>
                <w:r>
                  <w:rPr>
                    <w:rFonts w:ascii="Montserrat-Light" w:hAnsi="Montserrat-Light"/>
                    <w:sz w:val="14"/>
                  </w:rPr>
                  <w:t>2017–2018</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25" type="#_x0000_t202" alt="" style="position:absolute;margin-left:275.15pt;margin-top:803.3pt;width:265.45pt;height:14.05pt;z-index:-477424;mso-wrap-style:square;mso-wrap-edited:f;mso-width-percent:0;mso-height-percent:0;mso-position-horizontal-relative:page;mso-position-vertical-relative:page;mso-width-percent:0;mso-height-percent:0;v-text-anchor:top" filled="f" stroked="f">
          <v:textbox inset="0,0,0,0">
            <w:txbxContent>
              <w:p w:rsidR="0030091C" w:rsidRDefault="0030091C">
                <w:pPr>
                  <w:tabs>
                    <w:tab w:val="left" w:pos="5092"/>
                  </w:tabs>
                  <w:spacing w:before="42"/>
                  <w:ind w:left="20"/>
                  <w:rPr>
                    <w:rFonts w:ascii="Montserrat-Light" w:hAnsi="Montserrat-Light"/>
                    <w:sz w:val="16"/>
                  </w:rPr>
                </w:pPr>
                <w:r>
                  <w:rPr>
                    <w:rFonts w:ascii="Montserrat-Light" w:hAnsi="Montserrat-Light"/>
                    <w:sz w:val="14"/>
                  </w:rPr>
                  <w:t xml:space="preserve">OFFICE OF THE LEGISLATIVE ASSEMBLY </w:t>
                </w:r>
                <w:r>
                  <w:rPr>
                    <w:rFonts w:ascii="Montserrat" w:hAnsi="Montserrat"/>
                    <w:b/>
                    <w:sz w:val="14"/>
                  </w:rPr>
                  <w:t xml:space="preserve">ANNUAL </w:t>
                </w:r>
                <w:r>
                  <w:rPr>
                    <w:rFonts w:ascii="Montserrat" w:hAnsi="Montserrat"/>
                    <w:b/>
                    <w:spacing w:val="5"/>
                    <w:sz w:val="14"/>
                  </w:rPr>
                  <w:t xml:space="preserve"> </w:t>
                </w:r>
                <w:r>
                  <w:rPr>
                    <w:rFonts w:ascii="Montserrat" w:hAnsi="Montserrat"/>
                    <w:b/>
                    <w:sz w:val="14"/>
                  </w:rPr>
                  <w:t>REPORT</w:t>
                </w:r>
                <w:r>
                  <w:rPr>
                    <w:rFonts w:ascii="Montserrat" w:hAnsi="Montserrat"/>
                    <w:b/>
                    <w:spacing w:val="13"/>
                    <w:sz w:val="14"/>
                  </w:rPr>
                  <w:t xml:space="preserve"> </w:t>
                </w:r>
                <w:r>
                  <w:rPr>
                    <w:rFonts w:ascii="Montserrat-Light" w:hAnsi="Montserrat-Light"/>
                    <w:sz w:val="14"/>
                  </w:rPr>
                  <w:t>2017–2018</w:t>
                </w:r>
                <w:r>
                  <w:rPr>
                    <w:rFonts w:ascii="Montserrat-Light" w:hAnsi="Montserrat-Light"/>
                    <w:sz w:val="14"/>
                  </w:rPr>
                  <w:tab/>
                </w:r>
                <w:r>
                  <w:fldChar w:fldCharType="begin"/>
                </w:r>
                <w:r>
                  <w:rPr>
                    <w:rFonts w:ascii="Montserrat-Light" w:hAnsi="Montserrat-Light"/>
                    <w:sz w:val="16"/>
                  </w:rPr>
                  <w:instrText xml:space="preserve"> PAGE </w:instrText>
                </w:r>
                <w:r>
                  <w:fldChar w:fldCharType="separate"/>
                </w:r>
                <w:r>
                  <w:t>29</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D14" w:rsidRDefault="008C7D14">
      <w:r>
        <w:separator/>
      </w:r>
    </w:p>
  </w:footnote>
  <w:footnote w:type="continuationSeparator" w:id="0">
    <w:p w:rsidR="008C7D14" w:rsidRDefault="008C7D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4A7" w:rsidRDefault="00FE24A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16" type="#_x0000_t202" alt="" style="position:absolute;margin-left:55.75pt;margin-top:55.6pt;width:238pt;height:23.4pt;z-index:-477208;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22"/>
                  <w:ind w:left="20"/>
                  <w:rPr>
                    <w:rFonts w:ascii="Montserrat-SemiBold" w:hAnsi="Montserrat-SemiBold"/>
                    <w:b/>
                    <w:sz w:val="34"/>
                  </w:rPr>
                </w:pPr>
                <w:r>
                  <w:rPr>
                    <w:rFonts w:ascii="Montserrat-SemiBold" w:hAnsi="Montserrat-SemiBold"/>
                    <w:b/>
                    <w:color w:val="004289"/>
                    <w:w w:val="95"/>
                    <w:sz w:val="34"/>
                  </w:rPr>
                  <w:t>APPENDIX 2 – PROCEEDINGS</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13" type="#_x0000_t202" alt="" style="position:absolute;margin-left:55.75pt;margin-top:55.6pt;width:343.9pt;height:23.4pt;z-index:-477136;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22"/>
                  <w:ind w:left="20"/>
                  <w:rPr>
                    <w:rFonts w:ascii="Montserrat-SemiBold" w:hAnsi="Montserrat-SemiBold"/>
                    <w:b/>
                    <w:sz w:val="34"/>
                  </w:rPr>
                </w:pPr>
                <w:r>
                  <w:rPr>
                    <w:rFonts w:ascii="Montserrat-SemiBold" w:hAnsi="Montserrat-SemiBold"/>
                    <w:b/>
                    <w:color w:val="004289"/>
                    <w:w w:val="95"/>
                    <w:sz w:val="34"/>
                  </w:rPr>
                  <w:t>APPENDIX 3 – MINUTES OF PROCEEDINGS</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12" type="#_x0000_t202" alt="" style="position:absolute;margin-left:55.75pt;margin-top:55.6pt;width:410.35pt;height:23.4pt;z-index:-477112;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22"/>
                  <w:ind w:left="20"/>
                  <w:rPr>
                    <w:rFonts w:ascii="Montserrat-SemiBold" w:hAnsi="Montserrat-SemiBold"/>
                    <w:b/>
                    <w:sz w:val="34"/>
                  </w:rPr>
                </w:pPr>
                <w:r>
                  <w:rPr>
                    <w:rFonts w:ascii="Montserrat-SemiBold" w:hAnsi="Montserrat-SemiBold"/>
                    <w:b/>
                    <w:color w:val="004289"/>
                    <w:spacing w:val="3"/>
                    <w:w w:val="95"/>
                    <w:sz w:val="34"/>
                  </w:rPr>
                  <w:t>APPENDIX</w:t>
                </w:r>
                <w:r>
                  <w:rPr>
                    <w:rFonts w:ascii="Montserrat-SemiBold" w:hAnsi="Montserrat-SemiBold"/>
                    <w:b/>
                    <w:color w:val="004289"/>
                    <w:spacing w:val="-22"/>
                    <w:w w:val="95"/>
                    <w:sz w:val="34"/>
                  </w:rPr>
                  <w:t xml:space="preserve"> </w:t>
                </w:r>
                <w:r>
                  <w:rPr>
                    <w:rFonts w:ascii="Montserrat-SemiBold" w:hAnsi="Montserrat-SemiBold"/>
                    <w:b/>
                    <w:color w:val="004289"/>
                    <w:w w:val="95"/>
                    <w:sz w:val="34"/>
                  </w:rPr>
                  <w:t>4</w:t>
                </w:r>
                <w:r>
                  <w:rPr>
                    <w:rFonts w:ascii="Montserrat-SemiBold" w:hAnsi="Montserrat-SemiBold"/>
                    <w:b/>
                    <w:color w:val="004289"/>
                    <w:spacing w:val="-23"/>
                    <w:w w:val="95"/>
                    <w:sz w:val="34"/>
                  </w:rPr>
                  <w:t xml:space="preserve"> </w:t>
                </w:r>
                <w:r>
                  <w:rPr>
                    <w:rFonts w:ascii="Montserrat-SemiBold" w:hAnsi="Montserrat-SemiBold"/>
                    <w:b/>
                    <w:color w:val="004289"/>
                    <w:w w:val="95"/>
                    <w:sz w:val="34"/>
                  </w:rPr>
                  <w:t>–</w:t>
                </w:r>
                <w:r>
                  <w:rPr>
                    <w:rFonts w:ascii="Montserrat-SemiBold" w:hAnsi="Montserrat-SemiBold"/>
                    <w:b/>
                    <w:color w:val="004289"/>
                    <w:spacing w:val="-22"/>
                    <w:w w:val="95"/>
                    <w:sz w:val="34"/>
                  </w:rPr>
                  <w:t xml:space="preserve"> </w:t>
                </w:r>
                <w:r>
                  <w:rPr>
                    <w:rFonts w:ascii="Montserrat-SemiBold" w:hAnsi="Montserrat-SemiBold"/>
                    <w:b/>
                    <w:color w:val="004289"/>
                    <w:spacing w:val="3"/>
                    <w:w w:val="95"/>
                    <w:sz w:val="34"/>
                  </w:rPr>
                  <w:t>BILLS</w:t>
                </w:r>
                <w:r>
                  <w:rPr>
                    <w:rFonts w:ascii="Montserrat-SemiBold" w:hAnsi="Montserrat-SemiBold"/>
                    <w:b/>
                    <w:color w:val="004289"/>
                    <w:spacing w:val="-21"/>
                    <w:w w:val="95"/>
                    <w:sz w:val="34"/>
                  </w:rPr>
                  <w:t xml:space="preserve"> </w:t>
                </w:r>
                <w:r>
                  <w:rPr>
                    <w:rFonts w:ascii="Montserrat-SemiBold" w:hAnsi="Montserrat-SemiBold"/>
                    <w:b/>
                    <w:color w:val="004289"/>
                    <w:spacing w:val="2"/>
                    <w:w w:val="95"/>
                    <w:sz w:val="34"/>
                  </w:rPr>
                  <w:t>AND</w:t>
                </w:r>
                <w:r>
                  <w:rPr>
                    <w:rFonts w:ascii="Montserrat-SemiBold" w:hAnsi="Montserrat-SemiBold"/>
                    <w:b/>
                    <w:color w:val="004289"/>
                    <w:spacing w:val="-21"/>
                    <w:w w:val="95"/>
                    <w:sz w:val="34"/>
                  </w:rPr>
                  <w:t xml:space="preserve"> </w:t>
                </w:r>
                <w:r>
                  <w:rPr>
                    <w:rFonts w:ascii="Montserrat-SemiBold" w:hAnsi="Montserrat-SemiBold"/>
                    <w:b/>
                    <w:color w:val="004289"/>
                    <w:spacing w:val="5"/>
                    <w:w w:val="95"/>
                    <w:sz w:val="34"/>
                  </w:rPr>
                  <w:t>AMENDMENTS</w:t>
                </w:r>
                <w:r>
                  <w:rPr>
                    <w:rFonts w:ascii="Montserrat-SemiBold" w:hAnsi="Montserrat-SemiBold"/>
                    <w:b/>
                    <w:color w:val="004289"/>
                    <w:spacing w:val="-22"/>
                    <w:w w:val="95"/>
                    <w:sz w:val="34"/>
                  </w:rPr>
                  <w:t xml:space="preserve"> </w:t>
                </w:r>
                <w:r>
                  <w:rPr>
                    <w:rFonts w:ascii="Montserrat-SemiBold" w:hAnsi="Montserrat-SemiBold"/>
                    <w:b/>
                    <w:color w:val="004289"/>
                    <w:spacing w:val="-4"/>
                    <w:w w:val="95"/>
                    <w:sz w:val="34"/>
                  </w:rPr>
                  <w:t>2017-2018</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11" type="#_x0000_t202" alt="" style="position:absolute;margin-left:55.75pt;margin-top:55.6pt;width:266pt;height:23.4pt;z-index:-477088;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22"/>
                  <w:ind w:left="20"/>
                  <w:rPr>
                    <w:rFonts w:ascii="Montserrat-SemiBold" w:hAnsi="Montserrat-SemiBold"/>
                    <w:b/>
                    <w:sz w:val="34"/>
                  </w:rPr>
                </w:pPr>
                <w:r>
                  <w:rPr>
                    <w:rFonts w:ascii="Montserrat-SemiBold" w:hAnsi="Montserrat-SemiBold"/>
                    <w:b/>
                    <w:color w:val="004289"/>
                    <w:w w:val="95"/>
                    <w:sz w:val="34"/>
                  </w:rPr>
                  <w:t>APPENDIX 5 – BILLS PRESENTED</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10" type="#_x0000_t202" alt="" style="position:absolute;margin-left:55.75pt;margin-top:55.6pt;width:455.3pt;height:23.4pt;z-index:-477064;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22"/>
                  <w:ind w:left="20"/>
                  <w:rPr>
                    <w:rFonts w:ascii="Montserrat-SemiBold" w:hAnsi="Montserrat-SemiBold"/>
                    <w:b/>
                    <w:sz w:val="34"/>
                  </w:rPr>
                </w:pPr>
                <w:r>
                  <w:rPr>
                    <w:rFonts w:ascii="Montserrat-SemiBold" w:hAnsi="Montserrat-SemiBold"/>
                    <w:b/>
                    <w:color w:val="004289"/>
                    <w:w w:val="95"/>
                    <w:sz w:val="34"/>
                  </w:rPr>
                  <w:t>APPENDIX 6 – QUESTIONS WITH AND WITHOUT NOTICE</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09" type="#_x0000_t202" alt="" style="position:absolute;margin-left:55.75pt;margin-top:55.6pt;width:312.8pt;height:23.4pt;z-index:-477040;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22"/>
                  <w:ind w:left="20"/>
                  <w:rPr>
                    <w:rFonts w:ascii="Montserrat-SemiBold" w:hAnsi="Montserrat-SemiBold"/>
                    <w:b/>
                    <w:sz w:val="34"/>
                  </w:rPr>
                </w:pPr>
                <w:r>
                  <w:rPr>
                    <w:rFonts w:ascii="Montserrat-SemiBold" w:hAnsi="Montserrat-SemiBold"/>
                    <w:b/>
                    <w:color w:val="004289"/>
                    <w:spacing w:val="3"/>
                    <w:w w:val="95"/>
                    <w:sz w:val="34"/>
                  </w:rPr>
                  <w:t>APPENDIX</w:t>
                </w:r>
                <w:r>
                  <w:rPr>
                    <w:rFonts w:ascii="Montserrat-SemiBold" w:hAnsi="Montserrat-SemiBold"/>
                    <w:b/>
                    <w:color w:val="004289"/>
                    <w:spacing w:val="-22"/>
                    <w:w w:val="95"/>
                    <w:sz w:val="34"/>
                  </w:rPr>
                  <w:t xml:space="preserve"> </w:t>
                </w:r>
                <w:r>
                  <w:rPr>
                    <w:rFonts w:ascii="Montserrat-SemiBold" w:hAnsi="Montserrat-SemiBold"/>
                    <w:b/>
                    <w:color w:val="004289"/>
                    <w:w w:val="95"/>
                    <w:sz w:val="34"/>
                  </w:rPr>
                  <w:t>7</w:t>
                </w:r>
                <w:r>
                  <w:rPr>
                    <w:rFonts w:ascii="Montserrat-SemiBold" w:hAnsi="Montserrat-SemiBold"/>
                    <w:b/>
                    <w:color w:val="004289"/>
                    <w:spacing w:val="-24"/>
                    <w:w w:val="95"/>
                    <w:sz w:val="34"/>
                  </w:rPr>
                  <w:t xml:space="preserve"> </w:t>
                </w:r>
                <w:r>
                  <w:rPr>
                    <w:rFonts w:ascii="Montserrat-SemiBold" w:hAnsi="Montserrat-SemiBold"/>
                    <w:b/>
                    <w:color w:val="004289"/>
                    <w:w w:val="95"/>
                    <w:sz w:val="34"/>
                  </w:rPr>
                  <w:t>–</w:t>
                </w:r>
                <w:r>
                  <w:rPr>
                    <w:rFonts w:ascii="Montserrat-SemiBold" w:hAnsi="Montserrat-SemiBold"/>
                    <w:b/>
                    <w:color w:val="004289"/>
                    <w:spacing w:val="-22"/>
                    <w:w w:val="95"/>
                    <w:sz w:val="34"/>
                  </w:rPr>
                  <w:t xml:space="preserve"> </w:t>
                </w:r>
                <w:r>
                  <w:rPr>
                    <w:rFonts w:ascii="Montserrat-SemiBold" w:hAnsi="Montserrat-SemiBold"/>
                    <w:b/>
                    <w:color w:val="004289"/>
                    <w:spacing w:val="3"/>
                    <w:w w:val="95"/>
                    <w:sz w:val="34"/>
                  </w:rPr>
                  <w:t>COMMITTEE</w:t>
                </w:r>
                <w:r>
                  <w:rPr>
                    <w:rFonts w:ascii="Montserrat-SemiBold" w:hAnsi="Montserrat-SemiBold"/>
                    <w:b/>
                    <w:color w:val="004289"/>
                    <w:spacing w:val="-21"/>
                    <w:w w:val="95"/>
                    <w:sz w:val="34"/>
                  </w:rPr>
                  <w:t xml:space="preserve"> </w:t>
                </w:r>
                <w:r>
                  <w:rPr>
                    <w:rFonts w:ascii="Montserrat-SemiBold" w:hAnsi="Montserrat-SemiBold"/>
                    <w:b/>
                    <w:color w:val="004289"/>
                    <w:w w:val="95"/>
                    <w:sz w:val="34"/>
                  </w:rPr>
                  <w:t>STATISTICS</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4A7" w:rsidRDefault="00FE24A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04" type="#_x0000_t202" alt="" style="position:absolute;margin-left:55.75pt;margin-top:55.6pt;width:420.5pt;height:23.4pt;z-index:-476920;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22"/>
                  <w:ind w:left="20"/>
                  <w:rPr>
                    <w:rFonts w:ascii="Montserrat-SemiBold" w:hAnsi="Montserrat-SemiBold"/>
                    <w:b/>
                    <w:sz w:val="34"/>
                  </w:rPr>
                </w:pPr>
                <w:r>
                  <w:rPr>
                    <w:rFonts w:ascii="Montserrat-SemiBold" w:hAnsi="Montserrat-SemiBold"/>
                    <w:b/>
                    <w:color w:val="004289"/>
                    <w:w w:val="95"/>
                    <w:sz w:val="34"/>
                  </w:rPr>
                  <w:t>APPENDIX 9 – LIBRARY AND REFERENCE SERVICES</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03" type="#_x0000_t202" alt="" style="position:absolute;margin-left:55.75pt;margin-top:55.6pt;width:477.45pt;height:23.4pt;z-index:-476872;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22"/>
                  <w:ind w:left="20"/>
                  <w:rPr>
                    <w:rFonts w:ascii="Montserrat-SemiBold" w:hAnsi="Montserrat-SemiBold"/>
                    <w:b/>
                    <w:sz w:val="34"/>
                  </w:rPr>
                </w:pPr>
                <w:r>
                  <w:rPr>
                    <w:rFonts w:ascii="Montserrat-SemiBold" w:hAnsi="Montserrat-SemiBold"/>
                    <w:b/>
                    <w:color w:val="004289"/>
                    <w:w w:val="95"/>
                    <w:sz w:val="34"/>
                  </w:rPr>
                  <w:t>APPENDIX 11 – OFFICE HOLDERS OF THE NINTH ASSEMBLY</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02" type="#_x0000_t202" alt="" style="position:absolute;margin-left:55pt;margin-top:55.6pt;width:422.9pt;height:23.4pt;z-index:-476896;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22"/>
                  <w:ind w:left="20"/>
                  <w:rPr>
                    <w:rFonts w:ascii="Montserrat-SemiBold" w:hAnsi="Montserrat-SemiBold"/>
                    <w:b/>
                    <w:sz w:val="34"/>
                  </w:rPr>
                </w:pPr>
                <w:r>
                  <w:rPr>
                    <w:rFonts w:ascii="Montserrat-SemiBold" w:hAnsi="Montserrat-SemiBold"/>
                    <w:b/>
                    <w:color w:val="004289"/>
                    <w:spacing w:val="3"/>
                    <w:w w:val="95"/>
                    <w:sz w:val="34"/>
                  </w:rPr>
                  <w:t>APPENDIX</w:t>
                </w:r>
                <w:r>
                  <w:rPr>
                    <w:rFonts w:ascii="Montserrat-SemiBold" w:hAnsi="Montserrat-SemiBold"/>
                    <w:b/>
                    <w:color w:val="004289"/>
                    <w:spacing w:val="-16"/>
                    <w:w w:val="95"/>
                    <w:sz w:val="34"/>
                  </w:rPr>
                  <w:t xml:space="preserve"> </w:t>
                </w:r>
                <w:r>
                  <w:rPr>
                    <w:rFonts w:ascii="Montserrat-SemiBold" w:hAnsi="Montserrat-SemiBold"/>
                    <w:b/>
                    <w:color w:val="004289"/>
                    <w:w w:val="95"/>
                    <w:sz w:val="34"/>
                  </w:rPr>
                  <w:t>10</w:t>
                </w:r>
                <w:r>
                  <w:rPr>
                    <w:rFonts w:ascii="Montserrat-SemiBold" w:hAnsi="Montserrat-SemiBold"/>
                    <w:b/>
                    <w:color w:val="004289"/>
                    <w:spacing w:val="-17"/>
                    <w:w w:val="95"/>
                    <w:sz w:val="34"/>
                  </w:rPr>
                  <w:t xml:space="preserve"> </w:t>
                </w:r>
                <w:r>
                  <w:rPr>
                    <w:rFonts w:ascii="Montserrat-SemiBold" w:hAnsi="Montserrat-SemiBold"/>
                    <w:b/>
                    <w:color w:val="004289"/>
                    <w:w w:val="95"/>
                    <w:sz w:val="34"/>
                  </w:rPr>
                  <w:t>–</w:t>
                </w:r>
                <w:r>
                  <w:rPr>
                    <w:rFonts w:ascii="Montserrat-SemiBold" w:hAnsi="Montserrat-SemiBold"/>
                    <w:b/>
                    <w:color w:val="004289"/>
                    <w:spacing w:val="-16"/>
                    <w:w w:val="95"/>
                    <w:sz w:val="34"/>
                  </w:rPr>
                  <w:t xml:space="preserve"> </w:t>
                </w:r>
                <w:r>
                  <w:rPr>
                    <w:rFonts w:ascii="Montserrat-SemiBold" w:hAnsi="Montserrat-SemiBold"/>
                    <w:b/>
                    <w:color w:val="004289"/>
                    <w:spacing w:val="3"/>
                    <w:w w:val="95"/>
                    <w:sz w:val="34"/>
                  </w:rPr>
                  <w:t>MEMBERS</w:t>
                </w:r>
                <w:r>
                  <w:rPr>
                    <w:rFonts w:ascii="Montserrat-SemiBold" w:hAnsi="Montserrat-SemiBold"/>
                    <w:b/>
                    <w:color w:val="004289"/>
                    <w:spacing w:val="-14"/>
                    <w:w w:val="95"/>
                    <w:sz w:val="34"/>
                  </w:rPr>
                  <w:t xml:space="preserve"> </w:t>
                </w:r>
                <w:r>
                  <w:rPr>
                    <w:rFonts w:ascii="Montserrat-SemiBold" w:hAnsi="Montserrat-SemiBold"/>
                    <w:b/>
                    <w:color w:val="004289"/>
                    <w:spacing w:val="2"/>
                    <w:w w:val="95"/>
                    <w:sz w:val="34"/>
                  </w:rPr>
                  <w:t>OF</w:t>
                </w:r>
                <w:r>
                  <w:rPr>
                    <w:rFonts w:ascii="Montserrat-SemiBold" w:hAnsi="Montserrat-SemiBold"/>
                    <w:b/>
                    <w:color w:val="004289"/>
                    <w:spacing w:val="-14"/>
                    <w:w w:val="95"/>
                    <w:sz w:val="34"/>
                  </w:rPr>
                  <w:t xml:space="preserve"> </w:t>
                </w:r>
                <w:r>
                  <w:rPr>
                    <w:rFonts w:ascii="Montserrat-SemiBold" w:hAnsi="Montserrat-SemiBold"/>
                    <w:b/>
                    <w:color w:val="004289"/>
                    <w:spacing w:val="1"/>
                    <w:w w:val="95"/>
                    <w:sz w:val="34"/>
                  </w:rPr>
                  <w:t>THE</w:t>
                </w:r>
                <w:r>
                  <w:rPr>
                    <w:rFonts w:ascii="Montserrat-SemiBold" w:hAnsi="Montserrat-SemiBold"/>
                    <w:b/>
                    <w:color w:val="004289"/>
                    <w:spacing w:val="-14"/>
                    <w:w w:val="95"/>
                    <w:sz w:val="34"/>
                  </w:rPr>
                  <w:t xml:space="preserve"> </w:t>
                </w:r>
                <w:r>
                  <w:rPr>
                    <w:rFonts w:ascii="Montserrat-SemiBold" w:hAnsi="Montserrat-SemiBold"/>
                    <w:b/>
                    <w:color w:val="004289"/>
                    <w:spacing w:val="2"/>
                    <w:w w:val="95"/>
                    <w:sz w:val="34"/>
                  </w:rPr>
                  <w:t>NINTH</w:t>
                </w:r>
                <w:r>
                  <w:rPr>
                    <w:rFonts w:ascii="Montserrat-SemiBold" w:hAnsi="Montserrat-SemiBold"/>
                    <w:b/>
                    <w:color w:val="004289"/>
                    <w:spacing w:val="-14"/>
                    <w:w w:val="95"/>
                    <w:sz w:val="34"/>
                  </w:rPr>
                  <w:t xml:space="preserve"> </w:t>
                </w:r>
                <w:r>
                  <w:rPr>
                    <w:rFonts w:ascii="Montserrat-SemiBold" w:hAnsi="Montserrat-SemiBold"/>
                    <w:b/>
                    <w:color w:val="004289"/>
                    <w:w w:val="95"/>
                    <w:sz w:val="34"/>
                  </w:rPr>
                  <w:t>ASSEMBLY</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99" type="#_x0000_t202" alt="" style="position:absolute;margin-left:55.35pt;margin-top:55.35pt;width:390.05pt;height:23.4pt;z-index:-476776;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22"/>
                  <w:ind w:left="20"/>
                  <w:rPr>
                    <w:rFonts w:ascii="Montserrat-SemiBold" w:hAnsi="Montserrat-SemiBold"/>
                    <w:b/>
                    <w:sz w:val="34"/>
                  </w:rPr>
                </w:pPr>
                <w:r>
                  <w:rPr>
                    <w:rFonts w:ascii="Montserrat-SemiBold" w:hAnsi="Montserrat-SemiBold"/>
                    <w:b/>
                    <w:color w:val="004289"/>
                    <w:w w:val="95"/>
                    <w:sz w:val="34"/>
                  </w:rPr>
                  <w:t>APPENDIX 13 – REMUNERATION OF MLAS</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98" type="#_x0000_t202" alt="" style="position:absolute;margin-left:55.75pt;margin-top:55.6pt;width:379.35pt;height:23.4pt;z-index:-476800;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22"/>
                  <w:ind w:left="20"/>
                  <w:rPr>
                    <w:rFonts w:ascii="Montserrat-SemiBold" w:hAnsi="Montserrat-SemiBold"/>
                    <w:b/>
                    <w:sz w:val="34"/>
                  </w:rPr>
                </w:pPr>
                <w:r>
                  <w:rPr>
                    <w:rFonts w:ascii="Montserrat-SemiBold" w:hAnsi="Montserrat-SemiBold"/>
                    <w:b/>
                    <w:color w:val="004289"/>
                    <w:spacing w:val="3"/>
                    <w:w w:val="95"/>
                    <w:sz w:val="34"/>
                  </w:rPr>
                  <w:t>APPENDIX</w:t>
                </w:r>
                <w:r>
                  <w:rPr>
                    <w:rFonts w:ascii="Montserrat-SemiBold" w:hAnsi="Montserrat-SemiBold"/>
                    <w:b/>
                    <w:color w:val="004289"/>
                    <w:spacing w:val="-12"/>
                    <w:w w:val="95"/>
                    <w:sz w:val="34"/>
                  </w:rPr>
                  <w:t xml:space="preserve"> </w:t>
                </w:r>
                <w:r>
                  <w:rPr>
                    <w:rFonts w:ascii="Montserrat-SemiBold" w:hAnsi="Montserrat-SemiBold"/>
                    <w:b/>
                    <w:color w:val="004289"/>
                    <w:w w:val="95"/>
                    <w:sz w:val="34"/>
                  </w:rPr>
                  <w:t>12</w:t>
                </w:r>
                <w:r>
                  <w:rPr>
                    <w:rFonts w:ascii="Montserrat-SemiBold" w:hAnsi="Montserrat-SemiBold"/>
                    <w:b/>
                    <w:color w:val="004289"/>
                    <w:spacing w:val="-14"/>
                    <w:w w:val="95"/>
                    <w:sz w:val="34"/>
                  </w:rPr>
                  <w:t xml:space="preserve"> </w:t>
                </w:r>
                <w:r>
                  <w:rPr>
                    <w:rFonts w:ascii="Montserrat-SemiBold" w:hAnsi="Montserrat-SemiBold"/>
                    <w:b/>
                    <w:color w:val="004289"/>
                    <w:w w:val="95"/>
                    <w:sz w:val="34"/>
                  </w:rPr>
                  <w:t>–</w:t>
                </w:r>
                <w:r>
                  <w:rPr>
                    <w:rFonts w:ascii="Montserrat-SemiBold" w:hAnsi="Montserrat-SemiBold"/>
                    <w:b/>
                    <w:color w:val="004289"/>
                    <w:spacing w:val="-12"/>
                    <w:w w:val="95"/>
                    <w:sz w:val="34"/>
                  </w:rPr>
                  <w:t xml:space="preserve"> </w:t>
                </w:r>
                <w:r>
                  <w:rPr>
                    <w:rFonts w:ascii="Montserrat-SemiBold" w:hAnsi="Montserrat-SemiBold"/>
                    <w:b/>
                    <w:color w:val="004289"/>
                    <w:spacing w:val="3"/>
                    <w:w w:val="95"/>
                    <w:sz w:val="34"/>
                  </w:rPr>
                  <w:t>MINISTERS</w:t>
                </w:r>
                <w:r>
                  <w:rPr>
                    <w:rFonts w:ascii="Montserrat-SemiBold" w:hAnsi="Montserrat-SemiBold"/>
                    <w:b/>
                    <w:color w:val="004289"/>
                    <w:spacing w:val="-11"/>
                    <w:w w:val="95"/>
                    <w:sz w:val="34"/>
                  </w:rPr>
                  <w:t xml:space="preserve"> </w:t>
                </w:r>
                <w:r>
                  <w:rPr>
                    <w:rFonts w:ascii="Montserrat-SemiBold" w:hAnsi="Montserrat-SemiBold"/>
                    <w:b/>
                    <w:color w:val="004289"/>
                    <w:spacing w:val="2"/>
                    <w:w w:val="95"/>
                    <w:sz w:val="34"/>
                  </w:rPr>
                  <w:t>AS</w:t>
                </w:r>
                <w:r>
                  <w:rPr>
                    <w:rFonts w:ascii="Montserrat-SemiBold" w:hAnsi="Montserrat-SemiBold"/>
                    <w:b/>
                    <w:color w:val="004289"/>
                    <w:spacing w:val="-11"/>
                    <w:w w:val="95"/>
                    <w:sz w:val="34"/>
                  </w:rPr>
                  <w:t xml:space="preserve"> </w:t>
                </w:r>
                <w:r>
                  <w:rPr>
                    <w:rFonts w:ascii="Montserrat-SemiBold" w:hAnsi="Montserrat-SemiBold"/>
                    <w:b/>
                    <w:color w:val="004289"/>
                    <w:spacing w:val="-9"/>
                    <w:w w:val="95"/>
                    <w:sz w:val="34"/>
                  </w:rPr>
                  <w:t>AT</w:t>
                </w:r>
                <w:r>
                  <w:rPr>
                    <w:rFonts w:ascii="Montserrat-SemiBold" w:hAnsi="Montserrat-SemiBold"/>
                    <w:b/>
                    <w:color w:val="004289"/>
                    <w:spacing w:val="-12"/>
                    <w:w w:val="95"/>
                    <w:sz w:val="34"/>
                  </w:rPr>
                  <w:t xml:space="preserve"> </w:t>
                </w:r>
                <w:r>
                  <w:rPr>
                    <w:rFonts w:ascii="Montserrat-SemiBold" w:hAnsi="Montserrat-SemiBold"/>
                    <w:b/>
                    <w:color w:val="004289"/>
                    <w:w w:val="95"/>
                    <w:sz w:val="34"/>
                  </w:rPr>
                  <w:t>30</w:t>
                </w:r>
                <w:r>
                  <w:rPr>
                    <w:rFonts w:ascii="Montserrat-SemiBold" w:hAnsi="Montserrat-SemiBold"/>
                    <w:b/>
                    <w:color w:val="004289"/>
                    <w:spacing w:val="-12"/>
                    <w:w w:val="95"/>
                    <w:sz w:val="34"/>
                  </w:rPr>
                  <w:t xml:space="preserve"> </w:t>
                </w:r>
                <w:r>
                  <w:rPr>
                    <w:rFonts w:ascii="Montserrat-SemiBold" w:hAnsi="Montserrat-SemiBold"/>
                    <w:b/>
                    <w:color w:val="004289"/>
                    <w:spacing w:val="5"/>
                    <w:w w:val="95"/>
                    <w:sz w:val="34"/>
                  </w:rPr>
                  <w:t>JUNE</w:t>
                </w:r>
                <w:r>
                  <w:rPr>
                    <w:rFonts w:ascii="Montserrat-SemiBold" w:hAnsi="Montserrat-SemiBold"/>
                    <w:b/>
                    <w:color w:val="004289"/>
                    <w:spacing w:val="-12"/>
                    <w:w w:val="95"/>
                    <w:sz w:val="34"/>
                  </w:rPr>
                  <w:t xml:space="preserve"> </w:t>
                </w:r>
                <w:r>
                  <w:rPr>
                    <w:rFonts w:ascii="Montserrat-SemiBold" w:hAnsi="Montserrat-SemiBold"/>
                    <w:b/>
                    <w:color w:val="004289"/>
                    <w:w w:val="95"/>
                    <w:sz w:val="34"/>
                  </w:rPr>
                  <w:t>2018</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97" type="#_x0000_t202" alt="" style="position:absolute;margin-left:55.35pt;margin-top:55.35pt;width:518.2pt;height:22.15pt;z-index:-476752;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22"/>
                  <w:ind w:left="20"/>
                  <w:rPr>
                    <w:rFonts w:ascii="Montserrat-SemiBold" w:hAnsi="Montserrat-SemiBold"/>
                    <w:b/>
                    <w:sz w:val="32"/>
                  </w:rPr>
                </w:pPr>
                <w:r>
                  <w:rPr>
                    <w:rFonts w:ascii="Montserrat-SemiBold" w:hAnsi="Montserrat-SemiBold"/>
                    <w:b/>
                    <w:color w:val="004289"/>
                    <w:w w:val="95"/>
                    <w:sz w:val="32"/>
                  </w:rPr>
                  <w:t>APPENDIX</w:t>
                </w:r>
                <w:r>
                  <w:rPr>
                    <w:rFonts w:ascii="Montserrat-SemiBold" w:hAnsi="Montserrat-SemiBold"/>
                    <w:b/>
                    <w:color w:val="004289"/>
                    <w:spacing w:val="-46"/>
                    <w:w w:val="95"/>
                    <w:sz w:val="32"/>
                  </w:rPr>
                  <w:t xml:space="preserve"> </w:t>
                </w:r>
                <w:r>
                  <w:rPr>
                    <w:rFonts w:ascii="Montserrat-SemiBold" w:hAnsi="Montserrat-SemiBold"/>
                    <w:b/>
                    <w:color w:val="004289"/>
                    <w:spacing w:val="-5"/>
                    <w:w w:val="95"/>
                    <w:sz w:val="32"/>
                  </w:rPr>
                  <w:t>14</w:t>
                </w:r>
                <w:r>
                  <w:rPr>
                    <w:rFonts w:ascii="Montserrat-SemiBold" w:hAnsi="Montserrat-SemiBold"/>
                    <w:b/>
                    <w:color w:val="004289"/>
                    <w:spacing w:val="-46"/>
                    <w:w w:val="95"/>
                    <w:sz w:val="32"/>
                  </w:rPr>
                  <w:t xml:space="preserve"> </w:t>
                </w:r>
                <w:r>
                  <w:rPr>
                    <w:rFonts w:ascii="Montserrat-SemiBold" w:hAnsi="Montserrat-SemiBold"/>
                    <w:b/>
                    <w:color w:val="004289"/>
                    <w:w w:val="95"/>
                    <w:sz w:val="32"/>
                  </w:rPr>
                  <w:t>–</w:t>
                </w:r>
                <w:r>
                  <w:rPr>
                    <w:rFonts w:ascii="Montserrat-SemiBold" w:hAnsi="Montserrat-SemiBold"/>
                    <w:b/>
                    <w:color w:val="004289"/>
                    <w:spacing w:val="-46"/>
                    <w:w w:val="95"/>
                    <w:sz w:val="32"/>
                  </w:rPr>
                  <w:t xml:space="preserve"> </w:t>
                </w:r>
                <w:r>
                  <w:rPr>
                    <w:rFonts w:ascii="Montserrat-SemiBold" w:hAnsi="Montserrat-SemiBold"/>
                    <w:b/>
                    <w:color w:val="004289"/>
                    <w:w w:val="95"/>
                    <w:sz w:val="32"/>
                  </w:rPr>
                  <w:t>NON-EXECUTIVE</w:t>
                </w:r>
                <w:r>
                  <w:rPr>
                    <w:rFonts w:ascii="Montserrat-SemiBold" w:hAnsi="Montserrat-SemiBold"/>
                    <w:b/>
                    <w:color w:val="004289"/>
                    <w:spacing w:val="-45"/>
                    <w:w w:val="95"/>
                    <w:sz w:val="32"/>
                  </w:rPr>
                  <w:t xml:space="preserve"> </w:t>
                </w:r>
                <w:r>
                  <w:rPr>
                    <w:rFonts w:ascii="Montserrat-SemiBold" w:hAnsi="Montserrat-SemiBold"/>
                    <w:b/>
                    <w:color w:val="004289"/>
                    <w:w w:val="95"/>
                    <w:sz w:val="32"/>
                  </w:rPr>
                  <w:t>MEMBERS’</w:t>
                </w:r>
                <w:r>
                  <w:rPr>
                    <w:rFonts w:ascii="Montserrat-SemiBold" w:hAnsi="Montserrat-SemiBold"/>
                    <w:b/>
                    <w:color w:val="004289"/>
                    <w:spacing w:val="-46"/>
                    <w:w w:val="95"/>
                    <w:sz w:val="32"/>
                  </w:rPr>
                  <w:t xml:space="preserve"> </w:t>
                </w:r>
                <w:r>
                  <w:rPr>
                    <w:rFonts w:ascii="Montserrat-SemiBold" w:hAnsi="Montserrat-SemiBold"/>
                    <w:b/>
                    <w:color w:val="004289"/>
                    <w:spacing w:val="-5"/>
                    <w:w w:val="95"/>
                    <w:sz w:val="32"/>
                  </w:rPr>
                  <w:t>STAFF</w:t>
                </w:r>
                <w:r>
                  <w:rPr>
                    <w:rFonts w:ascii="Montserrat-SemiBold" w:hAnsi="Montserrat-SemiBold"/>
                    <w:b/>
                    <w:color w:val="004289"/>
                    <w:spacing w:val="-45"/>
                    <w:w w:val="95"/>
                    <w:sz w:val="32"/>
                  </w:rPr>
                  <w:t xml:space="preserve"> </w:t>
                </w:r>
                <w:r>
                  <w:rPr>
                    <w:rFonts w:ascii="Montserrat-SemiBold" w:hAnsi="Montserrat-SemiBold"/>
                    <w:b/>
                    <w:color w:val="004289"/>
                    <w:spacing w:val="-3"/>
                    <w:w w:val="95"/>
                    <w:sz w:val="32"/>
                  </w:rPr>
                  <w:t>EMPLOYMENT</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4A7" w:rsidRDefault="00FE24A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21" type="#_x0000_t202" alt="" style="position:absolute;margin-left:55.85pt;margin-top:126.55pt;width:130.1pt;height:13pt;z-index:-477304;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44" w:lineRule="exact"/>
                  <w:ind w:left="20"/>
                  <w:rPr>
                    <w:rFonts w:ascii="Calibri"/>
                    <w:i/>
                  </w:rPr>
                </w:pPr>
                <w:r>
                  <w:rPr>
                    <w:rFonts w:ascii="Calibri"/>
                    <w:b/>
                    <w:sz w:val="18"/>
                  </w:rPr>
                  <w:t xml:space="preserve">TABLE 17. </w:t>
                </w:r>
                <w:r>
                  <w:rPr>
                    <w:rFonts w:ascii="Calibri"/>
                    <w:i/>
                  </w:rPr>
                  <w:t>Water consumption</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alt="" style="position:absolute;margin-left:206.1pt;margin-top:57.55pt;width:197.4pt;height:16.05pt;z-index:-476344;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306" w:lineRule="exact"/>
                  <w:ind w:left="20"/>
                  <w:rPr>
                    <w:rFonts w:ascii="Calibri"/>
                    <w:b/>
                    <w:sz w:val="28"/>
                  </w:rPr>
                </w:pPr>
                <w:r>
                  <w:rPr>
                    <w:rFonts w:ascii="Calibri"/>
                    <w:b/>
                    <w:color w:val="003366"/>
                    <w:sz w:val="28"/>
                  </w:rPr>
                  <w:t>Office of the Legislative Assembly</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alt="" style="position:absolute;margin-left:206.1pt;margin-top:58.25pt;width:197.4pt;height:16.05pt;z-index:-476320;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306" w:lineRule="exact"/>
                  <w:ind w:left="20"/>
                  <w:rPr>
                    <w:rFonts w:ascii="Calibri"/>
                    <w:b/>
                    <w:sz w:val="28"/>
                  </w:rPr>
                </w:pPr>
                <w:r>
                  <w:rPr>
                    <w:rFonts w:ascii="Calibri"/>
                    <w:b/>
                    <w:color w:val="003366"/>
                    <w:sz w:val="28"/>
                  </w:rPr>
                  <w:t>Office of the Legislative Assembly</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alt="" style="position:absolute;margin-left:146.15pt;margin-top:57.65pt;width:317.45pt;height:50.25pt;z-index:-476272;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74" w:lineRule="exact"/>
                  <w:ind w:left="1219"/>
                  <w:rPr>
                    <w:rFonts w:ascii="Calibri"/>
                    <w:b/>
                    <w:sz w:val="28"/>
                  </w:rPr>
                </w:pPr>
                <w:r>
                  <w:rPr>
                    <w:rFonts w:ascii="Calibri"/>
                    <w:b/>
                    <w:color w:val="003366"/>
                    <w:sz w:val="28"/>
                  </w:rPr>
                  <w:t>Office of the Legislative Assembly</w:t>
                </w:r>
              </w:p>
              <w:p w:rsidR="0030091C" w:rsidRDefault="0030091C">
                <w:pPr>
                  <w:spacing w:before="18" w:line="204" w:lineRule="auto"/>
                  <w:ind w:left="19" w:right="18"/>
                  <w:jc w:val="center"/>
                  <w:rPr>
                    <w:rFonts w:ascii="Calibri"/>
                    <w:b/>
                    <w:sz w:val="28"/>
                  </w:rPr>
                </w:pPr>
                <w:r>
                  <w:rPr>
                    <w:rFonts w:ascii="Calibri"/>
                    <w:b/>
                    <w:color w:val="003366"/>
                    <w:sz w:val="28"/>
                  </w:rPr>
                  <w:t>Notes to and Forming Part of the Financial Statements For the Year Ended 30 June 2018</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alt="" style="position:absolute;margin-left:146.15pt;margin-top:57.65pt;width:317.45pt;height:50.25pt;z-index:-476296;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74" w:lineRule="exact"/>
                  <w:ind w:left="1219"/>
                  <w:rPr>
                    <w:rFonts w:ascii="Calibri"/>
                    <w:b/>
                    <w:sz w:val="28"/>
                  </w:rPr>
                </w:pPr>
                <w:r>
                  <w:rPr>
                    <w:rFonts w:ascii="Calibri"/>
                    <w:b/>
                    <w:color w:val="003366"/>
                    <w:sz w:val="28"/>
                  </w:rPr>
                  <w:t>Office of the Legislative Assembly</w:t>
                </w:r>
              </w:p>
              <w:p w:rsidR="0030091C" w:rsidRDefault="0030091C">
                <w:pPr>
                  <w:spacing w:before="18" w:line="204" w:lineRule="auto"/>
                  <w:ind w:left="19" w:right="18"/>
                  <w:jc w:val="center"/>
                  <w:rPr>
                    <w:rFonts w:ascii="Calibri"/>
                    <w:b/>
                    <w:sz w:val="28"/>
                  </w:rPr>
                </w:pPr>
                <w:r>
                  <w:rPr>
                    <w:rFonts w:ascii="Calibri"/>
                    <w:b/>
                    <w:color w:val="003366"/>
                    <w:sz w:val="28"/>
                  </w:rPr>
                  <w:t>Notes to and Forming Part of the Financial Statements For the Year Ended 30 June 2018</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alt="" style="position:absolute;margin-left:146.15pt;margin-top:57.65pt;width:317.45pt;height:50.25pt;z-index:-476200;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74" w:lineRule="exact"/>
                  <w:ind w:left="1219"/>
                  <w:rPr>
                    <w:rFonts w:ascii="Calibri"/>
                    <w:b/>
                    <w:sz w:val="28"/>
                  </w:rPr>
                </w:pPr>
                <w:r>
                  <w:rPr>
                    <w:rFonts w:ascii="Calibri"/>
                    <w:b/>
                    <w:color w:val="003366"/>
                    <w:sz w:val="28"/>
                  </w:rPr>
                  <w:t>Office of the Legislative Assembly</w:t>
                </w:r>
              </w:p>
              <w:p w:rsidR="0030091C" w:rsidRDefault="0030091C">
                <w:pPr>
                  <w:spacing w:before="18" w:line="204" w:lineRule="auto"/>
                  <w:ind w:left="19" w:right="18"/>
                  <w:jc w:val="center"/>
                  <w:rPr>
                    <w:rFonts w:ascii="Calibri"/>
                    <w:b/>
                    <w:sz w:val="28"/>
                  </w:rPr>
                </w:pPr>
                <w:r>
                  <w:rPr>
                    <w:rFonts w:ascii="Calibri"/>
                    <w:b/>
                    <w:color w:val="003366"/>
                    <w:sz w:val="28"/>
                  </w:rPr>
                  <w:t>Notes to and Forming Part of the Financial Statements For the Year Ended 30 June 2018</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alt="" style="position:absolute;margin-left:146.15pt;margin-top:57.65pt;width:317.45pt;height:50.25pt;z-index:-476248;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74" w:lineRule="exact"/>
                  <w:ind w:left="1219"/>
                  <w:rPr>
                    <w:rFonts w:ascii="Calibri"/>
                    <w:b/>
                    <w:sz w:val="28"/>
                  </w:rPr>
                </w:pPr>
                <w:r>
                  <w:rPr>
                    <w:rFonts w:ascii="Calibri"/>
                    <w:b/>
                    <w:color w:val="003366"/>
                    <w:sz w:val="28"/>
                  </w:rPr>
                  <w:t>Office of the Legislative Assembly</w:t>
                </w:r>
              </w:p>
              <w:p w:rsidR="0030091C" w:rsidRDefault="0030091C">
                <w:pPr>
                  <w:spacing w:before="18" w:line="204" w:lineRule="auto"/>
                  <w:ind w:left="19" w:right="18"/>
                  <w:jc w:val="center"/>
                  <w:rPr>
                    <w:rFonts w:ascii="Calibri"/>
                    <w:b/>
                    <w:sz w:val="28"/>
                  </w:rPr>
                </w:pPr>
                <w:r>
                  <w:rPr>
                    <w:rFonts w:ascii="Calibri"/>
                    <w:b/>
                    <w:color w:val="003366"/>
                    <w:sz w:val="28"/>
                  </w:rPr>
                  <w:t>Notes to and Forming Part of the Financial Statements For the Year Ended 30 June 2018</w:t>
                </w:r>
              </w:p>
            </w:txbxContent>
          </v:textbox>
          <w10:wrap anchorx="page" anchory="page"/>
        </v:shape>
      </w:pict>
    </w:r>
    <w:r>
      <w:pict>
        <v:shape id="_x0000_s2074" type="#_x0000_t202" alt="" style="position:absolute;margin-left:89.5pt;margin-top:126.5pt;width:308.75pt;height:14pt;z-index:-476224;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64" w:lineRule="exact"/>
                  <w:ind w:left="20"/>
                  <w:rPr>
                    <w:rFonts w:ascii="Calibri" w:hAnsi="Calibri"/>
                    <w:b/>
                    <w:sz w:val="24"/>
                  </w:rPr>
                </w:pPr>
                <w:r>
                  <w:rPr>
                    <w:rFonts w:ascii="Calibri" w:hAnsi="Calibri"/>
                    <w:b/>
                    <w:color w:val="003366"/>
                    <w:sz w:val="24"/>
                  </w:rPr>
                  <w:t>NOTE 13. PROPERTY, PLANT AND EQUIPMENT – CONTINUED</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alt="" style="position:absolute;margin-left:146.15pt;margin-top:57.65pt;width:317.45pt;height:50.25pt;z-index:-476152;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74" w:lineRule="exact"/>
                  <w:ind w:left="1219"/>
                  <w:rPr>
                    <w:rFonts w:ascii="Calibri"/>
                    <w:b/>
                    <w:sz w:val="28"/>
                  </w:rPr>
                </w:pPr>
                <w:r>
                  <w:rPr>
                    <w:rFonts w:ascii="Calibri"/>
                    <w:b/>
                    <w:color w:val="003366"/>
                    <w:sz w:val="28"/>
                  </w:rPr>
                  <w:t>Office of the Legislative Assembly</w:t>
                </w:r>
              </w:p>
              <w:p w:rsidR="0030091C" w:rsidRDefault="0030091C">
                <w:pPr>
                  <w:spacing w:before="18" w:line="204" w:lineRule="auto"/>
                  <w:ind w:left="19" w:right="18"/>
                  <w:jc w:val="center"/>
                  <w:rPr>
                    <w:rFonts w:ascii="Calibri"/>
                    <w:b/>
                    <w:sz w:val="28"/>
                  </w:rPr>
                </w:pPr>
                <w:r>
                  <w:rPr>
                    <w:rFonts w:ascii="Calibri"/>
                    <w:b/>
                    <w:color w:val="003366"/>
                    <w:sz w:val="28"/>
                  </w:rPr>
                  <w:t>Notes to and Forming Part of the Financial Statements For the Year Ended 30 June 2018</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20" type="#_x0000_t202" alt="" style="position:absolute;margin-left:55.85pt;margin-top:126.55pt;width:172.55pt;height:13pt;z-index:-477328;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44" w:lineRule="exact"/>
                  <w:ind w:left="20"/>
                  <w:rPr>
                    <w:rFonts w:ascii="Calibri"/>
                    <w:i/>
                  </w:rPr>
                </w:pPr>
                <w:r>
                  <w:rPr>
                    <w:rFonts w:ascii="Calibri"/>
                    <w:b/>
                    <w:sz w:val="18"/>
                  </w:rPr>
                  <w:t xml:space="preserve">TABLE 14. </w:t>
                </w:r>
                <w:r>
                  <w:rPr>
                    <w:rFonts w:ascii="Calibri"/>
                    <w:i/>
                  </w:rPr>
                  <w:t>Stationary energy use (office)</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alt="" style="position:absolute;margin-left:146.15pt;margin-top:57.65pt;width:317.45pt;height:50.25pt;z-index:-476176;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74" w:lineRule="exact"/>
                  <w:ind w:left="1219"/>
                  <w:rPr>
                    <w:rFonts w:ascii="Calibri"/>
                    <w:b/>
                    <w:sz w:val="28"/>
                  </w:rPr>
                </w:pPr>
                <w:r>
                  <w:rPr>
                    <w:rFonts w:ascii="Calibri"/>
                    <w:b/>
                    <w:color w:val="003366"/>
                    <w:sz w:val="28"/>
                  </w:rPr>
                  <w:t>Office of the Legislative Assembly</w:t>
                </w:r>
              </w:p>
              <w:p w:rsidR="0030091C" w:rsidRDefault="0030091C">
                <w:pPr>
                  <w:spacing w:before="18" w:line="204" w:lineRule="auto"/>
                  <w:ind w:left="19" w:right="18"/>
                  <w:jc w:val="center"/>
                  <w:rPr>
                    <w:rFonts w:ascii="Calibri"/>
                    <w:b/>
                    <w:sz w:val="28"/>
                  </w:rPr>
                </w:pPr>
                <w:r>
                  <w:rPr>
                    <w:rFonts w:ascii="Calibri"/>
                    <w:b/>
                    <w:color w:val="003366"/>
                    <w:sz w:val="28"/>
                  </w:rPr>
                  <w:t>Notes to and Forming Part of the Financial Statements For the Year Ended 30 June 2018</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alt="" style="position:absolute;margin-left:146.15pt;margin-top:57.65pt;width:317.45pt;height:50.25pt;z-index:-476080;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74" w:lineRule="exact"/>
                  <w:ind w:left="1219"/>
                  <w:rPr>
                    <w:rFonts w:ascii="Calibri"/>
                    <w:b/>
                    <w:sz w:val="28"/>
                  </w:rPr>
                </w:pPr>
                <w:r>
                  <w:rPr>
                    <w:rFonts w:ascii="Calibri"/>
                    <w:b/>
                    <w:color w:val="003366"/>
                    <w:sz w:val="28"/>
                  </w:rPr>
                  <w:t>Office of the Legislative Assembly</w:t>
                </w:r>
              </w:p>
              <w:p w:rsidR="0030091C" w:rsidRDefault="0030091C">
                <w:pPr>
                  <w:spacing w:before="18" w:line="204" w:lineRule="auto"/>
                  <w:ind w:left="19" w:right="18"/>
                  <w:jc w:val="center"/>
                  <w:rPr>
                    <w:rFonts w:ascii="Calibri"/>
                    <w:b/>
                    <w:sz w:val="28"/>
                  </w:rPr>
                </w:pPr>
                <w:r>
                  <w:rPr>
                    <w:rFonts w:ascii="Calibri"/>
                    <w:b/>
                    <w:color w:val="003366"/>
                    <w:sz w:val="28"/>
                  </w:rPr>
                  <w:t>Notes to and Forming Part of the Financial Statements For the Year Ended 30 June 2018</w:t>
                </w:r>
              </w:p>
            </w:txbxContent>
          </v:textbox>
          <w10:wrap anchorx="page" anchory="page"/>
        </v:shape>
      </w:pict>
    </w:r>
    <w:r>
      <w:pict>
        <v:shape id="_x0000_s2068" type="#_x0000_t202" alt="" style="position:absolute;margin-left:89.5pt;margin-top:126.5pt;width:257.65pt;height:14pt;z-index:-476056;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64" w:lineRule="exact"/>
                  <w:ind w:left="20"/>
                  <w:rPr>
                    <w:rFonts w:ascii="Calibri" w:hAnsi="Calibri"/>
                    <w:b/>
                    <w:sz w:val="24"/>
                  </w:rPr>
                </w:pPr>
                <w:r>
                  <w:rPr>
                    <w:rFonts w:ascii="Calibri" w:hAnsi="Calibri"/>
                    <w:b/>
                    <w:color w:val="003366"/>
                    <w:sz w:val="24"/>
                  </w:rPr>
                  <w:t>NOTE 18. FINANCIAL INSTRUMENTS – CONTINUED</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alt="" style="position:absolute;margin-left:146.15pt;margin-top:57.65pt;width:317.45pt;height:50.25pt;z-index:-476032;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74" w:lineRule="exact"/>
                  <w:ind w:left="1219"/>
                  <w:rPr>
                    <w:rFonts w:ascii="Calibri"/>
                    <w:b/>
                    <w:sz w:val="28"/>
                  </w:rPr>
                </w:pPr>
                <w:r>
                  <w:rPr>
                    <w:rFonts w:ascii="Calibri"/>
                    <w:b/>
                    <w:color w:val="003366"/>
                    <w:sz w:val="28"/>
                  </w:rPr>
                  <w:t>Office of the Legislative Assembly</w:t>
                </w:r>
              </w:p>
              <w:p w:rsidR="0030091C" w:rsidRDefault="0030091C">
                <w:pPr>
                  <w:spacing w:before="18" w:line="204" w:lineRule="auto"/>
                  <w:ind w:left="19" w:right="18"/>
                  <w:jc w:val="center"/>
                  <w:rPr>
                    <w:rFonts w:ascii="Calibri"/>
                    <w:b/>
                    <w:sz w:val="28"/>
                  </w:rPr>
                </w:pPr>
                <w:r>
                  <w:rPr>
                    <w:rFonts w:ascii="Calibri"/>
                    <w:b/>
                    <w:color w:val="003366"/>
                    <w:sz w:val="28"/>
                  </w:rPr>
                  <w:t>Notes to and Forming Part of the Financial Statements For the Year Ended 30 June 2018</w:t>
                </w:r>
              </w:p>
            </w:txbxContent>
          </v:textbox>
          <w10:wrap anchorx="page" anchory="page"/>
        </v:shape>
      </w:pict>
    </w:r>
    <w:r>
      <w:pict>
        <v:shape id="_x0000_s2066" type="#_x0000_t202" alt="" style="position:absolute;margin-left:89.5pt;margin-top:126.5pt;width:257.65pt;height:14pt;z-index:-476008;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64" w:lineRule="exact"/>
                  <w:ind w:left="20"/>
                  <w:rPr>
                    <w:rFonts w:ascii="Calibri" w:hAnsi="Calibri"/>
                    <w:b/>
                    <w:sz w:val="24"/>
                  </w:rPr>
                </w:pPr>
                <w:r>
                  <w:rPr>
                    <w:rFonts w:ascii="Calibri" w:hAnsi="Calibri"/>
                    <w:b/>
                    <w:color w:val="003366"/>
                    <w:sz w:val="24"/>
                  </w:rPr>
                  <w:t>NOTE 18. FINANCIAL INSTRUMENTS – CONTINUED</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alt="" style="position:absolute;margin-left:146.15pt;margin-top:57.65pt;width:317.45pt;height:50.25pt;z-index:-475912;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74" w:lineRule="exact"/>
                  <w:ind w:left="1219"/>
                  <w:rPr>
                    <w:rFonts w:ascii="Calibri"/>
                    <w:b/>
                    <w:sz w:val="28"/>
                  </w:rPr>
                </w:pPr>
                <w:r>
                  <w:rPr>
                    <w:rFonts w:ascii="Calibri"/>
                    <w:b/>
                    <w:color w:val="003366"/>
                    <w:sz w:val="28"/>
                  </w:rPr>
                  <w:t>Office of the Legislative Assembly</w:t>
                </w:r>
              </w:p>
              <w:p w:rsidR="0030091C" w:rsidRDefault="0030091C">
                <w:pPr>
                  <w:spacing w:before="18" w:line="204" w:lineRule="auto"/>
                  <w:ind w:left="19" w:right="18"/>
                  <w:jc w:val="center"/>
                  <w:rPr>
                    <w:rFonts w:ascii="Calibri"/>
                    <w:b/>
                    <w:sz w:val="28"/>
                  </w:rPr>
                </w:pPr>
                <w:r>
                  <w:rPr>
                    <w:rFonts w:ascii="Calibri"/>
                    <w:b/>
                    <w:color w:val="003366"/>
                    <w:sz w:val="28"/>
                  </w:rPr>
                  <w:t>Notes to and Forming Part of the Financial Statements For the Year Ended 30 June 2018</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alt="" style="position:absolute;margin-left:146.15pt;margin-top:57.65pt;width:317.45pt;height:50.25pt;z-index:-475936;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74" w:lineRule="exact"/>
                  <w:ind w:left="1219"/>
                  <w:rPr>
                    <w:rFonts w:ascii="Calibri"/>
                    <w:b/>
                    <w:sz w:val="28"/>
                  </w:rPr>
                </w:pPr>
                <w:r>
                  <w:rPr>
                    <w:rFonts w:ascii="Calibri"/>
                    <w:b/>
                    <w:color w:val="003366"/>
                    <w:sz w:val="28"/>
                  </w:rPr>
                  <w:t>Office of the Legislative Assembly</w:t>
                </w:r>
              </w:p>
              <w:p w:rsidR="0030091C" w:rsidRDefault="0030091C">
                <w:pPr>
                  <w:spacing w:before="18" w:line="204" w:lineRule="auto"/>
                  <w:ind w:left="19" w:right="18"/>
                  <w:jc w:val="center"/>
                  <w:rPr>
                    <w:rFonts w:ascii="Calibri"/>
                    <w:b/>
                    <w:sz w:val="28"/>
                  </w:rPr>
                </w:pPr>
                <w:r>
                  <w:rPr>
                    <w:rFonts w:ascii="Calibri"/>
                    <w:b/>
                    <w:color w:val="003366"/>
                    <w:sz w:val="28"/>
                  </w:rPr>
                  <w:t>Notes to and Forming Part of the Financial Statements For the Year Ended 30 June 2018</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alt="" style="position:absolute;margin-left:206.1pt;margin-top:57.7pt;width:197.4pt;height:16.05pt;z-index:-475768;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306" w:lineRule="exact"/>
                  <w:ind w:left="20"/>
                  <w:rPr>
                    <w:rFonts w:ascii="Calibri"/>
                    <w:b/>
                    <w:sz w:val="28"/>
                  </w:rPr>
                </w:pPr>
                <w:r>
                  <w:rPr>
                    <w:rFonts w:ascii="Calibri"/>
                    <w:b/>
                    <w:color w:val="003366"/>
                    <w:sz w:val="28"/>
                  </w:rPr>
                  <w:t>Office of the Legislative Assembly</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alt="" style="position:absolute;margin-left:206.1pt;margin-top:58.45pt;width:197.4pt;height:16.05pt;z-index:-475792;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306" w:lineRule="exact"/>
                  <w:ind w:left="20"/>
                  <w:rPr>
                    <w:rFonts w:ascii="Calibri"/>
                    <w:b/>
                    <w:sz w:val="28"/>
                  </w:rPr>
                </w:pPr>
                <w:r>
                  <w:rPr>
                    <w:rFonts w:ascii="Calibri"/>
                    <w:b/>
                    <w:color w:val="003366"/>
                    <w:sz w:val="28"/>
                  </w:rPr>
                  <w:t>Office of the Legislative Assembly</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alt="" style="position:absolute;margin-left:146.15pt;margin-top:55.6pt;width:317.45pt;height:50.25pt;z-index:-475720;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76" w:lineRule="exact"/>
                  <w:ind w:left="1219"/>
                  <w:rPr>
                    <w:rFonts w:ascii="Calibri"/>
                    <w:b/>
                    <w:sz w:val="28"/>
                  </w:rPr>
                </w:pPr>
                <w:r>
                  <w:rPr>
                    <w:rFonts w:ascii="Calibri"/>
                    <w:b/>
                    <w:color w:val="003366"/>
                    <w:sz w:val="28"/>
                  </w:rPr>
                  <w:t>Office of the Legislative Assembly</w:t>
                </w:r>
              </w:p>
              <w:p w:rsidR="0030091C" w:rsidRDefault="0030091C">
                <w:pPr>
                  <w:spacing w:before="22" w:line="201" w:lineRule="auto"/>
                  <w:ind w:left="19" w:right="18"/>
                  <w:jc w:val="center"/>
                  <w:rPr>
                    <w:rFonts w:ascii="Calibri"/>
                    <w:b/>
                    <w:sz w:val="28"/>
                  </w:rPr>
                </w:pPr>
                <w:r>
                  <w:rPr>
                    <w:rFonts w:ascii="Calibri"/>
                    <w:b/>
                    <w:color w:val="003366"/>
                    <w:sz w:val="28"/>
                  </w:rPr>
                  <w:t>Notes to and Forming Part of the Financial Statements For the Year Ended 30 June 2018</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alt="" style="position:absolute;margin-left:146.15pt;margin-top:55.6pt;width:317.45pt;height:50.25pt;z-index:-475744;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76" w:lineRule="exact"/>
                  <w:ind w:left="1219"/>
                  <w:rPr>
                    <w:rFonts w:ascii="Calibri"/>
                    <w:b/>
                    <w:sz w:val="28"/>
                  </w:rPr>
                </w:pPr>
                <w:r>
                  <w:rPr>
                    <w:rFonts w:ascii="Calibri"/>
                    <w:b/>
                    <w:color w:val="003366"/>
                    <w:sz w:val="28"/>
                  </w:rPr>
                  <w:t>Office of the Legislative Assembly</w:t>
                </w:r>
              </w:p>
              <w:p w:rsidR="0030091C" w:rsidRDefault="0030091C">
                <w:pPr>
                  <w:spacing w:before="22" w:line="201" w:lineRule="auto"/>
                  <w:ind w:left="19" w:right="18"/>
                  <w:jc w:val="center"/>
                  <w:rPr>
                    <w:rFonts w:ascii="Calibri"/>
                    <w:b/>
                    <w:sz w:val="28"/>
                  </w:rPr>
                </w:pPr>
                <w:r>
                  <w:rPr>
                    <w:rFonts w:ascii="Calibri"/>
                    <w:b/>
                    <w:color w:val="003366"/>
                    <w:sz w:val="28"/>
                  </w:rPr>
                  <w:t>Notes to and Forming Part of the Financial Statements For the Year Ended 30 June 2018</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19" type="#_x0000_t202" alt="" style="position:absolute;margin-left:55.85pt;margin-top:126.55pt;width:161.75pt;height:13pt;z-index:-477256;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44" w:lineRule="exact"/>
                  <w:ind w:left="20"/>
                  <w:rPr>
                    <w:rFonts w:ascii="Calibri"/>
                    <w:i/>
                  </w:rPr>
                </w:pPr>
                <w:r>
                  <w:rPr>
                    <w:rFonts w:ascii="Calibri"/>
                    <w:b/>
                    <w:sz w:val="18"/>
                  </w:rPr>
                  <w:t xml:space="preserve">TABLE 22. </w:t>
                </w:r>
                <w:r>
                  <w:rPr>
                    <w:rFonts w:ascii="Calibri"/>
                    <w:i/>
                  </w:rPr>
                  <w:t>Greenhouse gas intensities</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18" type="#_x0000_t202" alt="" style="position:absolute;margin-left:55.85pt;margin-top:126.55pt;width:127.9pt;height:13pt;z-index:-477280;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line="244" w:lineRule="exact"/>
                  <w:ind w:left="20"/>
                  <w:rPr>
                    <w:rFonts w:ascii="Calibri"/>
                    <w:i/>
                  </w:rPr>
                </w:pPr>
                <w:r>
                  <w:rPr>
                    <w:rFonts w:ascii="Calibri"/>
                    <w:b/>
                    <w:sz w:val="18"/>
                  </w:rPr>
                  <w:t xml:space="preserve">TABLE 20. </w:t>
                </w:r>
                <w:r>
                  <w:rPr>
                    <w:rFonts w:ascii="Calibri"/>
                    <w:i/>
                  </w:rPr>
                  <w:t>Resource efficiency</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30091C">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1C" w:rsidRDefault="00FE24A7">
    <w:pPr>
      <w:pStyle w:val="BodyText"/>
      <w:spacing w:line="14" w:lineRule="auto"/>
      <w:rPr>
        <w:sz w:val="20"/>
      </w:rPr>
    </w:pPr>
    <w:r>
      <w:pict>
        <v:shapetype id="_x0000_t202" coordsize="21600,21600" o:spt="202" path="m,l,21600r21600,l21600,xe">
          <v:stroke joinstyle="miter"/>
          <v:path gradientshapeok="t" o:connecttype="rect"/>
        </v:shapetype>
        <v:shape id="_x0000_s2117" type="#_x0000_t202" alt="" style="position:absolute;margin-left:55.75pt;margin-top:55.6pt;width:226.85pt;height:23.4pt;z-index:-477232;mso-wrap-style:square;mso-wrap-edited:f;mso-width-percent:0;mso-height-percent:0;mso-position-horizontal-relative:page;mso-position-vertical-relative:page;mso-width-percent:0;mso-height-percent:0;v-text-anchor:top" filled="f" stroked="f">
          <v:textbox inset="0,0,0,0">
            <w:txbxContent>
              <w:p w:rsidR="0030091C" w:rsidRDefault="0030091C">
                <w:pPr>
                  <w:spacing w:before="22"/>
                  <w:ind w:left="20"/>
                  <w:rPr>
                    <w:rFonts w:ascii="Montserrat-SemiBold" w:hAnsi="Montserrat-SemiBold"/>
                    <w:b/>
                    <w:sz w:val="34"/>
                  </w:rPr>
                </w:pPr>
                <w:r>
                  <w:rPr>
                    <w:rFonts w:ascii="Montserrat-SemiBold" w:hAnsi="Montserrat-SemiBold"/>
                    <w:b/>
                    <w:color w:val="004289"/>
                    <w:spacing w:val="3"/>
                    <w:w w:val="95"/>
                    <w:sz w:val="34"/>
                  </w:rPr>
                  <w:t>APPENDIX</w:t>
                </w:r>
                <w:r>
                  <w:rPr>
                    <w:rFonts w:ascii="Montserrat-SemiBold" w:hAnsi="Montserrat-SemiBold"/>
                    <w:b/>
                    <w:color w:val="004289"/>
                    <w:spacing w:val="-16"/>
                    <w:w w:val="95"/>
                    <w:sz w:val="34"/>
                  </w:rPr>
                  <w:t xml:space="preserve"> </w:t>
                </w:r>
                <w:r>
                  <w:rPr>
                    <w:rFonts w:ascii="Montserrat-SemiBold" w:hAnsi="Montserrat-SemiBold"/>
                    <w:b/>
                    <w:color w:val="004289"/>
                    <w:w w:val="95"/>
                    <w:sz w:val="34"/>
                  </w:rPr>
                  <w:t>1</w:t>
                </w:r>
                <w:r>
                  <w:rPr>
                    <w:rFonts w:ascii="Montserrat-SemiBold" w:hAnsi="Montserrat-SemiBold"/>
                    <w:b/>
                    <w:color w:val="004289"/>
                    <w:spacing w:val="-17"/>
                    <w:w w:val="95"/>
                    <w:sz w:val="34"/>
                  </w:rPr>
                  <w:t xml:space="preserve"> </w:t>
                </w:r>
                <w:r>
                  <w:rPr>
                    <w:rFonts w:ascii="Montserrat-SemiBold" w:hAnsi="Montserrat-SemiBold"/>
                    <w:b/>
                    <w:color w:val="004289"/>
                    <w:w w:val="95"/>
                    <w:sz w:val="34"/>
                  </w:rPr>
                  <w:t>–</w:t>
                </w:r>
                <w:r>
                  <w:rPr>
                    <w:rFonts w:ascii="Montserrat-SemiBold" w:hAnsi="Montserrat-SemiBold"/>
                    <w:b/>
                    <w:color w:val="004289"/>
                    <w:spacing w:val="-16"/>
                    <w:w w:val="95"/>
                    <w:sz w:val="34"/>
                  </w:rPr>
                  <w:t xml:space="preserve"> </w:t>
                </w:r>
                <w:r>
                  <w:rPr>
                    <w:rFonts w:ascii="Montserrat-SemiBold" w:hAnsi="Montserrat-SemiBold"/>
                    <w:b/>
                    <w:color w:val="004289"/>
                    <w:spacing w:val="5"/>
                    <w:w w:val="95"/>
                    <w:sz w:val="34"/>
                  </w:rPr>
                  <w:t>SITTING</w:t>
                </w:r>
                <w:r>
                  <w:rPr>
                    <w:rFonts w:ascii="Montserrat-SemiBold" w:hAnsi="Montserrat-SemiBold"/>
                    <w:b/>
                    <w:color w:val="004289"/>
                    <w:spacing w:val="-14"/>
                    <w:w w:val="95"/>
                    <w:sz w:val="34"/>
                  </w:rPr>
                  <w:t xml:space="preserve"> </w:t>
                </w:r>
                <w:r>
                  <w:rPr>
                    <w:rFonts w:ascii="Montserrat-SemiBold" w:hAnsi="Montserrat-SemiBold"/>
                    <w:b/>
                    <w:color w:val="004289"/>
                    <w:spacing w:val="-7"/>
                    <w:w w:val="95"/>
                    <w:sz w:val="34"/>
                  </w:rPr>
                  <w:t>DAYS</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C5071"/>
    <w:multiLevelType w:val="hybridMultilevel"/>
    <w:tmpl w:val="84EE06E6"/>
    <w:lvl w:ilvl="0" w:tplc="252A3ECC">
      <w:start w:val="1"/>
      <w:numFmt w:val="lowerRoman"/>
      <w:lvlText w:val="(%1)"/>
      <w:lvlJc w:val="left"/>
      <w:pPr>
        <w:ind w:left="1680" w:hanging="569"/>
        <w:jc w:val="left"/>
      </w:pPr>
      <w:rPr>
        <w:rFonts w:ascii="Calibri" w:eastAsia="Calibri" w:hAnsi="Calibri" w:cs="Calibri" w:hint="default"/>
        <w:color w:val="003366"/>
        <w:spacing w:val="-1"/>
        <w:w w:val="99"/>
        <w:sz w:val="20"/>
        <w:szCs w:val="20"/>
        <w:lang w:val="en-US" w:eastAsia="en-US" w:bidi="en-US"/>
      </w:rPr>
    </w:lvl>
    <w:lvl w:ilvl="1" w:tplc="880214FC">
      <w:numFmt w:val="bullet"/>
      <w:lvlText w:val="•"/>
      <w:lvlJc w:val="left"/>
      <w:pPr>
        <w:ind w:left="2604" w:hanging="569"/>
      </w:pPr>
      <w:rPr>
        <w:rFonts w:hint="default"/>
        <w:lang w:val="en-US" w:eastAsia="en-US" w:bidi="en-US"/>
      </w:rPr>
    </w:lvl>
    <w:lvl w:ilvl="2" w:tplc="50EA9710">
      <w:numFmt w:val="bullet"/>
      <w:lvlText w:val="•"/>
      <w:lvlJc w:val="left"/>
      <w:pPr>
        <w:ind w:left="3529" w:hanging="569"/>
      </w:pPr>
      <w:rPr>
        <w:rFonts w:hint="default"/>
        <w:lang w:val="en-US" w:eastAsia="en-US" w:bidi="en-US"/>
      </w:rPr>
    </w:lvl>
    <w:lvl w:ilvl="3" w:tplc="CCCEA874">
      <w:numFmt w:val="bullet"/>
      <w:lvlText w:val="•"/>
      <w:lvlJc w:val="left"/>
      <w:pPr>
        <w:ind w:left="4453" w:hanging="569"/>
      </w:pPr>
      <w:rPr>
        <w:rFonts w:hint="default"/>
        <w:lang w:val="en-US" w:eastAsia="en-US" w:bidi="en-US"/>
      </w:rPr>
    </w:lvl>
    <w:lvl w:ilvl="4" w:tplc="06682CC4">
      <w:numFmt w:val="bullet"/>
      <w:lvlText w:val="•"/>
      <w:lvlJc w:val="left"/>
      <w:pPr>
        <w:ind w:left="5378" w:hanging="569"/>
      </w:pPr>
      <w:rPr>
        <w:rFonts w:hint="default"/>
        <w:lang w:val="en-US" w:eastAsia="en-US" w:bidi="en-US"/>
      </w:rPr>
    </w:lvl>
    <w:lvl w:ilvl="5" w:tplc="AE429758">
      <w:numFmt w:val="bullet"/>
      <w:lvlText w:val="•"/>
      <w:lvlJc w:val="left"/>
      <w:pPr>
        <w:ind w:left="6302" w:hanging="569"/>
      </w:pPr>
      <w:rPr>
        <w:rFonts w:hint="default"/>
        <w:lang w:val="en-US" w:eastAsia="en-US" w:bidi="en-US"/>
      </w:rPr>
    </w:lvl>
    <w:lvl w:ilvl="6" w:tplc="9274EF2A">
      <w:numFmt w:val="bullet"/>
      <w:lvlText w:val="•"/>
      <w:lvlJc w:val="left"/>
      <w:pPr>
        <w:ind w:left="7227" w:hanging="569"/>
      </w:pPr>
      <w:rPr>
        <w:rFonts w:hint="default"/>
        <w:lang w:val="en-US" w:eastAsia="en-US" w:bidi="en-US"/>
      </w:rPr>
    </w:lvl>
    <w:lvl w:ilvl="7" w:tplc="CC5A2FBC">
      <w:numFmt w:val="bullet"/>
      <w:lvlText w:val="•"/>
      <w:lvlJc w:val="left"/>
      <w:pPr>
        <w:ind w:left="8151" w:hanging="569"/>
      </w:pPr>
      <w:rPr>
        <w:rFonts w:hint="default"/>
        <w:lang w:val="en-US" w:eastAsia="en-US" w:bidi="en-US"/>
      </w:rPr>
    </w:lvl>
    <w:lvl w:ilvl="8" w:tplc="C1C684E2">
      <w:numFmt w:val="bullet"/>
      <w:lvlText w:val="•"/>
      <w:lvlJc w:val="left"/>
      <w:pPr>
        <w:ind w:left="9076" w:hanging="569"/>
      </w:pPr>
      <w:rPr>
        <w:rFonts w:hint="default"/>
        <w:lang w:val="en-US" w:eastAsia="en-US" w:bidi="en-US"/>
      </w:rPr>
    </w:lvl>
  </w:abstractNum>
  <w:abstractNum w:abstractNumId="1" w15:restartNumberingAfterBreak="0">
    <w:nsid w:val="0F9878C8"/>
    <w:multiLevelType w:val="hybridMultilevel"/>
    <w:tmpl w:val="C3949390"/>
    <w:lvl w:ilvl="0" w:tplc="71B25E62">
      <w:start w:val="1"/>
      <w:numFmt w:val="lowerLetter"/>
      <w:lvlText w:val="%1)"/>
      <w:lvlJc w:val="left"/>
      <w:pPr>
        <w:ind w:left="1187" w:hanging="358"/>
        <w:jc w:val="left"/>
      </w:pPr>
      <w:rPr>
        <w:rFonts w:ascii="Calibri" w:eastAsia="Calibri" w:hAnsi="Calibri" w:cs="Calibri" w:hint="default"/>
        <w:color w:val="003366"/>
        <w:spacing w:val="-20"/>
        <w:w w:val="100"/>
        <w:sz w:val="18"/>
        <w:szCs w:val="18"/>
        <w:lang w:val="en-US" w:eastAsia="en-US" w:bidi="en-US"/>
      </w:rPr>
    </w:lvl>
    <w:lvl w:ilvl="1" w:tplc="4600FEE8">
      <w:numFmt w:val="bullet"/>
      <w:lvlText w:val="•"/>
      <w:lvlJc w:val="left"/>
      <w:pPr>
        <w:ind w:left="2154" w:hanging="358"/>
      </w:pPr>
      <w:rPr>
        <w:rFonts w:hint="default"/>
        <w:lang w:val="en-US" w:eastAsia="en-US" w:bidi="en-US"/>
      </w:rPr>
    </w:lvl>
    <w:lvl w:ilvl="2" w:tplc="9250B23E">
      <w:numFmt w:val="bullet"/>
      <w:lvlText w:val="•"/>
      <w:lvlJc w:val="left"/>
      <w:pPr>
        <w:ind w:left="3129" w:hanging="358"/>
      </w:pPr>
      <w:rPr>
        <w:rFonts w:hint="default"/>
        <w:lang w:val="en-US" w:eastAsia="en-US" w:bidi="en-US"/>
      </w:rPr>
    </w:lvl>
    <w:lvl w:ilvl="3" w:tplc="7E60CF34">
      <w:numFmt w:val="bullet"/>
      <w:lvlText w:val="•"/>
      <w:lvlJc w:val="left"/>
      <w:pPr>
        <w:ind w:left="4103" w:hanging="358"/>
      </w:pPr>
      <w:rPr>
        <w:rFonts w:hint="default"/>
        <w:lang w:val="en-US" w:eastAsia="en-US" w:bidi="en-US"/>
      </w:rPr>
    </w:lvl>
    <w:lvl w:ilvl="4" w:tplc="AA64565E">
      <w:numFmt w:val="bullet"/>
      <w:lvlText w:val="•"/>
      <w:lvlJc w:val="left"/>
      <w:pPr>
        <w:ind w:left="5078" w:hanging="358"/>
      </w:pPr>
      <w:rPr>
        <w:rFonts w:hint="default"/>
        <w:lang w:val="en-US" w:eastAsia="en-US" w:bidi="en-US"/>
      </w:rPr>
    </w:lvl>
    <w:lvl w:ilvl="5" w:tplc="C9960ACE">
      <w:numFmt w:val="bullet"/>
      <w:lvlText w:val="•"/>
      <w:lvlJc w:val="left"/>
      <w:pPr>
        <w:ind w:left="6052" w:hanging="358"/>
      </w:pPr>
      <w:rPr>
        <w:rFonts w:hint="default"/>
        <w:lang w:val="en-US" w:eastAsia="en-US" w:bidi="en-US"/>
      </w:rPr>
    </w:lvl>
    <w:lvl w:ilvl="6" w:tplc="EADCB756">
      <w:numFmt w:val="bullet"/>
      <w:lvlText w:val="•"/>
      <w:lvlJc w:val="left"/>
      <w:pPr>
        <w:ind w:left="7027" w:hanging="358"/>
      </w:pPr>
      <w:rPr>
        <w:rFonts w:hint="default"/>
        <w:lang w:val="en-US" w:eastAsia="en-US" w:bidi="en-US"/>
      </w:rPr>
    </w:lvl>
    <w:lvl w:ilvl="7" w:tplc="DF72A966">
      <w:numFmt w:val="bullet"/>
      <w:lvlText w:val="•"/>
      <w:lvlJc w:val="left"/>
      <w:pPr>
        <w:ind w:left="8001" w:hanging="358"/>
      </w:pPr>
      <w:rPr>
        <w:rFonts w:hint="default"/>
        <w:lang w:val="en-US" w:eastAsia="en-US" w:bidi="en-US"/>
      </w:rPr>
    </w:lvl>
    <w:lvl w:ilvl="8" w:tplc="5D0299CA">
      <w:numFmt w:val="bullet"/>
      <w:lvlText w:val="•"/>
      <w:lvlJc w:val="left"/>
      <w:pPr>
        <w:ind w:left="8976" w:hanging="358"/>
      </w:pPr>
      <w:rPr>
        <w:rFonts w:hint="default"/>
        <w:lang w:val="en-US" w:eastAsia="en-US" w:bidi="en-US"/>
      </w:rPr>
    </w:lvl>
  </w:abstractNum>
  <w:abstractNum w:abstractNumId="2" w15:restartNumberingAfterBreak="0">
    <w:nsid w:val="186C2759"/>
    <w:multiLevelType w:val="hybridMultilevel"/>
    <w:tmpl w:val="97A659B8"/>
    <w:lvl w:ilvl="0" w:tplc="81EA5D9C">
      <w:start w:val="1"/>
      <w:numFmt w:val="lowerLetter"/>
      <w:lvlText w:val="%1)"/>
      <w:lvlJc w:val="left"/>
      <w:pPr>
        <w:ind w:left="1182" w:hanging="360"/>
        <w:jc w:val="left"/>
      </w:pPr>
      <w:rPr>
        <w:rFonts w:ascii="Calibri" w:eastAsia="Calibri" w:hAnsi="Calibri" w:cs="Calibri" w:hint="default"/>
        <w:color w:val="003366"/>
        <w:spacing w:val="-16"/>
        <w:w w:val="100"/>
        <w:sz w:val="18"/>
        <w:szCs w:val="18"/>
        <w:lang w:val="en-US" w:eastAsia="en-US" w:bidi="en-US"/>
      </w:rPr>
    </w:lvl>
    <w:lvl w:ilvl="1" w:tplc="84D8DB4A">
      <w:numFmt w:val="bullet"/>
      <w:lvlText w:val="•"/>
      <w:lvlJc w:val="left"/>
      <w:pPr>
        <w:ind w:left="2154" w:hanging="360"/>
      </w:pPr>
      <w:rPr>
        <w:rFonts w:hint="default"/>
        <w:lang w:val="en-US" w:eastAsia="en-US" w:bidi="en-US"/>
      </w:rPr>
    </w:lvl>
    <w:lvl w:ilvl="2" w:tplc="5AE22988">
      <w:numFmt w:val="bullet"/>
      <w:lvlText w:val="•"/>
      <w:lvlJc w:val="left"/>
      <w:pPr>
        <w:ind w:left="3129" w:hanging="360"/>
      </w:pPr>
      <w:rPr>
        <w:rFonts w:hint="default"/>
        <w:lang w:val="en-US" w:eastAsia="en-US" w:bidi="en-US"/>
      </w:rPr>
    </w:lvl>
    <w:lvl w:ilvl="3" w:tplc="A5AEA458">
      <w:numFmt w:val="bullet"/>
      <w:lvlText w:val="•"/>
      <w:lvlJc w:val="left"/>
      <w:pPr>
        <w:ind w:left="4103" w:hanging="360"/>
      </w:pPr>
      <w:rPr>
        <w:rFonts w:hint="default"/>
        <w:lang w:val="en-US" w:eastAsia="en-US" w:bidi="en-US"/>
      </w:rPr>
    </w:lvl>
    <w:lvl w:ilvl="4" w:tplc="3BD6EA9E">
      <w:numFmt w:val="bullet"/>
      <w:lvlText w:val="•"/>
      <w:lvlJc w:val="left"/>
      <w:pPr>
        <w:ind w:left="5078" w:hanging="360"/>
      </w:pPr>
      <w:rPr>
        <w:rFonts w:hint="default"/>
        <w:lang w:val="en-US" w:eastAsia="en-US" w:bidi="en-US"/>
      </w:rPr>
    </w:lvl>
    <w:lvl w:ilvl="5" w:tplc="507C0436">
      <w:numFmt w:val="bullet"/>
      <w:lvlText w:val="•"/>
      <w:lvlJc w:val="left"/>
      <w:pPr>
        <w:ind w:left="6052" w:hanging="360"/>
      </w:pPr>
      <w:rPr>
        <w:rFonts w:hint="default"/>
        <w:lang w:val="en-US" w:eastAsia="en-US" w:bidi="en-US"/>
      </w:rPr>
    </w:lvl>
    <w:lvl w:ilvl="6" w:tplc="C4629DC4">
      <w:numFmt w:val="bullet"/>
      <w:lvlText w:val="•"/>
      <w:lvlJc w:val="left"/>
      <w:pPr>
        <w:ind w:left="7027" w:hanging="360"/>
      </w:pPr>
      <w:rPr>
        <w:rFonts w:hint="default"/>
        <w:lang w:val="en-US" w:eastAsia="en-US" w:bidi="en-US"/>
      </w:rPr>
    </w:lvl>
    <w:lvl w:ilvl="7" w:tplc="D43452E2">
      <w:numFmt w:val="bullet"/>
      <w:lvlText w:val="•"/>
      <w:lvlJc w:val="left"/>
      <w:pPr>
        <w:ind w:left="8001" w:hanging="360"/>
      </w:pPr>
      <w:rPr>
        <w:rFonts w:hint="default"/>
        <w:lang w:val="en-US" w:eastAsia="en-US" w:bidi="en-US"/>
      </w:rPr>
    </w:lvl>
    <w:lvl w:ilvl="8" w:tplc="3BB634F2">
      <w:numFmt w:val="bullet"/>
      <w:lvlText w:val="•"/>
      <w:lvlJc w:val="left"/>
      <w:pPr>
        <w:ind w:left="8976" w:hanging="360"/>
      </w:pPr>
      <w:rPr>
        <w:rFonts w:hint="default"/>
        <w:lang w:val="en-US" w:eastAsia="en-US" w:bidi="en-US"/>
      </w:rPr>
    </w:lvl>
  </w:abstractNum>
  <w:abstractNum w:abstractNumId="3" w15:restartNumberingAfterBreak="0">
    <w:nsid w:val="190164C6"/>
    <w:multiLevelType w:val="hybridMultilevel"/>
    <w:tmpl w:val="8B6C18A0"/>
    <w:lvl w:ilvl="0" w:tplc="F3A24BB4">
      <w:numFmt w:val="bullet"/>
      <w:lvlText w:val="•"/>
      <w:lvlJc w:val="left"/>
      <w:pPr>
        <w:ind w:left="380" w:hanging="227"/>
      </w:pPr>
      <w:rPr>
        <w:rFonts w:hint="default"/>
        <w:spacing w:val="-6"/>
        <w:w w:val="100"/>
        <w:lang w:val="en-US" w:eastAsia="en-US" w:bidi="en-US"/>
      </w:rPr>
    </w:lvl>
    <w:lvl w:ilvl="1" w:tplc="A6904EAA">
      <w:numFmt w:val="bullet"/>
      <w:lvlText w:val="–"/>
      <w:lvlJc w:val="left"/>
      <w:pPr>
        <w:ind w:left="607" w:hanging="227"/>
      </w:pPr>
      <w:rPr>
        <w:rFonts w:ascii="Calibri-Light" w:eastAsia="Calibri-Light" w:hAnsi="Calibri-Light" w:cs="Calibri-Light" w:hint="default"/>
        <w:spacing w:val="-9"/>
        <w:w w:val="94"/>
        <w:sz w:val="22"/>
        <w:szCs w:val="22"/>
        <w:lang w:val="en-US" w:eastAsia="en-US" w:bidi="en-US"/>
      </w:rPr>
    </w:lvl>
    <w:lvl w:ilvl="2" w:tplc="3992F37E">
      <w:numFmt w:val="bullet"/>
      <w:lvlText w:val="•"/>
      <w:lvlJc w:val="left"/>
      <w:pPr>
        <w:ind w:left="1747" w:hanging="227"/>
      </w:pPr>
      <w:rPr>
        <w:rFonts w:hint="default"/>
        <w:lang w:val="en-US" w:eastAsia="en-US" w:bidi="en-US"/>
      </w:rPr>
    </w:lvl>
    <w:lvl w:ilvl="3" w:tplc="EDE89466">
      <w:numFmt w:val="bullet"/>
      <w:lvlText w:val="•"/>
      <w:lvlJc w:val="left"/>
      <w:pPr>
        <w:ind w:left="2894" w:hanging="227"/>
      </w:pPr>
      <w:rPr>
        <w:rFonts w:hint="default"/>
        <w:lang w:val="en-US" w:eastAsia="en-US" w:bidi="en-US"/>
      </w:rPr>
    </w:lvl>
    <w:lvl w:ilvl="4" w:tplc="B18487F4">
      <w:numFmt w:val="bullet"/>
      <w:lvlText w:val="•"/>
      <w:lvlJc w:val="left"/>
      <w:pPr>
        <w:ind w:left="4041" w:hanging="227"/>
      </w:pPr>
      <w:rPr>
        <w:rFonts w:hint="default"/>
        <w:lang w:val="en-US" w:eastAsia="en-US" w:bidi="en-US"/>
      </w:rPr>
    </w:lvl>
    <w:lvl w:ilvl="5" w:tplc="24D43458">
      <w:numFmt w:val="bullet"/>
      <w:lvlText w:val="•"/>
      <w:lvlJc w:val="left"/>
      <w:pPr>
        <w:ind w:left="5189" w:hanging="227"/>
      </w:pPr>
      <w:rPr>
        <w:rFonts w:hint="default"/>
        <w:lang w:val="en-US" w:eastAsia="en-US" w:bidi="en-US"/>
      </w:rPr>
    </w:lvl>
    <w:lvl w:ilvl="6" w:tplc="889A2250">
      <w:numFmt w:val="bullet"/>
      <w:lvlText w:val="•"/>
      <w:lvlJc w:val="left"/>
      <w:pPr>
        <w:ind w:left="6336" w:hanging="227"/>
      </w:pPr>
      <w:rPr>
        <w:rFonts w:hint="default"/>
        <w:lang w:val="en-US" w:eastAsia="en-US" w:bidi="en-US"/>
      </w:rPr>
    </w:lvl>
    <w:lvl w:ilvl="7" w:tplc="D7A21EF6">
      <w:numFmt w:val="bullet"/>
      <w:lvlText w:val="•"/>
      <w:lvlJc w:val="left"/>
      <w:pPr>
        <w:ind w:left="7483" w:hanging="227"/>
      </w:pPr>
      <w:rPr>
        <w:rFonts w:hint="default"/>
        <w:lang w:val="en-US" w:eastAsia="en-US" w:bidi="en-US"/>
      </w:rPr>
    </w:lvl>
    <w:lvl w:ilvl="8" w:tplc="3DA06EB8">
      <w:numFmt w:val="bullet"/>
      <w:lvlText w:val="•"/>
      <w:lvlJc w:val="left"/>
      <w:pPr>
        <w:ind w:left="8630" w:hanging="227"/>
      </w:pPr>
      <w:rPr>
        <w:rFonts w:hint="default"/>
        <w:lang w:val="en-US" w:eastAsia="en-US" w:bidi="en-US"/>
      </w:rPr>
    </w:lvl>
  </w:abstractNum>
  <w:abstractNum w:abstractNumId="4" w15:restartNumberingAfterBreak="0">
    <w:nsid w:val="1B9A27CC"/>
    <w:multiLevelType w:val="hybridMultilevel"/>
    <w:tmpl w:val="0E0ADF32"/>
    <w:lvl w:ilvl="0" w:tplc="FB2C4A40">
      <w:start w:val="1"/>
      <w:numFmt w:val="lowerLetter"/>
      <w:lvlText w:val="%1)"/>
      <w:lvlJc w:val="left"/>
      <w:pPr>
        <w:ind w:left="1144" w:hanging="360"/>
        <w:jc w:val="left"/>
      </w:pPr>
      <w:rPr>
        <w:rFonts w:ascii="Calibri" w:eastAsia="Calibri" w:hAnsi="Calibri" w:cs="Calibri" w:hint="default"/>
        <w:color w:val="003366"/>
        <w:spacing w:val="-6"/>
        <w:w w:val="100"/>
        <w:sz w:val="18"/>
        <w:szCs w:val="18"/>
        <w:lang w:val="en-US" w:eastAsia="en-US" w:bidi="en-US"/>
      </w:rPr>
    </w:lvl>
    <w:lvl w:ilvl="1" w:tplc="FE0EF03C">
      <w:numFmt w:val="bullet"/>
      <w:lvlText w:val="•"/>
      <w:lvlJc w:val="left"/>
      <w:pPr>
        <w:ind w:left="1518" w:hanging="360"/>
      </w:pPr>
      <w:rPr>
        <w:rFonts w:hint="default"/>
        <w:w w:val="130"/>
        <w:lang w:val="en-US" w:eastAsia="en-US" w:bidi="en-US"/>
      </w:rPr>
    </w:lvl>
    <w:lvl w:ilvl="2" w:tplc="CE5C4FD0">
      <w:numFmt w:val="bullet"/>
      <w:lvlText w:val="•"/>
      <w:lvlJc w:val="left"/>
      <w:pPr>
        <w:ind w:left="2565" w:hanging="360"/>
      </w:pPr>
      <w:rPr>
        <w:rFonts w:hint="default"/>
        <w:lang w:val="en-US" w:eastAsia="en-US" w:bidi="en-US"/>
      </w:rPr>
    </w:lvl>
    <w:lvl w:ilvl="3" w:tplc="4C34DEDE">
      <w:numFmt w:val="bullet"/>
      <w:lvlText w:val="•"/>
      <w:lvlJc w:val="left"/>
      <w:pPr>
        <w:ind w:left="3610" w:hanging="360"/>
      </w:pPr>
      <w:rPr>
        <w:rFonts w:hint="default"/>
        <w:lang w:val="en-US" w:eastAsia="en-US" w:bidi="en-US"/>
      </w:rPr>
    </w:lvl>
    <w:lvl w:ilvl="4" w:tplc="795EA332">
      <w:numFmt w:val="bullet"/>
      <w:lvlText w:val="•"/>
      <w:lvlJc w:val="left"/>
      <w:pPr>
        <w:ind w:left="4655" w:hanging="360"/>
      </w:pPr>
      <w:rPr>
        <w:rFonts w:hint="default"/>
        <w:lang w:val="en-US" w:eastAsia="en-US" w:bidi="en-US"/>
      </w:rPr>
    </w:lvl>
    <w:lvl w:ilvl="5" w:tplc="50809D6E">
      <w:numFmt w:val="bullet"/>
      <w:lvlText w:val="•"/>
      <w:lvlJc w:val="left"/>
      <w:pPr>
        <w:ind w:left="5700" w:hanging="360"/>
      </w:pPr>
      <w:rPr>
        <w:rFonts w:hint="default"/>
        <w:lang w:val="en-US" w:eastAsia="en-US" w:bidi="en-US"/>
      </w:rPr>
    </w:lvl>
    <w:lvl w:ilvl="6" w:tplc="FDF43A54">
      <w:numFmt w:val="bullet"/>
      <w:lvlText w:val="•"/>
      <w:lvlJc w:val="left"/>
      <w:pPr>
        <w:ind w:left="6745" w:hanging="360"/>
      </w:pPr>
      <w:rPr>
        <w:rFonts w:hint="default"/>
        <w:lang w:val="en-US" w:eastAsia="en-US" w:bidi="en-US"/>
      </w:rPr>
    </w:lvl>
    <w:lvl w:ilvl="7" w:tplc="2388A558">
      <w:numFmt w:val="bullet"/>
      <w:lvlText w:val="•"/>
      <w:lvlJc w:val="left"/>
      <w:pPr>
        <w:ind w:left="7790" w:hanging="360"/>
      </w:pPr>
      <w:rPr>
        <w:rFonts w:hint="default"/>
        <w:lang w:val="en-US" w:eastAsia="en-US" w:bidi="en-US"/>
      </w:rPr>
    </w:lvl>
    <w:lvl w:ilvl="8" w:tplc="894C921C">
      <w:numFmt w:val="bullet"/>
      <w:lvlText w:val="•"/>
      <w:lvlJc w:val="left"/>
      <w:pPr>
        <w:ind w:left="8835" w:hanging="360"/>
      </w:pPr>
      <w:rPr>
        <w:rFonts w:hint="default"/>
        <w:lang w:val="en-US" w:eastAsia="en-US" w:bidi="en-US"/>
      </w:rPr>
    </w:lvl>
  </w:abstractNum>
  <w:abstractNum w:abstractNumId="5" w15:restartNumberingAfterBreak="0">
    <w:nsid w:val="1E0C722F"/>
    <w:multiLevelType w:val="hybridMultilevel"/>
    <w:tmpl w:val="8DAC9F8E"/>
    <w:lvl w:ilvl="0" w:tplc="A574F822">
      <w:start w:val="1"/>
      <w:numFmt w:val="lowerRoman"/>
      <w:lvlText w:val="(%1)"/>
      <w:lvlJc w:val="left"/>
      <w:pPr>
        <w:ind w:left="1681" w:hanging="569"/>
        <w:jc w:val="left"/>
      </w:pPr>
      <w:rPr>
        <w:rFonts w:ascii="Calibri" w:eastAsia="Calibri" w:hAnsi="Calibri" w:cs="Calibri" w:hint="default"/>
        <w:color w:val="003366"/>
        <w:spacing w:val="-1"/>
        <w:w w:val="99"/>
        <w:sz w:val="20"/>
        <w:szCs w:val="20"/>
        <w:lang w:val="en-US" w:eastAsia="en-US" w:bidi="en-US"/>
      </w:rPr>
    </w:lvl>
    <w:lvl w:ilvl="1" w:tplc="CE72A774">
      <w:numFmt w:val="bullet"/>
      <w:lvlText w:val="•"/>
      <w:lvlJc w:val="left"/>
      <w:pPr>
        <w:ind w:left="2604" w:hanging="569"/>
      </w:pPr>
      <w:rPr>
        <w:rFonts w:hint="default"/>
        <w:lang w:val="en-US" w:eastAsia="en-US" w:bidi="en-US"/>
      </w:rPr>
    </w:lvl>
    <w:lvl w:ilvl="2" w:tplc="7CDEC82C">
      <w:numFmt w:val="bullet"/>
      <w:lvlText w:val="•"/>
      <w:lvlJc w:val="left"/>
      <w:pPr>
        <w:ind w:left="3529" w:hanging="569"/>
      </w:pPr>
      <w:rPr>
        <w:rFonts w:hint="default"/>
        <w:lang w:val="en-US" w:eastAsia="en-US" w:bidi="en-US"/>
      </w:rPr>
    </w:lvl>
    <w:lvl w:ilvl="3" w:tplc="B55896B0">
      <w:numFmt w:val="bullet"/>
      <w:lvlText w:val="•"/>
      <w:lvlJc w:val="left"/>
      <w:pPr>
        <w:ind w:left="4453" w:hanging="569"/>
      </w:pPr>
      <w:rPr>
        <w:rFonts w:hint="default"/>
        <w:lang w:val="en-US" w:eastAsia="en-US" w:bidi="en-US"/>
      </w:rPr>
    </w:lvl>
    <w:lvl w:ilvl="4" w:tplc="67E079F4">
      <w:numFmt w:val="bullet"/>
      <w:lvlText w:val="•"/>
      <w:lvlJc w:val="left"/>
      <w:pPr>
        <w:ind w:left="5378" w:hanging="569"/>
      </w:pPr>
      <w:rPr>
        <w:rFonts w:hint="default"/>
        <w:lang w:val="en-US" w:eastAsia="en-US" w:bidi="en-US"/>
      </w:rPr>
    </w:lvl>
    <w:lvl w:ilvl="5" w:tplc="2CD6523C">
      <w:numFmt w:val="bullet"/>
      <w:lvlText w:val="•"/>
      <w:lvlJc w:val="left"/>
      <w:pPr>
        <w:ind w:left="6302" w:hanging="569"/>
      </w:pPr>
      <w:rPr>
        <w:rFonts w:hint="default"/>
        <w:lang w:val="en-US" w:eastAsia="en-US" w:bidi="en-US"/>
      </w:rPr>
    </w:lvl>
    <w:lvl w:ilvl="6" w:tplc="30381998">
      <w:numFmt w:val="bullet"/>
      <w:lvlText w:val="•"/>
      <w:lvlJc w:val="left"/>
      <w:pPr>
        <w:ind w:left="7227" w:hanging="569"/>
      </w:pPr>
      <w:rPr>
        <w:rFonts w:hint="default"/>
        <w:lang w:val="en-US" w:eastAsia="en-US" w:bidi="en-US"/>
      </w:rPr>
    </w:lvl>
    <w:lvl w:ilvl="7" w:tplc="4CB87F5A">
      <w:numFmt w:val="bullet"/>
      <w:lvlText w:val="•"/>
      <w:lvlJc w:val="left"/>
      <w:pPr>
        <w:ind w:left="8151" w:hanging="569"/>
      </w:pPr>
      <w:rPr>
        <w:rFonts w:hint="default"/>
        <w:lang w:val="en-US" w:eastAsia="en-US" w:bidi="en-US"/>
      </w:rPr>
    </w:lvl>
    <w:lvl w:ilvl="8" w:tplc="0234CE24">
      <w:numFmt w:val="bullet"/>
      <w:lvlText w:val="•"/>
      <w:lvlJc w:val="left"/>
      <w:pPr>
        <w:ind w:left="9076" w:hanging="569"/>
      </w:pPr>
      <w:rPr>
        <w:rFonts w:hint="default"/>
        <w:lang w:val="en-US" w:eastAsia="en-US" w:bidi="en-US"/>
      </w:rPr>
    </w:lvl>
  </w:abstractNum>
  <w:abstractNum w:abstractNumId="6" w15:restartNumberingAfterBreak="0">
    <w:nsid w:val="267E57C8"/>
    <w:multiLevelType w:val="hybridMultilevel"/>
    <w:tmpl w:val="96581A36"/>
    <w:lvl w:ilvl="0" w:tplc="CE728BB0">
      <w:start w:val="1"/>
      <w:numFmt w:val="lowerLetter"/>
      <w:lvlText w:val="(%1)"/>
      <w:lvlJc w:val="left"/>
      <w:pPr>
        <w:ind w:left="1187" w:hanging="360"/>
        <w:jc w:val="left"/>
      </w:pPr>
      <w:rPr>
        <w:rFonts w:ascii="Calibri" w:eastAsia="Calibri" w:hAnsi="Calibri" w:cs="Calibri" w:hint="default"/>
        <w:b/>
        <w:bCs/>
        <w:color w:val="003366"/>
        <w:w w:val="99"/>
        <w:sz w:val="20"/>
        <w:szCs w:val="20"/>
        <w:lang w:val="en-US" w:eastAsia="en-US" w:bidi="en-US"/>
      </w:rPr>
    </w:lvl>
    <w:lvl w:ilvl="1" w:tplc="42F03E9C">
      <w:numFmt w:val="bullet"/>
      <w:lvlText w:val="•"/>
      <w:lvlJc w:val="left"/>
      <w:pPr>
        <w:ind w:left="2154" w:hanging="360"/>
      </w:pPr>
      <w:rPr>
        <w:rFonts w:hint="default"/>
        <w:lang w:val="en-US" w:eastAsia="en-US" w:bidi="en-US"/>
      </w:rPr>
    </w:lvl>
    <w:lvl w:ilvl="2" w:tplc="426C7F8C">
      <w:numFmt w:val="bullet"/>
      <w:lvlText w:val="•"/>
      <w:lvlJc w:val="left"/>
      <w:pPr>
        <w:ind w:left="3129" w:hanging="360"/>
      </w:pPr>
      <w:rPr>
        <w:rFonts w:hint="default"/>
        <w:lang w:val="en-US" w:eastAsia="en-US" w:bidi="en-US"/>
      </w:rPr>
    </w:lvl>
    <w:lvl w:ilvl="3" w:tplc="89085F20">
      <w:numFmt w:val="bullet"/>
      <w:lvlText w:val="•"/>
      <w:lvlJc w:val="left"/>
      <w:pPr>
        <w:ind w:left="4103" w:hanging="360"/>
      </w:pPr>
      <w:rPr>
        <w:rFonts w:hint="default"/>
        <w:lang w:val="en-US" w:eastAsia="en-US" w:bidi="en-US"/>
      </w:rPr>
    </w:lvl>
    <w:lvl w:ilvl="4" w:tplc="CD5A7092">
      <w:numFmt w:val="bullet"/>
      <w:lvlText w:val="•"/>
      <w:lvlJc w:val="left"/>
      <w:pPr>
        <w:ind w:left="5078" w:hanging="360"/>
      </w:pPr>
      <w:rPr>
        <w:rFonts w:hint="default"/>
        <w:lang w:val="en-US" w:eastAsia="en-US" w:bidi="en-US"/>
      </w:rPr>
    </w:lvl>
    <w:lvl w:ilvl="5" w:tplc="1AA0DF72">
      <w:numFmt w:val="bullet"/>
      <w:lvlText w:val="•"/>
      <w:lvlJc w:val="left"/>
      <w:pPr>
        <w:ind w:left="6052" w:hanging="360"/>
      </w:pPr>
      <w:rPr>
        <w:rFonts w:hint="default"/>
        <w:lang w:val="en-US" w:eastAsia="en-US" w:bidi="en-US"/>
      </w:rPr>
    </w:lvl>
    <w:lvl w:ilvl="6" w:tplc="919ED9AE">
      <w:numFmt w:val="bullet"/>
      <w:lvlText w:val="•"/>
      <w:lvlJc w:val="left"/>
      <w:pPr>
        <w:ind w:left="7027" w:hanging="360"/>
      </w:pPr>
      <w:rPr>
        <w:rFonts w:hint="default"/>
        <w:lang w:val="en-US" w:eastAsia="en-US" w:bidi="en-US"/>
      </w:rPr>
    </w:lvl>
    <w:lvl w:ilvl="7" w:tplc="A5EE0480">
      <w:numFmt w:val="bullet"/>
      <w:lvlText w:val="•"/>
      <w:lvlJc w:val="left"/>
      <w:pPr>
        <w:ind w:left="8001" w:hanging="360"/>
      </w:pPr>
      <w:rPr>
        <w:rFonts w:hint="default"/>
        <w:lang w:val="en-US" w:eastAsia="en-US" w:bidi="en-US"/>
      </w:rPr>
    </w:lvl>
    <w:lvl w:ilvl="8" w:tplc="DBA8430A">
      <w:numFmt w:val="bullet"/>
      <w:lvlText w:val="•"/>
      <w:lvlJc w:val="left"/>
      <w:pPr>
        <w:ind w:left="8976" w:hanging="360"/>
      </w:pPr>
      <w:rPr>
        <w:rFonts w:hint="default"/>
        <w:lang w:val="en-US" w:eastAsia="en-US" w:bidi="en-US"/>
      </w:rPr>
    </w:lvl>
  </w:abstractNum>
  <w:abstractNum w:abstractNumId="7" w15:restartNumberingAfterBreak="0">
    <w:nsid w:val="2C3471C4"/>
    <w:multiLevelType w:val="hybridMultilevel"/>
    <w:tmpl w:val="8C2A8F8A"/>
    <w:lvl w:ilvl="0" w:tplc="03669A18">
      <w:start w:val="1"/>
      <w:numFmt w:val="lowerLetter"/>
      <w:lvlText w:val="%1)"/>
      <w:lvlJc w:val="left"/>
      <w:pPr>
        <w:ind w:left="1189" w:hanging="360"/>
        <w:jc w:val="left"/>
      </w:pPr>
      <w:rPr>
        <w:rFonts w:ascii="Calibri" w:eastAsia="Calibri" w:hAnsi="Calibri" w:cs="Calibri" w:hint="default"/>
        <w:color w:val="003366"/>
        <w:spacing w:val="-2"/>
        <w:w w:val="100"/>
        <w:sz w:val="18"/>
        <w:szCs w:val="18"/>
        <w:lang w:val="en-US" w:eastAsia="en-US" w:bidi="en-US"/>
      </w:rPr>
    </w:lvl>
    <w:lvl w:ilvl="1" w:tplc="3B62B112">
      <w:numFmt w:val="bullet"/>
      <w:lvlText w:val="•"/>
      <w:lvlJc w:val="left"/>
      <w:pPr>
        <w:ind w:left="1549" w:hanging="360"/>
      </w:pPr>
      <w:rPr>
        <w:rFonts w:ascii="Arial" w:eastAsia="Arial" w:hAnsi="Arial" w:cs="Arial" w:hint="default"/>
        <w:color w:val="003366"/>
        <w:w w:val="130"/>
        <w:sz w:val="20"/>
        <w:szCs w:val="20"/>
        <w:lang w:val="en-US" w:eastAsia="en-US" w:bidi="en-US"/>
      </w:rPr>
    </w:lvl>
    <w:lvl w:ilvl="2" w:tplc="88E65C68">
      <w:numFmt w:val="bullet"/>
      <w:lvlText w:val="•"/>
      <w:lvlJc w:val="left"/>
      <w:pPr>
        <w:ind w:left="2582" w:hanging="360"/>
      </w:pPr>
      <w:rPr>
        <w:rFonts w:hint="default"/>
        <w:lang w:val="en-US" w:eastAsia="en-US" w:bidi="en-US"/>
      </w:rPr>
    </w:lvl>
    <w:lvl w:ilvl="3" w:tplc="7842F91E">
      <w:numFmt w:val="bullet"/>
      <w:lvlText w:val="•"/>
      <w:lvlJc w:val="left"/>
      <w:pPr>
        <w:ind w:left="3625" w:hanging="360"/>
      </w:pPr>
      <w:rPr>
        <w:rFonts w:hint="default"/>
        <w:lang w:val="en-US" w:eastAsia="en-US" w:bidi="en-US"/>
      </w:rPr>
    </w:lvl>
    <w:lvl w:ilvl="4" w:tplc="8EC0DE40">
      <w:numFmt w:val="bullet"/>
      <w:lvlText w:val="•"/>
      <w:lvlJc w:val="left"/>
      <w:pPr>
        <w:ind w:left="4668" w:hanging="360"/>
      </w:pPr>
      <w:rPr>
        <w:rFonts w:hint="default"/>
        <w:lang w:val="en-US" w:eastAsia="en-US" w:bidi="en-US"/>
      </w:rPr>
    </w:lvl>
    <w:lvl w:ilvl="5" w:tplc="F670EEFC">
      <w:numFmt w:val="bullet"/>
      <w:lvlText w:val="•"/>
      <w:lvlJc w:val="left"/>
      <w:pPr>
        <w:ind w:left="5711" w:hanging="360"/>
      </w:pPr>
      <w:rPr>
        <w:rFonts w:hint="default"/>
        <w:lang w:val="en-US" w:eastAsia="en-US" w:bidi="en-US"/>
      </w:rPr>
    </w:lvl>
    <w:lvl w:ilvl="6" w:tplc="CD84E660">
      <w:numFmt w:val="bullet"/>
      <w:lvlText w:val="•"/>
      <w:lvlJc w:val="left"/>
      <w:pPr>
        <w:ind w:left="6754" w:hanging="360"/>
      </w:pPr>
      <w:rPr>
        <w:rFonts w:hint="default"/>
        <w:lang w:val="en-US" w:eastAsia="en-US" w:bidi="en-US"/>
      </w:rPr>
    </w:lvl>
    <w:lvl w:ilvl="7" w:tplc="88CC8CA6">
      <w:numFmt w:val="bullet"/>
      <w:lvlText w:val="•"/>
      <w:lvlJc w:val="left"/>
      <w:pPr>
        <w:ind w:left="7797" w:hanging="360"/>
      </w:pPr>
      <w:rPr>
        <w:rFonts w:hint="default"/>
        <w:lang w:val="en-US" w:eastAsia="en-US" w:bidi="en-US"/>
      </w:rPr>
    </w:lvl>
    <w:lvl w:ilvl="8" w:tplc="634CE4D6">
      <w:numFmt w:val="bullet"/>
      <w:lvlText w:val="•"/>
      <w:lvlJc w:val="left"/>
      <w:pPr>
        <w:ind w:left="8839" w:hanging="360"/>
      </w:pPr>
      <w:rPr>
        <w:rFonts w:hint="default"/>
        <w:lang w:val="en-US" w:eastAsia="en-US" w:bidi="en-US"/>
      </w:rPr>
    </w:lvl>
  </w:abstractNum>
  <w:abstractNum w:abstractNumId="8" w15:restartNumberingAfterBreak="0">
    <w:nsid w:val="2F4C3127"/>
    <w:multiLevelType w:val="hybridMultilevel"/>
    <w:tmpl w:val="D46E2912"/>
    <w:lvl w:ilvl="0" w:tplc="DEE6BB06">
      <w:start w:val="1"/>
      <w:numFmt w:val="decimal"/>
      <w:lvlText w:val="%1"/>
      <w:lvlJc w:val="left"/>
      <w:pPr>
        <w:ind w:left="323" w:hanging="171"/>
        <w:jc w:val="left"/>
      </w:pPr>
      <w:rPr>
        <w:rFonts w:ascii="Calibri" w:eastAsia="Calibri" w:hAnsi="Calibri" w:cs="Calibri" w:hint="default"/>
        <w:spacing w:val="-5"/>
        <w:w w:val="99"/>
        <w:sz w:val="18"/>
        <w:szCs w:val="18"/>
        <w:lang w:val="en-US" w:eastAsia="en-US" w:bidi="en-US"/>
      </w:rPr>
    </w:lvl>
    <w:lvl w:ilvl="1" w:tplc="8CD687EE">
      <w:numFmt w:val="bullet"/>
      <w:lvlText w:val="•"/>
      <w:lvlJc w:val="left"/>
      <w:pPr>
        <w:ind w:left="1380" w:hanging="171"/>
      </w:pPr>
      <w:rPr>
        <w:rFonts w:hint="default"/>
        <w:lang w:val="en-US" w:eastAsia="en-US" w:bidi="en-US"/>
      </w:rPr>
    </w:lvl>
    <w:lvl w:ilvl="2" w:tplc="32FC55E8">
      <w:numFmt w:val="bullet"/>
      <w:lvlText w:val="•"/>
      <w:lvlJc w:val="left"/>
      <w:pPr>
        <w:ind w:left="2441" w:hanging="171"/>
      </w:pPr>
      <w:rPr>
        <w:rFonts w:hint="default"/>
        <w:lang w:val="en-US" w:eastAsia="en-US" w:bidi="en-US"/>
      </w:rPr>
    </w:lvl>
    <w:lvl w:ilvl="3" w:tplc="22F6AAD2">
      <w:numFmt w:val="bullet"/>
      <w:lvlText w:val="•"/>
      <w:lvlJc w:val="left"/>
      <w:pPr>
        <w:ind w:left="3501" w:hanging="171"/>
      </w:pPr>
      <w:rPr>
        <w:rFonts w:hint="default"/>
        <w:lang w:val="en-US" w:eastAsia="en-US" w:bidi="en-US"/>
      </w:rPr>
    </w:lvl>
    <w:lvl w:ilvl="4" w:tplc="B678CFD0">
      <w:numFmt w:val="bullet"/>
      <w:lvlText w:val="•"/>
      <w:lvlJc w:val="left"/>
      <w:pPr>
        <w:ind w:left="4562" w:hanging="171"/>
      </w:pPr>
      <w:rPr>
        <w:rFonts w:hint="default"/>
        <w:lang w:val="en-US" w:eastAsia="en-US" w:bidi="en-US"/>
      </w:rPr>
    </w:lvl>
    <w:lvl w:ilvl="5" w:tplc="0BC8777A">
      <w:numFmt w:val="bullet"/>
      <w:lvlText w:val="•"/>
      <w:lvlJc w:val="left"/>
      <w:pPr>
        <w:ind w:left="5622" w:hanging="171"/>
      </w:pPr>
      <w:rPr>
        <w:rFonts w:hint="default"/>
        <w:lang w:val="en-US" w:eastAsia="en-US" w:bidi="en-US"/>
      </w:rPr>
    </w:lvl>
    <w:lvl w:ilvl="6" w:tplc="28F49A76">
      <w:numFmt w:val="bullet"/>
      <w:lvlText w:val="•"/>
      <w:lvlJc w:val="left"/>
      <w:pPr>
        <w:ind w:left="6683" w:hanging="171"/>
      </w:pPr>
      <w:rPr>
        <w:rFonts w:hint="default"/>
        <w:lang w:val="en-US" w:eastAsia="en-US" w:bidi="en-US"/>
      </w:rPr>
    </w:lvl>
    <w:lvl w:ilvl="7" w:tplc="2B62AA76">
      <w:numFmt w:val="bullet"/>
      <w:lvlText w:val="•"/>
      <w:lvlJc w:val="left"/>
      <w:pPr>
        <w:ind w:left="7743" w:hanging="171"/>
      </w:pPr>
      <w:rPr>
        <w:rFonts w:hint="default"/>
        <w:lang w:val="en-US" w:eastAsia="en-US" w:bidi="en-US"/>
      </w:rPr>
    </w:lvl>
    <w:lvl w:ilvl="8" w:tplc="2452DB6E">
      <w:numFmt w:val="bullet"/>
      <w:lvlText w:val="•"/>
      <w:lvlJc w:val="left"/>
      <w:pPr>
        <w:ind w:left="8804" w:hanging="171"/>
      </w:pPr>
      <w:rPr>
        <w:rFonts w:hint="default"/>
        <w:lang w:val="en-US" w:eastAsia="en-US" w:bidi="en-US"/>
      </w:rPr>
    </w:lvl>
  </w:abstractNum>
  <w:abstractNum w:abstractNumId="9" w15:restartNumberingAfterBreak="0">
    <w:nsid w:val="36047F0D"/>
    <w:multiLevelType w:val="hybridMultilevel"/>
    <w:tmpl w:val="DEA06032"/>
    <w:lvl w:ilvl="0" w:tplc="F0406DDC">
      <w:start w:val="1"/>
      <w:numFmt w:val="lowerLetter"/>
      <w:lvlText w:val="%1)"/>
      <w:lvlJc w:val="left"/>
      <w:pPr>
        <w:ind w:left="1117" w:hanging="360"/>
        <w:jc w:val="left"/>
      </w:pPr>
      <w:rPr>
        <w:rFonts w:ascii="Calibri" w:eastAsia="Calibri" w:hAnsi="Calibri" w:cs="Calibri" w:hint="default"/>
        <w:color w:val="003366"/>
        <w:spacing w:val="-2"/>
        <w:w w:val="100"/>
        <w:sz w:val="18"/>
        <w:szCs w:val="18"/>
        <w:lang w:val="en-US" w:eastAsia="en-US" w:bidi="en-US"/>
      </w:rPr>
    </w:lvl>
    <w:lvl w:ilvl="1" w:tplc="FDB82124">
      <w:start w:val="1"/>
      <w:numFmt w:val="lowerRoman"/>
      <w:lvlText w:val="(%2)"/>
      <w:lvlJc w:val="left"/>
      <w:pPr>
        <w:ind w:left="1609" w:hanging="569"/>
        <w:jc w:val="left"/>
      </w:pPr>
      <w:rPr>
        <w:rFonts w:ascii="Calibri" w:eastAsia="Calibri" w:hAnsi="Calibri" w:cs="Calibri" w:hint="default"/>
        <w:color w:val="003366"/>
        <w:spacing w:val="-1"/>
        <w:w w:val="99"/>
        <w:sz w:val="20"/>
        <w:szCs w:val="20"/>
        <w:lang w:val="en-US" w:eastAsia="en-US" w:bidi="en-US"/>
      </w:rPr>
    </w:lvl>
    <w:lvl w:ilvl="2" w:tplc="B8425F6E">
      <w:numFmt w:val="bullet"/>
      <w:lvlText w:val="•"/>
      <w:lvlJc w:val="left"/>
      <w:pPr>
        <w:ind w:left="2636" w:hanging="569"/>
      </w:pPr>
      <w:rPr>
        <w:rFonts w:hint="default"/>
        <w:lang w:val="en-US" w:eastAsia="en-US" w:bidi="en-US"/>
      </w:rPr>
    </w:lvl>
    <w:lvl w:ilvl="3" w:tplc="6C00AB4A">
      <w:numFmt w:val="bullet"/>
      <w:lvlText w:val="•"/>
      <w:lvlJc w:val="left"/>
      <w:pPr>
        <w:ind w:left="3672" w:hanging="569"/>
      </w:pPr>
      <w:rPr>
        <w:rFonts w:hint="default"/>
        <w:lang w:val="en-US" w:eastAsia="en-US" w:bidi="en-US"/>
      </w:rPr>
    </w:lvl>
    <w:lvl w:ilvl="4" w:tplc="D5A269FE">
      <w:numFmt w:val="bullet"/>
      <w:lvlText w:val="•"/>
      <w:lvlJc w:val="left"/>
      <w:pPr>
        <w:ind w:left="4708" w:hanging="569"/>
      </w:pPr>
      <w:rPr>
        <w:rFonts w:hint="default"/>
        <w:lang w:val="en-US" w:eastAsia="en-US" w:bidi="en-US"/>
      </w:rPr>
    </w:lvl>
    <w:lvl w:ilvl="5" w:tplc="AAE23D48">
      <w:numFmt w:val="bullet"/>
      <w:lvlText w:val="•"/>
      <w:lvlJc w:val="left"/>
      <w:pPr>
        <w:ind w:left="5744" w:hanging="569"/>
      </w:pPr>
      <w:rPr>
        <w:rFonts w:hint="default"/>
        <w:lang w:val="en-US" w:eastAsia="en-US" w:bidi="en-US"/>
      </w:rPr>
    </w:lvl>
    <w:lvl w:ilvl="6" w:tplc="83A25ABA">
      <w:numFmt w:val="bullet"/>
      <w:lvlText w:val="•"/>
      <w:lvlJc w:val="left"/>
      <w:pPr>
        <w:ind w:left="6780" w:hanging="569"/>
      </w:pPr>
      <w:rPr>
        <w:rFonts w:hint="default"/>
        <w:lang w:val="en-US" w:eastAsia="en-US" w:bidi="en-US"/>
      </w:rPr>
    </w:lvl>
    <w:lvl w:ilvl="7" w:tplc="1114B286">
      <w:numFmt w:val="bullet"/>
      <w:lvlText w:val="•"/>
      <w:lvlJc w:val="left"/>
      <w:pPr>
        <w:ind w:left="7817" w:hanging="569"/>
      </w:pPr>
      <w:rPr>
        <w:rFonts w:hint="default"/>
        <w:lang w:val="en-US" w:eastAsia="en-US" w:bidi="en-US"/>
      </w:rPr>
    </w:lvl>
    <w:lvl w:ilvl="8" w:tplc="5CEEA750">
      <w:numFmt w:val="bullet"/>
      <w:lvlText w:val="•"/>
      <w:lvlJc w:val="left"/>
      <w:pPr>
        <w:ind w:left="8853" w:hanging="569"/>
      </w:pPr>
      <w:rPr>
        <w:rFonts w:hint="default"/>
        <w:lang w:val="en-US" w:eastAsia="en-US" w:bidi="en-US"/>
      </w:rPr>
    </w:lvl>
  </w:abstractNum>
  <w:abstractNum w:abstractNumId="10" w15:restartNumberingAfterBreak="0">
    <w:nsid w:val="39390D06"/>
    <w:multiLevelType w:val="hybridMultilevel"/>
    <w:tmpl w:val="911EAD98"/>
    <w:lvl w:ilvl="0" w:tplc="3342D434">
      <w:start w:val="1"/>
      <w:numFmt w:val="lowerLetter"/>
      <w:lvlText w:val="%1)"/>
      <w:lvlJc w:val="left"/>
      <w:pPr>
        <w:ind w:left="1165" w:hanging="360"/>
        <w:jc w:val="left"/>
      </w:pPr>
      <w:rPr>
        <w:rFonts w:ascii="Calibri" w:eastAsia="Calibri" w:hAnsi="Calibri" w:cs="Calibri" w:hint="default"/>
        <w:color w:val="003366"/>
        <w:spacing w:val="-11"/>
        <w:w w:val="100"/>
        <w:sz w:val="18"/>
        <w:szCs w:val="18"/>
        <w:lang w:val="en-US" w:eastAsia="en-US" w:bidi="en-US"/>
      </w:rPr>
    </w:lvl>
    <w:lvl w:ilvl="1" w:tplc="536E0406">
      <w:numFmt w:val="bullet"/>
      <w:lvlText w:val="•"/>
      <w:lvlJc w:val="left"/>
      <w:pPr>
        <w:ind w:left="2136" w:hanging="360"/>
      </w:pPr>
      <w:rPr>
        <w:rFonts w:hint="default"/>
        <w:lang w:val="en-US" w:eastAsia="en-US" w:bidi="en-US"/>
      </w:rPr>
    </w:lvl>
    <w:lvl w:ilvl="2" w:tplc="AF3ACA36">
      <w:numFmt w:val="bullet"/>
      <w:lvlText w:val="•"/>
      <w:lvlJc w:val="left"/>
      <w:pPr>
        <w:ind w:left="3113" w:hanging="360"/>
      </w:pPr>
      <w:rPr>
        <w:rFonts w:hint="default"/>
        <w:lang w:val="en-US" w:eastAsia="en-US" w:bidi="en-US"/>
      </w:rPr>
    </w:lvl>
    <w:lvl w:ilvl="3" w:tplc="2DE66032">
      <w:numFmt w:val="bullet"/>
      <w:lvlText w:val="•"/>
      <w:lvlJc w:val="left"/>
      <w:pPr>
        <w:ind w:left="4089" w:hanging="360"/>
      </w:pPr>
      <w:rPr>
        <w:rFonts w:hint="default"/>
        <w:lang w:val="en-US" w:eastAsia="en-US" w:bidi="en-US"/>
      </w:rPr>
    </w:lvl>
    <w:lvl w:ilvl="4" w:tplc="DB167B86">
      <w:numFmt w:val="bullet"/>
      <w:lvlText w:val="•"/>
      <w:lvlJc w:val="left"/>
      <w:pPr>
        <w:ind w:left="5066" w:hanging="360"/>
      </w:pPr>
      <w:rPr>
        <w:rFonts w:hint="default"/>
        <w:lang w:val="en-US" w:eastAsia="en-US" w:bidi="en-US"/>
      </w:rPr>
    </w:lvl>
    <w:lvl w:ilvl="5" w:tplc="2F2E74FA">
      <w:numFmt w:val="bullet"/>
      <w:lvlText w:val="•"/>
      <w:lvlJc w:val="left"/>
      <w:pPr>
        <w:ind w:left="6042" w:hanging="360"/>
      </w:pPr>
      <w:rPr>
        <w:rFonts w:hint="default"/>
        <w:lang w:val="en-US" w:eastAsia="en-US" w:bidi="en-US"/>
      </w:rPr>
    </w:lvl>
    <w:lvl w:ilvl="6" w:tplc="241471B4">
      <w:numFmt w:val="bullet"/>
      <w:lvlText w:val="•"/>
      <w:lvlJc w:val="left"/>
      <w:pPr>
        <w:ind w:left="7019" w:hanging="360"/>
      </w:pPr>
      <w:rPr>
        <w:rFonts w:hint="default"/>
        <w:lang w:val="en-US" w:eastAsia="en-US" w:bidi="en-US"/>
      </w:rPr>
    </w:lvl>
    <w:lvl w:ilvl="7" w:tplc="996AED90">
      <w:numFmt w:val="bullet"/>
      <w:lvlText w:val="•"/>
      <w:lvlJc w:val="left"/>
      <w:pPr>
        <w:ind w:left="7995" w:hanging="360"/>
      </w:pPr>
      <w:rPr>
        <w:rFonts w:hint="default"/>
        <w:lang w:val="en-US" w:eastAsia="en-US" w:bidi="en-US"/>
      </w:rPr>
    </w:lvl>
    <w:lvl w:ilvl="8" w:tplc="2B36097E">
      <w:numFmt w:val="bullet"/>
      <w:lvlText w:val="•"/>
      <w:lvlJc w:val="left"/>
      <w:pPr>
        <w:ind w:left="8972" w:hanging="360"/>
      </w:pPr>
      <w:rPr>
        <w:rFonts w:hint="default"/>
        <w:lang w:val="en-US" w:eastAsia="en-US" w:bidi="en-US"/>
      </w:rPr>
    </w:lvl>
  </w:abstractNum>
  <w:abstractNum w:abstractNumId="11" w15:restartNumberingAfterBreak="0">
    <w:nsid w:val="44425157"/>
    <w:multiLevelType w:val="hybridMultilevel"/>
    <w:tmpl w:val="93A2394C"/>
    <w:lvl w:ilvl="0" w:tplc="6FF4472C">
      <w:start w:val="1"/>
      <w:numFmt w:val="lowerLetter"/>
      <w:lvlText w:val="%1)"/>
      <w:lvlJc w:val="left"/>
      <w:pPr>
        <w:ind w:left="1189" w:hanging="360"/>
        <w:jc w:val="left"/>
      </w:pPr>
      <w:rPr>
        <w:rFonts w:ascii="Calibri" w:eastAsia="Calibri" w:hAnsi="Calibri" w:cs="Calibri" w:hint="default"/>
        <w:color w:val="003366"/>
        <w:spacing w:val="-1"/>
        <w:w w:val="100"/>
        <w:sz w:val="18"/>
        <w:szCs w:val="18"/>
        <w:lang w:val="en-US" w:eastAsia="en-US" w:bidi="en-US"/>
      </w:rPr>
    </w:lvl>
    <w:lvl w:ilvl="1" w:tplc="C78E2146">
      <w:numFmt w:val="bullet"/>
      <w:lvlText w:val="•"/>
      <w:lvlJc w:val="left"/>
      <w:pPr>
        <w:ind w:left="1525" w:hanging="360"/>
      </w:pPr>
      <w:rPr>
        <w:rFonts w:ascii="Arial" w:eastAsia="Arial" w:hAnsi="Arial" w:cs="Arial" w:hint="default"/>
        <w:color w:val="003366"/>
        <w:w w:val="130"/>
        <w:sz w:val="20"/>
        <w:szCs w:val="20"/>
        <w:lang w:val="en-US" w:eastAsia="en-US" w:bidi="en-US"/>
      </w:rPr>
    </w:lvl>
    <w:lvl w:ilvl="2" w:tplc="C59EC72A">
      <w:numFmt w:val="bullet"/>
      <w:lvlText w:val="•"/>
      <w:lvlJc w:val="left"/>
      <w:pPr>
        <w:ind w:left="2565" w:hanging="360"/>
      </w:pPr>
      <w:rPr>
        <w:rFonts w:hint="default"/>
        <w:lang w:val="en-US" w:eastAsia="en-US" w:bidi="en-US"/>
      </w:rPr>
    </w:lvl>
    <w:lvl w:ilvl="3" w:tplc="12B2BB54">
      <w:numFmt w:val="bullet"/>
      <w:lvlText w:val="•"/>
      <w:lvlJc w:val="left"/>
      <w:pPr>
        <w:ind w:left="3610" w:hanging="360"/>
      </w:pPr>
      <w:rPr>
        <w:rFonts w:hint="default"/>
        <w:lang w:val="en-US" w:eastAsia="en-US" w:bidi="en-US"/>
      </w:rPr>
    </w:lvl>
    <w:lvl w:ilvl="4" w:tplc="0ED4419A">
      <w:numFmt w:val="bullet"/>
      <w:lvlText w:val="•"/>
      <w:lvlJc w:val="left"/>
      <w:pPr>
        <w:ind w:left="4655" w:hanging="360"/>
      </w:pPr>
      <w:rPr>
        <w:rFonts w:hint="default"/>
        <w:lang w:val="en-US" w:eastAsia="en-US" w:bidi="en-US"/>
      </w:rPr>
    </w:lvl>
    <w:lvl w:ilvl="5" w:tplc="39362820">
      <w:numFmt w:val="bullet"/>
      <w:lvlText w:val="•"/>
      <w:lvlJc w:val="left"/>
      <w:pPr>
        <w:ind w:left="5700" w:hanging="360"/>
      </w:pPr>
      <w:rPr>
        <w:rFonts w:hint="default"/>
        <w:lang w:val="en-US" w:eastAsia="en-US" w:bidi="en-US"/>
      </w:rPr>
    </w:lvl>
    <w:lvl w:ilvl="6" w:tplc="A4DABD2E">
      <w:numFmt w:val="bullet"/>
      <w:lvlText w:val="•"/>
      <w:lvlJc w:val="left"/>
      <w:pPr>
        <w:ind w:left="6745" w:hanging="360"/>
      </w:pPr>
      <w:rPr>
        <w:rFonts w:hint="default"/>
        <w:lang w:val="en-US" w:eastAsia="en-US" w:bidi="en-US"/>
      </w:rPr>
    </w:lvl>
    <w:lvl w:ilvl="7" w:tplc="0DD88C0E">
      <w:numFmt w:val="bullet"/>
      <w:lvlText w:val="•"/>
      <w:lvlJc w:val="left"/>
      <w:pPr>
        <w:ind w:left="7790" w:hanging="360"/>
      </w:pPr>
      <w:rPr>
        <w:rFonts w:hint="default"/>
        <w:lang w:val="en-US" w:eastAsia="en-US" w:bidi="en-US"/>
      </w:rPr>
    </w:lvl>
    <w:lvl w:ilvl="8" w:tplc="7BC81A4E">
      <w:numFmt w:val="bullet"/>
      <w:lvlText w:val="•"/>
      <w:lvlJc w:val="left"/>
      <w:pPr>
        <w:ind w:left="8835" w:hanging="360"/>
      </w:pPr>
      <w:rPr>
        <w:rFonts w:hint="default"/>
        <w:lang w:val="en-US" w:eastAsia="en-US" w:bidi="en-US"/>
      </w:rPr>
    </w:lvl>
  </w:abstractNum>
  <w:abstractNum w:abstractNumId="12" w15:restartNumberingAfterBreak="0">
    <w:nsid w:val="47B24678"/>
    <w:multiLevelType w:val="hybridMultilevel"/>
    <w:tmpl w:val="45EE4118"/>
    <w:lvl w:ilvl="0" w:tplc="A720F17C">
      <w:start w:val="1"/>
      <w:numFmt w:val="lowerLetter"/>
      <w:lvlText w:val="%1)"/>
      <w:lvlJc w:val="left"/>
      <w:pPr>
        <w:ind w:left="1043" w:hanging="428"/>
        <w:jc w:val="left"/>
      </w:pPr>
      <w:rPr>
        <w:rFonts w:ascii="Calibri" w:eastAsia="Calibri" w:hAnsi="Calibri" w:cs="Calibri" w:hint="default"/>
        <w:b/>
        <w:bCs/>
        <w:color w:val="003366"/>
        <w:w w:val="99"/>
        <w:sz w:val="20"/>
        <w:szCs w:val="20"/>
        <w:lang w:val="en-US" w:eastAsia="en-US" w:bidi="en-US"/>
      </w:rPr>
    </w:lvl>
    <w:lvl w:ilvl="1" w:tplc="EAB60AB0">
      <w:numFmt w:val="bullet"/>
      <w:lvlText w:val="•"/>
      <w:lvlJc w:val="left"/>
      <w:pPr>
        <w:ind w:left="1962" w:hanging="1133"/>
      </w:pPr>
      <w:rPr>
        <w:rFonts w:ascii="Arial" w:eastAsia="Arial" w:hAnsi="Arial" w:cs="Arial" w:hint="default"/>
        <w:color w:val="003366"/>
        <w:w w:val="130"/>
        <w:sz w:val="20"/>
        <w:szCs w:val="20"/>
        <w:lang w:val="en-US" w:eastAsia="en-US" w:bidi="en-US"/>
      </w:rPr>
    </w:lvl>
    <w:lvl w:ilvl="2" w:tplc="573636AA">
      <w:numFmt w:val="bullet"/>
      <w:lvlText w:val="•"/>
      <w:lvlJc w:val="left"/>
      <w:pPr>
        <w:ind w:left="2956" w:hanging="1133"/>
      </w:pPr>
      <w:rPr>
        <w:rFonts w:hint="default"/>
        <w:lang w:val="en-US" w:eastAsia="en-US" w:bidi="en-US"/>
      </w:rPr>
    </w:lvl>
    <w:lvl w:ilvl="3" w:tplc="A52AC07E">
      <w:numFmt w:val="bullet"/>
      <w:lvlText w:val="•"/>
      <w:lvlJc w:val="left"/>
      <w:pPr>
        <w:ind w:left="3952" w:hanging="1133"/>
      </w:pPr>
      <w:rPr>
        <w:rFonts w:hint="default"/>
        <w:lang w:val="en-US" w:eastAsia="en-US" w:bidi="en-US"/>
      </w:rPr>
    </w:lvl>
    <w:lvl w:ilvl="4" w:tplc="53320446">
      <w:numFmt w:val="bullet"/>
      <w:lvlText w:val="•"/>
      <w:lvlJc w:val="left"/>
      <w:pPr>
        <w:ind w:left="4948" w:hanging="1133"/>
      </w:pPr>
      <w:rPr>
        <w:rFonts w:hint="default"/>
        <w:lang w:val="en-US" w:eastAsia="en-US" w:bidi="en-US"/>
      </w:rPr>
    </w:lvl>
    <w:lvl w:ilvl="5" w:tplc="42B69322">
      <w:numFmt w:val="bullet"/>
      <w:lvlText w:val="•"/>
      <w:lvlJc w:val="left"/>
      <w:pPr>
        <w:ind w:left="5944" w:hanging="1133"/>
      </w:pPr>
      <w:rPr>
        <w:rFonts w:hint="default"/>
        <w:lang w:val="en-US" w:eastAsia="en-US" w:bidi="en-US"/>
      </w:rPr>
    </w:lvl>
    <w:lvl w:ilvl="6" w:tplc="2694881C">
      <w:numFmt w:val="bullet"/>
      <w:lvlText w:val="•"/>
      <w:lvlJc w:val="left"/>
      <w:pPr>
        <w:ind w:left="6940" w:hanging="1133"/>
      </w:pPr>
      <w:rPr>
        <w:rFonts w:hint="default"/>
        <w:lang w:val="en-US" w:eastAsia="en-US" w:bidi="en-US"/>
      </w:rPr>
    </w:lvl>
    <w:lvl w:ilvl="7" w:tplc="1436BD9E">
      <w:numFmt w:val="bullet"/>
      <w:lvlText w:val="•"/>
      <w:lvlJc w:val="left"/>
      <w:pPr>
        <w:ind w:left="7937" w:hanging="1133"/>
      </w:pPr>
      <w:rPr>
        <w:rFonts w:hint="default"/>
        <w:lang w:val="en-US" w:eastAsia="en-US" w:bidi="en-US"/>
      </w:rPr>
    </w:lvl>
    <w:lvl w:ilvl="8" w:tplc="C5A61760">
      <w:numFmt w:val="bullet"/>
      <w:lvlText w:val="•"/>
      <w:lvlJc w:val="left"/>
      <w:pPr>
        <w:ind w:left="8933" w:hanging="1133"/>
      </w:pPr>
      <w:rPr>
        <w:rFonts w:hint="default"/>
        <w:lang w:val="en-US" w:eastAsia="en-US" w:bidi="en-US"/>
      </w:rPr>
    </w:lvl>
  </w:abstractNum>
  <w:abstractNum w:abstractNumId="13" w15:restartNumberingAfterBreak="0">
    <w:nsid w:val="4FA110A4"/>
    <w:multiLevelType w:val="hybridMultilevel"/>
    <w:tmpl w:val="22928ACA"/>
    <w:lvl w:ilvl="0" w:tplc="DB68A9AE">
      <w:start w:val="1"/>
      <w:numFmt w:val="lowerRoman"/>
      <w:lvlText w:val="(%1)"/>
      <w:lvlJc w:val="left"/>
      <w:pPr>
        <w:ind w:left="1650" w:hanging="569"/>
        <w:jc w:val="left"/>
      </w:pPr>
      <w:rPr>
        <w:rFonts w:ascii="Calibri" w:eastAsia="Calibri" w:hAnsi="Calibri" w:cs="Calibri" w:hint="default"/>
        <w:color w:val="003366"/>
        <w:spacing w:val="-1"/>
        <w:w w:val="99"/>
        <w:sz w:val="20"/>
        <w:szCs w:val="20"/>
        <w:lang w:val="en-US" w:eastAsia="en-US" w:bidi="en-US"/>
      </w:rPr>
    </w:lvl>
    <w:lvl w:ilvl="1" w:tplc="1F928E0A">
      <w:numFmt w:val="bullet"/>
      <w:lvlText w:val="•"/>
      <w:lvlJc w:val="left"/>
      <w:pPr>
        <w:ind w:left="2586" w:hanging="569"/>
      </w:pPr>
      <w:rPr>
        <w:rFonts w:hint="default"/>
        <w:lang w:val="en-US" w:eastAsia="en-US" w:bidi="en-US"/>
      </w:rPr>
    </w:lvl>
    <w:lvl w:ilvl="2" w:tplc="A71EA4AC">
      <w:numFmt w:val="bullet"/>
      <w:lvlText w:val="•"/>
      <w:lvlJc w:val="left"/>
      <w:pPr>
        <w:ind w:left="3513" w:hanging="569"/>
      </w:pPr>
      <w:rPr>
        <w:rFonts w:hint="default"/>
        <w:lang w:val="en-US" w:eastAsia="en-US" w:bidi="en-US"/>
      </w:rPr>
    </w:lvl>
    <w:lvl w:ilvl="3" w:tplc="F8349830">
      <w:numFmt w:val="bullet"/>
      <w:lvlText w:val="•"/>
      <w:lvlJc w:val="left"/>
      <w:pPr>
        <w:ind w:left="4439" w:hanging="569"/>
      </w:pPr>
      <w:rPr>
        <w:rFonts w:hint="default"/>
        <w:lang w:val="en-US" w:eastAsia="en-US" w:bidi="en-US"/>
      </w:rPr>
    </w:lvl>
    <w:lvl w:ilvl="4" w:tplc="E2B4D366">
      <w:numFmt w:val="bullet"/>
      <w:lvlText w:val="•"/>
      <w:lvlJc w:val="left"/>
      <w:pPr>
        <w:ind w:left="5366" w:hanging="569"/>
      </w:pPr>
      <w:rPr>
        <w:rFonts w:hint="default"/>
        <w:lang w:val="en-US" w:eastAsia="en-US" w:bidi="en-US"/>
      </w:rPr>
    </w:lvl>
    <w:lvl w:ilvl="5" w:tplc="A31CD1C4">
      <w:numFmt w:val="bullet"/>
      <w:lvlText w:val="•"/>
      <w:lvlJc w:val="left"/>
      <w:pPr>
        <w:ind w:left="6292" w:hanging="569"/>
      </w:pPr>
      <w:rPr>
        <w:rFonts w:hint="default"/>
        <w:lang w:val="en-US" w:eastAsia="en-US" w:bidi="en-US"/>
      </w:rPr>
    </w:lvl>
    <w:lvl w:ilvl="6" w:tplc="C7F23CF4">
      <w:numFmt w:val="bullet"/>
      <w:lvlText w:val="•"/>
      <w:lvlJc w:val="left"/>
      <w:pPr>
        <w:ind w:left="7219" w:hanging="569"/>
      </w:pPr>
      <w:rPr>
        <w:rFonts w:hint="default"/>
        <w:lang w:val="en-US" w:eastAsia="en-US" w:bidi="en-US"/>
      </w:rPr>
    </w:lvl>
    <w:lvl w:ilvl="7" w:tplc="EA625D8C">
      <w:numFmt w:val="bullet"/>
      <w:lvlText w:val="•"/>
      <w:lvlJc w:val="left"/>
      <w:pPr>
        <w:ind w:left="8145" w:hanging="569"/>
      </w:pPr>
      <w:rPr>
        <w:rFonts w:hint="default"/>
        <w:lang w:val="en-US" w:eastAsia="en-US" w:bidi="en-US"/>
      </w:rPr>
    </w:lvl>
    <w:lvl w:ilvl="8" w:tplc="5994EC94">
      <w:numFmt w:val="bullet"/>
      <w:lvlText w:val="•"/>
      <w:lvlJc w:val="left"/>
      <w:pPr>
        <w:ind w:left="9072" w:hanging="569"/>
      </w:pPr>
      <w:rPr>
        <w:rFonts w:hint="default"/>
        <w:lang w:val="en-US" w:eastAsia="en-US" w:bidi="en-US"/>
      </w:rPr>
    </w:lvl>
  </w:abstractNum>
  <w:abstractNum w:abstractNumId="14" w15:restartNumberingAfterBreak="0">
    <w:nsid w:val="52E302CF"/>
    <w:multiLevelType w:val="hybridMultilevel"/>
    <w:tmpl w:val="EBE68354"/>
    <w:lvl w:ilvl="0" w:tplc="8CB2F160">
      <w:start w:val="1"/>
      <w:numFmt w:val="lowerLetter"/>
      <w:lvlText w:val="(%1)"/>
      <w:lvlJc w:val="left"/>
      <w:pPr>
        <w:ind w:left="1395" w:hanging="567"/>
        <w:jc w:val="left"/>
      </w:pPr>
      <w:rPr>
        <w:rFonts w:ascii="Calibri" w:eastAsia="Calibri" w:hAnsi="Calibri" w:cs="Calibri" w:hint="default"/>
        <w:color w:val="003366"/>
        <w:spacing w:val="-1"/>
        <w:w w:val="99"/>
        <w:sz w:val="20"/>
        <w:szCs w:val="20"/>
        <w:lang w:val="en-US" w:eastAsia="en-US" w:bidi="en-US"/>
      </w:rPr>
    </w:lvl>
    <w:lvl w:ilvl="1" w:tplc="81565140">
      <w:numFmt w:val="bullet"/>
      <w:lvlText w:val="•"/>
      <w:lvlJc w:val="left"/>
      <w:pPr>
        <w:ind w:left="2352" w:hanging="567"/>
      </w:pPr>
      <w:rPr>
        <w:rFonts w:hint="default"/>
        <w:lang w:val="en-US" w:eastAsia="en-US" w:bidi="en-US"/>
      </w:rPr>
    </w:lvl>
    <w:lvl w:ilvl="2" w:tplc="62EC8F28">
      <w:numFmt w:val="bullet"/>
      <w:lvlText w:val="•"/>
      <w:lvlJc w:val="left"/>
      <w:pPr>
        <w:ind w:left="3305" w:hanging="567"/>
      </w:pPr>
      <w:rPr>
        <w:rFonts w:hint="default"/>
        <w:lang w:val="en-US" w:eastAsia="en-US" w:bidi="en-US"/>
      </w:rPr>
    </w:lvl>
    <w:lvl w:ilvl="3" w:tplc="8410CE0A">
      <w:numFmt w:val="bullet"/>
      <w:lvlText w:val="•"/>
      <w:lvlJc w:val="left"/>
      <w:pPr>
        <w:ind w:left="4257" w:hanging="567"/>
      </w:pPr>
      <w:rPr>
        <w:rFonts w:hint="default"/>
        <w:lang w:val="en-US" w:eastAsia="en-US" w:bidi="en-US"/>
      </w:rPr>
    </w:lvl>
    <w:lvl w:ilvl="4" w:tplc="05B08DC0">
      <w:numFmt w:val="bullet"/>
      <w:lvlText w:val="•"/>
      <w:lvlJc w:val="left"/>
      <w:pPr>
        <w:ind w:left="5210" w:hanging="567"/>
      </w:pPr>
      <w:rPr>
        <w:rFonts w:hint="default"/>
        <w:lang w:val="en-US" w:eastAsia="en-US" w:bidi="en-US"/>
      </w:rPr>
    </w:lvl>
    <w:lvl w:ilvl="5" w:tplc="9AE27A1A">
      <w:numFmt w:val="bullet"/>
      <w:lvlText w:val="•"/>
      <w:lvlJc w:val="left"/>
      <w:pPr>
        <w:ind w:left="6162" w:hanging="567"/>
      </w:pPr>
      <w:rPr>
        <w:rFonts w:hint="default"/>
        <w:lang w:val="en-US" w:eastAsia="en-US" w:bidi="en-US"/>
      </w:rPr>
    </w:lvl>
    <w:lvl w:ilvl="6" w:tplc="A4E8E2EA">
      <w:numFmt w:val="bullet"/>
      <w:lvlText w:val="•"/>
      <w:lvlJc w:val="left"/>
      <w:pPr>
        <w:ind w:left="7115" w:hanging="567"/>
      </w:pPr>
      <w:rPr>
        <w:rFonts w:hint="default"/>
        <w:lang w:val="en-US" w:eastAsia="en-US" w:bidi="en-US"/>
      </w:rPr>
    </w:lvl>
    <w:lvl w:ilvl="7" w:tplc="C57A92A6">
      <w:numFmt w:val="bullet"/>
      <w:lvlText w:val="•"/>
      <w:lvlJc w:val="left"/>
      <w:pPr>
        <w:ind w:left="8067" w:hanging="567"/>
      </w:pPr>
      <w:rPr>
        <w:rFonts w:hint="default"/>
        <w:lang w:val="en-US" w:eastAsia="en-US" w:bidi="en-US"/>
      </w:rPr>
    </w:lvl>
    <w:lvl w:ilvl="8" w:tplc="974226A0">
      <w:numFmt w:val="bullet"/>
      <w:lvlText w:val="•"/>
      <w:lvlJc w:val="left"/>
      <w:pPr>
        <w:ind w:left="9020" w:hanging="567"/>
      </w:pPr>
      <w:rPr>
        <w:rFonts w:hint="default"/>
        <w:lang w:val="en-US" w:eastAsia="en-US" w:bidi="en-US"/>
      </w:rPr>
    </w:lvl>
  </w:abstractNum>
  <w:abstractNum w:abstractNumId="15" w15:restartNumberingAfterBreak="0">
    <w:nsid w:val="56900EA6"/>
    <w:multiLevelType w:val="hybridMultilevel"/>
    <w:tmpl w:val="67A0F01A"/>
    <w:lvl w:ilvl="0" w:tplc="C44668B6">
      <w:start w:val="1"/>
      <w:numFmt w:val="decimal"/>
      <w:lvlText w:val="%1"/>
      <w:lvlJc w:val="left"/>
      <w:pPr>
        <w:ind w:left="323" w:hanging="171"/>
        <w:jc w:val="left"/>
      </w:pPr>
      <w:rPr>
        <w:rFonts w:ascii="Calibri" w:eastAsia="Calibri" w:hAnsi="Calibri" w:cs="Calibri" w:hint="default"/>
        <w:spacing w:val="-6"/>
        <w:w w:val="99"/>
        <w:sz w:val="18"/>
        <w:szCs w:val="18"/>
        <w:lang w:val="en-US" w:eastAsia="en-US" w:bidi="en-US"/>
      </w:rPr>
    </w:lvl>
    <w:lvl w:ilvl="1" w:tplc="6CA2FBC6">
      <w:numFmt w:val="bullet"/>
      <w:lvlText w:val="•"/>
      <w:lvlJc w:val="left"/>
      <w:pPr>
        <w:ind w:left="1380" w:hanging="171"/>
      </w:pPr>
      <w:rPr>
        <w:rFonts w:hint="default"/>
        <w:lang w:val="en-US" w:eastAsia="en-US" w:bidi="en-US"/>
      </w:rPr>
    </w:lvl>
    <w:lvl w:ilvl="2" w:tplc="9070C65E">
      <w:numFmt w:val="bullet"/>
      <w:lvlText w:val="•"/>
      <w:lvlJc w:val="left"/>
      <w:pPr>
        <w:ind w:left="2441" w:hanging="171"/>
      </w:pPr>
      <w:rPr>
        <w:rFonts w:hint="default"/>
        <w:lang w:val="en-US" w:eastAsia="en-US" w:bidi="en-US"/>
      </w:rPr>
    </w:lvl>
    <w:lvl w:ilvl="3" w:tplc="9B629BC4">
      <w:numFmt w:val="bullet"/>
      <w:lvlText w:val="•"/>
      <w:lvlJc w:val="left"/>
      <w:pPr>
        <w:ind w:left="3501" w:hanging="171"/>
      </w:pPr>
      <w:rPr>
        <w:rFonts w:hint="default"/>
        <w:lang w:val="en-US" w:eastAsia="en-US" w:bidi="en-US"/>
      </w:rPr>
    </w:lvl>
    <w:lvl w:ilvl="4" w:tplc="13D678BE">
      <w:numFmt w:val="bullet"/>
      <w:lvlText w:val="•"/>
      <w:lvlJc w:val="left"/>
      <w:pPr>
        <w:ind w:left="4562" w:hanging="171"/>
      </w:pPr>
      <w:rPr>
        <w:rFonts w:hint="default"/>
        <w:lang w:val="en-US" w:eastAsia="en-US" w:bidi="en-US"/>
      </w:rPr>
    </w:lvl>
    <w:lvl w:ilvl="5" w:tplc="B036B552">
      <w:numFmt w:val="bullet"/>
      <w:lvlText w:val="•"/>
      <w:lvlJc w:val="left"/>
      <w:pPr>
        <w:ind w:left="5622" w:hanging="171"/>
      </w:pPr>
      <w:rPr>
        <w:rFonts w:hint="default"/>
        <w:lang w:val="en-US" w:eastAsia="en-US" w:bidi="en-US"/>
      </w:rPr>
    </w:lvl>
    <w:lvl w:ilvl="6" w:tplc="C218CAC6">
      <w:numFmt w:val="bullet"/>
      <w:lvlText w:val="•"/>
      <w:lvlJc w:val="left"/>
      <w:pPr>
        <w:ind w:left="6683" w:hanging="171"/>
      </w:pPr>
      <w:rPr>
        <w:rFonts w:hint="default"/>
        <w:lang w:val="en-US" w:eastAsia="en-US" w:bidi="en-US"/>
      </w:rPr>
    </w:lvl>
    <w:lvl w:ilvl="7" w:tplc="94E2054E">
      <w:numFmt w:val="bullet"/>
      <w:lvlText w:val="•"/>
      <w:lvlJc w:val="left"/>
      <w:pPr>
        <w:ind w:left="7743" w:hanging="171"/>
      </w:pPr>
      <w:rPr>
        <w:rFonts w:hint="default"/>
        <w:lang w:val="en-US" w:eastAsia="en-US" w:bidi="en-US"/>
      </w:rPr>
    </w:lvl>
    <w:lvl w:ilvl="8" w:tplc="FC4CA3BC">
      <w:numFmt w:val="bullet"/>
      <w:lvlText w:val="•"/>
      <w:lvlJc w:val="left"/>
      <w:pPr>
        <w:ind w:left="8804" w:hanging="171"/>
      </w:pPr>
      <w:rPr>
        <w:rFonts w:hint="default"/>
        <w:lang w:val="en-US" w:eastAsia="en-US" w:bidi="en-US"/>
      </w:rPr>
    </w:lvl>
  </w:abstractNum>
  <w:abstractNum w:abstractNumId="16" w15:restartNumberingAfterBreak="0">
    <w:nsid w:val="572866FB"/>
    <w:multiLevelType w:val="hybridMultilevel"/>
    <w:tmpl w:val="0504B28A"/>
    <w:lvl w:ilvl="0" w:tplc="F5D48F1E">
      <w:start w:val="1"/>
      <w:numFmt w:val="lowerLetter"/>
      <w:lvlText w:val="%1)"/>
      <w:lvlJc w:val="left"/>
      <w:pPr>
        <w:ind w:left="1144" w:hanging="360"/>
        <w:jc w:val="left"/>
      </w:pPr>
      <w:rPr>
        <w:rFonts w:ascii="Calibri" w:eastAsia="Calibri" w:hAnsi="Calibri" w:cs="Calibri" w:hint="default"/>
        <w:color w:val="003366"/>
        <w:spacing w:val="-2"/>
        <w:w w:val="100"/>
        <w:sz w:val="18"/>
        <w:szCs w:val="18"/>
        <w:lang w:val="en-US" w:eastAsia="en-US" w:bidi="en-US"/>
      </w:rPr>
    </w:lvl>
    <w:lvl w:ilvl="1" w:tplc="DD8A9354">
      <w:numFmt w:val="bullet"/>
      <w:lvlText w:val="•"/>
      <w:lvlJc w:val="left"/>
      <w:pPr>
        <w:ind w:left="2118" w:hanging="360"/>
      </w:pPr>
      <w:rPr>
        <w:rFonts w:hint="default"/>
        <w:lang w:val="en-US" w:eastAsia="en-US" w:bidi="en-US"/>
      </w:rPr>
    </w:lvl>
    <w:lvl w:ilvl="2" w:tplc="728AAF52">
      <w:numFmt w:val="bullet"/>
      <w:lvlText w:val="•"/>
      <w:lvlJc w:val="left"/>
      <w:pPr>
        <w:ind w:left="3097" w:hanging="360"/>
      </w:pPr>
      <w:rPr>
        <w:rFonts w:hint="default"/>
        <w:lang w:val="en-US" w:eastAsia="en-US" w:bidi="en-US"/>
      </w:rPr>
    </w:lvl>
    <w:lvl w:ilvl="3" w:tplc="4D64501A">
      <w:numFmt w:val="bullet"/>
      <w:lvlText w:val="•"/>
      <w:lvlJc w:val="left"/>
      <w:pPr>
        <w:ind w:left="4075" w:hanging="360"/>
      </w:pPr>
      <w:rPr>
        <w:rFonts w:hint="default"/>
        <w:lang w:val="en-US" w:eastAsia="en-US" w:bidi="en-US"/>
      </w:rPr>
    </w:lvl>
    <w:lvl w:ilvl="4" w:tplc="67C2182E">
      <w:numFmt w:val="bullet"/>
      <w:lvlText w:val="•"/>
      <w:lvlJc w:val="left"/>
      <w:pPr>
        <w:ind w:left="5054" w:hanging="360"/>
      </w:pPr>
      <w:rPr>
        <w:rFonts w:hint="default"/>
        <w:lang w:val="en-US" w:eastAsia="en-US" w:bidi="en-US"/>
      </w:rPr>
    </w:lvl>
    <w:lvl w:ilvl="5" w:tplc="DAC680BC">
      <w:numFmt w:val="bullet"/>
      <w:lvlText w:val="•"/>
      <w:lvlJc w:val="left"/>
      <w:pPr>
        <w:ind w:left="6032" w:hanging="360"/>
      </w:pPr>
      <w:rPr>
        <w:rFonts w:hint="default"/>
        <w:lang w:val="en-US" w:eastAsia="en-US" w:bidi="en-US"/>
      </w:rPr>
    </w:lvl>
    <w:lvl w:ilvl="6" w:tplc="38F44850">
      <w:numFmt w:val="bullet"/>
      <w:lvlText w:val="•"/>
      <w:lvlJc w:val="left"/>
      <w:pPr>
        <w:ind w:left="7011" w:hanging="360"/>
      </w:pPr>
      <w:rPr>
        <w:rFonts w:hint="default"/>
        <w:lang w:val="en-US" w:eastAsia="en-US" w:bidi="en-US"/>
      </w:rPr>
    </w:lvl>
    <w:lvl w:ilvl="7" w:tplc="9E548F1E">
      <w:numFmt w:val="bullet"/>
      <w:lvlText w:val="•"/>
      <w:lvlJc w:val="left"/>
      <w:pPr>
        <w:ind w:left="7989" w:hanging="360"/>
      </w:pPr>
      <w:rPr>
        <w:rFonts w:hint="default"/>
        <w:lang w:val="en-US" w:eastAsia="en-US" w:bidi="en-US"/>
      </w:rPr>
    </w:lvl>
    <w:lvl w:ilvl="8" w:tplc="136C6256">
      <w:numFmt w:val="bullet"/>
      <w:lvlText w:val="•"/>
      <w:lvlJc w:val="left"/>
      <w:pPr>
        <w:ind w:left="8968" w:hanging="360"/>
      </w:pPr>
      <w:rPr>
        <w:rFonts w:hint="default"/>
        <w:lang w:val="en-US" w:eastAsia="en-US" w:bidi="en-US"/>
      </w:rPr>
    </w:lvl>
  </w:abstractNum>
  <w:abstractNum w:abstractNumId="17" w15:restartNumberingAfterBreak="0">
    <w:nsid w:val="73D759BD"/>
    <w:multiLevelType w:val="hybridMultilevel"/>
    <w:tmpl w:val="D6B44474"/>
    <w:lvl w:ilvl="0" w:tplc="9162E952">
      <w:start w:val="1"/>
      <w:numFmt w:val="lowerLetter"/>
      <w:lvlText w:val="(%1)"/>
      <w:lvlJc w:val="left"/>
      <w:pPr>
        <w:ind w:left="1395" w:hanging="567"/>
        <w:jc w:val="left"/>
      </w:pPr>
      <w:rPr>
        <w:rFonts w:ascii="Calibri-BoldItalic" w:eastAsia="Calibri-BoldItalic" w:hAnsi="Calibri-BoldItalic" w:cs="Calibri-BoldItalic" w:hint="default"/>
        <w:b/>
        <w:bCs/>
        <w:i/>
        <w:color w:val="003366"/>
        <w:w w:val="99"/>
        <w:sz w:val="20"/>
        <w:szCs w:val="20"/>
        <w:lang w:val="en-US" w:eastAsia="en-US" w:bidi="en-US"/>
      </w:rPr>
    </w:lvl>
    <w:lvl w:ilvl="1" w:tplc="A01270B8">
      <w:numFmt w:val="bullet"/>
      <w:lvlText w:val="•"/>
      <w:lvlJc w:val="left"/>
      <w:pPr>
        <w:ind w:left="2352" w:hanging="567"/>
      </w:pPr>
      <w:rPr>
        <w:rFonts w:hint="default"/>
        <w:lang w:val="en-US" w:eastAsia="en-US" w:bidi="en-US"/>
      </w:rPr>
    </w:lvl>
    <w:lvl w:ilvl="2" w:tplc="D91ED5EC">
      <w:numFmt w:val="bullet"/>
      <w:lvlText w:val="•"/>
      <w:lvlJc w:val="left"/>
      <w:pPr>
        <w:ind w:left="3305" w:hanging="567"/>
      </w:pPr>
      <w:rPr>
        <w:rFonts w:hint="default"/>
        <w:lang w:val="en-US" w:eastAsia="en-US" w:bidi="en-US"/>
      </w:rPr>
    </w:lvl>
    <w:lvl w:ilvl="3" w:tplc="7D3282C4">
      <w:numFmt w:val="bullet"/>
      <w:lvlText w:val="•"/>
      <w:lvlJc w:val="left"/>
      <w:pPr>
        <w:ind w:left="4257" w:hanging="567"/>
      </w:pPr>
      <w:rPr>
        <w:rFonts w:hint="default"/>
        <w:lang w:val="en-US" w:eastAsia="en-US" w:bidi="en-US"/>
      </w:rPr>
    </w:lvl>
    <w:lvl w:ilvl="4" w:tplc="339E7BC4">
      <w:numFmt w:val="bullet"/>
      <w:lvlText w:val="•"/>
      <w:lvlJc w:val="left"/>
      <w:pPr>
        <w:ind w:left="5210" w:hanging="567"/>
      </w:pPr>
      <w:rPr>
        <w:rFonts w:hint="default"/>
        <w:lang w:val="en-US" w:eastAsia="en-US" w:bidi="en-US"/>
      </w:rPr>
    </w:lvl>
    <w:lvl w:ilvl="5" w:tplc="965A82B0">
      <w:numFmt w:val="bullet"/>
      <w:lvlText w:val="•"/>
      <w:lvlJc w:val="left"/>
      <w:pPr>
        <w:ind w:left="6162" w:hanging="567"/>
      </w:pPr>
      <w:rPr>
        <w:rFonts w:hint="default"/>
        <w:lang w:val="en-US" w:eastAsia="en-US" w:bidi="en-US"/>
      </w:rPr>
    </w:lvl>
    <w:lvl w:ilvl="6" w:tplc="0906AA02">
      <w:numFmt w:val="bullet"/>
      <w:lvlText w:val="•"/>
      <w:lvlJc w:val="left"/>
      <w:pPr>
        <w:ind w:left="7115" w:hanging="567"/>
      </w:pPr>
      <w:rPr>
        <w:rFonts w:hint="default"/>
        <w:lang w:val="en-US" w:eastAsia="en-US" w:bidi="en-US"/>
      </w:rPr>
    </w:lvl>
    <w:lvl w:ilvl="7" w:tplc="79E85920">
      <w:numFmt w:val="bullet"/>
      <w:lvlText w:val="•"/>
      <w:lvlJc w:val="left"/>
      <w:pPr>
        <w:ind w:left="8067" w:hanging="567"/>
      </w:pPr>
      <w:rPr>
        <w:rFonts w:hint="default"/>
        <w:lang w:val="en-US" w:eastAsia="en-US" w:bidi="en-US"/>
      </w:rPr>
    </w:lvl>
    <w:lvl w:ilvl="8" w:tplc="8C309520">
      <w:numFmt w:val="bullet"/>
      <w:lvlText w:val="•"/>
      <w:lvlJc w:val="left"/>
      <w:pPr>
        <w:ind w:left="9020" w:hanging="567"/>
      </w:pPr>
      <w:rPr>
        <w:rFonts w:hint="default"/>
        <w:lang w:val="en-US" w:eastAsia="en-US" w:bidi="en-US"/>
      </w:rPr>
    </w:lvl>
  </w:abstractNum>
  <w:abstractNum w:abstractNumId="18" w15:restartNumberingAfterBreak="0">
    <w:nsid w:val="74692973"/>
    <w:multiLevelType w:val="multilevel"/>
    <w:tmpl w:val="7368F062"/>
    <w:lvl w:ilvl="0">
      <w:start w:val="30"/>
      <w:numFmt w:val="decimal"/>
      <w:lvlText w:val="%1"/>
      <w:lvlJc w:val="left"/>
      <w:pPr>
        <w:ind w:left="589" w:hanging="436"/>
        <w:jc w:val="left"/>
      </w:pPr>
      <w:rPr>
        <w:rFonts w:hint="default"/>
        <w:lang w:val="en-US" w:eastAsia="en-US" w:bidi="en-US"/>
      </w:rPr>
    </w:lvl>
    <w:lvl w:ilvl="1">
      <w:start w:val="8"/>
      <w:numFmt w:val="decimal"/>
      <w:lvlText w:val="%1.%2"/>
      <w:lvlJc w:val="left"/>
      <w:pPr>
        <w:ind w:left="589" w:hanging="436"/>
        <w:jc w:val="left"/>
      </w:pPr>
      <w:rPr>
        <w:rFonts w:ascii="Calibri-Light" w:eastAsia="Calibri-Light" w:hAnsi="Calibri-Light" w:cs="Calibri-Light" w:hint="default"/>
        <w:spacing w:val="-6"/>
        <w:w w:val="99"/>
        <w:sz w:val="22"/>
        <w:szCs w:val="22"/>
        <w:lang w:val="en-US" w:eastAsia="en-US" w:bidi="en-US"/>
      </w:rPr>
    </w:lvl>
    <w:lvl w:ilvl="2">
      <w:numFmt w:val="bullet"/>
      <w:lvlText w:val="•"/>
      <w:lvlJc w:val="left"/>
      <w:pPr>
        <w:ind w:left="1531" w:hanging="510"/>
      </w:pPr>
      <w:rPr>
        <w:rFonts w:hint="default"/>
        <w:w w:val="135"/>
        <w:lang w:val="en-US" w:eastAsia="en-US" w:bidi="en-US"/>
      </w:rPr>
    </w:lvl>
    <w:lvl w:ilvl="3">
      <w:numFmt w:val="bullet"/>
      <w:lvlText w:val="•"/>
      <w:lvlJc w:val="left"/>
      <w:pPr>
        <w:ind w:left="2713" w:hanging="510"/>
      </w:pPr>
      <w:rPr>
        <w:rFonts w:hint="default"/>
        <w:lang w:val="en-US" w:eastAsia="en-US" w:bidi="en-US"/>
      </w:rPr>
    </w:lvl>
    <w:lvl w:ilvl="4">
      <w:numFmt w:val="bullet"/>
      <w:lvlText w:val="•"/>
      <w:lvlJc w:val="left"/>
      <w:pPr>
        <w:ind w:left="3886" w:hanging="510"/>
      </w:pPr>
      <w:rPr>
        <w:rFonts w:hint="default"/>
        <w:lang w:val="en-US" w:eastAsia="en-US" w:bidi="en-US"/>
      </w:rPr>
    </w:lvl>
    <w:lvl w:ilvl="5">
      <w:numFmt w:val="bullet"/>
      <w:lvlText w:val="•"/>
      <w:lvlJc w:val="left"/>
      <w:pPr>
        <w:ind w:left="5059" w:hanging="510"/>
      </w:pPr>
      <w:rPr>
        <w:rFonts w:hint="default"/>
        <w:lang w:val="en-US" w:eastAsia="en-US" w:bidi="en-US"/>
      </w:rPr>
    </w:lvl>
    <w:lvl w:ilvl="6">
      <w:numFmt w:val="bullet"/>
      <w:lvlText w:val="•"/>
      <w:lvlJc w:val="left"/>
      <w:pPr>
        <w:ind w:left="6232" w:hanging="510"/>
      </w:pPr>
      <w:rPr>
        <w:rFonts w:hint="default"/>
        <w:lang w:val="en-US" w:eastAsia="en-US" w:bidi="en-US"/>
      </w:rPr>
    </w:lvl>
    <w:lvl w:ilvl="7">
      <w:numFmt w:val="bullet"/>
      <w:lvlText w:val="•"/>
      <w:lvlJc w:val="left"/>
      <w:pPr>
        <w:ind w:left="7405" w:hanging="510"/>
      </w:pPr>
      <w:rPr>
        <w:rFonts w:hint="default"/>
        <w:lang w:val="en-US" w:eastAsia="en-US" w:bidi="en-US"/>
      </w:rPr>
    </w:lvl>
    <w:lvl w:ilvl="8">
      <w:numFmt w:val="bullet"/>
      <w:lvlText w:val="•"/>
      <w:lvlJc w:val="left"/>
      <w:pPr>
        <w:ind w:left="8579" w:hanging="510"/>
      </w:pPr>
      <w:rPr>
        <w:rFonts w:hint="default"/>
        <w:lang w:val="en-US" w:eastAsia="en-US" w:bidi="en-US"/>
      </w:rPr>
    </w:lvl>
  </w:abstractNum>
  <w:abstractNum w:abstractNumId="19" w15:restartNumberingAfterBreak="0">
    <w:nsid w:val="75BE5B10"/>
    <w:multiLevelType w:val="hybridMultilevel"/>
    <w:tmpl w:val="80221464"/>
    <w:lvl w:ilvl="0" w:tplc="8A2C2488">
      <w:start w:val="1"/>
      <w:numFmt w:val="lowerRoman"/>
      <w:lvlText w:val="(%1)"/>
      <w:lvlJc w:val="left"/>
      <w:pPr>
        <w:ind w:left="1531" w:hanging="510"/>
        <w:jc w:val="left"/>
      </w:pPr>
      <w:rPr>
        <w:rFonts w:ascii="Calibri" w:eastAsia="Calibri" w:hAnsi="Calibri" w:cs="Calibri" w:hint="default"/>
        <w:spacing w:val="-1"/>
        <w:w w:val="102"/>
        <w:sz w:val="21"/>
        <w:szCs w:val="21"/>
        <w:lang w:val="en-US" w:eastAsia="en-US" w:bidi="en-US"/>
      </w:rPr>
    </w:lvl>
    <w:lvl w:ilvl="1" w:tplc="D8FCD9D6">
      <w:numFmt w:val="bullet"/>
      <w:lvlText w:val="•"/>
      <w:lvlJc w:val="left"/>
      <w:pPr>
        <w:ind w:left="2478" w:hanging="510"/>
      </w:pPr>
      <w:rPr>
        <w:rFonts w:hint="default"/>
        <w:lang w:val="en-US" w:eastAsia="en-US" w:bidi="en-US"/>
      </w:rPr>
    </w:lvl>
    <w:lvl w:ilvl="2" w:tplc="A31E2CC6">
      <w:numFmt w:val="bullet"/>
      <w:lvlText w:val="•"/>
      <w:lvlJc w:val="left"/>
      <w:pPr>
        <w:ind w:left="3417" w:hanging="510"/>
      </w:pPr>
      <w:rPr>
        <w:rFonts w:hint="default"/>
        <w:lang w:val="en-US" w:eastAsia="en-US" w:bidi="en-US"/>
      </w:rPr>
    </w:lvl>
    <w:lvl w:ilvl="3" w:tplc="0270BDE6">
      <w:numFmt w:val="bullet"/>
      <w:lvlText w:val="•"/>
      <w:lvlJc w:val="left"/>
      <w:pPr>
        <w:ind w:left="4355" w:hanging="510"/>
      </w:pPr>
      <w:rPr>
        <w:rFonts w:hint="default"/>
        <w:lang w:val="en-US" w:eastAsia="en-US" w:bidi="en-US"/>
      </w:rPr>
    </w:lvl>
    <w:lvl w:ilvl="4" w:tplc="C88C4C06">
      <w:numFmt w:val="bullet"/>
      <w:lvlText w:val="•"/>
      <w:lvlJc w:val="left"/>
      <w:pPr>
        <w:ind w:left="5294" w:hanging="510"/>
      </w:pPr>
      <w:rPr>
        <w:rFonts w:hint="default"/>
        <w:lang w:val="en-US" w:eastAsia="en-US" w:bidi="en-US"/>
      </w:rPr>
    </w:lvl>
    <w:lvl w:ilvl="5" w:tplc="D5C6ABC4">
      <w:numFmt w:val="bullet"/>
      <w:lvlText w:val="•"/>
      <w:lvlJc w:val="left"/>
      <w:pPr>
        <w:ind w:left="6232" w:hanging="510"/>
      </w:pPr>
      <w:rPr>
        <w:rFonts w:hint="default"/>
        <w:lang w:val="en-US" w:eastAsia="en-US" w:bidi="en-US"/>
      </w:rPr>
    </w:lvl>
    <w:lvl w:ilvl="6" w:tplc="30EC3CC0">
      <w:numFmt w:val="bullet"/>
      <w:lvlText w:val="•"/>
      <w:lvlJc w:val="left"/>
      <w:pPr>
        <w:ind w:left="7171" w:hanging="510"/>
      </w:pPr>
      <w:rPr>
        <w:rFonts w:hint="default"/>
        <w:lang w:val="en-US" w:eastAsia="en-US" w:bidi="en-US"/>
      </w:rPr>
    </w:lvl>
    <w:lvl w:ilvl="7" w:tplc="ECC4A070">
      <w:numFmt w:val="bullet"/>
      <w:lvlText w:val="•"/>
      <w:lvlJc w:val="left"/>
      <w:pPr>
        <w:ind w:left="8109" w:hanging="510"/>
      </w:pPr>
      <w:rPr>
        <w:rFonts w:hint="default"/>
        <w:lang w:val="en-US" w:eastAsia="en-US" w:bidi="en-US"/>
      </w:rPr>
    </w:lvl>
    <w:lvl w:ilvl="8" w:tplc="58B20728">
      <w:numFmt w:val="bullet"/>
      <w:lvlText w:val="•"/>
      <w:lvlJc w:val="left"/>
      <w:pPr>
        <w:ind w:left="9048" w:hanging="510"/>
      </w:pPr>
      <w:rPr>
        <w:rFonts w:hint="default"/>
        <w:lang w:val="en-US" w:eastAsia="en-US" w:bidi="en-US"/>
      </w:rPr>
    </w:lvl>
  </w:abstractNum>
  <w:abstractNum w:abstractNumId="20" w15:restartNumberingAfterBreak="0">
    <w:nsid w:val="7BB353E3"/>
    <w:multiLevelType w:val="hybridMultilevel"/>
    <w:tmpl w:val="FD94C124"/>
    <w:lvl w:ilvl="0" w:tplc="1C928F38">
      <w:numFmt w:val="bullet"/>
      <w:lvlText w:val="•"/>
      <w:lvlJc w:val="left"/>
      <w:pPr>
        <w:ind w:left="1167" w:hanging="360"/>
      </w:pPr>
      <w:rPr>
        <w:rFonts w:ascii="Arial" w:eastAsia="Arial" w:hAnsi="Arial" w:cs="Arial" w:hint="default"/>
        <w:color w:val="003366"/>
        <w:w w:val="130"/>
        <w:sz w:val="20"/>
        <w:szCs w:val="20"/>
        <w:lang w:val="en-US" w:eastAsia="en-US" w:bidi="en-US"/>
      </w:rPr>
    </w:lvl>
    <w:lvl w:ilvl="1" w:tplc="F5E4E030">
      <w:numFmt w:val="bullet"/>
      <w:lvlText w:val="•"/>
      <w:lvlJc w:val="left"/>
      <w:pPr>
        <w:ind w:left="1549" w:hanging="360"/>
      </w:pPr>
      <w:rPr>
        <w:rFonts w:ascii="Arial" w:eastAsia="Arial" w:hAnsi="Arial" w:cs="Arial" w:hint="default"/>
        <w:w w:val="130"/>
        <w:sz w:val="20"/>
        <w:szCs w:val="20"/>
        <w:lang w:val="en-US" w:eastAsia="en-US" w:bidi="en-US"/>
      </w:rPr>
    </w:lvl>
    <w:lvl w:ilvl="2" w:tplc="22EC1D8A">
      <w:numFmt w:val="bullet"/>
      <w:lvlText w:val="•"/>
      <w:lvlJc w:val="left"/>
      <w:pPr>
        <w:ind w:left="2582" w:hanging="360"/>
      </w:pPr>
      <w:rPr>
        <w:rFonts w:hint="default"/>
        <w:lang w:val="en-US" w:eastAsia="en-US" w:bidi="en-US"/>
      </w:rPr>
    </w:lvl>
    <w:lvl w:ilvl="3" w:tplc="992CBEE8">
      <w:numFmt w:val="bullet"/>
      <w:lvlText w:val="•"/>
      <w:lvlJc w:val="left"/>
      <w:pPr>
        <w:ind w:left="3625" w:hanging="360"/>
      </w:pPr>
      <w:rPr>
        <w:rFonts w:hint="default"/>
        <w:lang w:val="en-US" w:eastAsia="en-US" w:bidi="en-US"/>
      </w:rPr>
    </w:lvl>
    <w:lvl w:ilvl="4" w:tplc="80D87C24">
      <w:numFmt w:val="bullet"/>
      <w:lvlText w:val="•"/>
      <w:lvlJc w:val="left"/>
      <w:pPr>
        <w:ind w:left="4668" w:hanging="360"/>
      </w:pPr>
      <w:rPr>
        <w:rFonts w:hint="default"/>
        <w:lang w:val="en-US" w:eastAsia="en-US" w:bidi="en-US"/>
      </w:rPr>
    </w:lvl>
    <w:lvl w:ilvl="5" w:tplc="D682BE34">
      <w:numFmt w:val="bullet"/>
      <w:lvlText w:val="•"/>
      <w:lvlJc w:val="left"/>
      <w:pPr>
        <w:ind w:left="5711" w:hanging="360"/>
      </w:pPr>
      <w:rPr>
        <w:rFonts w:hint="default"/>
        <w:lang w:val="en-US" w:eastAsia="en-US" w:bidi="en-US"/>
      </w:rPr>
    </w:lvl>
    <w:lvl w:ilvl="6" w:tplc="71265AA8">
      <w:numFmt w:val="bullet"/>
      <w:lvlText w:val="•"/>
      <w:lvlJc w:val="left"/>
      <w:pPr>
        <w:ind w:left="6754" w:hanging="360"/>
      </w:pPr>
      <w:rPr>
        <w:rFonts w:hint="default"/>
        <w:lang w:val="en-US" w:eastAsia="en-US" w:bidi="en-US"/>
      </w:rPr>
    </w:lvl>
    <w:lvl w:ilvl="7" w:tplc="4EA212BA">
      <w:numFmt w:val="bullet"/>
      <w:lvlText w:val="•"/>
      <w:lvlJc w:val="left"/>
      <w:pPr>
        <w:ind w:left="7797" w:hanging="360"/>
      </w:pPr>
      <w:rPr>
        <w:rFonts w:hint="default"/>
        <w:lang w:val="en-US" w:eastAsia="en-US" w:bidi="en-US"/>
      </w:rPr>
    </w:lvl>
    <w:lvl w:ilvl="8" w:tplc="E11462E2">
      <w:numFmt w:val="bullet"/>
      <w:lvlText w:val="•"/>
      <w:lvlJc w:val="left"/>
      <w:pPr>
        <w:ind w:left="8839" w:hanging="360"/>
      </w:pPr>
      <w:rPr>
        <w:rFonts w:hint="default"/>
        <w:lang w:val="en-US" w:eastAsia="en-US" w:bidi="en-US"/>
      </w:rPr>
    </w:lvl>
  </w:abstractNum>
  <w:abstractNum w:abstractNumId="21" w15:restartNumberingAfterBreak="0">
    <w:nsid w:val="7BE25067"/>
    <w:multiLevelType w:val="hybridMultilevel"/>
    <w:tmpl w:val="952C48A2"/>
    <w:lvl w:ilvl="0" w:tplc="BB0E81DE">
      <w:start w:val="1"/>
      <w:numFmt w:val="decimal"/>
      <w:lvlText w:val="%1"/>
      <w:lvlJc w:val="left"/>
      <w:pPr>
        <w:ind w:left="323" w:hanging="171"/>
        <w:jc w:val="left"/>
      </w:pPr>
      <w:rPr>
        <w:rFonts w:ascii="Calibri" w:eastAsia="Calibri" w:hAnsi="Calibri" w:cs="Calibri" w:hint="default"/>
        <w:spacing w:val="-4"/>
        <w:w w:val="100"/>
        <w:sz w:val="18"/>
        <w:szCs w:val="18"/>
        <w:lang w:val="en-US" w:eastAsia="en-US" w:bidi="en-US"/>
      </w:rPr>
    </w:lvl>
    <w:lvl w:ilvl="1" w:tplc="CAC80BB6">
      <w:numFmt w:val="bullet"/>
      <w:lvlText w:val="•"/>
      <w:lvlJc w:val="left"/>
      <w:pPr>
        <w:ind w:left="1380" w:hanging="171"/>
      </w:pPr>
      <w:rPr>
        <w:rFonts w:hint="default"/>
        <w:lang w:val="en-US" w:eastAsia="en-US" w:bidi="en-US"/>
      </w:rPr>
    </w:lvl>
    <w:lvl w:ilvl="2" w:tplc="919C9202">
      <w:numFmt w:val="bullet"/>
      <w:lvlText w:val="•"/>
      <w:lvlJc w:val="left"/>
      <w:pPr>
        <w:ind w:left="2441" w:hanging="171"/>
      </w:pPr>
      <w:rPr>
        <w:rFonts w:hint="default"/>
        <w:lang w:val="en-US" w:eastAsia="en-US" w:bidi="en-US"/>
      </w:rPr>
    </w:lvl>
    <w:lvl w:ilvl="3" w:tplc="D1E4B2F8">
      <w:numFmt w:val="bullet"/>
      <w:lvlText w:val="•"/>
      <w:lvlJc w:val="left"/>
      <w:pPr>
        <w:ind w:left="3501" w:hanging="171"/>
      </w:pPr>
      <w:rPr>
        <w:rFonts w:hint="default"/>
        <w:lang w:val="en-US" w:eastAsia="en-US" w:bidi="en-US"/>
      </w:rPr>
    </w:lvl>
    <w:lvl w:ilvl="4" w:tplc="5A1418BA">
      <w:numFmt w:val="bullet"/>
      <w:lvlText w:val="•"/>
      <w:lvlJc w:val="left"/>
      <w:pPr>
        <w:ind w:left="4562" w:hanging="171"/>
      </w:pPr>
      <w:rPr>
        <w:rFonts w:hint="default"/>
        <w:lang w:val="en-US" w:eastAsia="en-US" w:bidi="en-US"/>
      </w:rPr>
    </w:lvl>
    <w:lvl w:ilvl="5" w:tplc="F0360D5C">
      <w:numFmt w:val="bullet"/>
      <w:lvlText w:val="•"/>
      <w:lvlJc w:val="left"/>
      <w:pPr>
        <w:ind w:left="5622" w:hanging="171"/>
      </w:pPr>
      <w:rPr>
        <w:rFonts w:hint="default"/>
        <w:lang w:val="en-US" w:eastAsia="en-US" w:bidi="en-US"/>
      </w:rPr>
    </w:lvl>
    <w:lvl w:ilvl="6" w:tplc="F2880A56">
      <w:numFmt w:val="bullet"/>
      <w:lvlText w:val="•"/>
      <w:lvlJc w:val="left"/>
      <w:pPr>
        <w:ind w:left="6683" w:hanging="171"/>
      </w:pPr>
      <w:rPr>
        <w:rFonts w:hint="default"/>
        <w:lang w:val="en-US" w:eastAsia="en-US" w:bidi="en-US"/>
      </w:rPr>
    </w:lvl>
    <w:lvl w:ilvl="7" w:tplc="E332B246">
      <w:numFmt w:val="bullet"/>
      <w:lvlText w:val="•"/>
      <w:lvlJc w:val="left"/>
      <w:pPr>
        <w:ind w:left="7743" w:hanging="171"/>
      </w:pPr>
      <w:rPr>
        <w:rFonts w:hint="default"/>
        <w:lang w:val="en-US" w:eastAsia="en-US" w:bidi="en-US"/>
      </w:rPr>
    </w:lvl>
    <w:lvl w:ilvl="8" w:tplc="BF3CEC76">
      <w:numFmt w:val="bullet"/>
      <w:lvlText w:val="•"/>
      <w:lvlJc w:val="left"/>
      <w:pPr>
        <w:ind w:left="8804" w:hanging="171"/>
      </w:pPr>
      <w:rPr>
        <w:rFonts w:hint="default"/>
        <w:lang w:val="en-US" w:eastAsia="en-US" w:bidi="en-US"/>
      </w:rPr>
    </w:lvl>
  </w:abstractNum>
  <w:num w:numId="1">
    <w:abstractNumId w:val="0"/>
  </w:num>
  <w:num w:numId="2">
    <w:abstractNumId w:val="6"/>
  </w:num>
  <w:num w:numId="3">
    <w:abstractNumId w:val="4"/>
  </w:num>
  <w:num w:numId="4">
    <w:abstractNumId w:val="16"/>
  </w:num>
  <w:num w:numId="5">
    <w:abstractNumId w:val="17"/>
  </w:num>
  <w:num w:numId="6">
    <w:abstractNumId w:val="12"/>
  </w:num>
  <w:num w:numId="7">
    <w:abstractNumId w:val="1"/>
  </w:num>
  <w:num w:numId="8">
    <w:abstractNumId w:val="7"/>
  </w:num>
  <w:num w:numId="9">
    <w:abstractNumId w:val="13"/>
  </w:num>
  <w:num w:numId="10">
    <w:abstractNumId w:val="9"/>
  </w:num>
  <w:num w:numId="11">
    <w:abstractNumId w:val="2"/>
  </w:num>
  <w:num w:numId="12">
    <w:abstractNumId w:val="10"/>
  </w:num>
  <w:num w:numId="13">
    <w:abstractNumId w:val="11"/>
  </w:num>
  <w:num w:numId="14">
    <w:abstractNumId w:val="14"/>
  </w:num>
  <w:num w:numId="15">
    <w:abstractNumId w:val="5"/>
  </w:num>
  <w:num w:numId="16">
    <w:abstractNumId w:val="20"/>
  </w:num>
  <w:num w:numId="17">
    <w:abstractNumId w:val="19"/>
  </w:num>
  <w:num w:numId="18">
    <w:abstractNumId w:val="18"/>
  </w:num>
  <w:num w:numId="19">
    <w:abstractNumId w:val="8"/>
  </w:num>
  <w:num w:numId="20">
    <w:abstractNumId w:val="15"/>
  </w:num>
  <w:num w:numId="21">
    <w:abstractNumId w:val="2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evenAndOddHeaders/>
  <w:drawingGridHorizontalSpacing w:val="110"/>
  <w:displayHorizontalDrawingGridEvery w:val="2"/>
  <w:characterSpacingControl w:val="doNotCompress"/>
  <w:hdrShapeDefaults>
    <o:shapedefaults v:ext="edit" spidmax="21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C17CB"/>
    <w:rsid w:val="000D2C18"/>
    <w:rsid w:val="00174B6A"/>
    <w:rsid w:val="002E10B3"/>
    <w:rsid w:val="0030091C"/>
    <w:rsid w:val="003D2C9F"/>
    <w:rsid w:val="003F767B"/>
    <w:rsid w:val="005B5C47"/>
    <w:rsid w:val="005E14C6"/>
    <w:rsid w:val="006B65AE"/>
    <w:rsid w:val="006C17CB"/>
    <w:rsid w:val="00704675"/>
    <w:rsid w:val="008C7D14"/>
    <w:rsid w:val="00B62047"/>
    <w:rsid w:val="00B86297"/>
    <w:rsid w:val="00EA5299"/>
    <w:rsid w:val="00FE24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57"/>
    <o:shapelayout v:ext="edit">
      <o:idmap v:ext="edit" data="1"/>
    </o:shapelayout>
  </w:shapeDefaults>
  <w:decimalSymbol w:val="."/>
  <w:listSeparator w:val=","/>
  <w15:docId w15:val="{972048CB-E042-C940-82EF-7187486AD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Light" w:eastAsia="Calibri-Light" w:hAnsi="Calibri-Light" w:cs="Calibri-Light"/>
      <w:lang w:bidi="en-US"/>
    </w:rPr>
  </w:style>
  <w:style w:type="paragraph" w:styleId="Heading1">
    <w:name w:val="heading 1"/>
    <w:basedOn w:val="Normal"/>
    <w:uiPriority w:val="9"/>
    <w:qFormat/>
    <w:pPr>
      <w:ind w:left="968" w:right="1729"/>
      <w:jc w:val="center"/>
      <w:outlineLvl w:val="0"/>
    </w:pPr>
    <w:rPr>
      <w:rFonts w:ascii="Calibri" w:eastAsia="Calibri" w:hAnsi="Calibri" w:cs="Calibri"/>
      <w:b/>
      <w:bCs/>
      <w:sz w:val="48"/>
      <w:szCs w:val="48"/>
    </w:rPr>
  </w:style>
  <w:style w:type="paragraph" w:styleId="Heading2">
    <w:name w:val="heading 2"/>
    <w:basedOn w:val="Normal"/>
    <w:uiPriority w:val="9"/>
    <w:unhideWhenUsed/>
    <w:qFormat/>
    <w:pPr>
      <w:ind w:left="503"/>
      <w:outlineLvl w:val="1"/>
    </w:pPr>
    <w:rPr>
      <w:rFonts w:ascii="Calibri" w:eastAsia="Calibri" w:hAnsi="Calibri" w:cs="Calibri"/>
      <w:b/>
      <w:bCs/>
      <w:sz w:val="40"/>
      <w:szCs w:val="40"/>
    </w:rPr>
  </w:style>
  <w:style w:type="paragraph" w:styleId="Heading3">
    <w:name w:val="heading 3"/>
    <w:basedOn w:val="Normal"/>
    <w:uiPriority w:val="9"/>
    <w:unhideWhenUsed/>
    <w:qFormat/>
    <w:pPr>
      <w:spacing w:before="76"/>
      <w:ind w:left="155"/>
      <w:outlineLvl w:val="2"/>
    </w:pPr>
    <w:rPr>
      <w:rFonts w:ascii="Montserrat-SemiBold" w:eastAsia="Montserrat-SemiBold" w:hAnsi="Montserrat-SemiBold" w:cs="Montserrat-SemiBold"/>
      <w:b/>
      <w:bCs/>
      <w:sz w:val="38"/>
      <w:szCs w:val="38"/>
    </w:rPr>
  </w:style>
  <w:style w:type="paragraph" w:styleId="Heading4">
    <w:name w:val="heading 4"/>
    <w:basedOn w:val="Normal"/>
    <w:uiPriority w:val="9"/>
    <w:unhideWhenUsed/>
    <w:qFormat/>
    <w:pPr>
      <w:spacing w:before="22"/>
      <w:ind w:left="20"/>
      <w:outlineLvl w:val="3"/>
    </w:pPr>
    <w:rPr>
      <w:rFonts w:ascii="Montserrat-SemiBold" w:eastAsia="Montserrat-SemiBold" w:hAnsi="Montserrat-SemiBold" w:cs="Montserrat-SemiBold"/>
      <w:b/>
      <w:bCs/>
      <w:sz w:val="34"/>
      <w:szCs w:val="34"/>
    </w:rPr>
  </w:style>
  <w:style w:type="paragraph" w:styleId="Heading5">
    <w:name w:val="heading 5"/>
    <w:basedOn w:val="Normal"/>
    <w:uiPriority w:val="9"/>
    <w:unhideWhenUsed/>
    <w:qFormat/>
    <w:pPr>
      <w:ind w:left="153"/>
      <w:outlineLvl w:val="4"/>
    </w:pPr>
    <w:rPr>
      <w:rFonts w:ascii="Calibri" w:eastAsia="Calibri" w:hAnsi="Calibri" w:cs="Calibri"/>
      <w:b/>
      <w:bCs/>
      <w:sz w:val="28"/>
      <w:szCs w:val="28"/>
    </w:rPr>
  </w:style>
  <w:style w:type="paragraph" w:styleId="Heading6">
    <w:name w:val="heading 6"/>
    <w:basedOn w:val="Normal"/>
    <w:uiPriority w:val="9"/>
    <w:unhideWhenUsed/>
    <w:qFormat/>
    <w:pPr>
      <w:ind w:left="829"/>
      <w:outlineLvl w:val="5"/>
    </w:pPr>
    <w:rPr>
      <w:rFonts w:ascii="Calibri" w:eastAsia="Calibri" w:hAnsi="Calibri" w:cs="Calibri"/>
      <w:b/>
      <w:bCs/>
      <w:sz w:val="24"/>
      <w:szCs w:val="24"/>
    </w:rPr>
  </w:style>
  <w:style w:type="paragraph" w:styleId="Heading7">
    <w:name w:val="heading 7"/>
    <w:basedOn w:val="Normal"/>
    <w:uiPriority w:val="1"/>
    <w:qFormat/>
    <w:pPr>
      <w:ind w:left="153"/>
      <w:outlineLvl w:val="6"/>
    </w:pPr>
    <w:rPr>
      <w:rFonts w:ascii="Calibri-BoldItalic" w:eastAsia="Calibri-BoldItalic" w:hAnsi="Calibri-BoldItalic" w:cs="Calibri-BoldItalic"/>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50" w:lineRule="exact"/>
      <w:ind w:left="155"/>
    </w:pPr>
    <w:rPr>
      <w:rFonts w:ascii="Montserrat-SemiBold" w:eastAsia="Montserrat-SemiBold" w:hAnsi="Montserrat-SemiBold" w:cs="Montserrat-SemiBold"/>
      <w:b/>
      <w:bCs/>
      <w:sz w:val="24"/>
      <w:szCs w:val="24"/>
    </w:rPr>
  </w:style>
  <w:style w:type="paragraph" w:styleId="TOC2">
    <w:name w:val="toc 2"/>
    <w:basedOn w:val="Normal"/>
    <w:uiPriority w:val="1"/>
    <w:qFormat/>
    <w:pPr>
      <w:spacing w:before="133" w:line="271" w:lineRule="exact"/>
      <w:ind w:left="153"/>
    </w:pPr>
    <w:rPr>
      <w:rFonts w:ascii="Montserrat-Light" w:eastAsia="Montserrat-Light" w:hAnsi="Montserrat-Light" w:cs="Montserrat-Light"/>
      <w:sz w:val="24"/>
      <w:szCs w:val="24"/>
    </w:rPr>
  </w:style>
  <w:style w:type="paragraph" w:styleId="TOC3">
    <w:name w:val="toc 3"/>
    <w:basedOn w:val="Normal"/>
    <w:uiPriority w:val="1"/>
    <w:qFormat/>
    <w:pPr>
      <w:spacing w:before="26"/>
      <w:ind w:left="153"/>
    </w:pPr>
    <w:rPr>
      <w:rFonts w:ascii="Calibri" w:eastAsia="Calibri" w:hAnsi="Calibri" w:cs="Calibri"/>
      <w:b/>
      <w:bCs/>
    </w:rPr>
  </w:style>
  <w:style w:type="paragraph" w:styleId="TOC4">
    <w:name w:val="toc 4"/>
    <w:basedOn w:val="Normal"/>
    <w:uiPriority w:val="1"/>
    <w:qFormat/>
    <w:pPr>
      <w:spacing w:before="26"/>
      <w:ind w:left="153"/>
    </w:pPr>
  </w:style>
  <w:style w:type="paragraph" w:styleId="BodyText">
    <w:name w:val="Body Text"/>
    <w:basedOn w:val="Normal"/>
    <w:uiPriority w:val="1"/>
    <w:qFormat/>
  </w:style>
  <w:style w:type="paragraph" w:styleId="ListParagraph">
    <w:name w:val="List Paragraph"/>
    <w:basedOn w:val="Normal"/>
    <w:uiPriority w:val="1"/>
    <w:qFormat/>
    <w:pPr>
      <w:spacing w:line="295" w:lineRule="exact"/>
      <w:ind w:left="380" w:hanging="227"/>
    </w:pPr>
  </w:style>
  <w:style w:type="paragraph" w:customStyle="1" w:styleId="TableParagraph">
    <w:name w:val="Table Paragraph"/>
    <w:basedOn w:val="Normal"/>
    <w:uiPriority w:val="1"/>
    <w:qFormat/>
    <w:pPr>
      <w:jc w:val="right"/>
    </w:pPr>
    <w:rPr>
      <w:rFonts w:ascii="Calibri" w:eastAsia="Calibri" w:hAnsi="Calibri" w:cs="Calibri"/>
    </w:rPr>
  </w:style>
  <w:style w:type="paragraph" w:styleId="Header">
    <w:name w:val="header"/>
    <w:basedOn w:val="Normal"/>
    <w:link w:val="HeaderChar"/>
    <w:uiPriority w:val="99"/>
    <w:unhideWhenUsed/>
    <w:rsid w:val="003D2C9F"/>
    <w:pPr>
      <w:tabs>
        <w:tab w:val="center" w:pos="4513"/>
        <w:tab w:val="right" w:pos="9026"/>
      </w:tabs>
    </w:pPr>
  </w:style>
  <w:style w:type="character" w:customStyle="1" w:styleId="HeaderChar">
    <w:name w:val="Header Char"/>
    <w:basedOn w:val="DefaultParagraphFont"/>
    <w:link w:val="Header"/>
    <w:uiPriority w:val="99"/>
    <w:rsid w:val="003D2C9F"/>
    <w:rPr>
      <w:rFonts w:ascii="Calibri-Light" w:eastAsia="Calibri-Light" w:hAnsi="Calibri-Light" w:cs="Calibri-Light"/>
      <w:lang w:bidi="en-US"/>
    </w:rPr>
  </w:style>
  <w:style w:type="paragraph" w:styleId="Footer">
    <w:name w:val="footer"/>
    <w:basedOn w:val="Normal"/>
    <w:link w:val="FooterChar"/>
    <w:uiPriority w:val="99"/>
    <w:unhideWhenUsed/>
    <w:rsid w:val="003D2C9F"/>
    <w:pPr>
      <w:tabs>
        <w:tab w:val="center" w:pos="4513"/>
        <w:tab w:val="right" w:pos="9026"/>
      </w:tabs>
    </w:pPr>
  </w:style>
  <w:style w:type="character" w:customStyle="1" w:styleId="FooterChar">
    <w:name w:val="Footer Char"/>
    <w:basedOn w:val="DefaultParagraphFont"/>
    <w:link w:val="Footer"/>
    <w:uiPriority w:val="99"/>
    <w:rsid w:val="003D2C9F"/>
    <w:rPr>
      <w:rFonts w:ascii="Calibri-Light" w:eastAsia="Calibri-Light" w:hAnsi="Calibri-Light" w:cs="Calibri-Light"/>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footer" Target="footer24.xml"/><Relationship Id="rId21" Type="http://schemas.openxmlformats.org/officeDocument/2006/relationships/image" Target="media/image3.png"/><Relationship Id="rId42" Type="http://schemas.openxmlformats.org/officeDocument/2006/relationships/hyperlink" Target="https://www.legislation.gov.au/Details/C2016C00802" TargetMode="External"/><Relationship Id="rId47" Type="http://schemas.openxmlformats.org/officeDocument/2006/relationships/image" Target="media/image9.jpeg"/><Relationship Id="rId63" Type="http://schemas.openxmlformats.org/officeDocument/2006/relationships/hyperlink" Target="https://www.parliament.act.gov.au/__data/assets/pdf_file/0006/727071/Office-of-the-Legislative-Assembly-Privacy-Policy-2015.pdf" TargetMode="External"/><Relationship Id="rId68" Type="http://schemas.openxmlformats.org/officeDocument/2006/relationships/hyperlink" Target="https://www.legislation.act.gov.au/a/2012-26/" TargetMode="External"/><Relationship Id="rId84" Type="http://schemas.openxmlformats.org/officeDocument/2006/relationships/header" Target="header7.xml"/><Relationship Id="rId89" Type="http://schemas.openxmlformats.org/officeDocument/2006/relationships/footer" Target="footer15.xml"/><Relationship Id="rId112" Type="http://schemas.openxmlformats.org/officeDocument/2006/relationships/header" Target="header25.xml"/><Relationship Id="rId133" Type="http://schemas.openxmlformats.org/officeDocument/2006/relationships/image" Target="media/image14.png"/><Relationship Id="rId138" Type="http://schemas.openxmlformats.org/officeDocument/2006/relationships/image" Target="media/image15.jpeg"/><Relationship Id="rId154" Type="http://schemas.openxmlformats.org/officeDocument/2006/relationships/footer" Target="footer38.xml"/><Relationship Id="rId159" Type="http://schemas.openxmlformats.org/officeDocument/2006/relationships/header" Target="header47.xml"/><Relationship Id="rId175" Type="http://schemas.openxmlformats.org/officeDocument/2006/relationships/footer" Target="footer46.xml"/><Relationship Id="rId170" Type="http://schemas.openxmlformats.org/officeDocument/2006/relationships/header" Target="header54.xml"/><Relationship Id="rId191" Type="http://schemas.openxmlformats.org/officeDocument/2006/relationships/footer" Target="footer53.xml"/><Relationship Id="rId16" Type="http://schemas.openxmlformats.org/officeDocument/2006/relationships/hyperlink" Target="mailto:OLA@parliament.act.gov.au" TargetMode="External"/><Relationship Id="rId107" Type="http://schemas.openxmlformats.org/officeDocument/2006/relationships/header" Target="header22.xml"/><Relationship Id="rId11" Type="http://schemas.openxmlformats.org/officeDocument/2006/relationships/header" Target="header2.xml"/><Relationship Id="rId32" Type="http://schemas.openxmlformats.org/officeDocument/2006/relationships/hyperlink" Target="https://www.parliament.act.gov.au/in-committees" TargetMode="External"/><Relationship Id="rId37" Type="http://schemas.openxmlformats.org/officeDocument/2006/relationships/image" Target="media/image6.jpeg"/><Relationship Id="rId53" Type="http://schemas.openxmlformats.org/officeDocument/2006/relationships/hyperlink" Target="https://www.legislation.act.gov.au/a/alt_a1989-46co/" TargetMode="External"/><Relationship Id="rId58" Type="http://schemas.openxmlformats.org/officeDocument/2006/relationships/hyperlink" Target="https://www.legislation.act.gov.au/a/2001-85/" TargetMode="External"/><Relationship Id="rId74" Type="http://schemas.openxmlformats.org/officeDocument/2006/relationships/hyperlink" Target="https://www.legislation.act.gov.au/a/2011-35/" TargetMode="External"/><Relationship Id="rId79" Type="http://schemas.openxmlformats.org/officeDocument/2006/relationships/hyperlink" Target="https://www.legislation.act.gov.au/a/2002-18/" TargetMode="External"/><Relationship Id="rId102" Type="http://schemas.openxmlformats.org/officeDocument/2006/relationships/header" Target="header19.xml"/><Relationship Id="rId123" Type="http://schemas.openxmlformats.org/officeDocument/2006/relationships/image" Target="media/image11.png"/><Relationship Id="rId128" Type="http://schemas.openxmlformats.org/officeDocument/2006/relationships/header" Target="header33.xml"/><Relationship Id="rId144" Type="http://schemas.openxmlformats.org/officeDocument/2006/relationships/image" Target="media/image17.jpeg"/><Relationship Id="rId149" Type="http://schemas.openxmlformats.org/officeDocument/2006/relationships/image" Target="media/image18.png"/><Relationship Id="rId5" Type="http://schemas.openxmlformats.org/officeDocument/2006/relationships/webSettings" Target="webSettings.xml"/><Relationship Id="rId90" Type="http://schemas.openxmlformats.org/officeDocument/2006/relationships/footer" Target="footer16.xml"/><Relationship Id="rId95" Type="http://schemas.openxmlformats.org/officeDocument/2006/relationships/header" Target="header15.xml"/><Relationship Id="rId160" Type="http://schemas.openxmlformats.org/officeDocument/2006/relationships/header" Target="header48.xml"/><Relationship Id="rId165" Type="http://schemas.openxmlformats.org/officeDocument/2006/relationships/header" Target="header51.xml"/><Relationship Id="rId181" Type="http://schemas.openxmlformats.org/officeDocument/2006/relationships/footer" Target="footer48.xml"/><Relationship Id="rId186" Type="http://schemas.openxmlformats.org/officeDocument/2006/relationships/image" Target="media/image20.png"/><Relationship Id="rId22" Type="http://schemas.openxmlformats.org/officeDocument/2006/relationships/footer" Target="footer6.xml"/><Relationship Id="rId27" Type="http://schemas.openxmlformats.org/officeDocument/2006/relationships/footer" Target="footer7.xml"/><Relationship Id="rId43" Type="http://schemas.openxmlformats.org/officeDocument/2006/relationships/hyperlink" Target="http://www8.austlii.edu.au/cgi-bin/viewdb/au/legis/cth/consol_act/ppa1987273/" TargetMode="External"/><Relationship Id="rId48" Type="http://schemas.openxmlformats.org/officeDocument/2006/relationships/footer" Target="footer9.xml"/><Relationship Id="rId64" Type="http://schemas.openxmlformats.org/officeDocument/2006/relationships/hyperlink" Target="https://www.parliament.act.gov.au/__data/assets/pdf_file/0018/1092303/ACCESSIBLE-Public-Interest-Disclosure-Procedure-2017.pdf" TargetMode="External"/><Relationship Id="rId69" Type="http://schemas.openxmlformats.org/officeDocument/2006/relationships/hyperlink" Target="https://www.legislation.act.gov.au/a/1995-55/" TargetMode="External"/><Relationship Id="rId113" Type="http://schemas.openxmlformats.org/officeDocument/2006/relationships/header" Target="header26.xml"/><Relationship Id="rId118" Type="http://schemas.openxmlformats.org/officeDocument/2006/relationships/header" Target="header29.xml"/><Relationship Id="rId134" Type="http://schemas.openxmlformats.org/officeDocument/2006/relationships/header" Target="header35.xml"/><Relationship Id="rId139" Type="http://schemas.openxmlformats.org/officeDocument/2006/relationships/image" Target="media/image16.jpeg"/><Relationship Id="rId80" Type="http://schemas.openxmlformats.org/officeDocument/2006/relationships/hyperlink" Target="https://www.legislation.act.gov.au/a/2004-5/" TargetMode="External"/><Relationship Id="rId85" Type="http://schemas.openxmlformats.org/officeDocument/2006/relationships/header" Target="header8.xml"/><Relationship Id="rId150" Type="http://schemas.openxmlformats.org/officeDocument/2006/relationships/header" Target="header41.xml"/><Relationship Id="rId155" Type="http://schemas.openxmlformats.org/officeDocument/2006/relationships/header" Target="header43.xml"/><Relationship Id="rId171" Type="http://schemas.openxmlformats.org/officeDocument/2006/relationships/footer" Target="footer43.xml"/><Relationship Id="rId176" Type="http://schemas.openxmlformats.org/officeDocument/2006/relationships/header" Target="header56.xml"/><Relationship Id="rId192"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http://www.parliament.act.gov.au/" TargetMode="External"/><Relationship Id="rId33" Type="http://schemas.openxmlformats.org/officeDocument/2006/relationships/hyperlink" Target="https://www.legislation.act.gov.au/a/2004-5/" TargetMode="External"/><Relationship Id="rId38" Type="http://schemas.openxmlformats.org/officeDocument/2006/relationships/hyperlink" Target="https://www.legislation.act.gov.au/a/2001-14/" TargetMode="External"/><Relationship Id="rId59" Type="http://schemas.openxmlformats.org/officeDocument/2006/relationships/hyperlink" Target="https://www.legislation.act.gov.au/a/2001-69/" TargetMode="External"/><Relationship Id="rId103" Type="http://schemas.openxmlformats.org/officeDocument/2006/relationships/footer" Target="footer19.xml"/><Relationship Id="rId108" Type="http://schemas.openxmlformats.org/officeDocument/2006/relationships/header" Target="header23.xml"/><Relationship Id="rId124" Type="http://schemas.openxmlformats.org/officeDocument/2006/relationships/image" Target="media/image12.png"/><Relationship Id="rId129" Type="http://schemas.openxmlformats.org/officeDocument/2006/relationships/image" Target="media/image13.png"/><Relationship Id="rId54" Type="http://schemas.openxmlformats.org/officeDocument/2006/relationships/hyperlink" Target="https://www.legislation.act.gov.au/a/2016-55/" TargetMode="External"/><Relationship Id="rId70" Type="http://schemas.openxmlformats.org/officeDocument/2006/relationships/hyperlink" Target="https://www.legislation.act.gov.au/a/1989-19/" TargetMode="External"/><Relationship Id="rId75" Type="http://schemas.openxmlformats.org/officeDocument/2006/relationships/hyperlink" Target="https://www.parliament.act.gov.au/__data/assets/pdf_file/0003/604830/OLA-EA-2013-2017-Varied.pdf" TargetMode="External"/><Relationship Id="rId91" Type="http://schemas.openxmlformats.org/officeDocument/2006/relationships/header" Target="header11.xml"/><Relationship Id="rId96" Type="http://schemas.openxmlformats.org/officeDocument/2006/relationships/header" Target="header16.xml"/><Relationship Id="rId140" Type="http://schemas.openxmlformats.org/officeDocument/2006/relationships/header" Target="header37.xml"/><Relationship Id="rId145" Type="http://schemas.openxmlformats.org/officeDocument/2006/relationships/header" Target="header39.xml"/><Relationship Id="rId161" Type="http://schemas.openxmlformats.org/officeDocument/2006/relationships/header" Target="header49.xml"/><Relationship Id="rId166" Type="http://schemas.openxmlformats.org/officeDocument/2006/relationships/header" Target="header52.xml"/><Relationship Id="rId182" Type="http://schemas.openxmlformats.org/officeDocument/2006/relationships/footer" Target="footer49.xml"/><Relationship Id="rId187" Type="http://schemas.openxmlformats.org/officeDocument/2006/relationships/header" Target="header6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gislation.act.gov.au/a/2012-26/default.asp" TargetMode="External"/><Relationship Id="rId28" Type="http://schemas.openxmlformats.org/officeDocument/2006/relationships/footer" Target="footer8.xml"/><Relationship Id="rId49" Type="http://schemas.openxmlformats.org/officeDocument/2006/relationships/footer" Target="footer10.xml"/><Relationship Id="rId114" Type="http://schemas.openxmlformats.org/officeDocument/2006/relationships/header" Target="header27.xml"/><Relationship Id="rId119" Type="http://schemas.openxmlformats.org/officeDocument/2006/relationships/header" Target="header30.xml"/><Relationship Id="rId44" Type="http://schemas.openxmlformats.org/officeDocument/2006/relationships/image" Target="media/image7.png"/><Relationship Id="rId60" Type="http://schemas.openxmlformats.org/officeDocument/2006/relationships/hyperlink" Target="https://www.parliament.act.gov.au/Publications/freedom-of-information" TargetMode="External"/><Relationship Id="rId65" Type="http://schemas.openxmlformats.org/officeDocument/2006/relationships/hyperlink" Target="https://www.parliament.act.gov.au/Publications/open-access" TargetMode="External"/><Relationship Id="rId81" Type="http://schemas.openxmlformats.org/officeDocument/2006/relationships/header" Target="header4.xml"/><Relationship Id="rId86" Type="http://schemas.openxmlformats.org/officeDocument/2006/relationships/footer" Target="footer14.xml"/><Relationship Id="rId130" Type="http://schemas.openxmlformats.org/officeDocument/2006/relationships/header" Target="header34.xml"/><Relationship Id="rId135" Type="http://schemas.openxmlformats.org/officeDocument/2006/relationships/header" Target="header36.xml"/><Relationship Id="rId151" Type="http://schemas.openxmlformats.org/officeDocument/2006/relationships/image" Target="media/image19.jpeg"/><Relationship Id="rId156" Type="http://schemas.openxmlformats.org/officeDocument/2006/relationships/header" Target="header44.xml"/><Relationship Id="rId177" Type="http://schemas.openxmlformats.org/officeDocument/2006/relationships/header" Target="header57.xml"/><Relationship Id="rId172" Type="http://schemas.openxmlformats.org/officeDocument/2006/relationships/footer" Target="footer44.xml"/><Relationship Id="rId193"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www.parliament.act.gov.au/in-committees/select_committees/estimates-2017-18/inquiry-into-appropriation-bill-2017-2018%2C-appropriation-office-of-the-legislative-assembly-bill-2017-2018" TargetMode="External"/><Relationship Id="rId109" Type="http://schemas.openxmlformats.org/officeDocument/2006/relationships/footer" Target="footer21.xml"/><Relationship Id="rId34" Type="http://schemas.openxmlformats.org/officeDocument/2006/relationships/hyperlink" Target="http://www.legislation.act.gov.au/a/2017-30/default.asp" TargetMode="External"/><Relationship Id="rId50" Type="http://schemas.openxmlformats.org/officeDocument/2006/relationships/footer" Target="footer11.xml"/><Relationship Id="rId55" Type="http://schemas.openxmlformats.org/officeDocument/2006/relationships/hyperlink" Target="https://www.legislation.act.gov.au/a/2012-26/" TargetMode="External"/><Relationship Id="rId76" Type="http://schemas.openxmlformats.org/officeDocument/2006/relationships/hyperlink" Target="https://www.legislation.act.gov.au/a/2001-28/" TargetMode="External"/><Relationship Id="rId97" Type="http://schemas.openxmlformats.org/officeDocument/2006/relationships/header" Target="header17.xml"/><Relationship Id="rId104" Type="http://schemas.openxmlformats.org/officeDocument/2006/relationships/footer" Target="footer20.xml"/><Relationship Id="rId120" Type="http://schemas.openxmlformats.org/officeDocument/2006/relationships/footer" Target="footer25.xml"/><Relationship Id="rId125" Type="http://schemas.openxmlformats.org/officeDocument/2006/relationships/header" Target="header32.xml"/><Relationship Id="rId141" Type="http://schemas.openxmlformats.org/officeDocument/2006/relationships/header" Target="header38.xml"/><Relationship Id="rId146" Type="http://schemas.openxmlformats.org/officeDocument/2006/relationships/header" Target="header40.xml"/><Relationship Id="rId167" Type="http://schemas.openxmlformats.org/officeDocument/2006/relationships/footer" Target="footer41.xml"/><Relationship Id="rId188" Type="http://schemas.openxmlformats.org/officeDocument/2006/relationships/footer" Target="footer52.xml"/><Relationship Id="rId7" Type="http://schemas.openxmlformats.org/officeDocument/2006/relationships/endnotes" Target="endnotes.xml"/><Relationship Id="rId71" Type="http://schemas.openxmlformats.org/officeDocument/2006/relationships/hyperlink" Target="https://www.legislation.act.gov.au/a/2011-35/" TargetMode="External"/><Relationship Id="rId92" Type="http://schemas.openxmlformats.org/officeDocument/2006/relationships/header" Target="header12.xml"/><Relationship Id="rId162" Type="http://schemas.openxmlformats.org/officeDocument/2006/relationships/header" Target="header50.xml"/><Relationship Id="rId183" Type="http://schemas.openxmlformats.org/officeDocument/2006/relationships/footer" Target="footer50.xml"/><Relationship Id="rId2" Type="http://schemas.openxmlformats.org/officeDocument/2006/relationships/numbering" Target="numbering.xml"/><Relationship Id="rId29" Type="http://schemas.openxmlformats.org/officeDocument/2006/relationships/hyperlink" Target="https://www.legislation.act.gov.au/a/db_6271/e_appointment.asp?dispmode=all" TargetMode="External"/><Relationship Id="rId24" Type="http://schemas.openxmlformats.org/officeDocument/2006/relationships/hyperlink" Target="http://www.legislation.act.gov.au/a/2012-26/default.asp" TargetMode="External"/><Relationship Id="rId40" Type="http://schemas.openxmlformats.org/officeDocument/2006/relationships/hyperlink" Target="https://www.legislation.act.gov.au/a/1996-22/" TargetMode="External"/><Relationship Id="rId45" Type="http://schemas.openxmlformats.org/officeDocument/2006/relationships/image" Target="media/image8.png"/><Relationship Id="rId66" Type="http://schemas.openxmlformats.org/officeDocument/2006/relationships/hyperlink" Target="https://www.legislation.act.gov.au/a/2016-55/" TargetMode="External"/><Relationship Id="rId87" Type="http://schemas.openxmlformats.org/officeDocument/2006/relationships/header" Target="header9.xml"/><Relationship Id="rId110" Type="http://schemas.openxmlformats.org/officeDocument/2006/relationships/footer" Target="footer22.xml"/><Relationship Id="rId115" Type="http://schemas.openxmlformats.org/officeDocument/2006/relationships/header" Target="header28.xml"/><Relationship Id="rId131" Type="http://schemas.openxmlformats.org/officeDocument/2006/relationships/footer" Target="footer29.xml"/><Relationship Id="rId136" Type="http://schemas.openxmlformats.org/officeDocument/2006/relationships/footer" Target="footer31.xml"/><Relationship Id="rId157" Type="http://schemas.openxmlformats.org/officeDocument/2006/relationships/header" Target="header45.xml"/><Relationship Id="rId178" Type="http://schemas.openxmlformats.org/officeDocument/2006/relationships/header" Target="header58.xml"/><Relationship Id="rId61" Type="http://schemas.openxmlformats.org/officeDocument/2006/relationships/hyperlink" Target="https://www.legislation.act.gov.au/a/alt_a1989-46co/" TargetMode="External"/><Relationship Id="rId82" Type="http://schemas.openxmlformats.org/officeDocument/2006/relationships/header" Target="header5.xml"/><Relationship Id="rId152" Type="http://schemas.openxmlformats.org/officeDocument/2006/relationships/header" Target="header42.xml"/><Relationship Id="rId173" Type="http://schemas.openxmlformats.org/officeDocument/2006/relationships/header" Target="header55.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4.png"/><Relationship Id="rId35" Type="http://schemas.openxmlformats.org/officeDocument/2006/relationships/hyperlink" Target="http://www.legislation.act.gov.au/a/2017-30/default.asp" TargetMode="External"/><Relationship Id="rId56" Type="http://schemas.openxmlformats.org/officeDocument/2006/relationships/hyperlink" Target="https://www.legislation.act.gov.au/a/1994-37/" TargetMode="External"/><Relationship Id="rId77" Type="http://schemas.openxmlformats.org/officeDocument/2006/relationships/hyperlink" Target="https://www.legislation.act.gov.au/sl/2007-29/" TargetMode="External"/><Relationship Id="rId100" Type="http://schemas.openxmlformats.org/officeDocument/2006/relationships/header" Target="header18.xml"/><Relationship Id="rId105" Type="http://schemas.openxmlformats.org/officeDocument/2006/relationships/header" Target="header20.xml"/><Relationship Id="rId126" Type="http://schemas.openxmlformats.org/officeDocument/2006/relationships/footer" Target="footer27.xml"/><Relationship Id="rId147" Type="http://schemas.openxmlformats.org/officeDocument/2006/relationships/footer" Target="footer35.xml"/><Relationship Id="rId168" Type="http://schemas.openxmlformats.org/officeDocument/2006/relationships/footer" Target="footer42.xml"/><Relationship Id="rId8" Type="http://schemas.openxmlformats.org/officeDocument/2006/relationships/image" Target="media/image1.jpeg"/><Relationship Id="rId51" Type="http://schemas.openxmlformats.org/officeDocument/2006/relationships/footer" Target="footer12.xml"/><Relationship Id="rId72" Type="http://schemas.openxmlformats.org/officeDocument/2006/relationships/hyperlink" Target="https://www.legislation.act.gov.au/a/2011-35/" TargetMode="External"/><Relationship Id="rId93" Type="http://schemas.openxmlformats.org/officeDocument/2006/relationships/header" Target="header13.xml"/><Relationship Id="rId98" Type="http://schemas.openxmlformats.org/officeDocument/2006/relationships/footer" Target="footer17.xml"/><Relationship Id="rId121" Type="http://schemas.openxmlformats.org/officeDocument/2006/relationships/footer" Target="footer26.xml"/><Relationship Id="rId142" Type="http://schemas.openxmlformats.org/officeDocument/2006/relationships/footer" Target="footer33.xml"/><Relationship Id="rId163" Type="http://schemas.openxmlformats.org/officeDocument/2006/relationships/footer" Target="footer39.xml"/><Relationship Id="rId184" Type="http://schemas.openxmlformats.org/officeDocument/2006/relationships/header" Target="header60.xml"/><Relationship Id="rId189" Type="http://schemas.openxmlformats.org/officeDocument/2006/relationships/image" Target="media/image21.png"/><Relationship Id="rId3" Type="http://schemas.openxmlformats.org/officeDocument/2006/relationships/styles" Target="styles.xml"/><Relationship Id="rId25" Type="http://schemas.openxmlformats.org/officeDocument/2006/relationships/hyperlink" Target="http://www.legislation.act.gov.au/a/2001-69/default.asp" TargetMode="External"/><Relationship Id="rId46" Type="http://schemas.openxmlformats.org/officeDocument/2006/relationships/hyperlink" Target="https://www.legislation.act.gov.au/a/2001-85/" TargetMode="External"/><Relationship Id="rId67" Type="http://schemas.openxmlformats.org/officeDocument/2006/relationships/hyperlink" Target="https://www.legislation.act.gov.au/a/2012-26/" TargetMode="External"/><Relationship Id="rId116" Type="http://schemas.openxmlformats.org/officeDocument/2006/relationships/footer" Target="footer23.xml"/><Relationship Id="rId137" Type="http://schemas.openxmlformats.org/officeDocument/2006/relationships/footer" Target="footer32.xml"/><Relationship Id="rId158" Type="http://schemas.openxmlformats.org/officeDocument/2006/relationships/header" Target="header46.xml"/><Relationship Id="rId20" Type="http://schemas.openxmlformats.org/officeDocument/2006/relationships/hyperlink" Target="https://www.legislation.act.gov.au/a/2004-8/" TargetMode="External"/><Relationship Id="rId41" Type="http://schemas.openxmlformats.org/officeDocument/2006/relationships/hyperlink" Target="https://www.legislation.act.gov.au/a/2001-85/" TargetMode="External"/><Relationship Id="rId62" Type="http://schemas.openxmlformats.org/officeDocument/2006/relationships/hyperlink" Target="https://www.parliament.act.gov.au/Publications/Broadcasting-guidelines" TargetMode="External"/><Relationship Id="rId83" Type="http://schemas.openxmlformats.org/officeDocument/2006/relationships/header" Target="header6.xml"/><Relationship Id="rId88" Type="http://schemas.openxmlformats.org/officeDocument/2006/relationships/header" Target="header10.xml"/><Relationship Id="rId111" Type="http://schemas.openxmlformats.org/officeDocument/2006/relationships/header" Target="header24.xml"/><Relationship Id="rId132" Type="http://schemas.openxmlformats.org/officeDocument/2006/relationships/footer" Target="footer30.xml"/><Relationship Id="rId153" Type="http://schemas.openxmlformats.org/officeDocument/2006/relationships/footer" Target="footer37.xml"/><Relationship Id="rId174" Type="http://schemas.openxmlformats.org/officeDocument/2006/relationships/footer" Target="footer45.xml"/><Relationship Id="rId179" Type="http://schemas.openxmlformats.org/officeDocument/2006/relationships/header" Target="header59.xml"/><Relationship Id="rId190" Type="http://schemas.openxmlformats.org/officeDocument/2006/relationships/header" Target="header62.xml"/><Relationship Id="rId15" Type="http://schemas.openxmlformats.org/officeDocument/2006/relationships/footer" Target="footer3.xml"/><Relationship Id="rId36" Type="http://schemas.openxmlformats.org/officeDocument/2006/relationships/hyperlink" Target="https://www.legislation.act.gov.au/a/1996-23/" TargetMode="External"/><Relationship Id="rId57" Type="http://schemas.openxmlformats.org/officeDocument/2006/relationships/hyperlink" Target="https://www.legislation.act.gov.au/a/2001-85/" TargetMode="External"/><Relationship Id="rId106" Type="http://schemas.openxmlformats.org/officeDocument/2006/relationships/header" Target="header21.xml"/><Relationship Id="rId127" Type="http://schemas.openxmlformats.org/officeDocument/2006/relationships/footer" Target="footer28.xml"/><Relationship Id="rId10" Type="http://schemas.openxmlformats.org/officeDocument/2006/relationships/header" Target="header1.xml"/><Relationship Id="rId31" Type="http://schemas.openxmlformats.org/officeDocument/2006/relationships/image" Target="media/image5.jpeg"/><Relationship Id="rId52" Type="http://schemas.openxmlformats.org/officeDocument/2006/relationships/footer" Target="footer13.xml"/><Relationship Id="rId73" Type="http://schemas.openxmlformats.org/officeDocument/2006/relationships/hyperlink" Target="https://www.legislation.act.gov.au/a/2011-35/" TargetMode="External"/><Relationship Id="rId78" Type="http://schemas.openxmlformats.org/officeDocument/2006/relationships/hyperlink" Target="https://www.legislation.act.gov.au/sl/2007-29/" TargetMode="External"/><Relationship Id="rId94" Type="http://schemas.openxmlformats.org/officeDocument/2006/relationships/header" Target="header14.xml"/><Relationship Id="rId99" Type="http://schemas.openxmlformats.org/officeDocument/2006/relationships/footer" Target="footer18.xml"/><Relationship Id="rId101" Type="http://schemas.openxmlformats.org/officeDocument/2006/relationships/image" Target="media/image10.png"/><Relationship Id="rId122" Type="http://schemas.openxmlformats.org/officeDocument/2006/relationships/header" Target="header31.xml"/><Relationship Id="rId143" Type="http://schemas.openxmlformats.org/officeDocument/2006/relationships/footer" Target="footer34.xml"/><Relationship Id="rId148" Type="http://schemas.openxmlformats.org/officeDocument/2006/relationships/footer" Target="footer36.xml"/><Relationship Id="rId164" Type="http://schemas.openxmlformats.org/officeDocument/2006/relationships/footer" Target="footer40.xml"/><Relationship Id="rId169" Type="http://schemas.openxmlformats.org/officeDocument/2006/relationships/header" Target="header53.xml"/><Relationship Id="rId185" Type="http://schemas.openxmlformats.org/officeDocument/2006/relationships/footer" Target="footer5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47.xml"/><Relationship Id="rId26" Type="http://schemas.openxmlformats.org/officeDocument/2006/relationships/hyperlink" Target="http://www.legislation.act.gov.au/a/2001-85/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Props1.xml><?xml version="1.0" encoding="utf-8"?>
<ds:datastoreItem xmlns:ds="http://schemas.openxmlformats.org/officeDocument/2006/customXml" ds:itemID="{76B6ED24-2B7F-4D00-A75C-83F36314233A}">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39452</Words>
  <Characters>216596</Characters>
  <Application>Microsoft Office Word</Application>
  <DocSecurity>4</DocSecurity>
  <Lines>10829</Lines>
  <Paragraphs>7530</Paragraphs>
  <ScaleCrop>false</ScaleCrop>
  <HeadingPairs>
    <vt:vector size="2" baseType="variant">
      <vt:variant>
        <vt:lpstr>Title</vt:lpstr>
      </vt:variant>
      <vt:variant>
        <vt:i4>1</vt:i4>
      </vt:variant>
    </vt:vector>
  </HeadingPairs>
  <TitlesOfParts>
    <vt:vector size="1" baseType="lpstr">
      <vt:lpstr>Office of the Legislative Assembly Annual Report 2017-2018</vt:lpstr>
    </vt:vector>
  </TitlesOfParts>
  <Company/>
  <LinksUpToDate>false</LinksUpToDate>
  <CharactersWithSpaces>248518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Legislative Assembly Annual Report 2017-2018</dc:title>
  <dc:creator>McAlister, Joann</dc:creator>
  <cp:lastModifiedBy>McAlister, Joann</cp:lastModifiedBy>
  <cp:revision>2</cp:revision>
  <dcterms:created xsi:type="dcterms:W3CDTF">2018-10-12T03:16:00Z</dcterms:created>
  <dcterms:modified xsi:type="dcterms:W3CDTF">2018-10-12T03:16:00Z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2018-10-11T00:00:00Z</vt:filetime>
  </property>
  <property fmtid="{D5CDD505-2E9C-101B-9397-08002B2CF9AE}" pid="3" name="Creator">
    <vt:lpwstr>Adobe InDesign CC 13.1 (Macintosh)</vt:lpwstr>
  </property>
  <property fmtid="{D5CDD505-2E9C-101B-9397-08002B2CF9AE}" pid="4" name="LastSaved">
    <vt:filetime>2018-10-12T00:00:00Z</vt:filetime>
  </property>
  <property fmtid="{D5CDD505-2E9C-101B-9397-08002B2CF9AE}" pid="5" name="docIndexRef">
    <vt:lpwstr>8c5489ca-1cea-42d8-9f41-878c153779fa</vt:lpwstr>
  </property>
  <property fmtid="{D5CDD505-2E9C-101B-9397-08002B2CF9AE}" pid="6" name="bjSaver">
    <vt:lpwstr>c+cw8rPK7PM4rB+XR21st3qeln+gAEV5</vt:lpwstr>
  </property>
  <property fmtid="{D5CDD505-2E9C-101B-9397-08002B2CF9AE}" pid="7"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8" name="bjDocumentLabelXML-0">
    <vt:lpwstr>nternal/label"&gt;&lt;element uid="a68a5297-83bb-4ba8-a7cd-4b62d6981a77" value="" /&gt;&lt;/sisl&gt;</vt:lpwstr>
  </property>
  <property fmtid="{D5CDD505-2E9C-101B-9397-08002B2CF9AE}" pid="9" name="bjDocumentSecurityLabel">
    <vt:lpwstr>UNCLASSIFIED - NO MARKING</vt:lpwstr>
  </property>
  <property fmtid="{D5CDD505-2E9C-101B-9397-08002B2CF9AE}" pid="10" name="bjDocumentLabelFieldCode">
    <vt:lpwstr>UNCLASSIFIED - NO MARKING</vt:lpwstr>
  </property>
  <property fmtid="{D5CDD505-2E9C-101B-9397-08002B2CF9AE}" pid="11" name="bjDocumentLabelFieldCodeHeaderFooter">
    <vt:lpwstr>UNCLASSIFIED - NO MARKING</vt:lpwstr>
  </property>
</Properties>
</file>