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31" w:rsidRPr="00EA5686" w:rsidRDefault="00AD7D31" w:rsidP="00AD7D31">
      <w:pPr>
        <w:pStyle w:val="Header"/>
        <w:tabs>
          <w:tab w:val="left" w:pos="720"/>
        </w:tabs>
        <w:rPr>
          <w:rFonts w:ascii="Calibri" w:hAnsi="Calibri"/>
          <w:sz w:val="24"/>
          <w:szCs w:val="24"/>
        </w:rPr>
      </w:pPr>
    </w:p>
    <w:p w:rsidR="00AD7D31" w:rsidRPr="00EA5686" w:rsidRDefault="00AD7D31" w:rsidP="00AD7D31">
      <w:pPr>
        <w:pStyle w:val="Header"/>
        <w:tabs>
          <w:tab w:val="left" w:pos="4830"/>
        </w:tabs>
        <w:rPr>
          <w:rFonts w:ascii="Calibri" w:hAnsi="Calibri"/>
          <w:sz w:val="24"/>
          <w:szCs w:val="24"/>
          <w:lang w:val="en-US"/>
        </w:rPr>
      </w:pPr>
      <w:r w:rsidRPr="00EA5686">
        <w:rPr>
          <w:rFonts w:ascii="Calibri" w:hAnsi="Calibri"/>
          <w:sz w:val="24"/>
          <w:szCs w:val="24"/>
          <w:lang w:val="en-US"/>
        </w:rPr>
        <w:tab/>
      </w:r>
    </w:p>
    <w:p w:rsidR="00AD7D31" w:rsidRPr="00EA5686" w:rsidRDefault="00AD7D31" w:rsidP="00AD7D31">
      <w:pPr>
        <w:pStyle w:val="Header"/>
        <w:tabs>
          <w:tab w:val="left" w:pos="6930"/>
        </w:tabs>
        <w:rPr>
          <w:rFonts w:ascii="Calibri" w:hAnsi="Calibri"/>
          <w:sz w:val="24"/>
          <w:szCs w:val="24"/>
          <w:lang w:val="en-US"/>
        </w:rPr>
      </w:pPr>
      <w:r w:rsidRPr="00EA5686">
        <w:rPr>
          <w:rFonts w:ascii="Calibri" w:hAnsi="Calibri"/>
          <w:sz w:val="24"/>
          <w:szCs w:val="24"/>
          <w:lang w:val="en-US"/>
        </w:rPr>
        <w:tab/>
      </w:r>
    </w:p>
    <w:p w:rsidR="00AD7D31" w:rsidRDefault="00F94309" w:rsidP="00AD7D31">
      <w:pPr>
        <w:spacing w:after="0" w:line="240" w:lineRule="auto"/>
        <w:rPr>
          <w:rFonts w:ascii="Calibri" w:hAnsi="Calibri"/>
          <w:sz w:val="24"/>
          <w:szCs w:val="24"/>
        </w:rPr>
      </w:pPr>
      <w:r>
        <w:rPr>
          <w:rFonts w:ascii="Calibri" w:hAnsi="Calibri"/>
          <w:sz w:val="24"/>
          <w:szCs w:val="24"/>
        </w:rPr>
        <w:t>Mrs Giulia Jones MLA</w:t>
      </w:r>
    </w:p>
    <w:p w:rsidR="00F94309" w:rsidRDefault="00F94309" w:rsidP="00AD7D31">
      <w:pPr>
        <w:spacing w:after="0" w:line="240" w:lineRule="auto"/>
        <w:rPr>
          <w:rFonts w:ascii="Calibri" w:hAnsi="Calibri"/>
          <w:sz w:val="24"/>
          <w:szCs w:val="24"/>
        </w:rPr>
      </w:pPr>
      <w:r>
        <w:rPr>
          <w:rFonts w:ascii="Calibri" w:hAnsi="Calibri"/>
          <w:sz w:val="24"/>
          <w:szCs w:val="24"/>
        </w:rPr>
        <w:t>Chair</w:t>
      </w:r>
    </w:p>
    <w:p w:rsidR="00F94309" w:rsidRPr="00EA5686" w:rsidRDefault="00F94309" w:rsidP="00AD7D31">
      <w:pPr>
        <w:spacing w:after="0" w:line="240" w:lineRule="auto"/>
        <w:rPr>
          <w:rFonts w:ascii="Calibri" w:hAnsi="Calibri"/>
          <w:sz w:val="24"/>
          <w:szCs w:val="24"/>
        </w:rPr>
      </w:pPr>
      <w:r>
        <w:rPr>
          <w:rFonts w:ascii="Calibri" w:hAnsi="Calibri"/>
          <w:sz w:val="24"/>
          <w:szCs w:val="24"/>
        </w:rPr>
        <w:t>Standing Committee on Justice and Community Safety (Legislative Scrutiny Role)</w:t>
      </w:r>
    </w:p>
    <w:p w:rsidR="00AD7D31" w:rsidRPr="00EA5686" w:rsidRDefault="00F94309" w:rsidP="00AD7D31">
      <w:pPr>
        <w:spacing w:after="0" w:line="240" w:lineRule="auto"/>
        <w:rPr>
          <w:rFonts w:ascii="Calibri" w:hAnsi="Calibri"/>
          <w:sz w:val="24"/>
          <w:szCs w:val="24"/>
        </w:rPr>
      </w:pPr>
      <w:r>
        <w:rPr>
          <w:rFonts w:ascii="Calibri" w:hAnsi="Calibri"/>
          <w:sz w:val="24"/>
          <w:szCs w:val="24"/>
        </w:rPr>
        <w:t>ACT Legislative Assembly</w:t>
      </w:r>
    </w:p>
    <w:p w:rsidR="00AD7D31" w:rsidRPr="00EA5686" w:rsidRDefault="00F94309" w:rsidP="00AD7D31">
      <w:pPr>
        <w:tabs>
          <w:tab w:val="left" w:pos="3420"/>
        </w:tabs>
        <w:spacing w:after="0" w:line="240" w:lineRule="auto"/>
        <w:rPr>
          <w:rFonts w:ascii="Calibri" w:hAnsi="Calibri"/>
          <w:sz w:val="24"/>
          <w:szCs w:val="24"/>
        </w:rPr>
      </w:pPr>
      <w:r>
        <w:rPr>
          <w:rFonts w:ascii="Calibri" w:hAnsi="Calibri"/>
          <w:sz w:val="24"/>
          <w:szCs w:val="24"/>
        </w:rPr>
        <w:t>GPO Box 1020</w:t>
      </w:r>
      <w:r w:rsidR="00AD7D31" w:rsidRPr="00EA5686">
        <w:rPr>
          <w:rFonts w:ascii="Calibri" w:hAnsi="Calibri"/>
          <w:sz w:val="24"/>
          <w:szCs w:val="24"/>
        </w:rPr>
        <w:tab/>
      </w:r>
    </w:p>
    <w:p w:rsidR="00AD7D31" w:rsidRPr="00EA5686" w:rsidRDefault="00F94309" w:rsidP="00AD7D31">
      <w:pPr>
        <w:spacing w:after="0" w:line="240" w:lineRule="auto"/>
        <w:rPr>
          <w:rFonts w:ascii="Calibri" w:hAnsi="Calibri"/>
          <w:sz w:val="24"/>
          <w:szCs w:val="24"/>
          <w:lang w:val="en-US"/>
        </w:rPr>
      </w:pPr>
      <w:r>
        <w:rPr>
          <w:rFonts w:ascii="Calibri" w:hAnsi="Calibri"/>
          <w:sz w:val="24"/>
          <w:szCs w:val="24"/>
        </w:rPr>
        <w:t>CANBERRA ACT 2601</w:t>
      </w:r>
    </w:p>
    <w:p w:rsidR="00AD7D31" w:rsidRPr="00EA5686" w:rsidRDefault="00AD7D31" w:rsidP="00AD7D31">
      <w:pPr>
        <w:spacing w:after="0" w:line="240" w:lineRule="auto"/>
        <w:rPr>
          <w:rFonts w:ascii="Calibri" w:hAnsi="Calibri"/>
          <w:sz w:val="24"/>
          <w:szCs w:val="24"/>
        </w:rPr>
      </w:pPr>
    </w:p>
    <w:p w:rsidR="00AD7D31" w:rsidRPr="00EA5686" w:rsidRDefault="00AD7D31" w:rsidP="00AD7D31">
      <w:pPr>
        <w:spacing w:after="0" w:line="240" w:lineRule="auto"/>
        <w:rPr>
          <w:rFonts w:ascii="Calibri" w:hAnsi="Calibri"/>
          <w:sz w:val="24"/>
          <w:szCs w:val="24"/>
        </w:rPr>
      </w:pPr>
    </w:p>
    <w:p w:rsidR="00AD7D31" w:rsidRPr="00EA5686" w:rsidRDefault="00AD7D31" w:rsidP="00AD7D31">
      <w:pPr>
        <w:spacing w:after="0" w:line="240" w:lineRule="auto"/>
        <w:rPr>
          <w:rFonts w:ascii="Calibri" w:hAnsi="Calibri"/>
          <w:sz w:val="24"/>
          <w:szCs w:val="24"/>
        </w:rPr>
      </w:pPr>
    </w:p>
    <w:p w:rsidR="00AD7D31" w:rsidRPr="00EA5686" w:rsidRDefault="00AD7D31" w:rsidP="00FC3472">
      <w:pPr>
        <w:tabs>
          <w:tab w:val="center" w:pos="4932"/>
        </w:tabs>
        <w:spacing w:after="0" w:line="240" w:lineRule="auto"/>
        <w:rPr>
          <w:rFonts w:ascii="Calibri" w:hAnsi="Calibri"/>
          <w:sz w:val="24"/>
          <w:szCs w:val="24"/>
        </w:rPr>
      </w:pPr>
      <w:r w:rsidRPr="00EA5686">
        <w:rPr>
          <w:rFonts w:ascii="Calibri" w:hAnsi="Calibri"/>
          <w:sz w:val="24"/>
          <w:szCs w:val="24"/>
          <w:lang w:val="en-US"/>
        </w:rPr>
        <w:t xml:space="preserve">Dear </w:t>
      </w:r>
      <w:r w:rsidR="00F94309">
        <w:rPr>
          <w:rFonts w:ascii="Calibri" w:hAnsi="Calibri"/>
          <w:sz w:val="24"/>
          <w:szCs w:val="24"/>
          <w:lang w:val="en-US"/>
        </w:rPr>
        <w:t>Mrs Jones</w:t>
      </w:r>
      <w:r w:rsidR="00FC3472">
        <w:rPr>
          <w:rFonts w:ascii="Calibri" w:hAnsi="Calibri"/>
          <w:sz w:val="24"/>
          <w:szCs w:val="24"/>
          <w:lang w:val="en-US"/>
        </w:rPr>
        <w:tab/>
      </w:r>
    </w:p>
    <w:p w:rsidR="00AD7D31" w:rsidRPr="00EA5686" w:rsidRDefault="00AD7D31" w:rsidP="00AD7D31">
      <w:pPr>
        <w:pStyle w:val="Header"/>
        <w:tabs>
          <w:tab w:val="left" w:pos="720"/>
        </w:tabs>
        <w:rPr>
          <w:rFonts w:ascii="Calibri" w:hAnsi="Calibri"/>
          <w:sz w:val="24"/>
          <w:szCs w:val="24"/>
        </w:rPr>
      </w:pPr>
    </w:p>
    <w:p w:rsidR="00AD7D31" w:rsidRPr="00EA5686" w:rsidRDefault="00F94309" w:rsidP="00AD7D31">
      <w:pPr>
        <w:spacing w:after="0" w:line="240" w:lineRule="auto"/>
        <w:rPr>
          <w:rFonts w:ascii="Calibri" w:hAnsi="Calibri"/>
          <w:sz w:val="24"/>
          <w:szCs w:val="24"/>
        </w:rPr>
      </w:pPr>
      <w:r>
        <w:rPr>
          <w:rFonts w:ascii="Calibri" w:hAnsi="Calibri"/>
          <w:sz w:val="24"/>
          <w:szCs w:val="24"/>
        </w:rPr>
        <w:t xml:space="preserve">I write in response to the Standing Committee on Justice and Community Safety’s Scrutiny Report No 13 of 6 February 2018 which comments on </w:t>
      </w:r>
      <w:r w:rsidR="00632C10" w:rsidRPr="00CE7A9D">
        <w:rPr>
          <w:sz w:val="24"/>
          <w:szCs w:val="24"/>
        </w:rPr>
        <w:t>Disallowable Instrument DI2017-263 – the Terrorism (Extraordinary Temporary Powers) Public Interest Monitor Panel Appointment 2017 (No 1)</w:t>
      </w:r>
      <w:r w:rsidR="00632C10">
        <w:rPr>
          <w:sz w:val="24"/>
          <w:szCs w:val="24"/>
        </w:rPr>
        <w:t xml:space="preserve"> (the DI).</w:t>
      </w:r>
    </w:p>
    <w:p w:rsidR="00AD7D31" w:rsidRPr="00EA5686" w:rsidRDefault="00AD7D31" w:rsidP="00AD7D31">
      <w:pPr>
        <w:spacing w:after="0" w:line="240" w:lineRule="auto"/>
        <w:rPr>
          <w:rFonts w:ascii="Calibri" w:hAnsi="Calibri"/>
          <w:sz w:val="24"/>
          <w:szCs w:val="24"/>
        </w:rPr>
      </w:pPr>
    </w:p>
    <w:p w:rsidR="001C5FEA" w:rsidRDefault="00F94309" w:rsidP="001C5FEA">
      <w:pPr>
        <w:spacing w:after="0" w:line="240" w:lineRule="auto"/>
        <w:rPr>
          <w:rFonts w:ascii="Calibri" w:hAnsi="Calibri"/>
          <w:sz w:val="24"/>
          <w:szCs w:val="24"/>
        </w:rPr>
      </w:pPr>
      <w:r>
        <w:rPr>
          <w:rFonts w:ascii="Calibri" w:hAnsi="Calibri"/>
          <w:sz w:val="24"/>
          <w:szCs w:val="24"/>
        </w:rPr>
        <w:t xml:space="preserve">I refer to the Committee’s request for a response </w:t>
      </w:r>
      <w:r w:rsidR="00632C10" w:rsidRPr="00632C10">
        <w:rPr>
          <w:rFonts w:ascii="Calibri" w:hAnsi="Calibri"/>
          <w:iCs/>
          <w:sz w:val="24"/>
          <w:szCs w:val="24"/>
          <w:lang w:val="en-US"/>
        </w:rPr>
        <w:t xml:space="preserve">concerning confirmation that the specified person in the DI, Dr John Boersig, is not a public servant for the purposes of paragraph 227(2)(a) of the </w:t>
      </w:r>
      <w:r w:rsidR="00632C10" w:rsidRPr="00632C10">
        <w:rPr>
          <w:rFonts w:ascii="Calibri" w:hAnsi="Calibri"/>
          <w:i/>
          <w:iCs/>
          <w:sz w:val="24"/>
          <w:szCs w:val="24"/>
          <w:lang w:val="en-US"/>
        </w:rPr>
        <w:t>Legislation Act 2001</w:t>
      </w:r>
      <w:r w:rsidR="00632C10" w:rsidRPr="00632C10">
        <w:rPr>
          <w:rFonts w:ascii="Calibri" w:hAnsi="Calibri"/>
          <w:iCs/>
          <w:sz w:val="24"/>
          <w:szCs w:val="24"/>
          <w:lang w:val="en-US"/>
        </w:rPr>
        <w:t>.</w:t>
      </w:r>
      <w:r w:rsidR="001C5FEA">
        <w:rPr>
          <w:rFonts w:ascii="Calibri" w:hAnsi="Calibri"/>
          <w:sz w:val="24"/>
          <w:szCs w:val="24"/>
        </w:rPr>
        <w:t xml:space="preserve"> I can </w:t>
      </w:r>
      <w:r w:rsidR="004A7030">
        <w:rPr>
          <w:rFonts w:ascii="Calibri" w:hAnsi="Calibri"/>
          <w:sz w:val="24"/>
          <w:szCs w:val="24"/>
        </w:rPr>
        <w:t>confirm</w:t>
      </w:r>
      <w:r w:rsidR="001C5FEA">
        <w:rPr>
          <w:rFonts w:ascii="Calibri" w:hAnsi="Calibri"/>
          <w:sz w:val="24"/>
          <w:szCs w:val="24"/>
        </w:rPr>
        <w:t xml:space="preserve"> that </w:t>
      </w:r>
      <w:r w:rsidR="00632C10">
        <w:rPr>
          <w:rFonts w:ascii="Calibri" w:hAnsi="Calibri"/>
          <w:sz w:val="24"/>
          <w:szCs w:val="24"/>
        </w:rPr>
        <w:t>Dr Boersig is not a public servant and so the requirements of Division 19.3.3 of the Legislation Act</w:t>
      </w:r>
      <w:r w:rsidR="004A7030">
        <w:rPr>
          <w:rFonts w:ascii="Calibri" w:hAnsi="Calibri"/>
          <w:sz w:val="24"/>
          <w:szCs w:val="24"/>
        </w:rPr>
        <w:t>, in particular, that the appointment is a disallowable instrument,</w:t>
      </w:r>
      <w:r w:rsidR="00632C10">
        <w:rPr>
          <w:rFonts w:ascii="Calibri" w:hAnsi="Calibri"/>
          <w:sz w:val="24"/>
          <w:szCs w:val="24"/>
        </w:rPr>
        <w:t xml:space="preserve"> have been appropriately met. </w:t>
      </w:r>
    </w:p>
    <w:p w:rsidR="001C5FEA" w:rsidRDefault="001C5FEA" w:rsidP="001C5FEA">
      <w:pPr>
        <w:spacing w:after="0" w:line="240" w:lineRule="auto"/>
        <w:rPr>
          <w:rFonts w:ascii="Calibri" w:hAnsi="Calibri"/>
          <w:sz w:val="24"/>
          <w:szCs w:val="24"/>
        </w:rPr>
      </w:pPr>
    </w:p>
    <w:p w:rsidR="00FB4900" w:rsidRDefault="00FB4900" w:rsidP="00632C10">
      <w:pPr>
        <w:spacing w:after="0" w:line="240" w:lineRule="auto"/>
        <w:rPr>
          <w:rFonts w:ascii="Calibri" w:hAnsi="Calibri"/>
          <w:sz w:val="24"/>
          <w:szCs w:val="24"/>
        </w:rPr>
      </w:pPr>
      <w:bookmarkStart w:id="0" w:name="_GoBack"/>
      <w:bookmarkEnd w:id="0"/>
      <w:r>
        <w:rPr>
          <w:rFonts w:ascii="Calibri" w:hAnsi="Calibri"/>
          <w:iCs/>
          <w:sz w:val="24"/>
          <w:szCs w:val="24"/>
        </w:rPr>
        <w:t>S</w:t>
      </w:r>
      <w:r w:rsidRPr="00FB4900">
        <w:rPr>
          <w:rFonts w:ascii="Calibri" w:hAnsi="Calibri"/>
          <w:iCs/>
          <w:sz w:val="24"/>
          <w:szCs w:val="24"/>
        </w:rPr>
        <w:t xml:space="preserve">ection 62 of the </w:t>
      </w:r>
      <w:r w:rsidRPr="00FB4900">
        <w:rPr>
          <w:rFonts w:ascii="Calibri" w:hAnsi="Calibri"/>
          <w:i/>
          <w:iCs/>
          <w:sz w:val="24"/>
          <w:szCs w:val="24"/>
        </w:rPr>
        <w:t xml:space="preserve">Terrorism (Extraordinary Temporary Powers) Act 2006 </w:t>
      </w:r>
      <w:r w:rsidRPr="00FB4900">
        <w:rPr>
          <w:rFonts w:ascii="Calibri" w:hAnsi="Calibri"/>
          <w:iCs/>
          <w:sz w:val="24"/>
          <w:szCs w:val="24"/>
        </w:rPr>
        <w:t>(TETP Act)</w:t>
      </w:r>
      <w:r>
        <w:rPr>
          <w:rFonts w:ascii="Calibri" w:hAnsi="Calibri"/>
          <w:i/>
          <w:iCs/>
          <w:sz w:val="24"/>
          <w:szCs w:val="24"/>
        </w:rPr>
        <w:t xml:space="preserve"> </w:t>
      </w:r>
      <w:r>
        <w:rPr>
          <w:rFonts w:ascii="Calibri" w:hAnsi="Calibri"/>
          <w:iCs/>
          <w:sz w:val="24"/>
          <w:szCs w:val="24"/>
        </w:rPr>
        <w:t xml:space="preserve">provides that the Minister must appoint people to a public interest monitor panel. The note under s 62(1) indicates that for the making of appointments, see part 19.3 of the Legislation Act, which provides that certain ministerial appointments require consultation with an Assembly committee and are disallowable. </w:t>
      </w:r>
    </w:p>
    <w:p w:rsidR="00FB4900" w:rsidRDefault="00FB4900" w:rsidP="00632C10">
      <w:pPr>
        <w:spacing w:after="0" w:line="240" w:lineRule="auto"/>
        <w:rPr>
          <w:rFonts w:ascii="Calibri" w:hAnsi="Calibri"/>
          <w:sz w:val="24"/>
          <w:szCs w:val="24"/>
        </w:rPr>
      </w:pPr>
    </w:p>
    <w:p w:rsidR="00FB4900" w:rsidRDefault="00632C10" w:rsidP="00632C10">
      <w:pPr>
        <w:spacing w:after="0" w:line="240" w:lineRule="auto"/>
        <w:rPr>
          <w:rFonts w:ascii="Calibri" w:hAnsi="Calibri"/>
          <w:iCs/>
          <w:sz w:val="24"/>
          <w:szCs w:val="24"/>
          <w:lang w:val="en-US"/>
        </w:rPr>
      </w:pPr>
      <w:r w:rsidRPr="00632C10">
        <w:rPr>
          <w:rFonts w:ascii="Calibri" w:hAnsi="Calibri"/>
          <w:iCs/>
          <w:sz w:val="24"/>
          <w:szCs w:val="24"/>
          <w:lang w:val="en-US"/>
        </w:rPr>
        <w:t>Division 19.3.3 of the Legislation Act sets out the requirements for Assembly consultation for appointments.  Subsection 227(2) of the Legislation Act specifically provides for when the division does not apply to an appointment, with s 227(2)(a) providing that the requirements of the division do not apply to the appointment of a public servant to a statutory position.</w:t>
      </w:r>
    </w:p>
    <w:p w:rsidR="00FB4900" w:rsidRPr="00632C10" w:rsidRDefault="00FB4900" w:rsidP="00632C10">
      <w:pPr>
        <w:spacing w:after="0" w:line="240" w:lineRule="auto"/>
        <w:rPr>
          <w:rFonts w:ascii="Calibri" w:hAnsi="Calibri"/>
          <w:iCs/>
          <w:sz w:val="24"/>
          <w:szCs w:val="24"/>
          <w:lang w:val="en-US"/>
        </w:rPr>
      </w:pPr>
    </w:p>
    <w:p w:rsidR="00632C10" w:rsidRDefault="00632C10" w:rsidP="001C5FEA">
      <w:pPr>
        <w:spacing w:after="0" w:line="240" w:lineRule="auto"/>
        <w:rPr>
          <w:rFonts w:ascii="Calibri" w:hAnsi="Calibri"/>
          <w:sz w:val="24"/>
          <w:szCs w:val="24"/>
        </w:rPr>
      </w:pPr>
      <w:r w:rsidRPr="00632C10">
        <w:rPr>
          <w:rFonts w:ascii="Calibri" w:hAnsi="Calibri"/>
          <w:iCs/>
          <w:sz w:val="24"/>
          <w:szCs w:val="24"/>
          <w:lang w:val="en-US"/>
        </w:rPr>
        <w:t xml:space="preserve">A “public servant” is defined in the TETP Act as “a person employed in the public service”. The “public service” is defined in the TETP Act as the ACT Public Service, which is defined in the </w:t>
      </w:r>
      <w:r w:rsidRPr="00632C10">
        <w:rPr>
          <w:rFonts w:ascii="Calibri" w:hAnsi="Calibri"/>
          <w:i/>
          <w:iCs/>
          <w:sz w:val="24"/>
          <w:szCs w:val="24"/>
          <w:lang w:val="en-US"/>
        </w:rPr>
        <w:t xml:space="preserve">Public Sector Management Act 1994 </w:t>
      </w:r>
      <w:r w:rsidRPr="00632C10">
        <w:rPr>
          <w:rFonts w:ascii="Calibri" w:hAnsi="Calibri"/>
          <w:iCs/>
          <w:sz w:val="24"/>
          <w:szCs w:val="24"/>
          <w:lang w:val="en-US"/>
        </w:rPr>
        <w:t>(PSM Act).</w:t>
      </w:r>
      <w:r w:rsidR="00FB4900">
        <w:rPr>
          <w:rFonts w:ascii="Calibri" w:hAnsi="Calibri"/>
          <w:iCs/>
          <w:sz w:val="24"/>
          <w:szCs w:val="24"/>
          <w:lang w:val="en-US"/>
        </w:rPr>
        <w:t xml:space="preserve"> </w:t>
      </w:r>
      <w:r w:rsidRPr="00632C10">
        <w:rPr>
          <w:rFonts w:ascii="Calibri" w:hAnsi="Calibri"/>
          <w:sz w:val="24"/>
          <w:szCs w:val="24"/>
        </w:rPr>
        <w:t xml:space="preserve">Section 12 of the PSM Act provides that the ACT Public Service is made up of the administrative units established under section 13 of the PSM Act. Section </w:t>
      </w:r>
      <w:r w:rsidRPr="00632C10">
        <w:rPr>
          <w:rFonts w:ascii="Calibri" w:hAnsi="Calibri"/>
          <w:sz w:val="24"/>
          <w:szCs w:val="24"/>
        </w:rPr>
        <w:lastRenderedPageBreak/>
        <w:t>13 provides that the Chief Minister may establish administrative units. These administrative units are currently set out in the notifiable instrument Administrative Arrangements 2017 (No 1). Legal Aid ACT is not an administrative unit as established under the Administrative Arrangements instrument and so Dr Boersig, as an employee of Legal Aid ACT, is not a public servant for the purposes of the TETP Act.</w:t>
      </w:r>
    </w:p>
    <w:p w:rsidR="001C5FEA" w:rsidRDefault="001C5FEA" w:rsidP="00AD7D31">
      <w:pPr>
        <w:spacing w:after="0" w:line="240" w:lineRule="auto"/>
        <w:rPr>
          <w:rFonts w:ascii="Calibri" w:hAnsi="Calibri"/>
          <w:sz w:val="24"/>
          <w:szCs w:val="24"/>
        </w:rPr>
      </w:pPr>
    </w:p>
    <w:p w:rsidR="00AD7D31" w:rsidRPr="00EA5686" w:rsidRDefault="00F94309" w:rsidP="00AD7D31">
      <w:pPr>
        <w:spacing w:after="0" w:line="240" w:lineRule="auto"/>
        <w:rPr>
          <w:rFonts w:ascii="Calibri" w:hAnsi="Calibri"/>
          <w:sz w:val="24"/>
          <w:szCs w:val="24"/>
        </w:rPr>
      </w:pPr>
      <w:r>
        <w:rPr>
          <w:rFonts w:ascii="Calibri" w:hAnsi="Calibri"/>
          <w:sz w:val="24"/>
          <w:szCs w:val="24"/>
        </w:rPr>
        <w:t>I thank the Committee for its report and careful consideration of the Bill.</w:t>
      </w:r>
    </w:p>
    <w:p w:rsidR="00AD7D31" w:rsidRPr="00EA5686" w:rsidRDefault="00AD7D31" w:rsidP="00AD7D31">
      <w:pPr>
        <w:spacing w:after="0" w:line="240" w:lineRule="auto"/>
        <w:rPr>
          <w:rFonts w:ascii="Calibri" w:hAnsi="Calibri"/>
          <w:sz w:val="24"/>
          <w:szCs w:val="24"/>
        </w:rPr>
      </w:pPr>
    </w:p>
    <w:p w:rsidR="00AD7D31" w:rsidRPr="00EA5686" w:rsidRDefault="00AD7D31" w:rsidP="00AD7D31">
      <w:pPr>
        <w:spacing w:after="0" w:line="240" w:lineRule="auto"/>
        <w:rPr>
          <w:rFonts w:ascii="Calibri" w:hAnsi="Calibri"/>
          <w:sz w:val="24"/>
          <w:szCs w:val="24"/>
        </w:rPr>
      </w:pPr>
      <w:r w:rsidRPr="00EA5686">
        <w:rPr>
          <w:rFonts w:ascii="Calibri" w:hAnsi="Calibri"/>
          <w:sz w:val="24"/>
          <w:szCs w:val="24"/>
        </w:rPr>
        <w:t>Yours sincerely</w:t>
      </w:r>
    </w:p>
    <w:p w:rsidR="00AD7D31" w:rsidRPr="00EA5686" w:rsidRDefault="00AD7D31" w:rsidP="00AD7D31">
      <w:pPr>
        <w:spacing w:after="0" w:line="240" w:lineRule="auto"/>
        <w:rPr>
          <w:rFonts w:ascii="Calibri" w:hAnsi="Calibri"/>
          <w:sz w:val="24"/>
          <w:szCs w:val="24"/>
        </w:rPr>
      </w:pPr>
    </w:p>
    <w:p w:rsidR="00AD7D31" w:rsidRDefault="00834846" w:rsidP="00AD7D31">
      <w:pPr>
        <w:spacing w:after="0" w:line="240" w:lineRule="auto"/>
        <w:rPr>
          <w:rFonts w:ascii="Calibri" w:hAnsi="Calibri"/>
          <w:sz w:val="24"/>
          <w:szCs w:val="24"/>
        </w:rPr>
      </w:pPr>
      <w:r w:rsidRPr="00EA5686">
        <w:rPr>
          <w:rFonts w:ascii="Calibri" w:hAnsi="Calibri"/>
          <w:sz w:val="24"/>
          <w:szCs w:val="24"/>
        </w:rPr>
        <w:br/>
      </w:r>
    </w:p>
    <w:p w:rsidR="00F94309" w:rsidRPr="00EA5686" w:rsidRDefault="00F94309" w:rsidP="00AD7D31">
      <w:pPr>
        <w:spacing w:after="0" w:line="240" w:lineRule="auto"/>
        <w:rPr>
          <w:rFonts w:ascii="Calibri" w:hAnsi="Calibri"/>
          <w:sz w:val="24"/>
          <w:szCs w:val="24"/>
        </w:rPr>
      </w:pPr>
    </w:p>
    <w:p w:rsidR="00AD7D31" w:rsidRDefault="00493B73" w:rsidP="00AD7D31">
      <w:pPr>
        <w:spacing w:after="0" w:line="240" w:lineRule="auto"/>
        <w:rPr>
          <w:rFonts w:ascii="Calibri" w:hAnsi="Calibri"/>
          <w:sz w:val="24"/>
          <w:szCs w:val="24"/>
        </w:rPr>
      </w:pPr>
      <w:r w:rsidRPr="00EA5686">
        <w:rPr>
          <w:rFonts w:ascii="Calibri" w:hAnsi="Calibri"/>
          <w:sz w:val="24"/>
          <w:szCs w:val="24"/>
        </w:rPr>
        <w:t>Gordon</w:t>
      </w:r>
      <w:r w:rsidR="00AD7D31" w:rsidRPr="00EA5686">
        <w:rPr>
          <w:rFonts w:ascii="Calibri" w:hAnsi="Calibri"/>
          <w:sz w:val="24"/>
          <w:szCs w:val="24"/>
        </w:rPr>
        <w:t xml:space="preserve"> </w:t>
      </w:r>
      <w:r w:rsidRPr="00EA5686">
        <w:rPr>
          <w:rFonts w:ascii="Calibri" w:hAnsi="Calibri"/>
          <w:sz w:val="24"/>
          <w:szCs w:val="24"/>
        </w:rPr>
        <w:t>Ramsay</w:t>
      </w:r>
      <w:r w:rsidR="00AD7D31" w:rsidRPr="00EA5686">
        <w:rPr>
          <w:rFonts w:ascii="Calibri" w:hAnsi="Calibri"/>
          <w:sz w:val="24"/>
          <w:szCs w:val="24"/>
        </w:rPr>
        <w:t xml:space="preserve"> MLA</w:t>
      </w:r>
    </w:p>
    <w:p w:rsidR="00FC3472" w:rsidRPr="00EA5686" w:rsidRDefault="00FC3472" w:rsidP="00AD7D31">
      <w:pPr>
        <w:spacing w:after="0" w:line="240" w:lineRule="auto"/>
        <w:rPr>
          <w:rFonts w:ascii="Calibri" w:hAnsi="Calibri"/>
          <w:sz w:val="24"/>
          <w:szCs w:val="24"/>
        </w:rPr>
      </w:pPr>
      <w:r>
        <w:rPr>
          <w:rFonts w:ascii="Calibri" w:hAnsi="Calibri"/>
          <w:sz w:val="24"/>
          <w:szCs w:val="24"/>
        </w:rPr>
        <w:t>Attorney-General</w:t>
      </w:r>
    </w:p>
    <w:p w:rsidR="00AD7D31" w:rsidRPr="00EA5686" w:rsidRDefault="00AD7D31" w:rsidP="00AD7D31">
      <w:pPr>
        <w:pStyle w:val="Header"/>
        <w:tabs>
          <w:tab w:val="left" w:pos="720"/>
        </w:tabs>
        <w:rPr>
          <w:rFonts w:ascii="Calibri" w:hAnsi="Calibri"/>
          <w:sz w:val="24"/>
          <w:szCs w:val="24"/>
        </w:rPr>
      </w:pPr>
    </w:p>
    <w:p w:rsidR="00AD7D31" w:rsidRPr="00EA5686" w:rsidRDefault="00AD7D31" w:rsidP="00AD7D31">
      <w:pPr>
        <w:spacing w:after="0" w:line="240" w:lineRule="auto"/>
        <w:rPr>
          <w:rFonts w:ascii="Times New Roman" w:hAnsi="Times New Roman"/>
          <w:sz w:val="24"/>
          <w:szCs w:val="24"/>
        </w:rPr>
      </w:pPr>
    </w:p>
    <w:p w:rsidR="00AD7D31" w:rsidRPr="00EA5686" w:rsidRDefault="00AD7D31" w:rsidP="00AD7D31">
      <w:pPr>
        <w:tabs>
          <w:tab w:val="left" w:pos="3240"/>
        </w:tabs>
        <w:spacing w:after="0" w:line="240" w:lineRule="auto"/>
        <w:rPr>
          <w:sz w:val="24"/>
          <w:szCs w:val="24"/>
        </w:rPr>
      </w:pPr>
      <w:r w:rsidRPr="00EA5686">
        <w:rPr>
          <w:sz w:val="24"/>
          <w:szCs w:val="24"/>
        </w:rPr>
        <w:tab/>
      </w:r>
    </w:p>
    <w:p w:rsidR="00AD7D31" w:rsidRPr="00EA5686" w:rsidRDefault="00AD7D31" w:rsidP="00AD7D31">
      <w:pPr>
        <w:spacing w:after="0" w:line="240" w:lineRule="auto"/>
        <w:rPr>
          <w:sz w:val="24"/>
          <w:szCs w:val="24"/>
        </w:rPr>
      </w:pPr>
    </w:p>
    <w:p w:rsidR="0055749D" w:rsidRPr="00EA5686" w:rsidRDefault="0055749D" w:rsidP="00AD7D31">
      <w:pPr>
        <w:tabs>
          <w:tab w:val="left" w:pos="3543"/>
        </w:tabs>
        <w:spacing w:after="0" w:line="240" w:lineRule="auto"/>
        <w:rPr>
          <w:sz w:val="24"/>
          <w:szCs w:val="24"/>
        </w:rPr>
      </w:pPr>
    </w:p>
    <w:sectPr w:rsidR="0055749D" w:rsidRPr="00EA5686" w:rsidSect="004903F3">
      <w:headerReference w:type="first" r:id="rId6"/>
      <w:footerReference w:type="first" r:id="rId7"/>
      <w:pgSz w:w="11906" w:h="16838" w:code="9"/>
      <w:pgMar w:top="1440" w:right="1021" w:bottom="1440" w:left="1021" w:header="99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8F" w:rsidRDefault="0041148F" w:rsidP="00AD7D31">
      <w:pPr>
        <w:spacing w:after="0" w:line="240" w:lineRule="auto"/>
      </w:pPr>
      <w:r>
        <w:separator/>
      </w:r>
    </w:p>
  </w:endnote>
  <w:endnote w:type="continuationSeparator" w:id="0">
    <w:p w:rsidR="0041148F" w:rsidRDefault="0041148F"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8B" w:rsidRDefault="00855531"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14:anchorId="427864E0" wp14:editId="1FC2CA61">
          <wp:simplePos x="0" y="0"/>
          <wp:positionH relativeFrom="column">
            <wp:posOffset>5197661</wp:posOffset>
          </wp:positionH>
          <wp:positionV relativeFrom="paragraph">
            <wp:posOffset>189890</wp:posOffset>
          </wp:positionV>
          <wp:extent cx="883120" cy="35407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220" cy="357317"/>
                  </a:xfrm>
                  <a:prstGeom prst="rect">
                    <a:avLst/>
                  </a:prstGeom>
                </pic:spPr>
              </pic:pic>
            </a:graphicData>
          </a:graphic>
          <wp14:sizeRelH relativeFrom="margin">
            <wp14:pctWidth>0</wp14:pctWidth>
          </wp14:sizeRelH>
          <wp14:sizeRelV relativeFrom="margin">
            <wp14:pctHeight>0</wp14:pctHeight>
          </wp14:sizeRelV>
        </wp:anchor>
      </w:drawing>
    </w:r>
    <w:r w:rsidR="0064748B">
      <w:rPr>
        <w:rFonts w:ascii="Arial"/>
        <w:color w:val="231F20"/>
        <w:spacing w:val="-1"/>
      </w:rPr>
      <w:t xml:space="preserve">AUSTRALIAN CAPITAL TERRITORY </w:t>
    </w:r>
    <w:r w:rsidR="0064748B">
      <w:rPr>
        <w:rFonts w:ascii="Arial"/>
        <w:color w:val="231F20"/>
        <w:spacing w:val="-2"/>
      </w:rPr>
      <w:t>LEGISLATIVE</w:t>
    </w:r>
    <w:r w:rsidR="0064748B">
      <w:rPr>
        <w:rFonts w:ascii="Arial"/>
        <w:color w:val="231F20"/>
        <w:spacing w:val="-15"/>
      </w:rPr>
      <w:t xml:space="preserve"> </w:t>
    </w:r>
    <w:r w:rsidR="0064748B">
      <w:rPr>
        <w:rFonts w:ascii="Arial"/>
        <w:color w:val="231F20"/>
        <w:spacing w:val="-4"/>
      </w:rPr>
      <w:t>ASSEMBL</w:t>
    </w:r>
    <w:r w:rsidR="0064748B">
      <w:rPr>
        <w:rFonts w:ascii="Arial"/>
        <w:color w:val="231F20"/>
        <w:spacing w:val="-5"/>
      </w:rPr>
      <w:t>Y</w:t>
    </w:r>
  </w:p>
  <w:p w:rsidR="0064748B" w:rsidRPr="009C2877" w:rsidRDefault="0064748B" w:rsidP="0064748B">
    <w:pPr>
      <w:pStyle w:val="BodyText"/>
      <w:tabs>
        <w:tab w:val="left" w:pos="3342"/>
      </w:tabs>
      <w:spacing w:before="44" w:after="80"/>
      <w:ind w:left="0"/>
      <w:rPr>
        <w:sz w:val="20"/>
        <w:szCs w:val="20"/>
      </w:rPr>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43A49B9B" wp14:editId="1CF272CF">
              <wp:simplePos x="0" y="0"/>
              <wp:positionH relativeFrom="page">
                <wp:posOffset>612140</wp:posOffset>
              </wp:positionH>
              <wp:positionV relativeFrom="page">
                <wp:posOffset>10142220</wp:posOffset>
              </wp:positionV>
              <wp:extent cx="6104890" cy="1270"/>
              <wp:effectExtent l="0" t="0" r="10160"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1270"/>
                        <a:chOff x="1134" y="15882"/>
                        <a:chExt cx="9614" cy="2"/>
                      </a:xfrm>
                    </wpg:grpSpPr>
                    <wps:wsp>
                      <wps:cNvPr id="13" name="Freeform 25"/>
                      <wps:cNvSpPr>
                        <a:spLocks/>
                      </wps:cNvSpPr>
                      <wps:spPr bwMode="auto">
                        <a:xfrm>
                          <a:off x="1134" y="15882"/>
                          <a:ext cx="9614" cy="2"/>
                        </a:xfrm>
                        <a:custGeom>
                          <a:avLst/>
                          <a:gdLst>
                            <a:gd name="T0" fmla="+- 0 1134 1134"/>
                            <a:gd name="T1" fmla="*/ T0 w 9614"/>
                            <a:gd name="T2" fmla="+- 0 10748 1134"/>
                            <a:gd name="T3" fmla="*/ T2 w 9614"/>
                          </a:gdLst>
                          <a:ahLst/>
                          <a:cxnLst>
                            <a:cxn ang="0">
                              <a:pos x="T1" y="0"/>
                            </a:cxn>
                            <a:cxn ang="0">
                              <a:pos x="T3" y="0"/>
                            </a:cxn>
                          </a:cxnLst>
                          <a:rect l="0" t="0" r="r" b="b"/>
                          <a:pathLst>
                            <a:path w="9614">
                              <a:moveTo>
                                <a:pt x="0" y="0"/>
                              </a:moveTo>
                              <a:lnTo>
                                <a:pt x="961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AB250" id="Group 12" o:spid="_x0000_s1026"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1027"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mc:Fallback>
      </mc:AlternateContent>
    </w:r>
    <w:r w:rsidRPr="009C2877">
      <w:rPr>
        <w:rFonts w:ascii="Calibri Light"/>
        <w:color w:val="231F20"/>
        <w:sz w:val="20"/>
        <w:szCs w:val="20"/>
      </w:rPr>
      <w:t>London Circui</w:t>
    </w:r>
    <w:r w:rsidR="009C2877">
      <w:rPr>
        <w:rFonts w:ascii="Calibri Light"/>
        <w:color w:val="231F20"/>
        <w:sz w:val="20"/>
        <w:szCs w:val="20"/>
      </w:rPr>
      <w:t xml:space="preserve">t, Canberra ACT 2601, Australia        </w:t>
    </w:r>
    <w:r w:rsidRPr="009C2877">
      <w:rPr>
        <w:rFonts w:ascii="Calibri Light"/>
        <w:color w:val="231F20"/>
        <w:sz w:val="20"/>
        <w:szCs w:val="20"/>
      </w:rPr>
      <w:t>GPO Box 1020, Canberra ACT 2601, Australia</w:t>
    </w:r>
    <w:r w:rsidRPr="009C2877">
      <w:rPr>
        <w:rFonts w:ascii="Calibri Light"/>
        <w:color w:val="231F20"/>
        <w:sz w:val="20"/>
        <w:szCs w:val="20"/>
      </w:rPr>
      <w:br/>
    </w:r>
    <w:r w:rsidRPr="009C2877">
      <w:rPr>
        <w:rFonts w:ascii="Calibri Light"/>
        <w:b/>
        <w:color w:val="231F20"/>
        <w:sz w:val="20"/>
        <w:szCs w:val="20"/>
      </w:rPr>
      <w:t>Phone</w:t>
    </w:r>
    <w:r w:rsidRPr="009C2877">
      <w:rPr>
        <w:rFonts w:ascii="Calibri Light"/>
        <w:color w:val="231F20"/>
        <w:sz w:val="20"/>
        <w:szCs w:val="20"/>
      </w:rPr>
      <w:t xml:space="preserve"> +61 2 6205 </w:t>
    </w:r>
    <w:r w:rsidR="00D10354">
      <w:rPr>
        <w:rFonts w:ascii="Calibri Light"/>
        <w:color w:val="231F20"/>
        <w:sz w:val="20"/>
        <w:szCs w:val="20"/>
      </w:rPr>
      <w:t>2615</w:t>
    </w:r>
    <w:r w:rsidRPr="009C2877">
      <w:rPr>
        <w:sz w:val="20"/>
        <w:szCs w:val="20"/>
      </w:rPr>
      <w:t>    </w:t>
    </w:r>
    <w:r w:rsidR="00D10354">
      <w:rPr>
        <w:rFonts w:ascii="Calibri Light"/>
        <w:b/>
        <w:sz w:val="20"/>
        <w:szCs w:val="20"/>
      </w:rPr>
      <w:t xml:space="preserve"> </w:t>
    </w:r>
    <w:r w:rsidR="00E52D79" w:rsidRPr="00E52D79">
      <w:rPr>
        <w:rFonts w:ascii="Calibri Light"/>
        <w:b/>
        <w:sz w:val="20"/>
        <w:szCs w:val="20"/>
      </w:rPr>
      <w:t>Email</w:t>
    </w:r>
    <w:r w:rsidR="00E52D79" w:rsidRPr="00E52D79">
      <w:rPr>
        <w:rFonts w:ascii="Calibri Light"/>
        <w:sz w:val="20"/>
        <w:szCs w:val="20"/>
      </w:rPr>
      <w:t xml:space="preserve"> r</w:t>
    </w:r>
    <w:r w:rsidR="00E52D79" w:rsidRPr="00E52D79">
      <w:rPr>
        <w:rFonts w:ascii="Calibri Light"/>
        <w:spacing w:val="-2"/>
        <w:sz w:val="20"/>
        <w:szCs w:val="20"/>
      </w:rPr>
      <w:t>amsay@act.gov.au</w:t>
    </w:r>
    <w:r w:rsidRPr="009C2877">
      <w:rPr>
        <w:noProof/>
        <w:sz w:val="20"/>
        <w:szCs w:val="20"/>
        <w:lang w:val="en-AU" w:eastAsia="en-AU"/>
      </w:rPr>
      <mc:AlternateContent>
        <mc:Choice Requires="wpg">
          <w:drawing>
            <wp:anchor distT="0" distB="0" distL="114300" distR="114300" simplePos="0" relativeHeight="251662336" behindDoc="1" locked="0" layoutInCell="1" allowOverlap="1" wp14:anchorId="1C2B3F73" wp14:editId="422DE6DC">
              <wp:simplePos x="0" y="0"/>
              <wp:positionH relativeFrom="page">
                <wp:posOffset>647700</wp:posOffset>
              </wp:positionH>
              <wp:positionV relativeFrom="page">
                <wp:posOffset>10217150</wp:posOffset>
              </wp:positionV>
              <wp:extent cx="266700" cy="2159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8A1F5" id="Group 14" o:spid="_x0000_s1026"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102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mc:Fallback>
      </mc:AlternateContent>
    </w:r>
  </w:p>
  <w:p w:rsidR="0064748B" w:rsidRPr="0064748B" w:rsidRDefault="00DD5480" w:rsidP="0064748B">
    <w:pPr>
      <w:pStyle w:val="Footer"/>
    </w:pPr>
    <w:r w:rsidRPr="009C2877">
      <w:rPr>
        <w:noProof/>
        <w:sz w:val="20"/>
        <w:szCs w:val="20"/>
        <w:lang w:eastAsia="en-AU"/>
      </w:rPr>
      <mc:AlternateContent>
        <mc:Choice Requires="wps">
          <w:drawing>
            <wp:anchor distT="0" distB="0" distL="114300" distR="114300" simplePos="0" relativeHeight="251665408" behindDoc="1" locked="0" layoutInCell="1" allowOverlap="1" wp14:anchorId="340C45E0" wp14:editId="55E16669">
              <wp:simplePos x="0" y="0"/>
              <wp:positionH relativeFrom="page">
                <wp:posOffset>2981325</wp:posOffset>
              </wp:positionH>
              <wp:positionV relativeFrom="page">
                <wp:posOffset>10267950</wp:posOffset>
              </wp:positionV>
              <wp:extent cx="1447800" cy="234950"/>
              <wp:effectExtent l="0" t="0" r="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480" w:rsidRPr="00E52D79" w:rsidRDefault="00E52D79" w:rsidP="00DD5480">
                          <w:pPr>
                            <w:rPr>
                              <w:rFonts w:asciiTheme="majorHAnsi" w:hAnsiTheme="majorHAnsi"/>
                              <w:sz w:val="24"/>
                              <w:szCs w:val="24"/>
                            </w:rPr>
                          </w:pPr>
                          <w:r w:rsidRPr="00E52D79">
                            <w:rPr>
                              <w:rFonts w:asciiTheme="majorHAnsi" w:hAnsiTheme="majorHAnsi"/>
                              <w:sz w:val="24"/>
                              <w:szCs w:val="24"/>
                            </w:rPr>
                            <w:t>Gordon Ramsay M</w:t>
                          </w:r>
                          <w:r w:rsidR="00DD5480" w:rsidRPr="00E52D79">
                            <w:rPr>
                              <w:rFonts w:asciiTheme="majorHAnsi" w:hAnsiTheme="majorHAnsi"/>
                              <w:sz w:val="24"/>
                              <w:szCs w:val="24"/>
                            </w:rPr>
                            <w:t>LA</w:t>
                          </w:r>
                        </w:p>
                        <w:p w:rsidR="0064748B" w:rsidRPr="0039472D" w:rsidRDefault="0064748B" w:rsidP="0064748B">
                          <w:pPr>
                            <w:pStyle w:val="BodyText"/>
                            <w:spacing w:line="244" w:lineRule="exact"/>
                            <w:rPr>
                              <w:rFonts w:ascii="Calibri Light" w:eastAsia="Calibri Light" w:hAnsi="Calibri Light" w:cs="Calibri Light"/>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C45E0" id="_x0000_t202" coordsize="21600,21600" o:spt="202" path="m,l,21600r21600,l21600,xe">
              <v:stroke joinstyle="miter"/>
              <v:path gradientshapeok="t" o:connecttype="rect"/>
            </v:shapetype>
            <v:shape id="Text Box 10" o:spid="_x0000_s1026" type="#_x0000_t202" style="position:absolute;margin-left:234.75pt;margin-top:808.5pt;width:114pt;height:1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2Rrw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" filled="f" stroked="f">
              <v:textbox inset="0,0,0,0">
                <w:txbxContent>
                  <w:p w:rsidR="00DD5480" w:rsidRPr="00E52D79" w:rsidRDefault="00E52D79" w:rsidP="00DD5480">
                    <w:pPr>
                      <w:rPr>
                        <w:rFonts w:asciiTheme="majorHAnsi" w:hAnsiTheme="majorHAnsi"/>
                        <w:sz w:val="24"/>
                        <w:szCs w:val="24"/>
                      </w:rPr>
                    </w:pPr>
                    <w:r w:rsidRPr="00E52D79">
                      <w:rPr>
                        <w:rFonts w:asciiTheme="majorHAnsi" w:hAnsiTheme="majorHAnsi"/>
                        <w:sz w:val="24"/>
                        <w:szCs w:val="24"/>
                      </w:rPr>
                      <w:t>Gordon Ramsay M</w:t>
                    </w:r>
                    <w:r w:rsidR="00DD5480" w:rsidRPr="00E52D79">
                      <w:rPr>
                        <w:rFonts w:asciiTheme="majorHAnsi" w:hAnsiTheme="majorHAnsi"/>
                        <w:sz w:val="24"/>
                        <w:szCs w:val="24"/>
                      </w:rPr>
                      <w:t>LA</w:t>
                    </w:r>
                  </w:p>
                  <w:p w:rsidR="0064748B" w:rsidRPr="0039472D" w:rsidRDefault="0064748B" w:rsidP="0064748B">
                    <w:pPr>
                      <w:pStyle w:val="BodyText"/>
                      <w:spacing w:line="244" w:lineRule="exact"/>
                      <w:rPr>
                        <w:rFonts w:ascii="Calibri Light" w:eastAsia="Calibri Light" w:hAnsi="Calibri Light" w:cs="Calibri Light"/>
                        <w:sz w:val="24"/>
                        <w:szCs w:val="24"/>
                      </w:rPr>
                    </w:pPr>
                  </w:p>
                </w:txbxContent>
              </v:textbox>
              <w10:wrap anchorx="page" anchory="page"/>
            </v:shape>
          </w:pict>
        </mc:Fallback>
      </mc:AlternateContent>
    </w:r>
    <w:r w:rsidR="00D10354" w:rsidRPr="009C2877">
      <w:rPr>
        <w:noProof/>
        <w:sz w:val="20"/>
        <w:szCs w:val="20"/>
        <w:lang w:eastAsia="en-AU"/>
      </w:rPr>
      <mc:AlternateContent>
        <mc:Choice Requires="wps">
          <w:drawing>
            <wp:anchor distT="0" distB="0" distL="114300" distR="114300" simplePos="0" relativeHeight="251664384" behindDoc="1" locked="0" layoutInCell="1" allowOverlap="1" wp14:anchorId="3BF8FA83" wp14:editId="59AF403E">
              <wp:simplePos x="0" y="0"/>
              <wp:positionH relativeFrom="page">
                <wp:posOffset>942974</wp:posOffset>
              </wp:positionH>
              <wp:positionV relativeFrom="page">
                <wp:posOffset>10239375</wp:posOffset>
              </wp:positionV>
              <wp:extent cx="1400175" cy="196850"/>
              <wp:effectExtent l="0" t="0" r="95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48B" w:rsidRPr="0039472D" w:rsidRDefault="00D10354" w:rsidP="00493B73">
                          <w:pPr>
                            <w:pStyle w:val="BodyText"/>
                            <w:spacing w:line="480" w:lineRule="auto"/>
                            <w:ind w:left="0"/>
                            <w:rPr>
                              <w:rFonts w:ascii="Calibri Light" w:eastAsia="Calibri Light" w:hAnsi="Calibri Light" w:cs="Calibri Light"/>
                              <w:sz w:val="24"/>
                              <w:szCs w:val="24"/>
                            </w:rPr>
                          </w:pPr>
                          <w:r w:rsidRPr="00D10354">
                            <w:rPr>
                              <w:rFonts w:ascii="Calibri Light" w:eastAsia="Calibri Light" w:hAnsi="Calibri Light" w:cs="Calibri Light"/>
                              <w:sz w:val="24"/>
                              <w:szCs w:val="24"/>
                            </w:rPr>
                            <w:t>@Gordon_R_Ramsay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8FA83" id="Text Box 11" o:spid="_x0000_s1027" type="#_x0000_t202" style="position:absolute;margin-left:74.25pt;margin-top:806.25pt;width:110.25pt;height: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" filled="f" stroked="f">
              <v:textbox inset="0,0,0,0">
                <w:txbxContent>
                  <w:p w:rsidR="0064748B" w:rsidRPr="0039472D" w:rsidRDefault="00D10354" w:rsidP="00493B73">
                    <w:pPr>
                      <w:pStyle w:val="BodyText"/>
                      <w:spacing w:line="480" w:lineRule="auto"/>
                      <w:ind w:left="0"/>
                      <w:rPr>
                        <w:rFonts w:ascii="Calibri Light" w:eastAsia="Calibri Light" w:hAnsi="Calibri Light" w:cs="Calibri Light"/>
                        <w:sz w:val="24"/>
                        <w:szCs w:val="24"/>
                      </w:rPr>
                    </w:pPr>
                    <w:r w:rsidRPr="00D10354">
                      <w:rPr>
                        <w:rFonts w:ascii="Calibri Light" w:eastAsia="Calibri Light" w:hAnsi="Calibri Light" w:cs="Calibri Light"/>
                        <w:sz w:val="24"/>
                        <w:szCs w:val="24"/>
                      </w:rPr>
                      <w:t>@Gordon_R_Ramsay</w:t>
                    </w:r>
                  </w:p>
                </w:txbxContent>
              </v:textbox>
              <w10:wrap anchorx="page" anchory="page"/>
            </v:shape>
          </w:pict>
        </mc:Fallback>
      </mc:AlternateContent>
    </w:r>
    <w:r w:rsidR="00D10354" w:rsidRPr="009C2877">
      <w:rPr>
        <w:noProof/>
        <w:sz w:val="20"/>
        <w:szCs w:val="20"/>
        <w:lang w:eastAsia="en-AU"/>
      </w:rPr>
      <mc:AlternateContent>
        <mc:Choice Requires="wpg">
          <w:drawing>
            <wp:anchor distT="0" distB="0" distL="114300" distR="114300" simplePos="0" relativeHeight="251661312" behindDoc="1" locked="0" layoutInCell="1" allowOverlap="1" wp14:anchorId="33405D65" wp14:editId="474BC17C">
              <wp:simplePos x="0" y="0"/>
              <wp:positionH relativeFrom="page">
                <wp:posOffset>2641600</wp:posOffset>
              </wp:positionH>
              <wp:positionV relativeFrom="page">
                <wp:posOffset>10210800</wp:posOffset>
              </wp:positionV>
              <wp:extent cx="247650" cy="2476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99190" id="Group 22" o:spid="_x0000_s1026" style="position:absolute;margin-left:208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">
              <v:shape id="Freeform 14" o:spid="_x0000_s102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8F" w:rsidRDefault="0041148F" w:rsidP="00AD7D31">
      <w:pPr>
        <w:spacing w:after="0" w:line="240" w:lineRule="auto"/>
      </w:pPr>
      <w:r>
        <w:separator/>
      </w:r>
    </w:p>
  </w:footnote>
  <w:footnote w:type="continuationSeparator" w:id="0">
    <w:p w:rsidR="0041148F" w:rsidRDefault="0041148F"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47" w:rsidRDefault="00AD7D31" w:rsidP="003B0C47">
    <w:pPr>
      <w:tabs>
        <w:tab w:val="left" w:pos="7216"/>
      </w:tabs>
      <w:spacing w:before="179" w:after="0"/>
      <w:rPr>
        <w:rFonts w:ascii="Arial"/>
        <w:b/>
        <w:color w:val="231F20"/>
        <w:sz w:val="24"/>
      </w:rPr>
    </w:pPr>
    <w:r>
      <w:rPr>
        <w:noProof/>
        <w:lang w:eastAsia="en-AU"/>
      </w:rPr>
      <w:drawing>
        <wp:anchor distT="0" distB="0" distL="114300" distR="114300" simplePos="0" relativeHeight="251658240" behindDoc="1" locked="0" layoutInCell="1" allowOverlap="1" wp14:anchorId="4D862D9B" wp14:editId="2F906AAD">
          <wp:simplePos x="0" y="0"/>
          <wp:positionH relativeFrom="column">
            <wp:posOffset>20206</wp:posOffset>
          </wp:positionH>
          <wp:positionV relativeFrom="page">
            <wp:posOffset>221615</wp:posOffset>
          </wp:positionV>
          <wp:extent cx="6087600" cy="82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6087600" cy="828000"/>
                  </a:xfrm>
                  <a:prstGeom prst="rect">
                    <a:avLst/>
                  </a:prstGeom>
                </pic:spPr>
              </pic:pic>
            </a:graphicData>
          </a:graphic>
          <wp14:sizeRelH relativeFrom="margin">
            <wp14:pctWidth>0</wp14:pctWidth>
          </wp14:sizeRelH>
          <wp14:sizeRelV relativeFrom="margin">
            <wp14:pctHeight>0</wp14:pctHeight>
          </wp14:sizeRelV>
        </wp:anchor>
      </w:drawing>
    </w:r>
    <w:r w:rsidR="00493B73">
      <w:rPr>
        <w:rFonts w:ascii="Arial"/>
        <w:b/>
        <w:color w:val="231F20"/>
        <w:sz w:val="35"/>
      </w:rPr>
      <w:t>Gordon Ramsay</w:t>
    </w:r>
    <w:r w:rsidR="0064748B">
      <w:rPr>
        <w:rFonts w:ascii="Arial"/>
        <w:b/>
        <w:color w:val="231F20"/>
        <w:spacing w:val="15"/>
        <w:sz w:val="35"/>
      </w:rPr>
      <w:t xml:space="preserve"> </w:t>
    </w:r>
    <w:r w:rsidR="0064748B">
      <w:rPr>
        <w:rFonts w:ascii="Arial"/>
        <w:b/>
        <w:color w:val="231F20"/>
        <w:sz w:val="24"/>
      </w:rPr>
      <w:t>ML</w:t>
    </w:r>
    <w:r w:rsidR="003B0C47">
      <w:rPr>
        <w:rFonts w:ascii="Arial"/>
        <w:b/>
        <w:color w:val="231F20"/>
        <w:sz w:val="24"/>
      </w:rPr>
      <w:t>A</w:t>
    </w:r>
  </w:p>
  <w:p w:rsidR="0064748B" w:rsidRPr="004F08B7" w:rsidRDefault="0064748B" w:rsidP="003B0C47">
    <w:pPr>
      <w:tabs>
        <w:tab w:val="left" w:pos="7216"/>
      </w:tabs>
      <w:spacing w:before="80"/>
      <w:rPr>
        <w:rFonts w:asciiTheme="majorHAnsi" w:hAnsiTheme="majorHAnsi"/>
      </w:rPr>
    </w:pPr>
    <w:r w:rsidRPr="004F08B7">
      <w:rPr>
        <w:rFonts w:asciiTheme="majorHAnsi" w:hAnsiTheme="majorHAnsi"/>
      </w:rPr>
      <w:t>Member</w:t>
    </w:r>
    <w:r w:rsidRPr="004F08B7">
      <w:rPr>
        <w:rFonts w:asciiTheme="majorHAnsi" w:hAnsiTheme="majorHAnsi"/>
        <w:spacing w:val="-5"/>
      </w:rPr>
      <w:t xml:space="preserve"> </w:t>
    </w:r>
    <w:r w:rsidRPr="004F08B7">
      <w:rPr>
        <w:rFonts w:asciiTheme="majorHAnsi" w:hAnsiTheme="majorHAnsi"/>
        <w:spacing w:val="-2"/>
      </w:rPr>
      <w:t>for</w:t>
    </w:r>
    <w:r w:rsidRPr="004F08B7">
      <w:rPr>
        <w:rFonts w:asciiTheme="majorHAnsi" w:hAnsiTheme="majorHAnsi"/>
        <w:spacing w:val="-4"/>
      </w:rPr>
      <w:t xml:space="preserve"> </w:t>
    </w:r>
    <w:r w:rsidR="00493B73" w:rsidRPr="004F08B7">
      <w:rPr>
        <w:rFonts w:asciiTheme="majorHAnsi" w:hAnsiTheme="majorHAnsi"/>
      </w:rPr>
      <w:t>Ginninderra</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Attorney-General</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Regulatory Services</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the Arts and Community Events</w:t>
    </w:r>
  </w:p>
  <w:p w:rsidR="00AD7D31"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Veterans and Seniors</w:t>
    </w:r>
  </w:p>
  <w:p w:rsidR="004F08B7" w:rsidRDefault="004F08B7" w:rsidP="00493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8F"/>
    <w:rsid w:val="0010309E"/>
    <w:rsid w:val="001804F3"/>
    <w:rsid w:val="001C5FEA"/>
    <w:rsid w:val="001E317C"/>
    <w:rsid w:val="00235EE7"/>
    <w:rsid w:val="003B0C47"/>
    <w:rsid w:val="0041148F"/>
    <w:rsid w:val="00437A82"/>
    <w:rsid w:val="004903F3"/>
    <w:rsid w:val="00493B73"/>
    <w:rsid w:val="004A7030"/>
    <w:rsid w:val="004F08B7"/>
    <w:rsid w:val="0055749D"/>
    <w:rsid w:val="005603D4"/>
    <w:rsid w:val="005B3DDD"/>
    <w:rsid w:val="005E7DE1"/>
    <w:rsid w:val="00632C10"/>
    <w:rsid w:val="0064748B"/>
    <w:rsid w:val="00655CD8"/>
    <w:rsid w:val="00694460"/>
    <w:rsid w:val="007D7FAC"/>
    <w:rsid w:val="00806ACB"/>
    <w:rsid w:val="00834846"/>
    <w:rsid w:val="00855531"/>
    <w:rsid w:val="009C2877"/>
    <w:rsid w:val="00A44B5C"/>
    <w:rsid w:val="00AD7D31"/>
    <w:rsid w:val="00BD02AD"/>
    <w:rsid w:val="00D10354"/>
    <w:rsid w:val="00D50237"/>
    <w:rsid w:val="00DD5480"/>
    <w:rsid w:val="00E52D79"/>
    <w:rsid w:val="00EA5686"/>
    <w:rsid w:val="00EE24D4"/>
    <w:rsid w:val="00F94309"/>
    <w:rsid w:val="00FB4900"/>
    <w:rsid w:val="00FC3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2E5B11D-AC17-474A-B394-AA745996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1376199999">
      <w:bodyDiv w:val="1"/>
      <w:marLeft w:val="0"/>
      <w:marRight w:val="0"/>
      <w:marTop w:val="0"/>
      <w:marBottom w:val="0"/>
      <w:divBdr>
        <w:top w:val="none" w:sz="0" w:space="0" w:color="auto"/>
        <w:left w:val="none" w:sz="0" w:space="0" w:color="auto"/>
        <w:bottom w:val="none" w:sz="0" w:space="0" w:color="auto"/>
        <w:right w:val="none" w:sz="0" w:space="0" w:color="auto"/>
      </w:divBdr>
    </w:div>
    <w:div w:id="1376857353">
      <w:bodyDiv w:val="1"/>
      <w:marLeft w:val="0"/>
      <w:marRight w:val="0"/>
      <w:marTop w:val="0"/>
      <w:marBottom w:val="0"/>
      <w:divBdr>
        <w:top w:val="none" w:sz="0" w:space="0" w:color="auto"/>
        <w:left w:val="none" w:sz="0" w:space="0" w:color="auto"/>
        <w:bottom w:val="none" w:sz="0" w:space="0" w:color="auto"/>
        <w:right w:val="none" w:sz="0" w:space="0" w:color="auto"/>
      </w:divBdr>
    </w:div>
    <w:div w:id="1984115221">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Gordon Ramsay MLA</vt:lpstr>
    </vt:vector>
  </TitlesOfParts>
  <Company>ACT Government</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Ramsay MLA</dc:title>
  <dc:subject/>
  <dc:creator>Allingham, Cate</dc:creator>
  <cp:keywords/>
  <dc:description/>
  <cp:lastModifiedBy>Warren, Prue</cp:lastModifiedBy>
  <cp:revision>9</cp:revision>
  <dcterms:created xsi:type="dcterms:W3CDTF">2018-02-08T00:59:00Z</dcterms:created>
  <dcterms:modified xsi:type="dcterms:W3CDTF">2018-02-15T22:41:00Z</dcterms:modified>
</cp:coreProperties>
</file>