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85" w:rsidRPr="0097484C" w:rsidRDefault="005D5B85" w:rsidP="005D5B85">
      <w:pPr>
        <w:pStyle w:val="Heading6"/>
        <w:pageBreakBefore w:val="0"/>
        <w:framePr w:hSpace="1134" w:wrap="around" w:vAnchor="page" w:hAnchor="page" w:x="97" w:y="2041"/>
        <w:numPr>
          <w:ilvl w:val="0"/>
          <w:numId w:val="0"/>
        </w:numPr>
        <w:spacing w:after="0" w:line="14" w:lineRule="exact"/>
        <w:ind w:left="-1134"/>
        <w:rPr>
          <w:b/>
          <w:i w:val="0"/>
          <w:color w:val="FFFFFF"/>
          <w:sz w:val="14"/>
          <w:szCs w:val="14"/>
        </w:rPr>
      </w:pPr>
    </w:p>
    <w:p w:rsidR="00BC4823" w:rsidRPr="0097484C" w:rsidRDefault="00BC4823" w:rsidP="00BC4823">
      <w:pPr>
        <w:pStyle w:val="Heading6"/>
        <w:pageBreakBefore w:val="0"/>
        <w:framePr w:hSpace="1134" w:wrap="around" w:vAnchor="page" w:hAnchor="page" w:x="97" w:y="3481"/>
        <w:numPr>
          <w:ilvl w:val="0"/>
          <w:numId w:val="0"/>
        </w:numPr>
        <w:spacing w:after="0" w:line="14" w:lineRule="exact"/>
        <w:ind w:left="-1134"/>
        <w:rPr>
          <w:b/>
          <w:i w:val="0"/>
          <w:color w:val="FFFFFF"/>
          <w:sz w:val="14"/>
          <w:szCs w:val="14"/>
        </w:rPr>
      </w:pPr>
    </w:p>
    <w:p w:rsidR="0055107B" w:rsidRPr="00360168" w:rsidRDefault="0055107B" w:rsidP="00EA7863">
      <w:pPr>
        <w:pStyle w:val="BodyText"/>
        <w:spacing w:before="0" w:line="14" w:lineRule="exact"/>
        <w:ind w:left="-1985"/>
        <w:rPr>
          <w:color w:val="FFFFFF" w:themeColor="background1"/>
        </w:rPr>
      </w:pPr>
      <w:r>
        <w:rPr>
          <w:noProof/>
        </w:rPr>
        <w:drawing>
          <wp:anchor distT="0" distB="0" distL="114300" distR="114300" simplePos="0" relativeHeight="251659264" behindDoc="1" locked="0" layoutInCell="0" allowOverlap="1" wp14:anchorId="707538F2" wp14:editId="5C168736">
            <wp:simplePos x="0" y="0"/>
            <wp:positionH relativeFrom="page">
              <wp:posOffset>0</wp:posOffset>
            </wp:positionH>
            <wp:positionV relativeFrom="page">
              <wp:posOffset>0</wp:posOffset>
            </wp:positionV>
            <wp:extent cx="7559675" cy="1069149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no_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rsidR="0055107B" w:rsidRPr="0097484C" w:rsidRDefault="0055107B" w:rsidP="00EA7863">
      <w:pPr>
        <w:pStyle w:val="Heading6"/>
        <w:pageBreakBefore w:val="0"/>
        <w:framePr w:hSpace="1134" w:wrap="around" w:vAnchor="page" w:hAnchor="page" w:x="97" w:y="2041"/>
        <w:numPr>
          <w:ilvl w:val="0"/>
          <w:numId w:val="0"/>
        </w:numPr>
        <w:spacing w:after="0" w:line="14" w:lineRule="exact"/>
        <w:ind w:left="-1134"/>
        <w:rPr>
          <w:b/>
          <w:i w:val="0"/>
          <w:color w:val="FFFFFF"/>
          <w:sz w:val="14"/>
          <w:szCs w:val="14"/>
        </w:rPr>
      </w:pPr>
    </w:p>
    <w:p w:rsidR="0055107B" w:rsidRDefault="0055107B" w:rsidP="00EA7863">
      <w:pPr>
        <w:pStyle w:val="Confidential"/>
        <w:framePr w:hSpace="181" w:wrap="around" w:vAnchor="page" w:hAnchor="page" w:x="7210" w:y="831"/>
      </w:pPr>
      <w:r>
        <w:t>commercial in confid</w:t>
      </w:r>
      <w:r w:rsidRPr="001951A7">
        <w:t>ence</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4"/>
        <w:gridCol w:w="2954"/>
      </w:tblGrid>
      <w:tr w:rsidR="0055107B" w:rsidTr="00EA7863">
        <w:trPr>
          <w:cantSplit/>
          <w:trHeight w:val="1968"/>
        </w:trPr>
        <w:tc>
          <w:tcPr>
            <w:tcW w:w="7938" w:type="dxa"/>
            <w:gridSpan w:val="2"/>
          </w:tcPr>
          <w:p w:rsidR="0055107B" w:rsidRDefault="0055107B" w:rsidP="00EA7863">
            <w:pPr>
              <w:pStyle w:val="BodyText"/>
              <w:spacing w:before="0"/>
            </w:pPr>
          </w:p>
        </w:tc>
      </w:tr>
      <w:tr w:rsidR="0055107B" w:rsidTr="00EA7863">
        <w:trPr>
          <w:cantSplit/>
          <w:trHeight w:val="2988"/>
        </w:trPr>
        <w:tc>
          <w:tcPr>
            <w:tcW w:w="7938" w:type="dxa"/>
            <w:gridSpan w:val="2"/>
          </w:tcPr>
          <w:p w:rsidR="0055107B" w:rsidRDefault="00564F29" w:rsidP="00EA7863">
            <w:pPr>
              <w:pStyle w:val="Reporttype"/>
            </w:pPr>
            <w:r>
              <w:t>research brief</w:t>
            </w:r>
          </w:p>
          <w:p w:rsidR="0055107B" w:rsidRDefault="00564F29" w:rsidP="00EA7863">
            <w:pPr>
              <w:pStyle w:val="Title"/>
            </w:pPr>
            <w:r>
              <w:t>Supplementary a</w:t>
            </w:r>
            <w:bookmarkStart w:id="0" w:name="_GoBack"/>
            <w:bookmarkEnd w:id="0"/>
            <w:r>
              <w:t xml:space="preserve">nalysis of issues pertaining to the </w:t>
            </w:r>
            <w:r>
              <w:t>2014-15 ACT Budget</w:t>
            </w:r>
          </w:p>
          <w:p w:rsidR="0055107B" w:rsidRPr="0089278E" w:rsidRDefault="0055107B" w:rsidP="00564F29">
            <w:pPr>
              <w:pStyle w:val="Subtitle"/>
            </w:pPr>
          </w:p>
        </w:tc>
      </w:tr>
      <w:tr w:rsidR="0055107B" w:rsidTr="00EA7863">
        <w:trPr>
          <w:cantSplit/>
          <w:trHeight w:hRule="exact" w:val="3640"/>
        </w:trPr>
        <w:tc>
          <w:tcPr>
            <w:tcW w:w="4984" w:type="dxa"/>
          </w:tcPr>
          <w:p w:rsidR="0055107B" w:rsidRDefault="0055107B" w:rsidP="00EA7863">
            <w:pPr>
              <w:pStyle w:val="Chart"/>
            </w:pPr>
          </w:p>
        </w:tc>
        <w:tc>
          <w:tcPr>
            <w:tcW w:w="2954" w:type="dxa"/>
          </w:tcPr>
          <w:p w:rsidR="0055107B" w:rsidRDefault="0055107B" w:rsidP="00EA7863">
            <w:pPr>
              <w:pStyle w:val="BodyText"/>
            </w:pPr>
          </w:p>
        </w:tc>
      </w:tr>
      <w:tr w:rsidR="0055107B" w:rsidTr="00EA7863">
        <w:trPr>
          <w:cantSplit/>
          <w:trHeight w:val="4224"/>
        </w:trPr>
        <w:tc>
          <w:tcPr>
            <w:tcW w:w="7938" w:type="dxa"/>
            <w:gridSpan w:val="2"/>
          </w:tcPr>
          <w:p w:rsidR="0055107B" w:rsidRDefault="0055107B" w:rsidP="00EA7863">
            <w:pPr>
              <w:pStyle w:val="Client"/>
              <w:spacing w:before="280"/>
            </w:pPr>
            <w:r w:rsidRPr="001647E4">
              <w:t>Prepared for</w:t>
            </w:r>
          </w:p>
          <w:p w:rsidR="0055107B" w:rsidRDefault="00796D3D" w:rsidP="00EA7863">
            <w:pPr>
              <w:pStyle w:val="Client"/>
            </w:pPr>
            <w:r>
              <w:t xml:space="preserve">The </w:t>
            </w:r>
            <w:r w:rsidRPr="00025C96">
              <w:t>ACT Select Committee on Estimates 2014</w:t>
            </w:r>
            <w:r>
              <w:t>-15</w:t>
            </w:r>
          </w:p>
          <w:p w:rsidR="0055107B" w:rsidRPr="009E7DDD" w:rsidRDefault="00796D3D" w:rsidP="00EA7863">
            <w:pPr>
              <w:pStyle w:val="Date"/>
            </w:pPr>
            <w:r>
              <w:t>July 2014</w:t>
            </w:r>
          </w:p>
        </w:tc>
      </w:tr>
      <w:tr w:rsidR="0055107B" w:rsidTr="00EA7863">
        <w:trPr>
          <w:cantSplit/>
          <w:trHeight w:val="419"/>
        </w:trPr>
        <w:tc>
          <w:tcPr>
            <w:tcW w:w="7938" w:type="dxa"/>
            <w:gridSpan w:val="2"/>
          </w:tcPr>
          <w:p w:rsidR="0055107B" w:rsidRPr="00F062BF" w:rsidRDefault="0055107B" w:rsidP="00EA7863">
            <w:pPr>
              <w:pStyle w:val="BodyText"/>
              <w:spacing w:before="0"/>
              <w:rPr>
                <w:rFonts w:ascii="Franklin Gothic Demi" w:hAnsi="Franklin Gothic Demi"/>
                <w:caps/>
                <w:spacing w:val="10"/>
                <w:sz w:val="20"/>
              </w:rPr>
            </w:pPr>
            <w:r w:rsidRPr="00F062BF">
              <w:rPr>
                <w:rFonts w:ascii="Franklin Gothic Demi" w:hAnsi="Franklin Gothic Demi"/>
                <w:caps/>
                <w:spacing w:val="10"/>
                <w:sz w:val="20"/>
              </w:rPr>
              <w:t>The Centre for International Economics</w:t>
            </w:r>
          </w:p>
          <w:p w:rsidR="0055107B" w:rsidRPr="00DA40B0" w:rsidRDefault="0055107B" w:rsidP="00EA7863">
            <w:pPr>
              <w:pStyle w:val="BodyText"/>
              <w:spacing w:before="0"/>
              <w:rPr>
                <w:i/>
                <w:color w:val="9B917E" w:themeColor="accent4"/>
                <w:spacing w:val="10"/>
                <w:sz w:val="25"/>
              </w:rPr>
            </w:pPr>
            <w:r w:rsidRPr="00DA40B0">
              <w:rPr>
                <w:i/>
                <w:color w:val="9B917E" w:themeColor="accent4"/>
                <w:spacing w:val="10"/>
                <w:sz w:val="25"/>
              </w:rPr>
              <w:t>www.TheCIE.com.au</w:t>
            </w:r>
          </w:p>
        </w:tc>
      </w:tr>
    </w:tbl>
    <w:p w:rsidR="0055107B" w:rsidRDefault="0055107B" w:rsidP="00EA7863">
      <w:pPr>
        <w:pStyle w:val="BodyText"/>
        <w:spacing w:before="0" w:line="14" w:lineRule="exact"/>
      </w:pPr>
      <w:r>
        <w:rPr>
          <w:noProof/>
        </w:rPr>
        <mc:AlternateContent>
          <mc:Choice Requires="wps">
            <w:drawing>
              <wp:anchor distT="0" distB="0" distL="114300" distR="114300" simplePos="0" relativeHeight="251660288" behindDoc="0" locked="0" layoutInCell="0" allowOverlap="1" wp14:anchorId="674E00A6" wp14:editId="367BDEEF">
                <wp:simplePos x="0" y="0"/>
                <wp:positionH relativeFrom="page">
                  <wp:posOffset>0</wp:posOffset>
                </wp:positionH>
                <wp:positionV relativeFrom="page">
                  <wp:posOffset>10151110</wp:posOffset>
                </wp:positionV>
                <wp:extent cx="7560000" cy="540000"/>
                <wp:effectExtent l="0" t="0" r="3175" b="0"/>
                <wp:wrapNone/>
                <wp:docPr id="12" name="Rectangle 12"/>
                <wp:cNvGraphicFramePr/>
                <a:graphic xmlns:a="http://schemas.openxmlformats.org/drawingml/2006/main">
                  <a:graphicData uri="http://schemas.microsoft.com/office/word/2010/wordprocessingShape">
                    <wps:wsp>
                      <wps:cNvSpPr/>
                      <wps:spPr>
                        <a:xfrm>
                          <a:off x="0" y="0"/>
                          <a:ext cx="7560000" cy="54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0;margin-top:799.3pt;width:595.3pt;height: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" o:allowincell="f" fillcolor="white [3212]" stroked="f" strokeweight="2pt">
                <w10:wrap anchorx="page" anchory="page"/>
              </v:rect>
            </w:pict>
          </mc:Fallback>
        </mc:AlternateContent>
      </w:r>
    </w:p>
    <w:p w:rsidR="0055107B" w:rsidRDefault="0055107B" w:rsidP="00EA7863">
      <w:pPr>
        <w:pStyle w:val="BodyText"/>
        <w:pageBreakBefore/>
        <w:spacing w:before="0"/>
        <w:sectPr w:rsidR="0055107B" w:rsidSect="00EA7863">
          <w:headerReference w:type="even" r:id="rId10"/>
          <w:headerReference w:type="default" r:id="rId11"/>
          <w:footerReference w:type="even" r:id="rId12"/>
          <w:footerReference w:type="default" r:id="rId13"/>
          <w:pgSz w:w="11906" w:h="16838" w:code="9"/>
          <w:pgMar w:top="2268" w:right="1701" w:bottom="851" w:left="1928" w:header="680" w:footer="680" w:gutter="0"/>
          <w:cols w:space="708"/>
          <w:docGrid w:linePitch="360"/>
        </w:sectPr>
      </w:pPr>
    </w:p>
    <w:p w:rsidR="0055107B" w:rsidRDefault="0055107B" w:rsidP="00EA7863">
      <w:pPr>
        <w:pStyle w:val="BodyText"/>
        <w:pageBreakBefore/>
        <w:spacing w:before="0"/>
      </w:pPr>
      <w:r>
        <w:lastRenderedPageBreak/>
        <w:t>The Centre for International Economics is a private economic research agency that provides professional, independent and timely analysis of international and domestic events and policies.</w:t>
      </w:r>
    </w:p>
    <w:p w:rsidR="0055107B" w:rsidRDefault="0055107B" w:rsidP="00EA7863">
      <w:pPr>
        <w:pStyle w:val="BodyText"/>
      </w:pPr>
      <w:r>
        <w:t xml:space="preserve">The CIE’s professional </w:t>
      </w:r>
      <w:proofErr w:type="gramStart"/>
      <w:r>
        <w:t>staff arrange</w:t>
      </w:r>
      <w:proofErr w:type="gramEnd"/>
      <w:r>
        <w:t>, undertake and publish commissioned economic research and analysis for industry, corporations, governments, international agencies and individuals.</w:t>
      </w:r>
    </w:p>
    <w:p w:rsidR="0055107B" w:rsidRPr="00511766" w:rsidRDefault="0055107B" w:rsidP="00EA7863">
      <w:pPr>
        <w:pStyle w:val="BodyText"/>
        <w:spacing w:before="1200"/>
      </w:pPr>
      <w:r w:rsidRPr="00511766">
        <w:t xml:space="preserve">© Centre for International Economics </w:t>
      </w:r>
      <w:r w:rsidRPr="00511766">
        <w:fldChar w:fldCharType="begin"/>
      </w:r>
      <w:r w:rsidRPr="00511766">
        <w:instrText xml:space="preserve"> SAVEDATE  \@ "yyyy"  \* MERGEFORMAT </w:instrText>
      </w:r>
      <w:r w:rsidRPr="00511766">
        <w:fldChar w:fldCharType="separate"/>
      </w:r>
      <w:r w:rsidR="00225890">
        <w:rPr>
          <w:noProof/>
        </w:rPr>
        <w:t>2014</w:t>
      </w:r>
      <w:r w:rsidRPr="00511766">
        <w:fldChar w:fldCharType="end"/>
      </w:r>
    </w:p>
    <w:p w:rsidR="0055107B" w:rsidRPr="00511766" w:rsidRDefault="0055107B" w:rsidP="00EA7863">
      <w:pPr>
        <w:pStyle w:val="BodyText"/>
        <w:spacing w:before="80"/>
      </w:pPr>
      <w:r w:rsidRPr="00511766">
        <w:t>This work is copyright. Individuals, agencies and corporations wishing to reproduce this material should contact the Centre for International Economics at one of the following addresses.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077"/>
      </w:tblGrid>
      <w:tr w:rsidR="0055107B" w:rsidTr="00EA7863">
        <w:tc>
          <w:tcPr>
            <w:tcW w:w="3969" w:type="dxa"/>
          </w:tcPr>
          <w:p w:rsidR="0055107B" w:rsidRPr="009E7DDD" w:rsidRDefault="0055107B" w:rsidP="00EA7863">
            <w:pPr>
              <w:pStyle w:val="BodyText"/>
              <w:spacing w:before="200" w:line="260" w:lineRule="atLeast"/>
              <w:rPr>
                <w:rFonts w:ascii="Franklin Gothic Demi" w:hAnsi="Franklin Gothic Demi"/>
                <w:caps/>
                <w:color w:val="9B917E" w:themeColor="accent4"/>
                <w:spacing w:val="44"/>
              </w:rPr>
            </w:pPr>
            <w:r w:rsidRPr="009E7DDD">
              <w:rPr>
                <w:rFonts w:ascii="Franklin Gothic Demi" w:hAnsi="Franklin Gothic Demi"/>
                <w:caps/>
                <w:color w:val="9B917E" w:themeColor="accent4"/>
                <w:spacing w:val="44"/>
              </w:rPr>
              <w:t>Canberra</w:t>
            </w:r>
          </w:p>
          <w:p w:rsidR="0055107B" w:rsidRPr="007248CB" w:rsidRDefault="0055107B" w:rsidP="00EA7863">
            <w:pPr>
              <w:pStyle w:val="BodyText"/>
              <w:spacing w:before="0" w:line="260" w:lineRule="atLeast"/>
              <w:rPr>
                <w:sz w:val="19"/>
              </w:rPr>
            </w:pPr>
            <w:r w:rsidRPr="007248CB">
              <w:rPr>
                <w:sz w:val="19"/>
              </w:rPr>
              <w:t>Centre for International Economics</w:t>
            </w:r>
          </w:p>
          <w:p w:rsidR="0055107B" w:rsidRPr="007248CB" w:rsidRDefault="0055107B" w:rsidP="00EA7863">
            <w:pPr>
              <w:pStyle w:val="BodyText"/>
              <w:spacing w:before="0" w:line="260" w:lineRule="atLeast"/>
              <w:rPr>
                <w:sz w:val="19"/>
              </w:rPr>
            </w:pPr>
            <w:r w:rsidRPr="007248CB">
              <w:rPr>
                <w:sz w:val="19"/>
              </w:rPr>
              <w:t>Ground Floor, 11 Lancaster Place</w:t>
            </w:r>
          </w:p>
          <w:p w:rsidR="0055107B" w:rsidRPr="007248CB" w:rsidRDefault="0055107B" w:rsidP="00EA7863">
            <w:pPr>
              <w:pStyle w:val="BodyText"/>
              <w:spacing w:before="0" w:line="260" w:lineRule="atLeast"/>
              <w:rPr>
                <w:sz w:val="19"/>
              </w:rPr>
            </w:pPr>
            <w:r w:rsidRPr="007248CB">
              <w:rPr>
                <w:sz w:val="19"/>
              </w:rPr>
              <w:t>Canberra</w:t>
            </w:r>
            <w:r>
              <w:rPr>
                <w:sz w:val="19"/>
              </w:rPr>
              <w:t xml:space="preserve"> Airport</w:t>
            </w:r>
            <w:r>
              <w:rPr>
                <w:sz w:val="19"/>
              </w:rPr>
              <w:t> </w:t>
            </w:r>
            <w:r>
              <w:rPr>
                <w:sz w:val="19"/>
              </w:rPr>
              <w:t>ACT</w:t>
            </w:r>
            <w:r>
              <w:rPr>
                <w:sz w:val="19"/>
              </w:rPr>
              <w:t> </w:t>
            </w:r>
            <w:r w:rsidRPr="007248CB">
              <w:rPr>
                <w:sz w:val="19"/>
              </w:rPr>
              <w:t>2609</w:t>
            </w:r>
          </w:p>
          <w:p w:rsidR="0055107B" w:rsidRPr="007248CB" w:rsidRDefault="0055107B" w:rsidP="00EA7863">
            <w:pPr>
              <w:pStyle w:val="BodyText"/>
              <w:spacing w:before="100" w:line="260" w:lineRule="atLeast"/>
              <w:rPr>
                <w:sz w:val="19"/>
              </w:rPr>
            </w:pPr>
            <w:r w:rsidRPr="007248CB">
              <w:rPr>
                <w:sz w:val="19"/>
              </w:rPr>
              <w:t>GPO Box 2203</w:t>
            </w:r>
          </w:p>
          <w:p w:rsidR="0055107B" w:rsidRPr="007248CB" w:rsidRDefault="0055107B" w:rsidP="00EA7863">
            <w:pPr>
              <w:pStyle w:val="BodyText"/>
              <w:spacing w:before="0" w:line="260" w:lineRule="atLeast"/>
              <w:rPr>
                <w:sz w:val="19"/>
              </w:rPr>
            </w:pPr>
            <w:r w:rsidRPr="007248CB">
              <w:rPr>
                <w:sz w:val="19"/>
              </w:rPr>
              <w:t>Canberra</w:t>
            </w:r>
            <w:r>
              <w:rPr>
                <w:sz w:val="19"/>
              </w:rPr>
              <w:t> </w:t>
            </w:r>
            <w:r w:rsidRPr="007248CB">
              <w:rPr>
                <w:sz w:val="19"/>
              </w:rPr>
              <w:t>ACT</w:t>
            </w:r>
            <w:r>
              <w:rPr>
                <w:sz w:val="19"/>
              </w:rPr>
              <w:t> </w:t>
            </w:r>
            <w:r w:rsidRPr="007248CB">
              <w:rPr>
                <w:sz w:val="19"/>
              </w:rPr>
              <w:t>Australia</w:t>
            </w:r>
            <w:r>
              <w:rPr>
                <w:sz w:val="19"/>
              </w:rPr>
              <w:t> </w:t>
            </w:r>
            <w:r w:rsidRPr="007248CB">
              <w:rPr>
                <w:sz w:val="19"/>
              </w:rPr>
              <w:t>2601</w:t>
            </w:r>
          </w:p>
          <w:p w:rsidR="0055107B" w:rsidRPr="007248CB" w:rsidRDefault="0055107B" w:rsidP="00EA7863">
            <w:pPr>
              <w:pStyle w:val="BodyText"/>
              <w:tabs>
                <w:tab w:val="left" w:pos="993"/>
              </w:tabs>
              <w:spacing w:before="100" w:line="260" w:lineRule="atLeast"/>
              <w:rPr>
                <w:sz w:val="19"/>
              </w:rPr>
            </w:pPr>
            <w:r>
              <w:rPr>
                <w:sz w:val="19"/>
              </w:rPr>
              <w:t>Telephone</w:t>
            </w:r>
            <w:r>
              <w:rPr>
                <w:sz w:val="19"/>
              </w:rPr>
              <w:tab/>
            </w:r>
            <w:r w:rsidRPr="007248CB">
              <w:rPr>
                <w:sz w:val="19"/>
              </w:rPr>
              <w:t>+61 2 6245 7800</w:t>
            </w:r>
          </w:p>
          <w:p w:rsidR="0055107B" w:rsidRPr="007248CB" w:rsidRDefault="0055107B" w:rsidP="00EA7863">
            <w:pPr>
              <w:pStyle w:val="BodyText"/>
              <w:tabs>
                <w:tab w:val="left" w:pos="993"/>
              </w:tabs>
              <w:spacing w:before="0" w:line="260" w:lineRule="atLeast"/>
              <w:rPr>
                <w:sz w:val="19"/>
              </w:rPr>
            </w:pPr>
            <w:r w:rsidRPr="007248CB">
              <w:rPr>
                <w:sz w:val="19"/>
              </w:rPr>
              <w:t xml:space="preserve">Facsimile </w:t>
            </w:r>
            <w:r>
              <w:rPr>
                <w:sz w:val="19"/>
              </w:rPr>
              <w:tab/>
            </w:r>
            <w:r w:rsidRPr="007248CB">
              <w:rPr>
                <w:sz w:val="19"/>
              </w:rPr>
              <w:t>+61 2 6245 7888</w:t>
            </w:r>
          </w:p>
          <w:p w:rsidR="0055107B" w:rsidRPr="007248CB" w:rsidRDefault="0055107B" w:rsidP="00EA7863">
            <w:pPr>
              <w:pStyle w:val="BodyText"/>
              <w:tabs>
                <w:tab w:val="left" w:pos="993"/>
              </w:tabs>
              <w:spacing w:before="0" w:line="260" w:lineRule="atLeast"/>
              <w:rPr>
                <w:sz w:val="19"/>
              </w:rPr>
            </w:pPr>
            <w:r w:rsidRPr="007248CB">
              <w:rPr>
                <w:sz w:val="19"/>
              </w:rPr>
              <w:t>Ema</w:t>
            </w:r>
            <w:r>
              <w:rPr>
                <w:sz w:val="19"/>
              </w:rPr>
              <w:t>il</w:t>
            </w:r>
            <w:r>
              <w:rPr>
                <w:sz w:val="19"/>
              </w:rPr>
              <w:tab/>
            </w:r>
            <w:r w:rsidRPr="007248CB">
              <w:rPr>
                <w:sz w:val="19"/>
              </w:rPr>
              <w:t>cie@TheCIE.com.au</w:t>
            </w:r>
          </w:p>
          <w:p w:rsidR="0055107B" w:rsidRDefault="0055107B" w:rsidP="00EA7863">
            <w:pPr>
              <w:pStyle w:val="BodyText"/>
              <w:tabs>
                <w:tab w:val="left" w:pos="993"/>
              </w:tabs>
              <w:spacing w:before="100" w:line="260" w:lineRule="atLeast"/>
              <w:rPr>
                <w:rFonts w:ascii="Franklin Gothic Demi" w:hAnsi="Franklin Gothic Demi"/>
                <w:color w:val="9B917E" w:themeColor="accent4"/>
                <w:sz w:val="19"/>
              </w:rPr>
            </w:pPr>
            <w:r>
              <w:rPr>
                <w:sz w:val="19"/>
              </w:rPr>
              <w:t>Website</w:t>
            </w:r>
            <w:r>
              <w:rPr>
                <w:sz w:val="19"/>
              </w:rPr>
              <w:tab/>
            </w:r>
            <w:r w:rsidRPr="007248CB">
              <w:rPr>
                <w:sz w:val="19"/>
              </w:rPr>
              <w:t>www.TheCIE.com.au</w:t>
            </w:r>
          </w:p>
        </w:tc>
        <w:tc>
          <w:tcPr>
            <w:tcW w:w="4077" w:type="dxa"/>
          </w:tcPr>
          <w:p w:rsidR="0055107B" w:rsidRPr="009E7DDD" w:rsidRDefault="0055107B" w:rsidP="00EA7863">
            <w:pPr>
              <w:pStyle w:val="BodyText"/>
              <w:spacing w:before="200" w:line="260" w:lineRule="atLeast"/>
              <w:rPr>
                <w:rFonts w:ascii="Franklin Gothic Demi" w:hAnsi="Franklin Gothic Demi"/>
                <w:caps/>
                <w:color w:val="9B917E" w:themeColor="accent4"/>
                <w:spacing w:val="44"/>
              </w:rPr>
            </w:pPr>
            <w:r w:rsidRPr="009E7DDD">
              <w:rPr>
                <w:rFonts w:ascii="Franklin Gothic Demi" w:hAnsi="Franklin Gothic Demi"/>
                <w:caps/>
                <w:color w:val="9B917E" w:themeColor="accent4"/>
                <w:spacing w:val="44"/>
              </w:rPr>
              <w:t>Sydney</w:t>
            </w:r>
          </w:p>
          <w:p w:rsidR="0055107B" w:rsidRPr="007248CB" w:rsidRDefault="0055107B" w:rsidP="00EA7863">
            <w:pPr>
              <w:pStyle w:val="BodyText"/>
              <w:spacing w:before="0" w:line="260" w:lineRule="atLeast"/>
              <w:rPr>
                <w:sz w:val="19"/>
              </w:rPr>
            </w:pPr>
            <w:r w:rsidRPr="007248CB">
              <w:rPr>
                <w:sz w:val="19"/>
              </w:rPr>
              <w:t>Centre for International Economics</w:t>
            </w:r>
          </w:p>
          <w:p w:rsidR="0055107B" w:rsidRPr="007248CB" w:rsidRDefault="0055107B" w:rsidP="00EA7863">
            <w:pPr>
              <w:pStyle w:val="BodyText"/>
              <w:spacing w:before="0" w:line="260" w:lineRule="atLeast"/>
              <w:rPr>
                <w:sz w:val="19"/>
              </w:rPr>
            </w:pPr>
            <w:r w:rsidRPr="007248CB">
              <w:rPr>
                <w:sz w:val="19"/>
              </w:rPr>
              <w:t xml:space="preserve">Suite </w:t>
            </w:r>
            <w:r>
              <w:rPr>
                <w:sz w:val="19"/>
              </w:rPr>
              <w:t>1</w:t>
            </w:r>
            <w:r w:rsidRPr="007248CB">
              <w:rPr>
                <w:sz w:val="19"/>
              </w:rPr>
              <w:t>, Level 16, 1 York Street</w:t>
            </w:r>
          </w:p>
          <w:p w:rsidR="0055107B" w:rsidRDefault="0055107B" w:rsidP="00EA7863">
            <w:pPr>
              <w:pStyle w:val="BodyText"/>
              <w:spacing w:before="0" w:line="260" w:lineRule="atLeast"/>
              <w:rPr>
                <w:sz w:val="19"/>
              </w:rPr>
            </w:pPr>
            <w:r w:rsidRPr="007248CB">
              <w:rPr>
                <w:sz w:val="19"/>
              </w:rPr>
              <w:t>Sydney</w:t>
            </w:r>
            <w:r w:rsidRPr="007248CB">
              <w:rPr>
                <w:rFonts w:cs="Book Antiqua"/>
                <w:sz w:val="19"/>
              </w:rPr>
              <w:t> </w:t>
            </w:r>
            <w:r w:rsidRPr="007248CB">
              <w:rPr>
                <w:sz w:val="19"/>
              </w:rPr>
              <w:t>NSW 2000</w:t>
            </w:r>
          </w:p>
          <w:p w:rsidR="0055107B" w:rsidRPr="007248CB" w:rsidRDefault="0055107B" w:rsidP="00EA7863">
            <w:pPr>
              <w:pStyle w:val="BodyText"/>
              <w:spacing w:before="100" w:line="260" w:lineRule="atLeast"/>
              <w:rPr>
                <w:sz w:val="19"/>
              </w:rPr>
            </w:pPr>
            <w:r w:rsidRPr="007248CB">
              <w:rPr>
                <w:sz w:val="19"/>
              </w:rPr>
              <w:t>GPO Box 397</w:t>
            </w:r>
          </w:p>
          <w:p w:rsidR="0055107B" w:rsidRPr="007248CB" w:rsidRDefault="0055107B" w:rsidP="00EA7863">
            <w:pPr>
              <w:pStyle w:val="BodyText"/>
              <w:spacing w:before="0" w:line="260" w:lineRule="atLeast"/>
              <w:rPr>
                <w:sz w:val="19"/>
              </w:rPr>
            </w:pPr>
            <w:r w:rsidRPr="007248CB">
              <w:rPr>
                <w:sz w:val="19"/>
              </w:rPr>
              <w:t>Sydney</w:t>
            </w:r>
            <w:r w:rsidRPr="007248CB">
              <w:rPr>
                <w:rFonts w:cs="Book Antiqua"/>
                <w:sz w:val="19"/>
              </w:rPr>
              <w:t> </w:t>
            </w:r>
            <w:r w:rsidRPr="007248CB">
              <w:rPr>
                <w:sz w:val="19"/>
              </w:rPr>
              <w:t>NSW</w:t>
            </w:r>
            <w:r w:rsidRPr="007248CB">
              <w:rPr>
                <w:rFonts w:cs="Book Antiqua"/>
                <w:sz w:val="19"/>
              </w:rPr>
              <w:t> </w:t>
            </w:r>
            <w:r w:rsidRPr="007248CB">
              <w:rPr>
                <w:sz w:val="19"/>
              </w:rPr>
              <w:t>Australia</w:t>
            </w:r>
            <w:r w:rsidRPr="007248CB">
              <w:rPr>
                <w:rFonts w:cs="Book Antiqua"/>
                <w:sz w:val="19"/>
              </w:rPr>
              <w:t> </w:t>
            </w:r>
            <w:r w:rsidRPr="007248CB">
              <w:rPr>
                <w:sz w:val="19"/>
              </w:rPr>
              <w:t>2001</w:t>
            </w:r>
          </w:p>
          <w:p w:rsidR="0055107B" w:rsidRPr="007248CB" w:rsidRDefault="0055107B" w:rsidP="00EA7863">
            <w:pPr>
              <w:pStyle w:val="BodyText"/>
              <w:tabs>
                <w:tab w:val="left" w:pos="-1077"/>
                <w:tab w:val="left" w:pos="993"/>
              </w:tabs>
              <w:spacing w:before="100" w:line="260" w:lineRule="atLeast"/>
              <w:rPr>
                <w:sz w:val="19"/>
              </w:rPr>
            </w:pPr>
            <w:r>
              <w:rPr>
                <w:sz w:val="19"/>
              </w:rPr>
              <w:t>Telephone</w:t>
            </w:r>
            <w:r>
              <w:rPr>
                <w:sz w:val="19"/>
              </w:rPr>
              <w:tab/>
            </w:r>
            <w:r w:rsidRPr="007248CB">
              <w:rPr>
                <w:sz w:val="19"/>
              </w:rPr>
              <w:t>+61 2 9250 0800</w:t>
            </w:r>
          </w:p>
          <w:p w:rsidR="0055107B" w:rsidRPr="007248CB" w:rsidRDefault="0055107B" w:rsidP="00EA7863">
            <w:pPr>
              <w:pStyle w:val="BodyText"/>
              <w:tabs>
                <w:tab w:val="left" w:pos="-1077"/>
                <w:tab w:val="left" w:pos="993"/>
              </w:tabs>
              <w:spacing w:before="0" w:line="260" w:lineRule="atLeast"/>
              <w:rPr>
                <w:sz w:val="19"/>
              </w:rPr>
            </w:pPr>
            <w:r w:rsidRPr="007248CB">
              <w:rPr>
                <w:sz w:val="19"/>
              </w:rPr>
              <w:t>Facsimile</w:t>
            </w:r>
            <w:r w:rsidRPr="007248CB">
              <w:rPr>
                <w:sz w:val="19"/>
              </w:rPr>
              <w:tab/>
              <w:t>+61 2 9250 0888</w:t>
            </w:r>
          </w:p>
          <w:p w:rsidR="0055107B" w:rsidRPr="007248CB" w:rsidRDefault="0055107B" w:rsidP="00EA7863">
            <w:pPr>
              <w:pStyle w:val="BodyText"/>
              <w:tabs>
                <w:tab w:val="left" w:pos="-1077"/>
                <w:tab w:val="left" w:pos="993"/>
              </w:tabs>
              <w:spacing w:before="0" w:line="260" w:lineRule="atLeast"/>
              <w:rPr>
                <w:sz w:val="19"/>
              </w:rPr>
            </w:pPr>
            <w:r w:rsidRPr="007248CB">
              <w:rPr>
                <w:sz w:val="19"/>
              </w:rPr>
              <w:t>Email</w:t>
            </w:r>
            <w:r w:rsidRPr="007248CB">
              <w:rPr>
                <w:sz w:val="19"/>
              </w:rPr>
              <w:tab/>
            </w:r>
            <w:hyperlink r:id="rId14" w:history="1">
              <w:r w:rsidRPr="007248CB">
                <w:rPr>
                  <w:sz w:val="19"/>
                </w:rPr>
                <w:t>ciesyd@TheCIE.com.au</w:t>
              </w:r>
            </w:hyperlink>
          </w:p>
          <w:p w:rsidR="0055107B" w:rsidRDefault="0055107B" w:rsidP="00EA7863">
            <w:pPr>
              <w:pStyle w:val="BodyText"/>
              <w:tabs>
                <w:tab w:val="left" w:pos="993"/>
              </w:tabs>
              <w:spacing w:before="100" w:line="260" w:lineRule="atLeast"/>
              <w:rPr>
                <w:rFonts w:ascii="Franklin Gothic Demi" w:hAnsi="Franklin Gothic Demi"/>
                <w:color w:val="9B917E" w:themeColor="accent4"/>
                <w:sz w:val="19"/>
              </w:rPr>
            </w:pPr>
            <w:r w:rsidRPr="007248CB">
              <w:rPr>
                <w:sz w:val="19"/>
              </w:rPr>
              <w:t>Website</w:t>
            </w:r>
            <w:r w:rsidRPr="007248CB">
              <w:rPr>
                <w:sz w:val="19"/>
              </w:rPr>
              <w:tab/>
            </w:r>
            <w:hyperlink r:id="rId15" w:history="1">
              <w:r w:rsidRPr="007248CB">
                <w:rPr>
                  <w:sz w:val="19"/>
                </w:rPr>
                <w:t>www.TheCIE.com.au</w:t>
              </w:r>
            </w:hyperlink>
          </w:p>
        </w:tc>
      </w:tr>
    </w:tbl>
    <w:p w:rsidR="0055107B" w:rsidRPr="00375BA6" w:rsidRDefault="0055107B" w:rsidP="00F0449E">
      <w:pPr>
        <w:pStyle w:val="BodyText"/>
        <w:spacing w:before="4800"/>
        <w:rPr>
          <w:rFonts w:ascii="Franklin Gothic Demi" w:hAnsi="Franklin Gothic Demi"/>
          <w:caps/>
          <w:spacing w:val="10"/>
          <w:szCs w:val="22"/>
        </w:rPr>
      </w:pPr>
      <w:r w:rsidRPr="00375BA6">
        <w:rPr>
          <w:rFonts w:ascii="Franklin Gothic Demi" w:hAnsi="Franklin Gothic Demi"/>
          <w:caps/>
          <w:spacing w:val="10"/>
          <w:szCs w:val="22"/>
        </w:rPr>
        <w:t>Disclaimer</w:t>
      </w:r>
    </w:p>
    <w:p w:rsidR="0055107B" w:rsidRDefault="0055107B" w:rsidP="00EA7863">
      <w:pPr>
        <w:pStyle w:val="BodyText"/>
        <w:tabs>
          <w:tab w:val="left" w:pos="-1077"/>
          <w:tab w:val="left" w:pos="1418"/>
          <w:tab w:val="left" w:pos="2155"/>
        </w:tabs>
        <w:spacing w:before="100"/>
      </w:pPr>
      <w:r>
        <w:t>While the CIE endeavours to provide reliable analysis and believes the material it presents is accurate, it will not be liable for any party acting on such information.</w:t>
      </w:r>
    </w:p>
    <w:p w:rsidR="0055107B" w:rsidRDefault="0055107B" w:rsidP="00EA7863">
      <w:pPr>
        <w:pStyle w:val="Contents"/>
        <w:sectPr w:rsidR="0055107B" w:rsidSect="00EA7863">
          <w:headerReference w:type="even" r:id="rId16"/>
          <w:footerReference w:type="even" r:id="rId17"/>
          <w:pgSz w:w="11906" w:h="16838" w:code="9"/>
          <w:pgMar w:top="2268" w:right="1701" w:bottom="1418" w:left="2268" w:header="680" w:footer="680" w:gutter="0"/>
          <w:cols w:space="708"/>
          <w:docGrid w:linePitch="360"/>
        </w:sectPr>
      </w:pPr>
    </w:p>
    <w:p w:rsidR="00796D3D" w:rsidRDefault="00796D3D" w:rsidP="00EA7863">
      <w:pPr>
        <w:pStyle w:val="Contents"/>
      </w:pPr>
      <w:r>
        <w:lastRenderedPageBreak/>
        <w:t>Contents</w:t>
      </w:r>
    </w:p>
    <w:p w:rsidR="00C12F59" w:rsidRDefault="00796D3D">
      <w:pPr>
        <w:pStyle w:val="TOC1"/>
        <w:rPr>
          <w:rFonts w:asciiTheme="minorHAnsi" w:eastAsiaTheme="minorEastAsia" w:hAnsiTheme="minorHAnsi" w:cstheme="minorBidi"/>
          <w:noProof/>
          <w:sz w:val="22"/>
          <w:szCs w:val="22"/>
        </w:rPr>
      </w:pPr>
      <w:r w:rsidRPr="00876B40">
        <w:fldChar w:fldCharType="begin"/>
      </w:r>
      <w:r w:rsidRPr="00876B40">
        <w:instrText xml:space="preserve"> TOC \t "Heading 1,1,Heading 2,2,Heading </w:instrText>
      </w:r>
      <w:r>
        <w:instrText>6</w:instrText>
      </w:r>
      <w:r w:rsidRPr="00876B40">
        <w:instrText xml:space="preserve">,1,Part Title,4" </w:instrText>
      </w:r>
      <w:r w:rsidRPr="00876B40">
        <w:fldChar w:fldCharType="separate"/>
      </w:r>
      <w:r w:rsidR="00C12F59">
        <w:rPr>
          <w:noProof/>
        </w:rPr>
        <w:t>1</w:t>
      </w:r>
      <w:r w:rsidR="00C12F59">
        <w:rPr>
          <w:rFonts w:asciiTheme="minorHAnsi" w:eastAsiaTheme="minorEastAsia" w:hAnsiTheme="minorHAnsi" w:cstheme="minorBidi"/>
          <w:noProof/>
          <w:sz w:val="22"/>
          <w:szCs w:val="22"/>
        </w:rPr>
        <w:tab/>
      </w:r>
      <w:r w:rsidR="00C12F59">
        <w:rPr>
          <w:noProof/>
        </w:rPr>
        <w:t>Contribution of general rates and stamp duty to ACT taxation revenue</w:t>
      </w:r>
      <w:r w:rsidR="00C12F59">
        <w:rPr>
          <w:noProof/>
        </w:rPr>
        <w:tab/>
      </w:r>
      <w:r w:rsidR="00C12F59">
        <w:rPr>
          <w:noProof/>
        </w:rPr>
        <w:fldChar w:fldCharType="begin"/>
      </w:r>
      <w:r w:rsidR="00C12F59">
        <w:rPr>
          <w:noProof/>
        </w:rPr>
        <w:instrText xml:space="preserve"> PAGEREF _Toc393202270 \h </w:instrText>
      </w:r>
      <w:r w:rsidR="00C12F59">
        <w:rPr>
          <w:noProof/>
        </w:rPr>
      </w:r>
      <w:r w:rsidR="00C12F59">
        <w:rPr>
          <w:noProof/>
        </w:rPr>
        <w:fldChar w:fldCharType="separate"/>
      </w:r>
      <w:r w:rsidR="00CA6314">
        <w:rPr>
          <w:noProof/>
        </w:rPr>
        <w:t>1</w:t>
      </w:r>
      <w:r w:rsidR="00C12F59">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Projected changes in the composition of tax revenue</w:t>
      </w:r>
      <w:r>
        <w:rPr>
          <w:noProof/>
        </w:rPr>
        <w:tab/>
      </w:r>
      <w:r>
        <w:rPr>
          <w:noProof/>
        </w:rPr>
        <w:fldChar w:fldCharType="begin"/>
      </w:r>
      <w:r>
        <w:rPr>
          <w:noProof/>
        </w:rPr>
        <w:instrText xml:space="preserve"> PAGEREF _Toc393202271 \h </w:instrText>
      </w:r>
      <w:r>
        <w:rPr>
          <w:noProof/>
        </w:rPr>
      </w:r>
      <w:r>
        <w:rPr>
          <w:noProof/>
        </w:rPr>
        <w:fldChar w:fldCharType="separate"/>
      </w:r>
      <w:r w:rsidR="00CA6314">
        <w:rPr>
          <w:noProof/>
        </w:rPr>
        <w:t>1</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Impact of tax reform on economic activity</w:t>
      </w:r>
      <w:r>
        <w:rPr>
          <w:noProof/>
        </w:rPr>
        <w:tab/>
      </w:r>
      <w:r>
        <w:rPr>
          <w:noProof/>
        </w:rPr>
        <w:fldChar w:fldCharType="begin"/>
      </w:r>
      <w:r>
        <w:rPr>
          <w:noProof/>
        </w:rPr>
        <w:instrText xml:space="preserve"> PAGEREF _Toc393202272 \h </w:instrText>
      </w:r>
      <w:r>
        <w:rPr>
          <w:noProof/>
        </w:rPr>
      </w:r>
      <w:r>
        <w:rPr>
          <w:noProof/>
        </w:rPr>
        <w:fldChar w:fldCharType="separate"/>
      </w:r>
      <w:r w:rsidR="00CA6314">
        <w:rPr>
          <w:noProof/>
        </w:rPr>
        <w:t>3</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Rationale for changes to stamp duty and general rates</w:t>
      </w:r>
      <w:r>
        <w:rPr>
          <w:noProof/>
        </w:rPr>
        <w:tab/>
      </w:r>
      <w:r>
        <w:rPr>
          <w:noProof/>
        </w:rPr>
        <w:fldChar w:fldCharType="begin"/>
      </w:r>
      <w:r>
        <w:rPr>
          <w:noProof/>
        </w:rPr>
        <w:instrText xml:space="preserve"> PAGEREF _Toc393202273 \h </w:instrText>
      </w:r>
      <w:r>
        <w:rPr>
          <w:noProof/>
        </w:rPr>
      </w:r>
      <w:r>
        <w:rPr>
          <w:noProof/>
        </w:rPr>
        <w:fldChar w:fldCharType="separate"/>
      </w:r>
      <w:r w:rsidR="00CA6314">
        <w:rPr>
          <w:noProof/>
        </w:rPr>
        <w:t>5</w:t>
      </w:r>
      <w:r>
        <w:rPr>
          <w:noProof/>
        </w:rPr>
        <w:fldChar w:fldCharType="end"/>
      </w:r>
    </w:p>
    <w:p w:rsidR="00C12F59" w:rsidRDefault="00C12F59">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The economics of budget deficits and surpluses</w:t>
      </w:r>
      <w:r>
        <w:rPr>
          <w:noProof/>
        </w:rPr>
        <w:tab/>
      </w:r>
      <w:r>
        <w:rPr>
          <w:noProof/>
        </w:rPr>
        <w:fldChar w:fldCharType="begin"/>
      </w:r>
      <w:r>
        <w:rPr>
          <w:noProof/>
        </w:rPr>
        <w:instrText xml:space="preserve"> PAGEREF _Toc393202274 \h </w:instrText>
      </w:r>
      <w:r>
        <w:rPr>
          <w:noProof/>
        </w:rPr>
      </w:r>
      <w:r>
        <w:rPr>
          <w:noProof/>
        </w:rPr>
        <w:fldChar w:fldCharType="separate"/>
      </w:r>
      <w:r w:rsidR="00CA6314">
        <w:rPr>
          <w:noProof/>
        </w:rPr>
        <w:t>7</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Context</w:t>
      </w:r>
      <w:r>
        <w:rPr>
          <w:noProof/>
        </w:rPr>
        <w:tab/>
      </w:r>
      <w:r>
        <w:rPr>
          <w:noProof/>
        </w:rPr>
        <w:fldChar w:fldCharType="begin"/>
      </w:r>
      <w:r>
        <w:rPr>
          <w:noProof/>
        </w:rPr>
        <w:instrText xml:space="preserve"> PAGEREF _Toc393202275 \h </w:instrText>
      </w:r>
      <w:r>
        <w:rPr>
          <w:noProof/>
        </w:rPr>
      </w:r>
      <w:r>
        <w:rPr>
          <w:noProof/>
        </w:rPr>
        <w:fldChar w:fldCharType="separate"/>
      </w:r>
      <w:r w:rsidR="00CA6314">
        <w:rPr>
          <w:noProof/>
        </w:rPr>
        <w:t>7</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Trade-offs involved in managing a budget during a downturn</w:t>
      </w:r>
      <w:r>
        <w:rPr>
          <w:noProof/>
        </w:rPr>
        <w:tab/>
      </w:r>
      <w:r>
        <w:rPr>
          <w:noProof/>
        </w:rPr>
        <w:fldChar w:fldCharType="begin"/>
      </w:r>
      <w:r>
        <w:rPr>
          <w:noProof/>
        </w:rPr>
        <w:instrText xml:space="preserve"> PAGEREF _Toc393202276 \h </w:instrText>
      </w:r>
      <w:r>
        <w:rPr>
          <w:noProof/>
        </w:rPr>
      </w:r>
      <w:r>
        <w:rPr>
          <w:noProof/>
        </w:rPr>
        <w:fldChar w:fldCharType="separate"/>
      </w:r>
      <w:r w:rsidR="00CA6314">
        <w:rPr>
          <w:noProof/>
        </w:rPr>
        <w:t>7</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Efficacy of stimulus</w:t>
      </w:r>
      <w:r>
        <w:rPr>
          <w:noProof/>
        </w:rPr>
        <w:tab/>
      </w:r>
      <w:r>
        <w:rPr>
          <w:noProof/>
        </w:rPr>
        <w:fldChar w:fldCharType="begin"/>
      </w:r>
      <w:r>
        <w:rPr>
          <w:noProof/>
        </w:rPr>
        <w:instrText xml:space="preserve"> PAGEREF _Toc393202277 \h </w:instrText>
      </w:r>
      <w:r>
        <w:rPr>
          <w:noProof/>
        </w:rPr>
      </w:r>
      <w:r>
        <w:rPr>
          <w:noProof/>
        </w:rPr>
        <w:fldChar w:fldCharType="separate"/>
      </w:r>
      <w:r w:rsidR="00CA6314">
        <w:rPr>
          <w:noProof/>
        </w:rPr>
        <w:t>9</w:t>
      </w:r>
      <w:r>
        <w:rPr>
          <w:noProof/>
        </w:rPr>
        <w:fldChar w:fldCharType="end"/>
      </w:r>
    </w:p>
    <w:p w:rsidR="00C12F59" w:rsidRDefault="00C12F59">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Economic analysis of the Capital Metro</w:t>
      </w:r>
      <w:r>
        <w:rPr>
          <w:noProof/>
        </w:rPr>
        <w:tab/>
      </w:r>
      <w:r>
        <w:rPr>
          <w:noProof/>
        </w:rPr>
        <w:fldChar w:fldCharType="begin"/>
      </w:r>
      <w:r>
        <w:rPr>
          <w:noProof/>
        </w:rPr>
        <w:instrText xml:space="preserve"> PAGEREF _Toc393202278 \h </w:instrText>
      </w:r>
      <w:r>
        <w:rPr>
          <w:noProof/>
        </w:rPr>
      </w:r>
      <w:r>
        <w:rPr>
          <w:noProof/>
        </w:rPr>
        <w:fldChar w:fldCharType="separate"/>
      </w:r>
      <w:r w:rsidR="00CA6314">
        <w:rPr>
          <w:noProof/>
        </w:rPr>
        <w:t>13</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Costs and Benefits of the Capital Metro and Bus Rapid Transit</w:t>
      </w:r>
      <w:r>
        <w:rPr>
          <w:noProof/>
        </w:rPr>
        <w:tab/>
      </w:r>
      <w:r>
        <w:rPr>
          <w:noProof/>
        </w:rPr>
        <w:fldChar w:fldCharType="begin"/>
      </w:r>
      <w:r>
        <w:rPr>
          <w:noProof/>
        </w:rPr>
        <w:instrText xml:space="preserve"> PAGEREF _Toc393202279 \h </w:instrText>
      </w:r>
      <w:r>
        <w:rPr>
          <w:noProof/>
        </w:rPr>
      </w:r>
      <w:r>
        <w:rPr>
          <w:noProof/>
        </w:rPr>
        <w:fldChar w:fldCharType="separate"/>
      </w:r>
      <w:r w:rsidR="00CA6314">
        <w:rPr>
          <w:noProof/>
        </w:rPr>
        <w:t>14</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Changes in population and land use</w:t>
      </w:r>
      <w:r>
        <w:rPr>
          <w:noProof/>
        </w:rPr>
        <w:tab/>
      </w:r>
      <w:r>
        <w:rPr>
          <w:noProof/>
        </w:rPr>
        <w:fldChar w:fldCharType="begin"/>
      </w:r>
      <w:r>
        <w:rPr>
          <w:noProof/>
        </w:rPr>
        <w:instrText xml:space="preserve"> PAGEREF _Toc393202280 \h </w:instrText>
      </w:r>
      <w:r>
        <w:rPr>
          <w:noProof/>
        </w:rPr>
      </w:r>
      <w:r>
        <w:rPr>
          <w:noProof/>
        </w:rPr>
        <w:fldChar w:fldCharType="separate"/>
      </w:r>
      <w:r w:rsidR="00CA6314">
        <w:rPr>
          <w:noProof/>
        </w:rPr>
        <w:t>17</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Uplift in land values</w:t>
      </w:r>
      <w:r>
        <w:rPr>
          <w:noProof/>
        </w:rPr>
        <w:tab/>
      </w:r>
      <w:r>
        <w:rPr>
          <w:noProof/>
        </w:rPr>
        <w:fldChar w:fldCharType="begin"/>
      </w:r>
      <w:r>
        <w:rPr>
          <w:noProof/>
        </w:rPr>
        <w:instrText xml:space="preserve"> PAGEREF _Toc393202281 \h </w:instrText>
      </w:r>
      <w:r>
        <w:rPr>
          <w:noProof/>
        </w:rPr>
      </w:r>
      <w:r>
        <w:rPr>
          <w:noProof/>
        </w:rPr>
        <w:fldChar w:fldCharType="separate"/>
      </w:r>
      <w:r w:rsidR="00CA6314">
        <w:rPr>
          <w:noProof/>
        </w:rPr>
        <w:t>19</w:t>
      </w:r>
      <w:r>
        <w:rPr>
          <w:noProof/>
        </w:rPr>
        <w:fldChar w:fldCharType="end"/>
      </w:r>
    </w:p>
    <w:p w:rsidR="00C12F59" w:rsidRDefault="00C12F59">
      <w:pPr>
        <w:pStyle w:val="TOC2"/>
        <w:rPr>
          <w:rFonts w:asciiTheme="minorHAnsi" w:eastAsiaTheme="minorEastAsia" w:hAnsiTheme="minorHAnsi" w:cstheme="minorBidi"/>
          <w:noProof/>
          <w:sz w:val="22"/>
          <w:szCs w:val="22"/>
        </w:rPr>
      </w:pPr>
      <w:r>
        <w:rPr>
          <w:noProof/>
        </w:rPr>
        <w:t>Uplift in Employment</w:t>
      </w:r>
      <w:r>
        <w:rPr>
          <w:noProof/>
        </w:rPr>
        <w:tab/>
      </w:r>
      <w:r>
        <w:rPr>
          <w:noProof/>
        </w:rPr>
        <w:fldChar w:fldCharType="begin"/>
      </w:r>
      <w:r>
        <w:rPr>
          <w:noProof/>
        </w:rPr>
        <w:instrText xml:space="preserve"> PAGEREF _Toc393202282 \h </w:instrText>
      </w:r>
      <w:r>
        <w:rPr>
          <w:noProof/>
        </w:rPr>
      </w:r>
      <w:r>
        <w:rPr>
          <w:noProof/>
        </w:rPr>
        <w:fldChar w:fldCharType="separate"/>
      </w:r>
      <w:r w:rsidR="00CA6314">
        <w:rPr>
          <w:noProof/>
        </w:rPr>
        <w:t>20</w:t>
      </w:r>
      <w:r>
        <w:rPr>
          <w:noProof/>
        </w:rPr>
        <w:fldChar w:fldCharType="end"/>
      </w:r>
    </w:p>
    <w:p w:rsidR="00796D3D" w:rsidRPr="002B76B3" w:rsidRDefault="00796D3D" w:rsidP="00EA7863">
      <w:pPr>
        <w:pStyle w:val="BodyText"/>
        <w:spacing w:before="480"/>
        <w:rPr>
          <w:rFonts w:ascii="Franklin Gothic Demi" w:hAnsi="Franklin Gothic Demi"/>
          <w:caps/>
          <w:spacing w:val="10"/>
          <w:sz w:val="22"/>
        </w:rPr>
      </w:pPr>
      <w:r w:rsidRPr="00876B40">
        <w:fldChar w:fldCharType="end"/>
      </w:r>
      <w:r w:rsidRPr="002B76B3">
        <w:rPr>
          <w:rFonts w:ascii="Franklin Gothic Demi" w:hAnsi="Franklin Gothic Demi"/>
          <w:caps/>
          <w:spacing w:val="10"/>
          <w:sz w:val="22"/>
        </w:rPr>
        <w:t>Boxes, charts and tables</w:t>
      </w:r>
    </w:p>
    <w:p w:rsidR="00AE5306" w:rsidRDefault="00796D3D">
      <w:pPr>
        <w:pStyle w:val="TableofFigures"/>
        <w:rPr>
          <w:rFonts w:eastAsiaTheme="minorEastAsia" w:cstheme="minorBidi"/>
          <w:noProof/>
          <w:sz w:val="22"/>
          <w:szCs w:val="22"/>
        </w:rPr>
      </w:pPr>
      <w:r>
        <w:fldChar w:fldCharType="begin"/>
      </w:r>
      <w:r>
        <w:instrText xml:space="preserve"> TOC \t "Caption" \c </w:instrText>
      </w:r>
      <w:r>
        <w:fldChar w:fldCharType="separate"/>
      </w:r>
      <w:r w:rsidR="00AE5306">
        <w:rPr>
          <w:noProof/>
        </w:rPr>
        <w:t>1.1</w:t>
      </w:r>
      <w:r w:rsidR="00AE5306">
        <w:rPr>
          <w:rFonts w:eastAsiaTheme="minorEastAsia" w:cstheme="minorBidi"/>
          <w:noProof/>
          <w:sz w:val="22"/>
          <w:szCs w:val="22"/>
        </w:rPr>
        <w:tab/>
      </w:r>
      <w:r w:rsidR="00AE5306">
        <w:rPr>
          <w:noProof/>
        </w:rPr>
        <w:t>Projected change in revenue from stamp duty and general rates</w:t>
      </w:r>
      <w:r w:rsidR="00AE5306">
        <w:rPr>
          <w:noProof/>
        </w:rPr>
        <w:tab/>
      </w:r>
      <w:r w:rsidR="00AE5306">
        <w:rPr>
          <w:noProof/>
        </w:rPr>
        <w:fldChar w:fldCharType="begin"/>
      </w:r>
      <w:r w:rsidR="00AE5306">
        <w:rPr>
          <w:noProof/>
        </w:rPr>
        <w:instrText xml:space="preserve"> PAGEREF _Toc393202301 \h </w:instrText>
      </w:r>
      <w:r w:rsidR="00AE5306">
        <w:rPr>
          <w:noProof/>
        </w:rPr>
      </w:r>
      <w:r w:rsidR="00AE5306">
        <w:rPr>
          <w:noProof/>
        </w:rPr>
        <w:fldChar w:fldCharType="separate"/>
      </w:r>
      <w:r w:rsidR="00CA6314">
        <w:rPr>
          <w:noProof/>
        </w:rPr>
        <w:t>2</w:t>
      </w:r>
      <w:r w:rsidR="00AE5306">
        <w:rPr>
          <w:noProof/>
        </w:rPr>
        <w:fldChar w:fldCharType="end"/>
      </w:r>
    </w:p>
    <w:p w:rsidR="00AE5306" w:rsidRDefault="00AE5306">
      <w:pPr>
        <w:pStyle w:val="TableofFigures"/>
        <w:rPr>
          <w:rFonts w:eastAsiaTheme="minorEastAsia" w:cstheme="minorBidi"/>
          <w:noProof/>
          <w:sz w:val="22"/>
          <w:szCs w:val="22"/>
        </w:rPr>
      </w:pPr>
      <w:r>
        <w:rPr>
          <w:noProof/>
        </w:rPr>
        <w:t>1.2</w:t>
      </w:r>
      <w:r>
        <w:rPr>
          <w:rFonts w:eastAsiaTheme="minorEastAsia" w:cstheme="minorBidi"/>
          <w:noProof/>
          <w:sz w:val="22"/>
          <w:szCs w:val="22"/>
        </w:rPr>
        <w:tab/>
      </w:r>
      <w:r>
        <w:rPr>
          <w:noProof/>
        </w:rPr>
        <w:t>The contribution of stamp duty and general rates to taxation revenue</w:t>
      </w:r>
      <w:r>
        <w:rPr>
          <w:noProof/>
        </w:rPr>
        <w:tab/>
      </w:r>
      <w:r>
        <w:rPr>
          <w:noProof/>
        </w:rPr>
        <w:fldChar w:fldCharType="begin"/>
      </w:r>
      <w:r>
        <w:rPr>
          <w:noProof/>
        </w:rPr>
        <w:instrText xml:space="preserve"> PAGEREF _Toc393202302 \h </w:instrText>
      </w:r>
      <w:r>
        <w:rPr>
          <w:noProof/>
        </w:rPr>
      </w:r>
      <w:r>
        <w:rPr>
          <w:noProof/>
        </w:rPr>
        <w:fldChar w:fldCharType="separate"/>
      </w:r>
      <w:r w:rsidR="00CA6314">
        <w:rPr>
          <w:noProof/>
        </w:rPr>
        <w:t>2</w:t>
      </w:r>
      <w:r>
        <w:rPr>
          <w:noProof/>
        </w:rPr>
        <w:fldChar w:fldCharType="end"/>
      </w:r>
    </w:p>
    <w:p w:rsidR="00AE5306" w:rsidRDefault="00AE5306">
      <w:pPr>
        <w:pStyle w:val="TableofFigures"/>
        <w:rPr>
          <w:rFonts w:eastAsiaTheme="minorEastAsia" w:cstheme="minorBidi"/>
          <w:noProof/>
          <w:sz w:val="22"/>
          <w:szCs w:val="22"/>
        </w:rPr>
      </w:pPr>
      <w:r>
        <w:rPr>
          <w:noProof/>
        </w:rPr>
        <w:t>1.3</w:t>
      </w:r>
      <w:r>
        <w:rPr>
          <w:rFonts w:eastAsiaTheme="minorEastAsia" w:cstheme="minorBidi"/>
          <w:noProof/>
          <w:sz w:val="22"/>
          <w:szCs w:val="22"/>
        </w:rPr>
        <w:tab/>
      </w:r>
      <w:r>
        <w:rPr>
          <w:noProof/>
        </w:rPr>
        <w:t>Future schedule of stamp duty rates</w:t>
      </w:r>
      <w:r>
        <w:rPr>
          <w:noProof/>
        </w:rPr>
        <w:tab/>
      </w:r>
      <w:r>
        <w:rPr>
          <w:noProof/>
        </w:rPr>
        <w:fldChar w:fldCharType="begin"/>
      </w:r>
      <w:r>
        <w:rPr>
          <w:noProof/>
        </w:rPr>
        <w:instrText xml:space="preserve"> PAGEREF _Toc393202303 \h </w:instrText>
      </w:r>
      <w:r>
        <w:rPr>
          <w:noProof/>
        </w:rPr>
      </w:r>
      <w:r>
        <w:rPr>
          <w:noProof/>
        </w:rPr>
        <w:fldChar w:fldCharType="separate"/>
      </w:r>
      <w:r w:rsidR="00CA6314">
        <w:rPr>
          <w:noProof/>
        </w:rPr>
        <w:t>3</w:t>
      </w:r>
      <w:r>
        <w:rPr>
          <w:noProof/>
        </w:rPr>
        <w:fldChar w:fldCharType="end"/>
      </w:r>
    </w:p>
    <w:p w:rsidR="00AE5306" w:rsidRDefault="00AE5306">
      <w:pPr>
        <w:pStyle w:val="TableofFigures"/>
        <w:rPr>
          <w:rFonts w:eastAsiaTheme="minorEastAsia" w:cstheme="minorBidi"/>
          <w:noProof/>
          <w:sz w:val="22"/>
          <w:szCs w:val="22"/>
        </w:rPr>
      </w:pPr>
      <w:r>
        <w:rPr>
          <w:noProof/>
        </w:rPr>
        <w:t>1.4</w:t>
      </w:r>
      <w:r>
        <w:rPr>
          <w:rFonts w:eastAsiaTheme="minorEastAsia" w:cstheme="minorBidi"/>
          <w:noProof/>
          <w:sz w:val="22"/>
          <w:szCs w:val="22"/>
        </w:rPr>
        <w:tab/>
      </w:r>
      <w:r>
        <w:rPr>
          <w:noProof/>
        </w:rPr>
        <w:t>Economic impacts of shifting from conveyance duty to a broad base land tax</w:t>
      </w:r>
      <w:r>
        <w:rPr>
          <w:noProof/>
        </w:rPr>
        <w:tab/>
      </w:r>
      <w:r>
        <w:rPr>
          <w:noProof/>
        </w:rPr>
        <w:fldChar w:fldCharType="begin"/>
      </w:r>
      <w:r>
        <w:rPr>
          <w:noProof/>
        </w:rPr>
        <w:instrText xml:space="preserve"> PAGEREF _Toc393202304 \h </w:instrText>
      </w:r>
      <w:r>
        <w:rPr>
          <w:noProof/>
        </w:rPr>
      </w:r>
      <w:r>
        <w:rPr>
          <w:noProof/>
        </w:rPr>
        <w:fldChar w:fldCharType="separate"/>
      </w:r>
      <w:r w:rsidR="00CA6314">
        <w:rPr>
          <w:noProof/>
        </w:rPr>
        <w:t>4</w:t>
      </w:r>
      <w:r>
        <w:rPr>
          <w:noProof/>
        </w:rPr>
        <w:fldChar w:fldCharType="end"/>
      </w:r>
    </w:p>
    <w:p w:rsidR="00AE5306" w:rsidRDefault="00AE5306">
      <w:pPr>
        <w:pStyle w:val="TableofFigures"/>
        <w:rPr>
          <w:rFonts w:eastAsiaTheme="minorEastAsia" w:cstheme="minorBidi"/>
          <w:noProof/>
          <w:sz w:val="22"/>
          <w:szCs w:val="22"/>
        </w:rPr>
      </w:pPr>
      <w:r>
        <w:rPr>
          <w:noProof/>
        </w:rPr>
        <w:t>1.5</w:t>
      </w:r>
      <w:r>
        <w:rPr>
          <w:rFonts w:eastAsiaTheme="minorEastAsia" w:cstheme="minorBidi"/>
          <w:noProof/>
          <w:sz w:val="22"/>
          <w:szCs w:val="22"/>
        </w:rPr>
        <w:tab/>
      </w:r>
      <w:r>
        <w:rPr>
          <w:noProof/>
        </w:rPr>
        <w:t>Residential general rates</w:t>
      </w:r>
      <w:r>
        <w:rPr>
          <w:noProof/>
        </w:rPr>
        <w:tab/>
      </w:r>
      <w:r>
        <w:rPr>
          <w:noProof/>
        </w:rPr>
        <w:fldChar w:fldCharType="begin"/>
      </w:r>
      <w:r>
        <w:rPr>
          <w:noProof/>
        </w:rPr>
        <w:instrText xml:space="preserve"> PAGEREF _Toc393202305 \h </w:instrText>
      </w:r>
      <w:r>
        <w:rPr>
          <w:noProof/>
        </w:rPr>
      </w:r>
      <w:r>
        <w:rPr>
          <w:noProof/>
        </w:rPr>
        <w:fldChar w:fldCharType="separate"/>
      </w:r>
      <w:r w:rsidR="00CA6314">
        <w:rPr>
          <w:noProof/>
        </w:rPr>
        <w:t>4</w:t>
      </w:r>
      <w:r>
        <w:rPr>
          <w:noProof/>
        </w:rPr>
        <w:fldChar w:fldCharType="end"/>
      </w:r>
    </w:p>
    <w:p w:rsidR="00AE5306" w:rsidRDefault="00AE5306">
      <w:pPr>
        <w:pStyle w:val="TableofFigures"/>
        <w:rPr>
          <w:rFonts w:eastAsiaTheme="minorEastAsia" w:cstheme="minorBidi"/>
          <w:noProof/>
          <w:sz w:val="22"/>
          <w:szCs w:val="22"/>
        </w:rPr>
      </w:pPr>
      <w:r>
        <w:rPr>
          <w:noProof/>
        </w:rPr>
        <w:t>1.6</w:t>
      </w:r>
      <w:r>
        <w:rPr>
          <w:rFonts w:eastAsiaTheme="minorEastAsia" w:cstheme="minorBidi"/>
          <w:noProof/>
          <w:sz w:val="22"/>
          <w:szCs w:val="22"/>
        </w:rPr>
        <w:tab/>
      </w:r>
      <w:r>
        <w:rPr>
          <w:noProof/>
        </w:rPr>
        <w:t>Stamp duty</w:t>
      </w:r>
      <w:r>
        <w:rPr>
          <w:noProof/>
        </w:rPr>
        <w:tab/>
      </w:r>
      <w:r>
        <w:rPr>
          <w:noProof/>
        </w:rPr>
        <w:fldChar w:fldCharType="begin"/>
      </w:r>
      <w:r>
        <w:rPr>
          <w:noProof/>
        </w:rPr>
        <w:instrText xml:space="preserve"> PAGEREF _Toc393202306 \h </w:instrText>
      </w:r>
      <w:r>
        <w:rPr>
          <w:noProof/>
        </w:rPr>
      </w:r>
      <w:r>
        <w:rPr>
          <w:noProof/>
        </w:rPr>
        <w:fldChar w:fldCharType="separate"/>
      </w:r>
      <w:r w:rsidR="00CA6314">
        <w:rPr>
          <w:noProof/>
        </w:rPr>
        <w:t>5</w:t>
      </w:r>
      <w:r>
        <w:rPr>
          <w:noProof/>
        </w:rPr>
        <w:fldChar w:fldCharType="end"/>
      </w:r>
    </w:p>
    <w:p w:rsidR="00AE5306" w:rsidRDefault="00AE5306">
      <w:pPr>
        <w:pStyle w:val="TableofFigures"/>
        <w:rPr>
          <w:rFonts w:eastAsiaTheme="minorEastAsia" w:cstheme="minorBidi"/>
          <w:noProof/>
          <w:sz w:val="22"/>
          <w:szCs w:val="22"/>
        </w:rPr>
      </w:pPr>
      <w:r>
        <w:rPr>
          <w:noProof/>
        </w:rPr>
        <w:t>1.7</w:t>
      </w:r>
      <w:r>
        <w:rPr>
          <w:rFonts w:eastAsiaTheme="minorEastAsia" w:cstheme="minorBidi"/>
          <w:noProof/>
          <w:sz w:val="22"/>
          <w:szCs w:val="22"/>
        </w:rPr>
        <w:tab/>
      </w:r>
      <w:r>
        <w:rPr>
          <w:noProof/>
        </w:rPr>
        <w:t>Economic assessment of stamp duty and general rates</w:t>
      </w:r>
      <w:r>
        <w:rPr>
          <w:noProof/>
        </w:rPr>
        <w:tab/>
      </w:r>
      <w:r>
        <w:rPr>
          <w:noProof/>
        </w:rPr>
        <w:fldChar w:fldCharType="begin"/>
      </w:r>
      <w:r>
        <w:rPr>
          <w:noProof/>
        </w:rPr>
        <w:instrText xml:space="preserve"> PAGEREF _Toc393202307 \h </w:instrText>
      </w:r>
      <w:r>
        <w:rPr>
          <w:noProof/>
        </w:rPr>
      </w:r>
      <w:r>
        <w:rPr>
          <w:noProof/>
        </w:rPr>
        <w:fldChar w:fldCharType="separate"/>
      </w:r>
      <w:r w:rsidR="00CA6314">
        <w:rPr>
          <w:noProof/>
        </w:rPr>
        <w:t>6</w:t>
      </w:r>
      <w:r>
        <w:rPr>
          <w:noProof/>
        </w:rPr>
        <w:fldChar w:fldCharType="end"/>
      </w:r>
    </w:p>
    <w:p w:rsidR="00AE5306" w:rsidRDefault="00AE5306">
      <w:pPr>
        <w:pStyle w:val="TableofFigures"/>
        <w:rPr>
          <w:rFonts w:eastAsiaTheme="minorEastAsia" w:cstheme="minorBidi"/>
          <w:noProof/>
          <w:sz w:val="22"/>
          <w:szCs w:val="22"/>
        </w:rPr>
      </w:pPr>
      <w:r>
        <w:rPr>
          <w:noProof/>
        </w:rPr>
        <w:t>2.11</w:t>
      </w:r>
      <w:r>
        <w:rPr>
          <w:rFonts w:eastAsiaTheme="minorEastAsia" w:cstheme="minorBidi"/>
          <w:noProof/>
          <w:sz w:val="22"/>
          <w:szCs w:val="22"/>
        </w:rPr>
        <w:tab/>
      </w:r>
      <w:r>
        <w:rPr>
          <w:noProof/>
        </w:rPr>
        <w:t>Trade-offs involved in managing a budget during a downturn</w:t>
      </w:r>
      <w:r>
        <w:rPr>
          <w:noProof/>
        </w:rPr>
        <w:tab/>
      </w:r>
      <w:r>
        <w:rPr>
          <w:noProof/>
        </w:rPr>
        <w:fldChar w:fldCharType="begin"/>
      </w:r>
      <w:r>
        <w:rPr>
          <w:noProof/>
        </w:rPr>
        <w:instrText xml:space="preserve"> PAGEREF _Toc393202308 \h </w:instrText>
      </w:r>
      <w:r>
        <w:rPr>
          <w:noProof/>
        </w:rPr>
      </w:r>
      <w:r>
        <w:rPr>
          <w:noProof/>
        </w:rPr>
        <w:fldChar w:fldCharType="separate"/>
      </w:r>
      <w:r w:rsidR="00CA6314">
        <w:rPr>
          <w:noProof/>
        </w:rPr>
        <w:t>8</w:t>
      </w:r>
      <w:r>
        <w:rPr>
          <w:noProof/>
        </w:rPr>
        <w:fldChar w:fldCharType="end"/>
      </w:r>
    </w:p>
    <w:p w:rsidR="00AE5306" w:rsidRDefault="00AE5306">
      <w:pPr>
        <w:pStyle w:val="TableofFigures"/>
        <w:rPr>
          <w:rFonts w:eastAsiaTheme="minorEastAsia" w:cstheme="minorBidi"/>
          <w:noProof/>
          <w:sz w:val="22"/>
          <w:szCs w:val="22"/>
        </w:rPr>
      </w:pPr>
      <w:r>
        <w:rPr>
          <w:noProof/>
        </w:rPr>
        <w:t>2.2</w:t>
      </w:r>
      <w:r>
        <w:rPr>
          <w:rFonts w:eastAsiaTheme="minorEastAsia" w:cstheme="minorBidi"/>
          <w:noProof/>
          <w:sz w:val="22"/>
          <w:szCs w:val="22"/>
        </w:rPr>
        <w:tab/>
      </w:r>
      <w:r>
        <w:rPr>
          <w:noProof/>
        </w:rPr>
        <w:t>Key performance indicators of ACT Government’s credit worthiness</w:t>
      </w:r>
      <w:r>
        <w:rPr>
          <w:noProof/>
        </w:rPr>
        <w:tab/>
      </w:r>
      <w:r>
        <w:rPr>
          <w:noProof/>
        </w:rPr>
        <w:fldChar w:fldCharType="begin"/>
      </w:r>
      <w:r>
        <w:rPr>
          <w:noProof/>
        </w:rPr>
        <w:instrText xml:space="preserve"> PAGEREF _Toc393202309 \h </w:instrText>
      </w:r>
      <w:r>
        <w:rPr>
          <w:noProof/>
        </w:rPr>
      </w:r>
      <w:r>
        <w:rPr>
          <w:noProof/>
        </w:rPr>
        <w:fldChar w:fldCharType="separate"/>
      </w:r>
      <w:r w:rsidR="00CA6314">
        <w:rPr>
          <w:noProof/>
        </w:rPr>
        <w:t>10</w:t>
      </w:r>
      <w:r>
        <w:rPr>
          <w:noProof/>
        </w:rPr>
        <w:fldChar w:fldCharType="end"/>
      </w:r>
    </w:p>
    <w:p w:rsidR="00AE5306" w:rsidRDefault="00AE5306">
      <w:pPr>
        <w:pStyle w:val="TableofFigures"/>
        <w:rPr>
          <w:rFonts w:eastAsiaTheme="minorEastAsia" w:cstheme="minorBidi"/>
          <w:noProof/>
          <w:sz w:val="22"/>
          <w:szCs w:val="22"/>
        </w:rPr>
      </w:pPr>
      <w:r>
        <w:rPr>
          <w:noProof/>
        </w:rPr>
        <w:t>2.33</w:t>
      </w:r>
      <w:r>
        <w:rPr>
          <w:rFonts w:eastAsiaTheme="minorEastAsia" w:cstheme="minorBidi"/>
          <w:noProof/>
          <w:sz w:val="22"/>
          <w:szCs w:val="22"/>
        </w:rPr>
        <w:tab/>
      </w:r>
      <w:r>
        <w:rPr>
          <w:noProof/>
        </w:rPr>
        <w:t>2014-15 Budget Infrastructure Program</w:t>
      </w:r>
      <w:r>
        <w:rPr>
          <w:noProof/>
        </w:rPr>
        <w:tab/>
      </w:r>
      <w:r>
        <w:rPr>
          <w:noProof/>
        </w:rPr>
        <w:fldChar w:fldCharType="begin"/>
      </w:r>
      <w:r>
        <w:rPr>
          <w:noProof/>
        </w:rPr>
        <w:instrText xml:space="preserve"> PAGEREF _Toc393202310 \h </w:instrText>
      </w:r>
      <w:r>
        <w:rPr>
          <w:noProof/>
        </w:rPr>
      </w:r>
      <w:r>
        <w:rPr>
          <w:noProof/>
        </w:rPr>
        <w:fldChar w:fldCharType="separate"/>
      </w:r>
      <w:r w:rsidR="00CA6314">
        <w:rPr>
          <w:noProof/>
        </w:rPr>
        <w:t>11</w:t>
      </w:r>
      <w:r>
        <w:rPr>
          <w:noProof/>
        </w:rPr>
        <w:fldChar w:fldCharType="end"/>
      </w:r>
    </w:p>
    <w:p w:rsidR="00AE5306" w:rsidRDefault="00AE5306">
      <w:pPr>
        <w:pStyle w:val="TableofFigures"/>
        <w:rPr>
          <w:rFonts w:eastAsiaTheme="minorEastAsia" w:cstheme="minorBidi"/>
          <w:noProof/>
          <w:sz w:val="22"/>
          <w:szCs w:val="22"/>
        </w:rPr>
      </w:pPr>
      <w:r>
        <w:rPr>
          <w:noProof/>
        </w:rPr>
        <w:t>2.44</w:t>
      </w:r>
      <w:r>
        <w:rPr>
          <w:rFonts w:eastAsiaTheme="minorEastAsia" w:cstheme="minorBidi"/>
          <w:noProof/>
          <w:sz w:val="22"/>
          <w:szCs w:val="22"/>
        </w:rPr>
        <w:tab/>
      </w:r>
      <w:r>
        <w:rPr>
          <w:noProof/>
        </w:rPr>
        <w:t>New Capital Works Initiatives</w:t>
      </w:r>
      <w:r>
        <w:rPr>
          <w:noProof/>
        </w:rPr>
        <w:tab/>
      </w:r>
      <w:r>
        <w:rPr>
          <w:noProof/>
        </w:rPr>
        <w:fldChar w:fldCharType="begin"/>
      </w:r>
      <w:r>
        <w:rPr>
          <w:noProof/>
        </w:rPr>
        <w:instrText xml:space="preserve"> PAGEREF _Toc393202311 \h </w:instrText>
      </w:r>
      <w:r>
        <w:rPr>
          <w:noProof/>
        </w:rPr>
      </w:r>
      <w:r>
        <w:rPr>
          <w:noProof/>
        </w:rPr>
        <w:fldChar w:fldCharType="separate"/>
      </w:r>
      <w:r w:rsidR="00CA6314">
        <w:rPr>
          <w:noProof/>
        </w:rPr>
        <w:t>12</w:t>
      </w:r>
      <w:r>
        <w:rPr>
          <w:noProof/>
        </w:rPr>
        <w:fldChar w:fldCharType="end"/>
      </w:r>
    </w:p>
    <w:p w:rsidR="00AE5306" w:rsidRDefault="00AE5306">
      <w:pPr>
        <w:pStyle w:val="TableofFigures"/>
        <w:rPr>
          <w:rFonts w:eastAsiaTheme="minorEastAsia" w:cstheme="minorBidi"/>
          <w:noProof/>
          <w:sz w:val="22"/>
          <w:szCs w:val="22"/>
        </w:rPr>
      </w:pPr>
      <w:r>
        <w:rPr>
          <w:noProof/>
        </w:rPr>
        <w:t>3.1</w:t>
      </w:r>
      <w:r>
        <w:rPr>
          <w:rFonts w:eastAsiaTheme="minorEastAsia" w:cstheme="minorBidi"/>
          <w:noProof/>
          <w:sz w:val="22"/>
          <w:szCs w:val="22"/>
        </w:rPr>
        <w:tab/>
      </w:r>
      <w:r>
        <w:rPr>
          <w:noProof/>
        </w:rPr>
        <w:t>Costs and Benefits of Light rail under BAU scenario</w:t>
      </w:r>
      <w:r>
        <w:rPr>
          <w:noProof/>
        </w:rPr>
        <w:tab/>
      </w:r>
      <w:r>
        <w:rPr>
          <w:noProof/>
        </w:rPr>
        <w:fldChar w:fldCharType="begin"/>
      </w:r>
      <w:r>
        <w:rPr>
          <w:noProof/>
        </w:rPr>
        <w:instrText xml:space="preserve"> PAGEREF _Toc393202312 \h </w:instrText>
      </w:r>
      <w:r>
        <w:rPr>
          <w:noProof/>
        </w:rPr>
      </w:r>
      <w:r>
        <w:rPr>
          <w:noProof/>
        </w:rPr>
        <w:fldChar w:fldCharType="separate"/>
      </w:r>
      <w:r w:rsidR="00CA6314">
        <w:rPr>
          <w:noProof/>
        </w:rPr>
        <w:t>14</w:t>
      </w:r>
      <w:r>
        <w:rPr>
          <w:noProof/>
        </w:rPr>
        <w:fldChar w:fldCharType="end"/>
      </w:r>
    </w:p>
    <w:p w:rsidR="00AE5306" w:rsidRDefault="00AE5306">
      <w:pPr>
        <w:pStyle w:val="TableofFigures"/>
        <w:rPr>
          <w:rFonts w:eastAsiaTheme="minorEastAsia" w:cstheme="minorBidi"/>
          <w:noProof/>
          <w:sz w:val="22"/>
          <w:szCs w:val="22"/>
        </w:rPr>
      </w:pPr>
      <w:r>
        <w:rPr>
          <w:noProof/>
        </w:rPr>
        <w:t>3.2</w:t>
      </w:r>
      <w:r>
        <w:rPr>
          <w:rFonts w:eastAsiaTheme="minorEastAsia" w:cstheme="minorBidi"/>
          <w:noProof/>
          <w:sz w:val="22"/>
          <w:szCs w:val="22"/>
        </w:rPr>
        <w:tab/>
      </w:r>
      <w:r>
        <w:rPr>
          <w:noProof/>
        </w:rPr>
        <w:t>Costs and Benefits of Light rail under high density scenario</w:t>
      </w:r>
      <w:r>
        <w:rPr>
          <w:noProof/>
        </w:rPr>
        <w:tab/>
      </w:r>
      <w:r>
        <w:rPr>
          <w:noProof/>
        </w:rPr>
        <w:fldChar w:fldCharType="begin"/>
      </w:r>
      <w:r>
        <w:rPr>
          <w:noProof/>
        </w:rPr>
        <w:instrText xml:space="preserve"> PAGEREF _Toc393202313 \h </w:instrText>
      </w:r>
      <w:r>
        <w:rPr>
          <w:noProof/>
        </w:rPr>
      </w:r>
      <w:r>
        <w:rPr>
          <w:noProof/>
        </w:rPr>
        <w:fldChar w:fldCharType="separate"/>
      </w:r>
      <w:r w:rsidR="00CA6314">
        <w:rPr>
          <w:noProof/>
        </w:rPr>
        <w:t>15</w:t>
      </w:r>
      <w:r>
        <w:rPr>
          <w:noProof/>
        </w:rPr>
        <w:fldChar w:fldCharType="end"/>
      </w:r>
    </w:p>
    <w:p w:rsidR="00AE5306" w:rsidRDefault="00AE5306">
      <w:pPr>
        <w:pStyle w:val="TableofFigures"/>
        <w:rPr>
          <w:rFonts w:eastAsiaTheme="minorEastAsia" w:cstheme="minorBidi"/>
          <w:noProof/>
          <w:sz w:val="22"/>
          <w:szCs w:val="22"/>
        </w:rPr>
      </w:pPr>
      <w:r>
        <w:rPr>
          <w:noProof/>
        </w:rPr>
        <w:t>3.3</w:t>
      </w:r>
      <w:r>
        <w:rPr>
          <w:rFonts w:eastAsiaTheme="minorEastAsia" w:cstheme="minorBidi"/>
          <w:noProof/>
          <w:sz w:val="22"/>
          <w:szCs w:val="22"/>
        </w:rPr>
        <w:tab/>
      </w:r>
      <w:r>
        <w:rPr>
          <w:noProof/>
        </w:rPr>
        <w:t>Costs and Benefits of Light rail and BRT under both land use scenarios (excluding parking revenue)</w:t>
      </w:r>
      <w:r>
        <w:rPr>
          <w:noProof/>
        </w:rPr>
        <w:tab/>
      </w:r>
      <w:r>
        <w:rPr>
          <w:noProof/>
        </w:rPr>
        <w:fldChar w:fldCharType="begin"/>
      </w:r>
      <w:r>
        <w:rPr>
          <w:noProof/>
        </w:rPr>
        <w:instrText xml:space="preserve"> PAGEREF _Toc393202314 \h </w:instrText>
      </w:r>
      <w:r>
        <w:rPr>
          <w:noProof/>
        </w:rPr>
      </w:r>
      <w:r>
        <w:rPr>
          <w:noProof/>
        </w:rPr>
        <w:fldChar w:fldCharType="separate"/>
      </w:r>
      <w:r w:rsidR="00CA6314">
        <w:rPr>
          <w:noProof/>
        </w:rPr>
        <w:t>16</w:t>
      </w:r>
      <w:r>
        <w:rPr>
          <w:noProof/>
        </w:rPr>
        <w:fldChar w:fldCharType="end"/>
      </w:r>
    </w:p>
    <w:p w:rsidR="00AE5306" w:rsidRDefault="00AE5306">
      <w:pPr>
        <w:pStyle w:val="TableofFigures"/>
        <w:rPr>
          <w:rFonts w:eastAsiaTheme="minorEastAsia" w:cstheme="minorBidi"/>
          <w:noProof/>
          <w:sz w:val="22"/>
          <w:szCs w:val="22"/>
        </w:rPr>
      </w:pPr>
      <w:r>
        <w:rPr>
          <w:noProof/>
        </w:rPr>
        <w:t>3.4</w:t>
      </w:r>
      <w:r>
        <w:rPr>
          <w:rFonts w:eastAsiaTheme="minorEastAsia" w:cstheme="minorBidi"/>
          <w:noProof/>
          <w:sz w:val="22"/>
          <w:szCs w:val="22"/>
        </w:rPr>
        <w:tab/>
      </w:r>
      <w:r>
        <w:rPr>
          <w:noProof/>
        </w:rPr>
        <w:t>Population projections for ACT statistical districts</w:t>
      </w:r>
      <w:r>
        <w:rPr>
          <w:noProof/>
        </w:rPr>
        <w:tab/>
      </w:r>
      <w:r>
        <w:rPr>
          <w:noProof/>
        </w:rPr>
        <w:fldChar w:fldCharType="begin"/>
      </w:r>
      <w:r>
        <w:rPr>
          <w:noProof/>
        </w:rPr>
        <w:instrText xml:space="preserve"> PAGEREF _Toc393202315 \h </w:instrText>
      </w:r>
      <w:r>
        <w:rPr>
          <w:noProof/>
        </w:rPr>
      </w:r>
      <w:r>
        <w:rPr>
          <w:noProof/>
        </w:rPr>
        <w:fldChar w:fldCharType="separate"/>
      </w:r>
      <w:r w:rsidR="00CA6314">
        <w:rPr>
          <w:noProof/>
        </w:rPr>
        <w:t>18</w:t>
      </w:r>
      <w:r>
        <w:rPr>
          <w:noProof/>
        </w:rPr>
        <w:fldChar w:fldCharType="end"/>
      </w:r>
    </w:p>
    <w:p w:rsidR="00796D3D" w:rsidRPr="00C778E9" w:rsidRDefault="00796D3D" w:rsidP="00EA7863">
      <w:pPr>
        <w:pStyle w:val="TableofFigures"/>
      </w:pPr>
      <w:r>
        <w:rPr>
          <w:b/>
          <w:bCs/>
          <w:noProof/>
          <w:lang w:val="en-US"/>
        </w:rPr>
        <w:fldChar w:fldCharType="end"/>
      </w:r>
    </w:p>
    <w:p w:rsidR="00796D3D" w:rsidRDefault="00796D3D" w:rsidP="00EA7863">
      <w:pPr>
        <w:pStyle w:val="Heading1"/>
        <w:numPr>
          <w:ilvl w:val="0"/>
          <w:numId w:val="0"/>
        </w:numPr>
        <w:sectPr w:rsidR="00796D3D" w:rsidSect="00EA7863">
          <w:headerReference w:type="even" r:id="rId18"/>
          <w:headerReference w:type="default" r:id="rId19"/>
          <w:footerReference w:type="even" r:id="rId20"/>
          <w:footerReference w:type="default" r:id="rId21"/>
          <w:pgSz w:w="11906" w:h="16838" w:code="9"/>
          <w:pgMar w:top="2268" w:right="1701" w:bottom="1418" w:left="2268" w:header="680" w:footer="680" w:gutter="0"/>
          <w:pgNumType w:fmt="lowerRoman"/>
          <w:cols w:space="708"/>
          <w:docGrid w:linePitch="360"/>
        </w:sectPr>
      </w:pPr>
    </w:p>
    <w:p w:rsidR="00796D3D" w:rsidRPr="00F51AF6" w:rsidRDefault="00796D3D" w:rsidP="00796D3D">
      <w:pPr>
        <w:pStyle w:val="Heading1"/>
      </w:pPr>
      <w:bookmarkStart w:id="1" w:name="_Toc392856619"/>
      <w:bookmarkStart w:id="2" w:name="_Toc393202270"/>
      <w:r>
        <w:t>Contribution of general rates and stamp duty to ACT taxation revenue</w:t>
      </w:r>
      <w:bookmarkEnd w:id="1"/>
      <w:bookmarkEnd w:id="2"/>
    </w:p>
    <w:p w:rsidR="00796D3D" w:rsidRPr="00A85504" w:rsidRDefault="00796D3D" w:rsidP="00796D3D">
      <w:pPr>
        <w:pStyle w:val="ChapterIntroduction"/>
        <w:pBdr>
          <w:bottom w:val="single" w:sz="4" w:space="5" w:color="9B917E" w:themeColor="accent4"/>
        </w:pBdr>
        <w:rPr>
          <w:color w:val="6F6652" w:themeColor="accent5"/>
        </w:rPr>
      </w:pPr>
      <w:r w:rsidRPr="00A85504">
        <w:rPr>
          <w:color w:val="6F6652" w:themeColor="accent5"/>
        </w:rPr>
        <w:t>In the 2012-13 Budget, the ACT Government announced that it would gradually replace taxation revenue from stamp duty and insurance duty with additional revenue from general rates</w:t>
      </w:r>
      <w:r w:rsidR="00986133">
        <w:rPr>
          <w:color w:val="6F6652" w:themeColor="accent5"/>
        </w:rPr>
        <w:t xml:space="preserve"> </w:t>
      </w:r>
      <w:r w:rsidRPr="00A85504">
        <w:rPr>
          <w:color w:val="6F6652" w:themeColor="accent5"/>
        </w:rPr>
        <w:t xml:space="preserve">to improve the equity and stability of the ACT taxation system. </w:t>
      </w:r>
    </w:p>
    <w:p w:rsidR="00B21AC4" w:rsidRDefault="00796D3D" w:rsidP="00796D3D">
      <w:pPr>
        <w:pStyle w:val="ChapterIntroduction"/>
        <w:pBdr>
          <w:bottom w:val="single" w:sz="4" w:space="5" w:color="9B917E" w:themeColor="accent4"/>
        </w:pBdr>
        <w:spacing w:before="0" w:after="120"/>
        <w:rPr>
          <w:color w:val="6F6652" w:themeColor="accent5"/>
        </w:rPr>
      </w:pPr>
      <w:r w:rsidRPr="00A85504">
        <w:rPr>
          <w:color w:val="6F6652" w:themeColor="accent5"/>
        </w:rPr>
        <w:t xml:space="preserve">Over the forward estimates period, </w:t>
      </w:r>
      <w:r w:rsidR="00986133">
        <w:rPr>
          <w:color w:val="6F6652" w:themeColor="accent5"/>
        </w:rPr>
        <w:t xml:space="preserve">part of this </w:t>
      </w:r>
      <w:r w:rsidR="00B21AC4">
        <w:rPr>
          <w:color w:val="6F6652" w:themeColor="accent5"/>
        </w:rPr>
        <w:t xml:space="preserve">switch is set to occur. </w:t>
      </w:r>
      <w:r w:rsidR="00986133">
        <w:rPr>
          <w:color w:val="6F6652" w:themeColor="accent5"/>
        </w:rPr>
        <w:t xml:space="preserve">Over </w:t>
      </w:r>
      <w:r w:rsidR="00D61FAA">
        <w:rPr>
          <w:color w:val="6F6652" w:themeColor="accent5"/>
        </w:rPr>
        <w:t>this</w:t>
      </w:r>
      <w:r w:rsidR="00986133">
        <w:rPr>
          <w:color w:val="6F6652" w:themeColor="accent5"/>
        </w:rPr>
        <w:t xml:space="preserve"> period, t</w:t>
      </w:r>
      <w:r w:rsidRPr="00A85504">
        <w:rPr>
          <w:color w:val="6F6652" w:themeColor="accent5"/>
        </w:rPr>
        <w:t xml:space="preserve">axation revenue from general rates </w:t>
      </w:r>
      <w:proofErr w:type="gramStart"/>
      <w:r w:rsidRPr="00A85504">
        <w:rPr>
          <w:color w:val="6F6652" w:themeColor="accent5"/>
        </w:rPr>
        <w:t>is expected</w:t>
      </w:r>
      <w:proofErr w:type="gramEnd"/>
      <w:r w:rsidRPr="00A85504">
        <w:rPr>
          <w:color w:val="6F6652" w:themeColor="accent5"/>
        </w:rPr>
        <w:t xml:space="preserve"> to increase </w:t>
      </w:r>
      <w:r w:rsidR="00B21AC4">
        <w:rPr>
          <w:color w:val="6F6652" w:themeColor="accent5"/>
        </w:rPr>
        <w:t xml:space="preserve">from </w:t>
      </w:r>
      <w:r w:rsidR="00986133">
        <w:rPr>
          <w:color w:val="6F6652" w:themeColor="accent5"/>
        </w:rPr>
        <w:t>25</w:t>
      </w:r>
      <w:r w:rsidR="00B21AC4">
        <w:rPr>
          <w:color w:val="6F6652" w:themeColor="accent5"/>
        </w:rPr>
        <w:t xml:space="preserve"> to 30 per cent of </w:t>
      </w:r>
      <w:r w:rsidRPr="00A85504">
        <w:rPr>
          <w:color w:val="6F6652" w:themeColor="accent5"/>
        </w:rPr>
        <w:t xml:space="preserve">taxation revenue. Income from stamp duty </w:t>
      </w:r>
      <w:r w:rsidR="00B21AC4">
        <w:rPr>
          <w:color w:val="6F6652" w:themeColor="accent5"/>
        </w:rPr>
        <w:t xml:space="preserve">will rise in dollar terms, but proportionally will fall from </w:t>
      </w:r>
      <w:r w:rsidR="00986133">
        <w:rPr>
          <w:color w:val="6F6652" w:themeColor="accent5"/>
        </w:rPr>
        <w:t>18</w:t>
      </w:r>
      <w:r w:rsidR="00B21AC4">
        <w:rPr>
          <w:color w:val="6F6652" w:themeColor="accent5"/>
        </w:rPr>
        <w:t xml:space="preserve"> to </w:t>
      </w:r>
      <w:r w:rsidRPr="00A85504">
        <w:rPr>
          <w:color w:val="6F6652" w:themeColor="accent5"/>
        </w:rPr>
        <w:t>around 15 per cent</w:t>
      </w:r>
      <w:r w:rsidR="00B21AC4">
        <w:rPr>
          <w:color w:val="6F6652" w:themeColor="accent5"/>
        </w:rPr>
        <w:t xml:space="preserve"> of taxation revenue</w:t>
      </w:r>
      <w:r w:rsidRPr="00A85504">
        <w:rPr>
          <w:color w:val="6F6652" w:themeColor="accent5"/>
        </w:rPr>
        <w:t xml:space="preserve">. </w:t>
      </w:r>
    </w:p>
    <w:p w:rsidR="00796D3D" w:rsidRDefault="00B21AC4" w:rsidP="00796D3D">
      <w:pPr>
        <w:pStyle w:val="ChapterIntroduction"/>
        <w:pBdr>
          <w:bottom w:val="single" w:sz="4" w:space="5" w:color="9B917E" w:themeColor="accent4"/>
        </w:pBdr>
        <w:spacing w:before="0" w:after="120"/>
        <w:rPr>
          <w:color w:val="6F6652" w:themeColor="accent5"/>
        </w:rPr>
      </w:pPr>
      <w:r>
        <w:rPr>
          <w:color w:val="6F6652" w:themeColor="accent5"/>
        </w:rPr>
        <w:t xml:space="preserve">The switch in revenue sources may impose a greater adjustment for lower income </w:t>
      </w:r>
      <w:r w:rsidR="00986133">
        <w:rPr>
          <w:color w:val="6F6652" w:themeColor="accent5"/>
        </w:rPr>
        <w:t>households</w:t>
      </w:r>
      <w:r>
        <w:rPr>
          <w:color w:val="6F6652" w:themeColor="accent5"/>
        </w:rPr>
        <w:t xml:space="preserve"> in particular</w:t>
      </w:r>
      <w:r w:rsidR="000E7F4B">
        <w:rPr>
          <w:color w:val="6F6652" w:themeColor="accent5"/>
        </w:rPr>
        <w:t>. As a result, the reform package announced in 2012-13 include</w:t>
      </w:r>
      <w:r w:rsidR="006E7284">
        <w:rPr>
          <w:color w:val="6F6652" w:themeColor="accent5"/>
        </w:rPr>
        <w:t>d</w:t>
      </w:r>
      <w:r w:rsidR="000E7F4B">
        <w:rPr>
          <w:color w:val="6F6652" w:themeColor="accent5"/>
        </w:rPr>
        <w:t xml:space="preserve"> a set </w:t>
      </w:r>
      <w:r w:rsidR="006E7284">
        <w:rPr>
          <w:color w:val="6F6652" w:themeColor="accent5"/>
        </w:rPr>
        <w:t>of assistance</w:t>
      </w:r>
      <w:r w:rsidR="000E7F4B">
        <w:rPr>
          <w:color w:val="6F6652" w:themeColor="accent5"/>
        </w:rPr>
        <w:t xml:space="preserve"> measures to </w:t>
      </w:r>
      <w:r w:rsidR="006E7284">
        <w:rPr>
          <w:color w:val="6F6652" w:themeColor="accent5"/>
        </w:rPr>
        <w:t>low-income households</w:t>
      </w:r>
      <w:r w:rsidR="000E7F4B">
        <w:rPr>
          <w:color w:val="6F6652" w:themeColor="accent5"/>
        </w:rPr>
        <w:t xml:space="preserve">. </w:t>
      </w:r>
      <w:r w:rsidR="0068051D">
        <w:rPr>
          <w:color w:val="6F6652" w:themeColor="accent5"/>
        </w:rPr>
        <w:t xml:space="preserve">For example, the current Rates Deferral Scheme </w:t>
      </w:r>
      <w:proofErr w:type="gramStart"/>
      <w:r w:rsidR="00D05CE8">
        <w:rPr>
          <w:color w:val="6F6652" w:themeColor="accent5"/>
        </w:rPr>
        <w:t>was expanded</w:t>
      </w:r>
      <w:proofErr w:type="gramEnd"/>
      <w:r w:rsidR="00D05CE8">
        <w:rPr>
          <w:color w:val="6F6652" w:themeColor="accent5"/>
        </w:rPr>
        <w:t xml:space="preserve"> to non-pensioners over 65 years of age. </w:t>
      </w:r>
    </w:p>
    <w:p w:rsidR="00796D3D" w:rsidRDefault="00796D3D" w:rsidP="00796D3D">
      <w:pPr>
        <w:pStyle w:val="Heading2"/>
      </w:pPr>
      <w:bookmarkStart w:id="3" w:name="_Toc392856620"/>
      <w:bookmarkStart w:id="4" w:name="_Toc393202271"/>
      <w:r>
        <w:t>Projected changes in the composition of tax revenue</w:t>
      </w:r>
      <w:bookmarkEnd w:id="3"/>
      <w:bookmarkEnd w:id="4"/>
      <w:r>
        <w:t xml:space="preserve"> </w:t>
      </w:r>
    </w:p>
    <w:p w:rsidR="00B21AC4" w:rsidRDefault="00796D3D" w:rsidP="00796D3D">
      <w:pPr>
        <w:pStyle w:val="BodyText"/>
        <w:rPr>
          <w:lang w:eastAsia="en-US"/>
        </w:rPr>
      </w:pPr>
      <w:r>
        <w:t xml:space="preserve">The Tax Reform Program announced in the 2012-13 Budget included a commitment </w:t>
      </w:r>
      <w:proofErr w:type="gramStart"/>
      <w:r>
        <w:t>to gradually replace</w:t>
      </w:r>
      <w:proofErr w:type="gramEnd"/>
      <w:r>
        <w:t xml:space="preserve"> taxation revenue from stamp duty and insurance duty with additional revenue from general rates. </w:t>
      </w:r>
      <w:r>
        <w:rPr>
          <w:lang w:eastAsia="en-US"/>
        </w:rPr>
        <w:t xml:space="preserve">In line with this commitment, taxation revenue from general rates </w:t>
      </w:r>
      <w:proofErr w:type="gramStart"/>
      <w:r>
        <w:rPr>
          <w:lang w:eastAsia="en-US"/>
        </w:rPr>
        <w:t>was projected</w:t>
      </w:r>
      <w:proofErr w:type="gramEnd"/>
      <w:r>
        <w:rPr>
          <w:lang w:eastAsia="en-US"/>
        </w:rPr>
        <w:t xml:space="preserve"> in the 2014-15 Budget to increase by 36.6 per cent over the forward estimates period to close to $520 million (see chart </w:t>
      </w:r>
      <w:r>
        <w:rPr>
          <w:lang w:eastAsia="en-US"/>
        </w:rPr>
        <w:fldChar w:fldCharType="begin"/>
      </w:r>
      <w:r>
        <w:rPr>
          <w:lang w:eastAsia="en-US"/>
        </w:rPr>
        <w:instrText xml:space="preserve"> REF _Caption7712 </w:instrText>
      </w:r>
      <w:r>
        <w:rPr>
          <w:lang w:eastAsia="en-US"/>
        </w:rPr>
        <w:fldChar w:fldCharType="separate"/>
      </w:r>
      <w:r w:rsidR="00CA6314">
        <w:rPr>
          <w:noProof/>
        </w:rPr>
        <w:t>1</w:t>
      </w:r>
      <w:r w:rsidR="00CA6314" w:rsidRPr="00695C93">
        <w:rPr>
          <w:noProof/>
        </w:rPr>
        <w:t>.</w:t>
      </w:r>
      <w:r w:rsidR="00CA6314">
        <w:rPr>
          <w:noProof/>
        </w:rPr>
        <w:t>1</w:t>
      </w:r>
      <w:r>
        <w:rPr>
          <w:lang w:eastAsia="en-US"/>
        </w:rPr>
        <w:fldChar w:fldCharType="end"/>
      </w:r>
      <w:r>
        <w:rPr>
          <w:lang w:eastAsia="en-US"/>
        </w:rPr>
        <w:t xml:space="preserve">). If this projection </w:t>
      </w:r>
      <w:proofErr w:type="gramStart"/>
      <w:r>
        <w:rPr>
          <w:lang w:eastAsia="en-US"/>
        </w:rPr>
        <w:t>is realised</w:t>
      </w:r>
      <w:proofErr w:type="gramEnd"/>
      <w:r>
        <w:rPr>
          <w:lang w:eastAsia="en-US"/>
        </w:rPr>
        <w:t xml:space="preserve">, income generated from general rates will represent over 30 per cent of taxation revenue by 2017-18 (see chart </w:t>
      </w:r>
      <w:r>
        <w:rPr>
          <w:lang w:eastAsia="en-US"/>
        </w:rPr>
        <w:fldChar w:fldCharType="begin"/>
      </w:r>
      <w:r>
        <w:rPr>
          <w:lang w:eastAsia="en-US"/>
        </w:rPr>
        <w:instrText xml:space="preserve"> REF _Caption8677 </w:instrText>
      </w:r>
      <w:r>
        <w:rPr>
          <w:lang w:eastAsia="en-US"/>
        </w:rPr>
        <w:fldChar w:fldCharType="separate"/>
      </w:r>
      <w:r w:rsidR="00CA6314">
        <w:rPr>
          <w:noProof/>
        </w:rPr>
        <w:t>1</w:t>
      </w:r>
      <w:r w:rsidR="00CA6314" w:rsidRPr="00695C93">
        <w:rPr>
          <w:noProof/>
        </w:rPr>
        <w:t>.</w:t>
      </w:r>
      <w:r w:rsidR="00CA6314">
        <w:rPr>
          <w:noProof/>
        </w:rPr>
        <w:t>2</w:t>
      </w:r>
      <w:r>
        <w:rPr>
          <w:lang w:eastAsia="en-US"/>
        </w:rPr>
        <w:fldChar w:fldCharType="end"/>
      </w:r>
      <w:r>
        <w:rPr>
          <w:lang w:eastAsia="en-US"/>
        </w:rPr>
        <w:t xml:space="preserve">). </w:t>
      </w:r>
    </w:p>
    <w:p w:rsidR="00796D3D" w:rsidRDefault="00796D3D" w:rsidP="00796D3D">
      <w:pPr>
        <w:pStyle w:val="BodyText"/>
        <w:rPr>
          <w:lang w:eastAsia="en-US"/>
        </w:rPr>
      </w:pPr>
      <w:r>
        <w:rPr>
          <w:lang w:eastAsia="en-US"/>
        </w:rPr>
        <w:t xml:space="preserve">These projections </w:t>
      </w:r>
      <w:proofErr w:type="gramStart"/>
      <w:r>
        <w:rPr>
          <w:lang w:eastAsia="en-US"/>
        </w:rPr>
        <w:t>are based</w:t>
      </w:r>
      <w:proofErr w:type="gramEnd"/>
      <w:r>
        <w:rPr>
          <w:lang w:eastAsia="en-US"/>
        </w:rPr>
        <w:t xml:space="preserve"> on increases in marginal tax rates and modest though positive growth in the number and price of residential and commercial properties. Growth in the number of residential properties in part reflects the ACT Government’s Land Release Program which includes a (reduced) sales target of  13 500 dwelling sites over the forward estimates period.  </w:t>
      </w:r>
    </w:p>
    <w:p w:rsidR="00BA7EC3" w:rsidRDefault="00BA7EC3" w:rsidP="00796D3D">
      <w:pPr>
        <w:pStyle w:val="BodyText"/>
        <w:rPr>
          <w:lang w:eastAsia="en-US"/>
        </w:rPr>
      </w:pPr>
    </w:p>
    <w:p w:rsidR="00796D3D" w:rsidRPr="00695C93"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1</w:instrText>
      </w:r>
      <w:r w:rsidRPr="00695C93">
        <w:fldChar w:fldCharType="end"/>
      </w:r>
      <w:r w:rsidRPr="00695C93">
        <w:instrText xml:space="preserve">" "" </w:instrText>
      </w:r>
      <w:r w:rsidRPr="00695C93">
        <w:fldChar w:fldCharType="separate"/>
      </w:r>
      <w:bookmarkStart w:id="5" w:name="_Caption1347"/>
      <w:bookmarkStart w:id="6" w:name="_Caption7712"/>
      <w:bookmarkStart w:id="7" w:name="_Caption9829"/>
      <w:bookmarkStart w:id="8" w:name="_Caption9214"/>
      <w:bookmarkStart w:id="9" w:name="_Caption7660"/>
      <w:bookmarkStart w:id="10" w:name="_Caption5622"/>
      <w:bookmarkStart w:id="11" w:name="_Caption0889"/>
      <w:bookmarkStart w:id="12" w:name="_Caption8510"/>
      <w:bookmarkStart w:id="13" w:name="_Caption2440"/>
      <w:bookmarkStart w:id="14" w:name="_Caption4560"/>
      <w:bookmarkStart w:id="15" w:name="_Caption9280"/>
      <w:bookmarkStart w:id="16" w:name="_Caption9862"/>
      <w:bookmarkStart w:id="17" w:name="_Caption9075"/>
      <w:bookmarkStart w:id="18" w:name="_Caption9381"/>
      <w:bookmarkStart w:id="19" w:name="_Caption1961"/>
      <w:bookmarkStart w:id="20" w:name="_Caption1849"/>
      <w:bookmarkStart w:id="21" w:name="_Toc392840252"/>
      <w:bookmarkStart w:id="22" w:name="_Toc393202301"/>
      <w:r w:rsidR="00CA6314">
        <w:rPr>
          <w:noProof/>
        </w:rPr>
        <w:t>1</w:t>
      </w:r>
      <w:r w:rsidR="00CA6314" w:rsidRPr="00695C93">
        <w:rPr>
          <w:noProof/>
        </w:rPr>
        <w:t>.</w:t>
      </w:r>
      <w:r w:rsidR="00CA6314">
        <w:rPr>
          <w:noProof/>
        </w:rPr>
        <w:t>1</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95C93">
        <w:fldChar w:fldCharType="end"/>
      </w:r>
      <w:r w:rsidRPr="00695C93">
        <w:tab/>
      </w:r>
      <w:r>
        <w:t>Projected change in revenue from stamp duty and general rates</w:t>
      </w:r>
      <w:bookmarkEnd w:id="21"/>
      <w:bookmarkEnd w:id="22"/>
      <w:r>
        <w:t xml:space="preserve">  </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firstRow="1" w:lastRow="0" w:firstColumn="1" w:lastColumn="0" w:noHBand="0" w:noVBand="1"/>
      </w:tblPr>
      <w:tblGrid>
        <w:gridCol w:w="7938"/>
      </w:tblGrid>
      <w:tr w:rsidR="00796D3D" w:rsidTr="00EA7863">
        <w:trPr>
          <w:cantSplit/>
        </w:trPr>
        <w:tc>
          <w:tcPr>
            <w:tcW w:w="7938" w:type="dxa"/>
            <w:shd w:val="clear" w:color="auto" w:fill="E9E8E5" w:themeFill="background2"/>
          </w:tcPr>
          <w:p w:rsidR="00796D3D" w:rsidRDefault="00911ACE" w:rsidP="00EA7863">
            <w:pPr>
              <w:pStyle w:val="Chart"/>
              <w:jc w:val="center"/>
            </w:pPr>
            <w:r>
              <w:rPr>
                <w:noProof/>
                <w:lang w:eastAsia="en-AU"/>
              </w:rPr>
              <w:drawing>
                <wp:inline distT="0" distB="0" distL="0" distR="0" wp14:anchorId="0344C6F8" wp14:editId="0091CEA5">
                  <wp:extent cx="4866005" cy="2528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66005" cy="2528570"/>
                          </a:xfrm>
                          <a:prstGeom prst="rect">
                            <a:avLst/>
                          </a:prstGeom>
                          <a:noFill/>
                          <a:ln>
                            <a:noFill/>
                          </a:ln>
                        </pic:spPr>
                      </pic:pic>
                    </a:graphicData>
                  </a:graphic>
                </wp:inline>
              </w:drawing>
            </w:r>
          </w:p>
        </w:tc>
      </w:tr>
    </w:tbl>
    <w:p w:rsidR="00796D3D" w:rsidRDefault="00796D3D" w:rsidP="00796D3D">
      <w:pPr>
        <w:pStyle w:val="Source"/>
      </w:pPr>
      <w:r>
        <w:rPr>
          <w:i/>
        </w:rPr>
        <w:t>Data source</w:t>
      </w:r>
      <w:r w:rsidRPr="00A67576">
        <w:rPr>
          <w:i/>
        </w:rPr>
        <w:t>:</w:t>
      </w:r>
      <w:r>
        <w:t xml:space="preserve"> ACT Budget Papers</w:t>
      </w:r>
    </w:p>
    <w:p w:rsidR="00796D3D" w:rsidRDefault="00796D3D" w:rsidP="00796D3D">
      <w:pPr>
        <w:pStyle w:val="BodyText"/>
        <w:spacing w:before="0"/>
        <w:rPr>
          <w:lang w:eastAsia="en-US"/>
        </w:rPr>
      </w:pPr>
    </w:p>
    <w:p w:rsidR="00796D3D" w:rsidRDefault="00796D3D" w:rsidP="00796D3D">
      <w:pPr>
        <w:pStyle w:val="BodyText"/>
        <w:spacing w:before="0"/>
        <w:rPr>
          <w:lang w:eastAsia="en-US"/>
        </w:rPr>
      </w:pPr>
      <w:r>
        <w:rPr>
          <w:lang w:eastAsia="en-US"/>
        </w:rPr>
        <w:t xml:space="preserve">Stamp duty revenue </w:t>
      </w:r>
      <w:proofErr w:type="gramStart"/>
      <w:r>
        <w:rPr>
          <w:lang w:eastAsia="en-US"/>
        </w:rPr>
        <w:t>is expected</w:t>
      </w:r>
      <w:proofErr w:type="gramEnd"/>
      <w:r>
        <w:rPr>
          <w:lang w:eastAsia="en-US"/>
        </w:rPr>
        <w:t xml:space="preserve"> to record more modest growth over the forward estimates period due gradual reductions in marginal tax rates. Taxation revenue from stamp duty </w:t>
      </w:r>
      <w:proofErr w:type="gramStart"/>
      <w:r>
        <w:rPr>
          <w:lang w:eastAsia="en-US"/>
        </w:rPr>
        <w:t>is projected</w:t>
      </w:r>
      <w:proofErr w:type="gramEnd"/>
      <w:r>
        <w:rPr>
          <w:lang w:eastAsia="en-US"/>
        </w:rPr>
        <w:t xml:space="preserve"> to increase by 16.5 per cent over the forward estimates period to close to $264 million (see chart </w:t>
      </w:r>
      <w:r>
        <w:rPr>
          <w:lang w:eastAsia="en-US"/>
        </w:rPr>
        <w:fldChar w:fldCharType="begin"/>
      </w:r>
      <w:r>
        <w:rPr>
          <w:lang w:eastAsia="en-US"/>
        </w:rPr>
        <w:instrText xml:space="preserve"> REF _Caption9214 </w:instrText>
      </w:r>
      <w:r>
        <w:rPr>
          <w:lang w:eastAsia="en-US"/>
        </w:rPr>
        <w:fldChar w:fldCharType="separate"/>
      </w:r>
      <w:r w:rsidR="00CA6314">
        <w:rPr>
          <w:noProof/>
        </w:rPr>
        <w:t>1</w:t>
      </w:r>
      <w:r w:rsidR="00CA6314" w:rsidRPr="00695C93">
        <w:rPr>
          <w:noProof/>
        </w:rPr>
        <w:t>.</w:t>
      </w:r>
      <w:r w:rsidR="00CA6314">
        <w:rPr>
          <w:noProof/>
        </w:rPr>
        <w:t>1</w:t>
      </w:r>
      <w:r>
        <w:rPr>
          <w:lang w:eastAsia="en-US"/>
        </w:rPr>
        <w:fldChar w:fldCharType="end"/>
      </w:r>
      <w:r>
        <w:rPr>
          <w:lang w:eastAsia="en-US"/>
        </w:rPr>
        <w:t xml:space="preserve">). If this projection is realised, stamp duty as a share of total taxation revenue will fall </w:t>
      </w:r>
      <w:proofErr w:type="gramStart"/>
      <w:r>
        <w:rPr>
          <w:lang w:eastAsia="en-US"/>
        </w:rPr>
        <w:t>to close to 15 per cent (see</w:t>
      </w:r>
      <w:proofErr w:type="gramEnd"/>
      <w:r>
        <w:rPr>
          <w:lang w:eastAsia="en-US"/>
        </w:rPr>
        <w:t xml:space="preserve"> chart </w:t>
      </w:r>
      <w:r>
        <w:rPr>
          <w:lang w:eastAsia="en-US"/>
        </w:rPr>
        <w:fldChar w:fldCharType="begin"/>
      </w:r>
      <w:r>
        <w:rPr>
          <w:lang w:eastAsia="en-US"/>
        </w:rPr>
        <w:instrText xml:space="preserve"> REF _Caption1361 </w:instrText>
      </w:r>
      <w:r>
        <w:rPr>
          <w:lang w:eastAsia="en-US"/>
        </w:rPr>
        <w:fldChar w:fldCharType="separate"/>
      </w:r>
      <w:r w:rsidR="00CA6314">
        <w:rPr>
          <w:noProof/>
        </w:rPr>
        <w:t>1</w:t>
      </w:r>
      <w:r w:rsidR="00CA6314" w:rsidRPr="00695C93">
        <w:rPr>
          <w:noProof/>
        </w:rPr>
        <w:t>.</w:t>
      </w:r>
      <w:r w:rsidR="00CA6314">
        <w:rPr>
          <w:noProof/>
        </w:rPr>
        <w:t>2</w:t>
      </w:r>
      <w:r>
        <w:rPr>
          <w:lang w:eastAsia="en-US"/>
        </w:rPr>
        <w:fldChar w:fldCharType="end"/>
      </w:r>
      <w:r>
        <w:rPr>
          <w:lang w:eastAsia="en-US"/>
        </w:rPr>
        <w:t xml:space="preserve">). These projections </w:t>
      </w:r>
      <w:proofErr w:type="gramStart"/>
      <w:r>
        <w:rPr>
          <w:lang w:eastAsia="en-US"/>
        </w:rPr>
        <w:t>are driven</w:t>
      </w:r>
      <w:proofErr w:type="gramEnd"/>
      <w:r>
        <w:rPr>
          <w:lang w:eastAsia="en-US"/>
        </w:rPr>
        <w:t xml:space="preserve"> by a gradual reduction in marginal tax rates</w:t>
      </w:r>
      <w:r w:rsidR="00707029">
        <w:rPr>
          <w:lang w:eastAsia="en-US"/>
        </w:rPr>
        <w:t>,</w:t>
      </w:r>
      <w:r>
        <w:rPr>
          <w:lang w:eastAsia="en-US"/>
        </w:rPr>
        <w:t xml:space="preserve"> which are offset by continued growth in the number and price of residential and commercial properties. </w:t>
      </w:r>
    </w:p>
    <w:p w:rsidR="00796D3D" w:rsidRPr="00695C93"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2</w:instrText>
      </w:r>
      <w:r w:rsidRPr="00695C93">
        <w:fldChar w:fldCharType="end"/>
      </w:r>
      <w:r w:rsidRPr="00695C93">
        <w:instrText xml:space="preserve">" "" </w:instrText>
      </w:r>
      <w:r w:rsidRPr="00695C93">
        <w:fldChar w:fldCharType="separate"/>
      </w:r>
      <w:bookmarkStart w:id="23" w:name="_Caption8649"/>
      <w:bookmarkStart w:id="24" w:name="_Caption8677"/>
      <w:bookmarkStart w:id="25" w:name="_Caption7677"/>
      <w:bookmarkStart w:id="26" w:name="_Caption1361"/>
      <w:bookmarkStart w:id="27" w:name="_Caption9430"/>
      <w:bookmarkStart w:id="28" w:name="_Caption4483"/>
      <w:bookmarkStart w:id="29" w:name="_Caption5611"/>
      <w:bookmarkStart w:id="30" w:name="_Caption6934"/>
      <w:bookmarkStart w:id="31" w:name="_Caption9643"/>
      <w:bookmarkStart w:id="32" w:name="_Caption8775"/>
      <w:bookmarkStart w:id="33" w:name="_Caption8118"/>
      <w:bookmarkStart w:id="34" w:name="_Caption3893"/>
      <w:bookmarkStart w:id="35" w:name="_Caption8549"/>
      <w:bookmarkStart w:id="36" w:name="_Caption4979"/>
      <w:bookmarkStart w:id="37" w:name="_Caption0017"/>
      <w:bookmarkStart w:id="38" w:name="_Toc392840253"/>
      <w:bookmarkStart w:id="39" w:name="_Toc393202302"/>
      <w:r w:rsidR="00CA6314">
        <w:rPr>
          <w:noProof/>
        </w:rPr>
        <w:t>1</w:t>
      </w:r>
      <w:r w:rsidR="00CA6314" w:rsidRPr="00695C93">
        <w:rPr>
          <w:noProof/>
        </w:rPr>
        <w:t>.</w:t>
      </w:r>
      <w:r w:rsidR="00CA6314">
        <w:rPr>
          <w:noProof/>
        </w:rPr>
        <w:t>2</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95C93">
        <w:fldChar w:fldCharType="end"/>
      </w:r>
      <w:r w:rsidRPr="00695C93">
        <w:tab/>
      </w:r>
      <w:r>
        <w:t>The contribution of stamp duty and general rates to taxation revenue</w:t>
      </w:r>
      <w:bookmarkEnd w:id="38"/>
      <w:bookmarkEnd w:id="39"/>
      <w:r>
        <w:t xml:space="preserve"> </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E8E5" w:themeFill="background2"/>
        <w:tblLayout w:type="fixed"/>
        <w:tblCellMar>
          <w:left w:w="0" w:type="dxa"/>
          <w:right w:w="0" w:type="dxa"/>
        </w:tblCellMar>
        <w:tblLook w:val="04A0" w:firstRow="1" w:lastRow="0" w:firstColumn="1" w:lastColumn="0" w:noHBand="0" w:noVBand="1"/>
      </w:tblPr>
      <w:tblGrid>
        <w:gridCol w:w="7938"/>
      </w:tblGrid>
      <w:tr w:rsidR="00796D3D" w:rsidTr="00EA7863">
        <w:trPr>
          <w:cantSplit/>
        </w:trPr>
        <w:tc>
          <w:tcPr>
            <w:tcW w:w="7938" w:type="dxa"/>
            <w:shd w:val="clear" w:color="auto" w:fill="E9E8E5" w:themeFill="background2"/>
          </w:tcPr>
          <w:p w:rsidR="00796D3D" w:rsidRDefault="00EA7863" w:rsidP="00EA7863">
            <w:pPr>
              <w:pStyle w:val="Chart"/>
              <w:jc w:val="center"/>
            </w:pPr>
            <w:r>
              <w:rPr>
                <w:noProof/>
                <w:lang w:eastAsia="en-AU"/>
              </w:rPr>
              <w:drawing>
                <wp:inline distT="0" distB="0" distL="0" distR="0" wp14:anchorId="74B14C68" wp14:editId="50CD3905">
                  <wp:extent cx="4858385" cy="2528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8385" cy="2528570"/>
                          </a:xfrm>
                          <a:prstGeom prst="rect">
                            <a:avLst/>
                          </a:prstGeom>
                          <a:noFill/>
                          <a:ln>
                            <a:noFill/>
                          </a:ln>
                        </pic:spPr>
                      </pic:pic>
                    </a:graphicData>
                  </a:graphic>
                </wp:inline>
              </w:drawing>
            </w:r>
          </w:p>
        </w:tc>
      </w:tr>
    </w:tbl>
    <w:p w:rsidR="00796D3D" w:rsidRDefault="00796D3D" w:rsidP="00796D3D">
      <w:pPr>
        <w:pStyle w:val="Source"/>
      </w:pPr>
      <w:r>
        <w:rPr>
          <w:i/>
        </w:rPr>
        <w:t>Data source</w:t>
      </w:r>
      <w:r w:rsidRPr="00A67576">
        <w:rPr>
          <w:i/>
        </w:rPr>
        <w:t>:</w:t>
      </w:r>
      <w:r>
        <w:t xml:space="preserve"> ACT Budget Papers</w:t>
      </w:r>
    </w:p>
    <w:p w:rsidR="00796D3D" w:rsidRDefault="00796D3D" w:rsidP="00796D3D">
      <w:pPr>
        <w:pStyle w:val="BodyText"/>
        <w:rPr>
          <w:rFonts w:eastAsiaTheme="minorHAnsi"/>
          <w:lang w:eastAsia="en-US"/>
        </w:rPr>
      </w:pPr>
      <w:r>
        <w:rPr>
          <w:rFonts w:eastAsiaTheme="minorHAnsi"/>
          <w:lang w:eastAsia="en-US"/>
        </w:rPr>
        <w:t xml:space="preserve">Table </w:t>
      </w:r>
      <w:r>
        <w:rPr>
          <w:rFonts w:eastAsiaTheme="minorHAnsi"/>
          <w:lang w:eastAsia="en-US"/>
        </w:rPr>
        <w:fldChar w:fldCharType="begin"/>
      </w:r>
      <w:r>
        <w:rPr>
          <w:rFonts w:eastAsiaTheme="minorHAnsi"/>
          <w:lang w:eastAsia="en-US"/>
        </w:rPr>
        <w:instrText xml:space="preserve"> REF _Caption5114 </w:instrText>
      </w:r>
      <w:r>
        <w:rPr>
          <w:rFonts w:eastAsiaTheme="minorHAnsi"/>
          <w:lang w:eastAsia="en-US"/>
        </w:rPr>
        <w:fldChar w:fldCharType="separate"/>
      </w:r>
      <w:r w:rsidR="00CA6314">
        <w:rPr>
          <w:noProof/>
        </w:rPr>
        <w:t>1</w:t>
      </w:r>
      <w:r w:rsidR="00CA6314" w:rsidRPr="00695C93">
        <w:rPr>
          <w:noProof/>
        </w:rPr>
        <w:t>.</w:t>
      </w:r>
      <w:r w:rsidR="00CA6314">
        <w:rPr>
          <w:noProof/>
        </w:rPr>
        <w:t>3</w:t>
      </w:r>
      <w:r>
        <w:rPr>
          <w:rFonts w:eastAsiaTheme="minorHAnsi"/>
          <w:lang w:eastAsia="en-US"/>
        </w:rPr>
        <w:fldChar w:fldCharType="end"/>
      </w:r>
      <w:r>
        <w:rPr>
          <w:rFonts w:eastAsiaTheme="minorHAnsi"/>
          <w:lang w:eastAsia="en-US"/>
        </w:rPr>
        <w:t xml:space="preserve"> below shows the future schedule of marginal tax rates for stamp duty.</w:t>
      </w:r>
      <w:r>
        <w:rPr>
          <w:rStyle w:val="FootnoteReference"/>
          <w:rFonts w:eastAsiaTheme="minorHAnsi"/>
          <w:lang w:eastAsia="en-US"/>
        </w:rPr>
        <w:footnoteReference w:id="1"/>
      </w:r>
      <w:r>
        <w:rPr>
          <w:rFonts w:eastAsiaTheme="minorHAnsi"/>
          <w:lang w:eastAsia="en-US"/>
        </w:rPr>
        <w:t xml:space="preserve"> This schedule implies that the stamp duty paid on a property purchased for $500 000 will fall by close to $7 000 (to $13 400) between 2011-12 and 2017-18. </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3</w:instrText>
      </w:r>
      <w:r w:rsidRPr="00695C93">
        <w:fldChar w:fldCharType="end"/>
      </w:r>
      <w:r w:rsidRPr="00695C93">
        <w:instrText xml:space="preserve">" "" </w:instrText>
      </w:r>
      <w:r w:rsidRPr="00695C93">
        <w:fldChar w:fldCharType="separate"/>
      </w:r>
      <w:bookmarkStart w:id="40" w:name="_Caption7856"/>
      <w:bookmarkStart w:id="41" w:name="_Caption5114"/>
      <w:bookmarkStart w:id="42" w:name="_Caption4920"/>
      <w:bookmarkStart w:id="43" w:name="_Caption3016"/>
      <w:bookmarkStart w:id="44" w:name="_Caption1256"/>
      <w:bookmarkStart w:id="45" w:name="_Caption0951"/>
      <w:bookmarkStart w:id="46" w:name="_Caption7634"/>
      <w:bookmarkStart w:id="47" w:name="_Caption6285"/>
      <w:bookmarkStart w:id="48" w:name="_Caption4291"/>
      <w:bookmarkStart w:id="49" w:name="_Caption0988"/>
      <w:bookmarkStart w:id="50" w:name="_Caption8845"/>
      <w:bookmarkStart w:id="51" w:name="_Caption9568"/>
      <w:bookmarkStart w:id="52" w:name="_Toc392840254"/>
      <w:bookmarkStart w:id="53" w:name="_Toc393202303"/>
      <w:r w:rsidR="00CA6314">
        <w:rPr>
          <w:noProof/>
        </w:rPr>
        <w:t>1</w:t>
      </w:r>
      <w:r w:rsidR="00CA6314" w:rsidRPr="00695C93">
        <w:rPr>
          <w:noProof/>
        </w:rPr>
        <w:t>.</w:t>
      </w:r>
      <w:r w:rsidR="00CA6314">
        <w:rPr>
          <w:noProof/>
        </w:rPr>
        <w:t>3</w:t>
      </w:r>
      <w:bookmarkEnd w:id="40"/>
      <w:bookmarkEnd w:id="41"/>
      <w:bookmarkEnd w:id="42"/>
      <w:bookmarkEnd w:id="43"/>
      <w:bookmarkEnd w:id="44"/>
      <w:bookmarkEnd w:id="45"/>
      <w:bookmarkEnd w:id="46"/>
      <w:bookmarkEnd w:id="47"/>
      <w:bookmarkEnd w:id="48"/>
      <w:bookmarkEnd w:id="49"/>
      <w:bookmarkEnd w:id="50"/>
      <w:bookmarkEnd w:id="51"/>
      <w:r w:rsidRPr="00695C93">
        <w:fldChar w:fldCharType="end"/>
      </w:r>
      <w:r w:rsidRPr="00695C93">
        <w:tab/>
      </w:r>
      <w:r>
        <w:t>Future schedule of stamp duty rates</w:t>
      </w:r>
      <w:bookmarkEnd w:id="52"/>
      <w:bookmarkEnd w:id="53"/>
      <w:r w:rsidRPr="00695C93">
        <w:tab/>
      </w:r>
    </w:p>
    <w:tbl>
      <w:tblPr>
        <w:tblW w:w="7938" w:type="dxa"/>
        <w:tblInd w:w="57" w:type="dxa"/>
        <w:tblLayout w:type="fixed"/>
        <w:tblLook w:val="0000" w:firstRow="0" w:lastRow="0" w:firstColumn="0" w:lastColumn="0" w:noHBand="0" w:noVBand="0"/>
      </w:tblPr>
      <w:tblGrid>
        <w:gridCol w:w="1130"/>
        <w:gridCol w:w="146"/>
        <w:gridCol w:w="425"/>
        <w:gridCol w:w="561"/>
        <w:gridCol w:w="1132"/>
        <w:gridCol w:w="1132"/>
        <w:gridCol w:w="1132"/>
        <w:gridCol w:w="1132"/>
        <w:gridCol w:w="1148"/>
      </w:tblGrid>
      <w:tr w:rsidR="00796D3D" w:rsidTr="00EA7863">
        <w:tc>
          <w:tcPr>
            <w:tcW w:w="1130" w:type="dxa"/>
            <w:shd w:val="clear" w:color="auto" w:fill="6F6652"/>
            <w:tcMar>
              <w:left w:w="57" w:type="dxa"/>
              <w:right w:w="57" w:type="dxa"/>
            </w:tcMar>
          </w:tcPr>
          <w:p w:rsidR="00796D3D" w:rsidRDefault="00796D3D" w:rsidP="00EA7863">
            <w:pPr>
              <w:pStyle w:val="TableDataColumnHeading"/>
              <w:jc w:val="left"/>
            </w:pPr>
            <w:r>
              <w:t xml:space="preserve">Threshold </w:t>
            </w:r>
          </w:p>
        </w:tc>
        <w:tc>
          <w:tcPr>
            <w:tcW w:w="1132" w:type="dxa"/>
            <w:gridSpan w:val="3"/>
            <w:shd w:val="clear" w:color="auto" w:fill="6F6652"/>
            <w:tcMar>
              <w:left w:w="57" w:type="dxa"/>
              <w:right w:w="57" w:type="dxa"/>
            </w:tcMar>
          </w:tcPr>
          <w:p w:rsidR="00796D3D" w:rsidRDefault="00796D3D" w:rsidP="00EA7863">
            <w:pPr>
              <w:pStyle w:val="TableDataColumnHeading"/>
            </w:pPr>
            <w:r>
              <w:t>2012-13</w:t>
            </w:r>
          </w:p>
        </w:tc>
        <w:tc>
          <w:tcPr>
            <w:tcW w:w="1132" w:type="dxa"/>
            <w:shd w:val="clear" w:color="auto" w:fill="6F6652"/>
            <w:tcMar>
              <w:left w:w="57" w:type="dxa"/>
              <w:right w:w="57" w:type="dxa"/>
            </w:tcMar>
          </w:tcPr>
          <w:p w:rsidR="00796D3D" w:rsidRDefault="00796D3D" w:rsidP="00EA7863">
            <w:pPr>
              <w:pStyle w:val="TableDataColumnHeading"/>
            </w:pPr>
            <w:r>
              <w:t>2013-14</w:t>
            </w:r>
          </w:p>
        </w:tc>
        <w:tc>
          <w:tcPr>
            <w:tcW w:w="1132" w:type="dxa"/>
            <w:shd w:val="clear" w:color="auto" w:fill="6F6652"/>
            <w:tcMar>
              <w:left w:w="57" w:type="dxa"/>
              <w:right w:w="57" w:type="dxa"/>
            </w:tcMar>
          </w:tcPr>
          <w:p w:rsidR="00796D3D" w:rsidRDefault="00796D3D" w:rsidP="00EA7863">
            <w:pPr>
              <w:pStyle w:val="TableDataColumnHeading"/>
            </w:pPr>
            <w:r>
              <w:t>2014-15</w:t>
            </w:r>
          </w:p>
        </w:tc>
        <w:tc>
          <w:tcPr>
            <w:tcW w:w="1132" w:type="dxa"/>
            <w:shd w:val="clear" w:color="auto" w:fill="6F6652"/>
            <w:tcMar>
              <w:left w:w="57" w:type="dxa"/>
              <w:right w:w="57" w:type="dxa"/>
            </w:tcMar>
          </w:tcPr>
          <w:p w:rsidR="00796D3D" w:rsidRDefault="00796D3D" w:rsidP="00EA7863">
            <w:pPr>
              <w:pStyle w:val="TableDataColumnHeading"/>
            </w:pPr>
            <w:r>
              <w:t>2015-16</w:t>
            </w:r>
          </w:p>
        </w:tc>
        <w:tc>
          <w:tcPr>
            <w:tcW w:w="1132" w:type="dxa"/>
            <w:shd w:val="clear" w:color="auto" w:fill="6F6652"/>
            <w:tcMar>
              <w:left w:w="57" w:type="dxa"/>
              <w:right w:w="57" w:type="dxa"/>
            </w:tcMar>
          </w:tcPr>
          <w:p w:rsidR="00796D3D" w:rsidRDefault="00796D3D" w:rsidP="00EA7863">
            <w:pPr>
              <w:pStyle w:val="TableDataColumnHeading"/>
            </w:pPr>
            <w:r>
              <w:t>2016-17</w:t>
            </w:r>
          </w:p>
        </w:tc>
        <w:tc>
          <w:tcPr>
            <w:tcW w:w="1148" w:type="dxa"/>
            <w:shd w:val="clear" w:color="auto" w:fill="6F6652"/>
          </w:tcPr>
          <w:p w:rsidR="00796D3D" w:rsidRDefault="00796D3D" w:rsidP="00EA7863">
            <w:pPr>
              <w:pStyle w:val="TableDataColumnHeading"/>
            </w:pPr>
            <w:r>
              <w:t>2017-18</w:t>
            </w:r>
          </w:p>
        </w:tc>
      </w:tr>
      <w:tr w:rsidR="00796D3D" w:rsidTr="00EA7863">
        <w:tc>
          <w:tcPr>
            <w:tcW w:w="1701" w:type="dxa"/>
            <w:gridSpan w:val="3"/>
            <w:tcBorders>
              <w:bottom w:val="single" w:sz="8" w:space="0" w:color="FFFFFF" w:themeColor="background1"/>
            </w:tcBorders>
            <w:shd w:val="clear" w:color="auto" w:fill="auto"/>
            <w:tcMar>
              <w:left w:w="57" w:type="dxa"/>
              <w:right w:w="57" w:type="dxa"/>
            </w:tcMar>
          </w:tcPr>
          <w:p w:rsidR="00796D3D" w:rsidRDefault="00796D3D" w:rsidP="00EA7863">
            <w:pPr>
              <w:pStyle w:val="TableDataEntries"/>
              <w:jc w:val="left"/>
            </w:pPr>
            <w:r>
              <w:t>Property value ($000)</w:t>
            </w:r>
          </w:p>
        </w:tc>
        <w:tc>
          <w:tcPr>
            <w:tcW w:w="561"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w:t>
            </w:r>
          </w:p>
        </w:tc>
        <w:tc>
          <w:tcPr>
            <w:tcW w:w="113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w:t>
            </w:r>
          </w:p>
        </w:tc>
        <w:tc>
          <w:tcPr>
            <w:tcW w:w="113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w:t>
            </w:r>
          </w:p>
        </w:tc>
        <w:tc>
          <w:tcPr>
            <w:tcW w:w="113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w:t>
            </w:r>
          </w:p>
        </w:tc>
        <w:tc>
          <w:tcPr>
            <w:tcW w:w="113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w:t>
            </w:r>
          </w:p>
        </w:tc>
        <w:tc>
          <w:tcPr>
            <w:tcW w:w="1148" w:type="dxa"/>
            <w:tcBorders>
              <w:bottom w:val="single" w:sz="8" w:space="0" w:color="FFFFFF" w:themeColor="background1"/>
            </w:tcBorders>
          </w:tcPr>
          <w:p w:rsidR="00796D3D" w:rsidRDefault="00796D3D" w:rsidP="00EA7863">
            <w:pPr>
              <w:pStyle w:val="TableDataEntries"/>
            </w:pPr>
            <w:r>
              <w:t>(%)</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Up to 200 </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2.40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2.20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1.80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1.48</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1.47</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200 to 300</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3.75</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3.70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2.50</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2.49</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300 to 500</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4.75</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4.15</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4.00</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3.99</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500 to 750</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5.00</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4.80</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750 to 1,000</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6.50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6.50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6.50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6.50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6.50</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6.00</w:t>
            </w:r>
          </w:p>
        </w:tc>
      </w:tr>
      <w:tr w:rsidR="00796D3D" w:rsidTr="00EA7863">
        <w:tc>
          <w:tcPr>
            <w:tcW w:w="127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1,000 to 1454</w:t>
            </w:r>
          </w:p>
        </w:tc>
        <w:tc>
          <w:tcPr>
            <w:tcW w:w="986"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7.25</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7.00</w:t>
            </w:r>
          </w:p>
        </w:tc>
        <w:tc>
          <w:tcPr>
            <w:tcW w:w="113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7.00</w:t>
            </w:r>
          </w:p>
        </w:tc>
        <w:tc>
          <w:tcPr>
            <w:tcW w:w="114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6.75</w:t>
            </w:r>
          </w:p>
        </w:tc>
      </w:tr>
      <w:tr w:rsidR="00796D3D" w:rsidTr="00EA7863">
        <w:tc>
          <w:tcPr>
            <w:tcW w:w="1276" w:type="dxa"/>
            <w:gridSpan w:val="2"/>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jc w:val="left"/>
            </w:pPr>
            <w:r>
              <w:t>1455 and above</w:t>
            </w:r>
          </w:p>
        </w:tc>
        <w:tc>
          <w:tcPr>
            <w:tcW w:w="986" w:type="dxa"/>
            <w:gridSpan w:val="2"/>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p>
        </w:tc>
        <w:tc>
          <w:tcPr>
            <w:tcW w:w="1132"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p>
        </w:tc>
        <w:tc>
          <w:tcPr>
            <w:tcW w:w="1132"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5.25</w:t>
            </w:r>
          </w:p>
        </w:tc>
        <w:tc>
          <w:tcPr>
            <w:tcW w:w="1132"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5.25</w:t>
            </w:r>
          </w:p>
        </w:tc>
        <w:tc>
          <w:tcPr>
            <w:tcW w:w="1132"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5.25</w:t>
            </w:r>
          </w:p>
        </w:tc>
        <w:tc>
          <w:tcPr>
            <w:tcW w:w="1148" w:type="dxa"/>
            <w:tcBorders>
              <w:top w:val="single" w:sz="8" w:space="0" w:color="FFFFFF" w:themeColor="background1"/>
              <w:bottom w:val="single" w:sz="6" w:space="0" w:color="6F6652"/>
            </w:tcBorders>
            <w:shd w:val="clear" w:color="auto" w:fill="E9E8E5" w:themeFill="background2"/>
          </w:tcPr>
          <w:p w:rsidR="00796D3D" w:rsidRDefault="00796D3D" w:rsidP="00EA7863">
            <w:pPr>
              <w:pStyle w:val="TableDataEntries"/>
            </w:pPr>
            <w:r>
              <w:t>5.25</w:t>
            </w:r>
          </w:p>
        </w:tc>
      </w:tr>
    </w:tbl>
    <w:p w:rsidR="00796D3D" w:rsidRDefault="00796D3D" w:rsidP="00796D3D">
      <w:pPr>
        <w:pStyle w:val="Source"/>
      </w:pPr>
      <w:r>
        <w:rPr>
          <w:i/>
        </w:rPr>
        <w:t>Source</w:t>
      </w:r>
      <w:r w:rsidRPr="00E4232C">
        <w:rPr>
          <w:i/>
        </w:rPr>
        <w:t>:</w:t>
      </w:r>
      <w:r>
        <w:t xml:space="preserve"> ACT Budget 2014-15 </w:t>
      </w:r>
    </w:p>
    <w:p w:rsidR="00796D3D" w:rsidRDefault="00796D3D" w:rsidP="00796D3D">
      <w:pPr>
        <w:pStyle w:val="Heading2"/>
      </w:pPr>
      <w:bookmarkStart w:id="54" w:name="_Toc392856621"/>
      <w:bookmarkStart w:id="55" w:name="_Toc393202272"/>
      <w:r>
        <w:t>Impact of tax reform on economic activity</w:t>
      </w:r>
      <w:bookmarkEnd w:id="54"/>
      <w:bookmarkEnd w:id="55"/>
    </w:p>
    <w:p w:rsidR="00796D3D" w:rsidRDefault="00796D3D" w:rsidP="00796D3D">
      <w:pPr>
        <w:pStyle w:val="BodyText"/>
        <w:rPr>
          <w:rFonts w:eastAsiaTheme="minorHAnsi"/>
          <w:lang w:eastAsia="en-US"/>
        </w:rPr>
      </w:pPr>
      <w:r>
        <w:rPr>
          <w:rFonts w:eastAsiaTheme="minorHAnsi"/>
          <w:lang w:eastAsia="en-US"/>
        </w:rPr>
        <w:t>While being revenue neutral</w:t>
      </w:r>
      <w:r>
        <w:rPr>
          <w:rStyle w:val="FootnoteReference"/>
          <w:rFonts w:eastAsiaTheme="minorHAnsi"/>
          <w:lang w:eastAsia="en-US"/>
        </w:rPr>
        <w:footnoteReference w:id="2"/>
      </w:r>
      <w:r>
        <w:rPr>
          <w:rFonts w:eastAsiaTheme="minorHAnsi"/>
          <w:lang w:eastAsia="en-US"/>
        </w:rPr>
        <w:t xml:space="preserve">, the replacement of revenue from conveyance duty with revenue from general rates will have both macroeconomic and distribution </w:t>
      </w:r>
      <w:proofErr w:type="gramStart"/>
      <w:r>
        <w:rPr>
          <w:rFonts w:eastAsiaTheme="minorHAnsi"/>
          <w:lang w:eastAsia="en-US"/>
        </w:rPr>
        <w:t>impacts</w:t>
      </w:r>
      <w:proofErr w:type="gramEnd"/>
      <w:r>
        <w:rPr>
          <w:rFonts w:eastAsiaTheme="minorHAnsi"/>
          <w:lang w:eastAsia="en-US"/>
        </w:rPr>
        <w:t xml:space="preserve"> for the ACT economy. </w:t>
      </w:r>
      <w:r w:rsidRPr="00B4576A">
        <w:rPr>
          <w:rFonts w:eastAsiaTheme="minorHAnsi"/>
          <w:lang w:eastAsia="en-US"/>
        </w:rPr>
        <w:t xml:space="preserve">Overall, </w:t>
      </w:r>
      <w:r>
        <w:rPr>
          <w:rFonts w:eastAsiaTheme="minorHAnsi"/>
          <w:lang w:eastAsia="en-US"/>
        </w:rPr>
        <w:t xml:space="preserve">this tax reform </w:t>
      </w:r>
      <w:proofErr w:type="gramStart"/>
      <w:r>
        <w:rPr>
          <w:rFonts w:eastAsiaTheme="minorHAnsi"/>
          <w:lang w:eastAsia="en-US"/>
        </w:rPr>
        <w:t>is expected</w:t>
      </w:r>
      <w:proofErr w:type="gramEnd"/>
      <w:r>
        <w:rPr>
          <w:rFonts w:eastAsiaTheme="minorHAnsi"/>
          <w:lang w:eastAsia="en-US"/>
        </w:rPr>
        <w:t xml:space="preserve"> to have a positive though modest impact on the tax base and the ACT economy. Perhaps more importantly, the tax reform will help to improve the equity and stability of the taxation system. </w:t>
      </w:r>
    </w:p>
    <w:p w:rsidR="00796D3D" w:rsidRDefault="00796D3D" w:rsidP="00796D3D">
      <w:pPr>
        <w:pStyle w:val="Heading3"/>
        <w:numPr>
          <w:ilvl w:val="0"/>
          <w:numId w:val="0"/>
        </w:numPr>
      </w:pPr>
      <w:r>
        <w:t xml:space="preserve">Macroeconomic impacts of shifting away from a conveyance duty </w:t>
      </w:r>
    </w:p>
    <w:p w:rsidR="00707029" w:rsidRDefault="00796D3D" w:rsidP="00796D3D">
      <w:pPr>
        <w:pStyle w:val="BodyText"/>
      </w:pPr>
      <w:r>
        <w:t xml:space="preserve">Modelling the macroeconomic impacts of replacing revenue from stamp duty with revenue from general rates for the ACT economy is beyond the scope of this report.  Academic literature can however be used to gauge the nature and scale of the impacts. </w:t>
      </w:r>
    </w:p>
    <w:p w:rsidR="00B21AC4" w:rsidRDefault="00796D3D" w:rsidP="00796D3D">
      <w:pPr>
        <w:pStyle w:val="BodyText"/>
      </w:pPr>
      <w:r>
        <w:t xml:space="preserve">In particular, the ACT Taxation Review 2012 included estimates of the economic impacts of shifting from conveyance duty to a broad base land tax – a similar scenario to the current tax reform. Shifting from a conveyance duty to a broad based land tax was estimated to increase real gross state product by $11.4 million (or 0.07% of overall gross state product) in year 5 of the transition and result in 57 additional jobs (table </w:t>
      </w:r>
      <w:r w:rsidR="000B204E">
        <w:fldChar w:fldCharType="begin"/>
      </w:r>
      <w:r w:rsidR="000B204E">
        <w:instrText xml:space="preserve"> REF _Caption3427 </w:instrText>
      </w:r>
      <w:r w:rsidR="000B204E">
        <w:fldChar w:fldCharType="separate"/>
      </w:r>
      <w:r w:rsidR="00CA6314">
        <w:rPr>
          <w:noProof/>
        </w:rPr>
        <w:t>1</w:t>
      </w:r>
      <w:r w:rsidR="00CA6314" w:rsidRPr="00695C93">
        <w:rPr>
          <w:noProof/>
        </w:rPr>
        <w:t>.</w:t>
      </w:r>
      <w:r w:rsidR="00CA6314">
        <w:rPr>
          <w:noProof/>
        </w:rPr>
        <w:t>4</w:t>
      </w:r>
      <w:r w:rsidR="000B204E">
        <w:rPr>
          <w:noProof/>
        </w:rPr>
        <w:fldChar w:fldCharType="end"/>
      </w:r>
      <w:r>
        <w:t xml:space="preserve">). </w:t>
      </w:r>
    </w:p>
    <w:p w:rsidR="00796D3D" w:rsidRDefault="00796D3D" w:rsidP="00796D3D">
      <w:pPr>
        <w:pStyle w:val="BodyText"/>
      </w:pPr>
      <w:r>
        <w:t>This additional income and employment reflects in part greater turnover of residential and commercial properties</w:t>
      </w:r>
      <w:r w:rsidR="00707029">
        <w:t>,</w:t>
      </w:r>
      <w:r>
        <w:t xml:space="preserve"> which will help to generate activity across a number of sectors including the property and business services sector.  </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4</w:instrText>
      </w:r>
      <w:r w:rsidRPr="00695C93">
        <w:fldChar w:fldCharType="end"/>
      </w:r>
      <w:r w:rsidRPr="00695C93">
        <w:instrText xml:space="preserve">" "" </w:instrText>
      </w:r>
      <w:r w:rsidRPr="00695C93">
        <w:fldChar w:fldCharType="separate"/>
      </w:r>
      <w:bookmarkStart w:id="56" w:name="_Caption4193"/>
      <w:bookmarkStart w:id="57" w:name="_Caption3427"/>
      <w:bookmarkStart w:id="58" w:name="_Caption2422"/>
      <w:bookmarkStart w:id="59" w:name="_Caption8142"/>
      <w:bookmarkStart w:id="60" w:name="_Caption7191"/>
      <w:bookmarkStart w:id="61" w:name="_Caption3712"/>
      <w:bookmarkStart w:id="62" w:name="_Caption9426"/>
      <w:bookmarkStart w:id="63" w:name="_Caption5499"/>
      <w:bookmarkStart w:id="64" w:name="_Caption9635"/>
      <w:bookmarkStart w:id="65" w:name="_Caption7164"/>
      <w:bookmarkStart w:id="66" w:name="_Caption4555"/>
      <w:bookmarkStart w:id="67" w:name="_Toc392840255"/>
      <w:bookmarkStart w:id="68" w:name="_Toc393202304"/>
      <w:r w:rsidR="00CA6314">
        <w:rPr>
          <w:noProof/>
        </w:rPr>
        <w:t>1</w:t>
      </w:r>
      <w:r w:rsidR="00CA6314" w:rsidRPr="00695C93">
        <w:rPr>
          <w:noProof/>
        </w:rPr>
        <w:t>.</w:t>
      </w:r>
      <w:r w:rsidR="00CA6314">
        <w:rPr>
          <w:noProof/>
        </w:rPr>
        <w:t>4</w:t>
      </w:r>
      <w:bookmarkEnd w:id="56"/>
      <w:bookmarkEnd w:id="57"/>
      <w:bookmarkEnd w:id="58"/>
      <w:bookmarkEnd w:id="59"/>
      <w:bookmarkEnd w:id="60"/>
      <w:bookmarkEnd w:id="61"/>
      <w:bookmarkEnd w:id="62"/>
      <w:bookmarkEnd w:id="63"/>
      <w:bookmarkEnd w:id="64"/>
      <w:bookmarkEnd w:id="65"/>
      <w:bookmarkEnd w:id="66"/>
      <w:r w:rsidRPr="00695C93">
        <w:fldChar w:fldCharType="end"/>
      </w:r>
      <w:r w:rsidRPr="00695C93">
        <w:tab/>
      </w:r>
      <w:r>
        <w:t>Economic impacts of shifting from conveyance duty to a broad base land tax</w:t>
      </w:r>
      <w:bookmarkEnd w:id="67"/>
      <w:bookmarkEnd w:id="68"/>
      <w:r>
        <w:t xml:space="preserve">  </w:t>
      </w:r>
    </w:p>
    <w:tbl>
      <w:tblPr>
        <w:tblW w:w="7938" w:type="dxa"/>
        <w:tblInd w:w="57" w:type="dxa"/>
        <w:tblLayout w:type="fixed"/>
        <w:tblLook w:val="0000" w:firstRow="0" w:lastRow="0" w:firstColumn="0" w:lastColumn="0" w:noHBand="0" w:noVBand="0"/>
      </w:tblPr>
      <w:tblGrid>
        <w:gridCol w:w="1560"/>
        <w:gridCol w:w="1610"/>
        <w:gridCol w:w="1575"/>
        <w:gridCol w:w="1575"/>
        <w:gridCol w:w="1618"/>
      </w:tblGrid>
      <w:tr w:rsidR="00796D3D" w:rsidTr="00EA7863">
        <w:tc>
          <w:tcPr>
            <w:tcW w:w="1560" w:type="dxa"/>
            <w:shd w:val="clear" w:color="auto" w:fill="6F6652"/>
            <w:tcMar>
              <w:left w:w="57" w:type="dxa"/>
              <w:right w:w="57" w:type="dxa"/>
            </w:tcMar>
          </w:tcPr>
          <w:p w:rsidR="00796D3D" w:rsidRDefault="00796D3D" w:rsidP="00EA7863">
            <w:pPr>
              <w:pStyle w:val="TableDataColumnHeading"/>
              <w:jc w:val="left"/>
            </w:pPr>
            <w:r>
              <w:t>Property value</w:t>
            </w:r>
          </w:p>
        </w:tc>
        <w:tc>
          <w:tcPr>
            <w:tcW w:w="1610" w:type="dxa"/>
            <w:shd w:val="clear" w:color="auto" w:fill="6F6652"/>
          </w:tcPr>
          <w:p w:rsidR="00796D3D" w:rsidRDefault="00796D3D" w:rsidP="00EA7863">
            <w:pPr>
              <w:pStyle w:val="TableDataColumnHeading"/>
            </w:pPr>
            <w:r>
              <w:t>Unit</w:t>
            </w:r>
          </w:p>
        </w:tc>
        <w:tc>
          <w:tcPr>
            <w:tcW w:w="1575" w:type="dxa"/>
            <w:shd w:val="clear" w:color="auto" w:fill="6F6652"/>
            <w:tcMar>
              <w:left w:w="57" w:type="dxa"/>
              <w:right w:w="57" w:type="dxa"/>
            </w:tcMar>
          </w:tcPr>
          <w:p w:rsidR="00796D3D" w:rsidRDefault="00796D3D" w:rsidP="00EA7863">
            <w:pPr>
              <w:pStyle w:val="TableDataColumnHeading"/>
            </w:pPr>
            <w:r>
              <w:t>Year 1</w:t>
            </w:r>
          </w:p>
        </w:tc>
        <w:tc>
          <w:tcPr>
            <w:tcW w:w="1575" w:type="dxa"/>
            <w:shd w:val="clear" w:color="auto" w:fill="6F6652"/>
            <w:tcMar>
              <w:left w:w="57" w:type="dxa"/>
              <w:right w:w="57" w:type="dxa"/>
            </w:tcMar>
          </w:tcPr>
          <w:p w:rsidR="00796D3D" w:rsidRDefault="00796D3D" w:rsidP="00EA7863">
            <w:pPr>
              <w:pStyle w:val="TableDataColumnHeading"/>
            </w:pPr>
            <w:r>
              <w:t>Year 5</w:t>
            </w:r>
          </w:p>
        </w:tc>
        <w:tc>
          <w:tcPr>
            <w:tcW w:w="1618" w:type="dxa"/>
            <w:shd w:val="clear" w:color="auto" w:fill="6F6652"/>
          </w:tcPr>
          <w:p w:rsidR="00796D3D" w:rsidRDefault="00796D3D" w:rsidP="00EA7863">
            <w:pPr>
              <w:pStyle w:val="TableDataColumnHeading"/>
            </w:pPr>
            <w:r>
              <w:t>Year 10</w:t>
            </w:r>
          </w:p>
        </w:tc>
      </w:tr>
      <w:tr w:rsidR="00796D3D" w:rsidTr="00EA7863">
        <w:tc>
          <w:tcPr>
            <w:tcW w:w="15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Real GSP </w:t>
            </w:r>
          </w:p>
        </w:tc>
        <w:tc>
          <w:tcPr>
            <w:tcW w:w="1610"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$million</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13.3</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11.4</w:t>
            </w:r>
          </w:p>
        </w:tc>
        <w:tc>
          <w:tcPr>
            <w:tcW w:w="161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8.0</w:t>
            </w:r>
          </w:p>
        </w:tc>
      </w:tr>
      <w:tr w:rsidR="00796D3D" w:rsidTr="00EA7863">
        <w:tc>
          <w:tcPr>
            <w:tcW w:w="15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Real GSP</w:t>
            </w:r>
          </w:p>
        </w:tc>
        <w:tc>
          <w:tcPr>
            <w:tcW w:w="1610"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0.07</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0.07</w:t>
            </w:r>
          </w:p>
        </w:tc>
        <w:tc>
          <w:tcPr>
            <w:tcW w:w="161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0.05</w:t>
            </w:r>
          </w:p>
        </w:tc>
      </w:tr>
      <w:tr w:rsidR="00796D3D" w:rsidTr="00EA7863">
        <w:tc>
          <w:tcPr>
            <w:tcW w:w="15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Real Consumption </w:t>
            </w:r>
          </w:p>
        </w:tc>
        <w:tc>
          <w:tcPr>
            <w:tcW w:w="1610"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$million</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11.9</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10.6</w:t>
            </w:r>
          </w:p>
        </w:tc>
        <w:tc>
          <w:tcPr>
            <w:tcW w:w="161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8.0</w:t>
            </w:r>
          </w:p>
        </w:tc>
      </w:tr>
      <w:tr w:rsidR="00796D3D" w:rsidTr="00EA7863">
        <w:tc>
          <w:tcPr>
            <w:tcW w:w="15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Real Consumption</w:t>
            </w:r>
          </w:p>
        </w:tc>
        <w:tc>
          <w:tcPr>
            <w:tcW w:w="1610"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0.11</w:t>
            </w:r>
          </w:p>
        </w:tc>
        <w:tc>
          <w:tcPr>
            <w:tcW w:w="157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0.09</w:t>
            </w:r>
          </w:p>
        </w:tc>
        <w:tc>
          <w:tcPr>
            <w:tcW w:w="1618"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0.08</w:t>
            </w:r>
          </w:p>
        </w:tc>
      </w:tr>
      <w:tr w:rsidR="00796D3D" w:rsidTr="00EA7863">
        <w:tc>
          <w:tcPr>
            <w:tcW w:w="1560"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jc w:val="left"/>
            </w:pPr>
            <w:r>
              <w:t xml:space="preserve">Employment </w:t>
            </w:r>
          </w:p>
        </w:tc>
        <w:tc>
          <w:tcPr>
            <w:tcW w:w="1610" w:type="dxa"/>
            <w:tcBorders>
              <w:top w:val="single" w:sz="8" w:space="0" w:color="FFFFFF" w:themeColor="background1"/>
              <w:bottom w:val="single" w:sz="6" w:space="0" w:color="6F6652"/>
            </w:tcBorders>
            <w:shd w:val="clear" w:color="auto" w:fill="E9E8E5" w:themeFill="background2"/>
          </w:tcPr>
          <w:p w:rsidR="00796D3D" w:rsidRDefault="00796D3D" w:rsidP="00EA7863">
            <w:pPr>
              <w:pStyle w:val="TableDataEntries"/>
            </w:pPr>
            <w:r>
              <w:t>(FTE)</w:t>
            </w:r>
          </w:p>
        </w:tc>
        <w:tc>
          <w:tcPr>
            <w:tcW w:w="1575"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77</w:t>
            </w:r>
          </w:p>
        </w:tc>
        <w:tc>
          <w:tcPr>
            <w:tcW w:w="1575"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57</w:t>
            </w:r>
          </w:p>
        </w:tc>
        <w:tc>
          <w:tcPr>
            <w:tcW w:w="1618" w:type="dxa"/>
            <w:tcBorders>
              <w:top w:val="single" w:sz="8" w:space="0" w:color="FFFFFF" w:themeColor="background1"/>
              <w:bottom w:val="single" w:sz="6" w:space="0" w:color="6F6652"/>
            </w:tcBorders>
            <w:shd w:val="clear" w:color="auto" w:fill="E9E8E5" w:themeFill="background2"/>
          </w:tcPr>
          <w:p w:rsidR="00796D3D" w:rsidRDefault="00796D3D" w:rsidP="00EA7863">
            <w:pPr>
              <w:pStyle w:val="TableDataEntries"/>
            </w:pPr>
            <w:r>
              <w:t>24</w:t>
            </w:r>
          </w:p>
        </w:tc>
      </w:tr>
    </w:tbl>
    <w:p w:rsidR="00796D3D" w:rsidRDefault="00796D3D" w:rsidP="00796D3D">
      <w:pPr>
        <w:pStyle w:val="Source"/>
      </w:pPr>
      <w:r>
        <w:rPr>
          <w:i/>
        </w:rPr>
        <w:t>Source</w:t>
      </w:r>
      <w:r w:rsidRPr="00E4232C">
        <w:rPr>
          <w:i/>
        </w:rPr>
        <w:t>:</w:t>
      </w:r>
      <w:r>
        <w:t xml:space="preserve"> ACT Taxation Review, 2012</w:t>
      </w:r>
    </w:p>
    <w:p w:rsidR="00B21AC4" w:rsidRDefault="00796D3D" w:rsidP="00796D3D">
      <w:pPr>
        <w:pStyle w:val="BodyText"/>
      </w:pPr>
      <w:proofErr w:type="gramStart"/>
      <w:r>
        <w:t>These positive though modest economic gains from replacing conveyance duty with a broad based land tax are consistent with a number of academic studies that have found that an increase in stamp duty reduces turnover in the residential housing market.</w:t>
      </w:r>
      <w:proofErr w:type="gramEnd"/>
      <w:r>
        <w:t xml:space="preserve">         </w:t>
      </w:r>
    </w:p>
    <w:p w:rsidR="00796D3D" w:rsidRDefault="00796D3D" w:rsidP="00796D3D">
      <w:pPr>
        <w:pStyle w:val="BodyText"/>
      </w:pPr>
      <w:r>
        <w:t xml:space="preserve">For example, </w:t>
      </w:r>
      <w:r w:rsidRPr="00696FA5">
        <w:rPr>
          <w:rFonts w:eastAsiaTheme="minorHAnsi"/>
          <w:lang w:eastAsia="en-US"/>
        </w:rPr>
        <w:t>Leigh (2009)</w:t>
      </w:r>
      <w:r>
        <w:rPr>
          <w:rStyle w:val="FootnoteReference"/>
          <w:rFonts w:eastAsiaTheme="minorHAnsi"/>
          <w:lang w:eastAsia="en-US"/>
        </w:rPr>
        <w:footnoteReference w:id="3"/>
      </w:r>
      <w:r w:rsidRPr="00696FA5">
        <w:rPr>
          <w:rFonts w:eastAsiaTheme="minorHAnsi"/>
          <w:lang w:eastAsia="en-US"/>
        </w:rPr>
        <w:t xml:space="preserve"> </w:t>
      </w:r>
      <w:r>
        <w:rPr>
          <w:rFonts w:eastAsiaTheme="minorHAnsi"/>
          <w:lang w:eastAsia="en-US"/>
        </w:rPr>
        <w:t xml:space="preserve">found that </w:t>
      </w:r>
      <w:r w:rsidRPr="00696FA5">
        <w:rPr>
          <w:rFonts w:eastAsiaTheme="minorHAnsi"/>
          <w:lang w:eastAsia="en-US"/>
        </w:rPr>
        <w:t xml:space="preserve">a 10 per cent increase in the level of stamp duty reduces the numbers of properties exchanged by 4–5 per cent if the increase </w:t>
      </w:r>
      <w:proofErr w:type="gramStart"/>
      <w:r w:rsidRPr="00696FA5">
        <w:rPr>
          <w:rFonts w:eastAsiaTheme="minorHAnsi"/>
          <w:lang w:eastAsia="en-US"/>
        </w:rPr>
        <w:t>is sustained</w:t>
      </w:r>
      <w:proofErr w:type="gramEnd"/>
      <w:r w:rsidRPr="00696FA5">
        <w:rPr>
          <w:rFonts w:eastAsiaTheme="minorHAnsi"/>
          <w:lang w:eastAsia="en-US"/>
        </w:rPr>
        <w:t xml:space="preserve"> over a three-year period.</w:t>
      </w:r>
    </w:p>
    <w:p w:rsidR="00796D3D" w:rsidRDefault="00796D3D" w:rsidP="00796D3D">
      <w:pPr>
        <w:pStyle w:val="Heading3"/>
      </w:pPr>
      <w:r>
        <w:t xml:space="preserve">Change in cost of living </w:t>
      </w:r>
    </w:p>
    <w:p w:rsidR="006E7284" w:rsidRDefault="00796D3D" w:rsidP="00796D3D">
      <w:pPr>
        <w:pStyle w:val="BodyText"/>
      </w:pPr>
      <w:r>
        <w:rPr>
          <w:rFonts w:eastAsiaTheme="minorHAnsi"/>
          <w:lang w:eastAsia="en-US"/>
        </w:rPr>
        <w:t>The replacement of revenue from conveyance duty with revenue from general rates</w:t>
      </w:r>
      <w:r>
        <w:t xml:space="preserve"> will clearly increase the cost of living for a number of ACT homeowners. Estimating the change in the level of general rates payed by ACT households over the forward estimates period is difficult </w:t>
      </w:r>
      <w:proofErr w:type="gramStart"/>
      <w:r>
        <w:t>due to the fact that</w:t>
      </w:r>
      <w:proofErr w:type="gramEnd"/>
      <w:r>
        <w:t xml:space="preserve"> the ACT Government has not released a future schedule of marginal general rates. Between 2012-13 and 2014-15 the level of general rates payed on a property valued at $450 000 has increased by $300. The long transition period flagged by the ACT Government implies that the total increase in general rates is likely increase further. </w:t>
      </w:r>
    </w:p>
    <w:p w:rsidR="00796D3D" w:rsidRDefault="00796D3D" w:rsidP="00796D3D">
      <w:pPr>
        <w:pStyle w:val="BodyText"/>
      </w:pPr>
      <w:r>
        <w:t>Given the anticipate change in the level of general rates over the forward estimates period and beyond,</w:t>
      </w:r>
      <w:r w:rsidR="006E7284" w:rsidRPr="006E7284">
        <w:t xml:space="preserve"> the reform package announced in 2012-13 included a set of assistance measures to low-income households. For example, the current Rates Deferral Scheme </w:t>
      </w:r>
      <w:proofErr w:type="gramStart"/>
      <w:r w:rsidR="006E7284" w:rsidRPr="006E7284">
        <w:t>was expanded</w:t>
      </w:r>
      <w:proofErr w:type="gramEnd"/>
      <w:r w:rsidR="006E7284" w:rsidRPr="006E7284">
        <w:t xml:space="preserve"> to non-pensioners over 65 years of age.</w:t>
      </w:r>
      <w:r w:rsidR="006E7284">
        <w:t xml:space="preserve"> </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5</w:instrText>
      </w:r>
      <w:r w:rsidRPr="00695C93">
        <w:fldChar w:fldCharType="end"/>
      </w:r>
      <w:r w:rsidRPr="00695C93">
        <w:instrText xml:space="preserve">" "" </w:instrText>
      </w:r>
      <w:r w:rsidRPr="00695C93">
        <w:fldChar w:fldCharType="separate"/>
      </w:r>
      <w:bookmarkStart w:id="69" w:name="_Caption6779"/>
      <w:bookmarkStart w:id="70" w:name="_Caption0038"/>
      <w:bookmarkStart w:id="71" w:name="_Caption3130"/>
      <w:bookmarkStart w:id="72" w:name="_Caption9257"/>
      <w:bookmarkStart w:id="73" w:name="_Caption1902"/>
      <w:bookmarkStart w:id="74" w:name="_Caption5685"/>
      <w:bookmarkStart w:id="75" w:name="_Caption8500"/>
      <w:bookmarkStart w:id="76" w:name="_Caption2385"/>
      <w:bookmarkStart w:id="77" w:name="_Caption8947"/>
      <w:bookmarkStart w:id="78" w:name="_Caption4780"/>
      <w:bookmarkStart w:id="79" w:name="_Toc392840256"/>
      <w:bookmarkStart w:id="80" w:name="_Toc393202305"/>
      <w:r w:rsidR="00CA6314">
        <w:rPr>
          <w:noProof/>
        </w:rPr>
        <w:t>1</w:t>
      </w:r>
      <w:r w:rsidR="00CA6314" w:rsidRPr="00695C93">
        <w:rPr>
          <w:noProof/>
        </w:rPr>
        <w:t>.</w:t>
      </w:r>
      <w:r w:rsidR="00CA6314">
        <w:rPr>
          <w:noProof/>
        </w:rPr>
        <w:t>5</w:t>
      </w:r>
      <w:bookmarkEnd w:id="69"/>
      <w:bookmarkEnd w:id="70"/>
      <w:bookmarkEnd w:id="71"/>
      <w:bookmarkEnd w:id="72"/>
      <w:bookmarkEnd w:id="73"/>
      <w:bookmarkEnd w:id="74"/>
      <w:bookmarkEnd w:id="75"/>
      <w:bookmarkEnd w:id="76"/>
      <w:bookmarkEnd w:id="77"/>
      <w:bookmarkEnd w:id="78"/>
      <w:r w:rsidRPr="00695C93">
        <w:fldChar w:fldCharType="end"/>
      </w:r>
      <w:r w:rsidRPr="00695C93">
        <w:tab/>
      </w:r>
      <w:r>
        <w:t>Residential general rates</w:t>
      </w:r>
      <w:bookmarkEnd w:id="79"/>
      <w:bookmarkEnd w:id="80"/>
      <w:r>
        <w:t xml:space="preserve">  </w:t>
      </w:r>
    </w:p>
    <w:tbl>
      <w:tblPr>
        <w:tblW w:w="0" w:type="auto"/>
        <w:tblInd w:w="57" w:type="dxa"/>
        <w:tblLayout w:type="fixed"/>
        <w:tblLook w:val="0000" w:firstRow="0" w:lastRow="0" w:firstColumn="0" w:lastColumn="0" w:noHBand="0" w:noVBand="0"/>
      </w:tblPr>
      <w:tblGrid>
        <w:gridCol w:w="2645"/>
        <w:gridCol w:w="2646"/>
        <w:gridCol w:w="2646"/>
      </w:tblGrid>
      <w:tr w:rsidR="00796D3D" w:rsidTr="00EA7863">
        <w:tc>
          <w:tcPr>
            <w:tcW w:w="2645" w:type="dxa"/>
            <w:shd w:val="clear" w:color="auto" w:fill="6F6652"/>
            <w:tcMar>
              <w:left w:w="57" w:type="dxa"/>
              <w:right w:w="57" w:type="dxa"/>
            </w:tcMar>
          </w:tcPr>
          <w:p w:rsidR="00796D3D" w:rsidRDefault="00796D3D" w:rsidP="00EA7863">
            <w:pPr>
              <w:pStyle w:val="TableDataColumnHeading"/>
              <w:jc w:val="left"/>
            </w:pPr>
            <w:r>
              <w:t>Property value</w:t>
            </w:r>
          </w:p>
        </w:tc>
        <w:tc>
          <w:tcPr>
            <w:tcW w:w="2646" w:type="dxa"/>
            <w:shd w:val="clear" w:color="auto" w:fill="6F6652"/>
            <w:tcMar>
              <w:left w:w="57" w:type="dxa"/>
              <w:right w:w="57" w:type="dxa"/>
            </w:tcMar>
          </w:tcPr>
          <w:p w:rsidR="00796D3D" w:rsidRDefault="00796D3D" w:rsidP="00EA7863">
            <w:pPr>
              <w:pStyle w:val="TableDataColumnHeading"/>
            </w:pPr>
            <w:r>
              <w:t>2012-13 duty payable</w:t>
            </w:r>
          </w:p>
        </w:tc>
        <w:tc>
          <w:tcPr>
            <w:tcW w:w="2646" w:type="dxa"/>
            <w:shd w:val="clear" w:color="auto" w:fill="6F6652"/>
            <w:tcMar>
              <w:left w:w="57" w:type="dxa"/>
              <w:right w:w="57" w:type="dxa"/>
            </w:tcMar>
          </w:tcPr>
          <w:p w:rsidR="00796D3D" w:rsidRDefault="00796D3D" w:rsidP="00EA7863">
            <w:pPr>
              <w:pStyle w:val="TableDataColumnHeading"/>
            </w:pPr>
            <w:r>
              <w:t>2014-15 duty payable</w:t>
            </w:r>
          </w:p>
        </w:tc>
      </w:tr>
      <w:tr w:rsidR="00796D3D" w:rsidTr="00EA7863">
        <w:tc>
          <w:tcPr>
            <w:tcW w:w="2645"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jc w:val="left"/>
            </w:pPr>
            <w:r>
              <w:t>($000)</w:t>
            </w:r>
          </w:p>
        </w:tc>
        <w:tc>
          <w:tcPr>
            <w:tcW w:w="2646"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($000)</w:t>
            </w:r>
          </w:p>
        </w:tc>
        <w:tc>
          <w:tcPr>
            <w:tcW w:w="2646"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($000)</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796D3D" w:rsidRPr="001300C9" w:rsidRDefault="00796D3D" w:rsidP="00EA7863">
            <w:pPr>
              <w:pStyle w:val="TableDataEntries"/>
              <w:jc w:val="left"/>
            </w:pPr>
            <w:r w:rsidRPr="001300C9">
              <w:t>150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0.9</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Pr="00070357" w:rsidRDefault="00796D3D" w:rsidP="00EA7863">
            <w:pPr>
              <w:pStyle w:val="TableDataEntries"/>
            </w:pPr>
            <w:r w:rsidRPr="00070357">
              <w:t>1.1</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796D3D" w:rsidRPr="001300C9" w:rsidRDefault="00796D3D" w:rsidP="00EA7863">
            <w:pPr>
              <w:pStyle w:val="TableDataEntries"/>
              <w:jc w:val="left"/>
            </w:pPr>
            <w:r w:rsidRPr="001300C9">
              <w:t>300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1.4</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Pr="00070357" w:rsidRDefault="00796D3D" w:rsidP="00EA7863">
            <w:pPr>
              <w:pStyle w:val="TableDataEntries"/>
            </w:pPr>
            <w:r w:rsidRPr="00070357">
              <w:t>1.6</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bottom"/>
          </w:tcPr>
          <w:p w:rsidR="00796D3D" w:rsidRPr="001300C9" w:rsidRDefault="00796D3D" w:rsidP="00EA7863">
            <w:pPr>
              <w:pStyle w:val="TableDataEntries"/>
              <w:jc w:val="left"/>
            </w:pPr>
            <w:r w:rsidRPr="001300C9">
              <w:t>450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1.9</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Pr="00070357" w:rsidRDefault="00796D3D" w:rsidP="00EA7863">
            <w:pPr>
              <w:pStyle w:val="TableDataEntries"/>
            </w:pPr>
            <w:r w:rsidRPr="00070357">
              <w:t>2.2</w:t>
            </w:r>
          </w:p>
        </w:tc>
      </w:tr>
      <w:tr w:rsidR="00796D3D" w:rsidTr="00EA7863">
        <w:tc>
          <w:tcPr>
            <w:tcW w:w="2645" w:type="dxa"/>
            <w:tcBorders>
              <w:top w:val="single" w:sz="8" w:space="0" w:color="FFFFFF" w:themeColor="background1"/>
              <w:bottom w:val="single" w:sz="6" w:space="0" w:color="6F6652"/>
            </w:tcBorders>
            <w:shd w:val="clear" w:color="auto" w:fill="E9E8E5" w:themeFill="background2"/>
            <w:tcMar>
              <w:left w:w="57" w:type="dxa"/>
              <w:right w:w="57" w:type="dxa"/>
            </w:tcMar>
            <w:vAlign w:val="bottom"/>
          </w:tcPr>
          <w:p w:rsidR="00796D3D" w:rsidRPr="001300C9" w:rsidRDefault="00796D3D" w:rsidP="00EA7863">
            <w:pPr>
              <w:pStyle w:val="TableDataEntries"/>
              <w:jc w:val="left"/>
            </w:pPr>
            <w:r w:rsidRPr="001300C9">
              <w:t>1000</w:t>
            </w:r>
          </w:p>
        </w:tc>
        <w:tc>
          <w:tcPr>
            <w:tcW w:w="2646"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4.2</w:t>
            </w:r>
          </w:p>
        </w:tc>
        <w:tc>
          <w:tcPr>
            <w:tcW w:w="2646" w:type="dxa"/>
            <w:tcBorders>
              <w:top w:val="single" w:sz="8" w:space="0" w:color="FFFFFF" w:themeColor="background1"/>
              <w:bottom w:val="single" w:sz="6" w:space="0" w:color="6F6652"/>
            </w:tcBorders>
            <w:shd w:val="clear" w:color="auto" w:fill="E9E8E5" w:themeFill="background2"/>
            <w:tcMar>
              <w:left w:w="57" w:type="dxa"/>
              <w:right w:w="57" w:type="dxa"/>
            </w:tcMar>
            <w:vAlign w:val="center"/>
          </w:tcPr>
          <w:p w:rsidR="00796D3D" w:rsidRPr="00070357" w:rsidRDefault="00796D3D" w:rsidP="00EA7863">
            <w:pPr>
              <w:pStyle w:val="TableDataEntries"/>
            </w:pPr>
            <w:r w:rsidRPr="00070357">
              <w:t>4.9</w:t>
            </w:r>
          </w:p>
        </w:tc>
      </w:tr>
    </w:tbl>
    <w:p w:rsidR="00796D3D" w:rsidRDefault="00796D3D" w:rsidP="00796D3D">
      <w:pPr>
        <w:pStyle w:val="Source"/>
      </w:pPr>
      <w:r>
        <w:rPr>
          <w:i/>
        </w:rPr>
        <w:t>Source</w:t>
      </w:r>
      <w:r w:rsidRPr="00E4232C">
        <w:rPr>
          <w:i/>
        </w:rPr>
        <w:t>:</w:t>
      </w:r>
      <w:r>
        <w:t xml:space="preserve"> ACT Budget Papers</w:t>
      </w:r>
    </w:p>
    <w:p w:rsidR="00796D3D" w:rsidRPr="00AC751B" w:rsidRDefault="00796D3D" w:rsidP="00796D3D">
      <w:pPr>
        <w:pStyle w:val="Heading3"/>
      </w:pPr>
      <w:r>
        <w:t xml:space="preserve">Change in stamp duty rates payable </w:t>
      </w:r>
    </w:p>
    <w:p w:rsidR="00796D3D" w:rsidRDefault="00796D3D" w:rsidP="00796D3D">
      <w:pPr>
        <w:pStyle w:val="BodyText"/>
        <w:rPr>
          <w:lang w:eastAsia="en-US"/>
        </w:rPr>
      </w:pPr>
      <w:r>
        <w:rPr>
          <w:lang w:eastAsia="en-US"/>
        </w:rPr>
        <w:t xml:space="preserve">Table </w:t>
      </w:r>
      <w:r>
        <w:rPr>
          <w:lang w:eastAsia="en-US"/>
        </w:rPr>
        <w:fldChar w:fldCharType="begin"/>
      </w:r>
      <w:r>
        <w:rPr>
          <w:lang w:eastAsia="en-US"/>
        </w:rPr>
        <w:instrText xml:space="preserve"> REF _Caption8046 </w:instrText>
      </w:r>
      <w:r>
        <w:rPr>
          <w:lang w:eastAsia="en-US"/>
        </w:rPr>
        <w:fldChar w:fldCharType="separate"/>
      </w:r>
      <w:r w:rsidR="00CA6314">
        <w:rPr>
          <w:noProof/>
        </w:rPr>
        <w:t>1</w:t>
      </w:r>
      <w:r w:rsidR="00CA6314" w:rsidRPr="00695C93">
        <w:rPr>
          <w:noProof/>
        </w:rPr>
        <w:t>.</w:t>
      </w:r>
      <w:r w:rsidR="00CA6314">
        <w:rPr>
          <w:noProof/>
        </w:rPr>
        <w:t>6</w:t>
      </w:r>
      <w:r>
        <w:rPr>
          <w:lang w:eastAsia="en-US"/>
        </w:rPr>
        <w:fldChar w:fldCharType="end"/>
      </w:r>
      <w:r>
        <w:rPr>
          <w:lang w:eastAsia="en-US"/>
        </w:rPr>
        <w:t xml:space="preserve"> below illustrates the impact of the </w:t>
      </w:r>
      <w:proofErr w:type="gramStart"/>
      <w:r>
        <w:rPr>
          <w:lang w:eastAsia="en-US"/>
        </w:rPr>
        <w:t>future stamp duty schedule</w:t>
      </w:r>
      <w:proofErr w:type="gramEnd"/>
      <w:r>
        <w:rPr>
          <w:lang w:eastAsia="en-US"/>
        </w:rPr>
        <w:t xml:space="preserve"> on the stamp duty paid by homebuyers. </w:t>
      </w:r>
    </w:p>
    <w:p w:rsidR="00796D3D" w:rsidRDefault="00796D3D" w:rsidP="00796D3D">
      <w:pPr>
        <w:pStyle w:val="BodyText"/>
        <w:rPr>
          <w:lang w:eastAsia="en-US"/>
        </w:rPr>
      </w:pPr>
      <w:r>
        <w:rPr>
          <w:lang w:eastAsia="en-US"/>
        </w:rPr>
        <w:t>As mentioned above, t</w:t>
      </w:r>
      <w:r>
        <w:rPr>
          <w:rFonts w:eastAsiaTheme="minorHAnsi"/>
          <w:lang w:eastAsia="en-US"/>
        </w:rPr>
        <w:t>he stamp duty paid on a property purchased for $500 000 will fall by close to 35 per cent between 2011-12 and 2017-18. The findings of Leigh (2009) suggest that this fall in stamp duty may increase the level of transactions by between       10 to 15 per cent.</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6</w:instrText>
      </w:r>
      <w:r w:rsidRPr="00695C93">
        <w:fldChar w:fldCharType="end"/>
      </w:r>
      <w:r w:rsidRPr="00695C93">
        <w:instrText xml:space="preserve">" "" </w:instrText>
      </w:r>
      <w:r w:rsidRPr="00695C93">
        <w:fldChar w:fldCharType="separate"/>
      </w:r>
      <w:bookmarkStart w:id="81" w:name="_Caption5058"/>
      <w:bookmarkStart w:id="82" w:name="_Caption8046"/>
      <w:bookmarkStart w:id="83" w:name="_Caption9411"/>
      <w:bookmarkStart w:id="84" w:name="_Caption7066"/>
      <w:bookmarkStart w:id="85" w:name="_Caption8714"/>
      <w:bookmarkStart w:id="86" w:name="_Caption3396"/>
      <w:bookmarkStart w:id="87" w:name="_Caption3118"/>
      <w:bookmarkStart w:id="88" w:name="_Caption8209"/>
      <w:bookmarkStart w:id="89" w:name="_Caption4218"/>
      <w:bookmarkStart w:id="90" w:name="_Caption9500"/>
      <w:bookmarkStart w:id="91" w:name="_Toc392840257"/>
      <w:bookmarkStart w:id="92" w:name="_Toc393202306"/>
      <w:r w:rsidR="00CA6314">
        <w:rPr>
          <w:noProof/>
        </w:rPr>
        <w:t>1</w:t>
      </w:r>
      <w:r w:rsidR="00CA6314" w:rsidRPr="00695C93">
        <w:rPr>
          <w:noProof/>
        </w:rPr>
        <w:t>.</w:t>
      </w:r>
      <w:r w:rsidR="00CA6314">
        <w:rPr>
          <w:noProof/>
        </w:rPr>
        <w:t>6</w:t>
      </w:r>
      <w:bookmarkEnd w:id="81"/>
      <w:bookmarkEnd w:id="82"/>
      <w:bookmarkEnd w:id="83"/>
      <w:bookmarkEnd w:id="84"/>
      <w:bookmarkEnd w:id="85"/>
      <w:bookmarkEnd w:id="86"/>
      <w:bookmarkEnd w:id="87"/>
      <w:bookmarkEnd w:id="88"/>
      <w:bookmarkEnd w:id="89"/>
      <w:bookmarkEnd w:id="90"/>
      <w:r w:rsidRPr="00695C93">
        <w:fldChar w:fldCharType="end"/>
      </w:r>
      <w:r w:rsidRPr="00695C93">
        <w:tab/>
      </w:r>
      <w:r>
        <w:t>Stamp duty</w:t>
      </w:r>
      <w:bookmarkEnd w:id="91"/>
      <w:bookmarkEnd w:id="92"/>
      <w:r>
        <w:t xml:space="preserve">  </w:t>
      </w:r>
    </w:p>
    <w:tbl>
      <w:tblPr>
        <w:tblW w:w="0" w:type="auto"/>
        <w:tblInd w:w="57" w:type="dxa"/>
        <w:tblLayout w:type="fixed"/>
        <w:tblLook w:val="0000" w:firstRow="0" w:lastRow="0" w:firstColumn="0" w:lastColumn="0" w:noHBand="0" w:noVBand="0"/>
      </w:tblPr>
      <w:tblGrid>
        <w:gridCol w:w="2645"/>
        <w:gridCol w:w="2646"/>
        <w:gridCol w:w="2646"/>
      </w:tblGrid>
      <w:tr w:rsidR="00796D3D" w:rsidTr="00EA7863">
        <w:tc>
          <w:tcPr>
            <w:tcW w:w="2645" w:type="dxa"/>
            <w:shd w:val="clear" w:color="auto" w:fill="6F6652"/>
            <w:tcMar>
              <w:left w:w="57" w:type="dxa"/>
              <w:right w:w="57" w:type="dxa"/>
            </w:tcMar>
          </w:tcPr>
          <w:p w:rsidR="00796D3D" w:rsidRDefault="00796D3D" w:rsidP="00EA7863">
            <w:pPr>
              <w:pStyle w:val="TableDataColumnHeading"/>
              <w:jc w:val="left"/>
            </w:pPr>
            <w:r>
              <w:t>Property value</w:t>
            </w:r>
          </w:p>
        </w:tc>
        <w:tc>
          <w:tcPr>
            <w:tcW w:w="2646" w:type="dxa"/>
            <w:shd w:val="clear" w:color="auto" w:fill="6F6652"/>
            <w:tcMar>
              <w:left w:w="57" w:type="dxa"/>
              <w:right w:w="57" w:type="dxa"/>
            </w:tcMar>
          </w:tcPr>
          <w:p w:rsidR="00796D3D" w:rsidRDefault="00796D3D" w:rsidP="00EA7863">
            <w:pPr>
              <w:pStyle w:val="TableDataColumnHeading"/>
            </w:pPr>
            <w:r>
              <w:t>2011-12 duty payable</w:t>
            </w:r>
          </w:p>
        </w:tc>
        <w:tc>
          <w:tcPr>
            <w:tcW w:w="2646" w:type="dxa"/>
            <w:shd w:val="clear" w:color="auto" w:fill="6F6652"/>
            <w:tcMar>
              <w:left w:w="57" w:type="dxa"/>
              <w:right w:w="57" w:type="dxa"/>
            </w:tcMar>
          </w:tcPr>
          <w:p w:rsidR="00796D3D" w:rsidRDefault="00796D3D" w:rsidP="00EA7863">
            <w:pPr>
              <w:pStyle w:val="TableDataColumnHeading"/>
            </w:pPr>
            <w:r>
              <w:t>2017-18 duty payable</w:t>
            </w:r>
          </w:p>
        </w:tc>
      </w:tr>
      <w:tr w:rsidR="00796D3D" w:rsidTr="00EA7863">
        <w:tc>
          <w:tcPr>
            <w:tcW w:w="2645"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jc w:val="left"/>
            </w:pPr>
            <w:r>
              <w:t>($000)</w:t>
            </w:r>
          </w:p>
        </w:tc>
        <w:tc>
          <w:tcPr>
            <w:tcW w:w="2646"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($000)</w:t>
            </w:r>
          </w:p>
        </w:tc>
        <w:tc>
          <w:tcPr>
            <w:tcW w:w="2646"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($000)</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200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5.5</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2.9</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300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9.5</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5.4</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500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20.5</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13.4</w:t>
            </w:r>
          </w:p>
        </w:tc>
      </w:tr>
      <w:tr w:rsidR="00796D3D" w:rsidTr="00EA7863">
        <w:tc>
          <w:tcPr>
            <w:tcW w:w="264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750</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34.9</w:t>
            </w:r>
          </w:p>
        </w:tc>
        <w:tc>
          <w:tcPr>
            <w:tcW w:w="2646"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25.4</w:t>
            </w:r>
          </w:p>
        </w:tc>
      </w:tr>
      <w:tr w:rsidR="00796D3D" w:rsidTr="00EA7863">
        <w:tc>
          <w:tcPr>
            <w:tcW w:w="2645"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jc w:val="left"/>
            </w:pPr>
            <w:r>
              <w:t>1 000</w:t>
            </w:r>
          </w:p>
        </w:tc>
        <w:tc>
          <w:tcPr>
            <w:tcW w:w="2646"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49.3</w:t>
            </w:r>
          </w:p>
        </w:tc>
        <w:tc>
          <w:tcPr>
            <w:tcW w:w="2646"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EA7863">
            <w:pPr>
              <w:pStyle w:val="TableDataEntries"/>
            </w:pPr>
            <w:r>
              <w:t>40.4</w:t>
            </w:r>
          </w:p>
        </w:tc>
      </w:tr>
    </w:tbl>
    <w:p w:rsidR="00796D3D" w:rsidRDefault="00796D3D" w:rsidP="00796D3D">
      <w:pPr>
        <w:pStyle w:val="Source"/>
      </w:pPr>
      <w:r>
        <w:rPr>
          <w:i/>
        </w:rPr>
        <w:t>Source</w:t>
      </w:r>
      <w:r w:rsidRPr="00E4232C">
        <w:rPr>
          <w:i/>
        </w:rPr>
        <w:t>:</w:t>
      </w:r>
      <w:r>
        <w:t xml:space="preserve"> ACT Budget Papers</w:t>
      </w:r>
    </w:p>
    <w:p w:rsidR="00796D3D" w:rsidRDefault="00796D3D" w:rsidP="00B83167">
      <w:pPr>
        <w:pStyle w:val="Heading2"/>
        <w:numPr>
          <w:ilvl w:val="0"/>
          <w:numId w:val="0"/>
        </w:numPr>
        <w:spacing w:before="360"/>
      </w:pPr>
      <w:bookmarkStart w:id="93" w:name="_Toc392856622"/>
      <w:bookmarkStart w:id="94" w:name="_Toc393202273"/>
      <w:r>
        <w:t>Rationale for changes to stamp duty and general rates</w:t>
      </w:r>
      <w:bookmarkEnd w:id="93"/>
      <w:bookmarkEnd w:id="94"/>
      <w:r>
        <w:t xml:space="preserve"> </w:t>
      </w:r>
    </w:p>
    <w:p w:rsidR="00796D3D" w:rsidRDefault="00796D3D" w:rsidP="00796D3D">
      <w:pPr>
        <w:pStyle w:val="BodyText"/>
      </w:pPr>
      <w:r>
        <w:t xml:space="preserve">There is strong rationale for replacing revenue from stamp duty with revenue from general rates. This rationale </w:t>
      </w:r>
      <w:proofErr w:type="gramStart"/>
      <w:r>
        <w:t>was recently outlined</w:t>
      </w:r>
      <w:proofErr w:type="gramEnd"/>
      <w:r>
        <w:t xml:space="preserve"> in </w:t>
      </w:r>
      <w:hyperlink r:id="rId24" w:history="1">
        <w:r w:rsidRPr="00E728F1">
          <w:t xml:space="preserve">Australia's Future Tax System </w:t>
        </w:r>
        <w:r>
          <w:t xml:space="preserve">(Henry) </w:t>
        </w:r>
        <w:r w:rsidRPr="00E728F1">
          <w:t>Review</w:t>
        </w:r>
      </w:hyperlink>
      <w:r>
        <w:t xml:space="preserve"> and then the </w:t>
      </w:r>
      <w:hyperlink r:id="rId25" w:history="1">
        <w:r w:rsidRPr="00E728F1">
          <w:t xml:space="preserve">ACT Taxation </w:t>
        </w:r>
        <w:r>
          <w:t xml:space="preserve">(Quinlan) </w:t>
        </w:r>
        <w:r w:rsidRPr="00E728F1">
          <w:t>Review 2012</w:t>
        </w:r>
        <w:r>
          <w:t xml:space="preserve">. </w:t>
        </w:r>
        <w:r w:rsidRPr="00E728F1">
          <w:t xml:space="preserve"> </w:t>
        </w:r>
      </w:hyperlink>
      <w:r>
        <w:t xml:space="preserve">The former review emphasised that stamp duty is an inefficient and inequitable tax. In particular, the report noted that: </w:t>
      </w:r>
    </w:p>
    <w:p w:rsidR="00796D3D" w:rsidRDefault="00796D3D" w:rsidP="00796D3D">
      <w:pPr>
        <w:pStyle w:val="Quote"/>
        <w:rPr>
          <w:rFonts w:eastAsiaTheme="minorHAnsi"/>
          <w:lang w:eastAsia="en-US"/>
        </w:rPr>
      </w:pPr>
      <w:r w:rsidRPr="009847C1">
        <w:rPr>
          <w:rFonts w:eastAsiaTheme="minorHAnsi"/>
          <w:lang w:eastAsia="en-US"/>
        </w:rPr>
        <w:t>Stamp duties are poor taxes. As a tax on transferring land, they discourage land from changing hands to its most valuable use. Stamp duties are also an inequitable way of taxing land and improvements, as the tax falls on those who need to move.</w:t>
      </w:r>
    </w:p>
    <w:p w:rsidR="00796D3D" w:rsidRPr="009847C1" w:rsidRDefault="00796D3D" w:rsidP="00796D3D">
      <w:pPr>
        <w:pStyle w:val="Quote"/>
        <w:rPr>
          <w:rFonts w:eastAsiaTheme="minorHAnsi"/>
          <w:lang w:eastAsia="en-US"/>
        </w:rPr>
      </w:pPr>
      <w:r w:rsidRPr="009847C1">
        <w:rPr>
          <w:rFonts w:eastAsiaTheme="minorHAnsi"/>
          <w:lang w:eastAsia="en-US"/>
        </w:rPr>
        <w:t xml:space="preserve">Stamp duty is a relatively simple tax to collect, since it </w:t>
      </w:r>
      <w:proofErr w:type="gramStart"/>
      <w:r w:rsidRPr="009847C1">
        <w:rPr>
          <w:rFonts w:eastAsiaTheme="minorHAnsi"/>
          <w:lang w:eastAsia="en-US"/>
        </w:rPr>
        <w:t>is levied</w:t>
      </w:r>
      <w:proofErr w:type="gramEnd"/>
      <w:r w:rsidRPr="009847C1">
        <w:rPr>
          <w:rFonts w:eastAsiaTheme="minorHAnsi"/>
          <w:lang w:eastAsia="en-US"/>
        </w:rPr>
        <w:t xml:space="preserve"> on the sale price, which is</w:t>
      </w:r>
      <w:r>
        <w:rPr>
          <w:rFonts w:eastAsiaTheme="minorHAnsi"/>
          <w:lang w:eastAsia="en-US"/>
        </w:rPr>
        <w:t xml:space="preserve"> </w:t>
      </w:r>
      <w:r w:rsidRPr="009847C1">
        <w:rPr>
          <w:rFonts w:eastAsiaTheme="minorHAnsi"/>
          <w:lang w:eastAsia="en-US"/>
        </w:rPr>
        <w:t>easily observable. Administrative simplicity was one of the main reasons why stamp duties</w:t>
      </w:r>
      <w:r>
        <w:rPr>
          <w:rFonts w:eastAsiaTheme="minorHAnsi"/>
          <w:lang w:eastAsia="en-US"/>
        </w:rPr>
        <w:t xml:space="preserve"> were first introduced…However</w:t>
      </w:r>
      <w:r w:rsidRPr="009847C1">
        <w:rPr>
          <w:rFonts w:eastAsiaTheme="minorHAnsi"/>
          <w:lang w:eastAsia="en-US"/>
        </w:rPr>
        <w:t>, now that broad-based taxes on income and consumption are available, the relative</w:t>
      </w:r>
      <w:r>
        <w:rPr>
          <w:rFonts w:eastAsiaTheme="minorHAnsi"/>
          <w:lang w:eastAsia="en-US"/>
        </w:rPr>
        <w:t xml:space="preserve"> </w:t>
      </w:r>
      <w:r w:rsidRPr="009847C1">
        <w:rPr>
          <w:rFonts w:eastAsiaTheme="minorHAnsi"/>
          <w:lang w:eastAsia="en-US"/>
        </w:rPr>
        <w:t>simplicity of stamp duty is not a strong justification for retaining the tax.</w:t>
      </w:r>
    </w:p>
    <w:p w:rsidR="00796D3D" w:rsidRDefault="00796D3D" w:rsidP="00796D3D">
      <w:pPr>
        <w:pStyle w:val="BodyText"/>
      </w:pPr>
      <w:r w:rsidRPr="003F6855">
        <w:t xml:space="preserve">The latter review assessed stamp duty and general rates against four criteria and found that stamp duty was less efficient, equitable, and stable than general rates (see table </w:t>
      </w:r>
      <w:r w:rsidR="000B204E">
        <w:fldChar w:fldCharType="begin"/>
      </w:r>
      <w:r w:rsidR="000B204E">
        <w:instrText xml:space="preserve"> REF _Caption4885 </w:instrText>
      </w:r>
      <w:r w:rsidR="000B204E">
        <w:fldChar w:fldCharType="separate"/>
      </w:r>
      <w:r w:rsidR="00CA6314">
        <w:rPr>
          <w:noProof/>
        </w:rPr>
        <w:t>1</w:t>
      </w:r>
      <w:r w:rsidR="00CA6314" w:rsidRPr="00695C93">
        <w:rPr>
          <w:noProof/>
        </w:rPr>
        <w:t>.</w:t>
      </w:r>
      <w:r w:rsidR="00CA6314">
        <w:rPr>
          <w:noProof/>
        </w:rPr>
        <w:t>7</w:t>
      </w:r>
      <w:r w:rsidR="000B204E">
        <w:rPr>
          <w:noProof/>
        </w:rPr>
        <w:fldChar w:fldCharType="end"/>
      </w:r>
      <w:r w:rsidRPr="003F6855">
        <w:t>):</w:t>
      </w:r>
    </w:p>
    <w:p w:rsidR="001951C4" w:rsidRDefault="001951C4" w:rsidP="00796D3D">
      <w:pPr>
        <w:pStyle w:val="BodyText"/>
      </w:pPr>
    </w:p>
    <w:p w:rsidR="001951C4" w:rsidRDefault="001951C4" w:rsidP="00796D3D">
      <w:pPr>
        <w:pStyle w:val="BodyText"/>
      </w:pPr>
    </w:p>
    <w:p w:rsidR="001951C4" w:rsidRDefault="001951C4" w:rsidP="00796D3D">
      <w:pPr>
        <w:pStyle w:val="BodyText"/>
      </w:pPr>
    </w:p>
    <w:p w:rsidR="001951C4" w:rsidRDefault="001951C4" w:rsidP="00796D3D">
      <w:pPr>
        <w:pStyle w:val="BodyText"/>
      </w:pPr>
    </w:p>
    <w:p w:rsidR="001951C4" w:rsidRDefault="001951C4" w:rsidP="00796D3D">
      <w:pPr>
        <w:pStyle w:val="BodyText"/>
      </w:pP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1</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1</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7</w:instrText>
      </w:r>
      <w:r w:rsidRPr="00695C93">
        <w:fldChar w:fldCharType="end"/>
      </w:r>
      <w:r w:rsidRPr="00695C93">
        <w:instrText xml:space="preserve">" "" </w:instrText>
      </w:r>
      <w:r w:rsidRPr="00695C93">
        <w:fldChar w:fldCharType="separate"/>
      </w:r>
      <w:bookmarkStart w:id="95" w:name="_Caption9377"/>
      <w:bookmarkStart w:id="96" w:name="_Caption4885"/>
      <w:bookmarkStart w:id="97" w:name="_Caption8165"/>
      <w:bookmarkStart w:id="98" w:name="_Caption0414"/>
      <w:bookmarkStart w:id="99" w:name="_Caption1910"/>
      <w:bookmarkStart w:id="100" w:name="_Caption5914"/>
      <w:bookmarkStart w:id="101" w:name="_Caption6211"/>
      <w:bookmarkStart w:id="102" w:name="_Caption2423"/>
      <w:bookmarkStart w:id="103" w:name="_Caption6935"/>
      <w:bookmarkStart w:id="104" w:name="_Toc392840258"/>
      <w:bookmarkStart w:id="105" w:name="_Toc393202307"/>
      <w:r w:rsidR="00CA6314">
        <w:rPr>
          <w:noProof/>
        </w:rPr>
        <w:t>1</w:t>
      </w:r>
      <w:r w:rsidR="00CA6314" w:rsidRPr="00695C93">
        <w:rPr>
          <w:noProof/>
        </w:rPr>
        <w:t>.</w:t>
      </w:r>
      <w:r w:rsidR="00CA6314">
        <w:rPr>
          <w:noProof/>
        </w:rPr>
        <w:t>7</w:t>
      </w:r>
      <w:bookmarkEnd w:id="95"/>
      <w:bookmarkEnd w:id="96"/>
      <w:bookmarkEnd w:id="97"/>
      <w:bookmarkEnd w:id="98"/>
      <w:bookmarkEnd w:id="99"/>
      <w:bookmarkEnd w:id="100"/>
      <w:bookmarkEnd w:id="101"/>
      <w:bookmarkEnd w:id="102"/>
      <w:bookmarkEnd w:id="103"/>
      <w:r w:rsidRPr="00695C93">
        <w:fldChar w:fldCharType="end"/>
      </w:r>
      <w:r w:rsidRPr="00695C93">
        <w:tab/>
      </w:r>
      <w:r>
        <w:t>Economic assessment of stamp duty and general rates</w:t>
      </w:r>
      <w:bookmarkEnd w:id="104"/>
      <w:bookmarkEnd w:id="105"/>
    </w:p>
    <w:tbl>
      <w:tblPr>
        <w:tblW w:w="7938" w:type="dxa"/>
        <w:tblInd w:w="57" w:type="dxa"/>
        <w:tblLayout w:type="fixed"/>
        <w:tblLook w:val="0000" w:firstRow="0" w:lastRow="0" w:firstColumn="0" w:lastColumn="0" w:noHBand="0" w:noVBand="0"/>
      </w:tblPr>
      <w:tblGrid>
        <w:gridCol w:w="2127"/>
        <w:gridCol w:w="2551"/>
        <w:gridCol w:w="3260"/>
      </w:tblGrid>
      <w:tr w:rsidR="00796D3D" w:rsidTr="00B83167">
        <w:trPr>
          <w:tblHeader/>
        </w:trPr>
        <w:tc>
          <w:tcPr>
            <w:tcW w:w="2127" w:type="dxa"/>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left"/>
            </w:pPr>
            <w:r>
              <w:t xml:space="preserve">Criteria </w:t>
            </w:r>
          </w:p>
        </w:tc>
        <w:tc>
          <w:tcPr>
            <w:tcW w:w="2551" w:type="dxa"/>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left"/>
            </w:pPr>
            <w:r>
              <w:t xml:space="preserve">Stamp duty </w:t>
            </w:r>
          </w:p>
        </w:tc>
        <w:tc>
          <w:tcPr>
            <w:tcW w:w="3260" w:type="dxa"/>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left"/>
            </w:pPr>
            <w:r>
              <w:t>General rates</w:t>
            </w:r>
          </w:p>
        </w:tc>
      </w:tr>
      <w:tr w:rsidR="00796D3D" w:rsidTr="00EA7863">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Unit"/>
              <w:jc w:val="left"/>
            </w:pPr>
            <w:r>
              <w:t xml:space="preserve">Efficiency </w:t>
            </w:r>
          </w:p>
        </w:tc>
        <w:tc>
          <w:tcPr>
            <w:tcW w:w="25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Unit"/>
              <w:jc w:val="left"/>
            </w:pPr>
            <w:r>
              <w:rPr>
                <w:rFonts w:eastAsiaTheme="minorHAnsi"/>
              </w:rPr>
              <w:t>T</w:t>
            </w:r>
            <w:r w:rsidRPr="009847C1">
              <w:rPr>
                <w:rFonts w:eastAsiaTheme="minorHAnsi"/>
              </w:rPr>
              <w:t xml:space="preserve">he literature </w:t>
            </w:r>
            <w:r>
              <w:rPr>
                <w:rFonts w:eastAsiaTheme="minorHAnsi"/>
              </w:rPr>
              <w:t xml:space="preserve">suggest that stamp duty </w:t>
            </w:r>
            <w:r w:rsidRPr="009847C1">
              <w:rPr>
                <w:rFonts w:eastAsiaTheme="minorHAnsi"/>
              </w:rPr>
              <w:t>decrease</w:t>
            </w:r>
            <w:r>
              <w:rPr>
                <w:rFonts w:eastAsiaTheme="minorHAnsi"/>
              </w:rPr>
              <w:t>s</w:t>
            </w:r>
            <w:r w:rsidRPr="009847C1">
              <w:rPr>
                <w:rFonts w:eastAsiaTheme="minorHAnsi"/>
              </w:rPr>
              <w:t xml:space="preserve"> household mobility, distort</w:t>
            </w:r>
            <w:r>
              <w:rPr>
                <w:rFonts w:eastAsiaTheme="minorHAnsi"/>
              </w:rPr>
              <w:t>s</w:t>
            </w:r>
            <w:r w:rsidRPr="009847C1">
              <w:rPr>
                <w:rFonts w:eastAsiaTheme="minorHAnsi"/>
              </w:rPr>
              <w:t xml:space="preserve"> location choice, and</w:t>
            </w:r>
            <w:r>
              <w:rPr>
                <w:rFonts w:eastAsiaTheme="minorHAnsi"/>
              </w:rPr>
              <w:t xml:space="preserve"> creates </w:t>
            </w:r>
            <w:r w:rsidRPr="009847C1">
              <w:rPr>
                <w:rFonts w:eastAsiaTheme="minorHAnsi"/>
              </w:rPr>
              <w:t>lock-</w:t>
            </w:r>
            <w:proofErr w:type="gramStart"/>
            <w:r w:rsidRPr="009847C1">
              <w:rPr>
                <w:rFonts w:eastAsiaTheme="minorHAnsi"/>
              </w:rPr>
              <w:t>in</w:t>
            </w:r>
            <w:r>
              <w:rPr>
                <w:rFonts w:eastAsiaTheme="minorHAnsi"/>
              </w:rPr>
              <w:t xml:space="preserve">  </w:t>
            </w:r>
            <w:r w:rsidRPr="009847C1">
              <w:rPr>
                <w:rFonts w:eastAsiaTheme="minorHAnsi"/>
              </w:rPr>
              <w:t>effects</w:t>
            </w:r>
            <w:proofErr w:type="gramEnd"/>
            <w:r w:rsidRPr="009847C1">
              <w:rPr>
                <w:rFonts w:eastAsiaTheme="minorHAnsi"/>
              </w:rPr>
              <w:t xml:space="preserve"> in the housing market.</w:t>
            </w:r>
          </w:p>
        </w:tc>
        <w:tc>
          <w:tcPr>
            <w:tcW w:w="32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Unit"/>
              <w:jc w:val="left"/>
            </w:pPr>
            <w:r w:rsidRPr="00AF5970">
              <w:rPr>
                <w:rFonts w:eastAsiaTheme="minorHAnsi"/>
              </w:rPr>
              <w:t>General rates are an efficient tax due to the broad base. The fixed component of rates increases the efficiency of the tax as it reduces incentive to purchase a lower value property over a higher value property.</w:t>
            </w:r>
          </w:p>
        </w:tc>
      </w:tr>
      <w:tr w:rsidR="00796D3D" w:rsidTr="00EA7863">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Equity</w:t>
            </w:r>
          </w:p>
        </w:tc>
        <w:tc>
          <w:tcPr>
            <w:tcW w:w="25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Pr="00F31F88" w:rsidRDefault="00796D3D" w:rsidP="00EA7863">
            <w:pPr>
              <w:pStyle w:val="TableDataEntries"/>
              <w:jc w:val="left"/>
              <w:rPr>
                <w:rFonts w:eastAsiaTheme="minorHAnsi"/>
              </w:rPr>
            </w:pPr>
            <w:r>
              <w:rPr>
                <w:rFonts w:eastAsiaTheme="minorHAnsi"/>
              </w:rPr>
              <w:t>Not an equitable source of revenue as the duty o</w:t>
            </w:r>
            <w:r w:rsidRPr="00AF5970">
              <w:rPr>
                <w:rFonts w:eastAsiaTheme="minorHAnsi"/>
              </w:rPr>
              <w:t xml:space="preserve">nly applies to </w:t>
            </w:r>
            <w:r>
              <w:rPr>
                <w:rFonts w:eastAsiaTheme="minorHAnsi"/>
              </w:rPr>
              <w:t>people that purchase</w:t>
            </w:r>
            <w:r w:rsidRPr="00AF5970">
              <w:rPr>
                <w:rFonts w:eastAsiaTheme="minorHAnsi"/>
              </w:rPr>
              <w:t xml:space="preserve"> a real property as opposed to other forms of property. </w:t>
            </w:r>
          </w:p>
        </w:tc>
        <w:tc>
          <w:tcPr>
            <w:tcW w:w="32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rsidRPr="00AF5970">
              <w:rPr>
                <w:rFonts w:eastAsiaTheme="minorHAnsi"/>
              </w:rPr>
              <w:t>General rates are a relatively equitable source of revenue. Property owners with the same unimproved value property pay the same rates and in this sense, the tax is horizontally equitable.</w:t>
            </w:r>
          </w:p>
        </w:tc>
      </w:tr>
      <w:tr w:rsidR="00796D3D" w:rsidTr="00B83167">
        <w:trPr>
          <w:cantSplit/>
        </w:trPr>
        <w:tc>
          <w:tcPr>
            <w:tcW w:w="2127"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Stability </w:t>
            </w:r>
          </w:p>
        </w:tc>
        <w:tc>
          <w:tcPr>
            <w:tcW w:w="2551"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rPr>
                <w:rFonts w:eastAsiaTheme="minorHAnsi"/>
              </w:rPr>
              <w:t xml:space="preserve">Stamp duty is relatively unstable. </w:t>
            </w:r>
            <w:proofErr w:type="gramStart"/>
            <w:r>
              <w:rPr>
                <w:rFonts w:eastAsiaTheme="minorHAnsi"/>
              </w:rPr>
              <w:t>H</w:t>
            </w:r>
            <w:r w:rsidRPr="00AF5970">
              <w:rPr>
                <w:rFonts w:eastAsiaTheme="minorHAnsi"/>
              </w:rPr>
              <w:t>ighly elastic with respect to GSP, low in forecast accuracy, and very volatile around long run growth.</w:t>
            </w:r>
            <w:proofErr w:type="gramEnd"/>
          </w:p>
        </w:tc>
        <w:tc>
          <w:tcPr>
            <w:tcW w:w="3260"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rsidRPr="00AF5970">
              <w:rPr>
                <w:rFonts w:eastAsiaTheme="minorHAnsi"/>
              </w:rPr>
              <w:t xml:space="preserve">General rates are </w:t>
            </w:r>
            <w:r>
              <w:rPr>
                <w:rFonts w:eastAsiaTheme="minorHAnsi"/>
              </w:rPr>
              <w:t xml:space="preserve">generally stable </w:t>
            </w:r>
            <w:proofErr w:type="gramStart"/>
            <w:r>
              <w:rPr>
                <w:rFonts w:eastAsiaTheme="minorHAnsi"/>
              </w:rPr>
              <w:t xml:space="preserve">being </w:t>
            </w:r>
            <w:r w:rsidRPr="00AF5970">
              <w:rPr>
                <w:rFonts w:eastAsiaTheme="minorHAnsi"/>
              </w:rPr>
              <w:t>levied</w:t>
            </w:r>
            <w:proofErr w:type="gramEnd"/>
            <w:r w:rsidRPr="00AF5970">
              <w:rPr>
                <w:rFonts w:eastAsiaTheme="minorHAnsi"/>
              </w:rPr>
              <w:t xml:space="preserve"> on a large, immobile taxation base, have high compliance rates, and are a predictable source of revenue. </w:t>
            </w:r>
          </w:p>
        </w:tc>
      </w:tr>
      <w:tr w:rsidR="00796D3D" w:rsidTr="00B83167">
        <w:tc>
          <w:tcPr>
            <w:tcW w:w="2127"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jc w:val="left"/>
            </w:pPr>
            <w:r>
              <w:t>Administration costs</w:t>
            </w:r>
          </w:p>
        </w:tc>
        <w:tc>
          <w:tcPr>
            <w:tcW w:w="2551"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jc w:val="left"/>
            </w:pPr>
            <w:r>
              <w:rPr>
                <w:rFonts w:eastAsiaTheme="minorHAnsi"/>
              </w:rPr>
              <w:t>Stamp duty has r</w:t>
            </w:r>
            <w:r w:rsidRPr="00AF5970">
              <w:rPr>
                <w:rFonts w:eastAsiaTheme="minorHAnsi"/>
              </w:rPr>
              <w:t xml:space="preserve">elatively low </w:t>
            </w:r>
            <w:r>
              <w:rPr>
                <w:rFonts w:eastAsiaTheme="minorHAnsi"/>
              </w:rPr>
              <w:t xml:space="preserve">administration costs </w:t>
            </w:r>
            <w:r w:rsidRPr="00AF5970">
              <w:rPr>
                <w:rFonts w:eastAsiaTheme="minorHAnsi"/>
              </w:rPr>
              <w:t>as the administrative</w:t>
            </w:r>
            <w:r>
              <w:rPr>
                <w:rFonts w:eastAsiaTheme="minorHAnsi"/>
              </w:rPr>
              <w:t xml:space="preserve"> </w:t>
            </w:r>
            <w:r w:rsidRPr="00AF5970">
              <w:rPr>
                <w:rFonts w:eastAsiaTheme="minorHAnsi"/>
              </w:rPr>
              <w:t>processes, such as the exchange of contracts, already exist and are undertaken regardless of</w:t>
            </w:r>
            <w:r>
              <w:rPr>
                <w:rFonts w:eastAsiaTheme="minorHAnsi"/>
              </w:rPr>
              <w:t xml:space="preserve"> </w:t>
            </w:r>
            <w:r w:rsidRPr="00AF5970">
              <w:rPr>
                <w:rFonts w:eastAsiaTheme="minorHAnsi"/>
              </w:rPr>
              <w:t xml:space="preserve">whether conveyance duty </w:t>
            </w:r>
            <w:proofErr w:type="gramStart"/>
            <w:r w:rsidRPr="00AF5970">
              <w:rPr>
                <w:rFonts w:eastAsiaTheme="minorHAnsi"/>
              </w:rPr>
              <w:t>is being levied</w:t>
            </w:r>
            <w:proofErr w:type="gramEnd"/>
            <w:r w:rsidRPr="00AF5970">
              <w:rPr>
                <w:rFonts w:eastAsiaTheme="minorHAnsi"/>
              </w:rPr>
              <w:t>.</w:t>
            </w:r>
          </w:p>
        </w:tc>
        <w:tc>
          <w:tcPr>
            <w:tcW w:w="3260" w:type="dxa"/>
            <w:tcBorders>
              <w:top w:val="single" w:sz="8" w:space="0" w:color="FFFFFF" w:themeColor="background1"/>
              <w:bottom w:val="single" w:sz="4" w:space="0" w:color="6F6652" w:themeColor="accent5"/>
            </w:tcBorders>
            <w:shd w:val="clear" w:color="auto" w:fill="E9E8E5" w:themeFill="background2"/>
            <w:tcMar>
              <w:left w:w="57" w:type="dxa"/>
              <w:right w:w="57" w:type="dxa"/>
            </w:tcMar>
          </w:tcPr>
          <w:p w:rsidR="00796D3D" w:rsidRDefault="00796D3D" w:rsidP="00EA7863">
            <w:pPr>
              <w:pStyle w:val="TableDataEntries"/>
              <w:spacing w:before="120"/>
              <w:jc w:val="left"/>
            </w:pPr>
            <w:r w:rsidRPr="00AF5970">
              <w:rPr>
                <w:rFonts w:eastAsiaTheme="minorHAnsi"/>
              </w:rPr>
              <w:t xml:space="preserve">General rates have very low compliance and debt recovery costs at around 0.09 per cent of general rates revenue in 2010-11. However, administration and collection of rates revenue is relatively higher at 0.38 per cent of general rates revenue, due </w:t>
            </w:r>
            <w:r>
              <w:rPr>
                <w:rFonts w:eastAsiaTheme="minorHAnsi"/>
              </w:rPr>
              <w:t xml:space="preserve">in part to </w:t>
            </w:r>
            <w:r w:rsidRPr="00AF5970">
              <w:rPr>
                <w:rFonts w:eastAsiaTheme="minorHAnsi"/>
              </w:rPr>
              <w:t>costs associated with undertaking regular land valuations.</w:t>
            </w:r>
          </w:p>
        </w:tc>
      </w:tr>
    </w:tbl>
    <w:p w:rsidR="00796D3D" w:rsidRDefault="00796D3D" w:rsidP="00796D3D">
      <w:pPr>
        <w:pStyle w:val="Source"/>
      </w:pPr>
      <w:r>
        <w:rPr>
          <w:i/>
        </w:rPr>
        <w:t>Source</w:t>
      </w:r>
      <w:r w:rsidRPr="00E4232C">
        <w:rPr>
          <w:i/>
        </w:rPr>
        <w:t>:</w:t>
      </w:r>
      <w:r>
        <w:t xml:space="preserve"> ACT Taxation Review 2012</w:t>
      </w:r>
    </w:p>
    <w:p w:rsidR="00796D3D" w:rsidRDefault="00796D3D" w:rsidP="00796D3D">
      <w:pPr>
        <w:pStyle w:val="BodyText"/>
        <w:spacing w:before="0"/>
      </w:pPr>
    </w:p>
    <w:p w:rsidR="00796D3D" w:rsidRPr="00F51AF6" w:rsidRDefault="00796D3D" w:rsidP="00796D3D">
      <w:pPr>
        <w:pStyle w:val="Heading1"/>
      </w:pPr>
      <w:bookmarkStart w:id="106" w:name="_Toc392856623"/>
      <w:bookmarkStart w:id="107" w:name="_Toc393202274"/>
      <w:r>
        <w:t>The economics of budget deficits and surpluses</w:t>
      </w:r>
      <w:bookmarkEnd w:id="106"/>
      <w:bookmarkEnd w:id="107"/>
    </w:p>
    <w:p w:rsidR="00B21AC4" w:rsidRDefault="00796D3D" w:rsidP="00796D3D">
      <w:pPr>
        <w:pStyle w:val="ChapterIntroduction"/>
        <w:rPr>
          <w:color w:val="6F6652" w:themeColor="accent5"/>
        </w:rPr>
      </w:pPr>
      <w:r w:rsidRPr="00A85504">
        <w:rPr>
          <w:color w:val="6F6652" w:themeColor="accent5"/>
        </w:rPr>
        <w:t xml:space="preserve">The 2014-15 Budget </w:t>
      </w:r>
      <w:proofErr w:type="gramStart"/>
      <w:r w:rsidRPr="00A85504">
        <w:rPr>
          <w:color w:val="6F6652" w:themeColor="accent5"/>
        </w:rPr>
        <w:t>was designed</w:t>
      </w:r>
      <w:proofErr w:type="gramEnd"/>
      <w:r w:rsidRPr="00A85504">
        <w:rPr>
          <w:color w:val="6F6652" w:themeColor="accent5"/>
        </w:rPr>
        <w:t xml:space="preserve"> to support the ACT economy in the short-term, mainly through infrastructure spending, and return to a budget balance over the medium term. </w:t>
      </w:r>
    </w:p>
    <w:p w:rsidR="00B21AC4" w:rsidRDefault="00796D3D" w:rsidP="00796D3D">
      <w:pPr>
        <w:pStyle w:val="ChapterIntroduction"/>
        <w:rPr>
          <w:color w:val="6F6652" w:themeColor="accent5"/>
        </w:rPr>
      </w:pPr>
      <w:r w:rsidRPr="00A85504">
        <w:rPr>
          <w:color w:val="6F6652" w:themeColor="accent5"/>
        </w:rPr>
        <w:t xml:space="preserve">Given the ACT’s relatively strong balance sheet and the expected characteristics of the slowdown in economic activity, this strategy </w:t>
      </w:r>
      <w:r w:rsidR="00B21AC4">
        <w:rPr>
          <w:color w:val="6F6652" w:themeColor="accent5"/>
        </w:rPr>
        <w:t>may</w:t>
      </w:r>
      <w:r w:rsidR="00B21AC4" w:rsidRPr="00A85504">
        <w:rPr>
          <w:color w:val="6F6652" w:themeColor="accent5"/>
        </w:rPr>
        <w:t xml:space="preserve"> </w:t>
      </w:r>
      <w:r w:rsidR="00B21AC4">
        <w:rPr>
          <w:color w:val="6F6652" w:themeColor="accent5"/>
        </w:rPr>
        <w:t xml:space="preserve">be </w:t>
      </w:r>
      <w:r w:rsidRPr="00A85504">
        <w:rPr>
          <w:color w:val="6F6652" w:themeColor="accent5"/>
        </w:rPr>
        <w:t>prudent</w:t>
      </w:r>
      <w:r w:rsidR="00B21AC4">
        <w:rPr>
          <w:color w:val="6F6652" w:themeColor="accent5"/>
        </w:rPr>
        <w:t xml:space="preserve"> if the spending choices are efficient and wealth creating</w:t>
      </w:r>
      <w:r w:rsidRPr="00A85504">
        <w:rPr>
          <w:color w:val="6F6652" w:themeColor="accent5"/>
        </w:rPr>
        <w:t xml:space="preserve">. </w:t>
      </w:r>
    </w:p>
    <w:p w:rsidR="00B21AC4" w:rsidRDefault="00B21AC4" w:rsidP="00796D3D">
      <w:pPr>
        <w:pStyle w:val="ChapterIntroduction"/>
        <w:rPr>
          <w:color w:val="6F6652" w:themeColor="accent5"/>
        </w:rPr>
      </w:pPr>
      <w:r>
        <w:rPr>
          <w:color w:val="6F6652" w:themeColor="accent5"/>
        </w:rPr>
        <w:t>It is apparent that the</w:t>
      </w:r>
      <w:r w:rsidR="00796D3D" w:rsidRPr="00A85504">
        <w:rPr>
          <w:color w:val="6F6652" w:themeColor="accent5"/>
        </w:rPr>
        <w:t xml:space="preserve"> timing of the stimulus </w:t>
      </w:r>
      <w:r>
        <w:rPr>
          <w:color w:val="6F6652" w:themeColor="accent5"/>
        </w:rPr>
        <w:t xml:space="preserve">is </w:t>
      </w:r>
      <w:r w:rsidR="00796D3D" w:rsidRPr="00A85504">
        <w:rPr>
          <w:color w:val="6F6652" w:themeColor="accent5"/>
        </w:rPr>
        <w:t>in line with the expected slowdown in economic activity</w:t>
      </w:r>
      <w:r>
        <w:rPr>
          <w:color w:val="6F6652" w:themeColor="accent5"/>
        </w:rPr>
        <w:t xml:space="preserve"> in the ACT</w:t>
      </w:r>
      <w:r w:rsidR="00DD7B69">
        <w:rPr>
          <w:color w:val="6F6652" w:themeColor="accent5"/>
        </w:rPr>
        <w:t>. T</w:t>
      </w:r>
      <w:r w:rsidR="00796D3D" w:rsidRPr="00A85504">
        <w:rPr>
          <w:color w:val="6F6652" w:themeColor="accent5"/>
        </w:rPr>
        <w:t>he high proportion of investment spending directed to health infrastructure and road upgrades in the 2014-15 Budget will provide social benefits, as well as economic benefits during the construction phase</w:t>
      </w:r>
      <w:r w:rsidR="00DD7B69">
        <w:rPr>
          <w:color w:val="6F6652" w:themeColor="accent5"/>
        </w:rPr>
        <w:t xml:space="preserve">, though may lead to a more modest rise in the future tax base. </w:t>
      </w:r>
    </w:p>
    <w:p w:rsidR="0001048F" w:rsidRDefault="0001048F" w:rsidP="00707029">
      <w:pPr>
        <w:pStyle w:val="Heading2"/>
      </w:pPr>
      <w:bookmarkStart w:id="108" w:name="_Toc393202275"/>
      <w:r>
        <w:t>Context</w:t>
      </w:r>
      <w:bookmarkEnd w:id="108"/>
      <w:r>
        <w:t xml:space="preserve"> </w:t>
      </w:r>
    </w:p>
    <w:p w:rsidR="000C2592" w:rsidRDefault="00390B52" w:rsidP="007E1E5A">
      <w:pPr>
        <w:pStyle w:val="BodyText"/>
      </w:pPr>
      <w:r w:rsidRPr="007E1E5A">
        <w:rPr>
          <w:lang w:eastAsia="en-US"/>
        </w:rPr>
        <w:t xml:space="preserve">In 2012, the CIE prepared an information paper to the ACT Legislative Assembly titled ‘The economics of budget surplus versus deficit’. One key finding of the paper was that there a number of complex trade-offs involved in deciding whether or when to run a budget deficit and how quickly to return a budget to surplus. The final decision will ultimately depend on the state of the economy and the state of the Government’s balance sheet. In periods were the economy is weak and the balance sheet is strong, it is prudent for governments to run budget deficits in order to support the economy. In periods were the economy is strong and/or the balance sheet is in bad shape, it is prudent to run surpluses to avoid overheating the economy or </w:t>
      </w:r>
      <w:r w:rsidR="000C2592">
        <w:rPr>
          <w:lang w:eastAsia="en-US"/>
        </w:rPr>
        <w:t xml:space="preserve">to </w:t>
      </w:r>
      <w:r w:rsidRPr="007E1E5A">
        <w:rPr>
          <w:lang w:eastAsia="en-US"/>
        </w:rPr>
        <w:t xml:space="preserve">repair the balance sheet. </w:t>
      </w:r>
    </w:p>
    <w:p w:rsidR="00707029" w:rsidRDefault="00390B52" w:rsidP="007E1E5A">
      <w:pPr>
        <w:pStyle w:val="BodyText"/>
      </w:pPr>
      <w:r w:rsidRPr="007E1E5A">
        <w:rPr>
          <w:lang w:eastAsia="en-US"/>
        </w:rPr>
        <w:t xml:space="preserve">Given the expected slowdown in the ACT economy and the relatively strong state of the ACT Government’s balance sheet, </w:t>
      </w:r>
      <w:r w:rsidRPr="007E1E5A">
        <w:t xml:space="preserve">the Government’s budget strategy to provide stimulus to the economy and return the budget back to balance over the medium term </w:t>
      </w:r>
      <w:r>
        <w:t>is</w:t>
      </w:r>
      <w:r w:rsidRPr="007E1E5A">
        <w:t xml:space="preserve"> </w:t>
      </w:r>
      <w:r w:rsidR="00707029">
        <w:t xml:space="preserve">considered </w:t>
      </w:r>
      <w:proofErr w:type="gramStart"/>
      <w:r w:rsidR="00707029">
        <w:t xml:space="preserve">to be </w:t>
      </w:r>
      <w:r w:rsidRPr="007E1E5A">
        <w:t>prudent</w:t>
      </w:r>
      <w:proofErr w:type="gramEnd"/>
      <w:r w:rsidRPr="007E1E5A">
        <w:t>.</w:t>
      </w:r>
      <w:r>
        <w:t xml:space="preserve"> </w:t>
      </w:r>
    </w:p>
    <w:p w:rsidR="00390B52" w:rsidRPr="007E1E5A" w:rsidRDefault="00707029" w:rsidP="00707029">
      <w:pPr>
        <w:pStyle w:val="BodyText"/>
      </w:pPr>
      <w:r>
        <w:t>However, t</w:t>
      </w:r>
      <w:r w:rsidR="00390B52">
        <w:t xml:space="preserve">he </w:t>
      </w:r>
      <w:r>
        <w:t>most</w:t>
      </w:r>
      <w:r w:rsidR="00390B52">
        <w:t xml:space="preserve"> relevant </w:t>
      </w:r>
      <w:r>
        <w:t>consideration</w:t>
      </w:r>
      <w:r w:rsidR="00390B52">
        <w:t xml:space="preserve"> </w:t>
      </w:r>
      <w:r w:rsidR="000C2592">
        <w:t xml:space="preserve">is </w:t>
      </w:r>
      <w:r w:rsidR="00390B52">
        <w:t xml:space="preserve">not whether the ACT Government should be running budget deficits but the efficacy of the current budget strategy.  </w:t>
      </w:r>
    </w:p>
    <w:p w:rsidR="00796D3D" w:rsidRDefault="00796D3D" w:rsidP="00B83167">
      <w:pPr>
        <w:pStyle w:val="Heading2"/>
        <w:spacing w:before="360"/>
      </w:pPr>
      <w:bookmarkStart w:id="109" w:name="_Toc392856625"/>
      <w:bookmarkStart w:id="110" w:name="_Toc393202276"/>
      <w:r>
        <w:t>Trade-offs involved in managing a budget during a downturn</w:t>
      </w:r>
      <w:bookmarkEnd w:id="109"/>
      <w:bookmarkEnd w:id="110"/>
      <w:r>
        <w:t xml:space="preserve"> </w:t>
      </w:r>
    </w:p>
    <w:p w:rsidR="00796D3D" w:rsidRDefault="00796D3D" w:rsidP="00796D3D">
      <w:pPr>
        <w:pStyle w:val="BodyText"/>
      </w:pPr>
      <w:r>
        <w:t>The ACT Treasury could have adopted a number of fiscal strategies for the 2014-15 Budget. In particular, ACT Treasury had the choice between:</w:t>
      </w:r>
    </w:p>
    <w:p w:rsidR="00796D3D" w:rsidRDefault="00796D3D" w:rsidP="00B83167">
      <w:pPr>
        <w:pStyle w:val="ListBullet"/>
        <w:numPr>
          <w:ilvl w:val="0"/>
          <w:numId w:val="21"/>
        </w:numPr>
        <w:spacing w:before="40"/>
        <w:rPr>
          <w:lang w:eastAsia="en-US"/>
        </w:rPr>
      </w:pPr>
      <w:r>
        <w:rPr>
          <w:lang w:eastAsia="en-US"/>
        </w:rPr>
        <w:t>improving the balance sheet position (austerity) or supporting the economy (stimulus)</w:t>
      </w:r>
    </w:p>
    <w:p w:rsidR="00796D3D" w:rsidRDefault="00796D3D" w:rsidP="00B83167">
      <w:pPr>
        <w:pStyle w:val="ListBullet"/>
        <w:numPr>
          <w:ilvl w:val="0"/>
          <w:numId w:val="21"/>
        </w:numPr>
        <w:spacing w:before="40"/>
        <w:rPr>
          <w:lang w:eastAsia="en-US"/>
        </w:rPr>
      </w:pPr>
      <w:r>
        <w:rPr>
          <w:lang w:eastAsia="en-US"/>
        </w:rPr>
        <w:t xml:space="preserve">providing stimulus in the form of infrastructure spending or tax cuts and/or handouts </w:t>
      </w:r>
    </w:p>
    <w:p w:rsidR="00796D3D" w:rsidRDefault="00796D3D" w:rsidP="00B83167">
      <w:pPr>
        <w:pStyle w:val="ListBullet"/>
        <w:numPr>
          <w:ilvl w:val="0"/>
          <w:numId w:val="21"/>
        </w:numPr>
        <w:spacing w:before="40"/>
        <w:rPr>
          <w:lang w:eastAsia="en-US"/>
        </w:rPr>
      </w:pPr>
      <w:proofErr w:type="gramStart"/>
      <w:r>
        <w:rPr>
          <w:lang w:eastAsia="en-US"/>
        </w:rPr>
        <w:t>returning</w:t>
      </w:r>
      <w:proofErr w:type="gramEnd"/>
      <w:r>
        <w:rPr>
          <w:lang w:eastAsia="en-US"/>
        </w:rPr>
        <w:t xml:space="preserve"> to a budget balance in the short-term (1-2 years) or medium-term (4-5 years).</w:t>
      </w:r>
    </w:p>
    <w:p w:rsidR="00796D3D" w:rsidRDefault="00796D3D" w:rsidP="00796D3D">
      <w:pPr>
        <w:pStyle w:val="ListBullet"/>
        <w:numPr>
          <w:ilvl w:val="0"/>
          <w:numId w:val="0"/>
        </w:numPr>
        <w:spacing w:before="140"/>
      </w:pPr>
      <w:r>
        <w:t>The trade-offs involved in the decisions outlined above are detailed in Table 2.</w:t>
      </w:r>
      <w:r w:rsidR="00155FC6">
        <w:t>1</w:t>
      </w:r>
      <w:r>
        <w:t xml:space="preserve"> below.</w:t>
      </w:r>
    </w:p>
    <w:p w:rsidR="00796D3D" w:rsidRDefault="00796D3D" w:rsidP="00B83167">
      <w:pPr>
        <w:pStyle w:val="Caption"/>
        <w:spacing w:before="240"/>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1</w:instrText>
      </w:r>
      <w:r w:rsidRPr="00695C93">
        <w:fldChar w:fldCharType="end"/>
      </w:r>
      <w:r w:rsidRPr="00695C93">
        <w:instrText xml:space="preserve">" "" </w:instrText>
      </w:r>
      <w:r w:rsidRPr="00695C93">
        <w:fldChar w:fldCharType="separate"/>
      </w:r>
      <w:bookmarkStart w:id="111" w:name="_Caption1771"/>
      <w:bookmarkStart w:id="112" w:name="_Caption6738"/>
      <w:bookmarkStart w:id="113" w:name="_Caption3484"/>
      <w:bookmarkStart w:id="114" w:name="_Caption2264"/>
      <w:bookmarkStart w:id="115" w:name="_Caption4964"/>
      <w:bookmarkStart w:id="116" w:name="_Caption2820"/>
      <w:bookmarkStart w:id="117" w:name="_Caption4680"/>
      <w:bookmarkStart w:id="118" w:name="_Toc392840260"/>
      <w:bookmarkStart w:id="119" w:name="_Toc393202308"/>
      <w:r w:rsidR="00CA6314">
        <w:rPr>
          <w:noProof/>
        </w:rPr>
        <w:t>2</w:t>
      </w:r>
      <w:r w:rsidR="00CA6314" w:rsidRPr="00695C93">
        <w:rPr>
          <w:noProof/>
        </w:rPr>
        <w:t>.</w:t>
      </w:r>
      <w:r w:rsidR="00CA6314">
        <w:rPr>
          <w:noProof/>
        </w:rPr>
        <w:t>1</w:t>
      </w:r>
      <w:bookmarkEnd w:id="111"/>
      <w:bookmarkEnd w:id="112"/>
      <w:bookmarkEnd w:id="113"/>
      <w:bookmarkEnd w:id="114"/>
      <w:bookmarkEnd w:id="115"/>
      <w:bookmarkEnd w:id="116"/>
      <w:bookmarkEnd w:id="117"/>
      <w:r w:rsidRPr="00695C93">
        <w:fldChar w:fldCharType="end"/>
      </w:r>
      <w:r w:rsidR="00D61FAA">
        <w:t>1</w:t>
      </w:r>
      <w:r w:rsidRPr="00695C93">
        <w:tab/>
      </w:r>
      <w:r>
        <w:t>Trade-offs involved in managing a budget during a downturn</w:t>
      </w:r>
      <w:bookmarkEnd w:id="118"/>
      <w:bookmarkEnd w:id="119"/>
      <w:r>
        <w:t xml:space="preserve"> </w:t>
      </w:r>
    </w:p>
    <w:tbl>
      <w:tblPr>
        <w:tblW w:w="7938" w:type="dxa"/>
        <w:tblInd w:w="57" w:type="dxa"/>
        <w:tblLayout w:type="fixed"/>
        <w:tblLook w:val="0000" w:firstRow="0" w:lastRow="0" w:firstColumn="0" w:lastColumn="0" w:noHBand="0" w:noVBand="0"/>
      </w:tblPr>
      <w:tblGrid>
        <w:gridCol w:w="3968"/>
        <w:gridCol w:w="3970"/>
      </w:tblGrid>
      <w:tr w:rsidR="00796D3D" w:rsidTr="00EA7863">
        <w:tc>
          <w:tcPr>
            <w:tcW w:w="7938" w:type="dxa"/>
            <w:gridSpan w:val="2"/>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center"/>
            </w:pPr>
            <w:r>
              <w:t>Fiscal policy</w:t>
            </w:r>
          </w:p>
        </w:tc>
      </w:tr>
      <w:tr w:rsidR="00796D3D" w:rsidTr="00EA7863">
        <w:tc>
          <w:tcPr>
            <w:tcW w:w="3968"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Austerity</w:t>
            </w:r>
          </w:p>
        </w:tc>
        <w:tc>
          <w:tcPr>
            <w:tcW w:w="3970"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Stimulus</w:t>
            </w:r>
          </w:p>
        </w:tc>
      </w:tr>
      <w:tr w:rsidR="00796D3D" w:rsidTr="00EA7863">
        <w:tc>
          <w:tcPr>
            <w:tcW w:w="3968" w:type="dxa"/>
            <w:tcBorders>
              <w:top w:val="single" w:sz="8" w:space="0" w:color="FFFFFF" w:themeColor="background1"/>
              <w:bottom w:val="single" w:sz="24" w:space="0" w:color="FFFFFF" w:themeColor="background1"/>
            </w:tcBorders>
            <w:shd w:val="clear" w:color="auto" w:fill="E9E8E5" w:themeFill="background2"/>
            <w:tcMar>
              <w:left w:w="57" w:type="dxa"/>
              <w:right w:w="57" w:type="dxa"/>
            </w:tcMar>
          </w:tcPr>
          <w:p w:rsidR="00796D3D" w:rsidRDefault="00796D3D" w:rsidP="00B83167">
            <w:pPr>
              <w:pStyle w:val="TableListBullet"/>
              <w:numPr>
                <w:ilvl w:val="0"/>
                <w:numId w:val="2"/>
              </w:numPr>
              <w:spacing w:before="40" w:after="40"/>
            </w:pPr>
            <w:r>
              <w:t xml:space="preserve">Austerity measures help to maintain a strong balance sheet position and preserve the current credit rating.  </w:t>
            </w:r>
          </w:p>
          <w:p w:rsidR="00796D3D" w:rsidRDefault="00796D3D" w:rsidP="00B83167">
            <w:pPr>
              <w:pStyle w:val="TableListBullet"/>
              <w:numPr>
                <w:ilvl w:val="0"/>
                <w:numId w:val="2"/>
              </w:numPr>
              <w:spacing w:before="40" w:after="40"/>
            </w:pPr>
            <w:r>
              <w:t xml:space="preserve">Austerity measures may exacerbate the downturn in economic activity. </w:t>
            </w:r>
          </w:p>
        </w:tc>
        <w:tc>
          <w:tcPr>
            <w:tcW w:w="3970" w:type="dxa"/>
            <w:tcBorders>
              <w:top w:val="single" w:sz="8" w:space="0" w:color="FFFFFF" w:themeColor="background1"/>
              <w:bottom w:val="single" w:sz="24" w:space="0" w:color="FFFFFF" w:themeColor="background1"/>
            </w:tcBorders>
            <w:shd w:val="clear" w:color="auto" w:fill="E9E8E5" w:themeFill="background2"/>
            <w:tcMar>
              <w:left w:w="57" w:type="dxa"/>
              <w:right w:w="57" w:type="dxa"/>
            </w:tcMar>
          </w:tcPr>
          <w:p w:rsidR="00796D3D" w:rsidRDefault="00796D3D" w:rsidP="00B83167">
            <w:pPr>
              <w:pStyle w:val="TableListBullet"/>
              <w:numPr>
                <w:ilvl w:val="0"/>
                <w:numId w:val="2"/>
              </w:numPr>
              <w:spacing w:before="40" w:after="40"/>
            </w:pPr>
            <w:r>
              <w:t xml:space="preserve">Stimulus measures deteriorate the balance sheet position, increase debt and increase the risk of a credit downgrade. </w:t>
            </w:r>
          </w:p>
          <w:p w:rsidR="00796D3D" w:rsidRDefault="00796D3D" w:rsidP="00B83167">
            <w:pPr>
              <w:pStyle w:val="TableListBullet"/>
              <w:numPr>
                <w:ilvl w:val="0"/>
                <w:numId w:val="2"/>
              </w:numPr>
              <w:spacing w:before="40" w:after="40"/>
            </w:pPr>
            <w:r>
              <w:t xml:space="preserve">Stimulus measures help to support economic activity. </w:t>
            </w:r>
          </w:p>
        </w:tc>
      </w:tr>
      <w:tr w:rsidR="00796D3D" w:rsidTr="00EA7863">
        <w:trPr>
          <w:trHeight w:val="308"/>
        </w:trPr>
        <w:tc>
          <w:tcPr>
            <w:tcW w:w="7938" w:type="dxa"/>
            <w:gridSpan w:val="2"/>
            <w:tcBorders>
              <w:top w:val="single" w:sz="24" w:space="0" w:color="FFFFFF" w:themeColor="background1"/>
              <w:bottom w:val="single" w:sz="8" w:space="0" w:color="FFFFFF" w:themeColor="background1"/>
            </w:tcBorders>
            <w:shd w:val="clear" w:color="auto" w:fill="6F6652" w:themeFill="accent5"/>
            <w:tcMar>
              <w:left w:w="57" w:type="dxa"/>
              <w:right w:w="57" w:type="dxa"/>
            </w:tcMar>
          </w:tcPr>
          <w:p w:rsidR="00796D3D" w:rsidRPr="00BE734C" w:rsidRDefault="00796D3D" w:rsidP="00EA7863">
            <w:pPr>
              <w:pStyle w:val="TableDataEntries"/>
              <w:jc w:val="center"/>
              <w:rPr>
                <w:b/>
              </w:rPr>
            </w:pPr>
            <w:r w:rsidRPr="00BE734C">
              <w:rPr>
                <w:b/>
                <w:color w:val="FFFFFF" w:themeColor="background1"/>
              </w:rPr>
              <w:t>Policy tools</w:t>
            </w:r>
          </w:p>
        </w:tc>
      </w:tr>
      <w:tr w:rsidR="00796D3D" w:rsidTr="00EA7863">
        <w:tc>
          <w:tcPr>
            <w:tcW w:w="3968"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Infrastructure</w:t>
            </w:r>
          </w:p>
        </w:tc>
        <w:tc>
          <w:tcPr>
            <w:tcW w:w="3970"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Tax cuts</w:t>
            </w:r>
            <w:r>
              <w:t xml:space="preserve"> / hand-outs</w:t>
            </w:r>
          </w:p>
        </w:tc>
      </w:tr>
      <w:tr w:rsidR="00796D3D" w:rsidTr="00EA7863">
        <w:tc>
          <w:tcPr>
            <w:tcW w:w="3968" w:type="dxa"/>
            <w:tcBorders>
              <w:top w:val="single" w:sz="8" w:space="0" w:color="FFFFFF" w:themeColor="background1"/>
              <w:bottom w:val="single" w:sz="24" w:space="0" w:color="FFFFFF" w:themeColor="background1"/>
            </w:tcBorders>
            <w:shd w:val="clear" w:color="auto" w:fill="E9E8E5" w:themeFill="background2"/>
            <w:tcMar>
              <w:left w:w="57" w:type="dxa"/>
              <w:right w:w="57" w:type="dxa"/>
            </w:tcMar>
          </w:tcPr>
          <w:p w:rsidR="00796D3D" w:rsidRDefault="00796D3D" w:rsidP="00796D3D">
            <w:pPr>
              <w:pStyle w:val="TableListBullet"/>
              <w:numPr>
                <w:ilvl w:val="0"/>
                <w:numId w:val="2"/>
              </w:numPr>
            </w:pPr>
            <w:r>
              <w:t xml:space="preserve">Infrastructure spending can generate additional future taxation revenue if it increases the productive capacity of the economy and the tax base. </w:t>
            </w:r>
          </w:p>
          <w:p w:rsidR="00796D3D" w:rsidRDefault="00796D3D" w:rsidP="00796D3D">
            <w:pPr>
              <w:pStyle w:val="TableListBullet"/>
              <w:numPr>
                <w:ilvl w:val="0"/>
                <w:numId w:val="2"/>
              </w:numPr>
            </w:pPr>
            <w:r>
              <w:t xml:space="preserve">Infrastructure spending can be subject to long processing and planning </w:t>
            </w:r>
            <w:proofErr w:type="gramStart"/>
            <w:r>
              <w:t>delays which</w:t>
            </w:r>
            <w:proofErr w:type="gramEnd"/>
            <w:r>
              <w:t xml:space="preserve"> can make it hard predict the timing of the stimulus.   </w:t>
            </w:r>
          </w:p>
        </w:tc>
        <w:tc>
          <w:tcPr>
            <w:tcW w:w="3970" w:type="dxa"/>
            <w:tcBorders>
              <w:top w:val="single" w:sz="8" w:space="0" w:color="FFFFFF" w:themeColor="background1"/>
              <w:bottom w:val="single" w:sz="24" w:space="0" w:color="FFFFFF" w:themeColor="background1"/>
            </w:tcBorders>
            <w:shd w:val="clear" w:color="auto" w:fill="E9E8E5" w:themeFill="background2"/>
            <w:tcMar>
              <w:left w:w="57" w:type="dxa"/>
              <w:right w:w="57" w:type="dxa"/>
            </w:tcMar>
          </w:tcPr>
          <w:p w:rsidR="00796D3D" w:rsidRDefault="00796D3D" w:rsidP="00796D3D">
            <w:pPr>
              <w:pStyle w:val="TableListBullet"/>
              <w:numPr>
                <w:ilvl w:val="0"/>
                <w:numId w:val="2"/>
              </w:numPr>
            </w:pPr>
            <w:r>
              <w:t xml:space="preserve">Tax cuts and/or </w:t>
            </w:r>
            <w:proofErr w:type="gramStart"/>
            <w:r>
              <w:t>hand-outs</w:t>
            </w:r>
            <w:proofErr w:type="gramEnd"/>
            <w:r>
              <w:t xml:space="preserve"> are unlikely to generate as much taxation revenue over the medium-term as they don’t directly expand the productive capacity of the economy or tax base. </w:t>
            </w:r>
          </w:p>
          <w:p w:rsidR="00796D3D" w:rsidRDefault="00796D3D" w:rsidP="00796D3D">
            <w:pPr>
              <w:pStyle w:val="TableListBullet"/>
              <w:numPr>
                <w:ilvl w:val="0"/>
                <w:numId w:val="2"/>
              </w:numPr>
            </w:pPr>
            <w:r>
              <w:t xml:space="preserve">Stimulus </w:t>
            </w:r>
            <w:proofErr w:type="gramStart"/>
            <w:r>
              <w:t>can potentially be provided</w:t>
            </w:r>
            <w:proofErr w:type="gramEnd"/>
            <w:r>
              <w:t xml:space="preserve"> almost immediately to help boost economic activity.  </w:t>
            </w:r>
          </w:p>
        </w:tc>
      </w:tr>
      <w:tr w:rsidR="00796D3D" w:rsidTr="00EA7863">
        <w:tc>
          <w:tcPr>
            <w:tcW w:w="7938" w:type="dxa"/>
            <w:gridSpan w:val="2"/>
            <w:tcBorders>
              <w:top w:val="single" w:sz="24" w:space="0" w:color="FFFFFF" w:themeColor="background1"/>
              <w:bottom w:val="single" w:sz="8" w:space="0" w:color="FFFFFF" w:themeColor="background1"/>
            </w:tcBorders>
            <w:shd w:val="clear" w:color="auto" w:fill="6F6652" w:themeFill="accent5"/>
            <w:tcMar>
              <w:left w:w="57" w:type="dxa"/>
              <w:right w:w="57" w:type="dxa"/>
            </w:tcMar>
          </w:tcPr>
          <w:p w:rsidR="00796D3D" w:rsidRDefault="00796D3D" w:rsidP="00EA7863">
            <w:pPr>
              <w:pStyle w:val="TableDataEntries"/>
              <w:jc w:val="center"/>
            </w:pPr>
            <w:r>
              <w:rPr>
                <w:b/>
                <w:color w:val="FFFFFF" w:themeColor="background1"/>
              </w:rPr>
              <w:t>Return to budget balance</w:t>
            </w:r>
          </w:p>
        </w:tc>
      </w:tr>
      <w:tr w:rsidR="00796D3D" w:rsidTr="00EA7863">
        <w:tc>
          <w:tcPr>
            <w:tcW w:w="3968"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Short-term</w:t>
            </w:r>
          </w:p>
        </w:tc>
        <w:tc>
          <w:tcPr>
            <w:tcW w:w="3970"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BE734C" w:rsidRDefault="00796D3D" w:rsidP="00B83167">
            <w:pPr>
              <w:pStyle w:val="TableHeading1"/>
              <w:spacing w:before="80" w:after="40"/>
              <w:jc w:val="center"/>
            </w:pPr>
            <w:r w:rsidRPr="00BE734C">
              <w:t>Medium-term</w:t>
            </w:r>
          </w:p>
        </w:tc>
      </w:tr>
      <w:tr w:rsidR="00796D3D" w:rsidTr="00EA7863">
        <w:tc>
          <w:tcPr>
            <w:tcW w:w="3968"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796D3D">
            <w:pPr>
              <w:pStyle w:val="TableListBullet"/>
              <w:numPr>
                <w:ilvl w:val="0"/>
                <w:numId w:val="2"/>
              </w:numPr>
            </w:pPr>
            <w:r>
              <w:t xml:space="preserve">Returning to budget balance quickly can reduce interest costs associated with additional borrowings because funds are borrowed for a shorter </w:t>
            </w:r>
            <w:proofErr w:type="gramStart"/>
            <w:r>
              <w:t>period of time</w:t>
            </w:r>
            <w:proofErr w:type="gramEnd"/>
            <w:r>
              <w:t xml:space="preserve">. </w:t>
            </w:r>
          </w:p>
          <w:p w:rsidR="00796D3D" w:rsidRDefault="00796D3D" w:rsidP="00796D3D">
            <w:pPr>
              <w:pStyle w:val="TableListBullet"/>
              <w:numPr>
                <w:ilvl w:val="0"/>
                <w:numId w:val="2"/>
              </w:numPr>
            </w:pPr>
            <w:r>
              <w:t xml:space="preserve">Returning to budget balance quickly has the potential to de-stabilise the economy and reduce risk management and flexibility. </w:t>
            </w:r>
          </w:p>
        </w:tc>
        <w:tc>
          <w:tcPr>
            <w:tcW w:w="3970" w:type="dxa"/>
            <w:tcBorders>
              <w:top w:val="single" w:sz="8" w:space="0" w:color="FFFFFF" w:themeColor="background1"/>
              <w:bottom w:val="single" w:sz="6" w:space="0" w:color="6F6652"/>
            </w:tcBorders>
            <w:shd w:val="clear" w:color="auto" w:fill="E9E8E5" w:themeFill="background2"/>
            <w:tcMar>
              <w:left w:w="57" w:type="dxa"/>
              <w:right w:w="57" w:type="dxa"/>
            </w:tcMar>
          </w:tcPr>
          <w:p w:rsidR="00796D3D" w:rsidRDefault="00796D3D" w:rsidP="00796D3D">
            <w:pPr>
              <w:pStyle w:val="TableListBullet"/>
              <w:numPr>
                <w:ilvl w:val="0"/>
                <w:numId w:val="2"/>
              </w:numPr>
            </w:pPr>
            <w:r>
              <w:t xml:space="preserve">Returning to budget balance over the medium-term can increase borrowing costs and increase exposure to market volatility.  </w:t>
            </w:r>
          </w:p>
          <w:p w:rsidR="00796D3D" w:rsidRDefault="00796D3D" w:rsidP="00796D3D">
            <w:pPr>
              <w:pStyle w:val="TableListBullet"/>
              <w:numPr>
                <w:ilvl w:val="0"/>
                <w:numId w:val="2"/>
              </w:numPr>
            </w:pPr>
            <w:r>
              <w:t xml:space="preserve">Returning to budget balance over the medium-term allows the economy to adjust to the transition. </w:t>
            </w:r>
          </w:p>
        </w:tc>
      </w:tr>
    </w:tbl>
    <w:p w:rsidR="00796D3D" w:rsidRDefault="00796D3D" w:rsidP="00796D3D">
      <w:pPr>
        <w:pStyle w:val="Source"/>
      </w:pPr>
      <w:r>
        <w:rPr>
          <w:i/>
        </w:rPr>
        <w:t>Source</w:t>
      </w:r>
      <w:r w:rsidRPr="00E4232C">
        <w:rPr>
          <w:i/>
        </w:rPr>
        <w:t>:</w:t>
      </w:r>
      <w:r>
        <w:t xml:space="preserve"> The CIE </w:t>
      </w:r>
    </w:p>
    <w:p w:rsidR="00796D3D" w:rsidRDefault="00796D3D" w:rsidP="00B83167">
      <w:pPr>
        <w:pStyle w:val="Heading3"/>
        <w:spacing w:before="360"/>
      </w:pPr>
      <w:r>
        <w:t xml:space="preserve">Stimulus vs. Austerity </w:t>
      </w:r>
    </w:p>
    <w:p w:rsidR="00796D3D" w:rsidRDefault="00796D3D" w:rsidP="00796D3D">
      <w:pPr>
        <w:pStyle w:val="ListBullet"/>
        <w:numPr>
          <w:ilvl w:val="0"/>
          <w:numId w:val="0"/>
        </w:numPr>
        <w:rPr>
          <w:lang w:val="en"/>
        </w:rPr>
      </w:pPr>
      <w:r>
        <w:rPr>
          <w:lang w:val="en"/>
        </w:rPr>
        <w:t xml:space="preserve">Austerity measures, as currently seen in some European countries, are typically pursued if there is a risk that a government cannot honor its debt liabilities or that a government’s credit rating may be downgraded. The relatively low levels of debt and liabilities of the ACT Government suggest that this is not currently a concern and that the provision of some stimulus to the ACT economy was prudent. </w:t>
      </w:r>
    </w:p>
    <w:p w:rsidR="00796D3D" w:rsidRDefault="00796D3D" w:rsidP="00B83167">
      <w:pPr>
        <w:pStyle w:val="Heading3"/>
        <w:numPr>
          <w:ilvl w:val="0"/>
          <w:numId w:val="0"/>
        </w:numPr>
        <w:spacing w:before="360"/>
      </w:pPr>
      <w:r>
        <w:t xml:space="preserve">Infrastructure vs. tax cuts / hand-outs  </w:t>
      </w:r>
    </w:p>
    <w:p w:rsidR="00796D3D" w:rsidRDefault="00796D3D" w:rsidP="007E1E5A">
      <w:pPr>
        <w:pStyle w:val="BodyText"/>
        <w:rPr>
          <w:lang w:val="en"/>
        </w:rPr>
      </w:pPr>
      <w:r>
        <w:rPr>
          <w:lang w:val="en"/>
        </w:rPr>
        <w:t>Instead of infrastructure spending the ACT Government could have attempted to stimulate the economy by tax cuts or handouts as was seen by the Federal Government in 2010. The main benefit of these policy measures is that they allow stimulus to be provided to the economy almost immediately. However, the measures do</w:t>
      </w:r>
      <w:r w:rsidR="00DE375E">
        <w:rPr>
          <w:lang w:val="en"/>
        </w:rPr>
        <w:t xml:space="preserve"> not</w:t>
      </w:r>
      <w:r>
        <w:rPr>
          <w:lang w:val="en"/>
        </w:rPr>
        <w:t xml:space="preserve"> help to expand the productive capacity and future tax base of the economy in the way that infrastructure spending does. </w:t>
      </w:r>
    </w:p>
    <w:p w:rsidR="00796D3D" w:rsidRDefault="00796D3D" w:rsidP="007E1E5A">
      <w:pPr>
        <w:pStyle w:val="BodyText"/>
        <w:rPr>
          <w:lang w:val="en"/>
        </w:rPr>
      </w:pPr>
      <w:r>
        <w:rPr>
          <w:lang w:val="en"/>
        </w:rPr>
        <w:t xml:space="preserve">Given that the level of activity in the ACT economy is not expected to fall too sharply and/or deeply, there appears to have been little rationale for stimulus to be in the form of tax cuts and/or handouts. </w:t>
      </w:r>
    </w:p>
    <w:p w:rsidR="00796D3D" w:rsidRDefault="00796D3D" w:rsidP="00B83167">
      <w:pPr>
        <w:pStyle w:val="Heading3"/>
        <w:numPr>
          <w:ilvl w:val="0"/>
          <w:numId w:val="0"/>
        </w:numPr>
        <w:spacing w:before="360"/>
      </w:pPr>
      <w:r>
        <w:t>Short-term vs. medium-term</w:t>
      </w:r>
    </w:p>
    <w:p w:rsidR="00796D3D" w:rsidRDefault="00796D3D" w:rsidP="007E1E5A">
      <w:pPr>
        <w:pStyle w:val="BodyText"/>
        <w:rPr>
          <w:lang w:val="en"/>
        </w:rPr>
      </w:pPr>
      <w:r>
        <w:rPr>
          <w:lang w:val="en"/>
        </w:rPr>
        <w:t xml:space="preserve">Instead of returning the budget to balance over the medium term the ACT Government could have attempted to bring the budget back to balance within 1 to 2 years. However, given the low level of interest rates and the modest risk that rates will </w:t>
      </w:r>
      <w:proofErr w:type="gramStart"/>
      <w:r>
        <w:rPr>
          <w:lang w:val="en"/>
        </w:rPr>
        <w:t>rise</w:t>
      </w:r>
      <w:proofErr w:type="gramEnd"/>
      <w:r>
        <w:rPr>
          <w:lang w:val="en"/>
        </w:rPr>
        <w:t xml:space="preserve"> in the future, there appears to have been little rationale for returning to budget balance in the          short-term at the risk of destabilizing the economy. </w:t>
      </w:r>
    </w:p>
    <w:p w:rsidR="00796D3D" w:rsidRDefault="00796D3D" w:rsidP="00B83167">
      <w:pPr>
        <w:pStyle w:val="Heading2"/>
        <w:spacing w:before="480"/>
      </w:pPr>
      <w:bookmarkStart w:id="120" w:name="_Toc392856626"/>
      <w:bookmarkStart w:id="121" w:name="_Toc393202277"/>
      <w:r>
        <w:t>Efficacy of stimulus</w:t>
      </w:r>
      <w:bookmarkEnd w:id="120"/>
      <w:bookmarkEnd w:id="121"/>
    </w:p>
    <w:p w:rsidR="00796D3D" w:rsidRDefault="00796D3D" w:rsidP="00DE375E">
      <w:pPr>
        <w:pStyle w:val="BodyText"/>
      </w:pPr>
      <w:r>
        <w:t xml:space="preserve">An important aspect of assessing the fiscal strategy of the ACT Government is the efficacy of the stimulus provided to the economy. A number of criteria </w:t>
      </w:r>
      <w:proofErr w:type="gramStart"/>
      <w:r>
        <w:t>can be used</w:t>
      </w:r>
      <w:proofErr w:type="gramEnd"/>
      <w:r>
        <w:t xml:space="preserve"> to assess the efficacy of the fiscal strategy including: </w:t>
      </w:r>
    </w:p>
    <w:p w:rsidR="00796D3D" w:rsidRDefault="00796D3D" w:rsidP="007E1E5A">
      <w:pPr>
        <w:pStyle w:val="ListBullet"/>
        <w:rPr>
          <w:lang w:eastAsia="en-US"/>
        </w:rPr>
      </w:pPr>
      <w:r>
        <w:rPr>
          <w:lang w:eastAsia="en-US"/>
        </w:rPr>
        <w:t xml:space="preserve">the scale of stimulus  </w:t>
      </w:r>
    </w:p>
    <w:p w:rsidR="00796D3D" w:rsidRDefault="00796D3D" w:rsidP="007E1E5A">
      <w:pPr>
        <w:pStyle w:val="ListBullet"/>
        <w:rPr>
          <w:lang w:eastAsia="en-US"/>
        </w:rPr>
      </w:pPr>
      <w:r>
        <w:rPr>
          <w:lang w:eastAsia="en-US"/>
        </w:rPr>
        <w:t xml:space="preserve">the timing of stimulus </w:t>
      </w:r>
    </w:p>
    <w:p w:rsidR="00796D3D" w:rsidRDefault="00796D3D" w:rsidP="007E1E5A">
      <w:pPr>
        <w:pStyle w:val="ListBullet"/>
        <w:rPr>
          <w:lang w:eastAsia="en-US"/>
        </w:rPr>
      </w:pPr>
      <w:proofErr w:type="gramStart"/>
      <w:r>
        <w:rPr>
          <w:lang w:eastAsia="en-US"/>
        </w:rPr>
        <w:t>the</w:t>
      </w:r>
      <w:proofErr w:type="gramEnd"/>
      <w:r>
        <w:rPr>
          <w:lang w:eastAsia="en-US"/>
        </w:rPr>
        <w:t xml:space="preserve"> expected returns on investment/spending. </w:t>
      </w:r>
    </w:p>
    <w:p w:rsidR="00796D3D" w:rsidRDefault="00796D3D" w:rsidP="00796D3D">
      <w:pPr>
        <w:pStyle w:val="Heading3"/>
      </w:pPr>
      <w:r>
        <w:t xml:space="preserve">The scale of stimulus </w:t>
      </w:r>
    </w:p>
    <w:p w:rsidR="00796D3D" w:rsidRDefault="00796D3D" w:rsidP="00DE375E">
      <w:pPr>
        <w:pStyle w:val="BodyText"/>
      </w:pPr>
      <w:r>
        <w:t xml:space="preserve">Choosing the scale of stimulus also involves trade-offs. Too much stimulus can potentially risk a government’s credit rating and budget position, while not enough stimulus can result in unnecessary spare capacity in the economy i.e. unemployment or underemployment. </w:t>
      </w:r>
    </w:p>
    <w:p w:rsidR="00796D3D" w:rsidRDefault="00796D3D" w:rsidP="00DE375E">
      <w:pPr>
        <w:pStyle w:val="BodyText"/>
      </w:pPr>
      <w:r>
        <w:t xml:space="preserve">Table </w:t>
      </w:r>
      <w:r w:rsidR="000B204E">
        <w:fldChar w:fldCharType="begin"/>
      </w:r>
      <w:r w:rsidR="000B204E">
        <w:instrText xml:space="preserve"> REF _Caption1876 </w:instrText>
      </w:r>
      <w:r w:rsidR="000B204E">
        <w:fldChar w:fldCharType="separate"/>
      </w:r>
      <w:r w:rsidR="00CA6314">
        <w:rPr>
          <w:noProof/>
        </w:rPr>
        <w:t>2</w:t>
      </w:r>
      <w:r w:rsidR="00CA6314" w:rsidRPr="00695C93">
        <w:rPr>
          <w:noProof/>
        </w:rPr>
        <w:t>.</w:t>
      </w:r>
      <w:r w:rsidR="00CA6314">
        <w:rPr>
          <w:noProof/>
        </w:rPr>
        <w:t>2</w:t>
      </w:r>
      <w:r w:rsidR="000B204E">
        <w:rPr>
          <w:noProof/>
        </w:rPr>
        <w:fldChar w:fldCharType="end"/>
      </w:r>
      <w:r>
        <w:t xml:space="preserve"> outlines the criteria used by Standard and </w:t>
      </w:r>
      <w:proofErr w:type="spellStart"/>
      <w:r>
        <w:t>Poors</w:t>
      </w:r>
      <w:proofErr w:type="spellEnd"/>
      <w:r>
        <w:t xml:space="preserve"> (S&amp;P) to assess the credit worthiness of local and regional governments. Of these criteria, stimulus spending primarily affects a government’s budget performance and debt burden, and </w:t>
      </w:r>
      <w:proofErr w:type="gramStart"/>
      <w:r>
        <w:t>can also</w:t>
      </w:r>
      <w:proofErr w:type="gramEnd"/>
      <w:r>
        <w:t xml:space="preserve"> potentially impact on budget flexibility and liquidity. Significantly, however, a number of the criteria used by S&amp;P to assess the credit worthiness of the ACT Government </w:t>
      </w:r>
      <w:proofErr w:type="gramStart"/>
      <w:r>
        <w:t>will not be significantly affected</w:t>
      </w:r>
      <w:proofErr w:type="gramEnd"/>
      <w:r>
        <w:t xml:space="preserve"> by the stimulus spending. Given that a number of measures of budgetary performance and debt burden remain in line with Victoria, the only other Australian State </w:t>
      </w:r>
      <w:proofErr w:type="gramStart"/>
      <w:r>
        <w:t>to currently have</w:t>
      </w:r>
      <w:proofErr w:type="gramEnd"/>
      <w:r>
        <w:t xml:space="preserve"> an AAA credit rating, there is seen to be only a modest risk of credit downgrade. </w:t>
      </w:r>
    </w:p>
    <w:p w:rsidR="00796D3D" w:rsidRDefault="00796D3D" w:rsidP="00796D3D">
      <w:pPr>
        <w:pStyle w:val="BodyText"/>
      </w:pPr>
      <w:r>
        <w:t>This view is consistent with public comments recently made by Anna Hughes, S&amp;P analyst:</w:t>
      </w:r>
      <w:r>
        <w:rPr>
          <w:rStyle w:val="FootnoteReference"/>
        </w:rPr>
        <w:footnoteReference w:id="4"/>
      </w:r>
    </w:p>
    <w:p w:rsidR="00796D3D" w:rsidRDefault="00796D3D" w:rsidP="00796D3D">
      <w:pPr>
        <w:pStyle w:val="Quote"/>
      </w:pPr>
      <w:r>
        <w:t xml:space="preserve">We are not seeing any impact from the budget on the triple-A stable outlook. Certainly, with the preliminary analysis we have done, it looks like everything is in the current metrics for the triple A.  </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2</w:instrText>
      </w:r>
      <w:r w:rsidRPr="00695C93">
        <w:fldChar w:fldCharType="end"/>
      </w:r>
      <w:r w:rsidRPr="00695C93">
        <w:instrText xml:space="preserve">" "" </w:instrText>
      </w:r>
      <w:r w:rsidRPr="00695C93">
        <w:fldChar w:fldCharType="separate"/>
      </w:r>
      <w:bookmarkStart w:id="122" w:name="_Caption7119"/>
      <w:bookmarkStart w:id="123" w:name="_Caption1876"/>
      <w:bookmarkStart w:id="124" w:name="_Caption9165"/>
      <w:bookmarkStart w:id="125" w:name="_Caption7464"/>
      <w:bookmarkStart w:id="126" w:name="_Caption7490"/>
      <w:bookmarkStart w:id="127" w:name="_Caption2001"/>
      <w:bookmarkStart w:id="128" w:name="_Caption2184"/>
      <w:bookmarkStart w:id="129" w:name="_Toc392840261"/>
      <w:bookmarkStart w:id="130" w:name="_Toc393202309"/>
      <w:r w:rsidR="00CA6314">
        <w:rPr>
          <w:noProof/>
        </w:rPr>
        <w:t>2</w:t>
      </w:r>
      <w:r w:rsidR="00CA6314" w:rsidRPr="00695C93">
        <w:rPr>
          <w:noProof/>
        </w:rPr>
        <w:t>.</w:t>
      </w:r>
      <w:r w:rsidR="00CA6314">
        <w:rPr>
          <w:noProof/>
        </w:rPr>
        <w:t>2</w:t>
      </w:r>
      <w:bookmarkEnd w:id="122"/>
      <w:bookmarkEnd w:id="123"/>
      <w:bookmarkEnd w:id="124"/>
      <w:bookmarkEnd w:id="125"/>
      <w:bookmarkEnd w:id="126"/>
      <w:bookmarkEnd w:id="127"/>
      <w:bookmarkEnd w:id="128"/>
      <w:r w:rsidRPr="00695C93">
        <w:fldChar w:fldCharType="end"/>
      </w:r>
      <w:r w:rsidRPr="00695C93">
        <w:tab/>
      </w:r>
      <w:r w:rsidR="00911ACE">
        <w:t>Ke</w:t>
      </w:r>
      <w:r>
        <w:t>y performance indicators of ACT Government’s credit worthiness</w:t>
      </w:r>
      <w:bookmarkEnd w:id="129"/>
      <w:bookmarkEnd w:id="130"/>
      <w:r>
        <w:t xml:space="preserve"> </w:t>
      </w:r>
      <w:r w:rsidRPr="00695C93">
        <w:tab/>
      </w:r>
    </w:p>
    <w:tbl>
      <w:tblPr>
        <w:tblW w:w="0" w:type="auto"/>
        <w:tblInd w:w="57" w:type="dxa"/>
        <w:tblLayout w:type="fixed"/>
        <w:tblLook w:val="0000" w:firstRow="0" w:lastRow="0" w:firstColumn="0" w:lastColumn="0" w:noHBand="0" w:noVBand="0"/>
      </w:tblPr>
      <w:tblGrid>
        <w:gridCol w:w="1587"/>
        <w:gridCol w:w="256"/>
        <w:gridCol w:w="6095"/>
      </w:tblGrid>
      <w:tr w:rsidR="00796D3D" w:rsidTr="00EA7863">
        <w:tc>
          <w:tcPr>
            <w:tcW w:w="1587" w:type="dxa"/>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left"/>
            </w:pPr>
            <w:r>
              <w:t xml:space="preserve">Criteria </w:t>
            </w:r>
          </w:p>
        </w:tc>
        <w:tc>
          <w:tcPr>
            <w:tcW w:w="6351" w:type="dxa"/>
            <w:gridSpan w:val="2"/>
            <w:tcBorders>
              <w:bottom w:val="single" w:sz="8" w:space="0" w:color="FFFFFF" w:themeColor="background1"/>
            </w:tcBorders>
            <w:shd w:val="clear" w:color="auto" w:fill="6F6652"/>
            <w:tcMar>
              <w:left w:w="57" w:type="dxa"/>
              <w:right w:w="57" w:type="dxa"/>
            </w:tcMar>
          </w:tcPr>
          <w:p w:rsidR="00796D3D" w:rsidRDefault="00796D3D" w:rsidP="00EA7863">
            <w:pPr>
              <w:pStyle w:val="TableDataColumnHeading"/>
              <w:jc w:val="left"/>
            </w:pPr>
            <w:r>
              <w:t xml:space="preserve">       Key performance indicators</w:t>
            </w:r>
          </w:p>
        </w:tc>
      </w:tr>
      <w:tr w:rsidR="00796D3D" w:rsidTr="00EA7863">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Unit"/>
              <w:jc w:val="left"/>
            </w:pPr>
            <w:r>
              <w:t xml:space="preserve">Institutional framework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proofErr w:type="gramStart"/>
            <w:r w:rsidRPr="00F0043F">
              <w:t xml:space="preserve">Predictability, </w:t>
            </w:r>
            <w:r>
              <w:t>t</w:t>
            </w:r>
            <w:r w:rsidRPr="00F0043F">
              <w:t xml:space="preserve">ransparency and accountability, </w:t>
            </w:r>
            <w:r>
              <w:t xml:space="preserve">extent of </w:t>
            </w:r>
            <w:r w:rsidRPr="00F0043F">
              <w:t xml:space="preserve">support from </w:t>
            </w:r>
            <w:r>
              <w:t xml:space="preserve">Federal Government, </w:t>
            </w:r>
            <w:r w:rsidRPr="00F0043F">
              <w:t>overall adequacy o</w:t>
            </w:r>
            <w:r>
              <w:t xml:space="preserve">f revenue </w:t>
            </w:r>
            <w:r w:rsidRPr="00F0043F">
              <w:t>to cover expenditure</w:t>
            </w:r>
            <w:r>
              <w:t>.</w:t>
            </w:r>
            <w:proofErr w:type="gramEnd"/>
            <w:r>
              <w:rPr>
                <w:rFonts w:ascii="AmasisMT" w:hAnsi="AmasisMT" w:cs="AmasisMT"/>
                <w:sz w:val="20"/>
                <w:szCs w:val="20"/>
              </w:rPr>
              <w:t xml:space="preserve">  </w:t>
            </w:r>
          </w:p>
        </w:tc>
      </w:tr>
      <w:tr w:rsidR="00796D3D" w:rsidTr="00EA7863">
        <w:trPr>
          <w:trHeight w:val="381"/>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Economy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proofErr w:type="gramStart"/>
            <w:r>
              <w:t>Wealth, diversification of economy, demographics, growth prospects.</w:t>
            </w:r>
            <w:proofErr w:type="gramEnd"/>
            <w:r>
              <w:t xml:space="preserve">  </w:t>
            </w:r>
          </w:p>
        </w:tc>
      </w:tr>
      <w:tr w:rsidR="00796D3D" w:rsidTr="00EA7863">
        <w:trPr>
          <w:trHeight w:val="969"/>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Financial management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Transparency and disclosure, budgeting, long-term capital and financial planning, revenue and expenditure management, debt management, reserve and liquidity management, management of government related entities, political and managerial strength, external risk management. </w:t>
            </w:r>
          </w:p>
        </w:tc>
      </w:tr>
      <w:tr w:rsidR="00796D3D" w:rsidTr="00EA7863">
        <w:trPr>
          <w:trHeight w:val="543"/>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Budgetary flexibility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proofErr w:type="gramStart"/>
            <w:r>
              <w:t>Ability to raise taxes, fees or tariffs, the political willingness and economic limits that could curb use of this flexibility, and potential revenues from asset sales.</w:t>
            </w:r>
            <w:proofErr w:type="gramEnd"/>
            <w:r>
              <w:t xml:space="preserve"> </w:t>
            </w:r>
          </w:p>
        </w:tc>
      </w:tr>
      <w:tr w:rsidR="00796D3D" w:rsidTr="00EA7863">
        <w:trPr>
          <w:trHeight w:val="551"/>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Budgetary performance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proofErr w:type="gramStart"/>
            <w:r w:rsidRPr="005E2C59">
              <w:t>Operating balance as a percentag</w:t>
            </w:r>
            <w:r>
              <w:t>e of adjusted operating revenue</w:t>
            </w:r>
            <w:r w:rsidRPr="005E2C59">
              <w:t xml:space="preserve">, </w:t>
            </w:r>
            <w:r>
              <w:t>operating b</w:t>
            </w:r>
            <w:r w:rsidRPr="005E2C59">
              <w:t>alance after capital accounts as a percentage of total adjusted revenues</w:t>
            </w:r>
            <w:r>
              <w:t>.</w:t>
            </w:r>
            <w:proofErr w:type="gramEnd"/>
            <w:r>
              <w:t xml:space="preserve"> </w:t>
            </w:r>
          </w:p>
        </w:tc>
      </w:tr>
      <w:tr w:rsidR="00796D3D" w:rsidTr="00EA7863">
        <w:trPr>
          <w:trHeight w:val="545"/>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Liquidity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proofErr w:type="gramStart"/>
            <w:r>
              <w:t>Liquidity framework, internal and external cash flow generation capacity, use of stress analysis during market turbulence.</w:t>
            </w:r>
            <w:proofErr w:type="gramEnd"/>
            <w:r>
              <w:t xml:space="preserve"> </w:t>
            </w:r>
          </w:p>
        </w:tc>
      </w:tr>
      <w:tr w:rsidR="00796D3D" w:rsidTr="00911ACE">
        <w:trPr>
          <w:trHeight w:val="489"/>
        </w:trPr>
        <w:tc>
          <w:tcPr>
            <w:tcW w:w="1843" w:type="dxa"/>
            <w:gridSpan w:val="2"/>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jc w:val="left"/>
            </w:pPr>
            <w:r>
              <w:t xml:space="preserve">Debt burden </w:t>
            </w:r>
          </w:p>
        </w:tc>
        <w:tc>
          <w:tcPr>
            <w:tcW w:w="609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spacing w:before="0" w:after="0"/>
              <w:jc w:val="left"/>
            </w:pPr>
            <w:r>
              <w:t>Expected stock of debt and interest burden, potential volatility of</w:t>
            </w:r>
            <w:r w:rsidRPr="00B95EA0">
              <w:t xml:space="preserve"> the cost of debt fr</w:t>
            </w:r>
            <w:r>
              <w:t xml:space="preserve">om exposure to market risks, </w:t>
            </w:r>
            <w:r w:rsidRPr="00B95EA0">
              <w:t xml:space="preserve">other long-term liabilities, </w:t>
            </w:r>
            <w:proofErr w:type="gramStart"/>
            <w:r w:rsidRPr="00B95EA0">
              <w:t>mostly</w:t>
            </w:r>
            <w:proofErr w:type="gramEnd"/>
            <w:r w:rsidRPr="00B95EA0">
              <w:t xml:space="preserve"> unfunded pension liabilities.</w:t>
            </w:r>
          </w:p>
        </w:tc>
      </w:tr>
      <w:tr w:rsidR="00796D3D" w:rsidTr="00911ACE">
        <w:trPr>
          <w:trHeight w:val="555"/>
        </w:trPr>
        <w:tc>
          <w:tcPr>
            <w:tcW w:w="1843" w:type="dxa"/>
            <w:gridSpan w:val="2"/>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jc w:val="left"/>
            </w:pPr>
            <w:r>
              <w:t>Contingent liabilities</w:t>
            </w:r>
          </w:p>
        </w:tc>
        <w:tc>
          <w:tcPr>
            <w:tcW w:w="6095"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spacing w:before="0" w:after="0"/>
              <w:jc w:val="left"/>
            </w:pPr>
            <w:proofErr w:type="gramStart"/>
            <w:r>
              <w:t>T</w:t>
            </w:r>
            <w:r w:rsidRPr="005E2C59">
              <w:t>he nature of the contingent liabilit</w:t>
            </w:r>
            <w:r>
              <w:t xml:space="preserve">ies, materiality, </w:t>
            </w:r>
            <w:r w:rsidRPr="005E2C59">
              <w:t xml:space="preserve">the </w:t>
            </w:r>
            <w:r>
              <w:t xml:space="preserve">monitoring process,     </w:t>
            </w:r>
            <w:r w:rsidRPr="005E2C59">
              <w:t>contingency reserves.</w:t>
            </w:r>
            <w:proofErr w:type="gramEnd"/>
          </w:p>
        </w:tc>
      </w:tr>
    </w:tbl>
    <w:p w:rsidR="00796D3D" w:rsidRDefault="00796D3D" w:rsidP="00796D3D">
      <w:pPr>
        <w:pStyle w:val="Source"/>
      </w:pPr>
      <w:r>
        <w:rPr>
          <w:i/>
        </w:rPr>
        <w:t>Source</w:t>
      </w:r>
      <w:r w:rsidRPr="00E4232C">
        <w:rPr>
          <w:i/>
        </w:rPr>
        <w:t>:</w:t>
      </w:r>
      <w:r>
        <w:t xml:space="preserve"> Standard and </w:t>
      </w:r>
      <w:proofErr w:type="spellStart"/>
      <w:r>
        <w:t>Poors</w:t>
      </w:r>
      <w:proofErr w:type="spellEnd"/>
      <w:r>
        <w:t xml:space="preserve">, International Public Finance: Methodology </w:t>
      </w:r>
      <w:proofErr w:type="gramStart"/>
      <w:r>
        <w:t>For</w:t>
      </w:r>
      <w:proofErr w:type="gramEnd"/>
      <w:r>
        <w:t xml:space="preserve"> Rating International Local and Regional Governments, 2010. </w:t>
      </w:r>
    </w:p>
    <w:p w:rsidR="00796D3D" w:rsidRDefault="00796D3D" w:rsidP="00911ACE">
      <w:pPr>
        <w:pStyle w:val="Heading3"/>
        <w:spacing w:before="360"/>
      </w:pPr>
      <w:r>
        <w:t xml:space="preserve">The timing of stimulus </w:t>
      </w:r>
    </w:p>
    <w:p w:rsidR="00796D3D" w:rsidRDefault="00796D3D" w:rsidP="00796D3D">
      <w:pPr>
        <w:pStyle w:val="BodyText"/>
      </w:pPr>
      <w:r>
        <w:t xml:space="preserve">Given the use of infrastructure spending to stimulate the economy, it is important that the construction phases of the projects align with the expected downturn in the economy. Table </w:t>
      </w:r>
      <w:r w:rsidR="000B204E">
        <w:fldChar w:fldCharType="begin"/>
      </w:r>
      <w:r w:rsidR="000B204E">
        <w:instrText xml:space="preserve"> REF _Caption8337 </w:instrText>
      </w:r>
      <w:r w:rsidR="000B204E">
        <w:fldChar w:fldCharType="separate"/>
      </w:r>
      <w:r w:rsidR="00CA6314">
        <w:rPr>
          <w:noProof/>
        </w:rPr>
        <w:t>2</w:t>
      </w:r>
      <w:r w:rsidR="00CA6314" w:rsidRPr="00695C93">
        <w:rPr>
          <w:noProof/>
        </w:rPr>
        <w:t>.</w:t>
      </w:r>
      <w:r w:rsidR="00CA6314">
        <w:rPr>
          <w:noProof/>
        </w:rPr>
        <w:t>3</w:t>
      </w:r>
      <w:r w:rsidR="000B204E">
        <w:rPr>
          <w:noProof/>
        </w:rPr>
        <w:fldChar w:fldCharType="end"/>
      </w:r>
      <w:r>
        <w:t xml:space="preserve"> below outlines the 2014-15 Budget Infrastructure Program and shows that the vast majority of the spending associated with the new capital program and works currently in progress </w:t>
      </w:r>
      <w:proofErr w:type="gramStart"/>
      <w:r>
        <w:t>is being spent</w:t>
      </w:r>
      <w:proofErr w:type="gramEnd"/>
      <w:r>
        <w:t xml:space="preserve"> in 2014-15 and 2015-16. In particular: </w:t>
      </w:r>
    </w:p>
    <w:p w:rsidR="00796D3D" w:rsidRDefault="00796D3D" w:rsidP="00796D3D">
      <w:pPr>
        <w:pStyle w:val="ListBullet"/>
        <w:numPr>
          <w:ilvl w:val="0"/>
          <w:numId w:val="21"/>
        </w:numPr>
        <w:rPr>
          <w:lang w:eastAsia="en-US"/>
        </w:rPr>
      </w:pPr>
      <w:r>
        <w:t>93 per cent of the expenditure on capital works in the New Capital Program occurs in 2014-15 and 2015-16</w:t>
      </w:r>
    </w:p>
    <w:p w:rsidR="00796D3D" w:rsidRDefault="00796D3D" w:rsidP="00796D3D">
      <w:pPr>
        <w:pStyle w:val="ListBullet"/>
        <w:numPr>
          <w:ilvl w:val="0"/>
          <w:numId w:val="21"/>
        </w:numPr>
        <w:rPr>
          <w:lang w:eastAsia="en-US"/>
        </w:rPr>
      </w:pPr>
      <w:r>
        <w:t>96 per cent of the expenditure on capital works currently in progress occurs in 2014-15 and 2015-16</w:t>
      </w:r>
    </w:p>
    <w:p w:rsidR="00796D3D" w:rsidRDefault="00796D3D" w:rsidP="00796D3D">
      <w:pPr>
        <w:pStyle w:val="ListBullet"/>
        <w:numPr>
          <w:ilvl w:val="0"/>
          <w:numId w:val="0"/>
        </w:numPr>
        <w:rPr>
          <w:lang w:eastAsia="en-US"/>
        </w:rPr>
      </w:pPr>
      <w:r>
        <w:rPr>
          <w:lang w:eastAsia="en-US"/>
        </w:rPr>
        <w:t xml:space="preserve">This coincides with the timing of the expected slowdown in the ACT economy. </w:t>
      </w:r>
    </w:p>
    <w:p w:rsidR="00796D3D" w:rsidRDefault="00796D3D" w:rsidP="007E1E5A">
      <w:pPr>
        <w:pStyle w:val="BodyText"/>
      </w:pPr>
      <w:r>
        <w:rPr>
          <w:lang w:eastAsia="en-US"/>
        </w:rPr>
        <w:t xml:space="preserve">In contrast, the vast majority of spending associated with provisioned capital expenditure, including Capital Metro, </w:t>
      </w:r>
      <w:proofErr w:type="gramStart"/>
      <w:r>
        <w:rPr>
          <w:lang w:eastAsia="en-US"/>
        </w:rPr>
        <w:t>is expected to be spent</w:t>
      </w:r>
      <w:proofErr w:type="gramEnd"/>
      <w:r>
        <w:rPr>
          <w:lang w:eastAsia="en-US"/>
        </w:rPr>
        <w:t xml:space="preserve"> in 2016-17 and 2017-18.    In particular, </w:t>
      </w:r>
      <w:r>
        <w:t xml:space="preserve">80 per cent of the provisioned capital expenditure on projects including Capital Metro, </w:t>
      </w:r>
      <w:r>
        <w:rPr>
          <w:lang w:eastAsia="en-US"/>
        </w:rPr>
        <w:t>University of Canberra Public Hospital, and the Courts project</w:t>
      </w:r>
      <w:r>
        <w:t xml:space="preserve">, occurs in 2016-17 and 2017-18.  </w:t>
      </w:r>
    </w:p>
    <w:p w:rsidR="00796D3D" w:rsidRDefault="00796D3D" w:rsidP="00796D3D">
      <w:pPr>
        <w:pStyle w:val="Caption"/>
      </w:pPr>
      <w:r>
        <w:br w:type="page"/>
      </w: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2</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3</w:instrText>
      </w:r>
      <w:r w:rsidRPr="00695C93">
        <w:fldChar w:fldCharType="end"/>
      </w:r>
      <w:r w:rsidRPr="00695C93">
        <w:instrText xml:space="preserve">" "" </w:instrText>
      </w:r>
      <w:r w:rsidRPr="00695C93">
        <w:fldChar w:fldCharType="separate"/>
      </w:r>
      <w:bookmarkStart w:id="131" w:name="_Caption8065"/>
      <w:bookmarkStart w:id="132" w:name="_Caption8337"/>
      <w:bookmarkStart w:id="133" w:name="_Caption7348"/>
      <w:bookmarkStart w:id="134" w:name="_Caption0759"/>
      <w:bookmarkStart w:id="135" w:name="_Caption2000"/>
      <w:bookmarkStart w:id="136" w:name="_Caption1630"/>
      <w:bookmarkStart w:id="137" w:name="_Toc392840262"/>
      <w:bookmarkStart w:id="138" w:name="_Toc393202310"/>
      <w:r w:rsidR="00CA6314">
        <w:rPr>
          <w:noProof/>
        </w:rPr>
        <w:t>2</w:t>
      </w:r>
      <w:r w:rsidR="00CA6314" w:rsidRPr="00695C93">
        <w:rPr>
          <w:noProof/>
        </w:rPr>
        <w:t>.</w:t>
      </w:r>
      <w:r w:rsidR="00CA6314">
        <w:rPr>
          <w:noProof/>
        </w:rPr>
        <w:t>3</w:t>
      </w:r>
      <w:bookmarkEnd w:id="131"/>
      <w:bookmarkEnd w:id="132"/>
      <w:bookmarkEnd w:id="133"/>
      <w:bookmarkEnd w:id="134"/>
      <w:bookmarkEnd w:id="135"/>
      <w:bookmarkEnd w:id="136"/>
      <w:r w:rsidRPr="00695C93">
        <w:fldChar w:fldCharType="end"/>
      </w:r>
      <w:r w:rsidR="00D61FAA">
        <w:t>3</w:t>
      </w:r>
      <w:r w:rsidRPr="00695C93">
        <w:tab/>
      </w:r>
      <w:r>
        <w:t>2014-15 Budget Infrastructure Program</w:t>
      </w:r>
      <w:bookmarkEnd w:id="137"/>
      <w:bookmarkEnd w:id="138"/>
      <w:r>
        <w:t xml:space="preserve">  </w:t>
      </w:r>
      <w:r w:rsidRPr="00695C93">
        <w:tab/>
      </w:r>
    </w:p>
    <w:tbl>
      <w:tblPr>
        <w:tblW w:w="7938" w:type="dxa"/>
        <w:tblInd w:w="57" w:type="dxa"/>
        <w:tblLayout w:type="fixed"/>
        <w:tblLook w:val="0000" w:firstRow="0" w:lastRow="0" w:firstColumn="0" w:lastColumn="0" w:noHBand="0" w:noVBand="0"/>
      </w:tblPr>
      <w:tblGrid>
        <w:gridCol w:w="2835"/>
        <w:gridCol w:w="993"/>
        <w:gridCol w:w="992"/>
        <w:gridCol w:w="1134"/>
        <w:gridCol w:w="992"/>
        <w:gridCol w:w="992"/>
      </w:tblGrid>
      <w:tr w:rsidR="00796D3D" w:rsidTr="00EA7863">
        <w:tc>
          <w:tcPr>
            <w:tcW w:w="2835" w:type="dxa"/>
            <w:shd w:val="clear" w:color="auto" w:fill="6F6652"/>
            <w:tcMar>
              <w:left w:w="57" w:type="dxa"/>
              <w:right w:w="57" w:type="dxa"/>
            </w:tcMar>
          </w:tcPr>
          <w:p w:rsidR="00796D3D" w:rsidRDefault="00796D3D" w:rsidP="00EA7863">
            <w:pPr>
              <w:pStyle w:val="TableDataColumnHeading"/>
              <w:jc w:val="left"/>
            </w:pPr>
            <w:r>
              <w:t xml:space="preserve">Threshold </w:t>
            </w:r>
          </w:p>
        </w:tc>
        <w:tc>
          <w:tcPr>
            <w:tcW w:w="993" w:type="dxa"/>
            <w:shd w:val="clear" w:color="auto" w:fill="6F6652"/>
            <w:tcMar>
              <w:left w:w="57" w:type="dxa"/>
              <w:right w:w="57" w:type="dxa"/>
            </w:tcMar>
          </w:tcPr>
          <w:p w:rsidR="00796D3D" w:rsidRDefault="00796D3D" w:rsidP="00EA7863">
            <w:pPr>
              <w:pStyle w:val="TableDataColumnHeading"/>
            </w:pPr>
            <w:r>
              <w:t>2014-15</w:t>
            </w:r>
          </w:p>
        </w:tc>
        <w:tc>
          <w:tcPr>
            <w:tcW w:w="992" w:type="dxa"/>
            <w:shd w:val="clear" w:color="auto" w:fill="6F6652"/>
            <w:tcMar>
              <w:left w:w="57" w:type="dxa"/>
              <w:right w:w="57" w:type="dxa"/>
            </w:tcMar>
          </w:tcPr>
          <w:p w:rsidR="00796D3D" w:rsidRDefault="00796D3D" w:rsidP="00EA7863">
            <w:pPr>
              <w:pStyle w:val="TableDataColumnHeading"/>
            </w:pPr>
            <w:r>
              <w:t>2015-16</w:t>
            </w:r>
          </w:p>
        </w:tc>
        <w:tc>
          <w:tcPr>
            <w:tcW w:w="1134" w:type="dxa"/>
            <w:shd w:val="clear" w:color="auto" w:fill="6F6652"/>
            <w:tcMar>
              <w:left w:w="57" w:type="dxa"/>
              <w:right w:w="57" w:type="dxa"/>
            </w:tcMar>
          </w:tcPr>
          <w:p w:rsidR="00796D3D" w:rsidRDefault="00796D3D" w:rsidP="00EA7863">
            <w:pPr>
              <w:pStyle w:val="TableDataColumnHeading"/>
            </w:pPr>
            <w:r>
              <w:t>2016-17</w:t>
            </w:r>
          </w:p>
        </w:tc>
        <w:tc>
          <w:tcPr>
            <w:tcW w:w="992" w:type="dxa"/>
            <w:shd w:val="clear" w:color="auto" w:fill="6F6652"/>
            <w:tcMar>
              <w:left w:w="57" w:type="dxa"/>
              <w:right w:w="57" w:type="dxa"/>
            </w:tcMar>
          </w:tcPr>
          <w:p w:rsidR="00796D3D" w:rsidRDefault="00796D3D" w:rsidP="00EA7863">
            <w:pPr>
              <w:pStyle w:val="TableDataColumnHeading"/>
            </w:pPr>
            <w:r>
              <w:t>2017-18</w:t>
            </w:r>
          </w:p>
        </w:tc>
        <w:tc>
          <w:tcPr>
            <w:tcW w:w="992" w:type="dxa"/>
            <w:shd w:val="clear" w:color="auto" w:fill="6F6652"/>
          </w:tcPr>
          <w:p w:rsidR="00796D3D" w:rsidRDefault="00796D3D" w:rsidP="00EA7863">
            <w:pPr>
              <w:pStyle w:val="TableDataColumnHeading"/>
            </w:pPr>
            <w:r>
              <w:t>Total</w:t>
            </w:r>
          </w:p>
        </w:tc>
      </w:tr>
      <w:tr w:rsidR="00796D3D" w:rsidTr="00EA7863">
        <w:tc>
          <w:tcPr>
            <w:tcW w:w="2835" w:type="dxa"/>
            <w:tcBorders>
              <w:bottom w:val="single" w:sz="8" w:space="0" w:color="FFFFFF" w:themeColor="background1"/>
            </w:tcBorders>
            <w:shd w:val="clear" w:color="auto" w:fill="auto"/>
            <w:tcMar>
              <w:left w:w="57" w:type="dxa"/>
              <w:right w:w="57" w:type="dxa"/>
            </w:tcMar>
          </w:tcPr>
          <w:p w:rsidR="00796D3D" w:rsidRDefault="00796D3D" w:rsidP="00B83167">
            <w:pPr>
              <w:pStyle w:val="TableDataEntries"/>
            </w:pPr>
          </w:p>
        </w:tc>
        <w:tc>
          <w:tcPr>
            <w:tcW w:w="993" w:type="dxa"/>
            <w:tcBorders>
              <w:bottom w:val="single" w:sz="8" w:space="0" w:color="FFFFFF" w:themeColor="background1"/>
            </w:tcBorders>
            <w:shd w:val="clear" w:color="auto" w:fill="auto"/>
            <w:tcMar>
              <w:left w:w="57" w:type="dxa"/>
              <w:right w:w="57" w:type="dxa"/>
            </w:tcMar>
          </w:tcPr>
          <w:p w:rsidR="00796D3D" w:rsidRDefault="00796D3D" w:rsidP="00B83167">
            <w:pPr>
              <w:pStyle w:val="TableDataEntries"/>
            </w:pPr>
            <w:r>
              <w:t>$m</w:t>
            </w:r>
          </w:p>
        </w:tc>
        <w:tc>
          <w:tcPr>
            <w:tcW w:w="992" w:type="dxa"/>
            <w:tcBorders>
              <w:bottom w:val="single" w:sz="8" w:space="0" w:color="FFFFFF" w:themeColor="background1"/>
            </w:tcBorders>
            <w:shd w:val="clear" w:color="auto" w:fill="auto"/>
            <w:tcMar>
              <w:left w:w="57" w:type="dxa"/>
              <w:right w:w="57" w:type="dxa"/>
            </w:tcMar>
          </w:tcPr>
          <w:p w:rsidR="00796D3D" w:rsidRDefault="00796D3D" w:rsidP="00B83167">
            <w:pPr>
              <w:pStyle w:val="TableDataEntries"/>
            </w:pPr>
            <w:r>
              <w:t>$m</w:t>
            </w:r>
          </w:p>
        </w:tc>
        <w:tc>
          <w:tcPr>
            <w:tcW w:w="1134" w:type="dxa"/>
            <w:tcBorders>
              <w:bottom w:val="single" w:sz="8" w:space="0" w:color="FFFFFF" w:themeColor="background1"/>
            </w:tcBorders>
            <w:shd w:val="clear" w:color="auto" w:fill="auto"/>
            <w:tcMar>
              <w:left w:w="57" w:type="dxa"/>
              <w:right w:w="57" w:type="dxa"/>
            </w:tcMar>
          </w:tcPr>
          <w:p w:rsidR="00796D3D" w:rsidRDefault="00796D3D" w:rsidP="00B83167">
            <w:pPr>
              <w:pStyle w:val="TableDataEntries"/>
            </w:pPr>
            <w:r>
              <w:t>$m</w:t>
            </w:r>
          </w:p>
        </w:tc>
        <w:tc>
          <w:tcPr>
            <w:tcW w:w="992" w:type="dxa"/>
            <w:tcBorders>
              <w:bottom w:val="single" w:sz="8" w:space="0" w:color="FFFFFF" w:themeColor="background1"/>
            </w:tcBorders>
            <w:shd w:val="clear" w:color="auto" w:fill="auto"/>
            <w:tcMar>
              <w:left w:w="57" w:type="dxa"/>
              <w:right w:w="57" w:type="dxa"/>
            </w:tcMar>
          </w:tcPr>
          <w:p w:rsidR="00796D3D" w:rsidRDefault="00796D3D" w:rsidP="00B83167">
            <w:pPr>
              <w:pStyle w:val="TableDataEntries"/>
            </w:pPr>
            <w:r>
              <w:t>$m</w:t>
            </w:r>
          </w:p>
        </w:tc>
        <w:tc>
          <w:tcPr>
            <w:tcW w:w="992" w:type="dxa"/>
            <w:tcBorders>
              <w:bottom w:val="single" w:sz="8" w:space="0" w:color="FFFFFF" w:themeColor="background1"/>
            </w:tcBorders>
          </w:tcPr>
          <w:p w:rsidR="00796D3D" w:rsidRDefault="00796D3D" w:rsidP="00B83167">
            <w:pPr>
              <w:pStyle w:val="TableDataEntries"/>
            </w:pPr>
            <w:r>
              <w:t>$m</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9F1B6E" w:rsidRDefault="00796D3D" w:rsidP="00EA7863">
            <w:pPr>
              <w:pStyle w:val="TableHeading2"/>
              <w:spacing w:after="40"/>
            </w:pPr>
            <w:r w:rsidRPr="009F1B6E">
              <w:t xml:space="preserve">Capital works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Heading2"/>
              <w:spacing w:after="40"/>
            </w:pP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Heading2"/>
              <w:spacing w:after="40"/>
            </w:pP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Heading2"/>
              <w:spacing w:after="40"/>
            </w:pP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Heading2"/>
              <w:spacing w:after="40"/>
            </w:pP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Heading2"/>
              <w:spacing w:after="40"/>
            </w:pP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  Feasibility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0.1</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2.1</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  Forward design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1.4</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0.5</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2.8</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  Construction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128.9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164.3</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23.4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0.9</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317.5</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Sub-total capital works</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182.1</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165.8</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23.9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0.9</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372.7</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Sub-total ICT &amp; P&amp;E</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54.8</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30.8</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9.3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2.9</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97.8</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Total New Capital Program</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236.9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196.6</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33.3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3.7</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470.5</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 xml:space="preserve">Total Works in Progress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498.2</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192.5</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20.3</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5.3</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716.2</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 xml:space="preserve">Total Capital Program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735.1</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389.1</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53.6</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8.9</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1 186.7</w:t>
            </w:r>
          </w:p>
        </w:tc>
      </w:tr>
      <w:tr w:rsidR="00796D3D" w:rsidTr="00911ACE">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rsidRPr="00CC41A8">
              <w:t xml:space="preserve">Capital Provisions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262.7</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542.9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pPr>
            <w:r>
              <w:t>513.5</w:t>
            </w:r>
          </w:p>
        </w:tc>
        <w:tc>
          <w:tcPr>
            <w:tcW w:w="992" w:type="dxa"/>
            <w:tcBorders>
              <w:top w:val="single" w:sz="8" w:space="0" w:color="FFFFFF" w:themeColor="background1"/>
              <w:bottom w:val="single" w:sz="8" w:space="0" w:color="FFFFFF" w:themeColor="background1"/>
            </w:tcBorders>
            <w:shd w:val="clear" w:color="auto" w:fill="E9E8E5" w:themeFill="background2"/>
          </w:tcPr>
          <w:p w:rsidR="00796D3D" w:rsidRDefault="00796D3D" w:rsidP="00EA7863">
            <w:pPr>
              <w:pStyle w:val="TableDataEntries"/>
            </w:pPr>
            <w:r>
              <w:t>1 319.2</w:t>
            </w:r>
          </w:p>
        </w:tc>
      </w:tr>
      <w:tr w:rsidR="00796D3D" w:rsidRPr="00A85504" w:rsidTr="00911ACE">
        <w:tc>
          <w:tcPr>
            <w:tcW w:w="2835" w:type="dxa"/>
            <w:tcBorders>
              <w:top w:val="single" w:sz="8" w:space="0" w:color="FFFFFF" w:themeColor="background1"/>
              <w:bottom w:val="single" w:sz="4" w:space="0" w:color="6F6652" w:themeColor="accent5"/>
            </w:tcBorders>
            <w:shd w:val="clear" w:color="auto" w:fill="C2DADB" w:themeFill="accent6" w:themeFillTint="99"/>
            <w:tcMar>
              <w:left w:w="57" w:type="dxa"/>
              <w:right w:w="57" w:type="dxa"/>
            </w:tcMar>
          </w:tcPr>
          <w:p w:rsidR="00796D3D" w:rsidRPr="00A85504" w:rsidRDefault="00796D3D" w:rsidP="00EA7863">
            <w:pPr>
              <w:pStyle w:val="TableDataEntries"/>
              <w:jc w:val="left"/>
              <w:rPr>
                <w:rFonts w:ascii="Franklin Gothic Demi" w:hAnsi="Franklin Gothic Demi"/>
              </w:rPr>
            </w:pPr>
            <w:r w:rsidRPr="00A85504">
              <w:rPr>
                <w:rFonts w:ascii="Franklin Gothic Demi" w:hAnsi="Franklin Gothic Demi"/>
              </w:rPr>
              <w:t>Total Capital Program inc</w:t>
            </w:r>
            <w:r>
              <w:rPr>
                <w:rFonts w:ascii="Franklin Gothic Demi" w:hAnsi="Franklin Gothic Demi"/>
              </w:rPr>
              <w:t>l</w:t>
            </w:r>
            <w:r w:rsidRPr="00A85504">
              <w:rPr>
                <w:rFonts w:ascii="Franklin Gothic Demi" w:hAnsi="Franklin Gothic Demi"/>
              </w:rPr>
              <w:t>. provisions</w:t>
            </w:r>
          </w:p>
        </w:tc>
        <w:tc>
          <w:tcPr>
            <w:tcW w:w="993" w:type="dxa"/>
            <w:tcBorders>
              <w:top w:val="single" w:sz="8" w:space="0" w:color="FFFFFF" w:themeColor="background1"/>
              <w:bottom w:val="single" w:sz="4" w:space="0" w:color="6F6652" w:themeColor="accent5"/>
            </w:tcBorders>
            <w:shd w:val="clear" w:color="auto" w:fill="C2DADB" w:themeFill="accent6" w:themeFillTint="99"/>
          </w:tcPr>
          <w:p w:rsidR="00796D3D" w:rsidRPr="00A85504" w:rsidRDefault="00796D3D" w:rsidP="00EA7863">
            <w:pPr>
              <w:pStyle w:val="TableDataEntries"/>
              <w:rPr>
                <w:rFonts w:ascii="Franklin Gothic Demi" w:hAnsi="Franklin Gothic Demi"/>
              </w:rPr>
            </w:pPr>
            <w:r w:rsidRPr="00A85504">
              <w:rPr>
                <w:rFonts w:ascii="Franklin Gothic Demi" w:hAnsi="Franklin Gothic Demi"/>
              </w:rPr>
              <w:t>735.1</w:t>
            </w:r>
          </w:p>
        </w:tc>
        <w:tc>
          <w:tcPr>
            <w:tcW w:w="992" w:type="dxa"/>
            <w:tcBorders>
              <w:top w:val="single" w:sz="8" w:space="0" w:color="FFFFFF" w:themeColor="background1"/>
              <w:bottom w:val="single" w:sz="4" w:space="0" w:color="6F6652" w:themeColor="accent5"/>
            </w:tcBorders>
            <w:shd w:val="clear" w:color="auto" w:fill="C2DADB" w:themeFill="accent6" w:themeFillTint="99"/>
            <w:tcMar>
              <w:left w:w="57" w:type="dxa"/>
              <w:right w:w="57" w:type="dxa"/>
            </w:tcMar>
          </w:tcPr>
          <w:p w:rsidR="00796D3D" w:rsidRPr="00A85504" w:rsidRDefault="00796D3D" w:rsidP="00EA7863">
            <w:pPr>
              <w:pStyle w:val="TableDataEntries"/>
              <w:rPr>
                <w:rFonts w:ascii="Franklin Gothic Demi" w:hAnsi="Franklin Gothic Demi"/>
              </w:rPr>
            </w:pPr>
            <w:r w:rsidRPr="00A85504">
              <w:rPr>
                <w:rFonts w:ascii="Franklin Gothic Demi" w:hAnsi="Franklin Gothic Demi"/>
              </w:rPr>
              <w:t>651.8</w:t>
            </w:r>
          </w:p>
        </w:tc>
        <w:tc>
          <w:tcPr>
            <w:tcW w:w="1134" w:type="dxa"/>
            <w:tcBorders>
              <w:top w:val="single" w:sz="8" w:space="0" w:color="FFFFFF" w:themeColor="background1"/>
              <w:bottom w:val="single" w:sz="4" w:space="0" w:color="6F6652" w:themeColor="accent5"/>
            </w:tcBorders>
            <w:shd w:val="clear" w:color="auto" w:fill="C2DADB" w:themeFill="accent6" w:themeFillTint="99"/>
            <w:tcMar>
              <w:left w:w="57" w:type="dxa"/>
              <w:right w:w="57" w:type="dxa"/>
            </w:tcMar>
          </w:tcPr>
          <w:p w:rsidR="00796D3D" w:rsidRPr="00A85504" w:rsidRDefault="00796D3D" w:rsidP="00EA7863">
            <w:pPr>
              <w:pStyle w:val="TableDataEntries"/>
              <w:rPr>
                <w:rFonts w:ascii="Franklin Gothic Demi" w:hAnsi="Franklin Gothic Demi"/>
              </w:rPr>
            </w:pPr>
            <w:r w:rsidRPr="00A85504">
              <w:rPr>
                <w:rFonts w:ascii="Franklin Gothic Demi" w:hAnsi="Franklin Gothic Demi"/>
              </w:rPr>
              <w:t>596.6</w:t>
            </w:r>
          </w:p>
        </w:tc>
        <w:tc>
          <w:tcPr>
            <w:tcW w:w="992" w:type="dxa"/>
            <w:tcBorders>
              <w:top w:val="single" w:sz="8" w:space="0" w:color="FFFFFF" w:themeColor="background1"/>
              <w:bottom w:val="single" w:sz="4" w:space="0" w:color="6F6652" w:themeColor="accent5"/>
            </w:tcBorders>
            <w:shd w:val="clear" w:color="auto" w:fill="C2DADB" w:themeFill="accent6" w:themeFillTint="99"/>
            <w:tcMar>
              <w:left w:w="57" w:type="dxa"/>
              <w:right w:w="57" w:type="dxa"/>
            </w:tcMar>
          </w:tcPr>
          <w:p w:rsidR="00796D3D" w:rsidRPr="00A85504" w:rsidRDefault="00796D3D" w:rsidP="00EA7863">
            <w:pPr>
              <w:pStyle w:val="TableDataEntries"/>
              <w:rPr>
                <w:rFonts w:ascii="Franklin Gothic Demi" w:hAnsi="Franklin Gothic Demi"/>
              </w:rPr>
            </w:pPr>
            <w:r w:rsidRPr="00A85504">
              <w:rPr>
                <w:rFonts w:ascii="Franklin Gothic Demi" w:hAnsi="Franklin Gothic Demi"/>
              </w:rPr>
              <w:t xml:space="preserve">522.4 </w:t>
            </w:r>
          </w:p>
        </w:tc>
        <w:tc>
          <w:tcPr>
            <w:tcW w:w="992" w:type="dxa"/>
            <w:tcBorders>
              <w:top w:val="single" w:sz="8" w:space="0" w:color="FFFFFF" w:themeColor="background1"/>
              <w:bottom w:val="single" w:sz="4" w:space="0" w:color="6F6652" w:themeColor="accent5"/>
            </w:tcBorders>
            <w:shd w:val="clear" w:color="auto" w:fill="C2DADB" w:themeFill="accent6" w:themeFillTint="99"/>
          </w:tcPr>
          <w:p w:rsidR="00796D3D" w:rsidRPr="00A85504" w:rsidRDefault="00796D3D" w:rsidP="00EA7863">
            <w:pPr>
              <w:pStyle w:val="TableDataEntries"/>
              <w:rPr>
                <w:rFonts w:ascii="Franklin Gothic Demi" w:hAnsi="Franklin Gothic Demi"/>
              </w:rPr>
            </w:pPr>
            <w:r w:rsidRPr="00A85504">
              <w:rPr>
                <w:rFonts w:ascii="Franklin Gothic Demi" w:hAnsi="Franklin Gothic Demi"/>
              </w:rPr>
              <w:t>2 505.8</w:t>
            </w:r>
          </w:p>
        </w:tc>
      </w:tr>
    </w:tbl>
    <w:p w:rsidR="00796D3D" w:rsidRPr="002D530A" w:rsidRDefault="00796D3D" w:rsidP="00796D3D">
      <w:pPr>
        <w:pStyle w:val="Source"/>
        <w:spacing w:after="0"/>
      </w:pPr>
      <w:r>
        <w:rPr>
          <w:i/>
        </w:rPr>
        <w:t xml:space="preserve">Notes: </w:t>
      </w:r>
      <w:r w:rsidRPr="009F1B6E">
        <w:t>Capital provisions include</w:t>
      </w:r>
      <w:r>
        <w:rPr>
          <w:i/>
        </w:rPr>
        <w:t xml:space="preserve"> </w:t>
      </w:r>
      <w:r>
        <w:t>University of Canberra Public Hospital, Capital Metro and the Courts project</w:t>
      </w:r>
    </w:p>
    <w:p w:rsidR="00796D3D" w:rsidRDefault="00796D3D" w:rsidP="00796D3D">
      <w:pPr>
        <w:pStyle w:val="Source"/>
        <w:spacing w:before="0" w:after="0"/>
      </w:pPr>
      <w:r>
        <w:rPr>
          <w:i/>
        </w:rPr>
        <w:t>Source</w:t>
      </w:r>
      <w:r w:rsidRPr="00E4232C">
        <w:rPr>
          <w:i/>
        </w:rPr>
        <w:t>:</w:t>
      </w:r>
      <w:r>
        <w:t xml:space="preserve"> ACT Budget 2014-15</w:t>
      </w:r>
    </w:p>
    <w:p w:rsidR="00796D3D" w:rsidRDefault="00796D3D" w:rsidP="00911ACE">
      <w:pPr>
        <w:pStyle w:val="Heading3"/>
        <w:spacing w:before="120"/>
      </w:pPr>
      <w:r>
        <w:t xml:space="preserve">The returns on investment/spending </w:t>
      </w:r>
    </w:p>
    <w:p w:rsidR="00796D3D" w:rsidRDefault="00796D3D" w:rsidP="007E1E5A">
      <w:pPr>
        <w:pStyle w:val="BodyText"/>
        <w:rPr>
          <w:lang w:eastAsia="en-US"/>
        </w:rPr>
      </w:pPr>
      <w:r w:rsidRPr="002D77B9">
        <w:rPr>
          <w:lang w:eastAsia="en-US"/>
        </w:rPr>
        <w:t xml:space="preserve">Infrastructure </w:t>
      </w:r>
      <w:proofErr w:type="gramStart"/>
      <w:r w:rsidRPr="002D77B9">
        <w:rPr>
          <w:lang w:eastAsia="en-US"/>
        </w:rPr>
        <w:t>can be thought of</w:t>
      </w:r>
      <w:proofErr w:type="gramEnd"/>
      <w:r w:rsidRPr="002D77B9">
        <w:rPr>
          <w:lang w:eastAsia="en-US"/>
        </w:rPr>
        <w:t xml:space="preserve"> as the long-lived structural assets that either</w:t>
      </w:r>
      <w:r>
        <w:rPr>
          <w:lang w:eastAsia="en-US"/>
        </w:rPr>
        <w:t xml:space="preserve"> </w:t>
      </w:r>
      <w:r w:rsidRPr="002D77B9">
        <w:rPr>
          <w:lang w:eastAsia="en-US"/>
        </w:rPr>
        <w:t>facilitate the flow of goods, information and factors of production between buyers</w:t>
      </w:r>
      <w:r>
        <w:rPr>
          <w:lang w:eastAsia="en-US"/>
        </w:rPr>
        <w:t xml:space="preserve"> </w:t>
      </w:r>
      <w:r w:rsidRPr="002D77B9">
        <w:rPr>
          <w:lang w:eastAsia="en-US"/>
        </w:rPr>
        <w:t>and sellers (economic infrastructure) or underpin the delivery of essential services</w:t>
      </w:r>
      <w:r>
        <w:rPr>
          <w:lang w:eastAsia="en-US"/>
        </w:rPr>
        <w:t xml:space="preserve"> </w:t>
      </w:r>
      <w:r w:rsidRPr="002D77B9">
        <w:rPr>
          <w:lang w:eastAsia="en-US"/>
        </w:rPr>
        <w:t>such as health (social infrastructure).</w:t>
      </w:r>
      <w:r>
        <w:rPr>
          <w:lang w:eastAsia="en-US"/>
        </w:rPr>
        <w:t xml:space="preserve"> Investments in the former class of infrastructure will generally generate high levels economic returns and help to expand the tax base, while investment in the latter will generally have higher levels of social benefits. </w:t>
      </w:r>
    </w:p>
    <w:p w:rsidR="00796D3D" w:rsidRDefault="00796D3D" w:rsidP="007E1E5A">
      <w:pPr>
        <w:pStyle w:val="BodyText"/>
        <w:rPr>
          <w:lang w:eastAsia="en-US"/>
        </w:rPr>
      </w:pPr>
      <w:r>
        <w:rPr>
          <w:lang w:eastAsia="en-US"/>
        </w:rPr>
        <w:t xml:space="preserve">Table </w:t>
      </w:r>
      <w:r>
        <w:rPr>
          <w:lang w:eastAsia="en-US"/>
        </w:rPr>
        <w:fldChar w:fldCharType="begin"/>
      </w:r>
      <w:r>
        <w:rPr>
          <w:lang w:eastAsia="en-US"/>
        </w:rPr>
        <w:instrText xml:space="preserve"> REF _Caption6266 </w:instrText>
      </w:r>
      <w:r>
        <w:rPr>
          <w:lang w:eastAsia="en-US"/>
        </w:rPr>
        <w:fldChar w:fldCharType="separate"/>
      </w:r>
      <w:r w:rsidR="00CA6314">
        <w:rPr>
          <w:noProof/>
        </w:rPr>
        <w:t>2</w:t>
      </w:r>
      <w:r w:rsidR="00CA6314" w:rsidRPr="00695C93">
        <w:rPr>
          <w:noProof/>
        </w:rPr>
        <w:t>.</w:t>
      </w:r>
      <w:r w:rsidR="00CA6314">
        <w:rPr>
          <w:noProof/>
        </w:rPr>
        <w:t>4</w:t>
      </w:r>
      <w:r>
        <w:rPr>
          <w:lang w:eastAsia="en-US"/>
        </w:rPr>
        <w:fldChar w:fldCharType="end"/>
      </w:r>
      <w:r>
        <w:rPr>
          <w:lang w:eastAsia="en-US"/>
        </w:rPr>
        <w:t xml:space="preserve"> below provides the details of the 10 largest new capital works projects announced in the 2014-15 ACT Budget which represent close to 70 per cent of all new capital works. This list of projects </w:t>
      </w:r>
      <w:proofErr w:type="gramStart"/>
      <w:r>
        <w:rPr>
          <w:lang w:eastAsia="en-US"/>
        </w:rPr>
        <w:t>is dominated</w:t>
      </w:r>
      <w:proofErr w:type="gramEnd"/>
      <w:r>
        <w:rPr>
          <w:lang w:eastAsia="en-US"/>
        </w:rPr>
        <w:t xml:space="preserve"> by health and road infrastructure (including both upgrades to existing roads and the building of new roads). While the health infrastructure projects and road upgrades will have considerable social benefits and economic benefits stemming from their construction, these projects are likely to have a more modest impact on the future tax base. </w:t>
      </w:r>
    </w:p>
    <w:p w:rsidR="00796D3D" w:rsidRDefault="00796D3D" w:rsidP="00796D3D">
      <w:pPr>
        <w:pStyle w:val="BodyText"/>
        <w:rPr>
          <w:color w:val="000000" w:themeColor="text1"/>
        </w:rPr>
      </w:pPr>
      <w:r>
        <w:rPr>
          <w:color w:val="000000" w:themeColor="text1"/>
        </w:rPr>
        <w:t>In addition, l</w:t>
      </w:r>
      <w:r w:rsidRPr="002F7BF7">
        <w:rPr>
          <w:color w:val="000000" w:themeColor="text1"/>
        </w:rPr>
        <w:t>arge health infrastructure projects, like any</w:t>
      </w:r>
      <w:r>
        <w:rPr>
          <w:color w:val="000000" w:themeColor="text1"/>
        </w:rPr>
        <w:t xml:space="preserve"> large projects, can pose some b</w:t>
      </w:r>
      <w:r w:rsidRPr="002F7BF7">
        <w:rPr>
          <w:color w:val="000000" w:themeColor="text1"/>
        </w:rPr>
        <w:t xml:space="preserve">udgetary risk to the Budget, often </w:t>
      </w:r>
      <w:proofErr w:type="gramStart"/>
      <w:r w:rsidRPr="002F7BF7">
        <w:rPr>
          <w:color w:val="000000" w:themeColor="text1"/>
        </w:rPr>
        <w:t>impacting on</w:t>
      </w:r>
      <w:proofErr w:type="gramEnd"/>
      <w:r w:rsidRPr="002F7BF7">
        <w:rPr>
          <w:color w:val="000000" w:themeColor="text1"/>
        </w:rPr>
        <w:t xml:space="preserve"> the timing of larg</w:t>
      </w:r>
      <w:r>
        <w:rPr>
          <w:color w:val="000000" w:themeColor="text1"/>
        </w:rPr>
        <w:t xml:space="preserve">e capital spending initiatives. </w:t>
      </w:r>
      <w:r w:rsidRPr="002F7BF7">
        <w:rPr>
          <w:color w:val="000000" w:themeColor="text1"/>
        </w:rPr>
        <w:t xml:space="preserve">The health infrastructure commitments are notoriously susceptible to delays because of their complexity and sequencing needs to ensure that </w:t>
      </w:r>
      <w:proofErr w:type="gramStart"/>
      <w:r w:rsidRPr="002F7BF7">
        <w:rPr>
          <w:color w:val="000000" w:themeColor="text1"/>
        </w:rPr>
        <w:t>patient outcomes are not impacted by the work program</w:t>
      </w:r>
      <w:proofErr w:type="gramEnd"/>
      <w:r w:rsidRPr="002F7BF7">
        <w:rPr>
          <w:color w:val="000000" w:themeColor="text1"/>
        </w:rPr>
        <w:t xml:space="preserve">. </w:t>
      </w:r>
    </w:p>
    <w:p w:rsidR="00796D3D" w:rsidRDefault="00911ACE" w:rsidP="00796D3D">
      <w:pPr>
        <w:pStyle w:val="Caption"/>
      </w:pPr>
      <w:r>
        <w:br w:type="page"/>
      </w:r>
      <w:r w:rsidR="00796D3D" w:rsidRPr="00695C93">
        <w:fldChar w:fldCharType="begin"/>
      </w:r>
      <w:r w:rsidR="00796D3D" w:rsidRPr="00695C93">
        <w:instrText xml:space="preserve"> IF 1 = 1 "</w:instrText>
      </w:r>
      <w:r w:rsidR="00796D3D" w:rsidRPr="00695C93">
        <w:fldChar w:fldCharType="begin"/>
      </w:r>
      <w:r w:rsidR="00796D3D"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00796D3D" w:rsidRPr="00695C93">
        <w:instrText xml:space="preserve"> = 0 "</w:instrText>
      </w:r>
      <w:r w:rsidR="00796D3D" w:rsidRPr="00695C93">
        <w:fldChar w:fldCharType="begin"/>
      </w:r>
      <w:r w:rsidR="00796D3D"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00796D3D"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00796D3D" w:rsidRPr="00695C93">
        <w:instrText xml:space="preserve">." </w:instrText>
      </w:r>
      <w:r w:rsidR="00796D3D" w:rsidRPr="00695C93">
        <w:fldChar w:fldCharType="separate"/>
      </w:r>
      <w:r w:rsidR="00CA6314">
        <w:rPr>
          <w:noProof/>
        </w:rPr>
        <w:instrText>2</w:instrText>
      </w:r>
      <w:r w:rsidR="00CA6314" w:rsidRPr="00695C93">
        <w:rPr>
          <w:noProof/>
        </w:rPr>
        <w:instrText>.</w:instrText>
      </w:r>
      <w:r w:rsidR="00796D3D" w:rsidRPr="00695C93">
        <w:fldChar w:fldCharType="end"/>
      </w:r>
      <w:r w:rsidR="00796D3D" w:rsidRPr="00695C93">
        <w:instrText>" "</w:instrText>
      </w:r>
      <w:r w:rsidR="000B204E">
        <w:fldChar w:fldCharType="begin"/>
      </w:r>
      <w:r w:rsidR="000B204E">
        <w:instrText xml:space="preserve"> STYLEREF "Heading 6" \l \n </w:instrText>
      </w:r>
      <w:r w:rsidR="000B204E">
        <w:fldChar w:fldCharType="separate"/>
      </w:r>
      <w:r w:rsidR="00796D3D">
        <w:rPr>
          <w:noProof/>
        </w:rPr>
        <w:instrText>A</w:instrText>
      </w:r>
      <w:r w:rsidR="000B204E">
        <w:rPr>
          <w:noProof/>
        </w:rPr>
        <w:fldChar w:fldCharType="end"/>
      </w:r>
      <w:r w:rsidR="00796D3D" w:rsidRPr="00695C93">
        <w:instrText xml:space="preserve">." </w:instrText>
      </w:r>
      <w:r w:rsidR="00796D3D" w:rsidRPr="00695C93">
        <w:fldChar w:fldCharType="separate"/>
      </w:r>
      <w:r w:rsidR="00CA6314">
        <w:rPr>
          <w:noProof/>
        </w:rPr>
        <w:instrText>2</w:instrText>
      </w:r>
      <w:r w:rsidR="00CA6314" w:rsidRPr="00695C93">
        <w:rPr>
          <w:noProof/>
        </w:rPr>
        <w:instrText>.</w:instrText>
      </w:r>
      <w:r w:rsidR="00796D3D" w:rsidRPr="00695C93">
        <w:fldChar w:fldCharType="end"/>
      </w:r>
      <w:r w:rsidR="00796D3D" w:rsidRPr="00695C93">
        <w:fldChar w:fldCharType="begin"/>
      </w:r>
      <w:r w:rsidR="00796D3D" w:rsidRPr="00695C93">
        <w:instrText xml:space="preserve"> SEQ Item \* ARABIC \s </w:instrText>
      </w:r>
      <w:r w:rsidR="00796D3D" w:rsidRPr="00695C93">
        <w:fldChar w:fldCharType="begin"/>
      </w:r>
      <w:r w:rsidR="00796D3D"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00796D3D" w:rsidRPr="00695C93">
        <w:instrText xml:space="preserve"> = 0 "</w:instrText>
      </w:r>
      <w:r w:rsidR="00796D3D" w:rsidRPr="00695C93">
        <w:fldChar w:fldCharType="begin"/>
      </w:r>
      <w:r w:rsidR="00796D3D"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2</w:instrText>
      </w:r>
      <w:r w:rsidR="000B204E">
        <w:rPr>
          <w:noProof/>
        </w:rPr>
        <w:fldChar w:fldCharType="end"/>
      </w:r>
      <w:r w:rsidR="00796D3D" w:rsidRPr="00695C93">
        <w:instrText xml:space="preserve"> = 0 "" "1" </w:instrText>
      </w:r>
      <w:r w:rsidR="00796D3D" w:rsidRPr="00695C93">
        <w:fldChar w:fldCharType="separate"/>
      </w:r>
      <w:r w:rsidR="00CA6314" w:rsidRPr="00695C93">
        <w:rPr>
          <w:noProof/>
        </w:rPr>
        <w:instrText>1</w:instrText>
      </w:r>
      <w:r w:rsidR="00796D3D" w:rsidRPr="00695C93">
        <w:fldChar w:fldCharType="end"/>
      </w:r>
      <w:r w:rsidR="00796D3D" w:rsidRPr="00695C93">
        <w:instrText xml:space="preserve">" "6" </w:instrText>
      </w:r>
      <w:r w:rsidR="00796D3D" w:rsidRPr="00695C93">
        <w:fldChar w:fldCharType="separate"/>
      </w:r>
      <w:r w:rsidR="00CA6314" w:rsidRPr="00695C93">
        <w:rPr>
          <w:noProof/>
        </w:rPr>
        <w:instrText>1</w:instrText>
      </w:r>
      <w:r w:rsidR="00796D3D" w:rsidRPr="00695C93">
        <w:fldChar w:fldCharType="end"/>
      </w:r>
      <w:r w:rsidR="00796D3D" w:rsidRPr="00695C93">
        <w:instrText xml:space="preserve"> </w:instrText>
      </w:r>
      <w:r w:rsidR="00796D3D" w:rsidRPr="00695C93">
        <w:fldChar w:fldCharType="separate"/>
      </w:r>
      <w:r w:rsidR="00CA6314">
        <w:rPr>
          <w:noProof/>
        </w:rPr>
        <w:instrText>4</w:instrText>
      </w:r>
      <w:r w:rsidR="00796D3D" w:rsidRPr="00695C93">
        <w:fldChar w:fldCharType="end"/>
      </w:r>
      <w:r w:rsidR="00796D3D" w:rsidRPr="00695C93">
        <w:instrText xml:space="preserve">" "" </w:instrText>
      </w:r>
      <w:r w:rsidR="00796D3D" w:rsidRPr="00695C93">
        <w:fldChar w:fldCharType="separate"/>
      </w:r>
      <w:bookmarkStart w:id="139" w:name="_Caption0516"/>
      <w:bookmarkStart w:id="140" w:name="_Caption6266"/>
      <w:bookmarkStart w:id="141" w:name="_Caption9252"/>
      <w:bookmarkStart w:id="142" w:name="_Caption2260"/>
      <w:bookmarkStart w:id="143" w:name="_Toc320545098"/>
      <w:bookmarkStart w:id="144" w:name="_Toc392840263"/>
      <w:bookmarkStart w:id="145" w:name="_Toc393202311"/>
      <w:r w:rsidR="00CA6314">
        <w:rPr>
          <w:noProof/>
        </w:rPr>
        <w:t>2</w:t>
      </w:r>
      <w:r w:rsidR="00CA6314" w:rsidRPr="00695C93">
        <w:rPr>
          <w:noProof/>
        </w:rPr>
        <w:t>.</w:t>
      </w:r>
      <w:r w:rsidR="00CA6314">
        <w:rPr>
          <w:noProof/>
        </w:rPr>
        <w:t>4</w:t>
      </w:r>
      <w:bookmarkEnd w:id="139"/>
      <w:bookmarkEnd w:id="140"/>
      <w:bookmarkEnd w:id="141"/>
      <w:bookmarkEnd w:id="142"/>
      <w:r w:rsidR="00796D3D" w:rsidRPr="00695C93">
        <w:fldChar w:fldCharType="end"/>
      </w:r>
      <w:r w:rsidR="00D61FAA">
        <w:t>4</w:t>
      </w:r>
      <w:r w:rsidR="00796D3D" w:rsidRPr="00695C93">
        <w:tab/>
      </w:r>
      <w:bookmarkEnd w:id="143"/>
      <w:r w:rsidR="00796D3D">
        <w:t>New Capital Works Initiatives</w:t>
      </w:r>
      <w:bookmarkEnd w:id="144"/>
      <w:bookmarkEnd w:id="145"/>
      <w:r w:rsidR="00796D3D">
        <w:t xml:space="preserve">  </w:t>
      </w:r>
      <w:r w:rsidR="00796D3D" w:rsidRPr="00695C93">
        <w:tab/>
      </w:r>
    </w:p>
    <w:tbl>
      <w:tblPr>
        <w:tblW w:w="7938" w:type="dxa"/>
        <w:tblInd w:w="57" w:type="dxa"/>
        <w:tblLayout w:type="fixed"/>
        <w:tblLook w:val="0000" w:firstRow="0" w:lastRow="0" w:firstColumn="0" w:lastColumn="0" w:noHBand="0" w:noVBand="0"/>
      </w:tblPr>
      <w:tblGrid>
        <w:gridCol w:w="2835"/>
        <w:gridCol w:w="993"/>
        <w:gridCol w:w="992"/>
        <w:gridCol w:w="1134"/>
        <w:gridCol w:w="992"/>
        <w:gridCol w:w="992"/>
      </w:tblGrid>
      <w:tr w:rsidR="00796D3D" w:rsidTr="00EA7863">
        <w:trPr>
          <w:tblHeader/>
        </w:trPr>
        <w:tc>
          <w:tcPr>
            <w:tcW w:w="2835" w:type="dxa"/>
            <w:shd w:val="clear" w:color="auto" w:fill="6F6652"/>
            <w:tcMar>
              <w:left w:w="57" w:type="dxa"/>
              <w:right w:w="57" w:type="dxa"/>
            </w:tcMar>
          </w:tcPr>
          <w:p w:rsidR="00796D3D" w:rsidRDefault="00796D3D" w:rsidP="00EA7863">
            <w:pPr>
              <w:pStyle w:val="TableDataColumnHeading"/>
              <w:jc w:val="left"/>
            </w:pPr>
            <w:r>
              <w:t xml:space="preserve">Threshold </w:t>
            </w:r>
          </w:p>
        </w:tc>
        <w:tc>
          <w:tcPr>
            <w:tcW w:w="993" w:type="dxa"/>
            <w:shd w:val="clear" w:color="auto" w:fill="6F6652"/>
            <w:tcMar>
              <w:left w:w="57" w:type="dxa"/>
              <w:right w:w="57" w:type="dxa"/>
            </w:tcMar>
          </w:tcPr>
          <w:p w:rsidR="00796D3D" w:rsidRDefault="00796D3D" w:rsidP="00EA7863">
            <w:pPr>
              <w:pStyle w:val="TableDataColumnHeading"/>
            </w:pPr>
            <w:r>
              <w:t>2014-15</w:t>
            </w:r>
          </w:p>
        </w:tc>
        <w:tc>
          <w:tcPr>
            <w:tcW w:w="992" w:type="dxa"/>
            <w:shd w:val="clear" w:color="auto" w:fill="6F6652"/>
            <w:tcMar>
              <w:left w:w="57" w:type="dxa"/>
              <w:right w:w="57" w:type="dxa"/>
            </w:tcMar>
          </w:tcPr>
          <w:p w:rsidR="00796D3D" w:rsidRDefault="00796D3D" w:rsidP="00EA7863">
            <w:pPr>
              <w:pStyle w:val="TableDataColumnHeading"/>
            </w:pPr>
            <w:r>
              <w:t>2015-16</w:t>
            </w:r>
          </w:p>
        </w:tc>
        <w:tc>
          <w:tcPr>
            <w:tcW w:w="1134" w:type="dxa"/>
            <w:shd w:val="clear" w:color="auto" w:fill="6F6652"/>
            <w:tcMar>
              <w:left w:w="57" w:type="dxa"/>
              <w:right w:w="57" w:type="dxa"/>
            </w:tcMar>
          </w:tcPr>
          <w:p w:rsidR="00796D3D" w:rsidRDefault="00796D3D" w:rsidP="00EA7863">
            <w:pPr>
              <w:pStyle w:val="TableDataColumnHeading"/>
            </w:pPr>
            <w:r>
              <w:t>2016-17</w:t>
            </w:r>
          </w:p>
        </w:tc>
        <w:tc>
          <w:tcPr>
            <w:tcW w:w="992" w:type="dxa"/>
            <w:shd w:val="clear" w:color="auto" w:fill="6F6652"/>
            <w:tcMar>
              <w:left w:w="57" w:type="dxa"/>
              <w:right w:w="57" w:type="dxa"/>
            </w:tcMar>
          </w:tcPr>
          <w:p w:rsidR="00796D3D" w:rsidRDefault="00796D3D" w:rsidP="00EA7863">
            <w:pPr>
              <w:pStyle w:val="TableDataColumnHeading"/>
            </w:pPr>
            <w:r>
              <w:t>2017-18</w:t>
            </w:r>
          </w:p>
        </w:tc>
        <w:tc>
          <w:tcPr>
            <w:tcW w:w="992" w:type="dxa"/>
            <w:shd w:val="clear" w:color="auto" w:fill="6F6652"/>
          </w:tcPr>
          <w:p w:rsidR="00796D3D" w:rsidRDefault="00796D3D" w:rsidP="00EA7863">
            <w:pPr>
              <w:pStyle w:val="TableDataColumnHeading"/>
            </w:pPr>
            <w:r>
              <w:t>Total</w:t>
            </w:r>
          </w:p>
        </w:tc>
      </w:tr>
      <w:tr w:rsidR="00796D3D" w:rsidTr="00EA7863">
        <w:trPr>
          <w:tblHeader/>
        </w:trPr>
        <w:tc>
          <w:tcPr>
            <w:tcW w:w="2835"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jc w:val="left"/>
            </w:pPr>
            <w:r>
              <w:t xml:space="preserve">Initiatives </w:t>
            </w:r>
          </w:p>
        </w:tc>
        <w:tc>
          <w:tcPr>
            <w:tcW w:w="993"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$m</w:t>
            </w:r>
          </w:p>
        </w:tc>
        <w:tc>
          <w:tcPr>
            <w:tcW w:w="99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$m</w:t>
            </w:r>
          </w:p>
        </w:tc>
        <w:tc>
          <w:tcPr>
            <w:tcW w:w="1134"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$m</w:t>
            </w:r>
          </w:p>
        </w:tc>
        <w:tc>
          <w:tcPr>
            <w:tcW w:w="992" w:type="dxa"/>
            <w:tcBorders>
              <w:bottom w:val="single" w:sz="8" w:space="0" w:color="FFFFFF" w:themeColor="background1"/>
            </w:tcBorders>
            <w:shd w:val="clear" w:color="auto" w:fill="auto"/>
            <w:tcMar>
              <w:left w:w="57" w:type="dxa"/>
              <w:right w:w="57" w:type="dxa"/>
            </w:tcMar>
          </w:tcPr>
          <w:p w:rsidR="00796D3D" w:rsidRDefault="00796D3D" w:rsidP="00EA7863">
            <w:pPr>
              <w:pStyle w:val="TableDataEntries"/>
            </w:pPr>
            <w:r>
              <w:t>$m</w:t>
            </w:r>
          </w:p>
        </w:tc>
        <w:tc>
          <w:tcPr>
            <w:tcW w:w="992" w:type="dxa"/>
            <w:tcBorders>
              <w:bottom w:val="single" w:sz="8" w:space="0" w:color="FFFFFF" w:themeColor="background1"/>
            </w:tcBorders>
          </w:tcPr>
          <w:p w:rsidR="00796D3D" w:rsidRDefault="00796D3D" w:rsidP="00EA7863">
            <w:pPr>
              <w:pStyle w:val="TableDataEntries"/>
            </w:pPr>
            <w:r>
              <w:t>$m</w:t>
            </w:r>
          </w:p>
        </w:tc>
      </w:tr>
      <w:tr w:rsidR="00796D3D" w:rsidTr="00EA7863">
        <w:tc>
          <w:tcPr>
            <w:tcW w:w="2835"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Pr="00655AEA" w:rsidRDefault="00796D3D" w:rsidP="00B83167">
            <w:pPr>
              <w:pStyle w:val="TableHeading1"/>
              <w:spacing w:before="80" w:after="40"/>
            </w:pPr>
            <w:r>
              <w:t xml:space="preserve">Infrastructure Investments </w:t>
            </w:r>
            <w:r w:rsidRPr="00655AEA">
              <w:t xml:space="preserve"> </w:t>
            </w:r>
          </w:p>
        </w:tc>
        <w:tc>
          <w:tcPr>
            <w:tcW w:w="993"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Default="00796D3D" w:rsidP="00B83167">
            <w:pPr>
              <w:pStyle w:val="TableHeading1"/>
              <w:spacing w:before="80" w:after="40"/>
            </w:pPr>
          </w:p>
        </w:tc>
        <w:tc>
          <w:tcPr>
            <w:tcW w:w="992"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Default="00796D3D" w:rsidP="00B83167">
            <w:pPr>
              <w:pStyle w:val="TableHeading1"/>
              <w:spacing w:before="80" w:after="40"/>
            </w:pPr>
          </w:p>
        </w:tc>
        <w:tc>
          <w:tcPr>
            <w:tcW w:w="1134"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Default="00796D3D" w:rsidP="00B83167">
            <w:pPr>
              <w:pStyle w:val="TableHeading1"/>
              <w:spacing w:before="80" w:after="40"/>
            </w:pPr>
          </w:p>
        </w:tc>
        <w:tc>
          <w:tcPr>
            <w:tcW w:w="992" w:type="dxa"/>
            <w:tcBorders>
              <w:top w:val="single" w:sz="8" w:space="0" w:color="FFFFFF" w:themeColor="background1"/>
              <w:bottom w:val="single" w:sz="8" w:space="0" w:color="FFFFFF" w:themeColor="background1"/>
            </w:tcBorders>
            <w:shd w:val="clear" w:color="auto" w:fill="E4E0DA" w:themeFill="text2" w:themeFillTint="33"/>
            <w:tcMar>
              <w:left w:w="57" w:type="dxa"/>
              <w:right w:w="57" w:type="dxa"/>
            </w:tcMar>
          </w:tcPr>
          <w:p w:rsidR="00796D3D" w:rsidRDefault="00796D3D" w:rsidP="00B83167">
            <w:pPr>
              <w:pStyle w:val="TableHeading1"/>
              <w:spacing w:before="80" w:after="40"/>
            </w:pPr>
          </w:p>
        </w:tc>
        <w:tc>
          <w:tcPr>
            <w:tcW w:w="992" w:type="dxa"/>
            <w:tcBorders>
              <w:top w:val="single" w:sz="8" w:space="0" w:color="FFFFFF" w:themeColor="background1"/>
              <w:bottom w:val="single" w:sz="8" w:space="0" w:color="FFFFFF" w:themeColor="background1"/>
            </w:tcBorders>
            <w:shd w:val="clear" w:color="auto" w:fill="E4E0DA" w:themeFill="text2" w:themeFillTint="33"/>
          </w:tcPr>
          <w:p w:rsidR="00796D3D" w:rsidRDefault="00796D3D" w:rsidP="00B83167">
            <w:pPr>
              <w:pStyle w:val="TableHeading1"/>
              <w:spacing w:before="80" w:after="40"/>
            </w:pP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Alexander </w:t>
            </w:r>
            <w:proofErr w:type="spellStart"/>
            <w:r>
              <w:t>Maconochie</w:t>
            </w:r>
            <w:proofErr w:type="spellEnd"/>
            <w:r>
              <w:t xml:space="preserve"> Centre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24 304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29 786</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ind w:left="720"/>
            </w:pPr>
            <w:r>
              <w: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54</w:t>
            </w:r>
            <w:r>
              <w:t xml:space="preserve"> </w:t>
            </w:r>
            <w:r w:rsidRPr="00382B3D">
              <w:t>090</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Secure Mental Health Unit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3 808</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30 619</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9 064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ind w:left="720"/>
            </w:pPr>
            <w:r>
              <w:t xml:space="preserve">  -</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40</w:t>
            </w:r>
            <w:r>
              <w:t xml:space="preserve"> </w:t>
            </w:r>
            <w:r w:rsidRPr="00382B3D">
              <w:t>491</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t xml:space="preserve">Health Infrastructure Program –    project managements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13 184</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14 522</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27</w:t>
            </w:r>
            <w:r>
              <w:t xml:space="preserve"> </w:t>
            </w:r>
            <w:r w:rsidRPr="00382B3D">
              <w:t>706</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t>Civic to Gungahlin Corridor</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8 000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12 000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20</w:t>
            </w:r>
            <w:r>
              <w:t xml:space="preserve"> </w:t>
            </w:r>
            <w:r w:rsidRPr="00382B3D">
              <w:t>000</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t xml:space="preserve">Calvary Public Hospital – car park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17 427</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1 653</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1</w:t>
            </w:r>
            <w:r>
              <w:t>9 080</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t xml:space="preserve">Emergency Services Agency Station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8 569</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10 164</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131</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18</w:t>
            </w:r>
            <w:r>
              <w:t xml:space="preserve"> </w:t>
            </w:r>
            <w:r w:rsidRPr="00382B3D">
              <w:t>864</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Pr="00CC41A8" w:rsidRDefault="00796D3D" w:rsidP="00EA7863">
            <w:pPr>
              <w:pStyle w:val="TableDataEntries"/>
              <w:jc w:val="left"/>
            </w:pPr>
            <w:r>
              <w:t xml:space="preserve">Molonglo Infrastructure Investment </w:t>
            </w:r>
            <w:r w:rsidRPr="00CC41A8">
              <w:t xml:space="preserve">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6 000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8 000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3 000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ind w:left="720"/>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17</w:t>
            </w:r>
            <w:r>
              <w:t xml:space="preserve"> </w:t>
            </w:r>
            <w:r w:rsidRPr="00382B3D">
              <w:t>000</w:t>
            </w:r>
          </w:p>
        </w:tc>
      </w:tr>
      <w:tr w:rsidR="00796D3D" w:rsidTr="00EA7863">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Isabella Weir Spillway Upgrade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5 050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5 050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10</w:t>
            </w:r>
            <w:r>
              <w:t xml:space="preserve"> </w:t>
            </w:r>
            <w:r w:rsidRPr="00382B3D">
              <w:t>100</w:t>
            </w:r>
          </w:p>
        </w:tc>
      </w:tr>
      <w:tr w:rsidR="00796D3D" w:rsidTr="00911ACE">
        <w:tc>
          <w:tcPr>
            <w:tcW w:w="2835"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tcPr>
          <w:p w:rsidR="00796D3D" w:rsidRDefault="00796D3D" w:rsidP="00EA7863">
            <w:pPr>
              <w:pStyle w:val="TableDataEntries"/>
              <w:jc w:val="left"/>
            </w:pPr>
            <w:r>
              <w:t xml:space="preserve">William Slim/Barton Highway Roundabout Signalisation </w:t>
            </w:r>
          </w:p>
        </w:tc>
        <w:tc>
          <w:tcPr>
            <w:tcW w:w="993"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1 000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7 000</w:t>
            </w:r>
          </w:p>
        </w:tc>
        <w:tc>
          <w:tcPr>
            <w:tcW w:w="1134"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r>
              <w:t>2 000</w:t>
            </w:r>
          </w:p>
        </w:tc>
        <w:tc>
          <w:tcPr>
            <w:tcW w:w="992" w:type="dxa"/>
            <w:tcBorders>
              <w:top w:val="single" w:sz="8" w:space="0" w:color="FFFFFF" w:themeColor="background1"/>
              <w:bottom w:val="single" w:sz="8" w:space="0" w:color="FFFFFF" w:themeColor="background1"/>
            </w:tcBorders>
            <w:shd w:val="clear" w:color="auto" w:fill="E9E8E5" w:themeFill="background2"/>
            <w:tcMar>
              <w:left w:w="57" w:type="dxa"/>
              <w:right w:w="57" w:type="dxa"/>
            </w:tcMar>
            <w:vAlign w:val="center"/>
          </w:tcPr>
          <w:p w:rsidR="00796D3D" w:rsidRDefault="00796D3D" w:rsidP="00EA7863">
            <w:pPr>
              <w:pStyle w:val="TableDataEntries"/>
            </w:pPr>
          </w:p>
        </w:tc>
        <w:tc>
          <w:tcPr>
            <w:tcW w:w="992" w:type="dxa"/>
            <w:tcBorders>
              <w:top w:val="single" w:sz="8" w:space="0" w:color="FFFFFF" w:themeColor="background1"/>
              <w:bottom w:val="single" w:sz="8" w:space="0" w:color="FFFFFF" w:themeColor="background1"/>
            </w:tcBorders>
            <w:shd w:val="clear" w:color="auto" w:fill="E9E8E5" w:themeFill="background2"/>
            <w:vAlign w:val="center"/>
          </w:tcPr>
          <w:p w:rsidR="00796D3D" w:rsidRPr="00382B3D" w:rsidRDefault="00796D3D" w:rsidP="00EA7863">
            <w:pPr>
              <w:pStyle w:val="TableDataEntries"/>
            </w:pPr>
            <w:r w:rsidRPr="00382B3D">
              <w:t>10</w:t>
            </w:r>
            <w:r>
              <w:t xml:space="preserve"> </w:t>
            </w:r>
            <w:r w:rsidRPr="00382B3D">
              <w:t>000</w:t>
            </w:r>
          </w:p>
        </w:tc>
      </w:tr>
      <w:tr w:rsidR="00796D3D" w:rsidTr="00911ACE">
        <w:tc>
          <w:tcPr>
            <w:tcW w:w="2835" w:type="dxa"/>
            <w:tcBorders>
              <w:top w:val="single" w:sz="8" w:space="0" w:color="FFFFFF" w:themeColor="background1"/>
              <w:bottom w:val="single" w:sz="4" w:space="0" w:color="6F6652" w:themeColor="accent5"/>
            </w:tcBorders>
            <w:shd w:val="clear" w:color="auto" w:fill="E9E8E5" w:themeFill="background2"/>
            <w:tcMar>
              <w:left w:w="57" w:type="dxa"/>
              <w:right w:w="57" w:type="dxa"/>
            </w:tcMar>
          </w:tcPr>
          <w:p w:rsidR="00796D3D" w:rsidRDefault="00796D3D" w:rsidP="00EA7863">
            <w:pPr>
              <w:pStyle w:val="TableDataEntries"/>
              <w:jc w:val="left"/>
            </w:pPr>
            <w:r>
              <w:t xml:space="preserve">Majura Parkway to Majura Road </w:t>
            </w:r>
          </w:p>
        </w:tc>
        <w:tc>
          <w:tcPr>
            <w:tcW w:w="993"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pPr>
            <w:r>
              <w:t>3 300</w:t>
            </w:r>
          </w:p>
        </w:tc>
        <w:tc>
          <w:tcPr>
            <w:tcW w:w="992"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pPr>
            <w:r>
              <w:t>6 556</w:t>
            </w:r>
          </w:p>
        </w:tc>
        <w:tc>
          <w:tcPr>
            <w:tcW w:w="1134"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4" w:space="0" w:color="6F6652" w:themeColor="accent5"/>
            </w:tcBorders>
            <w:shd w:val="clear" w:color="auto" w:fill="E9E8E5" w:themeFill="background2"/>
            <w:tcMar>
              <w:left w:w="57" w:type="dxa"/>
              <w:right w:w="57" w:type="dxa"/>
            </w:tcMar>
            <w:vAlign w:val="center"/>
          </w:tcPr>
          <w:p w:rsidR="00796D3D" w:rsidRDefault="00796D3D" w:rsidP="00EA7863">
            <w:pPr>
              <w:pStyle w:val="TableDataEntries"/>
            </w:pPr>
            <w:r>
              <w:t>-</w:t>
            </w:r>
          </w:p>
        </w:tc>
        <w:tc>
          <w:tcPr>
            <w:tcW w:w="992" w:type="dxa"/>
            <w:tcBorders>
              <w:top w:val="single" w:sz="8" w:space="0" w:color="FFFFFF" w:themeColor="background1"/>
              <w:bottom w:val="single" w:sz="4" w:space="0" w:color="6F6652" w:themeColor="accent5"/>
            </w:tcBorders>
            <w:shd w:val="clear" w:color="auto" w:fill="E9E8E5" w:themeFill="background2"/>
            <w:vAlign w:val="center"/>
          </w:tcPr>
          <w:p w:rsidR="00796D3D" w:rsidRPr="00382B3D" w:rsidRDefault="00796D3D" w:rsidP="00EA7863">
            <w:pPr>
              <w:pStyle w:val="TableDataEntries"/>
            </w:pPr>
            <w:r w:rsidRPr="00382B3D">
              <w:t>9</w:t>
            </w:r>
            <w:r>
              <w:t xml:space="preserve"> </w:t>
            </w:r>
            <w:r w:rsidRPr="00382B3D">
              <w:t>856</w:t>
            </w:r>
          </w:p>
        </w:tc>
      </w:tr>
    </w:tbl>
    <w:p w:rsidR="00796D3D" w:rsidRDefault="00796D3D" w:rsidP="00796D3D">
      <w:pPr>
        <w:pStyle w:val="Source"/>
        <w:spacing w:before="0" w:after="0"/>
      </w:pPr>
      <w:r>
        <w:rPr>
          <w:i/>
        </w:rPr>
        <w:t>Source</w:t>
      </w:r>
      <w:r w:rsidRPr="00E4232C">
        <w:rPr>
          <w:i/>
        </w:rPr>
        <w:t>:</w:t>
      </w:r>
      <w:r>
        <w:t xml:space="preserve"> ACT Budget 2014-15</w:t>
      </w:r>
    </w:p>
    <w:p w:rsidR="00796D3D" w:rsidRDefault="00796D3D" w:rsidP="00796D3D">
      <w:pPr>
        <w:pStyle w:val="BodyText"/>
        <w:rPr>
          <w:b/>
        </w:rPr>
      </w:pPr>
    </w:p>
    <w:p w:rsidR="00796D3D" w:rsidRPr="00F51AF6" w:rsidRDefault="00796D3D" w:rsidP="00796D3D">
      <w:pPr>
        <w:pStyle w:val="Heading1"/>
      </w:pPr>
      <w:bookmarkStart w:id="146" w:name="_Toc392856627"/>
      <w:bookmarkStart w:id="147" w:name="_Toc393202278"/>
      <w:r>
        <w:t>Economic analysis of the Capital Metro</w:t>
      </w:r>
      <w:bookmarkEnd w:id="146"/>
      <w:bookmarkEnd w:id="147"/>
    </w:p>
    <w:p w:rsidR="00796D3D" w:rsidRPr="00A85504" w:rsidRDefault="00796D3D" w:rsidP="00796D3D">
      <w:pPr>
        <w:pStyle w:val="ChapterIntroduction"/>
        <w:rPr>
          <w:color w:val="6F6652" w:themeColor="accent5"/>
        </w:rPr>
      </w:pPr>
      <w:r w:rsidRPr="00A85504">
        <w:rPr>
          <w:color w:val="6F6652" w:themeColor="accent5"/>
        </w:rPr>
        <w:t>The</w:t>
      </w:r>
      <w:r w:rsidR="00CD2673">
        <w:rPr>
          <w:color w:val="6F6652" w:themeColor="accent5"/>
        </w:rPr>
        <w:t>re is</w:t>
      </w:r>
      <w:r w:rsidRPr="00A85504">
        <w:rPr>
          <w:color w:val="6F6652" w:themeColor="accent5"/>
        </w:rPr>
        <w:t xml:space="preserve"> little </w:t>
      </w:r>
      <w:r w:rsidR="00CD2673">
        <w:rPr>
          <w:color w:val="6F6652" w:themeColor="accent5"/>
        </w:rPr>
        <w:t xml:space="preserve">available </w:t>
      </w:r>
      <w:r w:rsidRPr="00A85504">
        <w:rPr>
          <w:color w:val="6F6652" w:themeColor="accent5"/>
        </w:rPr>
        <w:t xml:space="preserve">evidence to </w:t>
      </w:r>
      <w:r w:rsidR="00DE375E">
        <w:rPr>
          <w:color w:val="6F6652" w:themeColor="accent5"/>
        </w:rPr>
        <w:t>support the economic merit</w:t>
      </w:r>
      <w:r w:rsidRPr="00A85504">
        <w:rPr>
          <w:color w:val="6F6652" w:themeColor="accent5"/>
        </w:rPr>
        <w:t xml:space="preserve"> of the Capital Metro</w:t>
      </w:r>
      <w:r w:rsidR="00DE375E">
        <w:rPr>
          <w:color w:val="6F6652" w:themeColor="accent5"/>
        </w:rPr>
        <w:t xml:space="preserve">, which appears to </w:t>
      </w:r>
      <w:proofErr w:type="gramStart"/>
      <w:r w:rsidR="00DE375E">
        <w:rPr>
          <w:color w:val="6F6652" w:themeColor="accent5"/>
        </w:rPr>
        <w:t>be more focused</w:t>
      </w:r>
      <w:proofErr w:type="gramEnd"/>
      <w:r w:rsidR="00DE375E">
        <w:rPr>
          <w:color w:val="6F6652" w:themeColor="accent5"/>
        </w:rPr>
        <w:t xml:space="preserve"> on environmental and social objectives</w:t>
      </w:r>
      <w:r w:rsidRPr="00A85504">
        <w:rPr>
          <w:color w:val="6F6652" w:themeColor="accent5"/>
        </w:rPr>
        <w:t xml:space="preserve">. </w:t>
      </w:r>
      <w:r w:rsidR="00CD2673">
        <w:rPr>
          <w:color w:val="6F6652" w:themeColor="accent5"/>
        </w:rPr>
        <w:t>Based on information that is available</w:t>
      </w:r>
      <w:r w:rsidR="00DE375E">
        <w:rPr>
          <w:color w:val="6F6652" w:themeColor="accent5"/>
        </w:rPr>
        <w:t>, l</w:t>
      </w:r>
      <w:r w:rsidRPr="00A85504">
        <w:rPr>
          <w:color w:val="6F6652" w:themeColor="accent5"/>
        </w:rPr>
        <w:t>ight rail in Canberra has a net cost t</w:t>
      </w:r>
      <w:r w:rsidR="00CD2673">
        <w:rPr>
          <w:color w:val="6F6652" w:themeColor="accent5"/>
        </w:rPr>
        <w:t>o the ACT of approximately $235 </w:t>
      </w:r>
      <w:r w:rsidRPr="00A85504">
        <w:rPr>
          <w:color w:val="6F6652" w:themeColor="accent5"/>
        </w:rPr>
        <w:t xml:space="preserve">million relative to a Bus Rapid Transit (BRT) option. </w:t>
      </w:r>
    </w:p>
    <w:p w:rsidR="00796D3D" w:rsidRPr="00A85504" w:rsidRDefault="00CD2673" w:rsidP="00796D3D">
      <w:pPr>
        <w:pStyle w:val="ChapterIntroduction"/>
        <w:rPr>
          <w:color w:val="6F6652" w:themeColor="accent5"/>
        </w:rPr>
      </w:pPr>
      <w:r>
        <w:rPr>
          <w:color w:val="6F6652" w:themeColor="accent5"/>
        </w:rPr>
        <w:t>The expected u</w:t>
      </w:r>
      <w:r w:rsidR="00796D3D" w:rsidRPr="00A85504">
        <w:rPr>
          <w:color w:val="6F6652" w:themeColor="accent5"/>
        </w:rPr>
        <w:t>plift in employment in the transit corridor</w:t>
      </w:r>
      <w:r>
        <w:rPr>
          <w:color w:val="6F6652" w:themeColor="accent5"/>
        </w:rPr>
        <w:t xml:space="preserve"> identified in the business case</w:t>
      </w:r>
      <w:r w:rsidR="00796D3D" w:rsidRPr="00A85504">
        <w:rPr>
          <w:color w:val="6F6652" w:themeColor="accent5"/>
        </w:rPr>
        <w:t xml:space="preserve"> is difficult to attribute directly to the construction of the light rail if land use policy implemented over the same period increases density in that area.</w:t>
      </w:r>
    </w:p>
    <w:p w:rsidR="00796D3D" w:rsidRPr="00A85504" w:rsidRDefault="00CD2673" w:rsidP="00796D3D">
      <w:pPr>
        <w:pStyle w:val="ChapterIntroduction"/>
        <w:rPr>
          <w:color w:val="6F6652" w:themeColor="accent5"/>
        </w:rPr>
      </w:pPr>
      <w:r>
        <w:rPr>
          <w:color w:val="6F6652" w:themeColor="accent5"/>
        </w:rPr>
        <w:t>The expected u</w:t>
      </w:r>
      <w:r w:rsidR="00796D3D" w:rsidRPr="00A85504">
        <w:rPr>
          <w:color w:val="6F6652" w:themeColor="accent5"/>
        </w:rPr>
        <w:t xml:space="preserve">plift in land values in the area surrounding the transit corridor is potentially a measure of benefits to users of the land, however counting it as a benefit in addition to decreased journey time and other benefits may lead to double-counting. </w:t>
      </w:r>
    </w:p>
    <w:p w:rsidR="00DE375E" w:rsidRDefault="00796D3D" w:rsidP="00796D3D">
      <w:pPr>
        <w:pStyle w:val="ChapterIntroduction"/>
        <w:rPr>
          <w:color w:val="6F6652" w:themeColor="accent5"/>
        </w:rPr>
      </w:pPr>
      <w:r w:rsidRPr="00A85504">
        <w:rPr>
          <w:color w:val="6F6652" w:themeColor="accent5"/>
        </w:rPr>
        <w:t xml:space="preserve">Light rail </w:t>
      </w:r>
      <w:r w:rsidR="00DE375E">
        <w:rPr>
          <w:color w:val="6F6652" w:themeColor="accent5"/>
        </w:rPr>
        <w:t xml:space="preserve">does </w:t>
      </w:r>
      <w:r w:rsidRPr="00A85504">
        <w:rPr>
          <w:color w:val="6F6652" w:themeColor="accent5"/>
        </w:rPr>
        <w:t xml:space="preserve">present a low emissions alternative to cars and </w:t>
      </w:r>
      <w:r w:rsidR="00CD2673">
        <w:rPr>
          <w:color w:val="6F6652" w:themeColor="accent5"/>
        </w:rPr>
        <w:t xml:space="preserve">would </w:t>
      </w:r>
      <w:r w:rsidRPr="00A85504">
        <w:rPr>
          <w:color w:val="6F6652" w:themeColor="accent5"/>
        </w:rPr>
        <w:t xml:space="preserve">have lower emissions per passenger than </w:t>
      </w:r>
      <w:r w:rsidR="00CD2673">
        <w:rPr>
          <w:color w:val="6F6652" w:themeColor="accent5"/>
        </w:rPr>
        <w:t xml:space="preserve">a </w:t>
      </w:r>
      <w:r w:rsidRPr="00A85504">
        <w:rPr>
          <w:color w:val="6F6652" w:themeColor="accent5"/>
        </w:rPr>
        <w:t>BRT</w:t>
      </w:r>
      <w:r w:rsidR="00CD2673">
        <w:rPr>
          <w:color w:val="6F6652" w:themeColor="accent5"/>
        </w:rPr>
        <w:t xml:space="preserve"> option</w:t>
      </w:r>
      <w:r w:rsidRPr="00A85504">
        <w:rPr>
          <w:color w:val="6F6652" w:themeColor="accent5"/>
        </w:rPr>
        <w:t xml:space="preserve">. </w:t>
      </w:r>
    </w:p>
    <w:p w:rsidR="00796D3D" w:rsidRPr="00A85504" w:rsidRDefault="00DE375E" w:rsidP="00796D3D">
      <w:pPr>
        <w:pStyle w:val="ChapterIntroduction"/>
        <w:rPr>
          <w:color w:val="6F6652" w:themeColor="accent5"/>
        </w:rPr>
      </w:pPr>
      <w:r>
        <w:rPr>
          <w:color w:val="6F6652" w:themeColor="accent5"/>
        </w:rPr>
        <w:t>However, t</w:t>
      </w:r>
      <w:r w:rsidR="00796D3D" w:rsidRPr="00A85504">
        <w:rPr>
          <w:color w:val="6F6652" w:themeColor="accent5"/>
        </w:rPr>
        <w:t xml:space="preserve">he total discounted cost of </w:t>
      </w:r>
      <w:r w:rsidR="00CD2673">
        <w:rPr>
          <w:color w:val="6F6652" w:themeColor="accent5"/>
        </w:rPr>
        <w:t>light rail</w:t>
      </w:r>
      <w:r w:rsidR="00796D3D" w:rsidRPr="00A85504">
        <w:rPr>
          <w:color w:val="6F6652" w:themeColor="accent5"/>
        </w:rPr>
        <w:t xml:space="preserve"> </w:t>
      </w:r>
      <w:r w:rsidR="002D1D19">
        <w:rPr>
          <w:color w:val="6F6652" w:themeColor="accent5"/>
        </w:rPr>
        <w:t xml:space="preserve">($524.1 million) </w:t>
      </w:r>
      <w:r w:rsidR="00796D3D" w:rsidRPr="00A85504">
        <w:rPr>
          <w:color w:val="6F6652" w:themeColor="accent5"/>
        </w:rPr>
        <w:t xml:space="preserve">is over double that of </w:t>
      </w:r>
      <w:proofErr w:type="gramStart"/>
      <w:r w:rsidR="00796D3D" w:rsidRPr="00A85504">
        <w:rPr>
          <w:color w:val="6F6652" w:themeColor="accent5"/>
        </w:rPr>
        <w:t xml:space="preserve">BRT </w:t>
      </w:r>
      <w:r w:rsidR="002D1D19">
        <w:rPr>
          <w:color w:val="6F6652" w:themeColor="accent5"/>
        </w:rPr>
        <w:t xml:space="preserve"> (</w:t>
      </w:r>
      <w:proofErr w:type="gramEnd"/>
      <w:r w:rsidR="002D1D19">
        <w:rPr>
          <w:color w:val="6F6652" w:themeColor="accent5"/>
        </w:rPr>
        <w:t xml:space="preserve">$248.5 million) </w:t>
      </w:r>
      <w:r w:rsidR="00796D3D" w:rsidRPr="00A85504">
        <w:rPr>
          <w:color w:val="6F6652" w:themeColor="accent5"/>
        </w:rPr>
        <w:t>and only leads to a small additional benefit over BRT in terms of pollution</w:t>
      </w:r>
      <w:r w:rsidR="0098649B">
        <w:rPr>
          <w:color w:val="6F6652" w:themeColor="accent5"/>
        </w:rPr>
        <w:t>.</w:t>
      </w:r>
      <w:r w:rsidR="00796D3D" w:rsidRPr="00A85504">
        <w:rPr>
          <w:color w:val="6F6652" w:themeColor="accent5"/>
        </w:rPr>
        <w:t xml:space="preserve"> </w:t>
      </w:r>
    </w:p>
    <w:p w:rsidR="00DE375E" w:rsidRDefault="00796D3D" w:rsidP="00796D3D">
      <w:pPr>
        <w:pStyle w:val="BodyText"/>
      </w:pPr>
      <w:r>
        <w:t>The Capital Metro represents a substantial expense on infrastructure</w:t>
      </w:r>
      <w:r w:rsidR="00CD2673">
        <w:t xml:space="preserve"> in the ACT, and t</w:t>
      </w:r>
      <w:r w:rsidR="00DE375E">
        <w:t>here is</w:t>
      </w:r>
      <w:r>
        <w:t xml:space="preserve"> relatively little publicly available </w:t>
      </w:r>
      <w:r w:rsidR="00DE375E">
        <w:t>information on</w:t>
      </w:r>
      <w:r>
        <w:t xml:space="preserve"> the economic </w:t>
      </w:r>
      <w:r w:rsidR="00DE375E">
        <w:t>case for</w:t>
      </w:r>
      <w:r w:rsidR="00CD2673">
        <w:t xml:space="preserve"> the project</w:t>
      </w:r>
      <w:r>
        <w:t xml:space="preserve">. </w:t>
      </w:r>
    </w:p>
    <w:p w:rsidR="00796D3D" w:rsidRDefault="00DE375E" w:rsidP="00796D3D">
      <w:pPr>
        <w:pStyle w:val="BodyText"/>
      </w:pPr>
      <w:r>
        <w:t>The two major resources that</w:t>
      </w:r>
      <w:r w:rsidR="00796D3D">
        <w:t xml:space="preserve"> analys</w:t>
      </w:r>
      <w:r>
        <w:t>e</w:t>
      </w:r>
      <w:r w:rsidR="00796D3D">
        <w:t>s the costs and benefits of the project</w:t>
      </w:r>
      <w:r>
        <w:t xml:space="preserve"> include</w:t>
      </w:r>
      <w:r w:rsidR="00796D3D">
        <w:t>:</w:t>
      </w:r>
    </w:p>
    <w:p w:rsidR="00796D3D" w:rsidRDefault="00796D3D" w:rsidP="00796D3D">
      <w:pPr>
        <w:pStyle w:val="ListBullet"/>
      </w:pPr>
      <w:r>
        <w:t>Capital Metro Job Creation Analysis (2014)</w:t>
      </w:r>
      <w:r w:rsidR="00CD2673">
        <w:t>, and</w:t>
      </w:r>
    </w:p>
    <w:p w:rsidR="00796D3D" w:rsidRDefault="00796D3D" w:rsidP="00796D3D">
      <w:pPr>
        <w:pStyle w:val="ListBullet"/>
      </w:pPr>
      <w:proofErr w:type="gramStart"/>
      <w:r>
        <w:t>City to Gungahlin Transit Corridor – Infrastructure Australia (‘the IA submission’) Proposal (2012)</w:t>
      </w:r>
      <w:r w:rsidR="00CD2673">
        <w:t>.</w:t>
      </w:r>
      <w:proofErr w:type="gramEnd"/>
    </w:p>
    <w:p w:rsidR="00796D3D" w:rsidRDefault="00796D3D" w:rsidP="00796D3D">
      <w:pPr>
        <w:pStyle w:val="BodyText"/>
      </w:pPr>
      <w:r>
        <w:t>Economic arguments in favour of the Capital Metro relate to uplift in population, employment and land values in the transit corridor</w:t>
      </w:r>
      <w:r w:rsidR="00DE375E">
        <w:t>, although l</w:t>
      </w:r>
      <w:r>
        <w:t xml:space="preserve">ittle formal analysis </w:t>
      </w:r>
      <w:proofErr w:type="gramStart"/>
      <w:r>
        <w:t>has been conducted</w:t>
      </w:r>
      <w:proofErr w:type="gramEnd"/>
      <w:r>
        <w:t xml:space="preserve"> of these benefits.</w:t>
      </w:r>
    </w:p>
    <w:p w:rsidR="00796D3D" w:rsidRDefault="00796D3D" w:rsidP="00796D3D">
      <w:pPr>
        <w:pStyle w:val="Heading3"/>
      </w:pPr>
      <w:r>
        <w:t>Economic sustainability</w:t>
      </w:r>
    </w:p>
    <w:p w:rsidR="00796D3D" w:rsidRDefault="00796D3D" w:rsidP="00796D3D">
      <w:pPr>
        <w:pStyle w:val="BodyText"/>
      </w:pPr>
      <w:r>
        <w:t xml:space="preserve">Economic sustainability </w:t>
      </w:r>
      <w:proofErr w:type="gramStart"/>
      <w:r>
        <w:t>can be interpreted</w:t>
      </w:r>
      <w:proofErr w:type="gramEnd"/>
      <w:r>
        <w:t xml:space="preserve"> as representing the following objectives:</w:t>
      </w:r>
    </w:p>
    <w:p w:rsidR="00796D3D" w:rsidRDefault="00DE375E" w:rsidP="00796D3D">
      <w:pPr>
        <w:pStyle w:val="ListBullet"/>
      </w:pPr>
      <w:r>
        <w:t>m</w:t>
      </w:r>
      <w:r w:rsidR="00796D3D">
        <w:t>eeting present needs without compromising future needs</w:t>
      </w:r>
    </w:p>
    <w:p w:rsidR="00796D3D" w:rsidRDefault="00DE375E" w:rsidP="00796D3D">
      <w:pPr>
        <w:pStyle w:val="ListBullet"/>
      </w:pPr>
      <w:r>
        <w:t>m</w:t>
      </w:r>
      <w:r w:rsidR="00796D3D">
        <w:t>aintenance of societal wellbeing over time</w:t>
      </w:r>
      <w:r>
        <w:t>, and</w:t>
      </w:r>
    </w:p>
    <w:p w:rsidR="00796D3D" w:rsidRDefault="00DE375E" w:rsidP="00796D3D">
      <w:pPr>
        <w:pStyle w:val="ListBullet"/>
      </w:pPr>
      <w:proofErr w:type="gramStart"/>
      <w:r>
        <w:t>e</w:t>
      </w:r>
      <w:r w:rsidR="00796D3D">
        <w:t>fficient</w:t>
      </w:r>
      <w:proofErr w:type="gramEnd"/>
      <w:r w:rsidR="00796D3D">
        <w:t xml:space="preserve"> allocation and use of resources over time</w:t>
      </w:r>
      <w:r>
        <w:t>.</w:t>
      </w:r>
    </w:p>
    <w:p w:rsidR="00A45F38" w:rsidRDefault="00DE375E" w:rsidP="00796D3D">
      <w:pPr>
        <w:pStyle w:val="BodyText"/>
      </w:pPr>
      <w:r>
        <w:t>T</w:t>
      </w:r>
      <w:r w:rsidR="00796D3D">
        <w:t xml:space="preserve">he economic sustainability of the Capital Metro development </w:t>
      </w:r>
      <w:proofErr w:type="gramStart"/>
      <w:r>
        <w:t>can be assessed</w:t>
      </w:r>
      <w:proofErr w:type="gramEnd"/>
      <w:r>
        <w:t xml:space="preserve"> </w:t>
      </w:r>
      <w:r w:rsidR="00796D3D">
        <w:t xml:space="preserve">with reference to these objectives and to broader economic considerations. </w:t>
      </w:r>
      <w:r w:rsidR="00A45F38">
        <w:t>The major economic impact areas of the Capital Metro development include</w:t>
      </w:r>
      <w:r w:rsidR="002D1D19">
        <w:t xml:space="preserve"> </w:t>
      </w:r>
      <w:r w:rsidR="00A45F38">
        <w:t xml:space="preserve">economic benefits associated </w:t>
      </w:r>
      <w:proofErr w:type="gramStart"/>
      <w:r w:rsidR="00A45F38">
        <w:t>with</w:t>
      </w:r>
      <w:proofErr w:type="gramEnd"/>
      <w:r w:rsidR="00A45F38">
        <w:t>:</w:t>
      </w:r>
    </w:p>
    <w:p w:rsidR="00A45F38" w:rsidRDefault="00A45F38" w:rsidP="007E1E5A">
      <w:pPr>
        <w:pStyle w:val="ListBullet"/>
      </w:pPr>
      <w:r>
        <w:t>the</w:t>
      </w:r>
      <w:r w:rsidR="00796D3D">
        <w:t xml:space="preserve"> </w:t>
      </w:r>
      <w:r>
        <w:t xml:space="preserve">potential (relative) </w:t>
      </w:r>
      <w:r w:rsidR="00796D3D">
        <w:t>uplift in population, land values and employment</w:t>
      </w:r>
    </w:p>
    <w:p w:rsidR="00A45F38" w:rsidRDefault="00796D3D" w:rsidP="007E1E5A">
      <w:pPr>
        <w:pStyle w:val="ListBullet"/>
      </w:pPr>
      <w:r>
        <w:t>decreased travel time</w:t>
      </w:r>
      <w:r w:rsidR="00A45F38">
        <w:t>,</w:t>
      </w:r>
      <w:r>
        <w:t xml:space="preserve"> and </w:t>
      </w:r>
    </w:p>
    <w:p w:rsidR="00796D3D" w:rsidRDefault="00796D3D" w:rsidP="007E1E5A">
      <w:pPr>
        <w:pStyle w:val="ListBullet"/>
      </w:pPr>
      <w:proofErr w:type="gramStart"/>
      <w:r>
        <w:t>avoided</w:t>
      </w:r>
      <w:proofErr w:type="gramEnd"/>
      <w:r>
        <w:t xml:space="preserve"> motor vehicle accidents.</w:t>
      </w:r>
    </w:p>
    <w:p w:rsidR="00796D3D" w:rsidRDefault="00796D3D" w:rsidP="00796D3D">
      <w:pPr>
        <w:pStyle w:val="Heading2"/>
      </w:pPr>
      <w:bookmarkStart w:id="148" w:name="_Toc392856628"/>
      <w:bookmarkStart w:id="149" w:name="_Toc393202279"/>
      <w:r>
        <w:t>Costs and Benefits of the Capital Metro and Bus Rapid Transit</w:t>
      </w:r>
      <w:bookmarkEnd w:id="148"/>
      <w:bookmarkEnd w:id="149"/>
    </w:p>
    <w:p w:rsidR="00796D3D" w:rsidRDefault="00796D3D" w:rsidP="00796D3D">
      <w:pPr>
        <w:pStyle w:val="BodyText"/>
      </w:pPr>
      <w:r>
        <w:t xml:space="preserve">Decisions made to allocate resources efficiently </w:t>
      </w:r>
      <w:proofErr w:type="gramStart"/>
      <w:r w:rsidR="00A45F38">
        <w:t xml:space="preserve">can be </w:t>
      </w:r>
      <w:r>
        <w:t>informed</w:t>
      </w:r>
      <w:proofErr w:type="gramEnd"/>
      <w:r>
        <w:t xml:space="preserve"> by cost-benefit analysis</w:t>
      </w:r>
      <w:r w:rsidR="00A45F38">
        <w:t>, which has been undertaken as</w:t>
      </w:r>
      <w:r>
        <w:t xml:space="preserve"> part of the 2012 submission to Infrastructure Australia. Table </w:t>
      </w:r>
      <w:r w:rsidR="000B204E">
        <w:fldChar w:fldCharType="begin"/>
      </w:r>
      <w:r w:rsidR="000B204E">
        <w:instrText xml:space="preserve"> REF _Caption0439 </w:instrText>
      </w:r>
      <w:r w:rsidR="000B204E">
        <w:fldChar w:fldCharType="separate"/>
      </w:r>
      <w:r w:rsidR="00CA6314">
        <w:rPr>
          <w:noProof/>
        </w:rPr>
        <w:t>3</w:t>
      </w:r>
      <w:r w:rsidR="00CA6314" w:rsidRPr="00695C93">
        <w:rPr>
          <w:noProof/>
        </w:rPr>
        <w:t>.</w:t>
      </w:r>
      <w:r w:rsidR="00CA6314">
        <w:rPr>
          <w:noProof/>
        </w:rPr>
        <w:t>1</w:t>
      </w:r>
      <w:r w:rsidR="000B204E">
        <w:rPr>
          <w:noProof/>
        </w:rPr>
        <w:fldChar w:fldCharType="end"/>
      </w:r>
      <w:r>
        <w:t xml:space="preserve"> shows the costs and benefits of the Capital Metro under a standard land use scenario. This land use scenario assumes a continuation of government land use and planning policies in place at the time of the submission. </w:t>
      </w:r>
    </w:p>
    <w:p w:rsidR="00796D3D" w:rsidRDefault="00796D3D" w:rsidP="00796D3D">
      <w:pPr>
        <w:pStyle w:val="Caption"/>
        <w:spacing w:before="240"/>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1</w:instrText>
      </w:r>
      <w:r w:rsidRPr="00695C93">
        <w:fldChar w:fldCharType="end"/>
      </w:r>
      <w:r w:rsidRPr="00695C93">
        <w:instrText xml:space="preserve">" "" </w:instrText>
      </w:r>
      <w:r w:rsidRPr="00695C93">
        <w:fldChar w:fldCharType="separate"/>
      </w:r>
      <w:bookmarkStart w:id="150" w:name="_Caption9770"/>
      <w:bookmarkStart w:id="151" w:name="_Caption0439"/>
      <w:bookmarkStart w:id="152" w:name="_Caption3939"/>
      <w:bookmarkStart w:id="153" w:name="_Caption6049"/>
      <w:bookmarkStart w:id="154" w:name="_Caption9982"/>
      <w:bookmarkStart w:id="155" w:name="_Toc392840264"/>
      <w:bookmarkStart w:id="156" w:name="_Toc393202312"/>
      <w:r w:rsidR="00CA6314">
        <w:rPr>
          <w:noProof/>
        </w:rPr>
        <w:t>3</w:t>
      </w:r>
      <w:r w:rsidR="00CA6314" w:rsidRPr="00695C93">
        <w:rPr>
          <w:noProof/>
        </w:rPr>
        <w:t>.</w:t>
      </w:r>
      <w:r w:rsidR="00CA6314">
        <w:rPr>
          <w:noProof/>
        </w:rPr>
        <w:t>1</w:t>
      </w:r>
      <w:bookmarkEnd w:id="150"/>
      <w:bookmarkEnd w:id="151"/>
      <w:bookmarkEnd w:id="152"/>
      <w:bookmarkEnd w:id="153"/>
      <w:bookmarkEnd w:id="154"/>
      <w:r w:rsidRPr="00695C93">
        <w:fldChar w:fldCharType="end"/>
      </w:r>
      <w:r w:rsidRPr="00695C93">
        <w:tab/>
      </w:r>
      <w:r>
        <w:t>Costs and Benefits of Light rail under BAU scenario</w:t>
      </w:r>
      <w:bookmarkEnd w:id="155"/>
      <w:bookmarkEnd w:id="156"/>
    </w:p>
    <w:tbl>
      <w:tblPr>
        <w:tblW w:w="7937" w:type="dxa"/>
        <w:tblInd w:w="57" w:type="dxa"/>
        <w:tblLook w:val="04A0" w:firstRow="1" w:lastRow="0" w:firstColumn="1" w:lastColumn="0" w:noHBand="0" w:noVBand="1"/>
      </w:tblPr>
      <w:tblGrid>
        <w:gridCol w:w="4358"/>
        <w:gridCol w:w="2182"/>
        <w:gridCol w:w="1397"/>
      </w:tblGrid>
      <w:tr w:rsidR="00796D3D" w:rsidRPr="00E65525" w:rsidTr="00EA7863">
        <w:trPr>
          <w:trHeight w:val="600"/>
          <w:tblHeader/>
        </w:trPr>
        <w:tc>
          <w:tcPr>
            <w:tcW w:w="4358" w:type="dxa"/>
            <w:shd w:val="clear" w:color="auto" w:fill="6F6652"/>
            <w:noWrap/>
            <w:tcMar>
              <w:left w:w="57" w:type="dxa"/>
              <w:right w:w="57" w:type="dxa"/>
            </w:tcMar>
            <w:hideMark/>
          </w:tcPr>
          <w:p w:rsidR="00796D3D" w:rsidRPr="00E65525" w:rsidRDefault="00796D3D" w:rsidP="00EA7863">
            <w:pPr>
              <w:pStyle w:val="TableDataColumnHeading"/>
              <w:jc w:val="left"/>
            </w:pPr>
            <w:r>
              <w:t>Costs and benefits</w:t>
            </w:r>
          </w:p>
        </w:tc>
        <w:tc>
          <w:tcPr>
            <w:tcW w:w="2182" w:type="dxa"/>
            <w:shd w:val="clear" w:color="auto" w:fill="6F6652"/>
            <w:tcMar>
              <w:left w:w="57" w:type="dxa"/>
              <w:right w:w="57" w:type="dxa"/>
            </w:tcMar>
            <w:hideMark/>
          </w:tcPr>
          <w:p w:rsidR="00796D3D" w:rsidRPr="00E65525" w:rsidRDefault="00796D3D" w:rsidP="00EA7863">
            <w:pPr>
              <w:pStyle w:val="TableDataColumnHeading"/>
            </w:pPr>
            <w:r w:rsidRPr="00E65525">
              <w:t>Discounted present value</w:t>
            </w:r>
          </w:p>
        </w:tc>
        <w:tc>
          <w:tcPr>
            <w:tcW w:w="1397" w:type="dxa"/>
            <w:shd w:val="clear" w:color="auto" w:fill="6F6652"/>
            <w:noWrap/>
            <w:tcMar>
              <w:left w:w="57" w:type="dxa"/>
              <w:right w:w="57" w:type="dxa"/>
            </w:tcMar>
            <w:hideMark/>
          </w:tcPr>
          <w:p w:rsidR="00796D3D" w:rsidRPr="00E65525" w:rsidRDefault="00796D3D" w:rsidP="00EA7863">
            <w:pPr>
              <w:pStyle w:val="TableDataColumnHeading"/>
            </w:pPr>
            <w:r w:rsidRPr="00E65525">
              <w:t>Contribution</w:t>
            </w:r>
          </w:p>
        </w:tc>
      </w:tr>
      <w:tr w:rsidR="00796D3D" w:rsidRPr="00E65525" w:rsidTr="00EA7863">
        <w:trPr>
          <w:trHeight w:val="300"/>
          <w:tblHeader/>
        </w:trPr>
        <w:tc>
          <w:tcPr>
            <w:tcW w:w="4358" w:type="dxa"/>
            <w:tcBorders>
              <w:bottom w:val="single" w:sz="8" w:space="0" w:color="FFFFFF" w:themeColor="background1"/>
            </w:tcBorders>
            <w:shd w:val="clear" w:color="auto" w:fill="auto"/>
            <w:noWrap/>
            <w:tcMar>
              <w:left w:w="57" w:type="dxa"/>
              <w:right w:w="57" w:type="dxa"/>
            </w:tcMar>
            <w:hideMark/>
          </w:tcPr>
          <w:p w:rsidR="00796D3D" w:rsidRPr="00E65525" w:rsidRDefault="00796D3D" w:rsidP="00EA7863">
            <w:pPr>
              <w:pStyle w:val="TableDataEntries"/>
            </w:pPr>
          </w:p>
        </w:tc>
        <w:tc>
          <w:tcPr>
            <w:tcW w:w="2182" w:type="dxa"/>
            <w:tcBorders>
              <w:bottom w:val="single" w:sz="8" w:space="0" w:color="FFFFFF" w:themeColor="background1"/>
            </w:tcBorders>
            <w:shd w:val="clear" w:color="auto" w:fill="auto"/>
            <w:tcMar>
              <w:left w:w="57" w:type="dxa"/>
              <w:right w:w="57" w:type="dxa"/>
            </w:tcMar>
            <w:hideMark/>
          </w:tcPr>
          <w:p w:rsidR="00796D3D" w:rsidRPr="00E65525" w:rsidRDefault="00796D3D" w:rsidP="00EA7863">
            <w:pPr>
              <w:pStyle w:val="TableDataEntries"/>
            </w:pPr>
            <w:r w:rsidRPr="00E65525">
              <w:t>$millions</w:t>
            </w:r>
          </w:p>
        </w:tc>
        <w:tc>
          <w:tcPr>
            <w:tcW w:w="1397" w:type="dxa"/>
            <w:tcBorders>
              <w:bottom w:val="single" w:sz="8" w:space="0" w:color="FFFFFF" w:themeColor="background1"/>
            </w:tcBorders>
            <w:shd w:val="clear" w:color="auto" w:fill="auto"/>
            <w:noWrap/>
            <w:tcMar>
              <w:left w:w="57" w:type="dxa"/>
              <w:right w:w="57" w:type="dxa"/>
            </w:tcMar>
            <w:hideMark/>
          </w:tcPr>
          <w:p w:rsidR="00796D3D" w:rsidRPr="00E65525" w:rsidRDefault="00796D3D" w:rsidP="00EA7863">
            <w:pPr>
              <w:pStyle w:val="TableDataEntries"/>
            </w:pPr>
            <w:r w:rsidRPr="00E65525">
              <w:t>per cent</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Capital expenditure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469.8</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89.6</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Operating and maintenance expenditure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54.3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10.4</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hideMark/>
          </w:tcPr>
          <w:p w:rsidR="00796D3D" w:rsidRPr="00E65525" w:rsidRDefault="00796D3D" w:rsidP="00EA7863">
            <w:pPr>
              <w:pStyle w:val="TableDataEntries"/>
              <w:jc w:val="left"/>
              <w:rPr>
                <w:rFonts w:ascii="Franklin Gothic Demi" w:hAnsi="Franklin Gothic Demi"/>
              </w:rPr>
            </w:pPr>
            <w:r w:rsidRPr="00E65525">
              <w:rPr>
                <w:rFonts w:ascii="Franklin Gothic Demi" w:hAnsi="Franklin Gothic Demi"/>
              </w:rPr>
              <w:t xml:space="preserve">Total </w:t>
            </w:r>
            <w:r>
              <w:rPr>
                <w:rFonts w:ascii="Franklin Gothic Demi" w:hAnsi="Franklin Gothic Demi"/>
              </w:rPr>
              <w:t>c</w:t>
            </w:r>
            <w:r w:rsidRPr="00E65525">
              <w:rPr>
                <w:rFonts w:ascii="Franklin Gothic Demi" w:hAnsi="Franklin Gothic Demi"/>
              </w:rPr>
              <w:t>osts</w:t>
            </w:r>
          </w:p>
        </w:tc>
        <w:tc>
          <w:tcPr>
            <w:tcW w:w="2182"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hideMark/>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524.1</w:t>
            </w:r>
          </w:p>
        </w:tc>
        <w:tc>
          <w:tcPr>
            <w:tcW w:w="1397"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hideMark/>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100.0</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Change in generalised journey time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150</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27.2</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Incremental fare revenue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53.8</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10.6</w:t>
            </w:r>
          </w:p>
        </w:tc>
      </w:tr>
      <w:tr w:rsidR="00206772"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206772" w:rsidRPr="00E65525" w:rsidRDefault="00206772" w:rsidP="00EA7863">
            <w:pPr>
              <w:pStyle w:val="TableDataEntries"/>
              <w:jc w:val="left"/>
            </w:pPr>
            <w:r>
              <w:t>Incremental parking revenue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206772" w:rsidRPr="00E65525" w:rsidRDefault="00206772" w:rsidP="00EA7863">
            <w:pPr>
              <w:pStyle w:val="TableDataEntries"/>
            </w:pPr>
            <w:r>
              <w:t>198.3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206772" w:rsidRPr="00E65525" w:rsidRDefault="00206772" w:rsidP="00EA7863">
            <w:pPr>
              <w:pStyle w:val="TableDataEntries"/>
            </w:pPr>
            <w:r>
              <w:t>40.3</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Unperceived vehicle operating cost savings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60.4</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11.6</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accident costs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23.8</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4.4</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air pollution</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11.7</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1.7</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greenhouse gas emissions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9.3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1.5</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noise pollution</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3.8</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0.7</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road damage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1</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0.1</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Residual value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pPr>
            <w:r w:rsidRPr="00E65525">
              <w:t>22.9</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206772" w:rsidP="00EA7863">
            <w:pPr>
              <w:pStyle w:val="TableDataEntries"/>
            </w:pPr>
            <w:r>
              <w:t>1.8</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tcPr>
          <w:p w:rsidR="00796D3D" w:rsidRPr="00E65525" w:rsidRDefault="00796D3D" w:rsidP="00EA7863">
            <w:pPr>
              <w:pStyle w:val="TableDataEntries"/>
              <w:jc w:val="left"/>
              <w:rPr>
                <w:rFonts w:ascii="Franklin Gothic Demi" w:hAnsi="Franklin Gothic Demi"/>
              </w:rPr>
            </w:pPr>
            <w:r w:rsidRPr="00E65525">
              <w:rPr>
                <w:rFonts w:ascii="Franklin Gothic Demi" w:hAnsi="Franklin Gothic Demi"/>
              </w:rPr>
              <w:t xml:space="preserve">Total </w:t>
            </w:r>
            <w:r>
              <w:rPr>
                <w:rFonts w:ascii="Franklin Gothic Demi" w:hAnsi="Franklin Gothic Demi"/>
              </w:rPr>
              <w:t>b</w:t>
            </w:r>
            <w:r w:rsidRPr="00E65525">
              <w:rPr>
                <w:rFonts w:ascii="Franklin Gothic Demi" w:hAnsi="Franklin Gothic Demi"/>
              </w:rPr>
              <w:t>enefits</w:t>
            </w:r>
          </w:p>
        </w:tc>
        <w:tc>
          <w:tcPr>
            <w:tcW w:w="2182"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tcPr>
          <w:p w:rsidR="00796D3D" w:rsidRPr="00E65525" w:rsidRDefault="002203C4" w:rsidP="00EA7863">
            <w:pPr>
              <w:pStyle w:val="TableDataEntries"/>
              <w:rPr>
                <w:rFonts w:ascii="Franklin Gothic Demi" w:hAnsi="Franklin Gothic Demi"/>
              </w:rPr>
            </w:pPr>
            <w:r>
              <w:rPr>
                <w:rFonts w:ascii="Franklin Gothic Demi" w:hAnsi="Franklin Gothic Demi"/>
              </w:rPr>
              <w:t>534.9</w:t>
            </w:r>
          </w:p>
        </w:tc>
        <w:tc>
          <w:tcPr>
            <w:tcW w:w="1397"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100.0</w:t>
            </w:r>
          </w:p>
        </w:tc>
      </w:tr>
      <w:tr w:rsidR="00796D3D" w:rsidRPr="00E65525" w:rsidTr="00EA7863">
        <w:trPr>
          <w:trHeight w:val="300"/>
        </w:trPr>
        <w:tc>
          <w:tcPr>
            <w:tcW w:w="4358" w:type="dxa"/>
            <w:tcBorders>
              <w:top w:val="single" w:sz="8" w:space="0" w:color="FFFFFF" w:themeColor="background1"/>
              <w:bottom w:val="single" w:sz="6" w:space="0" w:color="6F6652"/>
            </w:tcBorders>
            <w:shd w:val="clear" w:color="auto" w:fill="E9E8E5" w:themeFill="background2"/>
            <w:noWrap/>
            <w:tcMar>
              <w:left w:w="57" w:type="dxa"/>
              <w:right w:w="57" w:type="dxa"/>
            </w:tcMar>
            <w:hideMark/>
          </w:tcPr>
          <w:p w:rsidR="00796D3D" w:rsidRPr="001E07FC" w:rsidRDefault="00796D3D" w:rsidP="00EA7863">
            <w:pPr>
              <w:pStyle w:val="TableDataEntries"/>
              <w:jc w:val="left"/>
              <w:rPr>
                <w:rFonts w:ascii="Franklin Gothic Demi" w:hAnsi="Franklin Gothic Demi"/>
              </w:rPr>
            </w:pPr>
            <w:r w:rsidRPr="001E07FC">
              <w:rPr>
                <w:rFonts w:ascii="Franklin Gothic Demi" w:hAnsi="Franklin Gothic Demi"/>
              </w:rPr>
              <w:t>Net benefits</w:t>
            </w:r>
          </w:p>
        </w:tc>
        <w:tc>
          <w:tcPr>
            <w:tcW w:w="2182" w:type="dxa"/>
            <w:tcBorders>
              <w:top w:val="single" w:sz="8" w:space="0" w:color="FFFFFF" w:themeColor="background1"/>
              <w:bottom w:val="single" w:sz="6" w:space="0" w:color="6F6652"/>
            </w:tcBorders>
            <w:shd w:val="clear" w:color="auto" w:fill="E9E8E5" w:themeFill="background2"/>
            <w:noWrap/>
            <w:tcMar>
              <w:left w:w="57" w:type="dxa"/>
              <w:right w:w="57" w:type="dxa"/>
            </w:tcMar>
            <w:hideMark/>
          </w:tcPr>
          <w:p w:rsidR="00796D3D" w:rsidRPr="001E07FC" w:rsidRDefault="002203C4" w:rsidP="006442AD">
            <w:pPr>
              <w:pStyle w:val="TableDataEntries"/>
              <w:rPr>
                <w:rFonts w:ascii="Franklin Gothic Demi" w:hAnsi="Franklin Gothic Demi"/>
              </w:rPr>
            </w:pPr>
            <w:r>
              <w:rPr>
                <w:rFonts w:ascii="Franklin Gothic Demi" w:hAnsi="Franklin Gothic Demi"/>
              </w:rPr>
              <w:t>10.8</w:t>
            </w:r>
          </w:p>
        </w:tc>
        <w:tc>
          <w:tcPr>
            <w:tcW w:w="1397" w:type="dxa"/>
            <w:tcBorders>
              <w:top w:val="single" w:sz="8" w:space="0" w:color="FFFFFF" w:themeColor="background1"/>
              <w:bottom w:val="single" w:sz="6" w:space="0" w:color="6F6652"/>
            </w:tcBorders>
            <w:shd w:val="clear" w:color="auto" w:fill="E9E8E5" w:themeFill="background2"/>
            <w:noWrap/>
            <w:tcMar>
              <w:left w:w="57" w:type="dxa"/>
              <w:right w:w="57" w:type="dxa"/>
            </w:tcMar>
            <w:hideMark/>
          </w:tcPr>
          <w:p w:rsidR="00796D3D" w:rsidRPr="001E07FC" w:rsidRDefault="00796D3D" w:rsidP="00EA7863">
            <w:pPr>
              <w:pStyle w:val="TableDataEntries"/>
              <w:rPr>
                <w:rFonts w:ascii="Franklin Gothic Demi" w:hAnsi="Franklin Gothic Demi"/>
              </w:rPr>
            </w:pPr>
          </w:p>
        </w:tc>
      </w:tr>
    </w:tbl>
    <w:p w:rsidR="00796D3D" w:rsidRDefault="00796D3D" w:rsidP="00796D3D">
      <w:pPr>
        <w:pStyle w:val="Note"/>
      </w:pPr>
      <w:r w:rsidRPr="007D1B4F">
        <w:rPr>
          <w:i/>
        </w:rPr>
        <w:t>Note:</w:t>
      </w:r>
      <w:r w:rsidRPr="00E879B8">
        <w:t xml:space="preserve"> </w:t>
      </w:r>
      <w:r>
        <w:t xml:space="preserve">Values </w:t>
      </w:r>
      <w:proofErr w:type="gramStart"/>
      <w:r>
        <w:t>have been discounted</w:t>
      </w:r>
      <w:proofErr w:type="gramEnd"/>
      <w:r>
        <w:t xml:space="preserve"> at 7 per cent.</w:t>
      </w:r>
    </w:p>
    <w:p w:rsidR="00796D3D" w:rsidRDefault="00796D3D" w:rsidP="00796D3D">
      <w:pPr>
        <w:pStyle w:val="Source"/>
      </w:pPr>
      <w:proofErr w:type="gramStart"/>
      <w:r>
        <w:rPr>
          <w:i/>
        </w:rPr>
        <w:t>Source</w:t>
      </w:r>
      <w:r w:rsidRPr="00E4232C">
        <w:rPr>
          <w:i/>
        </w:rPr>
        <w:t>:</w:t>
      </w:r>
      <w:r>
        <w:t xml:space="preserve"> ‘City to Gungahlin Transit Corridor’ Infrastructure Australia Submission 2012.</w:t>
      </w:r>
      <w:proofErr w:type="gramEnd"/>
    </w:p>
    <w:p w:rsidR="00796D3D" w:rsidRDefault="00796D3D" w:rsidP="00796D3D">
      <w:pPr>
        <w:pStyle w:val="BodyText"/>
      </w:pPr>
      <w:r>
        <w:t xml:space="preserve">Table </w:t>
      </w:r>
      <w:r>
        <w:rPr>
          <w:rStyle w:val="DraftingNote"/>
        </w:rPr>
        <w:fldChar w:fldCharType="begin"/>
      </w:r>
      <w:r>
        <w:instrText xml:space="preserve"> REF _Caption8721 </w:instrText>
      </w:r>
      <w:r>
        <w:rPr>
          <w:rStyle w:val="DraftingNote"/>
        </w:rPr>
        <w:fldChar w:fldCharType="separate"/>
      </w:r>
      <w:r w:rsidR="00CA6314">
        <w:rPr>
          <w:noProof/>
        </w:rPr>
        <w:t>3</w:t>
      </w:r>
      <w:r w:rsidR="00CA6314" w:rsidRPr="00695C93">
        <w:rPr>
          <w:noProof/>
        </w:rPr>
        <w:t>.</w:t>
      </w:r>
      <w:r w:rsidR="00CA6314">
        <w:rPr>
          <w:noProof/>
        </w:rPr>
        <w:t>2</w:t>
      </w:r>
      <w:r>
        <w:rPr>
          <w:rStyle w:val="DraftingNote"/>
        </w:rPr>
        <w:fldChar w:fldCharType="end"/>
      </w:r>
      <w:r>
        <w:t xml:space="preserve"> shows the costs and benefits of light rail under a scenario of higher density land use in the transit corridor. This holds total population growth in the ACT constant relative to the </w:t>
      </w:r>
      <w:r w:rsidR="00CD2673">
        <w:t>business-as-usual (</w:t>
      </w:r>
      <w:r>
        <w:t>BAU</w:t>
      </w:r>
      <w:r w:rsidR="00CD2673">
        <w:t>)</w:t>
      </w:r>
      <w:r>
        <w:t xml:space="preserve"> scenario, but involves more growth in the transit corridor than accounted for by existing population projections. This growth may be caused by the Capital Metro itself (in increasing demand to live in the transit corridor) or because of changes to land use policy.</w:t>
      </w:r>
      <w:r>
        <w:rPr>
          <w:rStyle w:val="FootnoteReference"/>
        </w:rPr>
        <w:footnoteReference w:id="5"/>
      </w:r>
    </w:p>
    <w:p w:rsidR="00796D3D" w:rsidRDefault="00796D3D" w:rsidP="00796D3D">
      <w:pPr>
        <w:pStyle w:val="Caption"/>
        <w:spacing w:before="240"/>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Pr>
          <w:noProof/>
        </w:rPr>
        <w:instrText>A</w:instrText>
      </w:r>
      <w:r w:rsidR="000B204E">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2</w:instrText>
      </w:r>
      <w:r w:rsidRPr="00695C93">
        <w:fldChar w:fldCharType="end"/>
      </w:r>
      <w:r w:rsidRPr="00695C93">
        <w:instrText xml:space="preserve">" "" </w:instrText>
      </w:r>
      <w:r w:rsidRPr="00695C93">
        <w:fldChar w:fldCharType="separate"/>
      </w:r>
      <w:bookmarkStart w:id="157" w:name="_Caption6060"/>
      <w:bookmarkStart w:id="158" w:name="_Caption3935"/>
      <w:bookmarkStart w:id="159" w:name="_Caption3717"/>
      <w:bookmarkStart w:id="160" w:name="_Caption8721"/>
      <w:bookmarkStart w:id="161" w:name="_Caption4815"/>
      <w:bookmarkStart w:id="162" w:name="_Toc392840265"/>
      <w:bookmarkStart w:id="163" w:name="_Toc393202313"/>
      <w:r w:rsidR="00CA6314">
        <w:rPr>
          <w:noProof/>
        </w:rPr>
        <w:t>3</w:t>
      </w:r>
      <w:r w:rsidR="00CA6314" w:rsidRPr="00695C93">
        <w:rPr>
          <w:noProof/>
        </w:rPr>
        <w:t>.</w:t>
      </w:r>
      <w:r w:rsidR="00CA6314">
        <w:rPr>
          <w:noProof/>
        </w:rPr>
        <w:t>2</w:t>
      </w:r>
      <w:bookmarkEnd w:id="157"/>
      <w:bookmarkEnd w:id="158"/>
      <w:bookmarkEnd w:id="159"/>
      <w:bookmarkEnd w:id="160"/>
      <w:bookmarkEnd w:id="161"/>
      <w:r w:rsidRPr="00695C93">
        <w:fldChar w:fldCharType="end"/>
      </w:r>
      <w:r w:rsidRPr="00695C93">
        <w:tab/>
      </w:r>
      <w:r>
        <w:t>Costs and Benefits of Light rail under high density scenario</w:t>
      </w:r>
      <w:bookmarkEnd w:id="162"/>
      <w:bookmarkEnd w:id="163"/>
    </w:p>
    <w:tbl>
      <w:tblPr>
        <w:tblW w:w="7937" w:type="dxa"/>
        <w:tblInd w:w="57" w:type="dxa"/>
        <w:tblLook w:val="04A0" w:firstRow="1" w:lastRow="0" w:firstColumn="1" w:lastColumn="0" w:noHBand="0" w:noVBand="1"/>
      </w:tblPr>
      <w:tblGrid>
        <w:gridCol w:w="4358"/>
        <w:gridCol w:w="2182"/>
        <w:gridCol w:w="1397"/>
      </w:tblGrid>
      <w:tr w:rsidR="00796D3D" w:rsidRPr="00E65525" w:rsidTr="00EA7863">
        <w:trPr>
          <w:trHeight w:val="600"/>
        </w:trPr>
        <w:tc>
          <w:tcPr>
            <w:tcW w:w="4358" w:type="dxa"/>
            <w:shd w:val="clear" w:color="auto" w:fill="6F6652"/>
            <w:noWrap/>
            <w:tcMar>
              <w:left w:w="57" w:type="dxa"/>
              <w:right w:w="57" w:type="dxa"/>
            </w:tcMar>
            <w:hideMark/>
          </w:tcPr>
          <w:p w:rsidR="00796D3D" w:rsidRPr="00E65525" w:rsidRDefault="00796D3D" w:rsidP="00EA7863">
            <w:pPr>
              <w:pStyle w:val="TableDataColumnHeading"/>
              <w:jc w:val="left"/>
            </w:pPr>
            <w:r>
              <w:t>Costs and benefits</w:t>
            </w:r>
          </w:p>
        </w:tc>
        <w:tc>
          <w:tcPr>
            <w:tcW w:w="2182" w:type="dxa"/>
            <w:shd w:val="clear" w:color="auto" w:fill="6F6652"/>
            <w:tcMar>
              <w:left w:w="57" w:type="dxa"/>
              <w:right w:w="57" w:type="dxa"/>
            </w:tcMar>
            <w:hideMark/>
          </w:tcPr>
          <w:p w:rsidR="00796D3D" w:rsidRPr="00E65525" w:rsidRDefault="00796D3D" w:rsidP="00EA7863">
            <w:pPr>
              <w:pStyle w:val="TableDataColumnHeading"/>
            </w:pPr>
            <w:r w:rsidRPr="00E65525">
              <w:t>Discounted present value</w:t>
            </w:r>
          </w:p>
        </w:tc>
        <w:tc>
          <w:tcPr>
            <w:tcW w:w="1397" w:type="dxa"/>
            <w:shd w:val="clear" w:color="auto" w:fill="6F6652"/>
            <w:noWrap/>
            <w:tcMar>
              <w:left w:w="57" w:type="dxa"/>
              <w:right w:w="57" w:type="dxa"/>
            </w:tcMar>
            <w:hideMark/>
          </w:tcPr>
          <w:p w:rsidR="00796D3D" w:rsidRPr="00E65525" w:rsidRDefault="00796D3D" w:rsidP="00EA7863">
            <w:pPr>
              <w:pStyle w:val="TableDataColumnHeading"/>
            </w:pPr>
            <w:r w:rsidRPr="00E65525">
              <w:t>Contribution</w:t>
            </w:r>
          </w:p>
        </w:tc>
      </w:tr>
      <w:tr w:rsidR="00796D3D" w:rsidRPr="00E65525" w:rsidTr="00EA7863">
        <w:trPr>
          <w:trHeight w:val="300"/>
        </w:trPr>
        <w:tc>
          <w:tcPr>
            <w:tcW w:w="4358" w:type="dxa"/>
            <w:tcBorders>
              <w:bottom w:val="single" w:sz="8" w:space="0" w:color="FFFFFF" w:themeColor="background1"/>
            </w:tcBorders>
            <w:shd w:val="clear" w:color="auto" w:fill="auto"/>
            <w:noWrap/>
            <w:tcMar>
              <w:left w:w="57" w:type="dxa"/>
              <w:right w:w="57" w:type="dxa"/>
            </w:tcMar>
            <w:hideMark/>
          </w:tcPr>
          <w:p w:rsidR="00796D3D" w:rsidRPr="00E65525" w:rsidRDefault="00796D3D" w:rsidP="00EA7863">
            <w:pPr>
              <w:pStyle w:val="TableDataEntries"/>
            </w:pPr>
          </w:p>
        </w:tc>
        <w:tc>
          <w:tcPr>
            <w:tcW w:w="2182" w:type="dxa"/>
            <w:tcBorders>
              <w:bottom w:val="single" w:sz="8" w:space="0" w:color="FFFFFF" w:themeColor="background1"/>
            </w:tcBorders>
            <w:shd w:val="clear" w:color="auto" w:fill="auto"/>
            <w:tcMar>
              <w:left w:w="57" w:type="dxa"/>
              <w:right w:w="57" w:type="dxa"/>
            </w:tcMar>
            <w:hideMark/>
          </w:tcPr>
          <w:p w:rsidR="00796D3D" w:rsidRPr="00E65525" w:rsidRDefault="00796D3D" w:rsidP="00EA7863">
            <w:pPr>
              <w:pStyle w:val="TableDataEntries"/>
            </w:pPr>
            <w:r w:rsidRPr="00E65525">
              <w:t>$millions</w:t>
            </w:r>
          </w:p>
        </w:tc>
        <w:tc>
          <w:tcPr>
            <w:tcW w:w="1397" w:type="dxa"/>
            <w:tcBorders>
              <w:bottom w:val="single" w:sz="8" w:space="0" w:color="FFFFFF" w:themeColor="background1"/>
            </w:tcBorders>
            <w:shd w:val="clear" w:color="auto" w:fill="auto"/>
            <w:noWrap/>
            <w:tcMar>
              <w:left w:w="57" w:type="dxa"/>
              <w:right w:w="57" w:type="dxa"/>
            </w:tcMar>
            <w:hideMark/>
          </w:tcPr>
          <w:p w:rsidR="00796D3D" w:rsidRPr="00E65525" w:rsidRDefault="00796D3D" w:rsidP="00EA7863">
            <w:pPr>
              <w:pStyle w:val="TableDataEntries"/>
            </w:pPr>
            <w:r w:rsidRPr="00E65525">
              <w:t>per cent</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Capital expenditure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469.8</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89.6</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Operating and maintenance expenditure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54.3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10.4</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hideMark/>
          </w:tcPr>
          <w:p w:rsidR="00796D3D" w:rsidRPr="00E65525" w:rsidRDefault="00796D3D" w:rsidP="00EA7863">
            <w:pPr>
              <w:pStyle w:val="TableDataEntries"/>
              <w:jc w:val="left"/>
              <w:rPr>
                <w:rFonts w:ascii="Franklin Gothic Demi" w:hAnsi="Franklin Gothic Demi"/>
              </w:rPr>
            </w:pPr>
            <w:r w:rsidRPr="00E65525">
              <w:rPr>
                <w:rFonts w:ascii="Franklin Gothic Demi" w:hAnsi="Franklin Gothic Demi"/>
              </w:rPr>
              <w:t xml:space="preserve">Total </w:t>
            </w:r>
            <w:r>
              <w:rPr>
                <w:rFonts w:ascii="Franklin Gothic Demi" w:hAnsi="Franklin Gothic Demi"/>
              </w:rPr>
              <w:t>c</w:t>
            </w:r>
            <w:r w:rsidRPr="00E65525">
              <w:rPr>
                <w:rFonts w:ascii="Franklin Gothic Demi" w:hAnsi="Franklin Gothic Demi"/>
              </w:rPr>
              <w:t>osts</w:t>
            </w:r>
          </w:p>
        </w:tc>
        <w:tc>
          <w:tcPr>
            <w:tcW w:w="2182"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vAlign w:val="bottom"/>
            <w:hideMark/>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524.1</w:t>
            </w:r>
          </w:p>
        </w:tc>
        <w:tc>
          <w:tcPr>
            <w:tcW w:w="1397"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vAlign w:val="bottom"/>
            <w:hideMark/>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100.0</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Change in generalised journey time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633.7</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51.7</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Incremental fare revenue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53.3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4.4</w:t>
            </w:r>
          </w:p>
        </w:tc>
      </w:tr>
      <w:tr w:rsidR="002D1D19"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2D1D19" w:rsidRPr="00E65525" w:rsidRDefault="00206772" w:rsidP="00EA7863">
            <w:pPr>
              <w:pStyle w:val="TableDataEntries"/>
              <w:jc w:val="left"/>
            </w:pPr>
            <w:r>
              <w:t>Incremental parking revenue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2D1D19" w:rsidRDefault="00206772" w:rsidP="00EA7863">
            <w:pPr>
              <w:pStyle w:val="TableDataEntries"/>
            </w:pPr>
            <w:r>
              <w:t>192.5</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2D1D19" w:rsidRDefault="00206772" w:rsidP="00EA7863">
            <w:pPr>
              <w:pStyle w:val="TableDataEntries"/>
            </w:pPr>
            <w:r>
              <w:t>15.7</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Unperceived vehicle operating cost savings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177.2</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14.5</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accident costs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69.7</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5.7</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air pollution</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34.5</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2.8</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greenhouse gas emissions</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27.2</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2.2</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noise pollution</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11.3</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0.9</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Avoided road damage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2.9</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0.2</w:t>
            </w:r>
          </w:p>
        </w:tc>
      </w:tr>
      <w:tr w:rsidR="00796D3D" w:rsidRPr="00E65525" w:rsidTr="007E1E5A">
        <w:trPr>
          <w:trHeight w:val="300"/>
        </w:trPr>
        <w:tc>
          <w:tcPr>
            <w:tcW w:w="4358"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E65525" w:rsidRDefault="00796D3D" w:rsidP="00EA7863">
            <w:pPr>
              <w:pStyle w:val="TableDataEntries"/>
              <w:jc w:val="left"/>
            </w:pPr>
            <w:r w:rsidRPr="00E65525">
              <w:t>Residual value</w:t>
            </w:r>
          </w:p>
        </w:tc>
        <w:tc>
          <w:tcPr>
            <w:tcW w:w="218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hideMark/>
          </w:tcPr>
          <w:p w:rsidR="00796D3D" w:rsidRDefault="00796D3D" w:rsidP="00EA7863">
            <w:pPr>
              <w:pStyle w:val="TableDataEntries"/>
            </w:pPr>
            <w:r>
              <w:t>22.9</w:t>
            </w:r>
          </w:p>
        </w:tc>
        <w:tc>
          <w:tcPr>
            <w:tcW w:w="1397"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796D3D" w:rsidRDefault="00206772" w:rsidP="00EA7863">
            <w:pPr>
              <w:pStyle w:val="TableDataEntries"/>
            </w:pPr>
            <w:r>
              <w:t>1.9</w:t>
            </w:r>
          </w:p>
        </w:tc>
      </w:tr>
      <w:tr w:rsidR="00796D3D" w:rsidRPr="00E65525" w:rsidTr="00EA7863">
        <w:trPr>
          <w:trHeight w:val="300"/>
        </w:trPr>
        <w:tc>
          <w:tcPr>
            <w:tcW w:w="4358"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tcPr>
          <w:p w:rsidR="00796D3D" w:rsidRPr="00E65525" w:rsidRDefault="00796D3D" w:rsidP="00EA7863">
            <w:pPr>
              <w:pStyle w:val="TableDataEntries"/>
              <w:jc w:val="left"/>
              <w:rPr>
                <w:rFonts w:ascii="Franklin Gothic Demi" w:hAnsi="Franklin Gothic Demi"/>
              </w:rPr>
            </w:pPr>
            <w:r w:rsidRPr="00E65525">
              <w:rPr>
                <w:rFonts w:ascii="Franklin Gothic Demi" w:hAnsi="Franklin Gothic Demi"/>
              </w:rPr>
              <w:t xml:space="preserve">Total </w:t>
            </w:r>
            <w:r>
              <w:rPr>
                <w:rFonts w:ascii="Franklin Gothic Demi" w:hAnsi="Franklin Gothic Demi"/>
              </w:rPr>
              <w:t>b</w:t>
            </w:r>
            <w:r w:rsidRPr="00E65525">
              <w:rPr>
                <w:rFonts w:ascii="Franklin Gothic Demi" w:hAnsi="Franklin Gothic Demi"/>
              </w:rPr>
              <w:t>enefits</w:t>
            </w:r>
          </w:p>
        </w:tc>
        <w:tc>
          <w:tcPr>
            <w:tcW w:w="2182"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vAlign w:val="bottom"/>
          </w:tcPr>
          <w:p w:rsidR="00796D3D" w:rsidRPr="00E65525" w:rsidRDefault="00206772" w:rsidP="00EA7863">
            <w:pPr>
              <w:pStyle w:val="TableDataEntries"/>
              <w:rPr>
                <w:rFonts w:ascii="Franklin Gothic Demi" w:hAnsi="Franklin Gothic Demi"/>
              </w:rPr>
            </w:pPr>
            <w:r>
              <w:rPr>
                <w:rFonts w:ascii="Franklin Gothic Demi" w:hAnsi="Franklin Gothic Demi"/>
              </w:rPr>
              <w:t>1225.2</w:t>
            </w:r>
          </w:p>
        </w:tc>
        <w:tc>
          <w:tcPr>
            <w:tcW w:w="1397"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vAlign w:val="bottom"/>
          </w:tcPr>
          <w:p w:rsidR="00796D3D" w:rsidRPr="00E65525" w:rsidRDefault="00796D3D" w:rsidP="00EA7863">
            <w:pPr>
              <w:pStyle w:val="TableDataEntries"/>
              <w:rPr>
                <w:rFonts w:ascii="Franklin Gothic Demi" w:hAnsi="Franklin Gothic Demi"/>
              </w:rPr>
            </w:pPr>
            <w:r w:rsidRPr="00E65525">
              <w:rPr>
                <w:rFonts w:ascii="Franklin Gothic Demi" w:hAnsi="Franklin Gothic Demi"/>
              </w:rPr>
              <w:t>100.0</w:t>
            </w:r>
          </w:p>
        </w:tc>
      </w:tr>
      <w:tr w:rsidR="00796D3D" w:rsidRPr="00E65525" w:rsidTr="00EA7863">
        <w:trPr>
          <w:trHeight w:val="300"/>
        </w:trPr>
        <w:tc>
          <w:tcPr>
            <w:tcW w:w="4358" w:type="dxa"/>
            <w:tcBorders>
              <w:top w:val="single" w:sz="8" w:space="0" w:color="FFFFFF" w:themeColor="background1"/>
              <w:bottom w:val="single" w:sz="6" w:space="0" w:color="6F6652"/>
            </w:tcBorders>
            <w:shd w:val="clear" w:color="auto" w:fill="E9E8E5" w:themeFill="background2"/>
            <w:noWrap/>
            <w:tcMar>
              <w:left w:w="57" w:type="dxa"/>
              <w:right w:w="57" w:type="dxa"/>
            </w:tcMar>
            <w:hideMark/>
          </w:tcPr>
          <w:p w:rsidR="00796D3D" w:rsidRPr="00E65525" w:rsidRDefault="00796D3D" w:rsidP="00EA7863">
            <w:pPr>
              <w:pStyle w:val="TableDataEntries"/>
              <w:jc w:val="left"/>
              <w:rPr>
                <w:rFonts w:ascii="Franklin Gothic Demi" w:hAnsi="Franklin Gothic Demi"/>
              </w:rPr>
            </w:pPr>
            <w:r>
              <w:rPr>
                <w:rFonts w:ascii="Franklin Gothic Demi" w:hAnsi="Franklin Gothic Demi"/>
              </w:rPr>
              <w:t>Net benefits</w:t>
            </w:r>
          </w:p>
        </w:tc>
        <w:tc>
          <w:tcPr>
            <w:tcW w:w="2182" w:type="dxa"/>
            <w:tcBorders>
              <w:top w:val="single" w:sz="8" w:space="0" w:color="FFFFFF" w:themeColor="background1"/>
              <w:bottom w:val="single" w:sz="6" w:space="0" w:color="6F6652"/>
            </w:tcBorders>
            <w:shd w:val="clear" w:color="auto" w:fill="E9E8E5" w:themeFill="background2"/>
            <w:noWrap/>
            <w:tcMar>
              <w:left w:w="57" w:type="dxa"/>
              <w:right w:w="57" w:type="dxa"/>
            </w:tcMar>
            <w:vAlign w:val="bottom"/>
            <w:hideMark/>
          </w:tcPr>
          <w:p w:rsidR="00796D3D" w:rsidRPr="00E65525" w:rsidRDefault="00206772" w:rsidP="00EA7863">
            <w:pPr>
              <w:pStyle w:val="TableDataEntries"/>
              <w:rPr>
                <w:rFonts w:ascii="Franklin Gothic Demi" w:hAnsi="Franklin Gothic Demi"/>
              </w:rPr>
            </w:pPr>
            <w:r>
              <w:rPr>
                <w:rFonts w:ascii="Franklin Gothic Demi" w:hAnsi="Franklin Gothic Demi"/>
              </w:rPr>
              <w:t>701.1</w:t>
            </w:r>
          </w:p>
        </w:tc>
        <w:tc>
          <w:tcPr>
            <w:tcW w:w="1397" w:type="dxa"/>
            <w:tcBorders>
              <w:top w:val="single" w:sz="8" w:space="0" w:color="FFFFFF" w:themeColor="background1"/>
              <w:bottom w:val="single" w:sz="6" w:space="0" w:color="6F6652"/>
            </w:tcBorders>
            <w:shd w:val="clear" w:color="auto" w:fill="E9E8E5" w:themeFill="background2"/>
            <w:noWrap/>
            <w:tcMar>
              <w:left w:w="57" w:type="dxa"/>
              <w:right w:w="57" w:type="dxa"/>
            </w:tcMar>
            <w:vAlign w:val="bottom"/>
            <w:hideMark/>
          </w:tcPr>
          <w:p w:rsidR="00796D3D" w:rsidRPr="00E65525" w:rsidRDefault="00796D3D" w:rsidP="00EA7863">
            <w:pPr>
              <w:pStyle w:val="TableDataEntries"/>
              <w:rPr>
                <w:rFonts w:ascii="Franklin Gothic Demi" w:hAnsi="Franklin Gothic Demi"/>
              </w:rPr>
            </w:pPr>
          </w:p>
        </w:tc>
      </w:tr>
    </w:tbl>
    <w:p w:rsidR="00796D3D" w:rsidRDefault="00796D3D" w:rsidP="00796D3D">
      <w:pPr>
        <w:pStyle w:val="Note"/>
      </w:pPr>
      <w:r w:rsidRPr="007D1B4F">
        <w:rPr>
          <w:i/>
        </w:rPr>
        <w:t>Note:</w:t>
      </w:r>
      <w:r w:rsidRPr="00E879B8">
        <w:t xml:space="preserve"> </w:t>
      </w:r>
      <w:r>
        <w:t xml:space="preserve">Values </w:t>
      </w:r>
      <w:proofErr w:type="gramStart"/>
      <w:r>
        <w:t>have been discounted</w:t>
      </w:r>
      <w:proofErr w:type="gramEnd"/>
      <w:r>
        <w:t xml:space="preserve"> at 7 per cent.</w:t>
      </w:r>
    </w:p>
    <w:p w:rsidR="00796D3D" w:rsidRDefault="00796D3D" w:rsidP="00796D3D">
      <w:pPr>
        <w:pStyle w:val="Source"/>
      </w:pPr>
      <w:proofErr w:type="gramStart"/>
      <w:r>
        <w:rPr>
          <w:i/>
        </w:rPr>
        <w:t>Source</w:t>
      </w:r>
      <w:r w:rsidRPr="00E4232C">
        <w:rPr>
          <w:i/>
        </w:rPr>
        <w:t>:</w:t>
      </w:r>
      <w:r>
        <w:t xml:space="preserve"> ‘City to Gungahlin Transit Corridor’ Infrastructure Australia Submission 2012.</w:t>
      </w:r>
      <w:proofErr w:type="gramEnd"/>
    </w:p>
    <w:p w:rsidR="002203C4" w:rsidRDefault="002203C4" w:rsidP="007E1E5A">
      <w:pPr>
        <w:pStyle w:val="BodyText"/>
      </w:pPr>
      <w:r>
        <w:t>Incremental parking revenue was included as a benefit in this cost-benefit analysis</w:t>
      </w:r>
      <w:r w:rsidR="00CD2673">
        <w:t>. H</w:t>
      </w:r>
      <w:r>
        <w:t xml:space="preserve">owever, </w:t>
      </w:r>
      <w:r w:rsidR="00CD2673">
        <w:t>this is likely to represent</w:t>
      </w:r>
      <w:r>
        <w:t xml:space="preserve"> a transfer between individuals and government </w:t>
      </w:r>
      <w:r w:rsidR="00CD2673">
        <w:t xml:space="preserve">and </w:t>
      </w:r>
      <w:proofErr w:type="gramStart"/>
      <w:r w:rsidR="00CD2673">
        <w:t>is therefore</w:t>
      </w:r>
      <w:r>
        <w:t xml:space="preserve"> excluded</w:t>
      </w:r>
      <w:proofErr w:type="gramEnd"/>
      <w:r>
        <w:t xml:space="preserve"> as a benefit.</w:t>
      </w:r>
      <w:r>
        <w:rPr>
          <w:rStyle w:val="FootnoteReference"/>
        </w:rPr>
        <w:footnoteReference w:id="6"/>
      </w:r>
    </w:p>
    <w:p w:rsidR="00CF7E58" w:rsidRDefault="00CD2673" w:rsidP="007E1E5A">
      <w:pPr>
        <w:pStyle w:val="BodyText"/>
      </w:pPr>
      <w:r>
        <w:t>Excluding parking revenue, ta</w:t>
      </w:r>
      <w:r w:rsidR="00CF7E58">
        <w:t xml:space="preserve">ble </w:t>
      </w:r>
      <w:r w:rsidR="00CF7E58">
        <w:fldChar w:fldCharType="begin"/>
      </w:r>
      <w:r w:rsidR="00CF7E58">
        <w:instrText xml:space="preserve"> REF _Caption2090 </w:instrText>
      </w:r>
      <w:r w:rsidR="00CF7E58">
        <w:fldChar w:fldCharType="separate"/>
      </w:r>
      <w:r w:rsidR="00CA6314">
        <w:rPr>
          <w:noProof/>
        </w:rPr>
        <w:t>3</w:t>
      </w:r>
      <w:r w:rsidR="00CA6314" w:rsidRPr="00695C93">
        <w:rPr>
          <w:noProof/>
        </w:rPr>
        <w:t>.</w:t>
      </w:r>
      <w:r w:rsidR="00CA6314">
        <w:rPr>
          <w:noProof/>
        </w:rPr>
        <w:t>3</w:t>
      </w:r>
      <w:r w:rsidR="00CF7E58">
        <w:fldChar w:fldCharType="end"/>
      </w:r>
      <w:r w:rsidR="00CF7E58">
        <w:t xml:space="preserve"> shows that costs exceed benefits under the business as usual land use scenario, indicating that a light rail option </w:t>
      </w:r>
      <w:r>
        <w:t>requires the assumption of population uplift to</w:t>
      </w:r>
      <w:r w:rsidR="00CF7E58">
        <w:t xml:space="preserve"> have sufficient economic or environmental benefits to be justified. </w:t>
      </w:r>
      <w:r>
        <w:t>Without this,</w:t>
      </w:r>
      <w:r w:rsidR="00CF7E58">
        <w:t xml:space="preserve"> the Capital Metro would impose a $187.4 million net cost to the ACT.  </w:t>
      </w:r>
    </w:p>
    <w:p w:rsidR="008178AD" w:rsidRDefault="008178AD" w:rsidP="008178AD">
      <w:pPr>
        <w:pStyle w:val="Caption"/>
        <w:spacing w:before="240"/>
      </w:pPr>
      <w:r w:rsidRPr="00695C93">
        <w:fldChar w:fldCharType="begin"/>
      </w:r>
      <w:r w:rsidRPr="00695C93">
        <w:instrText xml:space="preserve"> IF 1 = 1 "</w:instrText>
      </w:r>
      <w:r w:rsidRPr="00695C93">
        <w:fldChar w:fldCharType="begin"/>
      </w:r>
      <w:r w:rsidRPr="00695C93">
        <w:instrText xml:space="preserve"> IF </w:instrText>
      </w:r>
      <w:r>
        <w:fldChar w:fldCharType="begin"/>
      </w:r>
      <w:r>
        <w:instrText xml:space="preserve"> STYLEREF "Heading 6" \l \n </w:instrText>
      </w:r>
      <w:r>
        <w:fldChar w:fldCharType="separate"/>
      </w:r>
      <w:r w:rsidR="00CA6314">
        <w:rPr>
          <w:noProof/>
        </w:rPr>
        <w:instrText>0</w:instrText>
      </w:r>
      <w:r>
        <w:rPr>
          <w:noProof/>
        </w:rPr>
        <w:fldChar w:fldCharType="end"/>
      </w:r>
      <w:r w:rsidRPr="00695C93">
        <w:instrText xml:space="preserve"> = 0 "</w:instrText>
      </w:r>
      <w:r w:rsidRPr="00695C93">
        <w:fldChar w:fldCharType="begin"/>
      </w:r>
      <w:r w:rsidRPr="00695C93">
        <w:instrText xml:space="preserve"> IF </w:instrText>
      </w:r>
      <w:r>
        <w:fldChar w:fldCharType="begin"/>
      </w:r>
      <w:r>
        <w:instrText xml:space="preserve"> STYLEREF "Heading 1" \l \n </w:instrText>
      </w:r>
      <w:r>
        <w:fldChar w:fldCharType="separate"/>
      </w:r>
      <w:r w:rsidR="00CA6314">
        <w:rPr>
          <w:noProof/>
        </w:rPr>
        <w:instrText>3</w:instrText>
      </w:r>
      <w:r>
        <w:rPr>
          <w:noProof/>
        </w:rPr>
        <w:fldChar w:fldCharType="end"/>
      </w:r>
      <w:r w:rsidRPr="00695C93">
        <w:instrText xml:space="preserve"> = 0 "" "</w:instrText>
      </w:r>
      <w:r>
        <w:fldChar w:fldCharType="begin"/>
      </w:r>
      <w:r>
        <w:instrText xml:space="preserve"> STYLEREF "Heading 1" \l \n </w:instrText>
      </w:r>
      <w:r>
        <w:fldChar w:fldCharType="separate"/>
      </w:r>
      <w:r w:rsidR="00CA6314">
        <w:rPr>
          <w:noProof/>
        </w:rPr>
        <w:instrText>3</w:instrText>
      </w:r>
      <w:r>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instrText>" "</w:instrText>
      </w:r>
      <w:r>
        <w:fldChar w:fldCharType="begin"/>
      </w:r>
      <w:r>
        <w:instrText xml:space="preserve"> STYLEREF "Heading 6" \l \n </w:instrText>
      </w:r>
      <w:r>
        <w:fldChar w:fldCharType="separate"/>
      </w:r>
      <w:r>
        <w:rPr>
          <w:noProof/>
        </w:rPr>
        <w:instrText>A</w:instrText>
      </w:r>
      <w:r>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fldChar w:fldCharType="begin"/>
      </w:r>
      <w:r>
        <w:instrText xml:space="preserve"> STYLEREF "Heading 6" \l \n </w:instrText>
      </w:r>
      <w:r>
        <w:fldChar w:fldCharType="separate"/>
      </w:r>
      <w:r w:rsidR="00CA6314">
        <w:rPr>
          <w:noProof/>
        </w:rPr>
        <w:instrText>0</w:instrText>
      </w:r>
      <w:r>
        <w:rPr>
          <w:noProof/>
        </w:rPr>
        <w:fldChar w:fldCharType="end"/>
      </w:r>
      <w:r w:rsidRPr="00695C93">
        <w:instrText xml:space="preserve"> = 0 "</w:instrText>
      </w:r>
      <w:r w:rsidRPr="00695C93">
        <w:fldChar w:fldCharType="begin"/>
      </w:r>
      <w:r w:rsidRPr="00695C93">
        <w:instrText xml:space="preserve"> IF </w:instrText>
      </w:r>
      <w:r>
        <w:fldChar w:fldCharType="begin"/>
      </w:r>
      <w:r>
        <w:instrText xml:space="preserve"> STYLEREF "Heading 1" \l \n </w:instrText>
      </w:r>
      <w:r>
        <w:fldChar w:fldCharType="separate"/>
      </w:r>
      <w:r w:rsidR="00CA6314">
        <w:rPr>
          <w:noProof/>
        </w:rPr>
        <w:instrText>3</w:instrText>
      </w:r>
      <w:r>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3</w:instrText>
      </w:r>
      <w:r w:rsidRPr="00695C93">
        <w:fldChar w:fldCharType="end"/>
      </w:r>
      <w:r w:rsidRPr="00695C93">
        <w:instrText xml:space="preserve">" "" </w:instrText>
      </w:r>
      <w:r w:rsidRPr="00695C93">
        <w:fldChar w:fldCharType="separate"/>
      </w:r>
      <w:bookmarkStart w:id="164" w:name="_Caption2090"/>
      <w:bookmarkStart w:id="165" w:name="_Toc393202314"/>
      <w:r w:rsidR="00CA6314">
        <w:rPr>
          <w:noProof/>
        </w:rPr>
        <w:t>3</w:t>
      </w:r>
      <w:r w:rsidR="00CA6314" w:rsidRPr="00695C93">
        <w:rPr>
          <w:noProof/>
        </w:rPr>
        <w:t>.</w:t>
      </w:r>
      <w:r w:rsidR="00CA6314">
        <w:rPr>
          <w:noProof/>
        </w:rPr>
        <w:t>3</w:t>
      </w:r>
      <w:bookmarkEnd w:id="164"/>
      <w:r w:rsidRPr="00695C93">
        <w:fldChar w:fldCharType="end"/>
      </w:r>
      <w:r w:rsidRPr="00695C93">
        <w:tab/>
      </w:r>
      <w:r>
        <w:t>Costs and Benefits of Light rail and BRT under both land use scenarios (excluding parking revenue)</w:t>
      </w:r>
      <w:bookmarkEnd w:id="165"/>
    </w:p>
    <w:tbl>
      <w:tblPr>
        <w:tblW w:w="7938" w:type="dxa"/>
        <w:tblInd w:w="57" w:type="dxa"/>
        <w:tblLook w:val="04A0" w:firstRow="1" w:lastRow="0" w:firstColumn="1" w:lastColumn="0" w:noHBand="0" w:noVBand="1"/>
      </w:tblPr>
      <w:tblGrid>
        <w:gridCol w:w="2694"/>
        <w:gridCol w:w="1646"/>
        <w:gridCol w:w="1897"/>
        <w:gridCol w:w="1701"/>
      </w:tblGrid>
      <w:tr w:rsidR="008178AD" w:rsidRPr="00E65525" w:rsidTr="00C12F59">
        <w:trPr>
          <w:trHeight w:val="600"/>
        </w:trPr>
        <w:tc>
          <w:tcPr>
            <w:tcW w:w="2694" w:type="dxa"/>
            <w:shd w:val="clear" w:color="auto" w:fill="6F6652"/>
            <w:noWrap/>
            <w:tcMar>
              <w:left w:w="57" w:type="dxa"/>
              <w:right w:w="57" w:type="dxa"/>
            </w:tcMar>
            <w:hideMark/>
          </w:tcPr>
          <w:p w:rsidR="008178AD" w:rsidRPr="00E65525" w:rsidRDefault="008178AD" w:rsidP="00C12F59">
            <w:pPr>
              <w:pStyle w:val="TableDataColumnHeading"/>
              <w:jc w:val="left"/>
            </w:pPr>
            <w:r>
              <w:t>Costs and benefits</w:t>
            </w:r>
          </w:p>
        </w:tc>
        <w:tc>
          <w:tcPr>
            <w:tcW w:w="1646" w:type="dxa"/>
            <w:shd w:val="clear" w:color="auto" w:fill="6F6652"/>
          </w:tcPr>
          <w:p w:rsidR="008178AD" w:rsidRPr="00E65525" w:rsidRDefault="008178AD" w:rsidP="00C12F59">
            <w:pPr>
              <w:pStyle w:val="TableDataColumnHeading"/>
            </w:pPr>
            <w:r>
              <w:t>Bus rapid transit</w:t>
            </w:r>
          </w:p>
        </w:tc>
        <w:tc>
          <w:tcPr>
            <w:tcW w:w="1897" w:type="dxa"/>
            <w:shd w:val="clear" w:color="auto" w:fill="6F6652"/>
          </w:tcPr>
          <w:p w:rsidR="008178AD" w:rsidRPr="00E65525" w:rsidRDefault="008178AD" w:rsidP="00C12F59">
            <w:pPr>
              <w:pStyle w:val="TableDataColumnHeading"/>
            </w:pPr>
            <w:r>
              <w:t>Light Rail</w:t>
            </w:r>
          </w:p>
        </w:tc>
        <w:tc>
          <w:tcPr>
            <w:tcW w:w="1701" w:type="dxa"/>
            <w:shd w:val="clear" w:color="auto" w:fill="6F6652"/>
            <w:tcMar>
              <w:left w:w="57" w:type="dxa"/>
              <w:right w:w="57" w:type="dxa"/>
            </w:tcMar>
            <w:hideMark/>
          </w:tcPr>
          <w:p w:rsidR="008178AD" w:rsidRPr="00E65525" w:rsidRDefault="008178AD" w:rsidP="00C12F59">
            <w:pPr>
              <w:pStyle w:val="TableDataColumnHeading"/>
            </w:pPr>
            <w:r>
              <w:t>Difference</w:t>
            </w:r>
          </w:p>
        </w:tc>
      </w:tr>
      <w:tr w:rsidR="008178AD" w:rsidRPr="00E65525" w:rsidTr="00C12F59">
        <w:trPr>
          <w:trHeight w:val="300"/>
        </w:trPr>
        <w:tc>
          <w:tcPr>
            <w:tcW w:w="2694" w:type="dxa"/>
            <w:tcBorders>
              <w:bottom w:val="single" w:sz="8" w:space="0" w:color="FFFFFF" w:themeColor="background1"/>
            </w:tcBorders>
            <w:shd w:val="clear" w:color="auto" w:fill="auto"/>
            <w:noWrap/>
            <w:tcMar>
              <w:left w:w="57" w:type="dxa"/>
              <w:right w:w="57" w:type="dxa"/>
            </w:tcMar>
            <w:hideMark/>
          </w:tcPr>
          <w:p w:rsidR="008178AD" w:rsidRPr="00E65525" w:rsidRDefault="008178AD" w:rsidP="00C12F59">
            <w:pPr>
              <w:pStyle w:val="TableDataEntries"/>
            </w:pPr>
          </w:p>
        </w:tc>
        <w:tc>
          <w:tcPr>
            <w:tcW w:w="1646" w:type="dxa"/>
            <w:tcBorders>
              <w:bottom w:val="single" w:sz="8" w:space="0" w:color="FFFFFF" w:themeColor="background1"/>
            </w:tcBorders>
          </w:tcPr>
          <w:p w:rsidR="008178AD" w:rsidRPr="00E65525" w:rsidRDefault="008178AD" w:rsidP="00C12F59">
            <w:pPr>
              <w:pStyle w:val="TableDataEntries"/>
            </w:pPr>
            <w:r>
              <w:t>$millions</w:t>
            </w:r>
          </w:p>
        </w:tc>
        <w:tc>
          <w:tcPr>
            <w:tcW w:w="1897" w:type="dxa"/>
            <w:tcBorders>
              <w:bottom w:val="single" w:sz="8" w:space="0" w:color="FFFFFF" w:themeColor="background1"/>
            </w:tcBorders>
            <w:shd w:val="clear" w:color="auto" w:fill="auto"/>
          </w:tcPr>
          <w:p w:rsidR="008178AD" w:rsidRPr="00E65525" w:rsidRDefault="008178AD" w:rsidP="00C12F59">
            <w:pPr>
              <w:pStyle w:val="TableDataEntries"/>
            </w:pPr>
            <w:r>
              <w:t>$millions</w:t>
            </w:r>
          </w:p>
        </w:tc>
        <w:tc>
          <w:tcPr>
            <w:tcW w:w="1701" w:type="dxa"/>
            <w:tcBorders>
              <w:bottom w:val="single" w:sz="8" w:space="0" w:color="FFFFFF" w:themeColor="background1"/>
            </w:tcBorders>
            <w:tcMar>
              <w:left w:w="57" w:type="dxa"/>
              <w:right w:w="57" w:type="dxa"/>
            </w:tcMar>
            <w:hideMark/>
          </w:tcPr>
          <w:p w:rsidR="008178AD" w:rsidRPr="00E65525" w:rsidRDefault="008178AD" w:rsidP="00C12F59">
            <w:pPr>
              <w:pStyle w:val="TableDataEntries"/>
            </w:pPr>
            <w:r w:rsidRPr="00E65525">
              <w:t>$millions</w:t>
            </w:r>
          </w:p>
        </w:tc>
      </w:tr>
      <w:tr w:rsidR="008178AD" w:rsidRPr="00E65525" w:rsidTr="00C12F59">
        <w:trPr>
          <w:trHeight w:val="300"/>
        </w:trPr>
        <w:tc>
          <w:tcPr>
            <w:tcW w:w="2694" w:type="dxa"/>
            <w:tcBorders>
              <w:top w:val="single" w:sz="8" w:space="0" w:color="FFFFFF" w:themeColor="background1"/>
              <w:bottom w:val="single" w:sz="8" w:space="0" w:color="FFFFFF" w:themeColor="background1"/>
            </w:tcBorders>
            <w:shd w:val="clear" w:color="auto" w:fill="E4E0DA" w:themeFill="text2" w:themeFillTint="33"/>
            <w:noWrap/>
            <w:tcMar>
              <w:left w:w="57" w:type="dxa"/>
              <w:right w:w="57" w:type="dxa"/>
            </w:tcMar>
          </w:tcPr>
          <w:p w:rsidR="008178AD" w:rsidRPr="00E65525" w:rsidRDefault="008178AD" w:rsidP="00C12F59">
            <w:pPr>
              <w:pStyle w:val="TableHeading1"/>
            </w:pPr>
            <w:r>
              <w:t>Business as usual land use scenario</w:t>
            </w:r>
          </w:p>
        </w:tc>
        <w:tc>
          <w:tcPr>
            <w:tcW w:w="1646" w:type="dxa"/>
            <w:tcBorders>
              <w:top w:val="single" w:sz="8" w:space="0" w:color="FFFFFF" w:themeColor="background1"/>
              <w:bottom w:val="single" w:sz="8" w:space="0" w:color="FFFFFF" w:themeColor="background1"/>
            </w:tcBorders>
            <w:shd w:val="clear" w:color="auto" w:fill="E4E0DA" w:themeFill="text2" w:themeFillTint="33"/>
          </w:tcPr>
          <w:p w:rsidR="008178AD" w:rsidRDefault="008178AD" w:rsidP="00C12F59">
            <w:pPr>
              <w:pStyle w:val="TableHeading1"/>
            </w:pPr>
          </w:p>
        </w:tc>
        <w:tc>
          <w:tcPr>
            <w:tcW w:w="1897" w:type="dxa"/>
            <w:tcBorders>
              <w:top w:val="single" w:sz="8" w:space="0" w:color="FFFFFF" w:themeColor="background1"/>
              <w:bottom w:val="single" w:sz="8" w:space="0" w:color="FFFFFF" w:themeColor="background1"/>
            </w:tcBorders>
            <w:shd w:val="clear" w:color="auto" w:fill="E4E0DA" w:themeFill="text2" w:themeFillTint="33"/>
          </w:tcPr>
          <w:p w:rsidR="008178AD" w:rsidRDefault="008178AD" w:rsidP="00C12F59">
            <w:pPr>
              <w:pStyle w:val="TableHeading1"/>
            </w:pPr>
          </w:p>
        </w:tc>
        <w:tc>
          <w:tcPr>
            <w:tcW w:w="1701" w:type="dxa"/>
            <w:tcBorders>
              <w:top w:val="single" w:sz="8" w:space="0" w:color="FFFFFF" w:themeColor="background1"/>
              <w:bottom w:val="single" w:sz="8" w:space="0" w:color="FFFFFF" w:themeColor="background1"/>
            </w:tcBorders>
            <w:shd w:val="clear" w:color="auto" w:fill="E4E0DA" w:themeFill="text2" w:themeFillTint="33"/>
            <w:noWrap/>
            <w:tcMar>
              <w:left w:w="57" w:type="dxa"/>
              <w:right w:w="57" w:type="dxa"/>
            </w:tcMar>
            <w:vAlign w:val="bottom"/>
          </w:tcPr>
          <w:p w:rsidR="008178AD" w:rsidRDefault="008178AD" w:rsidP="00C12F59">
            <w:pPr>
              <w:pStyle w:val="TableHeading1"/>
            </w:pPr>
          </w:p>
        </w:tc>
      </w:tr>
      <w:tr w:rsidR="008178AD" w:rsidRPr="00E65525" w:rsidTr="00C12F59">
        <w:trPr>
          <w:trHeight w:val="300"/>
        </w:trPr>
        <w:tc>
          <w:tcPr>
            <w:tcW w:w="2694"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8178AD" w:rsidRPr="00E65525" w:rsidRDefault="008178AD" w:rsidP="00C12F59">
            <w:pPr>
              <w:pStyle w:val="TableDataEntries"/>
              <w:jc w:val="left"/>
            </w:pPr>
            <w:r>
              <w:t>Total costs</w:t>
            </w:r>
          </w:p>
        </w:tc>
        <w:tc>
          <w:tcPr>
            <w:tcW w:w="1646" w:type="dxa"/>
            <w:tcBorders>
              <w:top w:val="single" w:sz="8" w:space="0" w:color="FFFFFF" w:themeColor="background1"/>
              <w:bottom w:val="single" w:sz="8" w:space="0" w:color="FFFFFF" w:themeColor="background1"/>
            </w:tcBorders>
            <w:shd w:val="clear" w:color="auto" w:fill="E9E8E5" w:themeFill="background2"/>
            <w:vAlign w:val="bottom"/>
          </w:tcPr>
          <w:p w:rsidR="008178AD" w:rsidRDefault="008178AD" w:rsidP="00C12F59">
            <w:pPr>
              <w:pStyle w:val="TableDataEntries"/>
            </w:pPr>
            <w:r>
              <w:t>248.5</w:t>
            </w:r>
          </w:p>
        </w:tc>
        <w:tc>
          <w:tcPr>
            <w:tcW w:w="1897" w:type="dxa"/>
            <w:tcBorders>
              <w:top w:val="single" w:sz="8" w:space="0" w:color="FFFFFF" w:themeColor="background1"/>
              <w:bottom w:val="single" w:sz="8" w:space="0" w:color="FFFFFF" w:themeColor="background1"/>
            </w:tcBorders>
            <w:shd w:val="clear" w:color="auto" w:fill="E9E8E5" w:themeFill="background2"/>
            <w:vAlign w:val="bottom"/>
          </w:tcPr>
          <w:p w:rsidR="008178AD" w:rsidRDefault="008178AD" w:rsidP="00C12F59">
            <w:pPr>
              <w:pStyle w:val="TableDataEntries"/>
            </w:pPr>
            <w:r>
              <w:t>524.1</w:t>
            </w:r>
          </w:p>
        </w:tc>
        <w:tc>
          <w:tcPr>
            <w:tcW w:w="1701"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8178AD" w:rsidRDefault="008178AD" w:rsidP="00C12F59">
            <w:pPr>
              <w:pStyle w:val="TableDataEntries"/>
            </w:pPr>
            <w:r>
              <w:t>275.6</w:t>
            </w:r>
          </w:p>
        </w:tc>
      </w:tr>
      <w:tr w:rsidR="008178AD" w:rsidRPr="00E65525" w:rsidTr="00C12F59">
        <w:trPr>
          <w:trHeight w:val="300"/>
        </w:trPr>
        <w:tc>
          <w:tcPr>
            <w:tcW w:w="2694"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8178AD" w:rsidRPr="00E65525" w:rsidRDefault="008178AD" w:rsidP="00C12F59">
            <w:pPr>
              <w:pStyle w:val="TableDataEntries"/>
              <w:jc w:val="left"/>
              <w:rPr>
                <w:rFonts w:ascii="Franklin Gothic Demi" w:hAnsi="Franklin Gothic Demi"/>
              </w:rPr>
            </w:pPr>
            <w:r>
              <w:rPr>
                <w:rFonts w:ascii="Franklin Gothic Demi" w:hAnsi="Franklin Gothic Demi"/>
              </w:rPr>
              <w:t>Total benefits</w:t>
            </w:r>
          </w:p>
        </w:tc>
        <w:tc>
          <w:tcPr>
            <w:tcW w:w="1646" w:type="dxa"/>
            <w:tcBorders>
              <w:top w:val="single" w:sz="8" w:space="0" w:color="FFFFFF" w:themeColor="background1"/>
              <w:bottom w:val="single" w:sz="8" w:space="0" w:color="FFFFFF" w:themeColor="background1"/>
            </w:tcBorders>
            <w:shd w:val="clear" w:color="auto" w:fill="E9E8E5" w:themeFill="background2"/>
            <w:vAlign w:val="bottom"/>
          </w:tcPr>
          <w:p w:rsidR="008178AD" w:rsidRDefault="008178AD" w:rsidP="00C12F59">
            <w:pPr>
              <w:pStyle w:val="TableDataEntries"/>
              <w:rPr>
                <w:rFonts w:ascii="Franklin Gothic Demi" w:hAnsi="Franklin Gothic Demi"/>
              </w:rPr>
            </w:pPr>
            <w:r>
              <w:rPr>
                <w:rFonts w:ascii="Franklin Gothic Demi" w:hAnsi="Franklin Gothic Demi"/>
              </w:rPr>
              <w:t>293.5</w:t>
            </w:r>
          </w:p>
        </w:tc>
        <w:tc>
          <w:tcPr>
            <w:tcW w:w="1897" w:type="dxa"/>
            <w:tcBorders>
              <w:top w:val="single" w:sz="8" w:space="0" w:color="FFFFFF" w:themeColor="background1"/>
              <w:bottom w:val="single" w:sz="8" w:space="0" w:color="FFFFFF" w:themeColor="background1"/>
            </w:tcBorders>
            <w:shd w:val="clear" w:color="auto" w:fill="E9E8E5" w:themeFill="background2"/>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336.7</w:t>
            </w:r>
          </w:p>
        </w:tc>
        <w:tc>
          <w:tcPr>
            <w:tcW w:w="1701"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-43.2</w:t>
            </w:r>
          </w:p>
        </w:tc>
      </w:tr>
      <w:tr w:rsidR="008178AD" w:rsidRPr="002203C4" w:rsidTr="00C12F59">
        <w:trPr>
          <w:trHeight w:val="300"/>
        </w:trPr>
        <w:tc>
          <w:tcPr>
            <w:tcW w:w="2694"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tcPr>
          <w:p w:rsidR="008178AD" w:rsidRPr="00AD5137" w:rsidRDefault="008178AD" w:rsidP="00C12F59">
            <w:pPr>
              <w:pStyle w:val="TableDataEntries"/>
              <w:jc w:val="left"/>
              <w:rPr>
                <w:rFonts w:ascii="Franklin Gothic Demi" w:hAnsi="Franklin Gothic Demi"/>
              </w:rPr>
            </w:pPr>
            <w:r w:rsidRPr="00AD5137">
              <w:rPr>
                <w:rFonts w:ascii="Franklin Gothic Demi" w:hAnsi="Franklin Gothic Demi"/>
              </w:rPr>
              <w:t>Net benefits</w:t>
            </w:r>
          </w:p>
        </w:tc>
        <w:tc>
          <w:tcPr>
            <w:tcW w:w="1646" w:type="dxa"/>
            <w:tcBorders>
              <w:top w:val="single" w:sz="8" w:space="0" w:color="FFFFFF" w:themeColor="background1"/>
              <w:bottom w:val="single" w:sz="8" w:space="0" w:color="FFFFFF" w:themeColor="background1"/>
            </w:tcBorders>
            <w:shd w:val="clear" w:color="auto" w:fill="C2DADB" w:themeFill="accent6" w:themeFillTint="99"/>
            <w:vAlign w:val="bottom"/>
          </w:tcPr>
          <w:p w:rsidR="008178AD" w:rsidRDefault="008178AD" w:rsidP="00C12F59">
            <w:pPr>
              <w:pStyle w:val="TableDataEntries"/>
              <w:rPr>
                <w:rFonts w:ascii="Franklin Gothic Demi" w:hAnsi="Franklin Gothic Demi"/>
              </w:rPr>
            </w:pPr>
            <w:r>
              <w:rPr>
                <w:rFonts w:ascii="Franklin Gothic Demi" w:hAnsi="Franklin Gothic Demi"/>
              </w:rPr>
              <w:t>45.0</w:t>
            </w:r>
          </w:p>
        </w:tc>
        <w:tc>
          <w:tcPr>
            <w:tcW w:w="1897" w:type="dxa"/>
            <w:tcBorders>
              <w:top w:val="single" w:sz="8" w:space="0" w:color="FFFFFF" w:themeColor="background1"/>
              <w:bottom w:val="single" w:sz="8" w:space="0" w:color="FFFFFF" w:themeColor="background1"/>
            </w:tcBorders>
            <w:shd w:val="clear" w:color="auto" w:fill="C2DADB" w:themeFill="accent6" w:themeFillTint="99"/>
            <w:vAlign w:val="bottom"/>
          </w:tcPr>
          <w:p w:rsidR="008178AD" w:rsidRPr="00AD5137" w:rsidRDefault="008178AD" w:rsidP="00C12F59">
            <w:pPr>
              <w:pStyle w:val="TableDataEntries"/>
              <w:rPr>
                <w:rFonts w:ascii="Franklin Gothic Demi" w:hAnsi="Franklin Gothic Demi"/>
              </w:rPr>
            </w:pPr>
            <w:r>
              <w:rPr>
                <w:rFonts w:ascii="Franklin Gothic Demi" w:hAnsi="Franklin Gothic Demi"/>
              </w:rPr>
              <w:t>-187.4</w:t>
            </w:r>
          </w:p>
        </w:tc>
        <w:tc>
          <w:tcPr>
            <w:tcW w:w="1701" w:type="dxa"/>
            <w:tcBorders>
              <w:top w:val="single" w:sz="8" w:space="0" w:color="FFFFFF" w:themeColor="background1"/>
              <w:bottom w:val="single" w:sz="8" w:space="0" w:color="FFFFFF" w:themeColor="background1"/>
            </w:tcBorders>
            <w:shd w:val="clear" w:color="auto" w:fill="C2DADB" w:themeFill="accent6" w:themeFillTint="99"/>
            <w:noWrap/>
            <w:tcMar>
              <w:left w:w="57" w:type="dxa"/>
              <w:right w:w="57" w:type="dxa"/>
            </w:tcMar>
            <w:vAlign w:val="bottom"/>
          </w:tcPr>
          <w:p w:rsidR="008178AD" w:rsidRPr="00AD5137" w:rsidRDefault="008178AD" w:rsidP="00C12F59">
            <w:pPr>
              <w:pStyle w:val="TableDataEntries"/>
              <w:rPr>
                <w:rFonts w:ascii="Franklin Gothic Demi" w:hAnsi="Franklin Gothic Demi"/>
              </w:rPr>
            </w:pPr>
            <w:r>
              <w:rPr>
                <w:rFonts w:ascii="Franklin Gothic Demi" w:hAnsi="Franklin Gothic Demi"/>
              </w:rPr>
              <w:t>-232.4</w:t>
            </w:r>
          </w:p>
        </w:tc>
      </w:tr>
      <w:tr w:rsidR="008178AD" w:rsidRPr="002203C4" w:rsidTr="00C12F59">
        <w:trPr>
          <w:trHeight w:val="300"/>
        </w:trPr>
        <w:tc>
          <w:tcPr>
            <w:tcW w:w="2694" w:type="dxa"/>
            <w:tcBorders>
              <w:top w:val="single" w:sz="8" w:space="0" w:color="FFFFFF" w:themeColor="background1"/>
              <w:bottom w:val="single" w:sz="8" w:space="0" w:color="FFFFFF" w:themeColor="background1"/>
            </w:tcBorders>
            <w:shd w:val="clear" w:color="auto" w:fill="E4E0DA" w:themeFill="text2" w:themeFillTint="33"/>
            <w:noWrap/>
            <w:tcMar>
              <w:left w:w="57" w:type="dxa"/>
              <w:right w:w="57" w:type="dxa"/>
            </w:tcMar>
          </w:tcPr>
          <w:p w:rsidR="008178AD" w:rsidRPr="00CF7E58" w:rsidRDefault="008178AD" w:rsidP="00C12F59">
            <w:pPr>
              <w:pStyle w:val="TableHeading1"/>
            </w:pPr>
            <w:r w:rsidRPr="002203C4">
              <w:t xml:space="preserve">High density </w:t>
            </w:r>
            <w:r w:rsidRPr="006442AD">
              <w:t>land use scenario</w:t>
            </w:r>
          </w:p>
        </w:tc>
        <w:tc>
          <w:tcPr>
            <w:tcW w:w="1646" w:type="dxa"/>
            <w:tcBorders>
              <w:top w:val="single" w:sz="8" w:space="0" w:color="FFFFFF" w:themeColor="background1"/>
              <w:bottom w:val="single" w:sz="8" w:space="0" w:color="FFFFFF" w:themeColor="background1"/>
            </w:tcBorders>
            <w:shd w:val="clear" w:color="auto" w:fill="E4E0DA" w:themeFill="text2" w:themeFillTint="33"/>
            <w:vAlign w:val="bottom"/>
          </w:tcPr>
          <w:p w:rsidR="008178AD" w:rsidRPr="000E5F6B" w:rsidRDefault="008178AD" w:rsidP="00C12F59">
            <w:pPr>
              <w:pStyle w:val="TableDataEntries"/>
            </w:pPr>
          </w:p>
        </w:tc>
        <w:tc>
          <w:tcPr>
            <w:tcW w:w="1897" w:type="dxa"/>
            <w:tcBorders>
              <w:top w:val="single" w:sz="8" w:space="0" w:color="FFFFFF" w:themeColor="background1"/>
              <w:bottom w:val="single" w:sz="8" w:space="0" w:color="FFFFFF" w:themeColor="background1"/>
            </w:tcBorders>
            <w:shd w:val="clear" w:color="auto" w:fill="E4E0DA" w:themeFill="text2" w:themeFillTint="33"/>
            <w:vAlign w:val="bottom"/>
          </w:tcPr>
          <w:p w:rsidR="008178AD" w:rsidRPr="000E5F6B" w:rsidRDefault="008178AD" w:rsidP="00C12F59">
            <w:pPr>
              <w:pStyle w:val="TableDataEntries"/>
            </w:pPr>
          </w:p>
        </w:tc>
        <w:tc>
          <w:tcPr>
            <w:tcW w:w="1701" w:type="dxa"/>
            <w:tcBorders>
              <w:top w:val="single" w:sz="8" w:space="0" w:color="FFFFFF" w:themeColor="background1"/>
              <w:bottom w:val="single" w:sz="8" w:space="0" w:color="FFFFFF" w:themeColor="background1"/>
            </w:tcBorders>
            <w:shd w:val="clear" w:color="auto" w:fill="E4E0DA" w:themeFill="text2" w:themeFillTint="33"/>
            <w:noWrap/>
            <w:tcMar>
              <w:left w:w="57" w:type="dxa"/>
              <w:right w:w="57" w:type="dxa"/>
            </w:tcMar>
            <w:vAlign w:val="bottom"/>
          </w:tcPr>
          <w:p w:rsidR="008178AD" w:rsidRPr="000E5F6B" w:rsidRDefault="008178AD" w:rsidP="00C12F59">
            <w:pPr>
              <w:pStyle w:val="TableHeading1"/>
            </w:pPr>
          </w:p>
        </w:tc>
      </w:tr>
      <w:tr w:rsidR="008178AD" w:rsidRPr="00E65525" w:rsidTr="00C12F59">
        <w:trPr>
          <w:trHeight w:val="300"/>
        </w:trPr>
        <w:tc>
          <w:tcPr>
            <w:tcW w:w="2694"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8178AD" w:rsidRPr="00E65525" w:rsidRDefault="008178AD" w:rsidP="00C12F59">
            <w:pPr>
              <w:pStyle w:val="TableDataEntries"/>
              <w:jc w:val="left"/>
            </w:pPr>
            <w:r>
              <w:t>Total costs</w:t>
            </w:r>
          </w:p>
        </w:tc>
        <w:tc>
          <w:tcPr>
            <w:tcW w:w="1646" w:type="dxa"/>
            <w:tcBorders>
              <w:top w:val="single" w:sz="8" w:space="0" w:color="FFFFFF" w:themeColor="background1"/>
              <w:bottom w:val="single" w:sz="8" w:space="0" w:color="FFFFFF" w:themeColor="background1"/>
            </w:tcBorders>
            <w:shd w:val="clear" w:color="auto" w:fill="E9E8E5" w:themeFill="background2"/>
            <w:vAlign w:val="bottom"/>
          </w:tcPr>
          <w:p w:rsidR="008178AD" w:rsidRDefault="008178AD" w:rsidP="00C12F59">
            <w:pPr>
              <w:pStyle w:val="TableDataEntries"/>
            </w:pPr>
            <w:r>
              <w:t>248.5</w:t>
            </w:r>
          </w:p>
        </w:tc>
        <w:tc>
          <w:tcPr>
            <w:tcW w:w="1897" w:type="dxa"/>
            <w:tcBorders>
              <w:top w:val="single" w:sz="8" w:space="0" w:color="FFFFFF" w:themeColor="background1"/>
              <w:bottom w:val="single" w:sz="8" w:space="0" w:color="FFFFFF" w:themeColor="background1"/>
            </w:tcBorders>
            <w:shd w:val="clear" w:color="auto" w:fill="E9E8E5" w:themeFill="background2"/>
            <w:vAlign w:val="bottom"/>
          </w:tcPr>
          <w:p w:rsidR="008178AD" w:rsidRDefault="008178AD" w:rsidP="00C12F59">
            <w:pPr>
              <w:pStyle w:val="TableDataEntries"/>
            </w:pPr>
            <w:r>
              <w:t>524.1</w:t>
            </w:r>
          </w:p>
        </w:tc>
        <w:tc>
          <w:tcPr>
            <w:tcW w:w="1701"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8178AD" w:rsidRDefault="008178AD" w:rsidP="00C12F59">
            <w:pPr>
              <w:pStyle w:val="TableDataEntries"/>
            </w:pPr>
            <w:r>
              <w:t>275.6</w:t>
            </w:r>
          </w:p>
        </w:tc>
      </w:tr>
      <w:tr w:rsidR="008178AD" w:rsidRPr="00E65525" w:rsidTr="00C12F59">
        <w:trPr>
          <w:trHeight w:val="300"/>
        </w:trPr>
        <w:tc>
          <w:tcPr>
            <w:tcW w:w="2694"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tcPr>
          <w:p w:rsidR="008178AD" w:rsidRPr="00E65525" w:rsidRDefault="008178AD" w:rsidP="00C12F59">
            <w:pPr>
              <w:pStyle w:val="TableDataEntries"/>
              <w:jc w:val="left"/>
              <w:rPr>
                <w:rFonts w:ascii="Franklin Gothic Demi" w:hAnsi="Franklin Gothic Demi"/>
              </w:rPr>
            </w:pPr>
            <w:r>
              <w:rPr>
                <w:rFonts w:ascii="Franklin Gothic Demi" w:hAnsi="Franklin Gothic Demi"/>
              </w:rPr>
              <w:t>Total benefits</w:t>
            </w:r>
          </w:p>
        </w:tc>
        <w:tc>
          <w:tcPr>
            <w:tcW w:w="1646" w:type="dxa"/>
            <w:tcBorders>
              <w:top w:val="single" w:sz="8" w:space="0" w:color="FFFFFF" w:themeColor="background1"/>
              <w:bottom w:val="single" w:sz="8" w:space="0" w:color="FFFFFF" w:themeColor="background1"/>
            </w:tcBorders>
            <w:shd w:val="clear" w:color="auto" w:fill="E9E8E5" w:themeFill="background2"/>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994.9</w:t>
            </w:r>
          </w:p>
        </w:tc>
        <w:tc>
          <w:tcPr>
            <w:tcW w:w="1897" w:type="dxa"/>
            <w:tcBorders>
              <w:top w:val="single" w:sz="8" w:space="0" w:color="FFFFFF" w:themeColor="background1"/>
              <w:bottom w:val="single" w:sz="8" w:space="0" w:color="FFFFFF" w:themeColor="background1"/>
            </w:tcBorders>
            <w:shd w:val="clear" w:color="auto" w:fill="E9E8E5" w:themeFill="background2"/>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1032.7</w:t>
            </w:r>
          </w:p>
        </w:tc>
        <w:tc>
          <w:tcPr>
            <w:tcW w:w="1701"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-37.8</w:t>
            </w:r>
          </w:p>
        </w:tc>
      </w:tr>
      <w:tr w:rsidR="008178AD" w:rsidRPr="00E65525" w:rsidTr="00C12F59">
        <w:trPr>
          <w:trHeight w:val="300"/>
        </w:trPr>
        <w:tc>
          <w:tcPr>
            <w:tcW w:w="2694" w:type="dxa"/>
            <w:tcBorders>
              <w:top w:val="single" w:sz="8" w:space="0" w:color="FFFFFF" w:themeColor="background1"/>
              <w:bottom w:val="single" w:sz="6" w:space="0" w:color="6F6652"/>
            </w:tcBorders>
            <w:shd w:val="clear" w:color="auto" w:fill="C2DADB" w:themeFill="accent6" w:themeFillTint="99"/>
            <w:noWrap/>
            <w:tcMar>
              <w:left w:w="57" w:type="dxa"/>
              <w:right w:w="57" w:type="dxa"/>
            </w:tcMar>
          </w:tcPr>
          <w:p w:rsidR="008178AD" w:rsidRPr="00E65525" w:rsidRDefault="008178AD" w:rsidP="00C12F59">
            <w:pPr>
              <w:pStyle w:val="TableDataEntries"/>
              <w:jc w:val="left"/>
              <w:rPr>
                <w:rFonts w:ascii="Franklin Gothic Demi" w:hAnsi="Franklin Gothic Demi"/>
              </w:rPr>
            </w:pPr>
            <w:r>
              <w:rPr>
                <w:rFonts w:ascii="Franklin Gothic Demi" w:hAnsi="Franklin Gothic Demi"/>
              </w:rPr>
              <w:t>Net benefits</w:t>
            </w:r>
          </w:p>
        </w:tc>
        <w:tc>
          <w:tcPr>
            <w:tcW w:w="1646" w:type="dxa"/>
            <w:tcBorders>
              <w:top w:val="single" w:sz="8" w:space="0" w:color="FFFFFF" w:themeColor="background1"/>
              <w:bottom w:val="single" w:sz="6" w:space="0" w:color="6F6652"/>
            </w:tcBorders>
            <w:shd w:val="clear" w:color="auto" w:fill="C2DADB" w:themeFill="accent6" w:themeFillTint="99"/>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746.4</w:t>
            </w:r>
          </w:p>
        </w:tc>
        <w:tc>
          <w:tcPr>
            <w:tcW w:w="1897" w:type="dxa"/>
            <w:tcBorders>
              <w:top w:val="single" w:sz="8" w:space="0" w:color="FFFFFF" w:themeColor="background1"/>
              <w:bottom w:val="single" w:sz="6" w:space="0" w:color="6F6652"/>
            </w:tcBorders>
            <w:shd w:val="clear" w:color="auto" w:fill="C2DADB" w:themeFill="accent6" w:themeFillTint="99"/>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508.6</w:t>
            </w:r>
          </w:p>
        </w:tc>
        <w:tc>
          <w:tcPr>
            <w:tcW w:w="1701" w:type="dxa"/>
            <w:tcBorders>
              <w:top w:val="single" w:sz="8" w:space="0" w:color="FFFFFF" w:themeColor="background1"/>
              <w:bottom w:val="single" w:sz="6" w:space="0" w:color="6F6652"/>
            </w:tcBorders>
            <w:shd w:val="clear" w:color="auto" w:fill="C2DADB" w:themeFill="accent6" w:themeFillTint="99"/>
            <w:noWrap/>
            <w:tcMar>
              <w:left w:w="57" w:type="dxa"/>
              <w:right w:w="57" w:type="dxa"/>
            </w:tcMar>
            <w:vAlign w:val="bottom"/>
          </w:tcPr>
          <w:p w:rsidR="008178AD" w:rsidRPr="00E65525" w:rsidRDefault="008178AD" w:rsidP="00C12F59">
            <w:pPr>
              <w:pStyle w:val="TableDataEntries"/>
              <w:rPr>
                <w:rFonts w:ascii="Franklin Gothic Demi" w:hAnsi="Franklin Gothic Demi"/>
              </w:rPr>
            </w:pPr>
            <w:r>
              <w:rPr>
                <w:rFonts w:ascii="Franklin Gothic Demi" w:hAnsi="Franklin Gothic Demi"/>
              </w:rPr>
              <w:t>-237.8</w:t>
            </w:r>
          </w:p>
        </w:tc>
      </w:tr>
    </w:tbl>
    <w:p w:rsidR="008178AD" w:rsidRDefault="008178AD" w:rsidP="008178AD">
      <w:pPr>
        <w:pStyle w:val="Note"/>
      </w:pPr>
      <w:r w:rsidRPr="007D1B4F">
        <w:rPr>
          <w:i/>
        </w:rPr>
        <w:t>Note:</w:t>
      </w:r>
      <w:r w:rsidRPr="00E879B8">
        <w:t xml:space="preserve"> </w:t>
      </w:r>
      <w:r>
        <w:t xml:space="preserve">Values </w:t>
      </w:r>
      <w:proofErr w:type="gramStart"/>
      <w:r>
        <w:t>have been discounted</w:t>
      </w:r>
      <w:proofErr w:type="gramEnd"/>
      <w:r>
        <w:t xml:space="preserve"> at 7 per cent. Parking revenue </w:t>
      </w:r>
      <w:proofErr w:type="gramStart"/>
      <w:r>
        <w:t>has been excluded</w:t>
      </w:r>
      <w:proofErr w:type="gramEnd"/>
      <w:r>
        <w:t xml:space="preserve"> from total benefits for both scenarios.</w:t>
      </w:r>
    </w:p>
    <w:p w:rsidR="008178AD" w:rsidRDefault="008178AD" w:rsidP="008178AD">
      <w:pPr>
        <w:pStyle w:val="Source"/>
      </w:pPr>
      <w:proofErr w:type="gramStart"/>
      <w:r>
        <w:rPr>
          <w:i/>
        </w:rPr>
        <w:t>Source</w:t>
      </w:r>
      <w:r w:rsidRPr="00E4232C">
        <w:rPr>
          <w:i/>
        </w:rPr>
        <w:t>:</w:t>
      </w:r>
      <w:r>
        <w:t xml:space="preserve"> ‘City to Gungahlin Transit Corridor’ Infrastructure Australia Submission 2012.</w:t>
      </w:r>
      <w:proofErr w:type="gramEnd"/>
    </w:p>
    <w:p w:rsidR="00796D3D" w:rsidRDefault="00796D3D" w:rsidP="00796D3D">
      <w:pPr>
        <w:pStyle w:val="BodyText"/>
        <w:rPr>
          <w:lang w:eastAsia="en-US"/>
        </w:rPr>
      </w:pPr>
      <w:r>
        <w:rPr>
          <w:lang w:eastAsia="en-US"/>
        </w:rPr>
        <w:t>A separate cost-benefit analysis has been conducted by Bob Nairn Consultant</w:t>
      </w:r>
      <w:r>
        <w:rPr>
          <w:rStyle w:val="FootnoteReference"/>
          <w:lang w:eastAsia="en-US"/>
        </w:rPr>
        <w:footnoteReference w:id="7"/>
      </w:r>
      <w:proofErr w:type="gramStart"/>
      <w:r>
        <w:rPr>
          <w:lang w:eastAsia="en-US"/>
        </w:rPr>
        <w:t xml:space="preserve"> which</w:t>
      </w:r>
      <w:proofErr w:type="gramEnd"/>
      <w:r>
        <w:rPr>
          <w:lang w:eastAsia="en-US"/>
        </w:rPr>
        <w:t xml:space="preserve"> estimate</w:t>
      </w:r>
      <w:r w:rsidR="008178AD">
        <w:rPr>
          <w:lang w:eastAsia="en-US"/>
        </w:rPr>
        <w:t>d</w:t>
      </w:r>
      <w:r>
        <w:rPr>
          <w:lang w:eastAsia="en-US"/>
        </w:rPr>
        <w:t xml:space="preserve"> that construction costs for the Gungahlin Light rail line (Capital Metro) will be $915 million. This report is substantially less clear about its assumptions than the IA submission, however highlights that cost estimates of light rail are highly variable. Construction costs per mile cited in the report range between </w:t>
      </w:r>
      <w:r w:rsidR="008178AD">
        <w:rPr>
          <w:lang w:eastAsia="en-US"/>
        </w:rPr>
        <w:t>US</w:t>
      </w:r>
      <w:r>
        <w:rPr>
          <w:lang w:eastAsia="en-US"/>
        </w:rPr>
        <w:t>13.6</w:t>
      </w:r>
      <w:r w:rsidR="008178AD">
        <w:rPr>
          <w:lang w:eastAsia="en-US"/>
        </w:rPr>
        <w:t> – </w:t>
      </w:r>
      <w:r>
        <w:rPr>
          <w:lang w:eastAsia="en-US"/>
        </w:rPr>
        <w:t>43.8</w:t>
      </w:r>
      <w:proofErr w:type="gramStart"/>
      <w:r w:rsidR="008178AD">
        <w:rPr>
          <w:lang w:eastAsia="en-US"/>
        </w:rPr>
        <w:t> </w:t>
      </w:r>
      <w:r>
        <w:rPr>
          <w:lang w:eastAsia="en-US"/>
        </w:rPr>
        <w:t xml:space="preserve"> </w:t>
      </w:r>
      <w:r w:rsidR="008178AD">
        <w:rPr>
          <w:lang w:eastAsia="en-US"/>
        </w:rPr>
        <w:t>m</w:t>
      </w:r>
      <w:r>
        <w:rPr>
          <w:lang w:eastAsia="en-US"/>
        </w:rPr>
        <w:t>illion</w:t>
      </w:r>
      <w:proofErr w:type="gramEnd"/>
      <w:r>
        <w:rPr>
          <w:lang w:eastAsia="en-US"/>
        </w:rPr>
        <w:t xml:space="preserve"> per kilometre. </w:t>
      </w:r>
    </w:p>
    <w:p w:rsidR="00796D3D" w:rsidRDefault="00796D3D" w:rsidP="00796D3D">
      <w:pPr>
        <w:pStyle w:val="BodyText"/>
        <w:rPr>
          <w:lang w:eastAsia="en-US"/>
        </w:rPr>
      </w:pPr>
      <w:r>
        <w:rPr>
          <w:lang w:eastAsia="en-US"/>
        </w:rPr>
        <w:t>Similarly, the Tourism and Transport Forum, in a paper in support of light rail</w:t>
      </w:r>
      <w:r w:rsidR="008178AD">
        <w:rPr>
          <w:lang w:eastAsia="en-US"/>
        </w:rPr>
        <w:t>,</w:t>
      </w:r>
      <w:r>
        <w:rPr>
          <w:rStyle w:val="FootnoteReference"/>
          <w:lang w:eastAsia="en-US"/>
        </w:rPr>
        <w:footnoteReference w:id="8"/>
      </w:r>
      <w:r>
        <w:rPr>
          <w:lang w:eastAsia="en-US"/>
        </w:rPr>
        <w:t xml:space="preserve"> cites costs between $20-40 million per kilometre (including rolling stock) based on European light rail projects.</w:t>
      </w:r>
    </w:p>
    <w:p w:rsidR="00796D3D" w:rsidRPr="00D94498" w:rsidRDefault="00796D3D" w:rsidP="00796D3D">
      <w:pPr>
        <w:pStyle w:val="BodyText"/>
        <w:rPr>
          <w:lang w:eastAsia="en-US"/>
        </w:rPr>
      </w:pPr>
      <w:r>
        <w:rPr>
          <w:lang w:eastAsia="en-US"/>
        </w:rPr>
        <w:t xml:space="preserve">These reports present less transparent estimates of costs and </w:t>
      </w:r>
      <w:proofErr w:type="gramStart"/>
      <w:r>
        <w:rPr>
          <w:lang w:eastAsia="en-US"/>
        </w:rPr>
        <w:t>benefits,</w:t>
      </w:r>
      <w:proofErr w:type="gramEnd"/>
      <w:r>
        <w:rPr>
          <w:lang w:eastAsia="en-US"/>
        </w:rPr>
        <w:t xml:space="preserve"> however, they highlight the uncertainty of light rail costs. </w:t>
      </w:r>
    </w:p>
    <w:p w:rsidR="00796D3D" w:rsidRDefault="00796D3D" w:rsidP="00796D3D">
      <w:pPr>
        <w:pStyle w:val="Heading3"/>
      </w:pPr>
      <w:r>
        <w:t>Comparison with Bus Rapid Transit alternative</w:t>
      </w:r>
    </w:p>
    <w:p w:rsidR="00796D3D" w:rsidRPr="006C02FD" w:rsidRDefault="00A45F38" w:rsidP="00796D3D">
      <w:pPr>
        <w:pStyle w:val="BodyText"/>
      </w:pPr>
      <w:r>
        <w:t>The economic case for the Capital Metro is a relative proposition</w:t>
      </w:r>
      <w:r w:rsidR="008178AD">
        <w:t xml:space="preserve"> — it depends on the net cost of the project</w:t>
      </w:r>
      <w:r>
        <w:t xml:space="preserve"> relative to alternative options for achieving the objectives sought. </w:t>
      </w:r>
      <w:r w:rsidR="008178AD">
        <w:t xml:space="preserve">This </w:t>
      </w:r>
      <w:proofErr w:type="gramStart"/>
      <w:r w:rsidR="008178AD">
        <w:t>has been done</w:t>
      </w:r>
      <w:proofErr w:type="gramEnd"/>
      <w:r w:rsidR="008178AD">
        <w:t xml:space="preserve"> in the 2012 submission to Infrastructure Australia with respect to</w:t>
      </w:r>
      <w:r w:rsidR="00796D3D">
        <w:t xml:space="preserve"> the Bus Rapid Transit (BRT) option. The proposed corridor of development is the same for BRT, with a dedicated bus lane in the median exclusively used by buses.</w:t>
      </w:r>
    </w:p>
    <w:p w:rsidR="00796D3D" w:rsidRPr="00E02CD8" w:rsidRDefault="00796D3D" w:rsidP="00796D3D">
      <w:pPr>
        <w:pStyle w:val="BodyText"/>
        <w:rPr>
          <w:rStyle w:val="DraftingNote"/>
          <w:b w:val="0"/>
          <w:color w:val="auto"/>
          <w:u w:val="none"/>
        </w:rPr>
      </w:pPr>
      <w:r>
        <w:rPr>
          <w:rStyle w:val="DraftingNote"/>
          <w:b w:val="0"/>
          <w:color w:val="auto"/>
          <w:u w:val="none"/>
        </w:rPr>
        <w:t>The BRT option has net benefits of $243.3 million and $746.4 million under the BAU and higher density scenarios respectively.</w:t>
      </w:r>
      <w:r>
        <w:rPr>
          <w:rStyle w:val="FootnoteReference"/>
        </w:rPr>
        <w:footnoteReference w:id="9"/>
      </w:r>
      <w:r>
        <w:rPr>
          <w:rStyle w:val="DraftingNote"/>
          <w:b w:val="0"/>
          <w:color w:val="auto"/>
          <w:u w:val="none"/>
        </w:rPr>
        <w:t xml:space="preserve"> This</w:t>
      </w:r>
      <w:r w:rsidR="008178AD">
        <w:rPr>
          <w:rStyle w:val="DraftingNote"/>
          <w:b w:val="0"/>
          <w:color w:val="auto"/>
          <w:u w:val="none"/>
        </w:rPr>
        <w:t xml:space="preserve"> also</w:t>
      </w:r>
      <w:r>
        <w:rPr>
          <w:rStyle w:val="DraftingNote"/>
          <w:b w:val="0"/>
          <w:color w:val="auto"/>
          <w:u w:val="none"/>
        </w:rPr>
        <w:t xml:space="preserve"> excludes parking revenue as a benefit. Therefore, </w:t>
      </w:r>
      <w:r w:rsidR="008178AD">
        <w:rPr>
          <w:rStyle w:val="DraftingNote"/>
          <w:b w:val="0"/>
          <w:color w:val="auto"/>
          <w:u w:val="none"/>
        </w:rPr>
        <w:t>relative to the BRT, l</w:t>
      </w:r>
      <w:r>
        <w:rPr>
          <w:rStyle w:val="DraftingNote"/>
          <w:b w:val="0"/>
          <w:color w:val="auto"/>
          <w:u w:val="none"/>
        </w:rPr>
        <w:t>ight rail has a net cost of $232.4 million under the BAU scenario</w:t>
      </w:r>
      <w:r w:rsidR="008178AD">
        <w:rPr>
          <w:rStyle w:val="DraftingNote"/>
          <w:b w:val="0"/>
          <w:color w:val="auto"/>
          <w:u w:val="none"/>
        </w:rPr>
        <w:t>, or $237.8 million u</w:t>
      </w:r>
      <w:r>
        <w:rPr>
          <w:rStyle w:val="DraftingNote"/>
          <w:b w:val="0"/>
          <w:color w:val="auto"/>
          <w:u w:val="none"/>
        </w:rPr>
        <w:t xml:space="preserve">nder the higher </w:t>
      </w:r>
      <w:proofErr w:type="gramStart"/>
      <w:r>
        <w:rPr>
          <w:rStyle w:val="DraftingNote"/>
          <w:b w:val="0"/>
          <w:color w:val="auto"/>
          <w:u w:val="none"/>
        </w:rPr>
        <w:t>density land use scenario</w:t>
      </w:r>
      <w:proofErr w:type="gramEnd"/>
      <w:r>
        <w:rPr>
          <w:rStyle w:val="DraftingNote"/>
          <w:b w:val="0"/>
          <w:color w:val="auto"/>
          <w:u w:val="none"/>
        </w:rPr>
        <w:t>.</w:t>
      </w:r>
    </w:p>
    <w:p w:rsidR="00796D3D" w:rsidRPr="00B8180B" w:rsidRDefault="00796D3D" w:rsidP="00796D3D">
      <w:pPr>
        <w:pStyle w:val="BodyText"/>
      </w:pPr>
      <w:r>
        <w:t xml:space="preserve">The 2012 submission to infrastructure Australia </w:t>
      </w:r>
      <w:r w:rsidR="00A45F38">
        <w:t>states</w:t>
      </w:r>
      <w:r>
        <w:t xml:space="preserve"> that </w:t>
      </w:r>
      <w:r w:rsidR="00A45F38">
        <w:t>‘</w:t>
      </w:r>
      <w:r>
        <w:t>the economic returns that can be delivered through LRT investment alone are likely to be economically marginal</w:t>
      </w:r>
      <w:r w:rsidR="00A45F38">
        <w:t>’</w:t>
      </w:r>
      <w:r>
        <w:rPr>
          <w:rStyle w:val="FootnoteReference"/>
        </w:rPr>
        <w:footnoteReference w:id="10"/>
      </w:r>
      <w:r>
        <w:t xml:space="preserve">. </w:t>
      </w:r>
    </w:p>
    <w:p w:rsidR="00796D3D" w:rsidRDefault="008178AD" w:rsidP="00796D3D">
      <w:pPr>
        <w:pStyle w:val="BodyText"/>
      </w:pPr>
      <w:r>
        <w:t>The economic drivers that favour bus over rail typically include:</w:t>
      </w:r>
      <w:r w:rsidR="00796D3D">
        <w:rPr>
          <w:rStyle w:val="FootnoteReference"/>
        </w:rPr>
        <w:footnoteReference w:id="11"/>
      </w:r>
    </w:p>
    <w:p w:rsidR="00796D3D" w:rsidRDefault="00A45F38" w:rsidP="00796D3D">
      <w:pPr>
        <w:pStyle w:val="ListBullet"/>
      </w:pPr>
      <w:r>
        <w:t>i</w:t>
      </w:r>
      <w:r w:rsidR="00796D3D">
        <w:t>nitial capital costs are lower</w:t>
      </w:r>
      <w:r w:rsidR="00796D3D">
        <w:rPr>
          <w:rStyle w:val="FootnoteReference"/>
        </w:rPr>
        <w:footnoteReference w:id="12"/>
      </w:r>
      <w:r w:rsidR="00796D3D">
        <w:t>, and therefore new routes can be built more cheaply to use existing vehicles</w:t>
      </w:r>
    </w:p>
    <w:p w:rsidR="00796D3D" w:rsidRDefault="00A45F38" w:rsidP="00796D3D">
      <w:pPr>
        <w:pStyle w:val="ListBullet"/>
      </w:pPr>
      <w:r>
        <w:t>s</w:t>
      </w:r>
      <w:r w:rsidR="00796D3D">
        <w:t>mall changes in routes are easier to implement because fixed rails or power cables are not required</w:t>
      </w:r>
    </w:p>
    <w:p w:rsidR="00796D3D" w:rsidRDefault="00A45F38" w:rsidP="00796D3D">
      <w:pPr>
        <w:pStyle w:val="ListBullet"/>
      </w:pPr>
      <w:r>
        <w:t>i</w:t>
      </w:r>
      <w:r w:rsidR="00796D3D">
        <w:t>t is easier to change the frequency of services and number of buses in the BRT system given lower costs of vehicles</w:t>
      </w:r>
    </w:p>
    <w:p w:rsidR="00796D3D" w:rsidRDefault="00A45F38" w:rsidP="00796D3D">
      <w:pPr>
        <w:pStyle w:val="ListBullet"/>
      </w:pPr>
      <w:r>
        <w:t>v</w:t>
      </w:r>
      <w:r w:rsidR="00796D3D">
        <w:t>ehicles can be moved to and from the BRT system and the kerb-side bus system</w:t>
      </w:r>
      <w:r>
        <w:t>, and</w:t>
      </w:r>
    </w:p>
    <w:p w:rsidR="00796D3D" w:rsidRDefault="00A45F38" w:rsidP="00796D3D">
      <w:pPr>
        <w:pStyle w:val="ListBullet"/>
      </w:pPr>
      <w:proofErr w:type="gramStart"/>
      <w:r>
        <w:t>i</w:t>
      </w:r>
      <w:r w:rsidR="00796D3D">
        <w:t>t</w:t>
      </w:r>
      <w:proofErr w:type="gramEnd"/>
      <w:r w:rsidR="00796D3D">
        <w:t xml:space="preserve"> is easier to move from a BRT system to an LRT system.</w:t>
      </w:r>
    </w:p>
    <w:p w:rsidR="00206772" w:rsidRDefault="00796D3D" w:rsidP="00796D3D">
      <w:pPr>
        <w:pStyle w:val="BodyText"/>
      </w:pPr>
      <w:r>
        <w:t>The ‘Canberra Transit Corridor’ project</w:t>
      </w:r>
      <w:r w:rsidR="00206772">
        <w:t xml:space="preserve"> is on the Infrastructure Australia Priority List</w:t>
      </w:r>
      <w:r>
        <w:t xml:space="preserve"> at the ‘Early Stage’ level of priorities. This indicates</w:t>
      </w:r>
      <w:r w:rsidR="00206772">
        <w:t xml:space="preserve"> that it</w:t>
      </w:r>
      <w:r>
        <w:t xml:space="preserve"> “</w:t>
      </w:r>
      <w:proofErr w:type="gramStart"/>
      <w:r>
        <w:t>address[</w:t>
      </w:r>
      <w:proofErr w:type="spellStart"/>
      <w:proofErr w:type="gramEnd"/>
      <w:r>
        <w:t>es</w:t>
      </w:r>
      <w:proofErr w:type="spellEnd"/>
      <w:r>
        <w:t xml:space="preserve">] a nationally significant issue or problem, but the identification or development of the right solution is at an early stage.” </w:t>
      </w:r>
    </w:p>
    <w:p w:rsidR="00796D3D" w:rsidRDefault="008178AD" w:rsidP="00796D3D">
      <w:pPr>
        <w:pStyle w:val="BodyText"/>
      </w:pPr>
      <w:r>
        <w:t>Conversely, the u</w:t>
      </w:r>
      <w:r w:rsidR="00796D3D">
        <w:t xml:space="preserve">plift in population </w:t>
      </w:r>
      <w:r>
        <w:t>can</w:t>
      </w:r>
      <w:r w:rsidR="00796D3D">
        <w:t xml:space="preserve"> be smaller</w:t>
      </w:r>
      <w:r>
        <w:t xml:space="preserve"> in </w:t>
      </w:r>
      <w:r w:rsidR="00796D3D">
        <w:t xml:space="preserve">scale with buses because there is less certainty about the path of transport routes. </w:t>
      </w:r>
      <w:r>
        <w:t>This might</w:t>
      </w:r>
      <w:r w:rsidR="00796D3D">
        <w:t xml:space="preserve"> prevent the build-up of businesses in the transit corridor</w:t>
      </w:r>
      <w:r>
        <w:t xml:space="preserve"> relative to rail</w:t>
      </w:r>
      <w:r w:rsidR="00796D3D">
        <w:t xml:space="preserve">. </w:t>
      </w:r>
    </w:p>
    <w:p w:rsidR="00796D3D" w:rsidRDefault="00796D3D" w:rsidP="00796D3D">
      <w:pPr>
        <w:pStyle w:val="Heading2"/>
      </w:pPr>
      <w:bookmarkStart w:id="166" w:name="_Toc392856629"/>
      <w:bookmarkStart w:id="167" w:name="_Toc393202280"/>
      <w:r>
        <w:t>Changes in population and land use</w:t>
      </w:r>
      <w:bookmarkEnd w:id="166"/>
      <w:bookmarkEnd w:id="167"/>
    </w:p>
    <w:p w:rsidR="00796D3D" w:rsidRDefault="00796D3D" w:rsidP="00796D3D">
      <w:pPr>
        <w:pStyle w:val="BodyText"/>
      </w:pPr>
      <w:r>
        <w:t xml:space="preserve">A higher </w:t>
      </w:r>
      <w:proofErr w:type="gramStart"/>
      <w:r>
        <w:t>density land use scenario</w:t>
      </w:r>
      <w:proofErr w:type="gramEnd"/>
      <w:r>
        <w:t xml:space="preserve"> for the transit corridor area would increase the benefits of the Capital Metro because it would increase the amount of avoided travel time. The ACT Government submission to Infrastructure Australia (IA) assesses the benefits of both the LRT and BRT options under a higher </w:t>
      </w:r>
      <w:proofErr w:type="gramStart"/>
      <w:r>
        <w:t>density land use scenario</w:t>
      </w:r>
      <w:proofErr w:type="gramEnd"/>
      <w:r>
        <w:t xml:space="preserve">. </w:t>
      </w:r>
    </w:p>
    <w:p w:rsidR="00796D3D" w:rsidRDefault="00796D3D" w:rsidP="00796D3D">
      <w:pPr>
        <w:pStyle w:val="BodyText"/>
      </w:pPr>
      <w:r>
        <w:t>Population growth in the Gungahlin area has been historically very high (6.8 per cent between 2001 and 2011</w:t>
      </w:r>
      <w:r>
        <w:rPr>
          <w:rStyle w:val="FootnoteReference"/>
        </w:rPr>
        <w:footnoteReference w:id="13"/>
      </w:r>
      <w:r>
        <w:t>)</w:t>
      </w:r>
      <w:r>
        <w:rPr>
          <w:rStyle w:val="DraftingNote"/>
        </w:rPr>
        <w:t xml:space="preserve"> </w:t>
      </w:r>
      <w:r>
        <w:t xml:space="preserve">and population projections (shown in table </w:t>
      </w:r>
      <w:r>
        <w:rPr>
          <w:rStyle w:val="DraftingNote"/>
        </w:rPr>
        <w:fldChar w:fldCharType="begin"/>
      </w:r>
      <w:r>
        <w:instrText xml:space="preserve"> REF _Caption3220 </w:instrText>
      </w:r>
      <w:r>
        <w:rPr>
          <w:rStyle w:val="DraftingNote"/>
        </w:rPr>
        <w:fldChar w:fldCharType="separate"/>
      </w:r>
      <w:r w:rsidR="00CA6314">
        <w:rPr>
          <w:noProof/>
        </w:rPr>
        <w:t>3</w:t>
      </w:r>
      <w:r w:rsidR="00CA6314" w:rsidRPr="00695C93">
        <w:rPr>
          <w:noProof/>
        </w:rPr>
        <w:t>.</w:t>
      </w:r>
      <w:r w:rsidR="00CA6314">
        <w:rPr>
          <w:noProof/>
        </w:rPr>
        <w:t>4</w:t>
      </w:r>
      <w:r>
        <w:rPr>
          <w:rStyle w:val="DraftingNote"/>
        </w:rPr>
        <w:fldChar w:fldCharType="end"/>
      </w:r>
      <w:r w:rsidRPr="00CE7132">
        <w:t xml:space="preserve">) </w:t>
      </w:r>
      <w:r>
        <w:t xml:space="preserve">indicate continued growth substantially above that of any other statistical district in the ACT. </w:t>
      </w:r>
    </w:p>
    <w:p w:rsidR="00796D3D" w:rsidRDefault="00796D3D" w:rsidP="00796D3D">
      <w:pPr>
        <w:pStyle w:val="Caption"/>
      </w:pPr>
      <w:r w:rsidRPr="00695C93">
        <w:fldChar w:fldCharType="begin"/>
      </w:r>
      <w:r w:rsidRPr="00695C93">
        <w:instrText xml:space="preserve"> IF 1 = 1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instrText>" "</w:instrText>
      </w:r>
      <w:r w:rsidR="000B204E">
        <w:fldChar w:fldCharType="begin"/>
      </w:r>
      <w:r w:rsidR="000B204E">
        <w:instrText xml:space="preserve"> STYLEREF "Heading 6" \l \n </w:instrText>
      </w:r>
      <w:r w:rsidR="000B204E">
        <w:fldChar w:fldCharType="separate"/>
      </w:r>
      <w:r w:rsidRPr="00695C93">
        <w:instrText>B</w:instrText>
      </w:r>
      <w:r w:rsidR="000B204E">
        <w:fldChar w:fldCharType="end"/>
      </w:r>
      <w:r w:rsidRPr="00695C93">
        <w:instrText xml:space="preserve">." </w:instrText>
      </w:r>
      <w:r w:rsidRPr="00695C93">
        <w:fldChar w:fldCharType="separate"/>
      </w:r>
      <w:r w:rsidR="00CA6314">
        <w:rPr>
          <w:noProof/>
        </w:rPr>
        <w:instrText>3</w:instrText>
      </w:r>
      <w:r w:rsidR="00CA6314" w:rsidRPr="00695C93">
        <w:rPr>
          <w:noProof/>
        </w:rPr>
        <w:instrText>.</w:instrText>
      </w:r>
      <w:r w:rsidRPr="00695C93">
        <w:fldChar w:fldCharType="end"/>
      </w:r>
      <w:r w:rsidRPr="00695C93">
        <w:fldChar w:fldCharType="begin"/>
      </w:r>
      <w:r w:rsidRPr="00695C93">
        <w:instrText xml:space="preserve"> SEQ Item \* ARABIC \s </w:instrText>
      </w:r>
      <w:r w:rsidRPr="00695C93">
        <w:fldChar w:fldCharType="begin"/>
      </w:r>
      <w:r w:rsidRPr="00695C93">
        <w:instrText xml:space="preserve"> IF </w:instrText>
      </w:r>
      <w:r w:rsidR="000B204E">
        <w:fldChar w:fldCharType="begin"/>
      </w:r>
      <w:r w:rsidR="000B204E">
        <w:instrText xml:space="preserve"> STYLEREF "Heading 6" \l \n </w:instrText>
      </w:r>
      <w:r w:rsidR="000B204E">
        <w:fldChar w:fldCharType="separate"/>
      </w:r>
      <w:r w:rsidR="00CA6314">
        <w:rPr>
          <w:noProof/>
        </w:rPr>
        <w:instrText>0</w:instrText>
      </w:r>
      <w:r w:rsidR="000B204E">
        <w:rPr>
          <w:noProof/>
        </w:rPr>
        <w:fldChar w:fldCharType="end"/>
      </w:r>
      <w:r w:rsidRPr="00695C93">
        <w:instrText xml:space="preserve"> = 0 "</w:instrText>
      </w:r>
      <w:r w:rsidRPr="00695C93">
        <w:fldChar w:fldCharType="begin"/>
      </w:r>
      <w:r w:rsidRPr="00695C93">
        <w:instrText xml:space="preserve"> IF </w:instrText>
      </w:r>
      <w:r w:rsidR="000B204E">
        <w:fldChar w:fldCharType="begin"/>
      </w:r>
      <w:r w:rsidR="000B204E">
        <w:instrText xml:space="preserve"> STYLEREF "Heading 1" \l \n </w:instrText>
      </w:r>
      <w:r w:rsidR="000B204E">
        <w:fldChar w:fldCharType="separate"/>
      </w:r>
      <w:r w:rsidR="00CA6314">
        <w:rPr>
          <w:noProof/>
        </w:rPr>
        <w:instrText>3</w:instrText>
      </w:r>
      <w:r w:rsidR="000B204E">
        <w:rPr>
          <w:noProof/>
        </w:rPr>
        <w:fldChar w:fldCharType="end"/>
      </w:r>
      <w:r w:rsidRPr="00695C93">
        <w:instrText xml:space="preserve"> = 0 "" "1" </w:instrText>
      </w:r>
      <w:r w:rsidRPr="00695C93">
        <w:fldChar w:fldCharType="separate"/>
      </w:r>
      <w:r w:rsidR="00CA6314" w:rsidRPr="00695C93">
        <w:rPr>
          <w:noProof/>
        </w:rPr>
        <w:instrText>1</w:instrText>
      </w:r>
      <w:r w:rsidRPr="00695C93">
        <w:fldChar w:fldCharType="end"/>
      </w:r>
      <w:r w:rsidRPr="00695C93">
        <w:instrText xml:space="preserve">" "6" </w:instrText>
      </w:r>
      <w:r w:rsidRPr="00695C93">
        <w:fldChar w:fldCharType="separate"/>
      </w:r>
      <w:r w:rsidR="00CA6314" w:rsidRPr="00695C93">
        <w:rPr>
          <w:noProof/>
        </w:rPr>
        <w:instrText>1</w:instrText>
      </w:r>
      <w:r w:rsidRPr="00695C93">
        <w:fldChar w:fldCharType="end"/>
      </w:r>
      <w:r w:rsidRPr="00695C93">
        <w:instrText xml:space="preserve"> </w:instrText>
      </w:r>
      <w:r w:rsidRPr="00695C93">
        <w:fldChar w:fldCharType="separate"/>
      </w:r>
      <w:r w:rsidR="00CA6314">
        <w:rPr>
          <w:noProof/>
        </w:rPr>
        <w:instrText>4</w:instrText>
      </w:r>
      <w:r w:rsidRPr="00695C93">
        <w:fldChar w:fldCharType="end"/>
      </w:r>
      <w:r w:rsidRPr="00695C93">
        <w:instrText xml:space="preserve">" "" </w:instrText>
      </w:r>
      <w:r w:rsidRPr="00695C93">
        <w:fldChar w:fldCharType="separate"/>
      </w:r>
      <w:bookmarkStart w:id="168" w:name="_Caption7157"/>
      <w:bookmarkStart w:id="169" w:name="_Caption3220"/>
      <w:bookmarkStart w:id="170" w:name="_Toc392840266"/>
      <w:bookmarkStart w:id="171" w:name="_Toc393202315"/>
      <w:r w:rsidR="00CA6314">
        <w:rPr>
          <w:noProof/>
        </w:rPr>
        <w:t>3</w:t>
      </w:r>
      <w:r w:rsidR="00CA6314" w:rsidRPr="00695C93">
        <w:rPr>
          <w:noProof/>
        </w:rPr>
        <w:t>.</w:t>
      </w:r>
      <w:r w:rsidR="00CA6314">
        <w:rPr>
          <w:noProof/>
        </w:rPr>
        <w:t>4</w:t>
      </w:r>
      <w:bookmarkEnd w:id="168"/>
      <w:bookmarkEnd w:id="169"/>
      <w:r w:rsidRPr="00695C93">
        <w:fldChar w:fldCharType="end"/>
      </w:r>
      <w:r w:rsidRPr="00695C93">
        <w:tab/>
      </w:r>
      <w:r>
        <w:t>Population projections for ACT statistical districts</w:t>
      </w:r>
      <w:bookmarkEnd w:id="170"/>
      <w:bookmarkEnd w:id="171"/>
    </w:p>
    <w:tbl>
      <w:tblPr>
        <w:tblW w:w="7937" w:type="dxa"/>
        <w:tblInd w:w="57" w:type="dxa"/>
        <w:tblLook w:val="04A0" w:firstRow="1" w:lastRow="0" w:firstColumn="1" w:lastColumn="0" w:noHBand="0" w:noVBand="1"/>
      </w:tblPr>
      <w:tblGrid>
        <w:gridCol w:w="3032"/>
        <w:gridCol w:w="1635"/>
        <w:gridCol w:w="1635"/>
        <w:gridCol w:w="1635"/>
      </w:tblGrid>
      <w:tr w:rsidR="00796D3D" w:rsidRPr="000F5AFA" w:rsidTr="00EA7863">
        <w:trPr>
          <w:trHeight w:val="300"/>
          <w:tblHeader/>
        </w:trPr>
        <w:tc>
          <w:tcPr>
            <w:tcW w:w="3032" w:type="dxa"/>
            <w:shd w:val="clear" w:color="auto" w:fill="6F6652"/>
            <w:noWrap/>
            <w:tcMar>
              <w:left w:w="57" w:type="dxa"/>
              <w:right w:w="57" w:type="dxa"/>
            </w:tcMar>
            <w:hideMark/>
          </w:tcPr>
          <w:p w:rsidR="00796D3D" w:rsidRPr="000F5AFA" w:rsidRDefault="00796D3D" w:rsidP="00EA7863">
            <w:pPr>
              <w:pStyle w:val="TableDataColumnHeading"/>
              <w:jc w:val="left"/>
            </w:pPr>
            <w:r w:rsidRPr="000F5AFA">
              <w:t>District</w:t>
            </w:r>
          </w:p>
        </w:tc>
        <w:tc>
          <w:tcPr>
            <w:tcW w:w="1635" w:type="dxa"/>
            <w:shd w:val="clear" w:color="auto" w:fill="6F6652"/>
            <w:noWrap/>
            <w:tcMar>
              <w:left w:w="57" w:type="dxa"/>
              <w:right w:w="57" w:type="dxa"/>
            </w:tcMar>
            <w:hideMark/>
          </w:tcPr>
          <w:p w:rsidR="00796D3D" w:rsidRPr="000F5AFA" w:rsidRDefault="00796D3D" w:rsidP="00EA7863">
            <w:pPr>
              <w:pStyle w:val="TableDataColumnHeading"/>
            </w:pPr>
            <w:r w:rsidRPr="000F5AFA">
              <w:t>2009</w:t>
            </w:r>
          </w:p>
        </w:tc>
        <w:tc>
          <w:tcPr>
            <w:tcW w:w="1635" w:type="dxa"/>
            <w:shd w:val="clear" w:color="auto" w:fill="6F6652"/>
            <w:noWrap/>
            <w:tcMar>
              <w:left w:w="57" w:type="dxa"/>
              <w:right w:w="57" w:type="dxa"/>
            </w:tcMar>
            <w:hideMark/>
          </w:tcPr>
          <w:p w:rsidR="00796D3D" w:rsidRPr="000F5AFA" w:rsidRDefault="00796D3D" w:rsidP="00EA7863">
            <w:pPr>
              <w:pStyle w:val="TableDataColumnHeading"/>
            </w:pPr>
            <w:r w:rsidRPr="000F5AFA">
              <w:t>2012</w:t>
            </w:r>
          </w:p>
        </w:tc>
        <w:tc>
          <w:tcPr>
            <w:tcW w:w="1635" w:type="dxa"/>
            <w:shd w:val="clear" w:color="auto" w:fill="6F6652"/>
            <w:noWrap/>
            <w:tcMar>
              <w:left w:w="57" w:type="dxa"/>
              <w:right w:w="57" w:type="dxa"/>
            </w:tcMar>
            <w:hideMark/>
          </w:tcPr>
          <w:p w:rsidR="00796D3D" w:rsidRPr="000F5AFA" w:rsidRDefault="00796D3D" w:rsidP="00EA7863">
            <w:pPr>
              <w:pStyle w:val="TableDataColumnHeading"/>
            </w:pPr>
            <w:r w:rsidRPr="000F5AFA">
              <w:t>Growth rate</w:t>
            </w:r>
          </w:p>
        </w:tc>
      </w:tr>
      <w:tr w:rsidR="00796D3D" w:rsidRPr="000F5AFA" w:rsidTr="00EA7863">
        <w:trPr>
          <w:trHeight w:val="300"/>
          <w:tblHeader/>
        </w:trPr>
        <w:tc>
          <w:tcPr>
            <w:tcW w:w="3032" w:type="dxa"/>
            <w:tcBorders>
              <w:bottom w:val="single" w:sz="8" w:space="0" w:color="FFFFFF" w:themeColor="background1"/>
            </w:tcBorders>
            <w:shd w:val="clear" w:color="auto" w:fill="auto"/>
            <w:noWrap/>
            <w:tcMar>
              <w:left w:w="57" w:type="dxa"/>
              <w:right w:w="57" w:type="dxa"/>
            </w:tcMar>
            <w:hideMark/>
          </w:tcPr>
          <w:p w:rsidR="00796D3D" w:rsidRPr="000F5AFA" w:rsidRDefault="00796D3D" w:rsidP="00EA7863">
            <w:pPr>
              <w:pStyle w:val="TableDataEntries"/>
            </w:pPr>
          </w:p>
        </w:tc>
        <w:tc>
          <w:tcPr>
            <w:tcW w:w="1635" w:type="dxa"/>
            <w:tcBorders>
              <w:bottom w:val="single" w:sz="8" w:space="0" w:color="FFFFFF" w:themeColor="background1"/>
            </w:tcBorders>
            <w:shd w:val="clear" w:color="auto" w:fill="auto"/>
            <w:noWrap/>
            <w:tcMar>
              <w:left w:w="57" w:type="dxa"/>
              <w:right w:w="57" w:type="dxa"/>
            </w:tcMar>
            <w:hideMark/>
          </w:tcPr>
          <w:p w:rsidR="00796D3D" w:rsidRPr="000F5AFA" w:rsidRDefault="00796D3D" w:rsidP="00EA7863">
            <w:pPr>
              <w:pStyle w:val="TableDataEntries"/>
            </w:pPr>
            <w:r>
              <w:t>No. of people</w:t>
            </w:r>
          </w:p>
        </w:tc>
        <w:tc>
          <w:tcPr>
            <w:tcW w:w="1635" w:type="dxa"/>
            <w:tcBorders>
              <w:bottom w:val="single" w:sz="8" w:space="0" w:color="FFFFFF" w:themeColor="background1"/>
            </w:tcBorders>
            <w:shd w:val="clear" w:color="auto" w:fill="auto"/>
            <w:noWrap/>
            <w:tcMar>
              <w:left w:w="57" w:type="dxa"/>
              <w:right w:w="57" w:type="dxa"/>
            </w:tcMar>
            <w:hideMark/>
          </w:tcPr>
          <w:p w:rsidR="00796D3D" w:rsidRPr="000F5AFA" w:rsidRDefault="00796D3D" w:rsidP="00EA7863">
            <w:pPr>
              <w:pStyle w:val="TableDataEntries"/>
            </w:pPr>
            <w:r>
              <w:t>No. of people</w:t>
            </w:r>
          </w:p>
        </w:tc>
        <w:tc>
          <w:tcPr>
            <w:tcW w:w="1635" w:type="dxa"/>
            <w:tcBorders>
              <w:bottom w:val="single" w:sz="8" w:space="0" w:color="FFFFFF" w:themeColor="background1"/>
            </w:tcBorders>
            <w:shd w:val="clear" w:color="auto" w:fill="auto"/>
            <w:noWrap/>
            <w:tcMar>
              <w:left w:w="57" w:type="dxa"/>
              <w:right w:w="57" w:type="dxa"/>
            </w:tcMar>
            <w:hideMark/>
          </w:tcPr>
          <w:p w:rsidR="00796D3D" w:rsidRPr="000F5AFA" w:rsidRDefault="00796D3D" w:rsidP="00EA7863">
            <w:pPr>
              <w:pStyle w:val="TableDataEntries"/>
            </w:pPr>
            <w:r w:rsidRPr="000F5AFA">
              <w:t>Per cent</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t>North Canberra</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46 850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55 150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1.4</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Belconnen</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91 250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94 150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0.3</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Woden</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33 800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33 650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0.0</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Weston Creek</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23 300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21 000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-0.5</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Molonglo</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 xml:space="preserve"> 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20 600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38.5</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Tuggeranong</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89 800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85 150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-0.4</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South Canberra</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26 000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30 600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1.4</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Gungahlin</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40 900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72 900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4.9</w:t>
            </w:r>
          </w:p>
        </w:tc>
      </w:tr>
      <w:tr w:rsidR="00796D3D" w:rsidRPr="000F5AFA" w:rsidTr="00EA7863">
        <w:trPr>
          <w:trHeight w:val="300"/>
        </w:trPr>
        <w:tc>
          <w:tcPr>
            <w:tcW w:w="3032"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jc w:val="left"/>
            </w:pPr>
            <w:r w:rsidRPr="000F5AFA">
              <w:t>Remainder of ACT</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 xml:space="preserve"> 300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 xml:space="preserve"> 350</w:t>
            </w:r>
          </w:p>
        </w:tc>
        <w:tc>
          <w:tcPr>
            <w:tcW w:w="1635" w:type="dxa"/>
            <w:tcBorders>
              <w:top w:val="single" w:sz="8" w:space="0" w:color="FFFFFF" w:themeColor="background1"/>
              <w:bottom w:val="single" w:sz="8" w:space="0" w:color="FFFFFF" w:themeColor="background1"/>
            </w:tcBorders>
            <w:shd w:val="clear" w:color="auto" w:fill="E9E8E5" w:themeFill="background2"/>
            <w:noWrap/>
            <w:tcMar>
              <w:left w:w="57" w:type="dxa"/>
              <w:right w:w="57" w:type="dxa"/>
            </w:tcMar>
            <w:hideMark/>
          </w:tcPr>
          <w:p w:rsidR="00796D3D" w:rsidRPr="000F5AFA" w:rsidRDefault="00796D3D" w:rsidP="00EA7863">
            <w:pPr>
              <w:pStyle w:val="TableDataEntries"/>
            </w:pPr>
            <w:r w:rsidRPr="000F5AFA">
              <w:t>1.0</w:t>
            </w:r>
          </w:p>
        </w:tc>
      </w:tr>
      <w:tr w:rsidR="00796D3D" w:rsidRPr="000F5AFA" w:rsidTr="00EA7863">
        <w:trPr>
          <w:trHeight w:val="300"/>
        </w:trPr>
        <w:tc>
          <w:tcPr>
            <w:tcW w:w="3032" w:type="dxa"/>
            <w:tcBorders>
              <w:top w:val="single" w:sz="8" w:space="0" w:color="FFFFFF" w:themeColor="background1"/>
              <w:bottom w:val="single" w:sz="6" w:space="0" w:color="6F6652"/>
            </w:tcBorders>
            <w:shd w:val="clear" w:color="auto" w:fill="C2DADB" w:themeFill="accent6" w:themeFillTint="99"/>
            <w:noWrap/>
            <w:tcMar>
              <w:left w:w="57" w:type="dxa"/>
              <w:right w:w="57" w:type="dxa"/>
            </w:tcMar>
            <w:hideMark/>
          </w:tcPr>
          <w:p w:rsidR="00796D3D" w:rsidRPr="000F5AFA" w:rsidRDefault="00796D3D" w:rsidP="00EA7863">
            <w:pPr>
              <w:pStyle w:val="TableDataEntries"/>
              <w:jc w:val="left"/>
              <w:rPr>
                <w:rFonts w:ascii="Franklin Gothic Demi" w:hAnsi="Franklin Gothic Demi"/>
              </w:rPr>
            </w:pPr>
            <w:r w:rsidRPr="000F5AFA">
              <w:rPr>
                <w:rFonts w:ascii="Franklin Gothic Demi" w:hAnsi="Franklin Gothic Demi"/>
              </w:rPr>
              <w:t>ACT total</w:t>
            </w:r>
          </w:p>
        </w:tc>
        <w:tc>
          <w:tcPr>
            <w:tcW w:w="1635" w:type="dxa"/>
            <w:tcBorders>
              <w:top w:val="single" w:sz="8" w:space="0" w:color="FFFFFF" w:themeColor="background1"/>
              <w:bottom w:val="single" w:sz="6" w:space="0" w:color="6F6652"/>
            </w:tcBorders>
            <w:shd w:val="clear" w:color="auto" w:fill="C2DADB" w:themeFill="accent6" w:themeFillTint="99"/>
            <w:noWrap/>
            <w:tcMar>
              <w:left w:w="57" w:type="dxa"/>
              <w:right w:w="57" w:type="dxa"/>
            </w:tcMar>
            <w:hideMark/>
          </w:tcPr>
          <w:p w:rsidR="00796D3D" w:rsidRPr="000F5AFA" w:rsidRDefault="00796D3D" w:rsidP="00EA7863">
            <w:pPr>
              <w:pStyle w:val="TableDataEntries"/>
              <w:rPr>
                <w:rFonts w:ascii="Franklin Gothic Demi" w:hAnsi="Franklin Gothic Demi"/>
              </w:rPr>
            </w:pPr>
            <w:r w:rsidRPr="000F5AFA">
              <w:rPr>
                <w:rFonts w:ascii="Franklin Gothic Demi" w:hAnsi="Franklin Gothic Demi"/>
              </w:rPr>
              <w:t>352 200</w:t>
            </w:r>
          </w:p>
        </w:tc>
        <w:tc>
          <w:tcPr>
            <w:tcW w:w="1635" w:type="dxa"/>
            <w:tcBorders>
              <w:top w:val="single" w:sz="8" w:space="0" w:color="FFFFFF" w:themeColor="background1"/>
              <w:bottom w:val="single" w:sz="6" w:space="0" w:color="6F6652"/>
            </w:tcBorders>
            <w:shd w:val="clear" w:color="auto" w:fill="C2DADB" w:themeFill="accent6" w:themeFillTint="99"/>
            <w:noWrap/>
            <w:tcMar>
              <w:left w:w="57" w:type="dxa"/>
              <w:right w:w="57" w:type="dxa"/>
            </w:tcMar>
            <w:hideMark/>
          </w:tcPr>
          <w:p w:rsidR="00796D3D" w:rsidRPr="000F5AFA" w:rsidRDefault="00796D3D" w:rsidP="00EA7863">
            <w:pPr>
              <w:pStyle w:val="TableDataEntries"/>
              <w:rPr>
                <w:rFonts w:ascii="Franklin Gothic Demi" w:hAnsi="Franklin Gothic Demi"/>
              </w:rPr>
            </w:pPr>
            <w:r w:rsidRPr="000F5AFA">
              <w:rPr>
                <w:rFonts w:ascii="Franklin Gothic Demi" w:hAnsi="Franklin Gothic Demi"/>
              </w:rPr>
              <w:t>414 350</w:t>
            </w:r>
          </w:p>
        </w:tc>
        <w:tc>
          <w:tcPr>
            <w:tcW w:w="1635" w:type="dxa"/>
            <w:tcBorders>
              <w:top w:val="single" w:sz="8" w:space="0" w:color="FFFFFF" w:themeColor="background1"/>
              <w:bottom w:val="single" w:sz="6" w:space="0" w:color="6F6652"/>
            </w:tcBorders>
            <w:shd w:val="clear" w:color="auto" w:fill="C2DADB" w:themeFill="accent6" w:themeFillTint="99"/>
            <w:noWrap/>
            <w:tcMar>
              <w:left w:w="57" w:type="dxa"/>
              <w:right w:w="57" w:type="dxa"/>
            </w:tcMar>
            <w:hideMark/>
          </w:tcPr>
          <w:p w:rsidR="00796D3D" w:rsidRPr="000F5AFA" w:rsidRDefault="00796D3D" w:rsidP="00EA7863">
            <w:pPr>
              <w:pStyle w:val="TableDataEntries"/>
              <w:rPr>
                <w:rFonts w:ascii="Franklin Gothic Demi" w:hAnsi="Franklin Gothic Demi"/>
              </w:rPr>
            </w:pPr>
            <w:r w:rsidRPr="000F5AFA">
              <w:rPr>
                <w:rFonts w:ascii="Franklin Gothic Demi" w:hAnsi="Franklin Gothic Demi"/>
              </w:rPr>
              <w:t>1.4</w:t>
            </w:r>
          </w:p>
        </w:tc>
      </w:tr>
    </w:tbl>
    <w:p w:rsidR="00796D3D" w:rsidRDefault="00796D3D" w:rsidP="00796D3D">
      <w:pPr>
        <w:pStyle w:val="Source"/>
      </w:pPr>
      <w:r>
        <w:rPr>
          <w:i/>
        </w:rPr>
        <w:t>Source</w:t>
      </w:r>
      <w:r w:rsidRPr="00E4232C">
        <w:rPr>
          <w:i/>
        </w:rPr>
        <w:t>:</w:t>
      </w:r>
      <w:r>
        <w:t xml:space="preserve"> Chief Minister, Treasury and Economic Development Directorate Population Projections.</w:t>
      </w:r>
    </w:p>
    <w:p w:rsidR="00796D3D" w:rsidRDefault="00796D3D" w:rsidP="00796D3D">
      <w:pPr>
        <w:pStyle w:val="BodyText"/>
      </w:pPr>
      <w:r>
        <w:t>However, this projection of population forms the business as usual land use scenario. The higher density scenario only adheres to the Chief Minister, Treasury and Economic Development projection of ACT total population, with the submission implying that projected growth in different statistical districts does not follow the projections.</w:t>
      </w:r>
    </w:p>
    <w:p w:rsidR="00796D3D" w:rsidRDefault="00796D3D" w:rsidP="00796D3D">
      <w:pPr>
        <w:pStyle w:val="Heading3"/>
      </w:pPr>
      <w:r>
        <w:t>Economic impacts of population uplift</w:t>
      </w:r>
    </w:p>
    <w:p w:rsidR="00225890" w:rsidRDefault="00225890" w:rsidP="00A45F38">
      <w:pPr>
        <w:pStyle w:val="BodyText"/>
      </w:pPr>
      <w:r>
        <w:t xml:space="preserve">The level of demand for the Capital Metro will affect its economic viability. The IA submission states that “for economic viability, the Project is likely to require the delivery of higher densities within the Project Corridor over a long period of time”. </w:t>
      </w:r>
    </w:p>
    <w:p w:rsidR="00225890" w:rsidRDefault="00225890" w:rsidP="00A45F38">
      <w:pPr>
        <w:pStyle w:val="BodyText"/>
      </w:pPr>
      <w:r>
        <w:t>By implication, e</w:t>
      </w:r>
      <w:r w:rsidR="00796D3D">
        <w:t xml:space="preserve">ven with continuing population growth in Gungahlin significantly above the Territory average, there is </w:t>
      </w:r>
      <w:r>
        <w:t>unlikely to be</w:t>
      </w:r>
      <w:r w:rsidR="00796D3D">
        <w:t xml:space="preserve"> sufficient demand for light rail to make the project economically </w:t>
      </w:r>
      <w:r w:rsidR="00A45F38">
        <w:t>efficient</w:t>
      </w:r>
      <w:r>
        <w:t xml:space="preserve"> without the project inducing greater density in the transit corridor.</w:t>
      </w:r>
    </w:p>
    <w:p w:rsidR="00796D3D" w:rsidRDefault="00225890" w:rsidP="00796D3D">
      <w:pPr>
        <w:pStyle w:val="BodyText"/>
      </w:pPr>
      <w:r>
        <w:t>Assumptions of population uplift have been made in the context of other light rail proposals.</w:t>
      </w:r>
      <w:r w:rsidR="00796D3D">
        <w:t xml:space="preserve"> In the case of the Gold Coast Light Rail, an adjustment to Gold Coast City Council population projections was made to account for uplift in population in the transit corr</w:t>
      </w:r>
      <w:r>
        <w:t>idor area, where</w:t>
      </w:r>
      <w:r w:rsidR="00796D3D">
        <w:t xml:space="preserve"> </w:t>
      </w:r>
      <w:r>
        <w:t>a</w:t>
      </w:r>
      <w:r w:rsidR="00796D3D">
        <w:t>n adjustment factor of 20 per cent of existing population projections was used.</w:t>
      </w:r>
      <w:r>
        <w:rPr>
          <w:rStyle w:val="FootnoteReference"/>
        </w:rPr>
        <w:footnoteReference w:id="14"/>
      </w:r>
      <w:r w:rsidR="00796D3D">
        <w:t xml:space="preserve"> </w:t>
      </w:r>
    </w:p>
    <w:p w:rsidR="00796D3D" w:rsidRDefault="00796D3D" w:rsidP="00796D3D">
      <w:pPr>
        <w:pStyle w:val="Heading3"/>
      </w:pPr>
      <w:r>
        <w:t>Environmental impacts of population uplift and increased residential density</w:t>
      </w:r>
    </w:p>
    <w:p w:rsidR="00796D3D" w:rsidRDefault="00796D3D" w:rsidP="00796D3D">
      <w:pPr>
        <w:pStyle w:val="BodyText"/>
      </w:pPr>
      <w:r>
        <w:t>Light rail is less emissions intensive per passenger than bus or car transport.</w:t>
      </w:r>
      <w:r>
        <w:rPr>
          <w:rStyle w:val="FootnoteReference"/>
        </w:rPr>
        <w:footnoteReference w:id="15"/>
      </w:r>
      <w:r>
        <w:t xml:space="preserve"> The benefit of light rail in reducing air pollution, greenhouse gas emissions and noise pollution under the BAU land use scenario is $22 million, slightly </w:t>
      </w:r>
      <w:r w:rsidR="00225890">
        <w:t>better</w:t>
      </w:r>
      <w:r>
        <w:t xml:space="preserve"> than the benefit from BRT of $19.4 million.</w:t>
      </w:r>
      <w:r>
        <w:rPr>
          <w:rStyle w:val="FootnoteReference"/>
        </w:rPr>
        <w:footnoteReference w:id="16"/>
      </w:r>
      <w:r>
        <w:t xml:space="preserve"> </w:t>
      </w:r>
    </w:p>
    <w:p w:rsidR="00796D3D" w:rsidRDefault="00225890" w:rsidP="00796D3D">
      <w:pPr>
        <w:pStyle w:val="BodyText"/>
      </w:pPr>
      <w:r>
        <w:t>With</w:t>
      </w:r>
      <w:r w:rsidR="00796D3D">
        <w:t xml:space="preserve"> the total discounted costs of building operating the Capital Metro ($524.1 million) estimated to be more than double the costs of  BRT ($248.5 million), the reduced emissions per dollar of public infrastructure spending is lower for LRT than BRT. Currie (2009)</w:t>
      </w:r>
      <w:r w:rsidR="00796D3D">
        <w:rPr>
          <w:rStyle w:val="FootnoteReference"/>
        </w:rPr>
        <w:footnoteReference w:id="17"/>
      </w:r>
      <w:r w:rsidR="00796D3D">
        <w:t xml:space="preserve"> similarly argues that carbon dioxide emissions from the Melbourne Metro are not very different from Melbourne bus emissions. </w:t>
      </w:r>
    </w:p>
    <w:p w:rsidR="00796D3D" w:rsidRDefault="00796D3D" w:rsidP="007B51D2">
      <w:pPr>
        <w:pStyle w:val="BodyText"/>
      </w:pPr>
      <w:r>
        <w:t>Continued spread of Canberra through green-fields development (and the land release program) can lead to worse environmental outcomes compared to infill development, because more travel will be required to reach the city. Canberra’s low-density development is partially accountable for the high levels of car dependency.</w:t>
      </w:r>
      <w:r>
        <w:rPr>
          <w:rStyle w:val="FootnoteReference"/>
        </w:rPr>
        <w:footnoteReference w:id="18"/>
      </w:r>
      <w:r>
        <w:t xml:space="preserve"> The provision of public transport alternatives to private vehicle usage can enable higher residential densities, however this increased residential densities and urban renewal do not necessarily follow the construction of public transport infrastructure.</w:t>
      </w:r>
      <w:r>
        <w:rPr>
          <w:rStyle w:val="FootnoteReference"/>
        </w:rPr>
        <w:footnoteReference w:id="19"/>
      </w:r>
    </w:p>
    <w:p w:rsidR="00796D3D" w:rsidRDefault="00796D3D" w:rsidP="00796D3D">
      <w:pPr>
        <w:pStyle w:val="Heading2"/>
      </w:pPr>
      <w:bookmarkStart w:id="172" w:name="_Toc392856630"/>
      <w:bookmarkStart w:id="173" w:name="_Toc393202281"/>
      <w:r>
        <w:t>Uplift in land values</w:t>
      </w:r>
      <w:bookmarkEnd w:id="172"/>
      <w:bookmarkEnd w:id="173"/>
    </w:p>
    <w:p w:rsidR="00796D3D" w:rsidRDefault="00796D3D" w:rsidP="00796D3D">
      <w:pPr>
        <w:pStyle w:val="BodyText"/>
      </w:pPr>
      <w:r>
        <w:t>Development in infrastructure has the potential to lead to uplift in land values in transit corridor. This increase in land values would reflect the value of the private benefits of the Capital Metro to users. Potential residents are willing to pay more for the land in the proximity of the Metro because it would offer shorter travel times than other areas of Canberra. Additionally it reflects willingness to pay for greater amenity in the area due to less air pollution and the aesthetic appeal of the light rail.</w:t>
      </w:r>
    </w:p>
    <w:p w:rsidR="00796D3D" w:rsidRDefault="00796D3D" w:rsidP="00796D3D">
      <w:pPr>
        <w:pStyle w:val="BodyText"/>
      </w:pPr>
      <w:r>
        <w:t xml:space="preserve">Increase in land values is not necessarily a separate benefit because it reflects </w:t>
      </w:r>
      <w:r w:rsidR="00CF7E58">
        <w:t>the willingness to pay of landowners</w:t>
      </w:r>
      <w:r>
        <w:t xml:space="preserve"> for the benefits of the light rail</w:t>
      </w:r>
      <w:r w:rsidR="00CF7E58">
        <w:t>,</w:t>
      </w:r>
      <w:r>
        <w:t xml:space="preserve"> which have already been included in cost-benefit analysis. Including the uplift in land values as a separate benefit to the decreased travel time, increased urban amenity, uplift in employment and decreased air/noise pollution </w:t>
      </w:r>
      <w:r w:rsidR="00225890">
        <w:t>is likely to</w:t>
      </w:r>
      <w:r>
        <w:t xml:space="preserve"> double-count benefits. </w:t>
      </w:r>
    </w:p>
    <w:p w:rsidR="00796D3D" w:rsidRDefault="00796D3D" w:rsidP="00796D3D">
      <w:pPr>
        <w:pStyle w:val="BodyText"/>
      </w:pPr>
      <w:r>
        <w:t>Th</w:t>
      </w:r>
      <w:r w:rsidR="00225890">
        <w:t>e</w:t>
      </w:r>
      <w:r>
        <w:t xml:space="preserve"> increase in land values in the transit corridor may </w:t>
      </w:r>
      <w:r w:rsidR="00225890">
        <w:t xml:space="preserve">also </w:t>
      </w:r>
      <w:r>
        <w:t>come at the expense of land values in other areas of Canberra. In that</w:t>
      </w:r>
      <w:r w:rsidR="000E5F6B">
        <w:t xml:space="preserve"> case</w:t>
      </w:r>
      <w:r>
        <w:t xml:space="preserve">, uplift in land values would be a transfer </w:t>
      </w:r>
      <w:r w:rsidR="00225890">
        <w:t xml:space="preserve">of </w:t>
      </w:r>
      <w:r>
        <w:t>wealth from owners of property in other parts of Canberra to owners of property in the transit corridor.</w:t>
      </w:r>
    </w:p>
    <w:p w:rsidR="00796D3D" w:rsidRDefault="00796D3D" w:rsidP="00796D3D">
      <w:pPr>
        <w:pStyle w:val="BodyText"/>
      </w:pPr>
      <w:r>
        <w:t xml:space="preserve">Changing land values is not a benefit in and of itself, </w:t>
      </w:r>
      <w:r w:rsidR="00225890">
        <w:t>but</w:t>
      </w:r>
      <w:r>
        <w:t xml:space="preserve"> indicates the change in value of the land to owners.</w:t>
      </w:r>
      <w:r>
        <w:rPr>
          <w:rStyle w:val="FootnoteReference"/>
        </w:rPr>
        <w:footnoteReference w:id="20"/>
      </w:r>
    </w:p>
    <w:p w:rsidR="00796D3D" w:rsidRDefault="00796D3D" w:rsidP="00796D3D">
      <w:pPr>
        <w:pStyle w:val="Heading2"/>
      </w:pPr>
      <w:bookmarkStart w:id="174" w:name="_Toc392856631"/>
      <w:bookmarkStart w:id="175" w:name="_Toc393202282"/>
      <w:r>
        <w:t>Uplift in Employment</w:t>
      </w:r>
      <w:bookmarkEnd w:id="174"/>
      <w:bookmarkEnd w:id="175"/>
    </w:p>
    <w:p w:rsidR="006442AD" w:rsidRDefault="00796D3D" w:rsidP="00796D3D">
      <w:pPr>
        <w:pStyle w:val="BodyText"/>
      </w:pPr>
      <w:r>
        <w:t xml:space="preserve">The ACT government commissioned analysis of the potential job creation because of the Capital Metro. This analysis is contained in the report </w:t>
      </w:r>
      <w:r>
        <w:rPr>
          <w:i/>
        </w:rPr>
        <w:t>Capital Metro – Job Creation Analysis</w:t>
      </w:r>
      <w:r>
        <w:t xml:space="preserve"> by Ernst &amp; Young. </w:t>
      </w:r>
    </w:p>
    <w:p w:rsidR="006442AD" w:rsidRDefault="006442AD" w:rsidP="00796D3D">
      <w:pPr>
        <w:pStyle w:val="BodyText"/>
      </w:pPr>
      <w:r>
        <w:t xml:space="preserve">The Capital Metro will require labour for its construction and operation. Employment associated with the Capital Metro </w:t>
      </w:r>
      <w:r w:rsidR="00CF7E58">
        <w:t>is focu</w:t>
      </w:r>
      <w:r>
        <w:t xml:space="preserve">sed in the construction sector and technical services, such as employment of engineering technicians. It may provide stimulus for the ACT economy during a time of weakened economic activity and a decrease in public sector employment. Commercial and residential development in the transit corridor can be attributed to the construction of the Capital Metro to the extent that the Metro encourages people to move into this area due to the easier transport access. </w:t>
      </w:r>
    </w:p>
    <w:p w:rsidR="00796D3D" w:rsidRDefault="00796D3D" w:rsidP="00796D3D">
      <w:pPr>
        <w:pStyle w:val="BodyText"/>
      </w:pPr>
      <w:r>
        <w:t xml:space="preserve">In general, infrastructure development is not justified only by the jobs created in its construction. There is an opportunity cost to spending on the Capital Metro. Clearly if government funds were not spent to construct a light rail system they could be spent on other infrastructure or put to other use by government. Most other capital works spending would also involve employment in construction or operation of that infrastructure. </w:t>
      </w:r>
    </w:p>
    <w:p w:rsidR="00796D3D" w:rsidRPr="000D03CC" w:rsidRDefault="00796D3D" w:rsidP="00796D3D">
      <w:pPr>
        <w:pStyle w:val="BodyText"/>
      </w:pPr>
      <w:r>
        <w:t>The common approach of using a multiplier to government expenditure to determine the amount of jobs created, such as in Estache et al. (2013),</w:t>
      </w:r>
      <w:r>
        <w:rPr>
          <w:rStyle w:val="FootnoteReference"/>
        </w:rPr>
        <w:footnoteReference w:id="21"/>
      </w:r>
      <w:r>
        <w:t xml:space="preserve"> indicates that there is employment created by any government infrastructure development, and that claiming that the Capital Metro creates jobs is not a justification for the Capital Metro over other infrastructure projects.</w:t>
      </w:r>
    </w:p>
    <w:p w:rsidR="00796D3D" w:rsidRDefault="00796D3D" w:rsidP="00796D3D">
      <w:pPr>
        <w:pStyle w:val="BodyText"/>
      </w:pPr>
      <w:r>
        <w:t>For jobs to be created that are additional to the ACT, it is necessary for there to be an increase in the supply of labour. Er</w:t>
      </w:r>
      <w:r w:rsidR="00CF7E58">
        <w:t>n</w:t>
      </w:r>
      <w:r>
        <w:t>st &amp; Young analysis</w:t>
      </w:r>
      <w:r>
        <w:rPr>
          <w:rStyle w:val="FootnoteReference"/>
        </w:rPr>
        <w:footnoteReference w:id="22"/>
      </w:r>
      <w:r>
        <w:t xml:space="preserve"> accounts for the number of ‘achievable jobs’ that could be created by the Capital Metro construction and changes land use in the transit corridor. It recognises that government infrastructure construction may ‘crowd-out’ private sector investment because of the change in wages in equilibrium</w:t>
      </w:r>
      <w:r>
        <w:rPr>
          <w:rStyle w:val="FootnoteReference"/>
        </w:rPr>
        <w:footnoteReference w:id="23"/>
      </w:r>
      <w:r>
        <w:t xml:space="preserve">. </w:t>
      </w:r>
    </w:p>
    <w:p w:rsidR="00796D3D" w:rsidRDefault="00796D3D" w:rsidP="00796D3D">
      <w:pPr>
        <w:pStyle w:val="BodyText"/>
      </w:pPr>
      <w:r>
        <w:t>The construction of infrastructure may have an important role as counter-cyclical fiscal policy and create employment in sectors experiencing a downturn. The Capital Metro would be justified as counter-cyclical policy if:</w:t>
      </w:r>
    </w:p>
    <w:p w:rsidR="00796D3D" w:rsidRDefault="00796D3D" w:rsidP="00796D3D">
      <w:pPr>
        <w:pStyle w:val="ListBullet"/>
      </w:pPr>
      <w:r>
        <w:t>construction of the Capital Metro creates more jobs than alternative capital works, or</w:t>
      </w:r>
    </w:p>
    <w:p w:rsidR="00796D3D" w:rsidRDefault="00796D3D" w:rsidP="00796D3D">
      <w:pPr>
        <w:pStyle w:val="ListBullet"/>
      </w:pPr>
      <w:r>
        <w:t>employment in the construction of the metro is in occupations that would benefit from temporary support.</w:t>
      </w:r>
    </w:p>
    <w:p w:rsidR="00796D3D" w:rsidRDefault="00796D3D" w:rsidP="00796D3D">
      <w:pPr>
        <w:pStyle w:val="BodyText"/>
      </w:pPr>
      <w:r>
        <w:t xml:space="preserve">Additionally the employment generated should be timely, with ‘shovel ready’ projects being more effective in generating short term stimulus. </w:t>
      </w:r>
    </w:p>
    <w:p w:rsidR="00796D3D" w:rsidRDefault="00796D3D" w:rsidP="00796D3D">
      <w:pPr>
        <w:pStyle w:val="BodyText"/>
      </w:pPr>
      <w:r>
        <w:t xml:space="preserve">Agglomeration economies present a potential beneficial impact of employment uplift in the transit corridor. Increased density of employment may lead to productivity benefits at a firm level as well as human capital benefits associated with workers’ exposure to different jobs. The analysis in </w:t>
      </w:r>
      <w:r>
        <w:rPr>
          <w:i/>
        </w:rPr>
        <w:t xml:space="preserve">Agglomeration Benefits of the Melbourne Metro </w:t>
      </w:r>
      <w:r>
        <w:t>concluded that</w:t>
      </w:r>
      <w:r w:rsidR="000E5F6B">
        <w:t xml:space="preserve"> these</w:t>
      </w:r>
      <w:r>
        <w:t xml:space="preserve"> labour productivity benefits of t</w:t>
      </w:r>
      <w:r w:rsidR="00225890">
        <w:t>he Melbourne Metro represent 20–</w:t>
      </w:r>
      <w:r>
        <w:t>25</w:t>
      </w:r>
      <w:r w:rsidR="00225890">
        <w:t> </w:t>
      </w:r>
      <w:r>
        <w:t>per</w:t>
      </w:r>
      <w:r w:rsidR="00225890">
        <w:t> </w:t>
      </w:r>
      <w:r>
        <w:t xml:space="preserve">cent of the total </w:t>
      </w:r>
      <w:r w:rsidR="00225890">
        <w:t>benefits of that infrastructure.</w:t>
      </w:r>
      <w:r w:rsidR="00225890" w:rsidRPr="00225890">
        <w:rPr>
          <w:rStyle w:val="FootnoteReference"/>
        </w:rPr>
        <w:footnoteReference w:id="24"/>
      </w:r>
      <w:r>
        <w:t xml:space="preserve"> </w:t>
      </w:r>
    </w:p>
    <w:p w:rsidR="00796D3D" w:rsidRDefault="00796D3D" w:rsidP="000E5F6B">
      <w:pPr>
        <w:pStyle w:val="BodyText"/>
      </w:pPr>
      <w:r>
        <w:t>Attempts to quantify the wider economic benefits of the Capital Metro such as agglomeration benefits have not been made.</w:t>
      </w:r>
      <w:r w:rsidR="00CF7E58">
        <w:t xml:space="preserve"> </w:t>
      </w:r>
    </w:p>
    <w:p w:rsidR="00796D3D" w:rsidRDefault="00796D3D" w:rsidP="00796D3D">
      <w:pPr>
        <w:pStyle w:val="Heading3"/>
      </w:pPr>
      <w:r>
        <w:t>The effect on private investment – crowding-out or crowding-in?</w:t>
      </w:r>
    </w:p>
    <w:p w:rsidR="00796D3D" w:rsidRDefault="00796D3D" w:rsidP="00796D3D">
      <w:pPr>
        <w:pStyle w:val="BodyText"/>
      </w:pPr>
      <w:r>
        <w:t>Public investment in infrastructure may have a positive or negative impact on private investment.</w:t>
      </w:r>
      <w:r>
        <w:rPr>
          <w:rStyle w:val="FootnoteReference"/>
        </w:rPr>
        <w:footnoteReference w:id="25"/>
      </w:r>
      <w:r>
        <w:t xml:space="preserve"> </w:t>
      </w:r>
    </w:p>
    <w:p w:rsidR="00796D3D" w:rsidRDefault="00796D3D" w:rsidP="00796D3D">
      <w:pPr>
        <w:pStyle w:val="BodyText"/>
      </w:pPr>
      <w:r>
        <w:t xml:space="preserve">The positive impact, called crowding-in, is where infrastructure provides favourable conditions for private investment. For example, the Capital Metro is likely to encourage private investment in the area surrounding the transit corridor because it is easier to access those areas via public transport. </w:t>
      </w:r>
    </w:p>
    <w:p w:rsidR="00796D3D" w:rsidRDefault="00796D3D" w:rsidP="00796D3D">
      <w:pPr>
        <w:pStyle w:val="BodyText"/>
      </w:pPr>
      <w:r>
        <w:t>However, public investment may crowd-out private investment, with the increased demand for funds required to finance public investment leading to higher costs of financing private investment, and therefore decreased private investment. This may be more true for areas not directly serviced by the Capital Metro.</w:t>
      </w:r>
    </w:p>
    <w:p w:rsidR="00796D3D" w:rsidRDefault="00796D3D" w:rsidP="00796D3D">
      <w:pPr>
        <w:pStyle w:val="BodyText"/>
      </w:pPr>
      <w:r>
        <w:t>Additionally, the construction sector in particular is likely to experience crowding out, because public demand for construction work due to the Capital Metro will lead to increased wages. Increased wages will lead to higher marginal costs of private investment requiring construction, and thus the level of private investment will decrease.</w:t>
      </w:r>
      <w:r w:rsidR="0098649B">
        <w:rPr>
          <w:rStyle w:val="FootnoteReference"/>
        </w:rPr>
        <w:footnoteReference w:id="26"/>
      </w:r>
    </w:p>
    <w:p w:rsidR="00225890" w:rsidRDefault="00225890" w:rsidP="00EA7863">
      <w:pPr>
        <w:pStyle w:val="BodyText"/>
        <w:sectPr w:rsidR="00225890" w:rsidSect="00B83167">
          <w:headerReference w:type="even" r:id="rId26"/>
          <w:headerReference w:type="default" r:id="rId27"/>
          <w:footerReference w:type="even" r:id="rId28"/>
          <w:footerReference w:type="default" r:id="rId29"/>
          <w:pgSz w:w="11906" w:h="16838" w:code="9"/>
          <w:pgMar w:top="2268" w:right="1701" w:bottom="1418" w:left="2268" w:header="680" w:footer="680" w:gutter="0"/>
          <w:pgNumType w:start="1"/>
          <w:cols w:space="708"/>
          <w:docGrid w:linePitch="360"/>
        </w:sectPr>
      </w:pPr>
      <w:r>
        <w:t>The extent of crowding out depends on the level of excess capacity in the construction sector. Given softness in economic conditions in the ACT, these effects may not be significant.</w:t>
      </w:r>
    </w:p>
    <w:p w:rsidR="00796D3D" w:rsidRPr="00884722" w:rsidRDefault="00796D3D" w:rsidP="00EA7863">
      <w:pPr>
        <w:pStyle w:val="BodyText"/>
      </w:pPr>
      <w:r>
        <w:rPr>
          <w:noProof/>
        </w:rPr>
        <w:drawing>
          <wp:anchor distT="0" distB="0" distL="114300" distR="114300" simplePos="0" relativeHeight="251662336" behindDoc="0" locked="0" layoutInCell="0" allowOverlap="1" wp14:anchorId="4E66F982" wp14:editId="5F7ED813">
            <wp:simplePos x="0" y="0"/>
            <wp:positionH relativeFrom="page">
              <wp:posOffset>0</wp:posOffset>
            </wp:positionH>
            <wp:positionV relativeFrom="page">
              <wp:posOffset>0</wp:posOffset>
            </wp:positionV>
            <wp:extent cx="7559675" cy="10691495"/>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ients\CIE, New templates\Logo &amp; cover options\Final artwork\report cover graphics\backcover_600dpi.png"/>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6D3D" w:rsidRDefault="00796D3D" w:rsidP="00EA7863">
      <w:pPr>
        <w:pStyle w:val="BodyText"/>
      </w:pPr>
      <w:r>
        <w:rPr>
          <w:noProof/>
        </w:rPr>
        <mc:AlternateContent>
          <mc:Choice Requires="wps">
            <w:drawing>
              <wp:anchor distT="0" distB="0" distL="114300" distR="114300" simplePos="0" relativeHeight="251663360" behindDoc="0" locked="0" layoutInCell="0" allowOverlap="1" wp14:anchorId="203447AA" wp14:editId="10AE1AC7">
                <wp:simplePos x="0" y="0"/>
                <wp:positionH relativeFrom="page">
                  <wp:posOffset>1231265</wp:posOffset>
                </wp:positionH>
                <wp:positionV relativeFrom="page">
                  <wp:posOffset>7164705</wp:posOffset>
                </wp:positionV>
                <wp:extent cx="3351600" cy="540000"/>
                <wp:effectExtent l="0" t="0" r="1270" b="12700"/>
                <wp:wrapNone/>
                <wp:docPr id="21" name="Text Box 21"/>
                <wp:cNvGraphicFramePr/>
                <a:graphic xmlns:a="http://schemas.openxmlformats.org/drawingml/2006/main">
                  <a:graphicData uri="http://schemas.microsoft.com/office/word/2010/wordprocessingShape">
                    <wps:wsp>
                      <wps:cNvSpPr txBox="1"/>
                      <wps:spPr>
                        <a:xfrm>
                          <a:off x="0" y="0"/>
                          <a:ext cx="3351600" cy="54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2F59" w:rsidRPr="003E1F01" w:rsidRDefault="00C12F59" w:rsidP="00EA7863">
                            <w:pPr>
                              <w:pStyle w:val="BodyText"/>
                              <w:spacing w:before="0" w:line="240" w:lineRule="auto"/>
                              <w:rPr>
                                <w:rFonts w:ascii="Franklin Gothic Demi" w:hAnsi="Franklin Gothic Demi"/>
                                <w:caps/>
                                <w:spacing w:val="10"/>
                                <w:sz w:val="18"/>
                              </w:rPr>
                            </w:pPr>
                            <w:r w:rsidRPr="003E1F01">
                              <w:rPr>
                                <w:rFonts w:ascii="Franklin Gothic Demi" w:hAnsi="Franklin Gothic Demi"/>
                                <w:caps/>
                                <w:spacing w:val="10"/>
                                <w:sz w:val="18"/>
                              </w:rPr>
                              <w:t>The Centre for International Economics</w:t>
                            </w:r>
                          </w:p>
                          <w:p w:rsidR="00C12F59" w:rsidRPr="003E1F01" w:rsidRDefault="00C12F59" w:rsidP="00EA7863">
                            <w:pPr>
                              <w:pStyle w:val="BodyText"/>
                              <w:spacing w:before="0" w:line="240" w:lineRule="auto"/>
                              <w:rPr>
                                <w:i/>
                                <w:sz w:val="22"/>
                              </w:rPr>
                            </w:pPr>
                            <w:r w:rsidRPr="003E1F01">
                              <w:rPr>
                                <w:i/>
                                <w:sz w:val="22"/>
                              </w:rPr>
                              <w:t>www.TheCIE.com.au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6.95pt;margin-top:564.15pt;width:263.9pt;height: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" o:allowincell="f" filled="f" stroked="f" strokeweight=".5pt">
                <v:textbox inset="0,0,0,0">
                  <w:txbxContent>
                    <w:p w:rsidR="00C12F59" w:rsidRPr="003E1F01" w:rsidRDefault="00C12F59" w:rsidP="00EA7863">
                      <w:pPr>
                        <w:pStyle w:val="BodyText"/>
                        <w:spacing w:before="0" w:line="240" w:lineRule="auto"/>
                        <w:rPr>
                          <w:rFonts w:ascii="Franklin Gothic Demi" w:hAnsi="Franklin Gothic Demi"/>
                          <w:caps/>
                          <w:spacing w:val="10"/>
                          <w:sz w:val="18"/>
                        </w:rPr>
                      </w:pPr>
                      <w:r w:rsidRPr="003E1F01">
                        <w:rPr>
                          <w:rFonts w:ascii="Franklin Gothic Demi" w:hAnsi="Franklin Gothic Demi"/>
                          <w:caps/>
                          <w:spacing w:val="10"/>
                          <w:sz w:val="18"/>
                        </w:rPr>
                        <w:t>The Centre for International Economics</w:t>
                      </w:r>
                    </w:p>
                    <w:p w:rsidR="00C12F59" w:rsidRPr="003E1F01" w:rsidRDefault="00C12F59" w:rsidP="00EA7863">
                      <w:pPr>
                        <w:pStyle w:val="BodyText"/>
                        <w:spacing w:before="0" w:line="240" w:lineRule="auto"/>
                        <w:rPr>
                          <w:i/>
                          <w:sz w:val="22"/>
                        </w:rPr>
                      </w:pPr>
                      <w:r w:rsidRPr="003E1F01">
                        <w:rPr>
                          <w:i/>
                          <w:sz w:val="22"/>
                        </w:rPr>
                        <w:t>www.TheCIE.com.au</w:t>
                      </w:r>
                    </w:p>
                  </w:txbxContent>
                </v:textbox>
                <w10:wrap anchorx="page" anchory="page"/>
              </v:shape>
            </w:pict>
          </mc:Fallback>
        </mc:AlternateContent>
      </w:r>
    </w:p>
    <w:p w:rsidR="00ED220C" w:rsidRDefault="00ED220C" w:rsidP="00796D3D">
      <w:pPr>
        <w:pStyle w:val="BodyText"/>
      </w:pPr>
    </w:p>
    <w:sectPr w:rsidR="00ED220C" w:rsidSect="00796D3D">
      <w:headerReference w:type="even" r:id="rId31"/>
      <w:headerReference w:type="default" r:id="rId32"/>
      <w:footerReference w:type="even" r:id="rId33"/>
      <w:footerReference w:type="default" r:id="rId34"/>
      <w:type w:val="evenPage"/>
      <w:pgSz w:w="11906" w:h="16838" w:code="9"/>
      <w:pgMar w:top="2268" w:right="1701" w:bottom="1418" w:left="2268"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59" w:rsidRDefault="00C12F59" w:rsidP="00996DC5">
      <w:pPr>
        <w:spacing w:line="240" w:lineRule="auto"/>
      </w:pPr>
      <w:r>
        <w:separator/>
      </w:r>
    </w:p>
  </w:endnote>
  <w:endnote w:type="continuationSeparator" w:id="0">
    <w:p w:rsidR="00C12F59" w:rsidRDefault="00C12F59" w:rsidP="00996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altName w:val="Arial"/>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altName w:val="Arial"/>
    <w:panose1 w:val="020B0903020102020204"/>
    <w:charset w:val="00"/>
    <w:family w:val="swiss"/>
    <w:pitch w:val="variable"/>
    <w:sig w:usb0="00000287" w:usb1="00000000" w:usb2="00000000" w:usb3="00000000" w:csb0="0000009F" w:csb1="00000000"/>
  </w:font>
  <w:font w:name="Amasi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9C5A0E" w:rsidRDefault="00C12F59" w:rsidP="00EA7863">
    <w:pPr>
      <w:pStyle w:val="Footer"/>
    </w:pPr>
    <w:r>
      <w:t>www.TheCIE.com.au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9C5A0E" w:rsidRDefault="00C12F59" w:rsidP="00EA7863">
    <w:pPr>
      <w:pStyle w:val="Footer"/>
      <w:jc w:val="right"/>
    </w:pPr>
    <w:r>
      <w:t>www.TheCIE.com.au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A731D9" w:rsidRDefault="00C12F59" w:rsidP="00EA78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pPr>
      <w:pStyle w:val="Footer"/>
    </w:pPr>
    <w:r>
      <w:t>www.TheCIE.com.au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rsidP="00EA7863">
    <w:pPr>
      <w:pStyle w:val="Footer"/>
      <w:jc w:val="right"/>
    </w:pPr>
    <w:r>
      <w:t>www.TheCIE.com.au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pPr>
      <w:pStyle w:val="Footer"/>
    </w:pPr>
    <w:r>
      <w:t>www.TheCIE.com.au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rsidP="00EA7863">
    <w:pPr>
      <w:pStyle w:val="Footer"/>
      <w:jc w:val="right"/>
    </w:pPr>
    <w:r>
      <w:t>www.TheCIE.com.au</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pPr>
      <w:pStyle w:val="Footer"/>
    </w:pPr>
    <w:r>
      <w:t>www.TheCIE.com.au</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rsidP="007C4C46">
    <w:pPr>
      <w:pStyle w:val="Footer"/>
      <w:jc w:val="right"/>
    </w:pPr>
    <w:r>
      <w:t>www.TheCIE.com.au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59" w:rsidRDefault="00C12F59" w:rsidP="00996DC5">
      <w:pPr>
        <w:spacing w:line="240" w:lineRule="auto"/>
      </w:pPr>
      <w:r w:rsidRPr="00B75719">
        <w:rPr>
          <w:color w:val="6F6652" w:themeColor="text2"/>
        </w:rPr>
        <w:separator/>
      </w:r>
    </w:p>
  </w:footnote>
  <w:footnote w:type="continuationSeparator" w:id="0">
    <w:p w:rsidR="00C12F59" w:rsidRDefault="00C12F59" w:rsidP="00996DC5">
      <w:pPr>
        <w:spacing w:line="240" w:lineRule="auto"/>
      </w:pPr>
      <w:r>
        <w:continuationSeparator/>
      </w:r>
    </w:p>
  </w:footnote>
  <w:footnote w:id="1">
    <w:p w:rsidR="00C12F59" w:rsidRDefault="00C12F59" w:rsidP="00796D3D">
      <w:pPr>
        <w:pStyle w:val="FootnoteText"/>
      </w:pPr>
      <w:r>
        <w:rPr>
          <w:rStyle w:val="FootnoteReference"/>
        </w:rPr>
        <w:footnoteRef/>
      </w:r>
      <w:r>
        <w:t xml:space="preserve"> A future schedule of general rates is not publically available. </w:t>
      </w:r>
    </w:p>
  </w:footnote>
  <w:footnote w:id="2">
    <w:p w:rsidR="00C12F59" w:rsidRDefault="00C12F59" w:rsidP="00796D3D">
      <w:pPr>
        <w:pStyle w:val="FootnoteText"/>
      </w:pPr>
      <w:r>
        <w:rPr>
          <w:rStyle w:val="FootnoteReference"/>
        </w:rPr>
        <w:footnoteRef/>
      </w:r>
      <w:r>
        <w:t xml:space="preserve"> That is, the tax reforms will not affect the amount of taxation revenue collected. </w:t>
      </w:r>
    </w:p>
  </w:footnote>
  <w:footnote w:id="3">
    <w:p w:rsidR="00C12F59" w:rsidRDefault="00C12F59" w:rsidP="00796D3D">
      <w:pPr>
        <w:pStyle w:val="FootnoteText"/>
      </w:pPr>
      <w:r>
        <w:rPr>
          <w:rStyle w:val="FootnoteReference"/>
        </w:rPr>
        <w:footnoteRef/>
      </w:r>
      <w:r>
        <w:t xml:space="preserve"> Leigh, Andrew, </w:t>
      </w:r>
      <w:r w:rsidRPr="00B66A35">
        <w:rPr>
          <w:i/>
        </w:rPr>
        <w:t>How do stamp duties affect the housing market?</w:t>
      </w:r>
      <w:r>
        <w:t xml:space="preserve">, 2009. </w:t>
      </w:r>
    </w:p>
  </w:footnote>
  <w:footnote w:id="4">
    <w:p w:rsidR="00C12F59" w:rsidRDefault="00C12F59" w:rsidP="00796D3D">
      <w:pPr>
        <w:pStyle w:val="FootnoteText"/>
      </w:pPr>
      <w:r>
        <w:rPr>
          <w:rStyle w:val="FootnoteReference"/>
        </w:rPr>
        <w:footnoteRef/>
      </w:r>
      <w:r>
        <w:t xml:space="preserve"> For more information please see: </w:t>
      </w:r>
      <w:hyperlink r:id="rId1" w:history="1">
        <w:r w:rsidRPr="004C4303">
          <w:rPr>
            <w:rStyle w:val="Hyperlink"/>
          </w:rPr>
          <w:t>http://www.canberratimes.com.au/act-news/no-downgrade-for-the-acts-triplea-credit-rating-says-standard-and-poors-20140608-zs10w.html</w:t>
        </w:r>
      </w:hyperlink>
    </w:p>
  </w:footnote>
  <w:footnote w:id="5">
    <w:p w:rsidR="00C12F59" w:rsidRDefault="00C12F59" w:rsidP="00796D3D">
      <w:pPr>
        <w:pStyle w:val="FootnoteText"/>
      </w:pPr>
      <w:r>
        <w:rPr>
          <w:rStyle w:val="FootnoteReference"/>
        </w:rPr>
        <w:footnoteRef/>
      </w:r>
      <w:r>
        <w:t xml:space="preserve"> </w:t>
      </w:r>
      <w:r>
        <w:tab/>
      </w:r>
      <w:r>
        <w:rPr>
          <w:i/>
        </w:rPr>
        <w:t>Capital Metro</w:t>
      </w:r>
      <w:r>
        <w:t xml:space="preserve"> </w:t>
      </w:r>
      <w:r w:rsidRPr="002A553A">
        <w:rPr>
          <w:i/>
        </w:rPr>
        <w:t>– Job Creation analysis</w:t>
      </w:r>
      <w:r>
        <w:t xml:space="preserve"> (2014) mentions the creation of a “corridor specific development unit”, which will seek to deliver urban intensification along the Capital Metro corridor. This may mean that benefits of increased corridor land use are not directly attributable to the Capital Metro, but rather to changing land use policies.</w:t>
      </w:r>
    </w:p>
  </w:footnote>
  <w:footnote w:id="6">
    <w:p w:rsidR="00C12F59" w:rsidRDefault="00C12F59" w:rsidP="002203C4">
      <w:pPr>
        <w:pStyle w:val="FootnoteText"/>
      </w:pPr>
      <w:r>
        <w:rPr>
          <w:rStyle w:val="FootnoteReference"/>
        </w:rPr>
        <w:footnoteRef/>
      </w:r>
      <w:r>
        <w:t xml:space="preserve"> </w:t>
      </w:r>
      <w:r>
        <w:tab/>
        <w:t>Increasing parking charges in Canberra may be justified, however it is a separate decision to the construction of the Capital Metro. Parking charges give a disincentive to using cars to commute to the city, and therefore may encourage greater ridership of the Capital Metro. However, the additional revenue raised by increasing parking charges is not a benefit to the ACT, but rather a transfer from individuals to government.</w:t>
      </w:r>
    </w:p>
  </w:footnote>
  <w:footnote w:id="7">
    <w:p w:rsidR="00C12F59" w:rsidRPr="00D94498" w:rsidRDefault="00C12F59" w:rsidP="00796D3D">
      <w:pPr>
        <w:pStyle w:val="FootnoteText"/>
      </w:pPr>
      <w:r>
        <w:rPr>
          <w:rStyle w:val="FootnoteReference"/>
        </w:rPr>
        <w:footnoteRef/>
      </w:r>
      <w:r>
        <w:t xml:space="preserve"> </w:t>
      </w:r>
      <w:r>
        <w:tab/>
        <w:t xml:space="preserve">This report was commissioned by the Canberra Liberals: </w:t>
      </w:r>
      <w:r>
        <w:rPr>
          <w:i/>
        </w:rPr>
        <w:t>An Economic and Financial Assessment of the Proposed Gungahlin Light Rail Project</w:t>
      </w:r>
      <w:r>
        <w:t>, Bob Nairn Consultant Pty Ltd, June 2014.</w:t>
      </w:r>
    </w:p>
  </w:footnote>
  <w:footnote w:id="8">
    <w:p w:rsidR="00C12F59" w:rsidRDefault="00C12F59" w:rsidP="00796D3D">
      <w:pPr>
        <w:pStyle w:val="FootnoteText"/>
      </w:pPr>
      <w:r>
        <w:rPr>
          <w:rStyle w:val="FootnoteReference"/>
        </w:rPr>
        <w:footnoteRef/>
      </w:r>
      <w:r>
        <w:t xml:space="preserve"> </w:t>
      </w:r>
      <w:r>
        <w:tab/>
      </w:r>
      <w:r>
        <w:rPr>
          <w:i/>
        </w:rPr>
        <w:t xml:space="preserve">TTF Transport Position Paper – the Benefits of Light </w:t>
      </w:r>
      <w:r w:rsidRPr="00D94498">
        <w:rPr>
          <w:i/>
        </w:rPr>
        <w:t>Rail</w:t>
      </w:r>
      <w:r>
        <w:t xml:space="preserve">, Tourism and Transport Forum March 2010, accessed at </w:t>
      </w:r>
      <w:hyperlink r:id="rId2" w:history="1">
        <w:r w:rsidRPr="00965EC8">
          <w:rPr>
            <w:rStyle w:val="Hyperlink"/>
          </w:rPr>
          <w:t>http://www.ttf.org.au/DisplayFile.aspx?FileID=762</w:t>
        </w:r>
      </w:hyperlink>
      <w:r>
        <w:t xml:space="preserve">. </w:t>
      </w:r>
    </w:p>
  </w:footnote>
  <w:footnote w:id="9">
    <w:p w:rsidR="00C12F59" w:rsidRDefault="00C12F59" w:rsidP="00796D3D">
      <w:pPr>
        <w:pStyle w:val="FootnoteText"/>
      </w:pPr>
      <w:r>
        <w:rPr>
          <w:rStyle w:val="FootnoteReference"/>
        </w:rPr>
        <w:footnoteRef/>
      </w:r>
      <w:r>
        <w:t xml:space="preserve"> </w:t>
      </w:r>
      <w:r>
        <w:tab/>
        <w:t>These estimates are sourced from the City to Gungahlin Transit Corridor – Infrastructure Australia Project Submission 2012, pp. 80-81 and exclude incremental parking revenue as a benefit.</w:t>
      </w:r>
    </w:p>
  </w:footnote>
  <w:footnote w:id="10">
    <w:p w:rsidR="00C12F59" w:rsidRDefault="00C12F59" w:rsidP="00796D3D">
      <w:pPr>
        <w:pStyle w:val="FootnoteText"/>
      </w:pPr>
      <w:r>
        <w:rPr>
          <w:rStyle w:val="FootnoteReference"/>
        </w:rPr>
        <w:footnoteRef/>
      </w:r>
      <w:r>
        <w:t xml:space="preserve"> </w:t>
      </w:r>
      <w:r>
        <w:tab/>
        <w:t>City to Gungahlin Transit Corridor – Infrastructure Australia Project Submission 2012, p29.</w:t>
      </w:r>
    </w:p>
  </w:footnote>
  <w:footnote w:id="11">
    <w:p w:rsidR="00C12F59" w:rsidRPr="007264E6" w:rsidRDefault="00C12F59" w:rsidP="00796D3D">
      <w:pPr>
        <w:pStyle w:val="FootnoteText"/>
      </w:pPr>
      <w:r>
        <w:rPr>
          <w:rStyle w:val="FootnoteReference"/>
        </w:rPr>
        <w:footnoteRef/>
      </w:r>
      <w:r>
        <w:t xml:space="preserve"> </w:t>
      </w:r>
      <w:r>
        <w:tab/>
        <w:t xml:space="preserve">Strengths and weaknesses of LRT and BRT are discussed in Currie, G 2005 ‘Bus Transit Oriented Development – Strengths and Challenges Relative to Rail’, </w:t>
      </w:r>
      <w:r>
        <w:rPr>
          <w:i/>
        </w:rPr>
        <w:t>Journal of Public Transportation</w:t>
      </w:r>
      <w:r>
        <w:t>, vol. 9, no. 4.</w:t>
      </w:r>
    </w:p>
  </w:footnote>
  <w:footnote w:id="12">
    <w:p w:rsidR="00C12F59" w:rsidRDefault="00C12F59" w:rsidP="00796D3D">
      <w:pPr>
        <w:pStyle w:val="FootnoteText"/>
      </w:pPr>
      <w:r>
        <w:rPr>
          <w:rStyle w:val="FootnoteReference"/>
        </w:rPr>
        <w:footnoteRef/>
      </w:r>
      <w:r>
        <w:t xml:space="preserve"> </w:t>
      </w:r>
      <w:r>
        <w:tab/>
        <w:t xml:space="preserve">Currie, G 2009, ‘Research perspectives on the merits of Light Rail vs Bus’, presentation for Infrastructure Australia, accessed at </w:t>
      </w:r>
      <w:hyperlink r:id="rId3" w:history="1">
        <w:r w:rsidRPr="001D6B64">
          <w:rPr>
            <w:rStyle w:val="Hyperlink"/>
          </w:rPr>
          <w:t>http://www.infrastructureaustralia.gov.au/publications/files/lightrailvsbus.pdf</w:t>
        </w:r>
      </w:hyperlink>
      <w:r>
        <w:t xml:space="preserve"> .</w:t>
      </w:r>
    </w:p>
  </w:footnote>
  <w:footnote w:id="13">
    <w:p w:rsidR="00C12F59" w:rsidRDefault="00C12F59" w:rsidP="00796D3D">
      <w:pPr>
        <w:pStyle w:val="FootnoteText"/>
      </w:pPr>
      <w:r>
        <w:rPr>
          <w:rStyle w:val="FootnoteReference"/>
        </w:rPr>
        <w:footnoteRef/>
      </w:r>
      <w:r>
        <w:t xml:space="preserve"> </w:t>
      </w:r>
      <w:r>
        <w:tab/>
        <w:t>City to Gungahlin Transit Corridor – Infrastructure Australia Project Submission 2012.</w:t>
      </w:r>
    </w:p>
  </w:footnote>
  <w:footnote w:id="14">
    <w:p w:rsidR="00C12F59" w:rsidRDefault="00C12F59" w:rsidP="00225890">
      <w:pPr>
        <w:pStyle w:val="FootnoteText"/>
      </w:pPr>
      <w:r>
        <w:rPr>
          <w:rStyle w:val="FootnoteReference"/>
        </w:rPr>
        <w:footnoteRef/>
      </w:r>
      <w:r>
        <w:t xml:space="preserve"> </w:t>
      </w:r>
      <w:r>
        <w:tab/>
      </w:r>
      <w:hyperlink r:id="rId4" w:history="1">
        <w:r w:rsidRPr="00F45FBA">
          <w:rPr>
            <w:rStyle w:val="Hyperlink"/>
          </w:rPr>
          <w:t>http://www.goldcoast.qld.gov.au/documents/bf/GCRT_Corridor-Study-Aug2011-full-report.pdf</w:t>
        </w:r>
      </w:hyperlink>
    </w:p>
  </w:footnote>
  <w:footnote w:id="15">
    <w:p w:rsidR="00C12F59" w:rsidRPr="00B971DD" w:rsidRDefault="00C12F59" w:rsidP="00796D3D">
      <w:pPr>
        <w:pStyle w:val="FootnoteText"/>
      </w:pPr>
      <w:r>
        <w:rPr>
          <w:rStyle w:val="FootnoteReference"/>
        </w:rPr>
        <w:footnoteRef/>
      </w:r>
      <w:r>
        <w:t xml:space="preserve"> </w:t>
      </w:r>
      <w:r>
        <w:tab/>
        <w:t xml:space="preserve">Puchalsky, C 2005, ‘Comparison of Emissions from Light Rail Transit and Bus Rapid Transit’, </w:t>
      </w:r>
      <w:r>
        <w:rPr>
          <w:i/>
        </w:rPr>
        <w:t>Transportation Research Record: Journal of the Transportation Research Board</w:t>
      </w:r>
      <w:r>
        <w:t>, Vol 1927, pp. 31-37.</w:t>
      </w:r>
    </w:p>
  </w:footnote>
  <w:footnote w:id="16">
    <w:p w:rsidR="00C12F59" w:rsidRDefault="00C12F59" w:rsidP="00796D3D">
      <w:pPr>
        <w:pStyle w:val="FootnoteText"/>
      </w:pPr>
      <w:r>
        <w:rPr>
          <w:rStyle w:val="FootnoteReference"/>
        </w:rPr>
        <w:footnoteRef/>
      </w:r>
      <w:r>
        <w:t xml:space="preserve"> </w:t>
      </w:r>
      <w:r>
        <w:tab/>
        <w:t>City to Gungahlin Transit Corridor – Infrastructure Australia Project Submission 2012.</w:t>
      </w:r>
    </w:p>
  </w:footnote>
  <w:footnote w:id="17">
    <w:p w:rsidR="00C12F59" w:rsidRDefault="00C12F59" w:rsidP="00796D3D">
      <w:pPr>
        <w:pStyle w:val="FootnoteText"/>
      </w:pPr>
      <w:r>
        <w:rPr>
          <w:rStyle w:val="FootnoteReference"/>
        </w:rPr>
        <w:footnoteRef/>
      </w:r>
      <w:r>
        <w:t xml:space="preserve"> </w:t>
      </w:r>
      <w:r>
        <w:tab/>
        <w:t xml:space="preserve">Currie, G 2009, ‘Research perspectives on the merits of Light Rail vs Bus’, presentation for Infrastructure Australia, accessed at </w:t>
      </w:r>
      <w:hyperlink r:id="rId5" w:history="1">
        <w:r w:rsidRPr="001D6B64">
          <w:rPr>
            <w:rStyle w:val="Hyperlink"/>
          </w:rPr>
          <w:t>http://www.infrastructureaustralia.gov.au/publications/files/lightrailvsbus.pdf</w:t>
        </w:r>
      </w:hyperlink>
      <w:r>
        <w:t xml:space="preserve"> .</w:t>
      </w:r>
    </w:p>
  </w:footnote>
  <w:footnote w:id="18">
    <w:p w:rsidR="00C12F59" w:rsidRDefault="00C12F59" w:rsidP="00796D3D">
      <w:pPr>
        <w:pStyle w:val="FootnoteText"/>
      </w:pPr>
      <w:r>
        <w:rPr>
          <w:rStyle w:val="FootnoteReference"/>
        </w:rPr>
        <w:footnoteRef/>
      </w:r>
      <w:r>
        <w:t xml:space="preserve"> </w:t>
      </w:r>
      <w:r>
        <w:tab/>
        <w:t>City to Gungahlin Transit Corridor – Infrastructure Australia Project Submission 2012, p40.</w:t>
      </w:r>
    </w:p>
  </w:footnote>
  <w:footnote w:id="19">
    <w:p w:rsidR="00C12F59" w:rsidRDefault="00C12F59" w:rsidP="00796D3D">
      <w:pPr>
        <w:pStyle w:val="FootnoteText"/>
      </w:pPr>
      <w:r>
        <w:rPr>
          <w:rStyle w:val="FootnoteReference"/>
        </w:rPr>
        <w:footnoteRef/>
      </w:r>
      <w:r>
        <w:t xml:space="preserve"> </w:t>
      </w:r>
      <w:r>
        <w:tab/>
      </w:r>
      <w:r w:rsidRPr="00A23CBE">
        <w:t>http://www.sgsep.com.au/insights/insights-bulletin/canberra-insights-bulletin/light-rail-understaning-the-urban-impacts/</w:t>
      </w:r>
    </w:p>
  </w:footnote>
  <w:footnote w:id="20">
    <w:p w:rsidR="00C12F59" w:rsidRDefault="00C12F59" w:rsidP="00796D3D">
      <w:pPr>
        <w:pStyle w:val="FootnoteText"/>
      </w:pPr>
      <w:r>
        <w:rPr>
          <w:rStyle w:val="FootnoteReference"/>
        </w:rPr>
        <w:footnoteRef/>
      </w:r>
      <w:r>
        <w:t xml:space="preserve"> </w:t>
      </w:r>
      <w:r>
        <w:tab/>
        <w:t>Change in land values can indicate the value of health and lifestyle benefits of light rail, including the preference of light rail over buses in terms of comfort and aesthetics. No rigorous attempt has been made to quantify these benefits, and in particular, illustrate how they are directly attributable to the light rail itself.</w:t>
      </w:r>
    </w:p>
  </w:footnote>
  <w:footnote w:id="21">
    <w:p w:rsidR="00C12F59" w:rsidRDefault="00C12F59" w:rsidP="00796D3D">
      <w:pPr>
        <w:pStyle w:val="FootnoteText"/>
      </w:pPr>
      <w:r>
        <w:rPr>
          <w:rStyle w:val="FootnoteReference"/>
        </w:rPr>
        <w:footnoteRef/>
      </w:r>
      <w:r>
        <w:t xml:space="preserve"> </w:t>
      </w:r>
      <w:r>
        <w:tab/>
        <w:t xml:space="preserve">Estache, A, Ianchovichina, E, Bacon, R, and Salamon, I 2013, </w:t>
      </w:r>
      <w:r w:rsidRPr="000D03CC">
        <w:rPr>
          <w:i/>
        </w:rPr>
        <w:t>Infrastructure and Employment Creation in the Middle East and North Africa</w:t>
      </w:r>
      <w:r>
        <w:t xml:space="preserve">, Washington, DC: World Bank. doi:10.1596/978-0-8213-9665-0. License: Creative Commons Attribution CC BY 3.0 accessed at </w:t>
      </w:r>
      <w:hyperlink r:id="rId6" w:history="1">
        <w:r w:rsidRPr="001D6B64">
          <w:rPr>
            <w:rStyle w:val="Hyperlink"/>
          </w:rPr>
          <w:t>https://openknowledge.worldbank.org/bitstream/handle/10986/12237/NonAsciiFileName0.pdf?sequence=1</w:t>
        </w:r>
      </w:hyperlink>
      <w:r>
        <w:t xml:space="preserve"> </w:t>
      </w:r>
    </w:p>
  </w:footnote>
  <w:footnote w:id="22">
    <w:p w:rsidR="00C12F59" w:rsidRDefault="00C12F59" w:rsidP="00796D3D">
      <w:pPr>
        <w:pStyle w:val="FootnoteText"/>
      </w:pPr>
      <w:r>
        <w:rPr>
          <w:rStyle w:val="FootnoteReference"/>
        </w:rPr>
        <w:footnoteRef/>
      </w:r>
      <w:r>
        <w:t xml:space="preserve"> </w:t>
      </w:r>
      <w:r>
        <w:tab/>
      </w:r>
      <w:r>
        <w:rPr>
          <w:i/>
        </w:rPr>
        <w:t>Capital Metro</w:t>
      </w:r>
      <w:r>
        <w:t xml:space="preserve"> </w:t>
      </w:r>
      <w:r w:rsidRPr="002A553A">
        <w:rPr>
          <w:i/>
        </w:rPr>
        <w:t>– Job Creation analysis</w:t>
      </w:r>
      <w:r>
        <w:t>, Ernst &amp; Young 2014, Appendix 2, p. 30.</w:t>
      </w:r>
    </w:p>
  </w:footnote>
  <w:footnote w:id="23">
    <w:p w:rsidR="00C12F59" w:rsidRPr="002A553A" w:rsidRDefault="00C12F59" w:rsidP="00796D3D">
      <w:pPr>
        <w:pStyle w:val="FootnoteText"/>
      </w:pPr>
      <w:r>
        <w:rPr>
          <w:rStyle w:val="FootnoteReference"/>
        </w:rPr>
        <w:footnoteRef/>
      </w:r>
      <w:r>
        <w:t xml:space="preserve"> </w:t>
      </w:r>
      <w:r>
        <w:tab/>
      </w:r>
      <w:r>
        <w:rPr>
          <w:i/>
        </w:rPr>
        <w:t>Capital Metro</w:t>
      </w:r>
      <w:r>
        <w:t xml:space="preserve"> </w:t>
      </w:r>
      <w:r w:rsidRPr="002A553A">
        <w:rPr>
          <w:i/>
        </w:rPr>
        <w:t>– Job Creation analysis</w:t>
      </w:r>
      <w:r>
        <w:t>, Ernst &amp; Young 2014.</w:t>
      </w:r>
    </w:p>
  </w:footnote>
  <w:footnote w:id="24">
    <w:p w:rsidR="00C12F59" w:rsidRPr="00B70057" w:rsidRDefault="00C12F59" w:rsidP="00225890">
      <w:pPr>
        <w:pStyle w:val="FootnoteText"/>
      </w:pPr>
      <w:r>
        <w:rPr>
          <w:rStyle w:val="FootnoteReference"/>
        </w:rPr>
        <w:footnoteRef/>
      </w:r>
      <w:r>
        <w:t xml:space="preserve"> </w:t>
      </w:r>
      <w:r>
        <w:tab/>
      </w:r>
      <w:r>
        <w:rPr>
          <w:i/>
        </w:rPr>
        <w:t>Agglomeration Benefits of the Melbourne Metro</w:t>
      </w:r>
      <w:r>
        <w:t>, SGS Economics and Planning, July 2012.</w:t>
      </w:r>
    </w:p>
  </w:footnote>
  <w:footnote w:id="25">
    <w:p w:rsidR="00C12F59" w:rsidRDefault="00C12F59" w:rsidP="00796D3D">
      <w:pPr>
        <w:pStyle w:val="FootnoteText"/>
      </w:pPr>
      <w:r>
        <w:rPr>
          <w:rStyle w:val="FootnoteReference"/>
        </w:rPr>
        <w:footnoteRef/>
      </w:r>
      <w:r>
        <w:t xml:space="preserve"> </w:t>
      </w:r>
      <w:r>
        <w:tab/>
      </w:r>
      <w:r w:rsidRPr="000C1C86">
        <w:t>http://www.ecb.europa.eu/pub/pdf/scpwps/ecbwp864.pdf</w:t>
      </w:r>
    </w:p>
  </w:footnote>
  <w:footnote w:id="26">
    <w:p w:rsidR="00C12F59" w:rsidRDefault="00C12F59" w:rsidP="007E1E5A">
      <w:pPr>
        <w:pStyle w:val="BodyText"/>
      </w:pPr>
      <w:r>
        <w:rPr>
          <w:rStyle w:val="FootnoteReference"/>
        </w:rPr>
        <w:footnoteRef/>
      </w:r>
      <w:r>
        <w:t xml:space="preserve"> </w:t>
      </w:r>
      <w:r>
        <w:tab/>
        <w:t>This issue is discussed in the Capital Metro Job Creation analysis. Considering the effect of wages increasing to equilibrium decreases the ‘employment footprint’ to a level of ‘achievable jobs’.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9D4FBD" w:rsidRDefault="00C12F59" w:rsidP="00EA7863">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E95793" w:rsidRDefault="00C12F59" w:rsidP="00EA786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A731D9" w:rsidRDefault="00C12F59" w:rsidP="00EA786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rsidP="00EA7863">
    <w:pPr>
      <w:pStyle w:val="Header"/>
    </w:pPr>
    <w:r>
      <w:rPr>
        <w:b/>
      </w:rPr>
      <w:tab/>
    </w:r>
    <w:sdt>
      <w:sdtPr>
        <w:id w:val="587430190"/>
        <w:docPartObj>
          <w:docPartGallery w:val="Page Numbers (Bottom of Page)"/>
          <w:docPartUnique/>
        </w:docPartObj>
      </w:sdtPr>
      <w:sdtEndPr>
        <w:rPr>
          <w:rStyle w:val="PageNumber"/>
          <w:rFonts w:ascii="Franklin Gothic Demi" w:hAnsi="Franklin Gothic Demi"/>
          <w:color w:val="006B7A" w:themeColor="accent1"/>
          <w:sz w:val="20"/>
          <w:szCs w:val="20"/>
        </w:rPr>
      </w:sdtEndPr>
      <w:sdtContent>
        <w:r w:rsidRPr="00D44D70">
          <w:rPr>
            <w:rStyle w:val="PageNumber"/>
          </w:rPr>
          <w:fldChar w:fldCharType="begin"/>
        </w:r>
        <w:r w:rsidRPr="00D44D70">
          <w:rPr>
            <w:rStyle w:val="PageNumber"/>
          </w:rPr>
          <w:instrText xml:space="preserve"> PAGE   \* MERGEFORMAT </w:instrText>
        </w:r>
        <w:r w:rsidRPr="00D44D70">
          <w:rPr>
            <w:rStyle w:val="PageNumber"/>
          </w:rPr>
          <w:fldChar w:fldCharType="separate"/>
        </w:r>
        <w:r>
          <w:rPr>
            <w:rStyle w:val="PageNumber"/>
            <w:noProof/>
          </w:rPr>
          <w:t>ii</w:t>
        </w:r>
        <w:r w:rsidRPr="00D44D70">
          <w:rPr>
            <w:rStyle w:val="PageNumber"/>
          </w:rPr>
          <w:fldChar w:fldCharType="end"/>
        </w:r>
      </w:sdtContent>
    </w:sdt>
    <w:r>
      <w:rPr>
        <w:b/>
      </w:rP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3D2A2B" w:rsidRDefault="00C12F59" w:rsidP="00EA7863">
    <w:pPr>
      <w:pStyle w:val="Header"/>
    </w:pPr>
    <w:r>
      <w:tab/>
    </w:r>
    <w:r>
      <w:tab/>
    </w:r>
    <w: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r>
      <w:tab/>
    </w:r>
    <w:r>
      <w:rPr>
        <w:rStyle w:val="PageNumber"/>
      </w:rPr>
      <w:fldChar w:fldCharType="begin"/>
    </w:r>
    <w:r>
      <w:rPr>
        <w:rStyle w:val="PageNumber"/>
      </w:rPr>
      <w:instrText xml:space="preserve"> PAGE </w:instrText>
    </w:r>
    <w:r>
      <w:rPr>
        <w:rStyle w:val="PageNumber"/>
      </w:rPr>
      <w:fldChar w:fldCharType="separate"/>
    </w:r>
    <w:r w:rsidR="00CA6314">
      <w:rPr>
        <w:rStyle w:val="PageNumber"/>
        <w:noProof/>
      </w:rPr>
      <w:t>iii</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Default="00C12F59" w:rsidP="00EA7863">
    <w:pPr>
      <w:pStyle w:val="Header"/>
    </w:pPr>
    <w:r>
      <w:rPr>
        <w:b/>
      </w:rPr>
      <w:tab/>
    </w:r>
    <w:sdt>
      <w:sdtPr>
        <w:id w:val="-1120608803"/>
        <w:docPartObj>
          <w:docPartGallery w:val="Page Numbers (Bottom of Page)"/>
          <w:docPartUnique/>
        </w:docPartObj>
      </w:sdtPr>
      <w:sdtEndPr>
        <w:rPr>
          <w:rStyle w:val="PageNumber"/>
          <w:rFonts w:ascii="Franklin Gothic Demi" w:hAnsi="Franklin Gothic Demi"/>
          <w:color w:val="006B7A" w:themeColor="accent1"/>
          <w:sz w:val="20"/>
          <w:szCs w:val="20"/>
        </w:rPr>
      </w:sdtEndPr>
      <w:sdtContent>
        <w:r w:rsidRPr="00D44D70">
          <w:rPr>
            <w:rStyle w:val="PageNumber"/>
          </w:rPr>
          <w:fldChar w:fldCharType="begin"/>
        </w:r>
        <w:r w:rsidRPr="00D44D70">
          <w:rPr>
            <w:rStyle w:val="PageNumber"/>
          </w:rPr>
          <w:instrText xml:space="preserve"> PAGE   \* MERGEFORMAT </w:instrText>
        </w:r>
        <w:r w:rsidRPr="00D44D70">
          <w:rPr>
            <w:rStyle w:val="PageNumber"/>
          </w:rPr>
          <w:fldChar w:fldCharType="separate"/>
        </w:r>
        <w:r w:rsidR="00CA6314">
          <w:rPr>
            <w:rStyle w:val="PageNumber"/>
            <w:noProof/>
          </w:rPr>
          <w:t>20</w:t>
        </w:r>
        <w:r w:rsidRPr="00D44D70">
          <w:rPr>
            <w:rStyle w:val="PageNumber"/>
          </w:rPr>
          <w:fldChar w:fldCharType="end"/>
        </w:r>
      </w:sdtContent>
    </w:sdt>
    <w:r>
      <w:rPr>
        <w:b/>
      </w:rP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3D2A2B" w:rsidRDefault="00C12F59" w:rsidP="00EA7863">
    <w:pPr>
      <w:pStyle w:val="Header"/>
    </w:pPr>
    <w:r>
      <w:tab/>
    </w:r>
    <w:r>
      <w:tab/>
    </w:r>
    <w: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r>
      <w:tab/>
    </w:r>
    <w:r>
      <w:rPr>
        <w:rStyle w:val="PageNumber"/>
      </w:rPr>
      <w:fldChar w:fldCharType="begin"/>
    </w:r>
    <w:r>
      <w:rPr>
        <w:rStyle w:val="PageNumber"/>
      </w:rPr>
      <w:instrText xml:space="preserve"> PAGE </w:instrText>
    </w:r>
    <w:r>
      <w:rPr>
        <w:rStyle w:val="PageNumber"/>
      </w:rPr>
      <w:fldChar w:fldCharType="separate"/>
    </w:r>
    <w:r w:rsidR="00CA6314">
      <w:rPr>
        <w:rStyle w:val="PageNumber"/>
        <w:noProof/>
      </w:rPr>
      <w:t>21</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9D4FBD" w:rsidRDefault="00C12F59" w:rsidP="00A43AF7">
    <w:pPr>
      <w:pStyle w:val="Header"/>
    </w:pPr>
    <w:r>
      <w:tab/>
    </w:r>
    <w:r>
      <w:rPr>
        <w:rStyle w:val="PageNumber"/>
      </w:rPr>
      <w:fldChar w:fldCharType="begin"/>
    </w:r>
    <w:r>
      <w:rPr>
        <w:rStyle w:val="PageNumber"/>
      </w:rPr>
      <w:instrText xml:space="preserve"> PAGE </w:instrText>
    </w:r>
    <w:r>
      <w:rPr>
        <w:rStyle w:val="PageNumber"/>
      </w:rPr>
      <w:fldChar w:fldCharType="separate"/>
    </w:r>
    <w:r w:rsidR="00CA6314">
      <w:rPr>
        <w:rStyle w:val="PageNumber"/>
        <w:noProof/>
      </w:rPr>
      <w:t>2</w:t>
    </w:r>
    <w:r>
      <w:rPr>
        <w:rStyle w:val="PageNumber"/>
      </w:rPr>
      <w:fldChar w:fldCharType="end"/>
    </w:r>
    <w: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59" w:rsidRPr="009D4FBD" w:rsidRDefault="00C12F59" w:rsidP="00A43AF7">
    <w:pPr>
      <w:pStyle w:val="Header"/>
    </w:pPr>
    <w:r>
      <w:tab/>
    </w:r>
    <w:r>
      <w:tab/>
    </w:r>
    <w:r>
      <w:tab/>
    </w:r>
    <w:r>
      <w:fldChar w:fldCharType="begin"/>
    </w:r>
    <w:r>
      <w:instrText xml:space="preserve"> STYLEREF  Title </w:instrText>
    </w:r>
    <w:r>
      <w:fldChar w:fldCharType="separate"/>
    </w:r>
    <w:r w:rsidR="00CA6314">
      <w:rPr>
        <w:noProof/>
      </w:rPr>
      <w:t>Supplementary analysis of issues pertaining to the 2014-15 ACT Budget</w:t>
    </w:r>
    <w:r>
      <w:rPr>
        <w:noProof/>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4EB"/>
    <w:multiLevelType w:val="multilevel"/>
    <w:tmpl w:val="A8A0795C"/>
    <w:numStyleLink w:val="RecommendationNumbers"/>
  </w:abstractNum>
  <w:abstractNum w:abstractNumId="1">
    <w:nsid w:val="052F1859"/>
    <w:multiLevelType w:val="hybridMultilevel"/>
    <w:tmpl w:val="169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923971"/>
    <w:multiLevelType w:val="hybridMultilevel"/>
    <w:tmpl w:val="C68ED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C902B9"/>
    <w:multiLevelType w:val="multilevel"/>
    <w:tmpl w:val="7286E4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6C37E3"/>
    <w:multiLevelType w:val="multilevel"/>
    <w:tmpl w:val="5BCE45E4"/>
    <w:numStyleLink w:val="NoteListNumber"/>
  </w:abstractNum>
  <w:abstractNum w:abstractNumId="5">
    <w:nsid w:val="0DF0714B"/>
    <w:multiLevelType w:val="multilevel"/>
    <w:tmpl w:val="0C09001F"/>
    <w:name w:val="NoteNumber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F659F"/>
    <w:multiLevelType w:val="multilevel"/>
    <w:tmpl w:val="60E6D4CC"/>
    <w:styleLink w:val="ListNumbers"/>
    <w:lvl w:ilvl="0">
      <w:start w:val="1"/>
      <w:numFmt w:val="decimal"/>
      <w:pStyle w:val="ListNumber"/>
      <w:lvlText w:val="%1"/>
      <w:lvlJc w:val="left"/>
      <w:pPr>
        <w:tabs>
          <w:tab w:val="num" w:pos="284"/>
        </w:tabs>
        <w:ind w:left="284" w:hanging="284"/>
      </w:pPr>
      <w:rPr>
        <w:rFonts w:ascii="Calisto MT" w:hAnsi="Calisto MT"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EE80906"/>
    <w:multiLevelType w:val="hybridMultilevel"/>
    <w:tmpl w:val="BA9695A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2743180"/>
    <w:multiLevelType w:val="hybridMultilevel"/>
    <w:tmpl w:val="00783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8D63BB"/>
    <w:multiLevelType w:val="multilevel"/>
    <w:tmpl w:val="5BCE45E4"/>
    <w:styleLink w:val="NoteListNumber"/>
    <w:lvl w:ilvl="0">
      <w:start w:val="1"/>
      <w:numFmt w:val="none"/>
      <w:lvlRestart w:val="0"/>
      <w:suff w:val="nothing"/>
      <w:lvlText w:val="%1"/>
      <w:lvlJc w:val="left"/>
      <w:pPr>
        <w:ind w:left="0" w:firstLine="0"/>
      </w:pPr>
      <w:rPr>
        <w:rFonts w:ascii="Calibri" w:hAnsi="Calibri" w:cs="Calibri" w:hint="default"/>
        <w:b/>
        <w:i w:val="0"/>
        <w:color w:val="C6BFAB" w:themeColor="accent3"/>
        <w:position w:val="4"/>
      </w:rPr>
    </w:lvl>
    <w:lvl w:ilvl="1">
      <w:start w:val="1"/>
      <w:numFmt w:val="lowerLett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10">
    <w:nsid w:val="19B85820"/>
    <w:multiLevelType w:val="multilevel"/>
    <w:tmpl w:val="F94A5772"/>
    <w:styleLink w:val="ChartListBullets"/>
    <w:lvl w:ilvl="0">
      <w:start w:val="1"/>
      <w:numFmt w:val="bullet"/>
      <w:pStyle w:val="ChartListBullet"/>
      <w:lvlText w:val="■"/>
      <w:lvlJc w:val="left"/>
      <w:pPr>
        <w:tabs>
          <w:tab w:val="num" w:pos="170"/>
        </w:tabs>
        <w:ind w:left="170" w:hanging="170"/>
      </w:pPr>
      <w:rPr>
        <w:rFonts w:ascii="Franklin Gothic Book" w:hAnsi="Franklin Gothic Book" w:hint="default"/>
        <w:color w:val="9B917E" w:themeColor="accent4"/>
        <w:position w:val="2"/>
        <w:sz w:val="12"/>
      </w:rPr>
    </w:lvl>
    <w:lvl w:ilvl="1">
      <w:start w:val="1"/>
      <w:numFmt w:val="bullet"/>
      <w:pStyle w:val="ChartListBullet2"/>
      <w:lvlText w:val="–"/>
      <w:lvlJc w:val="left"/>
      <w:pPr>
        <w:tabs>
          <w:tab w:val="num" w:pos="340"/>
        </w:tabs>
        <w:ind w:left="340" w:hanging="170"/>
      </w:pPr>
      <w:rPr>
        <w:rFonts w:ascii="Franklin Gothic Book" w:hAnsi="Franklin Gothic Book"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006C08"/>
    <w:multiLevelType w:val="multilevel"/>
    <w:tmpl w:val="149034BA"/>
    <w:styleLink w:val="KeyPointBullets"/>
    <w:lvl w:ilvl="0">
      <w:start w:val="1"/>
      <w:numFmt w:val="bullet"/>
      <w:pStyle w:val="KeyPoint"/>
      <w:lvlText w:val="■"/>
      <w:lvlJc w:val="left"/>
      <w:pPr>
        <w:tabs>
          <w:tab w:val="num" w:pos="284"/>
        </w:tabs>
        <w:ind w:left="284" w:hanging="284"/>
      </w:pPr>
      <w:rPr>
        <w:rFonts w:ascii="Franklin Gothic Demi" w:hAnsi="Franklin Gothic Demi" w:hint="default"/>
        <w:color w:val="F61D12" w:themeColor="accent2"/>
      </w:rPr>
    </w:lvl>
    <w:lvl w:ilvl="1">
      <w:start w:val="1"/>
      <w:numFmt w:val="bullet"/>
      <w:pStyle w:val="KeyPoint2"/>
      <w:lvlText w:val="–"/>
      <w:lvlJc w:val="left"/>
      <w:pPr>
        <w:tabs>
          <w:tab w:val="num" w:pos="567"/>
        </w:tabs>
        <w:ind w:left="567" w:hanging="283"/>
      </w:pPr>
      <w:rPr>
        <w:rFonts w:ascii="Franklin Gothic Demi" w:hAnsi="Franklin Gothic Demi" w:hint="default"/>
        <w:color w:val="F61D12" w:themeColor="accent2"/>
        <w:position w:val="2"/>
      </w:rPr>
    </w:lvl>
    <w:lvl w:ilvl="2">
      <w:start w:val="1"/>
      <w:numFmt w:val="bullet"/>
      <w:pStyle w:val="KeyPoint3"/>
      <w:lvlText w:val="…"/>
      <w:lvlJc w:val="left"/>
      <w:pPr>
        <w:tabs>
          <w:tab w:val="num" w:pos="992"/>
        </w:tabs>
        <w:ind w:left="992" w:hanging="425"/>
      </w:pPr>
      <w:rPr>
        <w:rFonts w:ascii="Franklin Gothic Demi" w:hAnsi="Franklin Gothic Demi" w:hint="default"/>
        <w:color w:val="F61D12" w:themeColor="accen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7E231F0"/>
    <w:multiLevelType w:val="multilevel"/>
    <w:tmpl w:val="A8A0795C"/>
    <w:styleLink w:val="RecommendationNumbers"/>
    <w:lvl w:ilvl="0">
      <w:start w:val="1"/>
      <w:numFmt w:val="decimal"/>
      <w:pStyle w:val="RecommendationNumber"/>
      <w:lvlText w:val="%1"/>
      <w:lvlJc w:val="left"/>
      <w:pPr>
        <w:tabs>
          <w:tab w:val="num" w:pos="284"/>
        </w:tabs>
        <w:ind w:left="284" w:hanging="284"/>
      </w:pPr>
      <w:rPr>
        <w:rFonts w:hint="default"/>
      </w:rPr>
    </w:lvl>
    <w:lvl w:ilvl="1">
      <w:start w:val="1"/>
      <w:numFmt w:val="lowerLetter"/>
      <w:pStyle w:val="RecommendationNumber2"/>
      <w:lvlText w:val="%2)"/>
      <w:lvlJc w:val="left"/>
      <w:pPr>
        <w:tabs>
          <w:tab w:val="num" w:pos="567"/>
        </w:tabs>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FD442F"/>
    <w:multiLevelType w:val="hybridMultilevel"/>
    <w:tmpl w:val="3C48063A"/>
    <w:lvl w:ilvl="0" w:tplc="6D22243A">
      <w:start w:val="29"/>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5470DE"/>
    <w:multiLevelType w:val="hybridMultilevel"/>
    <w:tmpl w:val="991C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624A0E"/>
    <w:multiLevelType w:val="multilevel"/>
    <w:tmpl w:val="5BCE45E4"/>
    <w:numStyleLink w:val="NoteListNumber"/>
  </w:abstractNum>
  <w:abstractNum w:abstractNumId="16">
    <w:nsid w:val="3487660B"/>
    <w:multiLevelType w:val="multilevel"/>
    <w:tmpl w:val="5BCE45E4"/>
    <w:numStyleLink w:val="NoteListNumber"/>
  </w:abstractNum>
  <w:abstractNum w:abstractNumId="17">
    <w:nsid w:val="38667170"/>
    <w:multiLevelType w:val="singleLevel"/>
    <w:tmpl w:val="2452B3A0"/>
    <w:lvl w:ilvl="0">
      <w:start w:val="1"/>
      <w:numFmt w:val="bullet"/>
      <w:lvlText w:val=""/>
      <w:lvlJc w:val="left"/>
      <w:pPr>
        <w:tabs>
          <w:tab w:val="num" w:pos="284"/>
        </w:tabs>
        <w:ind w:left="284" w:hanging="284"/>
      </w:pPr>
      <w:rPr>
        <w:rFonts w:ascii="Wingdings" w:hAnsi="Wingdings" w:hint="default"/>
        <w:color w:val="6F6652"/>
      </w:rPr>
    </w:lvl>
  </w:abstractNum>
  <w:abstractNum w:abstractNumId="18">
    <w:nsid w:val="3EDE1609"/>
    <w:multiLevelType w:val="multilevel"/>
    <w:tmpl w:val="D222161E"/>
    <w:lvl w:ilvl="0">
      <w:start w:val="1"/>
      <w:numFmt w:val="decimal"/>
      <w:lvlText w:val="%1"/>
      <w:lvlJc w:val="left"/>
      <w:pPr>
        <w:tabs>
          <w:tab w:val="num" w:pos="567"/>
        </w:tabs>
        <w:ind w:left="567" w:hanging="567"/>
      </w:pPr>
      <w:rPr>
        <w:rFonts w:ascii="Book Antiqua" w:hAnsi="Book Antiqua" w:hint="default"/>
        <w:b/>
        <w:i/>
        <w:color w:val="auto"/>
        <w:spacing w:val="0"/>
        <w:w w:val="100"/>
        <w:position w:val="0"/>
        <w:sz w:val="40"/>
        <w:szCs w:val="4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546"/>
        </w:tabs>
        <w:ind w:left="2106" w:hanging="1080"/>
      </w:pPr>
      <w:rPr>
        <w:rFonts w:hint="default"/>
      </w:rPr>
    </w:lvl>
    <w:lvl w:ilvl="7">
      <w:start w:val="1"/>
      <w:numFmt w:val="none"/>
      <w:lvlText w:val=""/>
      <w:lvlJc w:val="left"/>
      <w:pPr>
        <w:tabs>
          <w:tab w:val="num" w:pos="4266"/>
        </w:tabs>
        <w:ind w:left="2610" w:hanging="1224"/>
      </w:pPr>
      <w:rPr>
        <w:rFonts w:hint="default"/>
      </w:rPr>
    </w:lvl>
    <w:lvl w:ilvl="8">
      <w:start w:val="1"/>
      <w:numFmt w:val="upperLetter"/>
      <w:lvlRestart w:val="0"/>
      <w:lvlText w:val="%9"/>
      <w:lvlJc w:val="left"/>
      <w:pPr>
        <w:tabs>
          <w:tab w:val="num" w:pos="567"/>
        </w:tabs>
        <w:ind w:left="567" w:hanging="567"/>
      </w:pPr>
      <w:rPr>
        <w:rFonts w:ascii="Book Antiqua" w:hAnsi="Book Antiqua" w:hint="default"/>
        <w:b/>
        <w:i/>
        <w:color w:val="auto"/>
        <w:spacing w:val="0"/>
        <w:w w:val="100"/>
        <w:position w:val="0"/>
        <w:sz w:val="40"/>
        <w:szCs w:val="40"/>
      </w:rPr>
    </w:lvl>
  </w:abstractNum>
  <w:abstractNum w:abstractNumId="19">
    <w:nsid w:val="41535386"/>
    <w:multiLevelType w:val="multilevel"/>
    <w:tmpl w:val="8C8656A2"/>
    <w:styleLink w:val="TableListNumbers"/>
    <w:lvl w:ilvl="0">
      <w:start w:val="1"/>
      <w:numFmt w:val="decimal"/>
      <w:pStyle w:val="TableListNumber"/>
      <w:lvlText w:val="%1"/>
      <w:lvlJc w:val="left"/>
      <w:pPr>
        <w:tabs>
          <w:tab w:val="num" w:pos="170"/>
        </w:tabs>
        <w:ind w:left="170" w:hanging="170"/>
      </w:pPr>
      <w:rPr>
        <w:rFonts w:ascii="Franklin Gothic Book" w:hAnsi="Franklin Gothic Book" w:hint="default"/>
      </w:rPr>
    </w:lvl>
    <w:lvl w:ilvl="1">
      <w:start w:val="1"/>
      <w:numFmt w:val="lowerLetter"/>
      <w:pStyle w:val="TableListNumber2"/>
      <w:lvlText w:val="%2)"/>
      <w:lvlJc w:val="left"/>
      <w:pPr>
        <w:tabs>
          <w:tab w:val="num" w:pos="340"/>
        </w:tabs>
        <w:ind w:left="340" w:hanging="17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9266C94"/>
    <w:multiLevelType w:val="hybridMultilevel"/>
    <w:tmpl w:val="00701DB2"/>
    <w:lvl w:ilvl="0" w:tplc="187E140A">
      <w:numFmt w:val="bullet"/>
      <w:lvlText w:val="-"/>
      <w:lvlJc w:val="left"/>
      <w:pPr>
        <w:ind w:left="720" w:hanging="360"/>
      </w:pPr>
      <w:rPr>
        <w:rFonts w:ascii="Calisto MT" w:eastAsia="Times New Roman" w:hAnsi="Calisto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3E75E8"/>
    <w:multiLevelType w:val="multilevel"/>
    <w:tmpl w:val="A3AC9912"/>
    <w:styleLink w:val="HeadingNumbers"/>
    <w:lvl w:ilvl="0">
      <w:start w:val="1"/>
      <w:numFmt w:val="decimal"/>
      <w:pStyle w:val="Heading1"/>
      <w:lvlText w:val="%1"/>
      <w:lvlJc w:val="left"/>
      <w:pPr>
        <w:tabs>
          <w:tab w:val="num" w:pos="567"/>
        </w:tabs>
        <w:ind w:left="567" w:hanging="567"/>
      </w:pPr>
      <w:rPr>
        <w:rFonts w:hint="default"/>
        <w:b w:val="0"/>
        <w:i/>
        <w:color w:val="auto"/>
        <w:sz w:val="36"/>
      </w:rPr>
    </w:lvl>
    <w:lvl w:ilvl="1">
      <w:start w:val="1"/>
      <w:numFmt w:val="none"/>
      <w:lvlRestart w:val="0"/>
      <w:pStyle w:val="Heading2"/>
      <w:suff w:val="nothing"/>
      <w:lvlText w:val=""/>
      <w:lvlJc w:val="left"/>
      <w:pPr>
        <w:ind w:left="0" w:firstLine="0"/>
      </w:pPr>
      <w:rPr>
        <w:rFonts w:hint="default"/>
      </w:rPr>
    </w:lvl>
    <w:lvl w:ilvl="2">
      <w:start w:val="1"/>
      <w:numFmt w:val="none"/>
      <w:lvlRestart w:val="0"/>
      <w:pStyle w:val="Heading3"/>
      <w:suff w:val="nothing"/>
      <w:lvlText w:val=""/>
      <w:lvlJc w:val="left"/>
      <w:pPr>
        <w:ind w:left="0" w:firstLine="0"/>
      </w:pPr>
      <w:rPr>
        <w:rFonts w:hint="default"/>
      </w:rPr>
    </w:lvl>
    <w:lvl w:ilvl="3">
      <w:start w:val="1"/>
      <w:numFmt w:val="none"/>
      <w:lvlRestart w:val="0"/>
      <w:pStyle w:val="Heading4"/>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pStyle w:val="Heading6"/>
      <w:lvlText w:val="%6"/>
      <w:lvlJc w:val="left"/>
      <w:pPr>
        <w:tabs>
          <w:tab w:val="num" w:pos="567"/>
        </w:tabs>
        <w:ind w:left="567" w:hanging="567"/>
      </w:pPr>
      <w:rPr>
        <w:rFonts w:hint="default"/>
        <w:b w:val="0"/>
        <w:i/>
        <w:caps w:val="0"/>
        <w:sz w:val="36"/>
        <w:szCs w:val="28"/>
      </w:rPr>
    </w:lvl>
    <w:lvl w:ilvl="6">
      <w:start w:val="1"/>
      <w:numFmt w:val="none"/>
      <w:lvlRestart w:val="0"/>
      <w:pStyle w:val="Heading7"/>
      <w:suff w:val="nothing"/>
      <w:lvlText w:val=""/>
      <w:lvlJc w:val="left"/>
      <w:pPr>
        <w:ind w:left="0" w:firstLine="0"/>
      </w:pPr>
      <w:rPr>
        <w:rFonts w:hint="default"/>
        <w:caps/>
        <w:sz w:val="22"/>
        <w:szCs w:val="22"/>
      </w:rPr>
    </w:lvl>
    <w:lvl w:ilvl="7">
      <w:start w:val="1"/>
      <w:numFmt w:val="none"/>
      <w:lvlRestart w:val="0"/>
      <w:pStyle w:val="Heading8"/>
      <w:suff w:val="nothing"/>
      <w:lvlText w:val=""/>
      <w:lvlJc w:val="left"/>
      <w:pPr>
        <w:ind w:left="0" w:firstLine="0"/>
      </w:pPr>
      <w:rPr>
        <w:rFonts w:asciiTheme="majorHAnsi" w:hAnsiTheme="majorHAnsi" w:hint="default"/>
      </w:rPr>
    </w:lvl>
    <w:lvl w:ilvl="8">
      <w:start w:val="1"/>
      <w:numFmt w:val="none"/>
      <w:lvlRestart w:val="0"/>
      <w:pStyle w:val="Heading9"/>
      <w:suff w:val="nothing"/>
      <w:lvlText w:val=""/>
      <w:lvlJc w:val="left"/>
      <w:pPr>
        <w:ind w:left="0" w:firstLine="0"/>
      </w:pPr>
      <w:rPr>
        <w:rFonts w:asciiTheme="majorHAnsi" w:hAnsiTheme="majorHAnsi" w:hint="default"/>
      </w:rPr>
    </w:lvl>
  </w:abstractNum>
  <w:abstractNum w:abstractNumId="22">
    <w:nsid w:val="542E221A"/>
    <w:multiLevelType w:val="multilevel"/>
    <w:tmpl w:val="567ADE74"/>
    <w:styleLink w:val="TableListBullets"/>
    <w:lvl w:ilvl="0">
      <w:start w:val="1"/>
      <w:numFmt w:val="bullet"/>
      <w:pStyle w:val="TableListBullet"/>
      <w:lvlText w:val="■"/>
      <w:lvlJc w:val="left"/>
      <w:pPr>
        <w:tabs>
          <w:tab w:val="num" w:pos="170"/>
        </w:tabs>
        <w:ind w:left="170" w:hanging="170"/>
      </w:pPr>
      <w:rPr>
        <w:rFonts w:ascii="Franklin Gothic Book" w:hAnsi="Franklin Gothic Book"/>
        <w:color w:val="9B917E" w:themeColor="accent4"/>
        <w:spacing w:val="0"/>
        <w:w w:val="100"/>
        <w:position w:val="3"/>
        <w:sz w:val="12"/>
      </w:rPr>
    </w:lvl>
    <w:lvl w:ilvl="1">
      <w:start w:val="1"/>
      <w:numFmt w:val="bullet"/>
      <w:pStyle w:val="TableListBullet2"/>
      <w:lvlText w:val="–"/>
      <w:lvlJc w:val="left"/>
      <w:pPr>
        <w:tabs>
          <w:tab w:val="num" w:pos="340"/>
        </w:tabs>
        <w:ind w:left="340" w:hanging="17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787896"/>
    <w:multiLevelType w:val="multilevel"/>
    <w:tmpl w:val="567ADE74"/>
    <w:numStyleLink w:val="TableListBullets"/>
  </w:abstractNum>
  <w:abstractNum w:abstractNumId="24">
    <w:nsid w:val="58B8648D"/>
    <w:multiLevelType w:val="multilevel"/>
    <w:tmpl w:val="5BCE45E4"/>
    <w:lvl w:ilvl="0">
      <w:start w:val="1"/>
      <w:numFmt w:val="none"/>
      <w:lvlRestart w:val="0"/>
      <w:suff w:val="nothing"/>
      <w:lvlText w:val="%1"/>
      <w:lvlJc w:val="left"/>
      <w:pPr>
        <w:ind w:left="0" w:firstLine="0"/>
      </w:pPr>
      <w:rPr>
        <w:rFonts w:ascii="Calibri" w:hAnsi="Calibri" w:cs="Calibri" w:hint="default"/>
        <w:b/>
        <w:i w:val="0"/>
        <w:color w:val="C6BFAB" w:themeColor="accent3"/>
        <w:position w:val="4"/>
      </w:rPr>
    </w:lvl>
    <w:lvl w:ilvl="1">
      <w:start w:val="1"/>
      <w:numFmt w:val="lowerLetter"/>
      <w:pStyle w:val="NoteNumb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25">
    <w:nsid w:val="59AD7F7B"/>
    <w:multiLevelType w:val="hybridMultilevel"/>
    <w:tmpl w:val="BDAE39F6"/>
    <w:lvl w:ilvl="0" w:tplc="6F58FA4C">
      <w:start w:val="3"/>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7F0008"/>
    <w:multiLevelType w:val="hybridMultilevel"/>
    <w:tmpl w:val="27289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101DFA"/>
    <w:multiLevelType w:val="hybridMultilevel"/>
    <w:tmpl w:val="61D0F152"/>
    <w:lvl w:ilvl="0" w:tplc="12E66214">
      <w:start w:val="596"/>
      <w:numFmt w:val="bullet"/>
      <w:lvlText w:val="-"/>
      <w:lvlJc w:val="left"/>
      <w:pPr>
        <w:ind w:left="1440" w:hanging="360"/>
      </w:pPr>
      <w:rPr>
        <w:rFonts w:ascii="Franklin Gothic Book" w:eastAsia="Times New Roman" w:hAnsi="Franklin Gothic Book"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C420028"/>
    <w:multiLevelType w:val="multilevel"/>
    <w:tmpl w:val="AD122346"/>
    <w:styleLink w:val="ChartListNumber"/>
    <w:lvl w:ilvl="0">
      <w:start w:val="1"/>
      <w:numFmt w:val="decimal"/>
      <w:pStyle w:val="ChartListNumber0"/>
      <w:lvlText w:val="%1"/>
      <w:lvlJc w:val="left"/>
      <w:pPr>
        <w:tabs>
          <w:tab w:val="num" w:pos="170"/>
        </w:tabs>
        <w:ind w:left="170" w:hanging="17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C72215E"/>
    <w:multiLevelType w:val="singleLevel"/>
    <w:tmpl w:val="1E5E4F82"/>
    <w:lvl w:ilvl="0">
      <w:numFmt w:val="bullet"/>
      <w:lvlText w:val="–"/>
      <w:lvlJc w:val="left"/>
      <w:pPr>
        <w:tabs>
          <w:tab w:val="num" w:pos="567"/>
        </w:tabs>
        <w:ind w:left="567" w:hanging="283"/>
      </w:pPr>
      <w:rPr>
        <w:rFonts w:ascii="Arial" w:hAnsi="Arial" w:hint="default"/>
      </w:rPr>
    </w:lvl>
  </w:abstractNum>
  <w:abstractNum w:abstractNumId="30">
    <w:nsid w:val="715A5BE0"/>
    <w:multiLevelType w:val="hybridMultilevel"/>
    <w:tmpl w:val="0ABE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8120EA"/>
    <w:multiLevelType w:val="multilevel"/>
    <w:tmpl w:val="CB3EC8D0"/>
    <w:styleLink w:val="ListBullets"/>
    <w:lvl w:ilvl="0">
      <w:start w:val="1"/>
      <w:numFmt w:val="bullet"/>
      <w:pStyle w:val="ListBullet"/>
      <w:lvlText w:val="■"/>
      <w:lvlJc w:val="left"/>
      <w:pPr>
        <w:tabs>
          <w:tab w:val="num" w:pos="284"/>
        </w:tabs>
        <w:ind w:left="284" w:hanging="284"/>
      </w:pPr>
      <w:rPr>
        <w:rFonts w:ascii="Franklin Gothic Demi" w:hAnsi="Franklin Gothic Demi" w:hint="default"/>
        <w:color w:val="9B917E" w:themeColor="accent4"/>
        <w:position w:val="3"/>
        <w:sz w:val="16"/>
      </w:rPr>
    </w:lvl>
    <w:lvl w:ilvl="1">
      <w:start w:val="1"/>
      <w:numFmt w:val="bullet"/>
      <w:pStyle w:val="ListBullet2"/>
      <w:lvlText w:val="–"/>
      <w:lvlJc w:val="left"/>
      <w:pPr>
        <w:tabs>
          <w:tab w:val="num" w:pos="567"/>
        </w:tabs>
        <w:ind w:left="567" w:hanging="283"/>
      </w:pPr>
      <w:rPr>
        <w:rFonts w:hint="default"/>
      </w:rPr>
    </w:lvl>
    <w:lvl w:ilvl="2">
      <w:start w:val="1"/>
      <w:numFmt w:val="bullet"/>
      <w:pStyle w:val="ListBullet3"/>
      <w:lvlText w:val="…"/>
      <w:lvlJc w:val="left"/>
      <w:pPr>
        <w:tabs>
          <w:tab w:val="num" w:pos="907"/>
        </w:tabs>
        <w:ind w:left="907" w:hanging="340"/>
      </w:pPr>
      <w:rPr>
        <w:rFonts w:ascii="Calisto MT" w:hAnsi="Calisto MT" w:hint="default"/>
        <w:color w:val="9B917E" w:themeColor="accent4"/>
        <w:position w:val="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20F67A8"/>
    <w:multiLevelType w:val="multilevel"/>
    <w:tmpl w:val="0C090029"/>
    <w:name w:val="NoteNumber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721F5258"/>
    <w:multiLevelType w:val="hybridMultilevel"/>
    <w:tmpl w:val="D0C49248"/>
    <w:lvl w:ilvl="0" w:tplc="96049A7A">
      <w:start w:val="9"/>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29C0D30"/>
    <w:multiLevelType w:val="hybridMultilevel"/>
    <w:tmpl w:val="587AD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BB502B"/>
    <w:multiLevelType w:val="multilevel"/>
    <w:tmpl w:val="CB90F828"/>
    <w:lvl w:ilvl="0">
      <w:start w:val="1"/>
      <w:numFmt w:val="lowerLetter"/>
      <w:lvlRestart w:val="0"/>
      <w:lvlText w:val="%1"/>
      <w:lvlJc w:val="left"/>
      <w:pPr>
        <w:tabs>
          <w:tab w:val="num" w:pos="170"/>
        </w:tabs>
        <w:ind w:left="0" w:firstLine="0"/>
      </w:pPr>
      <w:rPr>
        <w:rFonts w:hint="default"/>
        <w:b/>
        <w:bCs w:val="0"/>
        <w:i w:val="0"/>
        <w:iCs w:val="0"/>
        <w:caps w:val="0"/>
        <w:smallCaps w:val="0"/>
        <w:strike w:val="0"/>
        <w:dstrike w:val="0"/>
        <w:outline w:val="0"/>
        <w:shadow w:val="0"/>
        <w:emboss w:val="0"/>
        <w:imprint w:val="0"/>
        <w:noProof w:val="0"/>
        <w:vanish w:val="0"/>
        <w:color w:val="00497E"/>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36">
    <w:nsid w:val="7B636622"/>
    <w:multiLevelType w:val="hybridMultilevel"/>
    <w:tmpl w:val="C51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C3A0DF8"/>
    <w:multiLevelType w:val="multilevel"/>
    <w:tmpl w:val="E6863C72"/>
    <w:lvl w:ilvl="0">
      <w:start w:val="1"/>
      <w:numFmt w:val="none"/>
      <w:lvlRestart w:val="0"/>
      <w:pStyle w:val="Caption"/>
      <w:suff w:val="nothing"/>
      <w:lvlText w:val="%1"/>
      <w:lvlJc w:val="left"/>
      <w:pPr>
        <w:ind w:left="0" w:firstLine="0"/>
      </w:pPr>
      <w:rPr>
        <w:rFonts w:ascii="Calibri" w:hAnsi="Calibri" w:cs="Calibri" w:hint="default"/>
        <w:b/>
        <w:i w:val="0"/>
        <w:color w:val="C6BFAB" w:themeColor="accent3"/>
        <w:position w:val="4"/>
      </w:rPr>
    </w:lvl>
    <w:lvl w:ilvl="1">
      <w:start w:val="1"/>
      <w:numFmt w:val="lowerLetter"/>
      <w:lvlText w:val="%1%2"/>
      <w:lvlJc w:val="left"/>
      <w:pPr>
        <w:tabs>
          <w:tab w:val="num" w:pos="170"/>
        </w:tabs>
        <w:ind w:left="170" w:hanging="170"/>
      </w:pPr>
      <w:rPr>
        <w:rFonts w:hint="default"/>
        <w:b/>
        <w:i w:val="0"/>
        <w:color w:val="C6BFAB" w:themeColor="accent3"/>
        <w:position w:val="4"/>
      </w:rPr>
    </w:lvl>
    <w:lvl w:ilvl="2">
      <w:start w:val="1"/>
      <w:numFmt w:val="none"/>
      <w:lvlRestart w:val="0"/>
      <w:suff w:val="nothing"/>
      <w:lvlText w:val="%1"/>
      <w:lvlJc w:val="left"/>
      <w:pPr>
        <w:ind w:left="1224" w:hanging="504"/>
      </w:pPr>
      <w:rPr>
        <w:rFonts w:hint="default"/>
      </w:rPr>
    </w:lvl>
    <w:lvl w:ilvl="3">
      <w:start w:val="1"/>
      <w:numFmt w:val="none"/>
      <w:lvlRestart w:val="0"/>
      <w:suff w:val="nothing"/>
      <w:lvlText w:val="%1"/>
      <w:lvlJc w:val="left"/>
      <w:pPr>
        <w:ind w:left="1728" w:hanging="648"/>
      </w:pPr>
      <w:rPr>
        <w:rFonts w:hint="default"/>
      </w:rPr>
    </w:lvl>
    <w:lvl w:ilvl="4">
      <w:start w:val="1"/>
      <w:numFmt w:val="none"/>
      <w:lvlRestart w:val="0"/>
      <w:suff w:val="nothing"/>
      <w:lvlText w:val="%1"/>
      <w:lvlJc w:val="left"/>
      <w:pPr>
        <w:ind w:left="2232" w:hanging="792"/>
      </w:pPr>
      <w:rPr>
        <w:rFonts w:hint="default"/>
      </w:rPr>
    </w:lvl>
    <w:lvl w:ilvl="5">
      <w:start w:val="1"/>
      <w:numFmt w:val="none"/>
      <w:lvlRestart w:val="0"/>
      <w:suff w:val="nothing"/>
      <w:lvlText w:val="%1"/>
      <w:lvlJc w:val="left"/>
      <w:pPr>
        <w:ind w:left="2736" w:hanging="936"/>
      </w:pPr>
      <w:rPr>
        <w:rFonts w:hint="default"/>
      </w:rPr>
    </w:lvl>
    <w:lvl w:ilvl="6">
      <w:start w:val="1"/>
      <w:numFmt w:val="none"/>
      <w:lvlRestart w:val="0"/>
      <w:suff w:val="nothing"/>
      <w:lvlText w:val="%1"/>
      <w:lvlJc w:val="left"/>
      <w:pPr>
        <w:ind w:left="3240" w:hanging="1080"/>
      </w:pPr>
      <w:rPr>
        <w:rFonts w:hint="default"/>
      </w:rPr>
    </w:lvl>
    <w:lvl w:ilvl="7">
      <w:start w:val="1"/>
      <w:numFmt w:val="none"/>
      <w:lvlRestart w:val="0"/>
      <w:suff w:val="nothing"/>
      <w:lvlText w:val="%1"/>
      <w:lvlJc w:val="left"/>
      <w:pPr>
        <w:ind w:left="3744" w:hanging="1224"/>
      </w:pPr>
      <w:rPr>
        <w:rFonts w:hint="default"/>
      </w:rPr>
    </w:lvl>
    <w:lvl w:ilvl="8">
      <w:start w:val="1"/>
      <w:numFmt w:val="none"/>
      <w:lvlRestart w:val="0"/>
      <w:suff w:val="nothing"/>
      <w:lvlText w:val="%1"/>
      <w:lvlJc w:val="left"/>
      <w:pPr>
        <w:ind w:left="4320" w:hanging="1440"/>
      </w:pPr>
      <w:rPr>
        <w:rFonts w:hint="default"/>
      </w:rPr>
    </w:lvl>
  </w:abstractNum>
  <w:abstractNum w:abstractNumId="38">
    <w:nsid w:val="7D255A33"/>
    <w:multiLevelType w:val="hybridMultilevel"/>
    <w:tmpl w:val="F9CC93CC"/>
    <w:lvl w:ilvl="0" w:tplc="12E66214">
      <w:start w:val="596"/>
      <w:numFmt w:val="bullet"/>
      <w:lvlText w:val="-"/>
      <w:lvlJc w:val="left"/>
      <w:pPr>
        <w:ind w:left="720" w:hanging="360"/>
      </w:pPr>
      <w:rPr>
        <w:rFonts w:ascii="Franklin Gothic Book" w:eastAsia="Times New Roman" w:hAnsi="Franklin Gothic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B95720"/>
    <w:multiLevelType w:val="hybridMultilevel"/>
    <w:tmpl w:val="3BF6B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0"/>
  </w:num>
  <w:num w:numId="4">
    <w:abstractNumId w:val="28"/>
  </w:num>
  <w:num w:numId="5">
    <w:abstractNumId w:val="21"/>
  </w:num>
  <w:num w:numId="6">
    <w:abstractNumId w:val="12"/>
  </w:num>
  <w:num w:numId="7">
    <w:abstractNumId w:val="37"/>
  </w:num>
  <w:num w:numId="8">
    <w:abstractNumId w:val="31"/>
    <w:lvlOverride w:ilvl="0">
      <w:lvl w:ilvl="0">
        <w:start w:val="1"/>
        <w:numFmt w:val="bullet"/>
        <w:pStyle w:val="ListBullet"/>
        <w:lvlText w:val="■"/>
        <w:lvlJc w:val="left"/>
        <w:pPr>
          <w:tabs>
            <w:tab w:val="num" w:pos="284"/>
          </w:tabs>
          <w:ind w:left="284" w:hanging="284"/>
        </w:pPr>
        <w:rPr>
          <w:rFonts w:ascii="Franklin Gothic Demi" w:hAnsi="Franklin Gothic Demi" w:hint="default"/>
          <w:color w:val="006B7A" w:themeColor="accent1"/>
        </w:rPr>
      </w:lvl>
    </w:lvlOverride>
    <w:lvlOverride w:ilvl="1">
      <w:lvl w:ilvl="1">
        <w:start w:val="1"/>
        <w:numFmt w:val="bullet"/>
        <w:pStyle w:val="ListBullet2"/>
        <w:lvlText w:val="–"/>
        <w:lvlJc w:val="left"/>
        <w:pPr>
          <w:tabs>
            <w:tab w:val="num" w:pos="567"/>
          </w:tabs>
          <w:ind w:left="567" w:hanging="283"/>
        </w:pPr>
        <w:rPr>
          <w:rFonts w:ascii="Franklin Gothic Demi" w:hAnsi="Franklin Gothic Demi" w:hint="default"/>
          <w:color w:val="006B7A" w:themeColor="accent1"/>
          <w:position w:val="2"/>
        </w:rPr>
      </w:lvl>
    </w:lvlOverride>
    <w:lvlOverride w:ilvl="2">
      <w:lvl w:ilvl="2">
        <w:start w:val="1"/>
        <w:numFmt w:val="bullet"/>
        <w:pStyle w:val="ListBullet3"/>
        <w:lvlText w:val="…"/>
        <w:lvlJc w:val="left"/>
        <w:pPr>
          <w:tabs>
            <w:tab w:val="num" w:pos="992"/>
          </w:tabs>
          <w:ind w:left="992" w:hanging="425"/>
        </w:pPr>
        <w:rPr>
          <w:rFonts w:ascii="Franklin Gothic Demi" w:hAnsi="Franklin Gothic Demi" w:hint="default"/>
          <w:color w:val="EF1209"/>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3"/>
  </w:num>
  <w:num w:numId="10">
    <w:abstractNumId w:val="0"/>
  </w:num>
  <w:num w:numId="11">
    <w:abstractNumId w:val="31"/>
  </w:num>
  <w:num w:numId="12">
    <w:abstractNumId w:val="6"/>
  </w:num>
  <w:num w:numId="13">
    <w:abstractNumId w:val="11"/>
  </w:num>
  <w:num w:numId="14">
    <w:abstractNumId w:val="9"/>
  </w:num>
  <w:num w:numId="15">
    <w:abstractNumId w:val="16"/>
  </w:num>
  <w:num w:numId="16">
    <w:abstractNumId w:val="3"/>
  </w:num>
  <w:num w:numId="17">
    <w:abstractNumId w:val="1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31"/>
    <w:lvlOverride w:ilvl="0">
      <w:lvl w:ilvl="0">
        <w:start w:val="1"/>
        <w:numFmt w:val="bullet"/>
        <w:pStyle w:val="ListBullet"/>
        <w:lvlText w:val="■"/>
        <w:lvlJc w:val="left"/>
        <w:pPr>
          <w:tabs>
            <w:tab w:val="num" w:pos="284"/>
          </w:tabs>
          <w:ind w:left="284" w:hanging="284"/>
        </w:pPr>
        <w:rPr>
          <w:rFonts w:ascii="Franklin Gothic Demi" w:hAnsi="Franklin Gothic Demi" w:hint="default"/>
          <w:color w:val="9B917E" w:themeColor="accent4"/>
          <w:position w:val="3"/>
          <w:sz w:val="16"/>
        </w:rPr>
      </w:lvl>
    </w:lvlOverride>
  </w:num>
  <w:num w:numId="22">
    <w:abstractNumId w:val="17"/>
  </w:num>
  <w:num w:numId="23">
    <w:abstractNumId w:val="18"/>
  </w:num>
  <w:num w:numId="24">
    <w:abstractNumId w:val="29"/>
  </w:num>
  <w:num w:numId="25">
    <w:abstractNumId w:val="20"/>
  </w:num>
  <w:num w:numId="26">
    <w:abstractNumId w:val="30"/>
  </w:num>
  <w:num w:numId="27">
    <w:abstractNumId w:val="14"/>
  </w:num>
  <w:num w:numId="28">
    <w:abstractNumId w:val="8"/>
  </w:num>
  <w:num w:numId="29">
    <w:abstractNumId w:val="39"/>
  </w:num>
  <w:num w:numId="30">
    <w:abstractNumId w:val="36"/>
  </w:num>
  <w:num w:numId="31">
    <w:abstractNumId w:val="2"/>
  </w:num>
  <w:num w:numId="32">
    <w:abstractNumId w:val="26"/>
  </w:num>
  <w:num w:numId="33">
    <w:abstractNumId w:val="1"/>
  </w:num>
  <w:num w:numId="34">
    <w:abstractNumId w:val="38"/>
  </w:num>
  <w:num w:numId="35">
    <w:abstractNumId w:val="27"/>
  </w:num>
  <w:num w:numId="36">
    <w:abstractNumId w:val="34"/>
  </w:num>
  <w:num w:numId="37">
    <w:abstractNumId w:val="7"/>
  </w:num>
  <w:num w:numId="38">
    <w:abstractNumId w:val="13"/>
  </w:num>
  <w:num w:numId="39">
    <w:abstractNumId w:val="33"/>
  </w:num>
  <w:num w:numId="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AU" w:vendorID="64" w:dllVersion="131078" w:nlCheck="1" w:checkStyle="0"/>
  <w:activeWritingStyle w:appName="MSWord" w:lang="en-US" w:vendorID="64" w:dllVersion="131078"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284"/>
  <w:clickAndTypeStyle w:val="BodyText"/>
  <w:evenAndOddHeaders/>
  <w:drawingGridHorizontalSpacing w:val="142"/>
  <w:drawingGridVerticalSpacing w:val="142"/>
  <w:characterSpacingControl w:val="doNotCompress"/>
  <w:hdrShapeDefaults>
    <o:shapedefaults v:ext="edit" spidmax="4097"/>
  </w:hdrShapeDefaults>
  <w:footnotePr>
    <w:footnote w:id="-1"/>
    <w:footnote w:id="0"/>
  </w:footnotePr>
  <w:endnotePr>
    <w:endnote w:id="-1"/>
    <w:endnote w:id="0"/>
  </w:endnotePr>
  <w:compat>
    <w:noLeading/>
    <w:printColBlack/>
    <w:showBreaksInFrames/>
    <w:suppressSpBfAfterPgBrk/>
    <w:swapBordersFacingPages/>
    <w:noSpaceRaiseLower/>
    <w:layoutRawTableWidth/>
    <w:selectFldWithFirstOrLastChar/>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7B"/>
    <w:rsid w:val="00000726"/>
    <w:rsid w:val="0000404E"/>
    <w:rsid w:val="000053BF"/>
    <w:rsid w:val="00005768"/>
    <w:rsid w:val="00006740"/>
    <w:rsid w:val="000078F0"/>
    <w:rsid w:val="0001048F"/>
    <w:rsid w:val="00014030"/>
    <w:rsid w:val="000168BA"/>
    <w:rsid w:val="00017D5A"/>
    <w:rsid w:val="00022345"/>
    <w:rsid w:val="00024206"/>
    <w:rsid w:val="00024872"/>
    <w:rsid w:val="00027E7C"/>
    <w:rsid w:val="0003192F"/>
    <w:rsid w:val="000331D6"/>
    <w:rsid w:val="00036FD6"/>
    <w:rsid w:val="00042363"/>
    <w:rsid w:val="00043FE2"/>
    <w:rsid w:val="00045326"/>
    <w:rsid w:val="000461CB"/>
    <w:rsid w:val="000473DD"/>
    <w:rsid w:val="00051172"/>
    <w:rsid w:val="00052303"/>
    <w:rsid w:val="00054AAC"/>
    <w:rsid w:val="00061CDB"/>
    <w:rsid w:val="00063D61"/>
    <w:rsid w:val="000642B7"/>
    <w:rsid w:val="000652FC"/>
    <w:rsid w:val="00065889"/>
    <w:rsid w:val="00070083"/>
    <w:rsid w:val="00070654"/>
    <w:rsid w:val="000719EA"/>
    <w:rsid w:val="00072873"/>
    <w:rsid w:val="00073C36"/>
    <w:rsid w:val="00081AC6"/>
    <w:rsid w:val="000866A5"/>
    <w:rsid w:val="000872FB"/>
    <w:rsid w:val="000873CC"/>
    <w:rsid w:val="00087E40"/>
    <w:rsid w:val="00090B41"/>
    <w:rsid w:val="000923A8"/>
    <w:rsid w:val="00092BC9"/>
    <w:rsid w:val="00095461"/>
    <w:rsid w:val="00095D2C"/>
    <w:rsid w:val="0009623A"/>
    <w:rsid w:val="000978D6"/>
    <w:rsid w:val="000A04F6"/>
    <w:rsid w:val="000A3975"/>
    <w:rsid w:val="000A744E"/>
    <w:rsid w:val="000B204E"/>
    <w:rsid w:val="000B2602"/>
    <w:rsid w:val="000B397D"/>
    <w:rsid w:val="000B6546"/>
    <w:rsid w:val="000C2592"/>
    <w:rsid w:val="000C35CB"/>
    <w:rsid w:val="000C55C5"/>
    <w:rsid w:val="000D052F"/>
    <w:rsid w:val="000D4C79"/>
    <w:rsid w:val="000D53CB"/>
    <w:rsid w:val="000D738C"/>
    <w:rsid w:val="000E06BD"/>
    <w:rsid w:val="000E3271"/>
    <w:rsid w:val="000E5329"/>
    <w:rsid w:val="000E5731"/>
    <w:rsid w:val="000E5F6B"/>
    <w:rsid w:val="000E7F4B"/>
    <w:rsid w:val="000F76FA"/>
    <w:rsid w:val="000F7DCD"/>
    <w:rsid w:val="00100744"/>
    <w:rsid w:val="0010339F"/>
    <w:rsid w:val="00106B92"/>
    <w:rsid w:val="001113DF"/>
    <w:rsid w:val="00112299"/>
    <w:rsid w:val="001132FF"/>
    <w:rsid w:val="00113392"/>
    <w:rsid w:val="00114298"/>
    <w:rsid w:val="00122CBF"/>
    <w:rsid w:val="00125045"/>
    <w:rsid w:val="001267A4"/>
    <w:rsid w:val="00131EC3"/>
    <w:rsid w:val="00132A04"/>
    <w:rsid w:val="0013655A"/>
    <w:rsid w:val="00137548"/>
    <w:rsid w:val="001377F8"/>
    <w:rsid w:val="00141E1F"/>
    <w:rsid w:val="00144AC4"/>
    <w:rsid w:val="00144B99"/>
    <w:rsid w:val="00145444"/>
    <w:rsid w:val="00147133"/>
    <w:rsid w:val="00151D8E"/>
    <w:rsid w:val="0015309D"/>
    <w:rsid w:val="00154EE1"/>
    <w:rsid w:val="00155EBB"/>
    <w:rsid w:val="00155FC6"/>
    <w:rsid w:val="00156FB3"/>
    <w:rsid w:val="00157456"/>
    <w:rsid w:val="001605E1"/>
    <w:rsid w:val="00160701"/>
    <w:rsid w:val="00160FB8"/>
    <w:rsid w:val="00161FB8"/>
    <w:rsid w:val="001624ED"/>
    <w:rsid w:val="001647E4"/>
    <w:rsid w:val="00164A52"/>
    <w:rsid w:val="00167266"/>
    <w:rsid w:val="00172A23"/>
    <w:rsid w:val="00172EE8"/>
    <w:rsid w:val="0017310D"/>
    <w:rsid w:val="00173B54"/>
    <w:rsid w:val="001750CC"/>
    <w:rsid w:val="001754CB"/>
    <w:rsid w:val="00176390"/>
    <w:rsid w:val="00183D95"/>
    <w:rsid w:val="001850B1"/>
    <w:rsid w:val="001852E4"/>
    <w:rsid w:val="0019242D"/>
    <w:rsid w:val="0019261A"/>
    <w:rsid w:val="00192D12"/>
    <w:rsid w:val="001951A7"/>
    <w:rsid w:val="001951C4"/>
    <w:rsid w:val="00195939"/>
    <w:rsid w:val="0019703F"/>
    <w:rsid w:val="001A0013"/>
    <w:rsid w:val="001A066A"/>
    <w:rsid w:val="001A08AD"/>
    <w:rsid w:val="001A0B79"/>
    <w:rsid w:val="001A1065"/>
    <w:rsid w:val="001A2A99"/>
    <w:rsid w:val="001A2D20"/>
    <w:rsid w:val="001A4BDB"/>
    <w:rsid w:val="001A59B2"/>
    <w:rsid w:val="001A6EA7"/>
    <w:rsid w:val="001A6EAB"/>
    <w:rsid w:val="001B0B61"/>
    <w:rsid w:val="001B1B01"/>
    <w:rsid w:val="001B2F94"/>
    <w:rsid w:val="001B3876"/>
    <w:rsid w:val="001B747F"/>
    <w:rsid w:val="001B7C37"/>
    <w:rsid w:val="001C0972"/>
    <w:rsid w:val="001C0E54"/>
    <w:rsid w:val="001C24C9"/>
    <w:rsid w:val="001C3CC5"/>
    <w:rsid w:val="001C3E07"/>
    <w:rsid w:val="001C41C7"/>
    <w:rsid w:val="001C6315"/>
    <w:rsid w:val="001D200A"/>
    <w:rsid w:val="001D2D60"/>
    <w:rsid w:val="001D3E1A"/>
    <w:rsid w:val="001D6065"/>
    <w:rsid w:val="001E04F5"/>
    <w:rsid w:val="001E2A83"/>
    <w:rsid w:val="001E2D52"/>
    <w:rsid w:val="001E34F6"/>
    <w:rsid w:val="001E3D69"/>
    <w:rsid w:val="001E4E51"/>
    <w:rsid w:val="001E6A14"/>
    <w:rsid w:val="001F182E"/>
    <w:rsid w:val="001F2906"/>
    <w:rsid w:val="001F3E78"/>
    <w:rsid w:val="001F438A"/>
    <w:rsid w:val="001F45EB"/>
    <w:rsid w:val="001F5579"/>
    <w:rsid w:val="001F5611"/>
    <w:rsid w:val="001F62C5"/>
    <w:rsid w:val="001F650C"/>
    <w:rsid w:val="002006F2"/>
    <w:rsid w:val="00200DE7"/>
    <w:rsid w:val="00202BB1"/>
    <w:rsid w:val="002043F1"/>
    <w:rsid w:val="002054AC"/>
    <w:rsid w:val="00206772"/>
    <w:rsid w:val="002078CE"/>
    <w:rsid w:val="00212CA5"/>
    <w:rsid w:val="002149C9"/>
    <w:rsid w:val="002164D6"/>
    <w:rsid w:val="00216C8F"/>
    <w:rsid w:val="00217000"/>
    <w:rsid w:val="0021708E"/>
    <w:rsid w:val="0021727E"/>
    <w:rsid w:val="002175B7"/>
    <w:rsid w:val="0021770B"/>
    <w:rsid w:val="002203C4"/>
    <w:rsid w:val="00221BE0"/>
    <w:rsid w:val="00222007"/>
    <w:rsid w:val="00222BF5"/>
    <w:rsid w:val="0022386A"/>
    <w:rsid w:val="002249BD"/>
    <w:rsid w:val="00225890"/>
    <w:rsid w:val="00225D69"/>
    <w:rsid w:val="00226230"/>
    <w:rsid w:val="002262E1"/>
    <w:rsid w:val="00230635"/>
    <w:rsid w:val="00231E5E"/>
    <w:rsid w:val="002321B8"/>
    <w:rsid w:val="00232F15"/>
    <w:rsid w:val="00234760"/>
    <w:rsid w:val="00234EAC"/>
    <w:rsid w:val="002355AE"/>
    <w:rsid w:val="00235787"/>
    <w:rsid w:val="0023701E"/>
    <w:rsid w:val="00237D6C"/>
    <w:rsid w:val="002411F9"/>
    <w:rsid w:val="0024172A"/>
    <w:rsid w:val="0025014B"/>
    <w:rsid w:val="002501B3"/>
    <w:rsid w:val="00252A3F"/>
    <w:rsid w:val="0025306F"/>
    <w:rsid w:val="00255187"/>
    <w:rsid w:val="00255341"/>
    <w:rsid w:val="002568C5"/>
    <w:rsid w:val="00257809"/>
    <w:rsid w:val="00257F35"/>
    <w:rsid w:val="002613B7"/>
    <w:rsid w:val="00262F13"/>
    <w:rsid w:val="002646BA"/>
    <w:rsid w:val="002658EB"/>
    <w:rsid w:val="0027008A"/>
    <w:rsid w:val="00274BEB"/>
    <w:rsid w:val="002761F9"/>
    <w:rsid w:val="00280D84"/>
    <w:rsid w:val="00280FB4"/>
    <w:rsid w:val="002812E4"/>
    <w:rsid w:val="00287996"/>
    <w:rsid w:val="00290273"/>
    <w:rsid w:val="0029248B"/>
    <w:rsid w:val="00295145"/>
    <w:rsid w:val="002979E6"/>
    <w:rsid w:val="002A7161"/>
    <w:rsid w:val="002A7FBB"/>
    <w:rsid w:val="002B1B67"/>
    <w:rsid w:val="002B3352"/>
    <w:rsid w:val="002B418C"/>
    <w:rsid w:val="002B68C2"/>
    <w:rsid w:val="002B76B3"/>
    <w:rsid w:val="002C0234"/>
    <w:rsid w:val="002C0B69"/>
    <w:rsid w:val="002C1088"/>
    <w:rsid w:val="002C4DAF"/>
    <w:rsid w:val="002C5E17"/>
    <w:rsid w:val="002D0F84"/>
    <w:rsid w:val="002D12E6"/>
    <w:rsid w:val="002D16DF"/>
    <w:rsid w:val="002D1D19"/>
    <w:rsid w:val="002D1EA5"/>
    <w:rsid w:val="002D219D"/>
    <w:rsid w:val="002D245D"/>
    <w:rsid w:val="002D4888"/>
    <w:rsid w:val="002D4C2F"/>
    <w:rsid w:val="002E3000"/>
    <w:rsid w:val="002E42E5"/>
    <w:rsid w:val="002E4B26"/>
    <w:rsid w:val="002E5345"/>
    <w:rsid w:val="002E641C"/>
    <w:rsid w:val="002E7FE4"/>
    <w:rsid w:val="002F0710"/>
    <w:rsid w:val="002F2AD2"/>
    <w:rsid w:val="002F2DAD"/>
    <w:rsid w:val="002F3BED"/>
    <w:rsid w:val="002F54D7"/>
    <w:rsid w:val="002F7E2A"/>
    <w:rsid w:val="00300FE4"/>
    <w:rsid w:val="003034B4"/>
    <w:rsid w:val="00303E96"/>
    <w:rsid w:val="00304C10"/>
    <w:rsid w:val="00305777"/>
    <w:rsid w:val="003126F2"/>
    <w:rsid w:val="00314C70"/>
    <w:rsid w:val="00316FB2"/>
    <w:rsid w:val="003202CB"/>
    <w:rsid w:val="00320B11"/>
    <w:rsid w:val="003247B1"/>
    <w:rsid w:val="00324AC0"/>
    <w:rsid w:val="00326D2F"/>
    <w:rsid w:val="00332AAD"/>
    <w:rsid w:val="00333489"/>
    <w:rsid w:val="003336FB"/>
    <w:rsid w:val="00337449"/>
    <w:rsid w:val="00343707"/>
    <w:rsid w:val="00344521"/>
    <w:rsid w:val="00347146"/>
    <w:rsid w:val="0034759A"/>
    <w:rsid w:val="00347B60"/>
    <w:rsid w:val="003506C7"/>
    <w:rsid w:val="00350F84"/>
    <w:rsid w:val="0035105D"/>
    <w:rsid w:val="00352EC0"/>
    <w:rsid w:val="00354223"/>
    <w:rsid w:val="003561F3"/>
    <w:rsid w:val="0035659D"/>
    <w:rsid w:val="00357024"/>
    <w:rsid w:val="003573D1"/>
    <w:rsid w:val="00357593"/>
    <w:rsid w:val="00360168"/>
    <w:rsid w:val="00363A6B"/>
    <w:rsid w:val="00363C20"/>
    <w:rsid w:val="00364961"/>
    <w:rsid w:val="0037167C"/>
    <w:rsid w:val="003726AE"/>
    <w:rsid w:val="0037281D"/>
    <w:rsid w:val="00372E7F"/>
    <w:rsid w:val="00373553"/>
    <w:rsid w:val="0037389E"/>
    <w:rsid w:val="00375A3B"/>
    <w:rsid w:val="00375BA6"/>
    <w:rsid w:val="00375F1A"/>
    <w:rsid w:val="003818BB"/>
    <w:rsid w:val="0038664C"/>
    <w:rsid w:val="00387CB5"/>
    <w:rsid w:val="00390B52"/>
    <w:rsid w:val="00392952"/>
    <w:rsid w:val="00394D91"/>
    <w:rsid w:val="00395D18"/>
    <w:rsid w:val="003966C8"/>
    <w:rsid w:val="00396ABD"/>
    <w:rsid w:val="00397DC8"/>
    <w:rsid w:val="003A1DFF"/>
    <w:rsid w:val="003A20B3"/>
    <w:rsid w:val="003A22CD"/>
    <w:rsid w:val="003A24B5"/>
    <w:rsid w:val="003A28F7"/>
    <w:rsid w:val="003A4189"/>
    <w:rsid w:val="003A4B45"/>
    <w:rsid w:val="003B0F02"/>
    <w:rsid w:val="003B0F2C"/>
    <w:rsid w:val="003B187C"/>
    <w:rsid w:val="003B2B11"/>
    <w:rsid w:val="003B3BE9"/>
    <w:rsid w:val="003B3D27"/>
    <w:rsid w:val="003B4AAA"/>
    <w:rsid w:val="003B5EBE"/>
    <w:rsid w:val="003B7167"/>
    <w:rsid w:val="003C166E"/>
    <w:rsid w:val="003C392D"/>
    <w:rsid w:val="003C3A35"/>
    <w:rsid w:val="003C420B"/>
    <w:rsid w:val="003C4883"/>
    <w:rsid w:val="003C53D9"/>
    <w:rsid w:val="003C62AC"/>
    <w:rsid w:val="003D007E"/>
    <w:rsid w:val="003D0A62"/>
    <w:rsid w:val="003D2A2B"/>
    <w:rsid w:val="003D41EA"/>
    <w:rsid w:val="003D6FA5"/>
    <w:rsid w:val="003D764D"/>
    <w:rsid w:val="003E1F01"/>
    <w:rsid w:val="003E428F"/>
    <w:rsid w:val="003E547F"/>
    <w:rsid w:val="003E5943"/>
    <w:rsid w:val="003F3859"/>
    <w:rsid w:val="003F3E18"/>
    <w:rsid w:val="003F4D9B"/>
    <w:rsid w:val="003F6ACF"/>
    <w:rsid w:val="00402DAF"/>
    <w:rsid w:val="00407097"/>
    <w:rsid w:val="00407359"/>
    <w:rsid w:val="004073EA"/>
    <w:rsid w:val="00407B9C"/>
    <w:rsid w:val="00411FDB"/>
    <w:rsid w:val="00415E68"/>
    <w:rsid w:val="0041733A"/>
    <w:rsid w:val="004201BE"/>
    <w:rsid w:val="00422897"/>
    <w:rsid w:val="00422A07"/>
    <w:rsid w:val="00423461"/>
    <w:rsid w:val="00425BAF"/>
    <w:rsid w:val="0042634F"/>
    <w:rsid w:val="004263AE"/>
    <w:rsid w:val="00430E53"/>
    <w:rsid w:val="00431443"/>
    <w:rsid w:val="00431B6D"/>
    <w:rsid w:val="00435EE9"/>
    <w:rsid w:val="00436EC7"/>
    <w:rsid w:val="00437D32"/>
    <w:rsid w:val="004411DB"/>
    <w:rsid w:val="00443E7D"/>
    <w:rsid w:val="00444736"/>
    <w:rsid w:val="004452F5"/>
    <w:rsid w:val="00445D6D"/>
    <w:rsid w:val="0044762A"/>
    <w:rsid w:val="004511A8"/>
    <w:rsid w:val="00451CC6"/>
    <w:rsid w:val="00451F31"/>
    <w:rsid w:val="0045456F"/>
    <w:rsid w:val="0045559C"/>
    <w:rsid w:val="004559DC"/>
    <w:rsid w:val="004562C8"/>
    <w:rsid w:val="004563C5"/>
    <w:rsid w:val="00457271"/>
    <w:rsid w:val="00457CDE"/>
    <w:rsid w:val="00457E0A"/>
    <w:rsid w:val="00461B22"/>
    <w:rsid w:val="004649C6"/>
    <w:rsid w:val="00465609"/>
    <w:rsid w:val="0046709B"/>
    <w:rsid w:val="00467D80"/>
    <w:rsid w:val="00467FBA"/>
    <w:rsid w:val="00470EA9"/>
    <w:rsid w:val="0047158C"/>
    <w:rsid w:val="0047188E"/>
    <w:rsid w:val="00471A32"/>
    <w:rsid w:val="004742B8"/>
    <w:rsid w:val="00475A61"/>
    <w:rsid w:val="00475BA5"/>
    <w:rsid w:val="0047640F"/>
    <w:rsid w:val="00481E74"/>
    <w:rsid w:val="004851C6"/>
    <w:rsid w:val="0049011A"/>
    <w:rsid w:val="00491C57"/>
    <w:rsid w:val="0049244A"/>
    <w:rsid w:val="00495E87"/>
    <w:rsid w:val="00497862"/>
    <w:rsid w:val="004A02A0"/>
    <w:rsid w:val="004A1B3F"/>
    <w:rsid w:val="004A1B8D"/>
    <w:rsid w:val="004A217A"/>
    <w:rsid w:val="004A272C"/>
    <w:rsid w:val="004A2B30"/>
    <w:rsid w:val="004A3FA1"/>
    <w:rsid w:val="004A570B"/>
    <w:rsid w:val="004A6747"/>
    <w:rsid w:val="004A7F86"/>
    <w:rsid w:val="004B0C23"/>
    <w:rsid w:val="004B1755"/>
    <w:rsid w:val="004B1CE6"/>
    <w:rsid w:val="004B22A1"/>
    <w:rsid w:val="004B781D"/>
    <w:rsid w:val="004B7EA5"/>
    <w:rsid w:val="004C1481"/>
    <w:rsid w:val="004C31EE"/>
    <w:rsid w:val="004C50F9"/>
    <w:rsid w:val="004C5201"/>
    <w:rsid w:val="004C54C7"/>
    <w:rsid w:val="004C57F5"/>
    <w:rsid w:val="004C6101"/>
    <w:rsid w:val="004C73F3"/>
    <w:rsid w:val="004D2679"/>
    <w:rsid w:val="004D3FB4"/>
    <w:rsid w:val="004D515B"/>
    <w:rsid w:val="004D55B1"/>
    <w:rsid w:val="004D5649"/>
    <w:rsid w:val="004D6AA5"/>
    <w:rsid w:val="004D76D8"/>
    <w:rsid w:val="004E0FE7"/>
    <w:rsid w:val="004E1233"/>
    <w:rsid w:val="004E3854"/>
    <w:rsid w:val="004E4A71"/>
    <w:rsid w:val="004E5295"/>
    <w:rsid w:val="004F57BA"/>
    <w:rsid w:val="004F6255"/>
    <w:rsid w:val="004F7137"/>
    <w:rsid w:val="004F76C9"/>
    <w:rsid w:val="004F785D"/>
    <w:rsid w:val="004F7DFE"/>
    <w:rsid w:val="00500DAC"/>
    <w:rsid w:val="00501A93"/>
    <w:rsid w:val="00502303"/>
    <w:rsid w:val="005030D2"/>
    <w:rsid w:val="00504375"/>
    <w:rsid w:val="0050505D"/>
    <w:rsid w:val="00505430"/>
    <w:rsid w:val="00505BE4"/>
    <w:rsid w:val="005060A4"/>
    <w:rsid w:val="0051089E"/>
    <w:rsid w:val="005109E1"/>
    <w:rsid w:val="00511610"/>
    <w:rsid w:val="00511766"/>
    <w:rsid w:val="00512EC0"/>
    <w:rsid w:val="00515CB5"/>
    <w:rsid w:val="00516EAF"/>
    <w:rsid w:val="00520E88"/>
    <w:rsid w:val="00524339"/>
    <w:rsid w:val="00525890"/>
    <w:rsid w:val="0052602A"/>
    <w:rsid w:val="00527E7D"/>
    <w:rsid w:val="0053103E"/>
    <w:rsid w:val="005362A1"/>
    <w:rsid w:val="0053699A"/>
    <w:rsid w:val="00536D4D"/>
    <w:rsid w:val="00541050"/>
    <w:rsid w:val="00543728"/>
    <w:rsid w:val="005441EE"/>
    <w:rsid w:val="00550FDA"/>
    <w:rsid w:val="0055107B"/>
    <w:rsid w:val="00551A1C"/>
    <w:rsid w:val="00552321"/>
    <w:rsid w:val="00552D9A"/>
    <w:rsid w:val="00556412"/>
    <w:rsid w:val="0056021E"/>
    <w:rsid w:val="00564F29"/>
    <w:rsid w:val="00565ACD"/>
    <w:rsid w:val="00566BC3"/>
    <w:rsid w:val="0056775D"/>
    <w:rsid w:val="005709FE"/>
    <w:rsid w:val="00570FDC"/>
    <w:rsid w:val="005718F0"/>
    <w:rsid w:val="0057294A"/>
    <w:rsid w:val="005738E7"/>
    <w:rsid w:val="00573B72"/>
    <w:rsid w:val="00575AC1"/>
    <w:rsid w:val="005767CE"/>
    <w:rsid w:val="00576C2E"/>
    <w:rsid w:val="0058597E"/>
    <w:rsid w:val="00587291"/>
    <w:rsid w:val="00590988"/>
    <w:rsid w:val="005912F9"/>
    <w:rsid w:val="00591C8C"/>
    <w:rsid w:val="00591F69"/>
    <w:rsid w:val="00592EA1"/>
    <w:rsid w:val="00594CAA"/>
    <w:rsid w:val="005961AB"/>
    <w:rsid w:val="00596EBF"/>
    <w:rsid w:val="00597C4B"/>
    <w:rsid w:val="005A224A"/>
    <w:rsid w:val="005A2F9F"/>
    <w:rsid w:val="005A4194"/>
    <w:rsid w:val="005B2377"/>
    <w:rsid w:val="005B30E1"/>
    <w:rsid w:val="005B3A90"/>
    <w:rsid w:val="005B435E"/>
    <w:rsid w:val="005B4670"/>
    <w:rsid w:val="005C01FA"/>
    <w:rsid w:val="005C046D"/>
    <w:rsid w:val="005C2384"/>
    <w:rsid w:val="005C386A"/>
    <w:rsid w:val="005C42B4"/>
    <w:rsid w:val="005C5257"/>
    <w:rsid w:val="005C5337"/>
    <w:rsid w:val="005C76A4"/>
    <w:rsid w:val="005C7918"/>
    <w:rsid w:val="005D3C6B"/>
    <w:rsid w:val="005D5B85"/>
    <w:rsid w:val="005D6F19"/>
    <w:rsid w:val="005D7C32"/>
    <w:rsid w:val="005E1D27"/>
    <w:rsid w:val="005E2466"/>
    <w:rsid w:val="005E43A8"/>
    <w:rsid w:val="005E4B08"/>
    <w:rsid w:val="005E6B5F"/>
    <w:rsid w:val="005E710A"/>
    <w:rsid w:val="005F2E4B"/>
    <w:rsid w:val="005F3A7A"/>
    <w:rsid w:val="005F42E6"/>
    <w:rsid w:val="005F636C"/>
    <w:rsid w:val="005F6E78"/>
    <w:rsid w:val="0060478E"/>
    <w:rsid w:val="0060506D"/>
    <w:rsid w:val="00605AC1"/>
    <w:rsid w:val="00605D38"/>
    <w:rsid w:val="00606B6D"/>
    <w:rsid w:val="006104AF"/>
    <w:rsid w:val="006132D8"/>
    <w:rsid w:val="00615336"/>
    <w:rsid w:val="00616E6E"/>
    <w:rsid w:val="00620E39"/>
    <w:rsid w:val="00621B0C"/>
    <w:rsid w:val="006220D4"/>
    <w:rsid w:val="00624E85"/>
    <w:rsid w:val="00624F08"/>
    <w:rsid w:val="00627DF4"/>
    <w:rsid w:val="00631A1E"/>
    <w:rsid w:val="00636B5B"/>
    <w:rsid w:val="00637168"/>
    <w:rsid w:val="00640507"/>
    <w:rsid w:val="00640BE2"/>
    <w:rsid w:val="006417B1"/>
    <w:rsid w:val="006442AD"/>
    <w:rsid w:val="006448EE"/>
    <w:rsid w:val="0064735E"/>
    <w:rsid w:val="0065255D"/>
    <w:rsid w:val="00652CE1"/>
    <w:rsid w:val="00654141"/>
    <w:rsid w:val="006544F3"/>
    <w:rsid w:val="00655656"/>
    <w:rsid w:val="00660B2D"/>
    <w:rsid w:val="00661D2C"/>
    <w:rsid w:val="00663324"/>
    <w:rsid w:val="00664723"/>
    <w:rsid w:val="00665E4E"/>
    <w:rsid w:val="00667378"/>
    <w:rsid w:val="006677C1"/>
    <w:rsid w:val="0067052D"/>
    <w:rsid w:val="006712CD"/>
    <w:rsid w:val="00674239"/>
    <w:rsid w:val="006775CA"/>
    <w:rsid w:val="00677ED3"/>
    <w:rsid w:val="0068051D"/>
    <w:rsid w:val="0068075B"/>
    <w:rsid w:val="00682820"/>
    <w:rsid w:val="00686E72"/>
    <w:rsid w:val="006919D2"/>
    <w:rsid w:val="0069258E"/>
    <w:rsid w:val="00692803"/>
    <w:rsid w:val="00693CD2"/>
    <w:rsid w:val="00693EAE"/>
    <w:rsid w:val="00695C93"/>
    <w:rsid w:val="006A614B"/>
    <w:rsid w:val="006A62FB"/>
    <w:rsid w:val="006A78D4"/>
    <w:rsid w:val="006B21B6"/>
    <w:rsid w:val="006B2949"/>
    <w:rsid w:val="006B3382"/>
    <w:rsid w:val="006B34C3"/>
    <w:rsid w:val="006B352F"/>
    <w:rsid w:val="006B6291"/>
    <w:rsid w:val="006B62AE"/>
    <w:rsid w:val="006C27C9"/>
    <w:rsid w:val="006C3639"/>
    <w:rsid w:val="006C4922"/>
    <w:rsid w:val="006C4A9A"/>
    <w:rsid w:val="006D0F27"/>
    <w:rsid w:val="006D10AA"/>
    <w:rsid w:val="006D4DC7"/>
    <w:rsid w:val="006D6517"/>
    <w:rsid w:val="006E0165"/>
    <w:rsid w:val="006E02EF"/>
    <w:rsid w:val="006E03FF"/>
    <w:rsid w:val="006E2350"/>
    <w:rsid w:val="006E31DA"/>
    <w:rsid w:val="006E5440"/>
    <w:rsid w:val="006E7284"/>
    <w:rsid w:val="006F043F"/>
    <w:rsid w:val="006F1BD6"/>
    <w:rsid w:val="006F5DA3"/>
    <w:rsid w:val="006F644B"/>
    <w:rsid w:val="00702F7B"/>
    <w:rsid w:val="0070490D"/>
    <w:rsid w:val="00706285"/>
    <w:rsid w:val="00706740"/>
    <w:rsid w:val="00707029"/>
    <w:rsid w:val="0071092E"/>
    <w:rsid w:val="00712E5B"/>
    <w:rsid w:val="0071480D"/>
    <w:rsid w:val="0071617D"/>
    <w:rsid w:val="00723662"/>
    <w:rsid w:val="00723BE6"/>
    <w:rsid w:val="007248CB"/>
    <w:rsid w:val="0072548C"/>
    <w:rsid w:val="00726AA9"/>
    <w:rsid w:val="00727552"/>
    <w:rsid w:val="0073118C"/>
    <w:rsid w:val="00731F42"/>
    <w:rsid w:val="00731FC7"/>
    <w:rsid w:val="007348DE"/>
    <w:rsid w:val="00736E88"/>
    <w:rsid w:val="007415B7"/>
    <w:rsid w:val="00742A5F"/>
    <w:rsid w:val="007438FF"/>
    <w:rsid w:val="00745458"/>
    <w:rsid w:val="00745B58"/>
    <w:rsid w:val="0074727D"/>
    <w:rsid w:val="007505E8"/>
    <w:rsid w:val="00753209"/>
    <w:rsid w:val="00756880"/>
    <w:rsid w:val="007604B6"/>
    <w:rsid w:val="00761663"/>
    <w:rsid w:val="00761F60"/>
    <w:rsid w:val="00765577"/>
    <w:rsid w:val="0076787A"/>
    <w:rsid w:val="00767B48"/>
    <w:rsid w:val="007701E2"/>
    <w:rsid w:val="00771BA4"/>
    <w:rsid w:val="00775130"/>
    <w:rsid w:val="00776B5B"/>
    <w:rsid w:val="007772AA"/>
    <w:rsid w:val="007804DC"/>
    <w:rsid w:val="00784F08"/>
    <w:rsid w:val="00785447"/>
    <w:rsid w:val="00786E51"/>
    <w:rsid w:val="00793112"/>
    <w:rsid w:val="0079671B"/>
    <w:rsid w:val="007969BE"/>
    <w:rsid w:val="00796D3D"/>
    <w:rsid w:val="007A0201"/>
    <w:rsid w:val="007A1A0A"/>
    <w:rsid w:val="007A2A3B"/>
    <w:rsid w:val="007A2EFE"/>
    <w:rsid w:val="007A4A55"/>
    <w:rsid w:val="007A5039"/>
    <w:rsid w:val="007A5368"/>
    <w:rsid w:val="007A5B73"/>
    <w:rsid w:val="007A61BD"/>
    <w:rsid w:val="007A7117"/>
    <w:rsid w:val="007B0420"/>
    <w:rsid w:val="007B3F04"/>
    <w:rsid w:val="007B51D2"/>
    <w:rsid w:val="007B5C92"/>
    <w:rsid w:val="007B70E6"/>
    <w:rsid w:val="007B7CBE"/>
    <w:rsid w:val="007C0583"/>
    <w:rsid w:val="007C2655"/>
    <w:rsid w:val="007C3085"/>
    <w:rsid w:val="007C4C46"/>
    <w:rsid w:val="007C6A96"/>
    <w:rsid w:val="007C7036"/>
    <w:rsid w:val="007D07A2"/>
    <w:rsid w:val="007D13E1"/>
    <w:rsid w:val="007D1B4F"/>
    <w:rsid w:val="007D4B7A"/>
    <w:rsid w:val="007D58E9"/>
    <w:rsid w:val="007E0671"/>
    <w:rsid w:val="007E0CC5"/>
    <w:rsid w:val="007E1E5A"/>
    <w:rsid w:val="007E2AB4"/>
    <w:rsid w:val="007E2F6B"/>
    <w:rsid w:val="007E44F6"/>
    <w:rsid w:val="007F104C"/>
    <w:rsid w:val="007F153B"/>
    <w:rsid w:val="007F23CC"/>
    <w:rsid w:val="007F33BF"/>
    <w:rsid w:val="007F56B3"/>
    <w:rsid w:val="00800EC1"/>
    <w:rsid w:val="0080129B"/>
    <w:rsid w:val="00802B83"/>
    <w:rsid w:val="0081013A"/>
    <w:rsid w:val="00811EC1"/>
    <w:rsid w:val="00813488"/>
    <w:rsid w:val="008137E2"/>
    <w:rsid w:val="00813860"/>
    <w:rsid w:val="00814A0C"/>
    <w:rsid w:val="00814B8B"/>
    <w:rsid w:val="008178AD"/>
    <w:rsid w:val="008209BC"/>
    <w:rsid w:val="008229C0"/>
    <w:rsid w:val="00823491"/>
    <w:rsid w:val="00825668"/>
    <w:rsid w:val="008258EF"/>
    <w:rsid w:val="00826061"/>
    <w:rsid w:val="00827105"/>
    <w:rsid w:val="008274D9"/>
    <w:rsid w:val="00830E27"/>
    <w:rsid w:val="00830E79"/>
    <w:rsid w:val="00835338"/>
    <w:rsid w:val="008363EF"/>
    <w:rsid w:val="00842B43"/>
    <w:rsid w:val="00842DE9"/>
    <w:rsid w:val="00846689"/>
    <w:rsid w:val="00847F97"/>
    <w:rsid w:val="00850B88"/>
    <w:rsid w:val="008519F1"/>
    <w:rsid w:val="0085245D"/>
    <w:rsid w:val="00853C4D"/>
    <w:rsid w:val="008544EC"/>
    <w:rsid w:val="008548E0"/>
    <w:rsid w:val="008566BE"/>
    <w:rsid w:val="008579F6"/>
    <w:rsid w:val="00860A7E"/>
    <w:rsid w:val="00861243"/>
    <w:rsid w:val="00861E71"/>
    <w:rsid w:val="00862E5B"/>
    <w:rsid w:val="0086389A"/>
    <w:rsid w:val="00863E3F"/>
    <w:rsid w:val="00865BAD"/>
    <w:rsid w:val="00866943"/>
    <w:rsid w:val="00866F41"/>
    <w:rsid w:val="00867422"/>
    <w:rsid w:val="00867843"/>
    <w:rsid w:val="0087097F"/>
    <w:rsid w:val="00873D6F"/>
    <w:rsid w:val="008771EC"/>
    <w:rsid w:val="00877619"/>
    <w:rsid w:val="00877BBE"/>
    <w:rsid w:val="00880026"/>
    <w:rsid w:val="00880622"/>
    <w:rsid w:val="00881089"/>
    <w:rsid w:val="008823DC"/>
    <w:rsid w:val="00883B7A"/>
    <w:rsid w:val="00883FCA"/>
    <w:rsid w:val="00884722"/>
    <w:rsid w:val="00886ACB"/>
    <w:rsid w:val="00887545"/>
    <w:rsid w:val="00887BDA"/>
    <w:rsid w:val="0089278E"/>
    <w:rsid w:val="00893306"/>
    <w:rsid w:val="0089698C"/>
    <w:rsid w:val="008A036A"/>
    <w:rsid w:val="008A09B4"/>
    <w:rsid w:val="008A2494"/>
    <w:rsid w:val="008A31C7"/>
    <w:rsid w:val="008A4341"/>
    <w:rsid w:val="008A5DE8"/>
    <w:rsid w:val="008A6012"/>
    <w:rsid w:val="008B002D"/>
    <w:rsid w:val="008B67FA"/>
    <w:rsid w:val="008C5B32"/>
    <w:rsid w:val="008C5B49"/>
    <w:rsid w:val="008D029C"/>
    <w:rsid w:val="008D2E56"/>
    <w:rsid w:val="008D5863"/>
    <w:rsid w:val="008D63BD"/>
    <w:rsid w:val="008E1E19"/>
    <w:rsid w:val="008F01A4"/>
    <w:rsid w:val="008F14E5"/>
    <w:rsid w:val="008F1D32"/>
    <w:rsid w:val="008F2E64"/>
    <w:rsid w:val="008F30B6"/>
    <w:rsid w:val="008F38BF"/>
    <w:rsid w:val="008F5E9A"/>
    <w:rsid w:val="008F6EF9"/>
    <w:rsid w:val="008F71F4"/>
    <w:rsid w:val="008F7260"/>
    <w:rsid w:val="0090342C"/>
    <w:rsid w:val="00904CDC"/>
    <w:rsid w:val="00906371"/>
    <w:rsid w:val="00911ACE"/>
    <w:rsid w:val="009134EF"/>
    <w:rsid w:val="00921CBC"/>
    <w:rsid w:val="00922132"/>
    <w:rsid w:val="00925756"/>
    <w:rsid w:val="00925CD5"/>
    <w:rsid w:val="00927109"/>
    <w:rsid w:val="00930189"/>
    <w:rsid w:val="009314BA"/>
    <w:rsid w:val="00933446"/>
    <w:rsid w:val="00934464"/>
    <w:rsid w:val="009360A4"/>
    <w:rsid w:val="00940742"/>
    <w:rsid w:val="009424E9"/>
    <w:rsid w:val="00942CAF"/>
    <w:rsid w:val="009467F1"/>
    <w:rsid w:val="009505F5"/>
    <w:rsid w:val="00953051"/>
    <w:rsid w:val="00956C30"/>
    <w:rsid w:val="00957F31"/>
    <w:rsid w:val="009649CE"/>
    <w:rsid w:val="00974BDC"/>
    <w:rsid w:val="00975509"/>
    <w:rsid w:val="00975DC1"/>
    <w:rsid w:val="0097604B"/>
    <w:rsid w:val="00980C3D"/>
    <w:rsid w:val="00984A9D"/>
    <w:rsid w:val="00984D56"/>
    <w:rsid w:val="00986133"/>
    <w:rsid w:val="0098649B"/>
    <w:rsid w:val="009875FF"/>
    <w:rsid w:val="009931BB"/>
    <w:rsid w:val="009943BF"/>
    <w:rsid w:val="00994D80"/>
    <w:rsid w:val="00994EBA"/>
    <w:rsid w:val="00995299"/>
    <w:rsid w:val="00995C93"/>
    <w:rsid w:val="0099602A"/>
    <w:rsid w:val="00996425"/>
    <w:rsid w:val="00996DC5"/>
    <w:rsid w:val="00997AA5"/>
    <w:rsid w:val="009A2056"/>
    <w:rsid w:val="009A3356"/>
    <w:rsid w:val="009A339F"/>
    <w:rsid w:val="009A4238"/>
    <w:rsid w:val="009A451D"/>
    <w:rsid w:val="009A4680"/>
    <w:rsid w:val="009A56D9"/>
    <w:rsid w:val="009A6E90"/>
    <w:rsid w:val="009B1852"/>
    <w:rsid w:val="009B6923"/>
    <w:rsid w:val="009C0B20"/>
    <w:rsid w:val="009C3029"/>
    <w:rsid w:val="009C49CE"/>
    <w:rsid w:val="009C52C6"/>
    <w:rsid w:val="009C5A0E"/>
    <w:rsid w:val="009C608D"/>
    <w:rsid w:val="009C6774"/>
    <w:rsid w:val="009D1764"/>
    <w:rsid w:val="009D2CE8"/>
    <w:rsid w:val="009D3939"/>
    <w:rsid w:val="009D4FA8"/>
    <w:rsid w:val="009D667E"/>
    <w:rsid w:val="009E0370"/>
    <w:rsid w:val="009E03FA"/>
    <w:rsid w:val="009E1140"/>
    <w:rsid w:val="009E79BC"/>
    <w:rsid w:val="009E7DDD"/>
    <w:rsid w:val="009F06F1"/>
    <w:rsid w:val="009F0BF9"/>
    <w:rsid w:val="009F1AFC"/>
    <w:rsid w:val="009F3D4A"/>
    <w:rsid w:val="009F5151"/>
    <w:rsid w:val="009F5E2D"/>
    <w:rsid w:val="00A01B85"/>
    <w:rsid w:val="00A027E2"/>
    <w:rsid w:val="00A03FA5"/>
    <w:rsid w:val="00A05355"/>
    <w:rsid w:val="00A0602B"/>
    <w:rsid w:val="00A06836"/>
    <w:rsid w:val="00A06AE6"/>
    <w:rsid w:val="00A104AB"/>
    <w:rsid w:val="00A12A3A"/>
    <w:rsid w:val="00A12CD8"/>
    <w:rsid w:val="00A1477A"/>
    <w:rsid w:val="00A154B5"/>
    <w:rsid w:val="00A15741"/>
    <w:rsid w:val="00A177A6"/>
    <w:rsid w:val="00A17E81"/>
    <w:rsid w:val="00A20DAB"/>
    <w:rsid w:val="00A23674"/>
    <w:rsid w:val="00A25344"/>
    <w:rsid w:val="00A25EA9"/>
    <w:rsid w:val="00A265E1"/>
    <w:rsid w:val="00A30229"/>
    <w:rsid w:val="00A416DC"/>
    <w:rsid w:val="00A416FA"/>
    <w:rsid w:val="00A43492"/>
    <w:rsid w:val="00A43AF7"/>
    <w:rsid w:val="00A45F38"/>
    <w:rsid w:val="00A46B33"/>
    <w:rsid w:val="00A473FA"/>
    <w:rsid w:val="00A4797F"/>
    <w:rsid w:val="00A51B29"/>
    <w:rsid w:val="00A5318A"/>
    <w:rsid w:val="00A54479"/>
    <w:rsid w:val="00A57506"/>
    <w:rsid w:val="00A600AB"/>
    <w:rsid w:val="00A6014F"/>
    <w:rsid w:val="00A6210B"/>
    <w:rsid w:val="00A65253"/>
    <w:rsid w:val="00A67576"/>
    <w:rsid w:val="00A67DE0"/>
    <w:rsid w:val="00A731D9"/>
    <w:rsid w:val="00A7369E"/>
    <w:rsid w:val="00A73873"/>
    <w:rsid w:val="00A73D6E"/>
    <w:rsid w:val="00A76264"/>
    <w:rsid w:val="00A77690"/>
    <w:rsid w:val="00A8019C"/>
    <w:rsid w:val="00A816D5"/>
    <w:rsid w:val="00A827B1"/>
    <w:rsid w:val="00A833BB"/>
    <w:rsid w:val="00A84D61"/>
    <w:rsid w:val="00A85AB5"/>
    <w:rsid w:val="00A85C99"/>
    <w:rsid w:val="00A861CA"/>
    <w:rsid w:val="00A864B7"/>
    <w:rsid w:val="00A86A2E"/>
    <w:rsid w:val="00A921E3"/>
    <w:rsid w:val="00A92DE0"/>
    <w:rsid w:val="00A944A1"/>
    <w:rsid w:val="00A95537"/>
    <w:rsid w:val="00A97BEC"/>
    <w:rsid w:val="00AA2506"/>
    <w:rsid w:val="00AA4661"/>
    <w:rsid w:val="00AA7958"/>
    <w:rsid w:val="00AB00C7"/>
    <w:rsid w:val="00AB1D6A"/>
    <w:rsid w:val="00AB381F"/>
    <w:rsid w:val="00AB3CFE"/>
    <w:rsid w:val="00AB6245"/>
    <w:rsid w:val="00AB68C4"/>
    <w:rsid w:val="00AB7613"/>
    <w:rsid w:val="00AB7899"/>
    <w:rsid w:val="00AC0E9D"/>
    <w:rsid w:val="00AC3156"/>
    <w:rsid w:val="00AC365E"/>
    <w:rsid w:val="00AC4A9C"/>
    <w:rsid w:val="00AC58CF"/>
    <w:rsid w:val="00AC5DED"/>
    <w:rsid w:val="00AC6627"/>
    <w:rsid w:val="00AD1397"/>
    <w:rsid w:val="00AD14EC"/>
    <w:rsid w:val="00AD249A"/>
    <w:rsid w:val="00AD4296"/>
    <w:rsid w:val="00AD70CB"/>
    <w:rsid w:val="00AE06F0"/>
    <w:rsid w:val="00AE1AEB"/>
    <w:rsid w:val="00AE2134"/>
    <w:rsid w:val="00AE2669"/>
    <w:rsid w:val="00AE2FCE"/>
    <w:rsid w:val="00AE3C67"/>
    <w:rsid w:val="00AE4341"/>
    <w:rsid w:val="00AE4681"/>
    <w:rsid w:val="00AE5306"/>
    <w:rsid w:val="00AE593F"/>
    <w:rsid w:val="00AE5980"/>
    <w:rsid w:val="00AE706E"/>
    <w:rsid w:val="00AF005F"/>
    <w:rsid w:val="00AF08A7"/>
    <w:rsid w:val="00AF0B26"/>
    <w:rsid w:val="00AF21D9"/>
    <w:rsid w:val="00AF23F5"/>
    <w:rsid w:val="00AF2E03"/>
    <w:rsid w:val="00AF3722"/>
    <w:rsid w:val="00AF4E66"/>
    <w:rsid w:val="00AF5770"/>
    <w:rsid w:val="00B0163B"/>
    <w:rsid w:val="00B04C9A"/>
    <w:rsid w:val="00B04F8C"/>
    <w:rsid w:val="00B05254"/>
    <w:rsid w:val="00B0676F"/>
    <w:rsid w:val="00B071CF"/>
    <w:rsid w:val="00B15A6E"/>
    <w:rsid w:val="00B16526"/>
    <w:rsid w:val="00B201A7"/>
    <w:rsid w:val="00B205D8"/>
    <w:rsid w:val="00B21A9B"/>
    <w:rsid w:val="00B21AC4"/>
    <w:rsid w:val="00B23151"/>
    <w:rsid w:val="00B23461"/>
    <w:rsid w:val="00B27387"/>
    <w:rsid w:val="00B27E6E"/>
    <w:rsid w:val="00B30AFA"/>
    <w:rsid w:val="00B318C9"/>
    <w:rsid w:val="00B34F5F"/>
    <w:rsid w:val="00B3590D"/>
    <w:rsid w:val="00B35B49"/>
    <w:rsid w:val="00B402A3"/>
    <w:rsid w:val="00B43D17"/>
    <w:rsid w:val="00B443F0"/>
    <w:rsid w:val="00B46024"/>
    <w:rsid w:val="00B46F4F"/>
    <w:rsid w:val="00B50044"/>
    <w:rsid w:val="00B52205"/>
    <w:rsid w:val="00B522DD"/>
    <w:rsid w:val="00B5322D"/>
    <w:rsid w:val="00B56615"/>
    <w:rsid w:val="00B56E40"/>
    <w:rsid w:val="00B60289"/>
    <w:rsid w:val="00B61A1C"/>
    <w:rsid w:val="00B64886"/>
    <w:rsid w:val="00B70105"/>
    <w:rsid w:val="00B703C0"/>
    <w:rsid w:val="00B732A0"/>
    <w:rsid w:val="00B73911"/>
    <w:rsid w:val="00B75719"/>
    <w:rsid w:val="00B75852"/>
    <w:rsid w:val="00B760F0"/>
    <w:rsid w:val="00B80B3A"/>
    <w:rsid w:val="00B83167"/>
    <w:rsid w:val="00B876A1"/>
    <w:rsid w:val="00B90397"/>
    <w:rsid w:val="00B942EA"/>
    <w:rsid w:val="00B966C6"/>
    <w:rsid w:val="00B96A0D"/>
    <w:rsid w:val="00B974A4"/>
    <w:rsid w:val="00BA1241"/>
    <w:rsid w:val="00BA1860"/>
    <w:rsid w:val="00BA277B"/>
    <w:rsid w:val="00BA3BE7"/>
    <w:rsid w:val="00BA3E31"/>
    <w:rsid w:val="00BA51A0"/>
    <w:rsid w:val="00BA5A04"/>
    <w:rsid w:val="00BA7AC6"/>
    <w:rsid w:val="00BA7EC3"/>
    <w:rsid w:val="00BB1148"/>
    <w:rsid w:val="00BB1299"/>
    <w:rsid w:val="00BB73F1"/>
    <w:rsid w:val="00BC0E70"/>
    <w:rsid w:val="00BC1E61"/>
    <w:rsid w:val="00BC4823"/>
    <w:rsid w:val="00BD079E"/>
    <w:rsid w:val="00BD1512"/>
    <w:rsid w:val="00BD43AF"/>
    <w:rsid w:val="00BD5376"/>
    <w:rsid w:val="00BD6A2F"/>
    <w:rsid w:val="00BD6D0E"/>
    <w:rsid w:val="00BE3A3B"/>
    <w:rsid w:val="00BE3E30"/>
    <w:rsid w:val="00BE52B8"/>
    <w:rsid w:val="00BE729A"/>
    <w:rsid w:val="00BF2F67"/>
    <w:rsid w:val="00BF4237"/>
    <w:rsid w:val="00BF5F50"/>
    <w:rsid w:val="00C00763"/>
    <w:rsid w:val="00C046B0"/>
    <w:rsid w:val="00C0507E"/>
    <w:rsid w:val="00C05708"/>
    <w:rsid w:val="00C06228"/>
    <w:rsid w:val="00C0628F"/>
    <w:rsid w:val="00C10938"/>
    <w:rsid w:val="00C10EA6"/>
    <w:rsid w:val="00C11D12"/>
    <w:rsid w:val="00C12F59"/>
    <w:rsid w:val="00C154E7"/>
    <w:rsid w:val="00C211E2"/>
    <w:rsid w:val="00C222CA"/>
    <w:rsid w:val="00C22373"/>
    <w:rsid w:val="00C25A9B"/>
    <w:rsid w:val="00C27D17"/>
    <w:rsid w:val="00C33581"/>
    <w:rsid w:val="00C35D84"/>
    <w:rsid w:val="00C3710F"/>
    <w:rsid w:val="00C40056"/>
    <w:rsid w:val="00C40294"/>
    <w:rsid w:val="00C405D2"/>
    <w:rsid w:val="00C40EBB"/>
    <w:rsid w:val="00C41119"/>
    <w:rsid w:val="00C415B8"/>
    <w:rsid w:val="00C41B38"/>
    <w:rsid w:val="00C446DA"/>
    <w:rsid w:val="00C45676"/>
    <w:rsid w:val="00C456D1"/>
    <w:rsid w:val="00C46BA1"/>
    <w:rsid w:val="00C52144"/>
    <w:rsid w:val="00C53E4F"/>
    <w:rsid w:val="00C55E7A"/>
    <w:rsid w:val="00C56748"/>
    <w:rsid w:val="00C62C70"/>
    <w:rsid w:val="00C644AD"/>
    <w:rsid w:val="00C65BB9"/>
    <w:rsid w:val="00C73487"/>
    <w:rsid w:val="00C77323"/>
    <w:rsid w:val="00C778E9"/>
    <w:rsid w:val="00C809AB"/>
    <w:rsid w:val="00C8201D"/>
    <w:rsid w:val="00C85AAE"/>
    <w:rsid w:val="00C85E7E"/>
    <w:rsid w:val="00C86B8A"/>
    <w:rsid w:val="00C877D5"/>
    <w:rsid w:val="00C87ED3"/>
    <w:rsid w:val="00C9093E"/>
    <w:rsid w:val="00C9344B"/>
    <w:rsid w:val="00C93691"/>
    <w:rsid w:val="00C93B97"/>
    <w:rsid w:val="00C97853"/>
    <w:rsid w:val="00CA33E3"/>
    <w:rsid w:val="00CA364E"/>
    <w:rsid w:val="00CA6314"/>
    <w:rsid w:val="00CA6E86"/>
    <w:rsid w:val="00CB0838"/>
    <w:rsid w:val="00CB1263"/>
    <w:rsid w:val="00CB1AE7"/>
    <w:rsid w:val="00CB4186"/>
    <w:rsid w:val="00CB5F45"/>
    <w:rsid w:val="00CC054E"/>
    <w:rsid w:val="00CC1B1E"/>
    <w:rsid w:val="00CC446E"/>
    <w:rsid w:val="00CC4851"/>
    <w:rsid w:val="00CC5B39"/>
    <w:rsid w:val="00CC7166"/>
    <w:rsid w:val="00CD06B5"/>
    <w:rsid w:val="00CD111E"/>
    <w:rsid w:val="00CD19AD"/>
    <w:rsid w:val="00CD2673"/>
    <w:rsid w:val="00CD28EF"/>
    <w:rsid w:val="00CD4203"/>
    <w:rsid w:val="00CE14AC"/>
    <w:rsid w:val="00CE3386"/>
    <w:rsid w:val="00CE64AD"/>
    <w:rsid w:val="00CE75D6"/>
    <w:rsid w:val="00CF09C0"/>
    <w:rsid w:val="00CF1B4C"/>
    <w:rsid w:val="00CF1D90"/>
    <w:rsid w:val="00CF4633"/>
    <w:rsid w:val="00CF4CE1"/>
    <w:rsid w:val="00CF4EF1"/>
    <w:rsid w:val="00CF57D6"/>
    <w:rsid w:val="00CF6739"/>
    <w:rsid w:val="00CF7E58"/>
    <w:rsid w:val="00D00413"/>
    <w:rsid w:val="00D009C8"/>
    <w:rsid w:val="00D01160"/>
    <w:rsid w:val="00D039F4"/>
    <w:rsid w:val="00D03F54"/>
    <w:rsid w:val="00D042D0"/>
    <w:rsid w:val="00D05CE8"/>
    <w:rsid w:val="00D0609C"/>
    <w:rsid w:val="00D078E8"/>
    <w:rsid w:val="00D07BAE"/>
    <w:rsid w:val="00D11C02"/>
    <w:rsid w:val="00D12689"/>
    <w:rsid w:val="00D1344A"/>
    <w:rsid w:val="00D15314"/>
    <w:rsid w:val="00D158FA"/>
    <w:rsid w:val="00D16137"/>
    <w:rsid w:val="00D206E4"/>
    <w:rsid w:val="00D21EBC"/>
    <w:rsid w:val="00D24560"/>
    <w:rsid w:val="00D25DBE"/>
    <w:rsid w:val="00D30FD7"/>
    <w:rsid w:val="00D31549"/>
    <w:rsid w:val="00D335B5"/>
    <w:rsid w:val="00D33D0C"/>
    <w:rsid w:val="00D3435F"/>
    <w:rsid w:val="00D37D30"/>
    <w:rsid w:val="00D439DA"/>
    <w:rsid w:val="00D43B65"/>
    <w:rsid w:val="00D44D70"/>
    <w:rsid w:val="00D45893"/>
    <w:rsid w:val="00D5127D"/>
    <w:rsid w:val="00D518A6"/>
    <w:rsid w:val="00D52089"/>
    <w:rsid w:val="00D53139"/>
    <w:rsid w:val="00D53179"/>
    <w:rsid w:val="00D54257"/>
    <w:rsid w:val="00D54D32"/>
    <w:rsid w:val="00D57CC7"/>
    <w:rsid w:val="00D60819"/>
    <w:rsid w:val="00D609A8"/>
    <w:rsid w:val="00D61E9E"/>
    <w:rsid w:val="00D61FAA"/>
    <w:rsid w:val="00D66346"/>
    <w:rsid w:val="00D7066F"/>
    <w:rsid w:val="00D70A2B"/>
    <w:rsid w:val="00D71EAD"/>
    <w:rsid w:val="00D72291"/>
    <w:rsid w:val="00D76DC6"/>
    <w:rsid w:val="00D76E19"/>
    <w:rsid w:val="00D8070D"/>
    <w:rsid w:val="00D82A92"/>
    <w:rsid w:val="00D835FC"/>
    <w:rsid w:val="00D83A2B"/>
    <w:rsid w:val="00D842BB"/>
    <w:rsid w:val="00D84525"/>
    <w:rsid w:val="00D8688C"/>
    <w:rsid w:val="00D86F26"/>
    <w:rsid w:val="00D908FD"/>
    <w:rsid w:val="00D91A6C"/>
    <w:rsid w:val="00D91B52"/>
    <w:rsid w:val="00D950CE"/>
    <w:rsid w:val="00D95A75"/>
    <w:rsid w:val="00D96BFC"/>
    <w:rsid w:val="00D9764E"/>
    <w:rsid w:val="00D979E6"/>
    <w:rsid w:val="00DA224B"/>
    <w:rsid w:val="00DA2AB5"/>
    <w:rsid w:val="00DA40B0"/>
    <w:rsid w:val="00DB008B"/>
    <w:rsid w:val="00DB06BC"/>
    <w:rsid w:val="00DB6659"/>
    <w:rsid w:val="00DB7240"/>
    <w:rsid w:val="00DC4A71"/>
    <w:rsid w:val="00DC53CD"/>
    <w:rsid w:val="00DC683A"/>
    <w:rsid w:val="00DC6D13"/>
    <w:rsid w:val="00DC78C0"/>
    <w:rsid w:val="00DD0CD4"/>
    <w:rsid w:val="00DD0EB6"/>
    <w:rsid w:val="00DD24BA"/>
    <w:rsid w:val="00DD7B16"/>
    <w:rsid w:val="00DD7B69"/>
    <w:rsid w:val="00DE2446"/>
    <w:rsid w:val="00DE375E"/>
    <w:rsid w:val="00DE48E3"/>
    <w:rsid w:val="00DE6165"/>
    <w:rsid w:val="00DE7CE0"/>
    <w:rsid w:val="00DF1724"/>
    <w:rsid w:val="00DF1836"/>
    <w:rsid w:val="00DF2EDB"/>
    <w:rsid w:val="00DF353B"/>
    <w:rsid w:val="00DF4D27"/>
    <w:rsid w:val="00DF5CC3"/>
    <w:rsid w:val="00DF7CF6"/>
    <w:rsid w:val="00E015C6"/>
    <w:rsid w:val="00E01F9D"/>
    <w:rsid w:val="00E05C8C"/>
    <w:rsid w:val="00E07D31"/>
    <w:rsid w:val="00E10BA8"/>
    <w:rsid w:val="00E1100C"/>
    <w:rsid w:val="00E12AF6"/>
    <w:rsid w:val="00E2092B"/>
    <w:rsid w:val="00E21170"/>
    <w:rsid w:val="00E21D5B"/>
    <w:rsid w:val="00E2444F"/>
    <w:rsid w:val="00E2462A"/>
    <w:rsid w:val="00E2582A"/>
    <w:rsid w:val="00E309AA"/>
    <w:rsid w:val="00E316AA"/>
    <w:rsid w:val="00E35815"/>
    <w:rsid w:val="00E35986"/>
    <w:rsid w:val="00E35B83"/>
    <w:rsid w:val="00E4232C"/>
    <w:rsid w:val="00E43751"/>
    <w:rsid w:val="00E44531"/>
    <w:rsid w:val="00E44FCD"/>
    <w:rsid w:val="00E465EC"/>
    <w:rsid w:val="00E502EE"/>
    <w:rsid w:val="00E51129"/>
    <w:rsid w:val="00E530B9"/>
    <w:rsid w:val="00E53E43"/>
    <w:rsid w:val="00E60068"/>
    <w:rsid w:val="00E616BB"/>
    <w:rsid w:val="00E63A50"/>
    <w:rsid w:val="00E6555A"/>
    <w:rsid w:val="00E75B60"/>
    <w:rsid w:val="00E75D59"/>
    <w:rsid w:val="00E773A8"/>
    <w:rsid w:val="00E807DE"/>
    <w:rsid w:val="00E864C1"/>
    <w:rsid w:val="00E864FF"/>
    <w:rsid w:val="00E86DF0"/>
    <w:rsid w:val="00E879B8"/>
    <w:rsid w:val="00E87BF7"/>
    <w:rsid w:val="00E94645"/>
    <w:rsid w:val="00E95793"/>
    <w:rsid w:val="00E95FA4"/>
    <w:rsid w:val="00EA00D3"/>
    <w:rsid w:val="00EA13FE"/>
    <w:rsid w:val="00EA2E86"/>
    <w:rsid w:val="00EA6A80"/>
    <w:rsid w:val="00EA7848"/>
    <w:rsid w:val="00EA7863"/>
    <w:rsid w:val="00EB66C5"/>
    <w:rsid w:val="00EC285D"/>
    <w:rsid w:val="00EC48D7"/>
    <w:rsid w:val="00EC677F"/>
    <w:rsid w:val="00EC7878"/>
    <w:rsid w:val="00ED0958"/>
    <w:rsid w:val="00ED0B38"/>
    <w:rsid w:val="00ED1966"/>
    <w:rsid w:val="00ED220C"/>
    <w:rsid w:val="00ED5DD1"/>
    <w:rsid w:val="00ED7333"/>
    <w:rsid w:val="00EE34B5"/>
    <w:rsid w:val="00EE39E6"/>
    <w:rsid w:val="00EE46CA"/>
    <w:rsid w:val="00F00CAB"/>
    <w:rsid w:val="00F00D69"/>
    <w:rsid w:val="00F0434E"/>
    <w:rsid w:val="00F0449E"/>
    <w:rsid w:val="00F062BF"/>
    <w:rsid w:val="00F06AF4"/>
    <w:rsid w:val="00F07133"/>
    <w:rsid w:val="00F117E4"/>
    <w:rsid w:val="00F11A2A"/>
    <w:rsid w:val="00F133C0"/>
    <w:rsid w:val="00F14432"/>
    <w:rsid w:val="00F161BA"/>
    <w:rsid w:val="00F20844"/>
    <w:rsid w:val="00F21B7B"/>
    <w:rsid w:val="00F21CFB"/>
    <w:rsid w:val="00F2215E"/>
    <w:rsid w:val="00F22CF0"/>
    <w:rsid w:val="00F24903"/>
    <w:rsid w:val="00F31AEF"/>
    <w:rsid w:val="00F34EB7"/>
    <w:rsid w:val="00F36706"/>
    <w:rsid w:val="00F4287C"/>
    <w:rsid w:val="00F44571"/>
    <w:rsid w:val="00F44DB9"/>
    <w:rsid w:val="00F453EC"/>
    <w:rsid w:val="00F456C9"/>
    <w:rsid w:val="00F46A01"/>
    <w:rsid w:val="00F474C1"/>
    <w:rsid w:val="00F47B3A"/>
    <w:rsid w:val="00F50083"/>
    <w:rsid w:val="00F54BDF"/>
    <w:rsid w:val="00F54C8B"/>
    <w:rsid w:val="00F61550"/>
    <w:rsid w:val="00F63265"/>
    <w:rsid w:val="00F64EAD"/>
    <w:rsid w:val="00F702FD"/>
    <w:rsid w:val="00F748C7"/>
    <w:rsid w:val="00F74B4F"/>
    <w:rsid w:val="00F74C32"/>
    <w:rsid w:val="00F76934"/>
    <w:rsid w:val="00F773CB"/>
    <w:rsid w:val="00F77748"/>
    <w:rsid w:val="00F77B0E"/>
    <w:rsid w:val="00F809A8"/>
    <w:rsid w:val="00F84252"/>
    <w:rsid w:val="00F85874"/>
    <w:rsid w:val="00F85C9E"/>
    <w:rsid w:val="00F87657"/>
    <w:rsid w:val="00F87747"/>
    <w:rsid w:val="00F87926"/>
    <w:rsid w:val="00F9425D"/>
    <w:rsid w:val="00F961CC"/>
    <w:rsid w:val="00F96550"/>
    <w:rsid w:val="00F97741"/>
    <w:rsid w:val="00FA1874"/>
    <w:rsid w:val="00FA6D9C"/>
    <w:rsid w:val="00FB090D"/>
    <w:rsid w:val="00FB2C5B"/>
    <w:rsid w:val="00FB364D"/>
    <w:rsid w:val="00FB3678"/>
    <w:rsid w:val="00FB4E6D"/>
    <w:rsid w:val="00FC141A"/>
    <w:rsid w:val="00FC1C95"/>
    <w:rsid w:val="00FC3BC6"/>
    <w:rsid w:val="00FC438C"/>
    <w:rsid w:val="00FC45BE"/>
    <w:rsid w:val="00FC4CD2"/>
    <w:rsid w:val="00FC697A"/>
    <w:rsid w:val="00FD0E1A"/>
    <w:rsid w:val="00FD22A6"/>
    <w:rsid w:val="00FD2FC0"/>
    <w:rsid w:val="00FD374C"/>
    <w:rsid w:val="00FD5672"/>
    <w:rsid w:val="00FD7C5A"/>
    <w:rsid w:val="00FE0AD3"/>
    <w:rsid w:val="00FE11ED"/>
    <w:rsid w:val="00FE28E4"/>
    <w:rsid w:val="00FE534B"/>
    <w:rsid w:val="00FE6AD6"/>
    <w:rsid w:val="00FF171B"/>
    <w:rsid w:val="00FF227E"/>
    <w:rsid w:val="00FF425A"/>
    <w:rsid w:val="00FF4631"/>
    <w:rsid w:val="00FF4F74"/>
    <w:rsid w:val="00FF7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heme="minorEastAsia" w:hAnsi="Calisto MT" w:cs="Times New Roman"/>
        <w:sz w:val="21"/>
        <w:szCs w:val="21"/>
        <w:lang w:val="en-AU" w:eastAsia="en-AU" w:bidi="ar-SA"/>
      </w:rPr>
    </w:rPrDefault>
    <w:pPrDefault>
      <w:pPr>
        <w:spacing w:before="140" w:line="280" w:lineRule="atLeast"/>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39" w:unhideWhenUsed="1"/>
    <w:lsdException w:name="toc 4" w:uiPriority="39"/>
    <w:lsdException w:name="toc 5" w:uiPriority="39"/>
    <w:lsdException w:name="toc 6" w:uiPriority="39" w:unhideWhenUsed="1"/>
    <w:lsdException w:name="toc 7" w:uiPriority="39" w:unhideWhenUsed="1"/>
    <w:lsdException w:name="toc 8" w:uiPriority="39"/>
    <w:lsdException w:name="toc 9" w:uiPriority="39"/>
    <w:lsdException w:name="Normal Indent" w:unhideWhenUsed="1"/>
    <w:lsdException w:name="footnote text" w:semiHidden="0" w:uiPriority="25"/>
    <w:lsdException w:name="annotation text" w:semiHidden="0" w:uiPriority="49"/>
    <w:lsdException w:name="header" w:semiHidden="0"/>
    <w:lsdException w:name="footer" w:semiHidden="0"/>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semiHidden="0" w:uiPriority="25"/>
    <w:lsdException w:name="annotation reference" w:semiHidden="0" w:uiPriority="49"/>
    <w:lsdException w:name="line number" w:unhideWhenUsed="1"/>
    <w:lsdException w:name="page number" w:unhideWhenUsed="1"/>
    <w:lsdException w:name="endnote reference" w:unhideWhenUsed="1"/>
    <w:lsdException w:name="endnote text" w:unhideWhenUsed="1"/>
    <w:lsdException w:name="macro"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2"/>
    <w:lsdException w:name="List Bullet 3" w:semiHidden="0" w:uiPriority="2"/>
    <w:lsdException w:name="List Number 2" w:semiHidden="0" w:uiPriority="2"/>
    <w:lsdException w:name="List Number 3" w:unhideWhenUsed="1"/>
    <w:lsdException w:name="List Number 4" w:unhideWhenUsed="1"/>
    <w:lsdException w:name="List Number 5" w:unhideWhenUsed="1"/>
    <w:lsdException w:name="Title" w:semiHidden="0" w:uiPriority="29" w:qFormat="1"/>
    <w:lsdException w:name="Closing" w:unhideWhenUsed="1"/>
    <w:lsdException w:name="Signature" w:unhideWhenUsed="1"/>
    <w:lsdException w:name="Default Paragraph Font" w:uiPriority="1" w:unhideWhenUsed="1"/>
    <w:lsdException w:name="Body Text" w:semiHidden="0" w:uiPriority="2"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30" w:qFormat="1"/>
    <w:lsdException w:name="Salutation" w:unhideWhenUsed="1"/>
    <w:lsdException w:name="Date" w:semiHidden="0" w:uiPriority="33"/>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3"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semiHidden/>
    <w:rsid w:val="00BA277B"/>
    <w:pPr>
      <w:spacing w:before="0"/>
    </w:pPr>
  </w:style>
  <w:style w:type="paragraph" w:styleId="Heading1">
    <w:name w:val="heading 1"/>
    <w:aliases w:val="h1,EOI - Heading 1 (Low),Heading 1 (low),Para1,h11,h12,ChapterHeadingNumber,Top 1,ParaLevel1,Level 1 Para,Level 1 Para1,Level 1 Para2,Level 1 Para3,Level 1 Para4,Level 1 Para11,Level 1 Para21,Level 1 Para31,Level 1 Para5,Level 1 Para12,L1,1,RF"/>
    <w:basedOn w:val="BodyText"/>
    <w:next w:val="BodyText"/>
    <w:link w:val="Heading1Char"/>
    <w:qFormat/>
    <w:rsid w:val="00FD7C5A"/>
    <w:pPr>
      <w:keepNext/>
      <w:pageBreakBefore/>
      <w:numPr>
        <w:numId w:val="5"/>
      </w:numPr>
      <w:spacing w:before="0" w:after="1560" w:line="440" w:lineRule="atLeast"/>
      <w:outlineLvl w:val="0"/>
    </w:pPr>
    <w:rPr>
      <w:rFonts w:asciiTheme="majorHAnsi" w:hAnsiTheme="majorHAnsi"/>
      <w:i/>
      <w:kern w:val="28"/>
      <w:sz w:val="36"/>
      <w:szCs w:val="32"/>
    </w:rPr>
  </w:style>
  <w:style w:type="paragraph" w:styleId="Heading2">
    <w:name w:val="heading 2"/>
    <w:aliases w:val="Para2,h2,BT-Legal Numbering,Head hdbk,Top 2,H2,h2 main heading,B Sub/Bold,B Sub/Bold1,B Sub/Bold2,B Sub/Bold11,h2 main heading1,h2 main heading2,B Sub/Bold3,B Sub/Bold12,h2 main heading3,B Sub/Bold4,B Sub/Bold13,SubPara,Para 2,2,new heading tw"/>
    <w:basedOn w:val="Heading1"/>
    <w:next w:val="BodyText"/>
    <w:link w:val="Heading2Char"/>
    <w:qFormat/>
    <w:rsid w:val="00814B8B"/>
    <w:pPr>
      <w:pageBreakBefore w:val="0"/>
      <w:numPr>
        <w:ilvl w:val="1"/>
      </w:numPr>
      <w:spacing w:before="560" w:after="0" w:line="340" w:lineRule="atLeast"/>
      <w:outlineLvl w:val="1"/>
    </w:pPr>
    <w:rPr>
      <w:b/>
      <w:color w:val="F61D12" w:themeColor="accent2"/>
      <w:sz w:val="30"/>
      <w:szCs w:val="26"/>
    </w:rPr>
  </w:style>
  <w:style w:type="paragraph" w:styleId="Heading3">
    <w:name w:val="heading 3"/>
    <w:aliases w:val="Normal + num,Level 1 - 2,h3,EOI - Heading 3,h3 sub heading,Para3,Paragraph (heading 3),BTL Numbered,L3,3,Level 1 - 1,Report Heading 3,d,Tempo Heading 3,H3,C Sub-Sub/Italic,Head 3,Head 31,Head 32,C Sub-Sub/Italic1,Sub2Para,BOD 1,BOD 0,h31,h32,H"/>
    <w:basedOn w:val="Heading2"/>
    <w:next w:val="BodyText"/>
    <w:link w:val="Heading3Char"/>
    <w:qFormat/>
    <w:rsid w:val="002F2DAD"/>
    <w:pPr>
      <w:numPr>
        <w:ilvl w:val="2"/>
      </w:numPr>
      <w:spacing w:before="440" w:line="280" w:lineRule="atLeast"/>
      <w:outlineLvl w:val="2"/>
    </w:pPr>
    <w:rPr>
      <w:color w:val="auto"/>
      <w:sz w:val="25"/>
      <w:szCs w:val="22"/>
    </w:rPr>
  </w:style>
  <w:style w:type="paragraph" w:styleId="Heading4">
    <w:name w:val="heading 4"/>
    <w:aliases w:val="h4,L4,Level 2 - a,sd,Standard H3,h41,Titre 4,1.1.1.1,bullet,bl,bb,h4 sub sub heading,Level 2 - (a),4,Org Heading 2,Sub3Para,proj4,proj41,proj42,proj43,proj44,proj45,proj46,proj47,proj48,proj49,proj410,proj411,proj412,proj421,proj431,proj441,41"/>
    <w:basedOn w:val="Heading3"/>
    <w:next w:val="BodyText"/>
    <w:link w:val="Heading4Char"/>
    <w:qFormat/>
    <w:rsid w:val="00FC141A"/>
    <w:pPr>
      <w:numPr>
        <w:ilvl w:val="3"/>
      </w:numPr>
      <w:spacing w:before="400" w:line="260" w:lineRule="atLeast"/>
      <w:outlineLvl w:val="3"/>
    </w:pPr>
    <w:rPr>
      <w:color w:val="6F6652" w:themeColor="text2"/>
      <w:sz w:val="21"/>
    </w:rPr>
  </w:style>
  <w:style w:type="paragraph" w:styleId="Heading5">
    <w:name w:val="heading 5"/>
    <w:aliases w:val="h5,L5,Level 3 - i,L51,Para5,i.,H1,subsubpara,1.1.1.1.1,H11"/>
    <w:basedOn w:val="Heading4"/>
    <w:next w:val="BodyText"/>
    <w:link w:val="Heading5Char"/>
    <w:qFormat/>
    <w:rsid w:val="00742A5F"/>
    <w:pPr>
      <w:numPr>
        <w:ilvl w:val="4"/>
      </w:numPr>
      <w:outlineLvl w:val="4"/>
    </w:pPr>
    <w:rPr>
      <w:rFonts w:asciiTheme="minorHAnsi" w:hAnsiTheme="minorHAnsi"/>
      <w:b w:val="0"/>
    </w:rPr>
  </w:style>
  <w:style w:type="paragraph" w:styleId="Heading6">
    <w:name w:val="heading 6"/>
    <w:basedOn w:val="Heading1"/>
    <w:next w:val="BodyText"/>
    <w:link w:val="Heading6Char"/>
    <w:qFormat/>
    <w:rsid w:val="000E5731"/>
    <w:pPr>
      <w:numPr>
        <w:ilvl w:val="5"/>
      </w:numPr>
      <w:outlineLvl w:val="5"/>
    </w:pPr>
    <w:rPr>
      <w:bCs/>
    </w:rPr>
  </w:style>
  <w:style w:type="paragraph" w:styleId="Heading7">
    <w:name w:val="heading 7"/>
    <w:basedOn w:val="Heading2"/>
    <w:next w:val="BodyText"/>
    <w:link w:val="Heading7Char"/>
    <w:qFormat/>
    <w:rsid w:val="00395D18"/>
    <w:pPr>
      <w:numPr>
        <w:ilvl w:val="6"/>
      </w:numPr>
      <w:outlineLvl w:val="6"/>
    </w:pPr>
    <w:rPr>
      <w:color w:val="auto"/>
    </w:rPr>
  </w:style>
  <w:style w:type="paragraph" w:styleId="Heading8">
    <w:name w:val="heading 8"/>
    <w:basedOn w:val="Heading3"/>
    <w:next w:val="BodyText"/>
    <w:link w:val="Heading8Char"/>
    <w:qFormat/>
    <w:rsid w:val="00CE3386"/>
    <w:pPr>
      <w:numPr>
        <w:ilvl w:val="7"/>
      </w:numPr>
      <w:outlineLvl w:val="7"/>
    </w:pPr>
  </w:style>
  <w:style w:type="paragraph" w:styleId="Heading9">
    <w:name w:val="heading 9"/>
    <w:aliases w:val="Spare5"/>
    <w:basedOn w:val="Heading4"/>
    <w:next w:val="BodyText"/>
    <w:link w:val="Heading9Char"/>
    <w:qFormat/>
    <w:rsid w:val="00F47B3A"/>
    <w:pPr>
      <w:numPr>
        <w:ilvl w:val="8"/>
      </w:num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
    <w:name w:val="ListBullets"/>
    <w:uiPriority w:val="99"/>
    <w:rsid w:val="00B974A4"/>
    <w:pPr>
      <w:numPr>
        <w:numId w:val="11"/>
      </w:numPr>
    </w:pPr>
  </w:style>
  <w:style w:type="paragraph" w:styleId="ListBullet3">
    <w:name w:val="List Bullet 3"/>
    <w:basedOn w:val="ListBullet2"/>
    <w:uiPriority w:val="2"/>
    <w:rsid w:val="00114298"/>
    <w:pPr>
      <w:numPr>
        <w:ilvl w:val="2"/>
      </w:numPr>
    </w:pPr>
  </w:style>
  <w:style w:type="paragraph" w:styleId="ListNumber">
    <w:name w:val="List Number"/>
    <w:basedOn w:val="BodyText"/>
    <w:uiPriority w:val="2"/>
    <w:qFormat/>
    <w:rsid w:val="00497862"/>
    <w:pPr>
      <w:numPr>
        <w:numId w:val="12"/>
      </w:numPr>
      <w:spacing w:before="70"/>
    </w:pPr>
  </w:style>
  <w:style w:type="paragraph" w:styleId="ListBullet">
    <w:name w:val="List Bullet"/>
    <w:basedOn w:val="BodyText"/>
    <w:link w:val="ListBulletChar"/>
    <w:uiPriority w:val="2"/>
    <w:qFormat/>
    <w:rsid w:val="00B974A4"/>
    <w:pPr>
      <w:numPr>
        <w:numId w:val="11"/>
      </w:numPr>
      <w:spacing w:before="70"/>
    </w:pPr>
  </w:style>
  <w:style w:type="paragraph" w:customStyle="1" w:styleId="Contents">
    <w:name w:val="Contents"/>
    <w:basedOn w:val="Heading1"/>
    <w:next w:val="TOC1"/>
    <w:uiPriority w:val="99"/>
    <w:rsid w:val="005C386A"/>
    <w:pPr>
      <w:pageBreakBefore w:val="0"/>
      <w:numPr>
        <w:numId w:val="0"/>
      </w:numPr>
    </w:pPr>
  </w:style>
  <w:style w:type="paragraph" w:customStyle="1" w:styleId="RecommendationNumber2">
    <w:name w:val="Recommendation Number 2"/>
    <w:basedOn w:val="RecommendationNumber"/>
    <w:uiPriority w:val="28"/>
    <w:rsid w:val="001E2A83"/>
    <w:pPr>
      <w:numPr>
        <w:ilvl w:val="1"/>
      </w:numPr>
    </w:pPr>
  </w:style>
  <w:style w:type="paragraph" w:customStyle="1" w:styleId="RecommendationHeading">
    <w:name w:val="Recommendation Heading"/>
    <w:basedOn w:val="BodyText"/>
    <w:next w:val="RecommendationNumber"/>
    <w:uiPriority w:val="28"/>
    <w:unhideWhenUsed/>
    <w:rsid w:val="00CA364E"/>
    <w:pPr>
      <w:spacing w:before="280"/>
    </w:pPr>
    <w:rPr>
      <w:rFonts w:ascii="Franklin Gothic Demi" w:hAnsi="Franklin Gothic Demi"/>
      <w:caps/>
      <w:color w:val="6F6652" w:themeColor="text2"/>
      <w:spacing w:val="10"/>
    </w:rPr>
  </w:style>
  <w:style w:type="paragraph" w:customStyle="1" w:styleId="Subtitlebox">
    <w:name w:val="Subtitle box"/>
    <w:aliases w:val="chart,table"/>
    <w:basedOn w:val="Caption"/>
    <w:uiPriority w:val="5"/>
    <w:rsid w:val="00425BAF"/>
    <w:pPr>
      <w:spacing w:before="0"/>
    </w:pPr>
    <w:rPr>
      <w:rFonts w:ascii="Franklin Gothic Book" w:hAnsi="Franklin Gothic Book"/>
      <w:sz w:val="17"/>
    </w:rPr>
  </w:style>
  <w:style w:type="paragraph" w:styleId="BodyText">
    <w:name w:val="Body Text"/>
    <w:basedOn w:val="Normal"/>
    <w:link w:val="BodyTextChar"/>
    <w:uiPriority w:val="2"/>
    <w:qFormat/>
    <w:rsid w:val="007438FF"/>
    <w:pPr>
      <w:spacing w:before="140"/>
    </w:pPr>
    <w:rPr>
      <w:rFonts w:asciiTheme="minorHAnsi" w:eastAsia="Times New Roman" w:hAnsiTheme="minorHAnsi"/>
    </w:rPr>
  </w:style>
  <w:style w:type="paragraph" w:styleId="ListNumber2">
    <w:name w:val="List Number 2"/>
    <w:basedOn w:val="BodyText"/>
    <w:uiPriority w:val="2"/>
    <w:rsid w:val="00497862"/>
    <w:pPr>
      <w:numPr>
        <w:ilvl w:val="1"/>
        <w:numId w:val="12"/>
      </w:numPr>
      <w:spacing w:before="40"/>
    </w:pPr>
  </w:style>
  <w:style w:type="character" w:customStyle="1" w:styleId="BodyTextChar">
    <w:name w:val="Body Text Char"/>
    <w:link w:val="BodyText"/>
    <w:uiPriority w:val="2"/>
    <w:rsid w:val="007438FF"/>
    <w:rPr>
      <w:rFonts w:asciiTheme="minorHAnsi" w:eastAsia="Times New Roman" w:hAnsiTheme="minorHAnsi"/>
    </w:rPr>
  </w:style>
  <w:style w:type="paragraph" w:styleId="Caption">
    <w:name w:val="caption"/>
    <w:basedOn w:val="BodyText"/>
    <w:next w:val="Subtitlebox"/>
    <w:link w:val="CaptionChar"/>
    <w:uiPriority w:val="99"/>
    <w:unhideWhenUsed/>
    <w:rsid w:val="008A036A"/>
    <w:pPr>
      <w:keepNext/>
      <w:numPr>
        <w:numId w:val="7"/>
      </w:numPr>
      <w:spacing w:before="360" w:after="80" w:line="260" w:lineRule="atLeast"/>
    </w:pPr>
    <w:rPr>
      <w:rFonts w:ascii="Franklin Gothic Demi" w:hAnsi="Franklin Gothic Demi"/>
      <w:szCs w:val="20"/>
    </w:rPr>
  </w:style>
  <w:style w:type="paragraph" w:customStyle="1" w:styleId="BoxHeading1">
    <w:name w:val="Box Heading 1"/>
    <w:basedOn w:val="Heading4"/>
    <w:next w:val="BodyText"/>
    <w:uiPriority w:val="9"/>
    <w:rsid w:val="009D667E"/>
    <w:pPr>
      <w:spacing w:before="240"/>
    </w:pPr>
    <w:rPr>
      <w:rFonts w:ascii="Franklin Gothic Demi" w:hAnsi="Franklin Gothic Demi"/>
      <w:b w:val="0"/>
      <w:i w:val="0"/>
      <w:color w:val="F61D12" w:themeColor="accent2"/>
    </w:rPr>
  </w:style>
  <w:style w:type="paragraph" w:customStyle="1" w:styleId="BoxHeading2">
    <w:name w:val="Box Heading 2"/>
    <w:basedOn w:val="BoxHeading1"/>
    <w:next w:val="BodyText"/>
    <w:uiPriority w:val="9"/>
    <w:rsid w:val="00F21CFB"/>
    <w:pPr>
      <w:spacing w:before="200"/>
    </w:pPr>
    <w:rPr>
      <w:rFonts w:ascii="Franklin Gothic Medium" w:hAnsi="Franklin Gothic Medium"/>
      <w:szCs w:val="20"/>
    </w:rPr>
  </w:style>
  <w:style w:type="paragraph" w:customStyle="1" w:styleId="ChartText">
    <w:name w:val="Chart Text"/>
    <w:basedOn w:val="TableTextEntries"/>
    <w:link w:val="ChartTextChar"/>
    <w:uiPriority w:val="23"/>
    <w:rsid w:val="00F87657"/>
    <w:pPr>
      <w:spacing w:before="0"/>
    </w:pPr>
    <w:rPr>
      <w:rFonts w:ascii="Franklin Gothic Medium" w:hAnsi="Franklin Gothic Medium"/>
    </w:rPr>
  </w:style>
  <w:style w:type="character" w:customStyle="1" w:styleId="ChartTextChar">
    <w:name w:val="Chart Text Char"/>
    <w:link w:val="ChartText"/>
    <w:uiPriority w:val="23"/>
    <w:rsid w:val="00F87657"/>
    <w:rPr>
      <w:rFonts w:ascii="Franklin Gothic Medium" w:eastAsia="Times New Roman" w:hAnsi="Franklin Gothic Medium"/>
      <w:sz w:val="16"/>
      <w:szCs w:val="18"/>
      <w:lang w:eastAsia="en-US"/>
    </w:rPr>
  </w:style>
  <w:style w:type="paragraph" w:customStyle="1" w:styleId="ChartBoldText">
    <w:name w:val="Chart Bold Text"/>
    <w:basedOn w:val="ChartText"/>
    <w:next w:val="ChartText"/>
    <w:uiPriority w:val="23"/>
    <w:rsid w:val="00DA2AB5"/>
    <w:pPr>
      <w:jc w:val="center"/>
    </w:pPr>
    <w:rPr>
      <w:rFonts w:ascii="Franklin Gothic Demi" w:hAnsi="Franklin Gothic Demi"/>
      <w:szCs w:val="17"/>
    </w:rPr>
  </w:style>
  <w:style w:type="paragraph" w:customStyle="1" w:styleId="ChartHighlight">
    <w:name w:val="Chart Highlight"/>
    <w:basedOn w:val="ChartBoldText"/>
    <w:uiPriority w:val="22"/>
    <w:rsid w:val="00DA2AB5"/>
    <w:pPr>
      <w:spacing w:line="220" w:lineRule="atLeast"/>
    </w:pPr>
    <w:rPr>
      <w:caps/>
      <w:sz w:val="20"/>
    </w:rPr>
  </w:style>
  <w:style w:type="paragraph" w:customStyle="1" w:styleId="Client">
    <w:name w:val="Client"/>
    <w:basedOn w:val="BodyText"/>
    <w:uiPriority w:val="32"/>
    <w:rsid w:val="00DA40B0"/>
    <w:pPr>
      <w:spacing w:before="0"/>
    </w:pPr>
    <w:rPr>
      <w:i/>
      <w:sz w:val="25"/>
    </w:rPr>
  </w:style>
  <w:style w:type="character" w:styleId="CommentReference">
    <w:name w:val="annotation reference"/>
    <w:basedOn w:val="BodyTextChar"/>
    <w:uiPriority w:val="49"/>
    <w:semiHidden/>
    <w:rsid w:val="000B2602"/>
    <w:rPr>
      <w:rFonts w:ascii="Franklin Gothic Demi" w:eastAsia="Times New Roman" w:hAnsi="Franklin Gothic Demi" w:cs="Times New Roman"/>
      <w:b w:val="0"/>
      <w:vanish/>
      <w:color w:val="FF00FF"/>
      <w:sz w:val="18"/>
      <w:szCs w:val="16"/>
    </w:rPr>
  </w:style>
  <w:style w:type="paragraph" w:styleId="CommentText">
    <w:name w:val="annotation text"/>
    <w:basedOn w:val="BodyText"/>
    <w:link w:val="CommentTextChar"/>
    <w:uiPriority w:val="49"/>
    <w:semiHidden/>
    <w:rsid w:val="00D83A2B"/>
    <w:pPr>
      <w:spacing w:before="80" w:line="240" w:lineRule="atLeast"/>
    </w:pPr>
    <w:rPr>
      <w:sz w:val="20"/>
      <w:szCs w:val="20"/>
    </w:rPr>
  </w:style>
  <w:style w:type="character" w:customStyle="1" w:styleId="CommentTextChar">
    <w:name w:val="Comment Text Char"/>
    <w:basedOn w:val="DefaultParagraphFont"/>
    <w:link w:val="CommentText"/>
    <w:uiPriority w:val="49"/>
    <w:semiHidden/>
    <w:rsid w:val="00D24560"/>
    <w:rPr>
      <w:rFonts w:asciiTheme="minorHAnsi" w:eastAsia="Times New Roman" w:hAnsiTheme="minorHAnsi"/>
      <w:sz w:val="20"/>
      <w:szCs w:val="20"/>
    </w:rPr>
  </w:style>
  <w:style w:type="numbering" w:customStyle="1" w:styleId="ChartListBullets">
    <w:name w:val="ChartListBullets"/>
    <w:uiPriority w:val="99"/>
    <w:rsid w:val="00CC4851"/>
    <w:pPr>
      <w:numPr>
        <w:numId w:val="3"/>
      </w:numPr>
    </w:pPr>
  </w:style>
  <w:style w:type="paragraph" w:customStyle="1" w:styleId="TableTextEntries">
    <w:name w:val="Table Text Entries"/>
    <w:basedOn w:val="BodyText"/>
    <w:rsid w:val="00BA1241"/>
    <w:pPr>
      <w:keepLines/>
      <w:spacing w:before="80" w:after="80" w:line="200" w:lineRule="atLeast"/>
    </w:pPr>
    <w:rPr>
      <w:rFonts w:ascii="Franklin Gothic Book" w:hAnsi="Franklin Gothic Book"/>
      <w:sz w:val="16"/>
      <w:szCs w:val="18"/>
      <w:lang w:eastAsia="en-US"/>
    </w:rPr>
  </w:style>
  <w:style w:type="paragraph" w:customStyle="1" w:styleId="Note">
    <w:name w:val="Note"/>
    <w:basedOn w:val="TableTextEntries"/>
    <w:next w:val="Source"/>
    <w:link w:val="NoteCharChar"/>
    <w:uiPriority w:val="15"/>
    <w:rsid w:val="008D63BD"/>
    <w:pPr>
      <w:spacing w:before="40" w:after="0" w:line="180" w:lineRule="atLeast"/>
    </w:pPr>
    <w:rPr>
      <w:sz w:val="14"/>
      <w:szCs w:val="16"/>
    </w:rPr>
  </w:style>
  <w:style w:type="character" w:customStyle="1" w:styleId="NoteCharChar">
    <w:name w:val="Note Char Char"/>
    <w:link w:val="Note"/>
    <w:uiPriority w:val="15"/>
    <w:rsid w:val="008D63BD"/>
    <w:rPr>
      <w:rFonts w:ascii="Franklin Gothic Medium" w:eastAsia="Times New Roman" w:hAnsi="Franklin Gothic Medium" w:cs="Times New Roman"/>
      <w:sz w:val="14"/>
      <w:szCs w:val="16"/>
      <w:lang w:eastAsia="en-US"/>
    </w:rPr>
  </w:style>
  <w:style w:type="paragraph" w:customStyle="1" w:styleId="Source">
    <w:name w:val="Source"/>
    <w:basedOn w:val="Note"/>
    <w:next w:val="BodyText"/>
    <w:link w:val="SourceChar"/>
    <w:uiPriority w:val="16"/>
    <w:rsid w:val="008D63BD"/>
    <w:pPr>
      <w:spacing w:after="60"/>
    </w:pPr>
  </w:style>
  <w:style w:type="paragraph" w:customStyle="1" w:styleId="Continued">
    <w:name w:val="Continued"/>
    <w:basedOn w:val="Source"/>
    <w:next w:val="BodyText"/>
    <w:link w:val="ContinuedChar"/>
    <w:rsid w:val="00BA1241"/>
    <w:pPr>
      <w:jc w:val="right"/>
    </w:pPr>
  </w:style>
  <w:style w:type="paragraph" w:styleId="Title">
    <w:name w:val="Title"/>
    <w:basedOn w:val="Normal"/>
    <w:next w:val="Subtitle"/>
    <w:link w:val="TitleChar"/>
    <w:uiPriority w:val="29"/>
    <w:qFormat/>
    <w:rsid w:val="0089278E"/>
    <w:pPr>
      <w:spacing w:line="500" w:lineRule="atLeast"/>
    </w:pPr>
    <w:rPr>
      <w:rFonts w:asciiTheme="majorHAnsi" w:eastAsia="Times New Roman" w:hAnsiTheme="majorHAnsi"/>
      <w:spacing w:val="-2"/>
      <w:kern w:val="28"/>
      <w:sz w:val="44"/>
      <w:szCs w:val="48"/>
    </w:rPr>
  </w:style>
  <w:style w:type="character" w:customStyle="1" w:styleId="TitleChar">
    <w:name w:val="Title Char"/>
    <w:basedOn w:val="DefaultParagraphFont"/>
    <w:link w:val="Title"/>
    <w:uiPriority w:val="29"/>
    <w:rsid w:val="001624ED"/>
    <w:rPr>
      <w:rFonts w:asciiTheme="majorHAnsi" w:eastAsia="Times New Roman" w:hAnsiTheme="majorHAnsi"/>
      <w:spacing w:val="-2"/>
      <w:kern w:val="28"/>
      <w:sz w:val="44"/>
      <w:szCs w:val="48"/>
    </w:rPr>
  </w:style>
  <w:style w:type="paragraph" w:styleId="Subtitle">
    <w:name w:val="Subtitle"/>
    <w:basedOn w:val="Title"/>
    <w:link w:val="SubtitleChar"/>
    <w:uiPriority w:val="30"/>
    <w:qFormat/>
    <w:rsid w:val="008F6EF9"/>
    <w:pPr>
      <w:spacing w:before="280" w:line="320" w:lineRule="atLeast"/>
    </w:pPr>
    <w:rPr>
      <w:sz w:val="25"/>
      <w:szCs w:val="28"/>
    </w:rPr>
  </w:style>
  <w:style w:type="character" w:customStyle="1" w:styleId="SubtitleChar">
    <w:name w:val="Subtitle Char"/>
    <w:basedOn w:val="DefaultParagraphFont"/>
    <w:link w:val="Subtitle"/>
    <w:uiPriority w:val="30"/>
    <w:rsid w:val="001624ED"/>
    <w:rPr>
      <w:rFonts w:asciiTheme="majorHAnsi" w:eastAsia="Times New Roman" w:hAnsiTheme="majorHAnsi"/>
      <w:spacing w:val="-2"/>
      <w:kern w:val="28"/>
      <w:sz w:val="25"/>
      <w:szCs w:val="28"/>
    </w:rPr>
  </w:style>
  <w:style w:type="paragraph" w:styleId="Date">
    <w:name w:val="Date"/>
    <w:basedOn w:val="Subtitle"/>
    <w:link w:val="DateChar"/>
    <w:uiPriority w:val="33"/>
    <w:rsid w:val="00DA40B0"/>
    <w:pPr>
      <w:spacing w:before="140" w:line="280" w:lineRule="atLeast"/>
    </w:pPr>
    <w:rPr>
      <w:i/>
      <w:color w:val="6F6652" w:themeColor="text2"/>
      <w:spacing w:val="0"/>
    </w:rPr>
  </w:style>
  <w:style w:type="character" w:customStyle="1" w:styleId="DateChar">
    <w:name w:val="Date Char"/>
    <w:basedOn w:val="DefaultParagraphFont"/>
    <w:link w:val="Date"/>
    <w:uiPriority w:val="33"/>
    <w:rsid w:val="001624ED"/>
    <w:rPr>
      <w:rFonts w:asciiTheme="majorHAnsi" w:eastAsia="Times New Roman" w:hAnsiTheme="majorHAnsi"/>
      <w:i/>
      <w:color w:val="6F6652" w:themeColor="text2"/>
      <w:kern w:val="28"/>
      <w:sz w:val="25"/>
      <w:szCs w:val="28"/>
    </w:rPr>
  </w:style>
  <w:style w:type="character" w:customStyle="1" w:styleId="DraftingNote">
    <w:name w:val="Drafting Note"/>
    <w:uiPriority w:val="2"/>
    <w:rsid w:val="00F31AEF"/>
    <w:rPr>
      <w:rFonts w:asciiTheme="minorHAnsi" w:hAnsiTheme="minorHAnsi"/>
      <w:b/>
      <w:color w:val="0070C0"/>
      <w:u w:val="dotted"/>
    </w:rPr>
  </w:style>
  <w:style w:type="paragraph" w:styleId="Footer">
    <w:name w:val="footer"/>
    <w:basedOn w:val="BodyText"/>
    <w:link w:val="FooterChar"/>
    <w:uiPriority w:val="99"/>
    <w:rsid w:val="00B52205"/>
    <w:pPr>
      <w:spacing w:before="0" w:line="200" w:lineRule="atLeast"/>
    </w:pPr>
    <w:rPr>
      <w:i/>
      <w:color w:val="6F6652" w:themeColor="text2"/>
      <w:sz w:val="16"/>
      <w:szCs w:val="14"/>
    </w:rPr>
  </w:style>
  <w:style w:type="character" w:customStyle="1" w:styleId="FooterChar">
    <w:name w:val="Footer Char"/>
    <w:basedOn w:val="DefaultParagraphFont"/>
    <w:link w:val="Footer"/>
    <w:uiPriority w:val="99"/>
    <w:rsid w:val="001624ED"/>
    <w:rPr>
      <w:rFonts w:asciiTheme="minorHAnsi" w:eastAsia="Times New Roman" w:hAnsiTheme="minorHAnsi"/>
      <w:i/>
      <w:color w:val="6F6652" w:themeColor="text2"/>
      <w:sz w:val="16"/>
      <w:szCs w:val="14"/>
    </w:rPr>
  </w:style>
  <w:style w:type="character" w:styleId="FootnoteReference">
    <w:name w:val="footnote reference"/>
    <w:uiPriority w:val="25"/>
    <w:unhideWhenUsed/>
    <w:rsid w:val="008A036A"/>
    <w:rPr>
      <w:rFonts w:ascii="Calisto MT" w:hAnsi="Calisto MT"/>
      <w:b w:val="0"/>
      <w:i w:val="0"/>
      <w:color w:val="auto"/>
      <w:w w:val="100"/>
      <w:position w:val="4"/>
      <w:sz w:val="18"/>
      <w:szCs w:val="21"/>
      <w:vertAlign w:val="baseline"/>
    </w:rPr>
  </w:style>
  <w:style w:type="paragraph" w:styleId="FootnoteText">
    <w:name w:val="footnote text"/>
    <w:basedOn w:val="BodyText"/>
    <w:link w:val="FootnoteTextChar"/>
    <w:uiPriority w:val="25"/>
    <w:unhideWhenUsed/>
    <w:rsid w:val="008A036A"/>
    <w:pPr>
      <w:spacing w:before="80" w:line="240" w:lineRule="atLeast"/>
      <w:ind w:left="284" w:hanging="284"/>
    </w:pPr>
    <w:rPr>
      <w:sz w:val="19"/>
      <w:szCs w:val="18"/>
    </w:rPr>
  </w:style>
  <w:style w:type="character" w:customStyle="1" w:styleId="FootnoteTextChar">
    <w:name w:val="Footnote Text Char"/>
    <w:basedOn w:val="DefaultParagraphFont"/>
    <w:link w:val="FootnoteText"/>
    <w:uiPriority w:val="25"/>
    <w:rsid w:val="002812E4"/>
    <w:rPr>
      <w:rFonts w:asciiTheme="minorHAnsi" w:eastAsia="Times New Roman" w:hAnsiTheme="minorHAnsi"/>
      <w:sz w:val="19"/>
      <w:szCs w:val="18"/>
    </w:rPr>
  </w:style>
  <w:style w:type="paragraph" w:styleId="Header">
    <w:name w:val="header"/>
    <w:basedOn w:val="BodyText"/>
    <w:link w:val="HeaderChar"/>
    <w:uiPriority w:val="99"/>
    <w:rsid w:val="00222BF5"/>
    <w:pPr>
      <w:pBdr>
        <w:bottom w:val="single" w:sz="4" w:space="1" w:color="F61D12" w:themeColor="accent2"/>
      </w:pBdr>
      <w:tabs>
        <w:tab w:val="left" w:pos="-567"/>
        <w:tab w:val="left" w:pos="0"/>
        <w:tab w:val="right" w:pos="7938"/>
        <w:tab w:val="right" w:pos="8505"/>
      </w:tabs>
      <w:spacing w:before="480" w:line="240" w:lineRule="atLeast"/>
      <w:ind w:left="-2268" w:right="-2268"/>
    </w:pPr>
    <w:rPr>
      <w:rFonts w:ascii="Franklin Gothic Medium" w:hAnsi="Franklin Gothic Medium"/>
      <w:sz w:val="14"/>
      <w:szCs w:val="14"/>
    </w:rPr>
  </w:style>
  <w:style w:type="character" w:customStyle="1" w:styleId="HeaderChar">
    <w:name w:val="Header Char"/>
    <w:basedOn w:val="DefaultParagraphFont"/>
    <w:link w:val="Header"/>
    <w:uiPriority w:val="99"/>
    <w:rsid w:val="001624ED"/>
    <w:rPr>
      <w:rFonts w:ascii="Franklin Gothic Medium" w:eastAsia="Times New Roman" w:hAnsi="Franklin Gothic Medium"/>
      <w:sz w:val="14"/>
      <w:szCs w:val="14"/>
    </w:rPr>
  </w:style>
  <w:style w:type="character" w:customStyle="1" w:styleId="Heading1Char">
    <w:name w:val="Heading 1 Char"/>
    <w:aliases w:val="h1 Char,EOI - Heading 1 (Low) Char,Heading 1 (low) Char,Para1 Char,h11 Char,h12 Char,ChapterHeadingNumber Char,Top 1 Char,ParaLevel1 Char,Level 1 Para Char,Level 1 Para1 Char,Level 1 Para2 Char,Level 1 Para3 Char,Level 1 Para4 Char,1 Char"/>
    <w:basedOn w:val="DefaultParagraphFont"/>
    <w:link w:val="Heading1"/>
    <w:rsid w:val="00F474C1"/>
    <w:rPr>
      <w:rFonts w:asciiTheme="majorHAnsi" w:eastAsia="Times New Roman" w:hAnsiTheme="majorHAnsi"/>
      <w:i/>
      <w:kern w:val="28"/>
      <w:sz w:val="36"/>
      <w:szCs w:val="32"/>
    </w:rPr>
  </w:style>
  <w:style w:type="character" w:customStyle="1" w:styleId="Heading2Char">
    <w:name w:val="Heading 2 Char"/>
    <w:aliases w:val="Para2 Char,h2 Char,BT-Legal Numbering Char,Head hdbk Char,Top 2 Char,H2 Char,h2 main heading Char,B Sub/Bold Char,B Sub/Bold1 Char,B Sub/Bold2 Char,B Sub/Bold11 Char,h2 main heading1 Char,h2 main heading2 Char,B Sub/Bold3 Char,Para 2 Char"/>
    <w:basedOn w:val="DefaultParagraphFont"/>
    <w:link w:val="Heading2"/>
    <w:rsid w:val="00814B8B"/>
    <w:rPr>
      <w:rFonts w:asciiTheme="majorHAnsi" w:eastAsia="Times New Roman" w:hAnsiTheme="majorHAnsi"/>
      <w:b/>
      <w:i/>
      <w:color w:val="F61D12" w:themeColor="accent2"/>
      <w:kern w:val="28"/>
      <w:sz w:val="30"/>
      <w:szCs w:val="26"/>
    </w:rPr>
  </w:style>
  <w:style w:type="paragraph" w:styleId="ListBullet2">
    <w:name w:val="List Bullet 2"/>
    <w:basedOn w:val="ListBullet"/>
    <w:uiPriority w:val="2"/>
    <w:rsid w:val="004C31EE"/>
    <w:pPr>
      <w:numPr>
        <w:ilvl w:val="1"/>
      </w:numPr>
      <w:spacing w:before="40"/>
      <w:ind w:left="568" w:hanging="284"/>
    </w:pPr>
  </w:style>
  <w:style w:type="character" w:customStyle="1" w:styleId="Heading3Char">
    <w:name w:val="Heading 3 Char"/>
    <w:aliases w:val="Normal + num Char,Level 1 - 2 Char,h3 Char,EOI - Heading 3 Char,h3 sub heading Char,Para3 Char,Paragraph (heading 3) Char,BTL Numbered Char,L3 Char,3 Char,Level 1 - 1 Char,Report Heading 3 Char,d Char,Tempo Heading 3 Char,H3 Char,h31 Char"/>
    <w:basedOn w:val="DefaultParagraphFont"/>
    <w:link w:val="Heading3"/>
    <w:rsid w:val="002F2DAD"/>
    <w:rPr>
      <w:rFonts w:eastAsia="Times New Roman"/>
      <w:b/>
      <w:i/>
      <w:kern w:val="28"/>
      <w:sz w:val="25"/>
      <w:szCs w:val="22"/>
    </w:rPr>
  </w:style>
  <w:style w:type="character" w:customStyle="1" w:styleId="Heading4Char">
    <w:name w:val="Heading 4 Char"/>
    <w:aliases w:val="h4 Char,L4 Char,Level 2 - a Char,sd Char,Standard H3 Char,h41 Char,Titre 4 Char,1.1.1.1 Char,bullet Char,bl Char,bb Char,h4 sub sub heading Char,Level 2 - (a) Char,4 Char,Org Heading 2 Char,Sub3Para Char,proj4 Char,proj41 Char,proj42 Char"/>
    <w:basedOn w:val="DefaultParagraphFont"/>
    <w:link w:val="Heading4"/>
    <w:rsid w:val="00FC141A"/>
    <w:rPr>
      <w:rFonts w:eastAsia="Times New Roman"/>
      <w:b/>
      <w:i/>
      <w:color w:val="6F6652" w:themeColor="text2"/>
      <w:kern w:val="28"/>
      <w:szCs w:val="22"/>
    </w:rPr>
  </w:style>
  <w:style w:type="character" w:customStyle="1" w:styleId="Heading5Char">
    <w:name w:val="Heading 5 Char"/>
    <w:aliases w:val="h5 Char,L5 Char,Level 3 - i Char,L51 Char,Para5 Char,i. Char,H1 Char,subsubpara Char,1.1.1.1.1 Char,H11 Char"/>
    <w:basedOn w:val="DefaultParagraphFont"/>
    <w:link w:val="Heading5"/>
    <w:rsid w:val="00742A5F"/>
    <w:rPr>
      <w:rFonts w:asciiTheme="minorHAnsi" w:eastAsia="Times New Roman" w:hAnsiTheme="minorHAnsi"/>
      <w:i/>
      <w:color w:val="6F6652" w:themeColor="text2"/>
      <w:kern w:val="28"/>
      <w:szCs w:val="22"/>
    </w:rPr>
  </w:style>
  <w:style w:type="character" w:customStyle="1" w:styleId="Heading6Char">
    <w:name w:val="Heading 6 Char"/>
    <w:basedOn w:val="DefaultParagraphFont"/>
    <w:link w:val="Heading6"/>
    <w:rsid w:val="000E5731"/>
    <w:rPr>
      <w:rFonts w:asciiTheme="majorHAnsi" w:eastAsia="Times New Roman" w:hAnsiTheme="majorHAnsi"/>
      <w:bCs/>
      <w:i/>
      <w:kern w:val="28"/>
      <w:sz w:val="36"/>
      <w:szCs w:val="32"/>
    </w:rPr>
  </w:style>
  <w:style w:type="character" w:customStyle="1" w:styleId="Heading7Char">
    <w:name w:val="Heading 7 Char"/>
    <w:basedOn w:val="DefaultParagraphFont"/>
    <w:link w:val="Heading7"/>
    <w:rsid w:val="00395D18"/>
    <w:rPr>
      <w:rFonts w:eastAsia="Times New Roman"/>
      <w:b/>
      <w:i/>
      <w:kern w:val="28"/>
      <w:sz w:val="30"/>
      <w:szCs w:val="26"/>
    </w:rPr>
  </w:style>
  <w:style w:type="character" w:customStyle="1" w:styleId="Heading8Char">
    <w:name w:val="Heading 8 Char"/>
    <w:basedOn w:val="DefaultParagraphFont"/>
    <w:link w:val="Heading8"/>
    <w:rsid w:val="00CE3386"/>
    <w:rPr>
      <w:rFonts w:eastAsia="Times New Roman"/>
      <w:b/>
      <w:i/>
      <w:kern w:val="28"/>
      <w:sz w:val="25"/>
      <w:szCs w:val="22"/>
    </w:rPr>
  </w:style>
  <w:style w:type="character" w:customStyle="1" w:styleId="Heading9Char">
    <w:name w:val="Heading 9 Char"/>
    <w:aliases w:val="Spare5 Char"/>
    <w:basedOn w:val="DefaultParagraphFont"/>
    <w:link w:val="Heading9"/>
    <w:rsid w:val="00F47B3A"/>
    <w:rPr>
      <w:rFonts w:eastAsia="Times New Roman"/>
      <w:b/>
      <w:i/>
      <w:kern w:val="28"/>
      <w:szCs w:val="22"/>
    </w:rPr>
  </w:style>
  <w:style w:type="character" w:styleId="Hyperlink">
    <w:name w:val="Hyperlink"/>
    <w:uiPriority w:val="99"/>
    <w:semiHidden/>
    <w:rsid w:val="00FE6AD6"/>
    <w:rPr>
      <w:b w:val="0"/>
      <w:i w:val="0"/>
      <w:color w:val="6F6652" w:themeColor="text2"/>
      <w:u w:val="none"/>
    </w:rPr>
  </w:style>
  <w:style w:type="paragraph" w:customStyle="1" w:styleId="Invisiblepara">
    <w:name w:val="Invisible para"/>
    <w:basedOn w:val="Normal"/>
    <w:uiPriority w:val="99"/>
    <w:rsid w:val="00664723"/>
    <w:pPr>
      <w:keepNext/>
      <w:spacing w:before="320" w:line="80" w:lineRule="exact"/>
    </w:pPr>
    <w:rPr>
      <w:rFonts w:eastAsia="Times New Roman"/>
      <w:szCs w:val="20"/>
    </w:rPr>
  </w:style>
  <w:style w:type="character" w:customStyle="1" w:styleId="NoteLabel">
    <w:name w:val="Note Label"/>
    <w:uiPriority w:val="15"/>
    <w:rsid w:val="008D63BD"/>
    <w:rPr>
      <w:rFonts w:ascii="Franklin Gothic Demi" w:hAnsi="Franklin Gothic Demi"/>
      <w:b w:val="0"/>
      <w:i w:val="0"/>
      <w:color w:val="9B917E" w:themeColor="accent4"/>
      <w:position w:val="4"/>
      <w:sz w:val="14"/>
      <w:szCs w:val="16"/>
    </w:rPr>
  </w:style>
  <w:style w:type="character" w:styleId="PageNumber">
    <w:name w:val="page number"/>
    <w:uiPriority w:val="99"/>
    <w:rsid w:val="00AB00C7"/>
    <w:rPr>
      <w:rFonts w:ascii="Franklin Gothic Demi" w:hAnsi="Franklin Gothic Demi"/>
      <w:b w:val="0"/>
      <w:color w:val="006B7A" w:themeColor="accent1"/>
      <w:sz w:val="20"/>
      <w:szCs w:val="20"/>
    </w:rPr>
  </w:style>
  <w:style w:type="paragraph" w:styleId="Quote">
    <w:name w:val="Quote"/>
    <w:basedOn w:val="BodyText"/>
    <w:next w:val="BodyText"/>
    <w:link w:val="QuoteChar"/>
    <w:uiPriority w:val="3"/>
    <w:qFormat/>
    <w:rsid w:val="00B27E6E"/>
    <w:pPr>
      <w:spacing w:before="70" w:line="260" w:lineRule="atLeast"/>
      <w:ind w:left="284"/>
    </w:pPr>
    <w:rPr>
      <w:sz w:val="19"/>
      <w:szCs w:val="20"/>
    </w:rPr>
  </w:style>
  <w:style w:type="character" w:customStyle="1" w:styleId="QuoteChar">
    <w:name w:val="Quote Char"/>
    <w:basedOn w:val="DefaultParagraphFont"/>
    <w:link w:val="Quote"/>
    <w:uiPriority w:val="3"/>
    <w:rsid w:val="00B27E6E"/>
    <w:rPr>
      <w:rFonts w:asciiTheme="minorHAnsi" w:eastAsia="Times New Roman" w:hAnsiTheme="minorHAnsi"/>
      <w:sz w:val="19"/>
      <w:szCs w:val="20"/>
    </w:rPr>
  </w:style>
  <w:style w:type="paragraph" w:customStyle="1" w:styleId="RecommendationNumber">
    <w:name w:val="Recommendation Number"/>
    <w:basedOn w:val="BodyText"/>
    <w:next w:val="RecommendationNumber2"/>
    <w:uiPriority w:val="28"/>
    <w:rsid w:val="002C0234"/>
    <w:pPr>
      <w:numPr>
        <w:numId w:val="10"/>
      </w:numPr>
      <w:spacing w:before="80"/>
    </w:pPr>
    <w:rPr>
      <w:rFonts w:ascii="Franklin Gothic Book" w:eastAsia="MS Mincho" w:hAnsi="Franklin Gothic Book" w:cs="MS Mincho"/>
    </w:rPr>
  </w:style>
  <w:style w:type="paragraph" w:customStyle="1" w:styleId="Reference">
    <w:name w:val="Reference"/>
    <w:basedOn w:val="BodyText"/>
    <w:uiPriority w:val="3"/>
    <w:qFormat/>
    <w:rsid w:val="00B27E6E"/>
    <w:pPr>
      <w:spacing w:before="70" w:line="260" w:lineRule="atLeast"/>
      <w:ind w:left="284" w:hanging="284"/>
    </w:pPr>
    <w:rPr>
      <w:sz w:val="19"/>
      <w:szCs w:val="20"/>
    </w:rPr>
  </w:style>
  <w:style w:type="paragraph" w:customStyle="1" w:styleId="Reporttype">
    <w:name w:val="Report type"/>
    <w:basedOn w:val="Date"/>
    <w:next w:val="Title"/>
    <w:uiPriority w:val="31"/>
    <w:rsid w:val="009A4238"/>
    <w:pPr>
      <w:spacing w:before="0" w:after="280" w:line="260" w:lineRule="atLeast"/>
    </w:pPr>
    <w:rPr>
      <w:rFonts w:ascii="Franklin Gothic Demi" w:hAnsi="Franklin Gothic Demi"/>
      <w:i w:val="0"/>
      <w:caps/>
      <w:color w:val="F61D12" w:themeColor="accent2"/>
      <w:spacing w:val="44"/>
      <w:sz w:val="22"/>
    </w:rPr>
  </w:style>
  <w:style w:type="paragraph" w:customStyle="1" w:styleId="TableDataEntries">
    <w:name w:val="Table Data Entries"/>
    <w:basedOn w:val="TableTextEntries"/>
    <w:uiPriority w:val="11"/>
    <w:rsid w:val="003C4883"/>
    <w:pPr>
      <w:spacing w:before="40" w:after="40"/>
      <w:jc w:val="right"/>
    </w:pPr>
  </w:style>
  <w:style w:type="paragraph" w:customStyle="1" w:styleId="TableDataColumnHeading">
    <w:name w:val="Table Data Column Heading"/>
    <w:basedOn w:val="TableDataEntries"/>
    <w:uiPriority w:val="11"/>
    <w:rsid w:val="00E879B8"/>
    <w:pPr>
      <w:keepNext/>
      <w:spacing w:before="80" w:after="80"/>
    </w:pPr>
    <w:rPr>
      <w:rFonts w:ascii="Franklin Gothic Demi" w:hAnsi="Franklin Gothic Demi"/>
      <w:color w:val="FFFFFF"/>
    </w:rPr>
  </w:style>
  <w:style w:type="paragraph" w:customStyle="1" w:styleId="TableHeading1">
    <w:name w:val="Table Heading 1"/>
    <w:basedOn w:val="TableTextEntries"/>
    <w:next w:val="TableTextEntries"/>
    <w:uiPriority w:val="10"/>
    <w:rsid w:val="00FC141A"/>
    <w:pPr>
      <w:spacing w:before="140"/>
    </w:pPr>
    <w:rPr>
      <w:rFonts w:ascii="Franklin Gothic Demi" w:hAnsi="Franklin Gothic Demi"/>
      <w:color w:val="6F6652" w:themeColor="text2"/>
    </w:rPr>
  </w:style>
  <w:style w:type="paragraph" w:customStyle="1" w:styleId="TableHeading2">
    <w:name w:val="Table Heading 2"/>
    <w:basedOn w:val="TableHeading1"/>
    <w:next w:val="TableTextEntries"/>
    <w:uiPriority w:val="10"/>
    <w:rsid w:val="00591C8C"/>
    <w:pPr>
      <w:spacing w:before="80"/>
    </w:pPr>
    <w:rPr>
      <w:rFonts w:ascii="Franklin Gothic Medium" w:hAnsi="Franklin Gothic Medium"/>
    </w:rPr>
  </w:style>
  <w:style w:type="paragraph" w:customStyle="1" w:styleId="TableTextColumnHeading">
    <w:name w:val="Table Text Column Heading"/>
    <w:basedOn w:val="TableDataColumnHeading"/>
    <w:rsid w:val="00D950CE"/>
    <w:pPr>
      <w:jc w:val="left"/>
    </w:pPr>
  </w:style>
  <w:style w:type="paragraph" w:customStyle="1" w:styleId="TableUnit">
    <w:name w:val="Table Unit"/>
    <w:basedOn w:val="TableDataColumnHeading"/>
    <w:next w:val="TableDataEntries"/>
    <w:uiPriority w:val="11"/>
    <w:rsid w:val="00AF5770"/>
    <w:rPr>
      <w:rFonts w:ascii="Franklin Gothic Book" w:hAnsi="Franklin Gothic Book"/>
      <w:color w:val="auto"/>
      <w:szCs w:val="17"/>
    </w:rPr>
  </w:style>
  <w:style w:type="paragraph" w:styleId="TOC1">
    <w:name w:val="toc 1"/>
    <w:basedOn w:val="BodyText"/>
    <w:next w:val="TOC2"/>
    <w:uiPriority w:val="39"/>
    <w:rsid w:val="006B34C3"/>
    <w:pPr>
      <w:tabs>
        <w:tab w:val="left" w:pos="340"/>
        <w:tab w:val="right" w:pos="7938"/>
      </w:tabs>
      <w:spacing w:line="260" w:lineRule="atLeast"/>
      <w:ind w:right="567"/>
    </w:pPr>
    <w:rPr>
      <w:rFonts w:ascii="Franklin Gothic Demi" w:hAnsi="Franklin Gothic Demi"/>
      <w:szCs w:val="24"/>
    </w:rPr>
  </w:style>
  <w:style w:type="paragraph" w:styleId="TOC2">
    <w:name w:val="toc 2"/>
    <w:basedOn w:val="TOC1"/>
    <w:uiPriority w:val="39"/>
    <w:rsid w:val="00D908FD"/>
    <w:pPr>
      <w:tabs>
        <w:tab w:val="clear" w:pos="340"/>
      </w:tabs>
      <w:spacing w:before="60"/>
      <w:ind w:left="340"/>
    </w:pPr>
    <w:rPr>
      <w:rFonts w:ascii="Calisto MT" w:hAnsi="Calisto MT"/>
    </w:rPr>
  </w:style>
  <w:style w:type="paragraph" w:styleId="TOC3">
    <w:name w:val="toc 3"/>
    <w:basedOn w:val="TOC2"/>
    <w:next w:val="BodyText"/>
    <w:uiPriority w:val="39"/>
    <w:semiHidden/>
    <w:rsid w:val="00D908FD"/>
    <w:pPr>
      <w:ind w:left="680"/>
    </w:pPr>
  </w:style>
  <w:style w:type="paragraph" w:styleId="TOC6">
    <w:name w:val="toc 6"/>
    <w:basedOn w:val="BodyText"/>
    <w:next w:val="BodyText"/>
    <w:uiPriority w:val="39"/>
    <w:semiHidden/>
    <w:rsid w:val="0052602A"/>
    <w:pPr>
      <w:tabs>
        <w:tab w:val="left" w:pos="284"/>
        <w:tab w:val="right" w:pos="7655"/>
      </w:tabs>
      <w:ind w:left="284" w:right="567" w:hanging="284"/>
    </w:pPr>
  </w:style>
  <w:style w:type="paragraph" w:styleId="TOC7">
    <w:name w:val="toc 7"/>
    <w:basedOn w:val="TOC6"/>
    <w:next w:val="TOC1"/>
    <w:uiPriority w:val="39"/>
    <w:semiHidden/>
    <w:rsid w:val="009C0B20"/>
    <w:pPr>
      <w:tabs>
        <w:tab w:val="left" w:pos="1418"/>
      </w:tabs>
      <w:spacing w:before="80"/>
      <w:ind w:left="709" w:hanging="425"/>
    </w:pPr>
  </w:style>
  <w:style w:type="numbering" w:customStyle="1" w:styleId="HeadingNumbers">
    <w:name w:val="HeadingNumbers"/>
    <w:uiPriority w:val="99"/>
    <w:rsid w:val="00FD7C5A"/>
    <w:pPr>
      <w:numPr>
        <w:numId w:val="5"/>
      </w:numPr>
    </w:pPr>
  </w:style>
  <w:style w:type="paragraph" w:customStyle="1" w:styleId="TableListBullet">
    <w:name w:val="Table List Bullet"/>
    <w:basedOn w:val="TableTextEntries"/>
    <w:uiPriority w:val="14"/>
    <w:rsid w:val="00E35B83"/>
    <w:pPr>
      <w:numPr>
        <w:numId w:val="9"/>
      </w:numPr>
      <w:spacing w:line="210" w:lineRule="atLeast"/>
    </w:pPr>
    <w:rPr>
      <w:szCs w:val="19"/>
    </w:rPr>
  </w:style>
  <w:style w:type="paragraph" w:customStyle="1" w:styleId="TableListBullet2">
    <w:name w:val="Table List Bullet 2"/>
    <w:basedOn w:val="TableListBullet"/>
    <w:uiPriority w:val="14"/>
    <w:rsid w:val="00B402A3"/>
    <w:pPr>
      <w:numPr>
        <w:ilvl w:val="1"/>
      </w:numPr>
    </w:pPr>
  </w:style>
  <w:style w:type="paragraph" w:customStyle="1" w:styleId="TableListNumber">
    <w:name w:val="Table List Number"/>
    <w:basedOn w:val="TableTextEntries"/>
    <w:uiPriority w:val="14"/>
    <w:rsid w:val="00497862"/>
    <w:pPr>
      <w:numPr>
        <w:numId w:val="1"/>
      </w:numPr>
      <w:spacing w:before="40" w:after="40"/>
    </w:pPr>
    <w:rPr>
      <w:szCs w:val="19"/>
    </w:rPr>
  </w:style>
  <w:style w:type="paragraph" w:customStyle="1" w:styleId="TableListNumber2">
    <w:name w:val="Table List Number 2"/>
    <w:basedOn w:val="TableListNumber"/>
    <w:uiPriority w:val="14"/>
    <w:rsid w:val="00B402A3"/>
    <w:pPr>
      <w:numPr>
        <w:ilvl w:val="1"/>
      </w:numPr>
    </w:pPr>
  </w:style>
  <w:style w:type="numbering" w:customStyle="1" w:styleId="TableListBullets">
    <w:name w:val="TableListBullets"/>
    <w:uiPriority w:val="99"/>
    <w:rsid w:val="00E35B83"/>
    <w:pPr>
      <w:numPr>
        <w:numId w:val="2"/>
      </w:numPr>
    </w:pPr>
  </w:style>
  <w:style w:type="numbering" w:customStyle="1" w:styleId="TableListNumbers">
    <w:name w:val="TableListNumbers"/>
    <w:uiPriority w:val="99"/>
    <w:rsid w:val="00497862"/>
    <w:pPr>
      <w:numPr>
        <w:numId w:val="1"/>
      </w:numPr>
    </w:pPr>
  </w:style>
  <w:style w:type="character" w:styleId="PlaceholderText">
    <w:name w:val="Placeholder Text"/>
    <w:basedOn w:val="DefaultParagraphFont"/>
    <w:uiPriority w:val="99"/>
    <w:semiHidden/>
    <w:rsid w:val="00AF4E66"/>
    <w:rPr>
      <w:color w:val="808080"/>
    </w:rPr>
  </w:style>
  <w:style w:type="paragraph" w:customStyle="1" w:styleId="ChartListBullet">
    <w:name w:val="Chart List Bullet"/>
    <w:basedOn w:val="TableListBullet"/>
    <w:uiPriority w:val="24"/>
    <w:rsid w:val="00CC4851"/>
    <w:pPr>
      <w:numPr>
        <w:numId w:val="3"/>
      </w:numPr>
      <w:spacing w:before="50" w:after="0" w:line="200" w:lineRule="atLeast"/>
    </w:pPr>
    <w:rPr>
      <w:rFonts w:ascii="Franklin Gothic Medium" w:hAnsi="Franklin Gothic Medium"/>
      <w:szCs w:val="18"/>
    </w:rPr>
  </w:style>
  <w:style w:type="paragraph" w:customStyle="1" w:styleId="ChartListBullet2">
    <w:name w:val="Chart List Bullet 2"/>
    <w:basedOn w:val="ChartText"/>
    <w:uiPriority w:val="24"/>
    <w:rsid w:val="00CC4851"/>
    <w:pPr>
      <w:numPr>
        <w:ilvl w:val="1"/>
        <w:numId w:val="3"/>
      </w:numPr>
      <w:spacing w:before="30"/>
    </w:pPr>
  </w:style>
  <w:style w:type="paragraph" w:customStyle="1" w:styleId="ChartListNumber0">
    <w:name w:val="Chart List Number"/>
    <w:basedOn w:val="ChartText"/>
    <w:uiPriority w:val="24"/>
    <w:rsid w:val="004563C5"/>
    <w:pPr>
      <w:numPr>
        <w:numId w:val="4"/>
      </w:numPr>
      <w:spacing w:before="60"/>
    </w:pPr>
  </w:style>
  <w:style w:type="numbering" w:customStyle="1" w:styleId="ChartListNumber">
    <w:name w:val="ChartListNumber"/>
    <w:uiPriority w:val="99"/>
    <w:rsid w:val="004563C5"/>
    <w:pPr>
      <w:numPr>
        <w:numId w:val="4"/>
      </w:numPr>
    </w:pPr>
  </w:style>
  <w:style w:type="numbering" w:customStyle="1" w:styleId="RecommendationNumbers">
    <w:name w:val="RecommendationNumbers"/>
    <w:uiPriority w:val="99"/>
    <w:rsid w:val="002C0234"/>
    <w:pPr>
      <w:numPr>
        <w:numId w:val="6"/>
      </w:numPr>
    </w:pPr>
  </w:style>
  <w:style w:type="paragraph" w:customStyle="1" w:styleId="Abbreviation">
    <w:name w:val="Abbreviation"/>
    <w:basedOn w:val="BodyText"/>
    <w:uiPriority w:val="3"/>
    <w:rsid w:val="002321B8"/>
    <w:pPr>
      <w:ind w:left="1134" w:hanging="1134"/>
    </w:pPr>
  </w:style>
  <w:style w:type="paragraph" w:styleId="TableofFigures">
    <w:name w:val="table of figures"/>
    <w:basedOn w:val="BodyText"/>
    <w:next w:val="BodyText"/>
    <w:uiPriority w:val="99"/>
    <w:rsid w:val="00830E27"/>
    <w:pPr>
      <w:tabs>
        <w:tab w:val="left" w:pos="510"/>
        <w:tab w:val="right" w:pos="7938"/>
      </w:tabs>
      <w:spacing w:before="60" w:line="260" w:lineRule="atLeast"/>
      <w:ind w:left="510" w:right="567" w:hanging="510"/>
    </w:pPr>
  </w:style>
  <w:style w:type="table" w:styleId="TableGrid">
    <w:name w:val="Table Grid"/>
    <w:basedOn w:val="TableNormal"/>
    <w:uiPriority w:val="59"/>
    <w:rsid w:val="00C9369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19F1"/>
    <w:rPr>
      <w:color w:val="9B917E" w:themeColor="followedHyperlink"/>
      <w:u w:val="single"/>
    </w:rPr>
  </w:style>
  <w:style w:type="paragraph" w:styleId="NoSpacing">
    <w:name w:val="No Spacing"/>
    <w:basedOn w:val="Normal"/>
    <w:uiPriority w:val="1"/>
    <w:semiHidden/>
    <w:qFormat/>
    <w:rsid w:val="00DD7B16"/>
    <w:pPr>
      <w:spacing w:line="240" w:lineRule="auto"/>
    </w:pPr>
    <w:rPr>
      <w:rFonts w:asciiTheme="minorHAnsi" w:eastAsiaTheme="minorHAnsi" w:hAnsiTheme="minorHAnsi"/>
      <w:color w:val="000000" w:themeColor="text1"/>
      <w:szCs w:val="20"/>
      <w:lang w:val="en-US" w:eastAsia="ja-JP"/>
    </w:rPr>
  </w:style>
  <w:style w:type="paragraph" w:styleId="CommentSubject">
    <w:name w:val="annotation subject"/>
    <w:basedOn w:val="CommentText"/>
    <w:next w:val="CommentText"/>
    <w:link w:val="CommentSubjectChar"/>
    <w:uiPriority w:val="99"/>
    <w:semiHidden/>
    <w:rsid w:val="00EB66C5"/>
    <w:pPr>
      <w:spacing w:before="0" w:line="240" w:lineRule="auto"/>
    </w:pPr>
    <w:rPr>
      <w:rFonts w:ascii="Calibri" w:eastAsiaTheme="minorEastAsia" w:hAnsi="Calibri" w:cstheme="minorBidi"/>
      <w:b/>
      <w:bCs/>
    </w:rPr>
  </w:style>
  <w:style w:type="character" w:customStyle="1" w:styleId="CommentSubjectChar">
    <w:name w:val="Comment Subject Char"/>
    <w:basedOn w:val="CommentTextChar"/>
    <w:link w:val="CommentSubject"/>
    <w:uiPriority w:val="99"/>
    <w:semiHidden/>
    <w:rsid w:val="002812E4"/>
    <w:rPr>
      <w:rFonts w:ascii="Calibri" w:eastAsia="Times New Roman" w:hAnsi="Calibri" w:cstheme="minorBidi"/>
      <w:b/>
      <w:bCs/>
      <w:sz w:val="20"/>
      <w:szCs w:val="20"/>
    </w:rPr>
  </w:style>
  <w:style w:type="paragraph" w:styleId="Revision">
    <w:name w:val="Revision"/>
    <w:hidden/>
    <w:uiPriority w:val="99"/>
    <w:semiHidden/>
    <w:rsid w:val="00EB66C5"/>
    <w:pPr>
      <w:spacing w:before="0" w:line="240" w:lineRule="auto"/>
    </w:pPr>
  </w:style>
  <w:style w:type="paragraph" w:styleId="BalloonText">
    <w:name w:val="Balloon Text"/>
    <w:basedOn w:val="Normal"/>
    <w:link w:val="BalloonTextChar"/>
    <w:semiHidden/>
    <w:unhideWhenUsed/>
    <w:rsid w:val="00EB66C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66C5"/>
    <w:rPr>
      <w:rFonts w:ascii="Tahoma" w:hAnsi="Tahoma" w:cs="Tahoma"/>
      <w:sz w:val="16"/>
      <w:szCs w:val="16"/>
    </w:rPr>
  </w:style>
  <w:style w:type="paragraph" w:customStyle="1" w:styleId="HighlightMessage">
    <w:name w:val="Highlight Message"/>
    <w:basedOn w:val="BodyText"/>
    <w:next w:val="BodyText"/>
    <w:rsid w:val="00814B8B"/>
    <w:pPr>
      <w:keepNext/>
      <w:spacing w:before="360" w:line="260" w:lineRule="atLeast"/>
      <w:ind w:right="1701"/>
    </w:pPr>
    <w:rPr>
      <w:rFonts w:ascii="Franklin Gothic Heavy" w:hAnsi="Franklin Gothic Heavy"/>
      <w:color w:val="F61D12" w:themeColor="accent2"/>
      <w:szCs w:val="16"/>
      <w:lang w:eastAsia="en-US"/>
    </w:rPr>
  </w:style>
  <w:style w:type="paragraph" w:customStyle="1" w:styleId="Chart">
    <w:name w:val="Chart"/>
    <w:basedOn w:val="BodyText"/>
    <w:uiPriority w:val="99"/>
    <w:unhideWhenUsed/>
    <w:rsid w:val="00576C2E"/>
    <w:pPr>
      <w:spacing w:before="0" w:line="200" w:lineRule="atLeast"/>
    </w:pPr>
    <w:rPr>
      <w:lang w:eastAsia="en-US"/>
    </w:rPr>
  </w:style>
  <w:style w:type="paragraph" w:customStyle="1" w:styleId="KeyPoint">
    <w:name w:val="Key Point"/>
    <w:basedOn w:val="BodyText"/>
    <w:uiPriority w:val="1"/>
    <w:rsid w:val="00825668"/>
    <w:pPr>
      <w:numPr>
        <w:numId w:val="13"/>
      </w:numPr>
    </w:pPr>
    <w:rPr>
      <w:rFonts w:ascii="Franklin Gothic Demi" w:hAnsi="Franklin Gothic Demi"/>
      <w:color w:val="6F6652" w:themeColor="text2"/>
      <w:szCs w:val="20"/>
      <w:lang w:eastAsia="en-US"/>
    </w:rPr>
  </w:style>
  <w:style w:type="paragraph" w:customStyle="1" w:styleId="ChapterSummary">
    <w:name w:val="Chapter Summary"/>
    <w:basedOn w:val="KeyPoint"/>
    <w:uiPriority w:val="1"/>
    <w:rsid w:val="00FC141A"/>
    <w:pPr>
      <w:numPr>
        <w:numId w:val="0"/>
      </w:numPr>
    </w:pPr>
  </w:style>
  <w:style w:type="paragraph" w:customStyle="1" w:styleId="ChapterIntroduction">
    <w:name w:val="Chapter Introduction"/>
    <w:basedOn w:val="ChapterSummary"/>
    <w:next w:val="BodyText"/>
    <w:uiPriority w:val="1"/>
    <w:rsid w:val="00E6555A"/>
    <w:pPr>
      <w:pBdr>
        <w:top w:val="single" w:sz="4" w:space="4" w:color="9B917E" w:themeColor="accent4"/>
        <w:bottom w:val="single" w:sz="4" w:space="6" w:color="9B917E" w:themeColor="accent4"/>
      </w:pBdr>
      <w:spacing w:after="180"/>
    </w:pPr>
    <w:rPr>
      <w:rFonts w:asciiTheme="minorHAnsi" w:hAnsiTheme="minorHAnsi"/>
      <w:b/>
      <w:i/>
      <w:color w:val="F61D12" w:themeColor="accent2"/>
      <w:sz w:val="22"/>
    </w:rPr>
  </w:style>
  <w:style w:type="paragraph" w:customStyle="1" w:styleId="Confidential">
    <w:name w:val="Confidential"/>
    <w:basedOn w:val="Reporttype"/>
    <w:uiPriority w:val="31"/>
    <w:rsid w:val="005D3C6B"/>
    <w:pPr>
      <w:spacing w:after="0"/>
    </w:pPr>
    <w:rPr>
      <w:rFonts w:ascii="Franklin Gothic Book" w:hAnsi="Franklin Gothic Book"/>
      <w:color w:val="auto"/>
      <w:spacing w:val="10"/>
    </w:rPr>
  </w:style>
  <w:style w:type="numbering" w:customStyle="1" w:styleId="ListNumbers">
    <w:name w:val="ListNumbers"/>
    <w:next w:val="NoList"/>
    <w:uiPriority w:val="99"/>
    <w:rsid w:val="00497862"/>
    <w:pPr>
      <w:numPr>
        <w:numId w:val="12"/>
      </w:numPr>
    </w:pPr>
  </w:style>
  <w:style w:type="paragraph" w:customStyle="1" w:styleId="PartNumber">
    <w:name w:val="Part Number"/>
    <w:basedOn w:val="Reporttype"/>
    <w:uiPriority w:val="34"/>
    <w:semiHidden/>
    <w:rsid w:val="006E03FF"/>
  </w:style>
  <w:style w:type="paragraph" w:customStyle="1" w:styleId="PartTitle">
    <w:name w:val="Part Title"/>
    <w:basedOn w:val="Title"/>
    <w:link w:val="PartTitleChar"/>
    <w:uiPriority w:val="34"/>
    <w:semiHidden/>
    <w:rsid w:val="00145444"/>
    <w:pPr>
      <w:spacing w:line="440" w:lineRule="atLeast"/>
    </w:pPr>
    <w:rPr>
      <w:sz w:val="36"/>
    </w:rPr>
  </w:style>
  <w:style w:type="character" w:customStyle="1" w:styleId="PartTitleChar">
    <w:name w:val="Part Title Char"/>
    <w:basedOn w:val="TitleChar"/>
    <w:link w:val="PartTitle"/>
    <w:uiPriority w:val="34"/>
    <w:semiHidden/>
    <w:rsid w:val="007B3F04"/>
    <w:rPr>
      <w:rFonts w:asciiTheme="majorHAnsi" w:eastAsia="Times New Roman" w:hAnsiTheme="majorHAnsi"/>
      <w:spacing w:val="-2"/>
      <w:kern w:val="28"/>
      <w:sz w:val="36"/>
      <w:szCs w:val="48"/>
    </w:rPr>
  </w:style>
  <w:style w:type="character" w:customStyle="1" w:styleId="ListBulletChar">
    <w:name w:val="List Bullet Char"/>
    <w:link w:val="ListBullet"/>
    <w:uiPriority w:val="2"/>
    <w:locked/>
    <w:rsid w:val="00B974A4"/>
    <w:rPr>
      <w:rFonts w:asciiTheme="minorHAnsi" w:eastAsia="Times New Roman" w:hAnsiTheme="minorHAnsi"/>
    </w:rPr>
  </w:style>
  <w:style w:type="paragraph" w:styleId="TOC4">
    <w:name w:val="toc 4"/>
    <w:basedOn w:val="TOC1"/>
    <w:next w:val="TOC1"/>
    <w:uiPriority w:val="39"/>
    <w:semiHidden/>
    <w:rsid w:val="00D908FD"/>
    <w:pPr>
      <w:spacing w:before="360"/>
      <w:ind w:right="0"/>
    </w:pPr>
    <w:rPr>
      <w:caps/>
      <w:color w:val="9B917E" w:themeColor="accent4"/>
      <w:spacing w:val="10"/>
      <w:sz w:val="22"/>
    </w:rPr>
  </w:style>
  <w:style w:type="paragraph" w:styleId="TOCHeading">
    <w:name w:val="TOC Heading"/>
    <w:basedOn w:val="Heading4"/>
    <w:next w:val="TableofFigures"/>
    <w:uiPriority w:val="39"/>
    <w:semiHidden/>
    <w:rsid w:val="00FC141A"/>
    <w:pPr>
      <w:keepLines/>
      <w:numPr>
        <w:ilvl w:val="0"/>
        <w:numId w:val="0"/>
      </w:numPr>
      <w:outlineLvl w:val="9"/>
    </w:pPr>
    <w:rPr>
      <w:rFonts w:ascii="Franklin Gothic Demi" w:eastAsiaTheme="majorEastAsia" w:hAnsi="Franklin Gothic Demi" w:cstheme="majorBidi"/>
      <w:b w:val="0"/>
      <w:bCs/>
      <w:i w:val="0"/>
      <w:caps/>
      <w:color w:val="006B7A" w:themeColor="accent1"/>
      <w:spacing w:val="10"/>
      <w:sz w:val="22"/>
      <w:szCs w:val="28"/>
    </w:rPr>
  </w:style>
  <w:style w:type="character" w:customStyle="1" w:styleId="ContinuedChar">
    <w:name w:val="Continued Char"/>
    <w:basedOn w:val="DefaultParagraphFont"/>
    <w:link w:val="Continued"/>
    <w:rsid w:val="007A2A3B"/>
    <w:rPr>
      <w:rFonts w:ascii="Franklin Gothic Book" w:eastAsia="Times New Roman" w:hAnsi="Franklin Gothic Book"/>
      <w:sz w:val="14"/>
      <w:szCs w:val="16"/>
      <w:lang w:eastAsia="en-US"/>
    </w:rPr>
  </w:style>
  <w:style w:type="paragraph" w:styleId="ListParagraph">
    <w:name w:val="List Paragraph"/>
    <w:basedOn w:val="Normal"/>
    <w:uiPriority w:val="34"/>
    <w:semiHidden/>
    <w:qFormat/>
    <w:rsid w:val="005B435E"/>
    <w:pPr>
      <w:ind w:left="720"/>
      <w:contextualSpacing/>
    </w:pPr>
  </w:style>
  <w:style w:type="character" w:customStyle="1" w:styleId="CaptionChar">
    <w:name w:val="Caption Char"/>
    <w:basedOn w:val="BodyTextChar"/>
    <w:link w:val="Caption"/>
    <w:uiPriority w:val="99"/>
    <w:rsid w:val="001E3D69"/>
    <w:rPr>
      <w:rFonts w:ascii="Franklin Gothic Demi" w:eastAsia="Times New Roman" w:hAnsi="Franklin Gothic Demi"/>
      <w:szCs w:val="20"/>
    </w:rPr>
  </w:style>
  <w:style w:type="paragraph" w:customStyle="1" w:styleId="Summary2">
    <w:name w:val="Summary 2"/>
    <w:basedOn w:val="Heading2"/>
    <w:next w:val="BodyText"/>
    <w:rsid w:val="006544F3"/>
  </w:style>
  <w:style w:type="paragraph" w:customStyle="1" w:styleId="Summary3">
    <w:name w:val="Summary 3"/>
    <w:basedOn w:val="Heading3"/>
    <w:next w:val="BodyText"/>
    <w:rsid w:val="006544F3"/>
  </w:style>
  <w:style w:type="paragraph" w:customStyle="1" w:styleId="Summary4">
    <w:name w:val="Summary 4"/>
    <w:basedOn w:val="Heading4"/>
    <w:next w:val="BodyText"/>
    <w:rsid w:val="006544F3"/>
  </w:style>
  <w:style w:type="paragraph" w:customStyle="1" w:styleId="KeyPoint2">
    <w:name w:val="Key Point 2"/>
    <w:basedOn w:val="KeyPoint"/>
    <w:next w:val="BodyText"/>
    <w:uiPriority w:val="1"/>
    <w:rsid w:val="00825668"/>
    <w:pPr>
      <w:numPr>
        <w:ilvl w:val="1"/>
      </w:numPr>
      <w:spacing w:before="80"/>
    </w:pPr>
  </w:style>
  <w:style w:type="paragraph" w:customStyle="1" w:styleId="KeyPoint3">
    <w:name w:val="Key Point 3"/>
    <w:basedOn w:val="KeyPoint2"/>
    <w:next w:val="BodyText"/>
    <w:uiPriority w:val="1"/>
    <w:rsid w:val="00825668"/>
    <w:pPr>
      <w:numPr>
        <w:ilvl w:val="2"/>
      </w:numPr>
      <w:spacing w:before="60"/>
    </w:pPr>
  </w:style>
  <w:style w:type="numbering" w:customStyle="1" w:styleId="KeyPointBullets">
    <w:name w:val="KeyPointBullets"/>
    <w:basedOn w:val="ListBullets"/>
    <w:uiPriority w:val="99"/>
    <w:rsid w:val="00825668"/>
    <w:pPr>
      <w:numPr>
        <w:numId w:val="13"/>
      </w:numPr>
    </w:pPr>
  </w:style>
  <w:style w:type="numbering" w:customStyle="1" w:styleId="NoteListNumber">
    <w:name w:val="NoteListNumber"/>
    <w:uiPriority w:val="99"/>
    <w:rsid w:val="00E864C1"/>
    <w:pPr>
      <w:numPr>
        <w:numId w:val="14"/>
      </w:numPr>
    </w:pPr>
  </w:style>
  <w:style w:type="paragraph" w:styleId="NormalWeb">
    <w:name w:val="Normal (Web)"/>
    <w:basedOn w:val="Normal"/>
    <w:uiPriority w:val="99"/>
    <w:semiHidden/>
    <w:unhideWhenUsed/>
    <w:rsid w:val="0071617D"/>
    <w:pPr>
      <w:spacing w:before="100" w:beforeAutospacing="1" w:after="100" w:afterAutospacing="1" w:line="240" w:lineRule="auto"/>
    </w:pPr>
    <w:rPr>
      <w:rFonts w:ascii="Times New Roman" w:hAnsi="Times New Roman"/>
      <w:sz w:val="24"/>
      <w:szCs w:val="24"/>
    </w:rPr>
  </w:style>
  <w:style w:type="paragraph" w:customStyle="1" w:styleId="NoteNumber">
    <w:name w:val="Note Number"/>
    <w:basedOn w:val="Note"/>
    <w:uiPriority w:val="15"/>
    <w:rsid w:val="00E6555A"/>
    <w:pPr>
      <w:numPr>
        <w:ilvl w:val="1"/>
        <w:numId w:val="19"/>
      </w:numPr>
    </w:pPr>
    <w:rPr>
      <w:szCs w:val="15"/>
    </w:rPr>
  </w:style>
  <w:style w:type="paragraph" w:customStyle="1" w:styleId="Customtabletitle">
    <w:name w:val="Custom table title"/>
    <w:rsid w:val="00796D3D"/>
    <w:pPr>
      <w:keepNext/>
      <w:spacing w:before="360" w:after="80" w:line="260" w:lineRule="atLeast"/>
    </w:pPr>
    <w:rPr>
      <w:rFonts w:ascii="Franklin Gothic Demi" w:eastAsia="Times New Roman" w:hAnsi="Franklin Gothic Demi"/>
      <w:szCs w:val="20"/>
    </w:rPr>
  </w:style>
  <w:style w:type="character" w:customStyle="1" w:styleId="SourceChar">
    <w:name w:val="Source Char"/>
    <w:basedOn w:val="BodyTextChar"/>
    <w:link w:val="Source"/>
    <w:uiPriority w:val="16"/>
    <w:rsid w:val="00796D3D"/>
    <w:rPr>
      <w:rFonts w:ascii="Franklin Gothic Book" w:eastAsia="Times New Roman" w:hAnsi="Franklin Gothic Book"/>
      <w:sz w:val="14"/>
      <w:szCs w:val="16"/>
      <w:lang w:eastAsia="en-US"/>
    </w:rPr>
  </w:style>
  <w:style w:type="paragraph" w:customStyle="1" w:styleId="TableTextLeft-BP3">
    <w:name w:val="Table Text Left - BP3"/>
    <w:basedOn w:val="Normal"/>
    <w:uiPriority w:val="99"/>
    <w:semiHidden/>
    <w:rsid w:val="00796D3D"/>
    <w:pPr>
      <w:spacing w:line="240" w:lineRule="auto"/>
      <w:ind w:left="142" w:hanging="142"/>
    </w:pPr>
    <w:rPr>
      <w:rFonts w:ascii="Calibri" w:eastAsia="Times New Roman" w:hAnsi="Calibri"/>
      <w:sz w:val="20"/>
      <w:szCs w:val="18"/>
      <w:lang w:eastAsia="en-US"/>
    </w:rPr>
  </w:style>
  <w:style w:type="character" w:customStyle="1" w:styleId="CharacterStyle1">
    <w:name w:val="Character Style 1"/>
    <w:uiPriority w:val="99"/>
    <w:rsid w:val="00796D3D"/>
    <w:rPr>
      <w:rFonts w:ascii="Arial" w:hAnsi="Arial" w:cs="Arial"/>
      <w:sz w:val="16"/>
      <w:szCs w:val="16"/>
    </w:rPr>
  </w:style>
  <w:style w:type="character" w:customStyle="1" w:styleId="st">
    <w:name w:val="st"/>
    <w:basedOn w:val="DefaultParagraphFont"/>
    <w:rsid w:val="00796D3D"/>
  </w:style>
  <w:style w:type="character" w:styleId="Emphasis">
    <w:name w:val="Emphasis"/>
    <w:basedOn w:val="DefaultParagraphFont"/>
    <w:uiPriority w:val="20"/>
    <w:qFormat/>
    <w:rsid w:val="00796D3D"/>
    <w:rPr>
      <w:b/>
      <w:bCs/>
      <w:i w:val="0"/>
      <w:iCs w:val="0"/>
    </w:rPr>
  </w:style>
  <w:style w:type="paragraph" w:customStyle="1" w:styleId="TableTitle">
    <w:name w:val="Table Title"/>
    <w:basedOn w:val="BodyText"/>
    <w:next w:val="Normal"/>
    <w:semiHidden/>
    <w:rsid w:val="00796D3D"/>
    <w:pPr>
      <w:keepNext/>
      <w:spacing w:before="360" w:after="80" w:line="220" w:lineRule="exact"/>
      <w:ind w:left="454" w:hanging="454"/>
    </w:pPr>
    <w:rPr>
      <w:rFonts w:ascii="Arial" w:hAnsi="Arial"/>
      <w:sz w:val="20"/>
      <w:lang w:eastAsia="en-US"/>
    </w:rPr>
  </w:style>
  <w:style w:type="paragraph" w:customStyle="1" w:styleId="Default">
    <w:name w:val="Default"/>
    <w:rsid w:val="000E7F4B"/>
    <w:pPr>
      <w:autoSpaceDE w:val="0"/>
      <w:autoSpaceDN w:val="0"/>
      <w:adjustRightInd w:val="0"/>
      <w:spacing w:before="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heme="minorEastAsia" w:hAnsi="Calisto MT" w:cs="Times New Roman"/>
        <w:sz w:val="21"/>
        <w:szCs w:val="21"/>
        <w:lang w:val="en-AU" w:eastAsia="en-AU" w:bidi="ar-SA"/>
      </w:rPr>
    </w:rPrDefault>
    <w:pPrDefault>
      <w:pPr>
        <w:spacing w:before="140" w:line="280" w:lineRule="atLeast"/>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39" w:unhideWhenUsed="1"/>
    <w:lsdException w:name="toc 4" w:uiPriority="39"/>
    <w:lsdException w:name="toc 5" w:uiPriority="39"/>
    <w:lsdException w:name="toc 6" w:uiPriority="39" w:unhideWhenUsed="1"/>
    <w:lsdException w:name="toc 7" w:uiPriority="39" w:unhideWhenUsed="1"/>
    <w:lsdException w:name="toc 8" w:uiPriority="39"/>
    <w:lsdException w:name="toc 9" w:uiPriority="39"/>
    <w:lsdException w:name="Normal Indent" w:unhideWhenUsed="1"/>
    <w:lsdException w:name="footnote text" w:semiHidden="0" w:uiPriority="25"/>
    <w:lsdException w:name="annotation text" w:semiHidden="0" w:uiPriority="49"/>
    <w:lsdException w:name="header" w:semiHidden="0"/>
    <w:lsdException w:name="footer" w:semiHidden="0"/>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semiHidden="0" w:uiPriority="25"/>
    <w:lsdException w:name="annotation reference" w:semiHidden="0" w:uiPriority="49"/>
    <w:lsdException w:name="line number" w:unhideWhenUsed="1"/>
    <w:lsdException w:name="page number" w:unhideWhenUsed="1"/>
    <w:lsdException w:name="endnote reference" w:unhideWhenUsed="1"/>
    <w:lsdException w:name="endnote text" w:unhideWhenUsed="1"/>
    <w:lsdException w:name="macro" w:unhideWhenUsed="1"/>
    <w:lsdException w:name="List" w:unhideWhenUsed="1"/>
    <w:lsdException w:name="List Bullet" w:semiHidden="0" w:uiPriority="2" w:qFormat="1"/>
    <w:lsdException w:name="List Number" w:semiHidden="0" w:uiPriority="2" w:qFormat="1"/>
    <w:lsdException w:name="List 2" w:unhideWhenUsed="1"/>
    <w:lsdException w:name="List 3" w:unhideWhenUsed="1"/>
    <w:lsdException w:name="List 4" w:unhideWhenUsed="1"/>
    <w:lsdException w:name="List 5" w:unhideWhenUsed="1"/>
    <w:lsdException w:name="List Bullet 2" w:semiHidden="0" w:uiPriority="2"/>
    <w:lsdException w:name="List Bullet 3" w:semiHidden="0" w:uiPriority="2"/>
    <w:lsdException w:name="List Number 2" w:semiHidden="0" w:uiPriority="2"/>
    <w:lsdException w:name="List Number 3" w:unhideWhenUsed="1"/>
    <w:lsdException w:name="List Number 4" w:unhideWhenUsed="1"/>
    <w:lsdException w:name="List Number 5" w:unhideWhenUsed="1"/>
    <w:lsdException w:name="Title" w:semiHidden="0" w:uiPriority="29" w:qFormat="1"/>
    <w:lsdException w:name="Closing" w:unhideWhenUsed="1"/>
    <w:lsdException w:name="Signature" w:unhideWhenUsed="1"/>
    <w:lsdException w:name="Default Paragraph Font" w:uiPriority="1" w:unhideWhenUsed="1"/>
    <w:lsdException w:name="Body Text" w:semiHidden="0" w:uiPriority="2"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30" w:qFormat="1"/>
    <w:lsdException w:name="Salutation" w:unhideWhenUsed="1"/>
    <w:lsdException w:name="Date" w:semiHidden="0" w:uiPriority="33"/>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59"/>
    <w:lsdException w:name="Table Theme" w:unhideWhenUsed="1"/>
    <w:lsdException w:name="No Spacing" w:uiPriority="1"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3"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qFormat="1"/>
    <w:lsdException w:name="Book Title" w:uiPriority="33" w:qFormat="1"/>
    <w:lsdException w:name="Bibliography" w:uiPriority="37"/>
    <w:lsdException w:name="TOC Heading" w:semiHidden="0" w:uiPriority="39"/>
  </w:latentStyles>
  <w:style w:type="paragraph" w:default="1" w:styleId="Normal">
    <w:name w:val="Normal"/>
    <w:semiHidden/>
    <w:rsid w:val="00BA277B"/>
    <w:pPr>
      <w:spacing w:before="0"/>
    </w:pPr>
  </w:style>
  <w:style w:type="paragraph" w:styleId="Heading1">
    <w:name w:val="heading 1"/>
    <w:aliases w:val="h1,EOI - Heading 1 (Low),Heading 1 (low),Para1,h11,h12,ChapterHeadingNumber,Top 1,ParaLevel1,Level 1 Para,Level 1 Para1,Level 1 Para2,Level 1 Para3,Level 1 Para4,Level 1 Para11,Level 1 Para21,Level 1 Para31,Level 1 Para5,Level 1 Para12,L1,1,RF"/>
    <w:basedOn w:val="BodyText"/>
    <w:next w:val="BodyText"/>
    <w:link w:val="Heading1Char"/>
    <w:qFormat/>
    <w:rsid w:val="00FD7C5A"/>
    <w:pPr>
      <w:keepNext/>
      <w:pageBreakBefore/>
      <w:numPr>
        <w:numId w:val="5"/>
      </w:numPr>
      <w:spacing w:before="0" w:after="1560" w:line="440" w:lineRule="atLeast"/>
      <w:outlineLvl w:val="0"/>
    </w:pPr>
    <w:rPr>
      <w:rFonts w:asciiTheme="majorHAnsi" w:hAnsiTheme="majorHAnsi"/>
      <w:i/>
      <w:kern w:val="28"/>
      <w:sz w:val="36"/>
      <w:szCs w:val="32"/>
    </w:rPr>
  </w:style>
  <w:style w:type="paragraph" w:styleId="Heading2">
    <w:name w:val="heading 2"/>
    <w:aliases w:val="Para2,h2,BT-Legal Numbering,Head hdbk,Top 2,H2,h2 main heading,B Sub/Bold,B Sub/Bold1,B Sub/Bold2,B Sub/Bold11,h2 main heading1,h2 main heading2,B Sub/Bold3,B Sub/Bold12,h2 main heading3,B Sub/Bold4,B Sub/Bold13,SubPara,Para 2,2,new heading tw"/>
    <w:basedOn w:val="Heading1"/>
    <w:next w:val="BodyText"/>
    <w:link w:val="Heading2Char"/>
    <w:qFormat/>
    <w:rsid w:val="00814B8B"/>
    <w:pPr>
      <w:pageBreakBefore w:val="0"/>
      <w:numPr>
        <w:ilvl w:val="1"/>
      </w:numPr>
      <w:spacing w:before="560" w:after="0" w:line="340" w:lineRule="atLeast"/>
      <w:outlineLvl w:val="1"/>
    </w:pPr>
    <w:rPr>
      <w:b/>
      <w:color w:val="F61D12" w:themeColor="accent2"/>
      <w:sz w:val="30"/>
      <w:szCs w:val="26"/>
    </w:rPr>
  </w:style>
  <w:style w:type="paragraph" w:styleId="Heading3">
    <w:name w:val="heading 3"/>
    <w:aliases w:val="Normal + num,Level 1 - 2,h3,EOI - Heading 3,h3 sub heading,Para3,Paragraph (heading 3),BTL Numbered,L3,3,Level 1 - 1,Report Heading 3,d,Tempo Heading 3,H3,C Sub-Sub/Italic,Head 3,Head 31,Head 32,C Sub-Sub/Italic1,Sub2Para,BOD 1,BOD 0,h31,h32,H"/>
    <w:basedOn w:val="Heading2"/>
    <w:next w:val="BodyText"/>
    <w:link w:val="Heading3Char"/>
    <w:qFormat/>
    <w:rsid w:val="002F2DAD"/>
    <w:pPr>
      <w:numPr>
        <w:ilvl w:val="2"/>
      </w:numPr>
      <w:spacing w:before="440" w:line="280" w:lineRule="atLeast"/>
      <w:outlineLvl w:val="2"/>
    </w:pPr>
    <w:rPr>
      <w:color w:val="auto"/>
      <w:sz w:val="25"/>
      <w:szCs w:val="22"/>
    </w:rPr>
  </w:style>
  <w:style w:type="paragraph" w:styleId="Heading4">
    <w:name w:val="heading 4"/>
    <w:aliases w:val="h4,L4,Level 2 - a,sd,Standard H3,h41,Titre 4,1.1.1.1,bullet,bl,bb,h4 sub sub heading,Level 2 - (a),4,Org Heading 2,Sub3Para,proj4,proj41,proj42,proj43,proj44,proj45,proj46,proj47,proj48,proj49,proj410,proj411,proj412,proj421,proj431,proj441,41"/>
    <w:basedOn w:val="Heading3"/>
    <w:next w:val="BodyText"/>
    <w:link w:val="Heading4Char"/>
    <w:qFormat/>
    <w:rsid w:val="00FC141A"/>
    <w:pPr>
      <w:numPr>
        <w:ilvl w:val="3"/>
      </w:numPr>
      <w:spacing w:before="400" w:line="260" w:lineRule="atLeast"/>
      <w:outlineLvl w:val="3"/>
    </w:pPr>
    <w:rPr>
      <w:color w:val="6F6652" w:themeColor="text2"/>
      <w:sz w:val="21"/>
    </w:rPr>
  </w:style>
  <w:style w:type="paragraph" w:styleId="Heading5">
    <w:name w:val="heading 5"/>
    <w:aliases w:val="h5,L5,Level 3 - i,L51,Para5,i.,H1,subsubpara,1.1.1.1.1,H11"/>
    <w:basedOn w:val="Heading4"/>
    <w:next w:val="BodyText"/>
    <w:link w:val="Heading5Char"/>
    <w:qFormat/>
    <w:rsid w:val="00742A5F"/>
    <w:pPr>
      <w:numPr>
        <w:ilvl w:val="4"/>
      </w:numPr>
      <w:outlineLvl w:val="4"/>
    </w:pPr>
    <w:rPr>
      <w:rFonts w:asciiTheme="minorHAnsi" w:hAnsiTheme="minorHAnsi"/>
      <w:b w:val="0"/>
    </w:rPr>
  </w:style>
  <w:style w:type="paragraph" w:styleId="Heading6">
    <w:name w:val="heading 6"/>
    <w:basedOn w:val="Heading1"/>
    <w:next w:val="BodyText"/>
    <w:link w:val="Heading6Char"/>
    <w:qFormat/>
    <w:rsid w:val="000E5731"/>
    <w:pPr>
      <w:numPr>
        <w:ilvl w:val="5"/>
      </w:numPr>
      <w:outlineLvl w:val="5"/>
    </w:pPr>
    <w:rPr>
      <w:bCs/>
    </w:rPr>
  </w:style>
  <w:style w:type="paragraph" w:styleId="Heading7">
    <w:name w:val="heading 7"/>
    <w:basedOn w:val="Heading2"/>
    <w:next w:val="BodyText"/>
    <w:link w:val="Heading7Char"/>
    <w:qFormat/>
    <w:rsid w:val="00395D18"/>
    <w:pPr>
      <w:numPr>
        <w:ilvl w:val="6"/>
      </w:numPr>
      <w:outlineLvl w:val="6"/>
    </w:pPr>
    <w:rPr>
      <w:color w:val="auto"/>
    </w:rPr>
  </w:style>
  <w:style w:type="paragraph" w:styleId="Heading8">
    <w:name w:val="heading 8"/>
    <w:basedOn w:val="Heading3"/>
    <w:next w:val="BodyText"/>
    <w:link w:val="Heading8Char"/>
    <w:qFormat/>
    <w:rsid w:val="00CE3386"/>
    <w:pPr>
      <w:numPr>
        <w:ilvl w:val="7"/>
      </w:numPr>
      <w:outlineLvl w:val="7"/>
    </w:pPr>
  </w:style>
  <w:style w:type="paragraph" w:styleId="Heading9">
    <w:name w:val="heading 9"/>
    <w:aliases w:val="Spare5"/>
    <w:basedOn w:val="Heading4"/>
    <w:next w:val="BodyText"/>
    <w:link w:val="Heading9Char"/>
    <w:qFormat/>
    <w:rsid w:val="00F47B3A"/>
    <w:pPr>
      <w:numPr>
        <w:ilvl w:val="8"/>
      </w:num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
    <w:name w:val="ListBullets"/>
    <w:uiPriority w:val="99"/>
    <w:rsid w:val="00B974A4"/>
    <w:pPr>
      <w:numPr>
        <w:numId w:val="11"/>
      </w:numPr>
    </w:pPr>
  </w:style>
  <w:style w:type="paragraph" w:styleId="ListBullet3">
    <w:name w:val="List Bullet 3"/>
    <w:basedOn w:val="ListBullet2"/>
    <w:uiPriority w:val="2"/>
    <w:rsid w:val="00114298"/>
    <w:pPr>
      <w:numPr>
        <w:ilvl w:val="2"/>
      </w:numPr>
    </w:pPr>
  </w:style>
  <w:style w:type="paragraph" w:styleId="ListNumber">
    <w:name w:val="List Number"/>
    <w:basedOn w:val="BodyText"/>
    <w:uiPriority w:val="2"/>
    <w:qFormat/>
    <w:rsid w:val="00497862"/>
    <w:pPr>
      <w:numPr>
        <w:numId w:val="12"/>
      </w:numPr>
      <w:spacing w:before="70"/>
    </w:pPr>
  </w:style>
  <w:style w:type="paragraph" w:styleId="ListBullet">
    <w:name w:val="List Bullet"/>
    <w:basedOn w:val="BodyText"/>
    <w:link w:val="ListBulletChar"/>
    <w:uiPriority w:val="2"/>
    <w:qFormat/>
    <w:rsid w:val="00B974A4"/>
    <w:pPr>
      <w:numPr>
        <w:numId w:val="11"/>
      </w:numPr>
      <w:spacing w:before="70"/>
    </w:pPr>
  </w:style>
  <w:style w:type="paragraph" w:customStyle="1" w:styleId="Contents">
    <w:name w:val="Contents"/>
    <w:basedOn w:val="Heading1"/>
    <w:next w:val="TOC1"/>
    <w:uiPriority w:val="99"/>
    <w:rsid w:val="005C386A"/>
    <w:pPr>
      <w:pageBreakBefore w:val="0"/>
      <w:numPr>
        <w:numId w:val="0"/>
      </w:numPr>
    </w:pPr>
  </w:style>
  <w:style w:type="paragraph" w:customStyle="1" w:styleId="RecommendationNumber2">
    <w:name w:val="Recommendation Number 2"/>
    <w:basedOn w:val="RecommendationNumber"/>
    <w:uiPriority w:val="28"/>
    <w:rsid w:val="001E2A83"/>
    <w:pPr>
      <w:numPr>
        <w:ilvl w:val="1"/>
      </w:numPr>
    </w:pPr>
  </w:style>
  <w:style w:type="paragraph" w:customStyle="1" w:styleId="RecommendationHeading">
    <w:name w:val="Recommendation Heading"/>
    <w:basedOn w:val="BodyText"/>
    <w:next w:val="RecommendationNumber"/>
    <w:uiPriority w:val="28"/>
    <w:unhideWhenUsed/>
    <w:rsid w:val="00CA364E"/>
    <w:pPr>
      <w:spacing w:before="280"/>
    </w:pPr>
    <w:rPr>
      <w:rFonts w:ascii="Franklin Gothic Demi" w:hAnsi="Franklin Gothic Demi"/>
      <w:caps/>
      <w:color w:val="6F6652" w:themeColor="text2"/>
      <w:spacing w:val="10"/>
    </w:rPr>
  </w:style>
  <w:style w:type="paragraph" w:customStyle="1" w:styleId="Subtitlebox">
    <w:name w:val="Subtitle box"/>
    <w:aliases w:val="chart,table"/>
    <w:basedOn w:val="Caption"/>
    <w:uiPriority w:val="5"/>
    <w:rsid w:val="00425BAF"/>
    <w:pPr>
      <w:spacing w:before="0"/>
    </w:pPr>
    <w:rPr>
      <w:rFonts w:ascii="Franklin Gothic Book" w:hAnsi="Franklin Gothic Book"/>
      <w:sz w:val="17"/>
    </w:rPr>
  </w:style>
  <w:style w:type="paragraph" w:styleId="BodyText">
    <w:name w:val="Body Text"/>
    <w:basedOn w:val="Normal"/>
    <w:link w:val="BodyTextChar"/>
    <w:uiPriority w:val="2"/>
    <w:qFormat/>
    <w:rsid w:val="007438FF"/>
    <w:pPr>
      <w:spacing w:before="140"/>
    </w:pPr>
    <w:rPr>
      <w:rFonts w:asciiTheme="minorHAnsi" w:eastAsia="Times New Roman" w:hAnsiTheme="minorHAnsi"/>
    </w:rPr>
  </w:style>
  <w:style w:type="paragraph" w:styleId="ListNumber2">
    <w:name w:val="List Number 2"/>
    <w:basedOn w:val="BodyText"/>
    <w:uiPriority w:val="2"/>
    <w:rsid w:val="00497862"/>
    <w:pPr>
      <w:numPr>
        <w:ilvl w:val="1"/>
        <w:numId w:val="12"/>
      </w:numPr>
      <w:spacing w:before="40"/>
    </w:pPr>
  </w:style>
  <w:style w:type="character" w:customStyle="1" w:styleId="BodyTextChar">
    <w:name w:val="Body Text Char"/>
    <w:link w:val="BodyText"/>
    <w:uiPriority w:val="2"/>
    <w:rsid w:val="007438FF"/>
    <w:rPr>
      <w:rFonts w:asciiTheme="minorHAnsi" w:eastAsia="Times New Roman" w:hAnsiTheme="minorHAnsi"/>
    </w:rPr>
  </w:style>
  <w:style w:type="paragraph" w:styleId="Caption">
    <w:name w:val="caption"/>
    <w:basedOn w:val="BodyText"/>
    <w:next w:val="Subtitlebox"/>
    <w:link w:val="CaptionChar"/>
    <w:uiPriority w:val="99"/>
    <w:unhideWhenUsed/>
    <w:rsid w:val="008A036A"/>
    <w:pPr>
      <w:keepNext/>
      <w:numPr>
        <w:numId w:val="7"/>
      </w:numPr>
      <w:spacing w:before="360" w:after="80" w:line="260" w:lineRule="atLeast"/>
    </w:pPr>
    <w:rPr>
      <w:rFonts w:ascii="Franklin Gothic Demi" w:hAnsi="Franklin Gothic Demi"/>
      <w:szCs w:val="20"/>
    </w:rPr>
  </w:style>
  <w:style w:type="paragraph" w:customStyle="1" w:styleId="BoxHeading1">
    <w:name w:val="Box Heading 1"/>
    <w:basedOn w:val="Heading4"/>
    <w:next w:val="BodyText"/>
    <w:uiPriority w:val="9"/>
    <w:rsid w:val="009D667E"/>
    <w:pPr>
      <w:spacing w:before="240"/>
    </w:pPr>
    <w:rPr>
      <w:rFonts w:ascii="Franklin Gothic Demi" w:hAnsi="Franklin Gothic Demi"/>
      <w:b w:val="0"/>
      <w:i w:val="0"/>
      <w:color w:val="F61D12" w:themeColor="accent2"/>
    </w:rPr>
  </w:style>
  <w:style w:type="paragraph" w:customStyle="1" w:styleId="BoxHeading2">
    <w:name w:val="Box Heading 2"/>
    <w:basedOn w:val="BoxHeading1"/>
    <w:next w:val="BodyText"/>
    <w:uiPriority w:val="9"/>
    <w:rsid w:val="00F21CFB"/>
    <w:pPr>
      <w:spacing w:before="200"/>
    </w:pPr>
    <w:rPr>
      <w:rFonts w:ascii="Franklin Gothic Medium" w:hAnsi="Franklin Gothic Medium"/>
      <w:szCs w:val="20"/>
    </w:rPr>
  </w:style>
  <w:style w:type="paragraph" w:customStyle="1" w:styleId="ChartText">
    <w:name w:val="Chart Text"/>
    <w:basedOn w:val="TableTextEntries"/>
    <w:link w:val="ChartTextChar"/>
    <w:uiPriority w:val="23"/>
    <w:rsid w:val="00F87657"/>
    <w:pPr>
      <w:spacing w:before="0"/>
    </w:pPr>
    <w:rPr>
      <w:rFonts w:ascii="Franklin Gothic Medium" w:hAnsi="Franklin Gothic Medium"/>
    </w:rPr>
  </w:style>
  <w:style w:type="character" w:customStyle="1" w:styleId="ChartTextChar">
    <w:name w:val="Chart Text Char"/>
    <w:link w:val="ChartText"/>
    <w:uiPriority w:val="23"/>
    <w:rsid w:val="00F87657"/>
    <w:rPr>
      <w:rFonts w:ascii="Franklin Gothic Medium" w:eastAsia="Times New Roman" w:hAnsi="Franklin Gothic Medium"/>
      <w:sz w:val="16"/>
      <w:szCs w:val="18"/>
      <w:lang w:eastAsia="en-US"/>
    </w:rPr>
  </w:style>
  <w:style w:type="paragraph" w:customStyle="1" w:styleId="ChartBoldText">
    <w:name w:val="Chart Bold Text"/>
    <w:basedOn w:val="ChartText"/>
    <w:next w:val="ChartText"/>
    <w:uiPriority w:val="23"/>
    <w:rsid w:val="00DA2AB5"/>
    <w:pPr>
      <w:jc w:val="center"/>
    </w:pPr>
    <w:rPr>
      <w:rFonts w:ascii="Franklin Gothic Demi" w:hAnsi="Franklin Gothic Demi"/>
      <w:szCs w:val="17"/>
    </w:rPr>
  </w:style>
  <w:style w:type="paragraph" w:customStyle="1" w:styleId="ChartHighlight">
    <w:name w:val="Chart Highlight"/>
    <w:basedOn w:val="ChartBoldText"/>
    <w:uiPriority w:val="22"/>
    <w:rsid w:val="00DA2AB5"/>
    <w:pPr>
      <w:spacing w:line="220" w:lineRule="atLeast"/>
    </w:pPr>
    <w:rPr>
      <w:caps/>
      <w:sz w:val="20"/>
    </w:rPr>
  </w:style>
  <w:style w:type="paragraph" w:customStyle="1" w:styleId="Client">
    <w:name w:val="Client"/>
    <w:basedOn w:val="BodyText"/>
    <w:uiPriority w:val="32"/>
    <w:rsid w:val="00DA40B0"/>
    <w:pPr>
      <w:spacing w:before="0"/>
    </w:pPr>
    <w:rPr>
      <w:i/>
      <w:sz w:val="25"/>
    </w:rPr>
  </w:style>
  <w:style w:type="character" w:styleId="CommentReference">
    <w:name w:val="annotation reference"/>
    <w:basedOn w:val="BodyTextChar"/>
    <w:uiPriority w:val="49"/>
    <w:semiHidden/>
    <w:rsid w:val="000B2602"/>
    <w:rPr>
      <w:rFonts w:ascii="Franklin Gothic Demi" w:eastAsia="Times New Roman" w:hAnsi="Franklin Gothic Demi" w:cs="Times New Roman"/>
      <w:b w:val="0"/>
      <w:vanish/>
      <w:color w:val="FF00FF"/>
      <w:sz w:val="18"/>
      <w:szCs w:val="16"/>
    </w:rPr>
  </w:style>
  <w:style w:type="paragraph" w:styleId="CommentText">
    <w:name w:val="annotation text"/>
    <w:basedOn w:val="BodyText"/>
    <w:link w:val="CommentTextChar"/>
    <w:uiPriority w:val="49"/>
    <w:semiHidden/>
    <w:rsid w:val="00D83A2B"/>
    <w:pPr>
      <w:spacing w:before="80" w:line="240" w:lineRule="atLeast"/>
    </w:pPr>
    <w:rPr>
      <w:sz w:val="20"/>
      <w:szCs w:val="20"/>
    </w:rPr>
  </w:style>
  <w:style w:type="character" w:customStyle="1" w:styleId="CommentTextChar">
    <w:name w:val="Comment Text Char"/>
    <w:basedOn w:val="DefaultParagraphFont"/>
    <w:link w:val="CommentText"/>
    <w:uiPriority w:val="49"/>
    <w:semiHidden/>
    <w:rsid w:val="00D24560"/>
    <w:rPr>
      <w:rFonts w:asciiTheme="minorHAnsi" w:eastAsia="Times New Roman" w:hAnsiTheme="minorHAnsi"/>
      <w:sz w:val="20"/>
      <w:szCs w:val="20"/>
    </w:rPr>
  </w:style>
  <w:style w:type="numbering" w:customStyle="1" w:styleId="ChartListBullets">
    <w:name w:val="ChartListBullets"/>
    <w:uiPriority w:val="99"/>
    <w:rsid w:val="00CC4851"/>
    <w:pPr>
      <w:numPr>
        <w:numId w:val="3"/>
      </w:numPr>
    </w:pPr>
  </w:style>
  <w:style w:type="paragraph" w:customStyle="1" w:styleId="TableTextEntries">
    <w:name w:val="Table Text Entries"/>
    <w:basedOn w:val="BodyText"/>
    <w:rsid w:val="00BA1241"/>
    <w:pPr>
      <w:keepLines/>
      <w:spacing w:before="80" w:after="80" w:line="200" w:lineRule="atLeast"/>
    </w:pPr>
    <w:rPr>
      <w:rFonts w:ascii="Franklin Gothic Book" w:hAnsi="Franklin Gothic Book"/>
      <w:sz w:val="16"/>
      <w:szCs w:val="18"/>
      <w:lang w:eastAsia="en-US"/>
    </w:rPr>
  </w:style>
  <w:style w:type="paragraph" w:customStyle="1" w:styleId="Note">
    <w:name w:val="Note"/>
    <w:basedOn w:val="TableTextEntries"/>
    <w:next w:val="Source"/>
    <w:link w:val="NoteCharChar"/>
    <w:uiPriority w:val="15"/>
    <w:rsid w:val="008D63BD"/>
    <w:pPr>
      <w:spacing w:before="40" w:after="0" w:line="180" w:lineRule="atLeast"/>
    </w:pPr>
    <w:rPr>
      <w:sz w:val="14"/>
      <w:szCs w:val="16"/>
    </w:rPr>
  </w:style>
  <w:style w:type="character" w:customStyle="1" w:styleId="NoteCharChar">
    <w:name w:val="Note Char Char"/>
    <w:link w:val="Note"/>
    <w:uiPriority w:val="15"/>
    <w:rsid w:val="008D63BD"/>
    <w:rPr>
      <w:rFonts w:ascii="Franklin Gothic Medium" w:eastAsia="Times New Roman" w:hAnsi="Franklin Gothic Medium" w:cs="Times New Roman"/>
      <w:sz w:val="14"/>
      <w:szCs w:val="16"/>
      <w:lang w:eastAsia="en-US"/>
    </w:rPr>
  </w:style>
  <w:style w:type="paragraph" w:customStyle="1" w:styleId="Source">
    <w:name w:val="Source"/>
    <w:basedOn w:val="Note"/>
    <w:next w:val="BodyText"/>
    <w:link w:val="SourceChar"/>
    <w:uiPriority w:val="16"/>
    <w:rsid w:val="008D63BD"/>
    <w:pPr>
      <w:spacing w:after="60"/>
    </w:pPr>
  </w:style>
  <w:style w:type="paragraph" w:customStyle="1" w:styleId="Continued">
    <w:name w:val="Continued"/>
    <w:basedOn w:val="Source"/>
    <w:next w:val="BodyText"/>
    <w:link w:val="ContinuedChar"/>
    <w:rsid w:val="00BA1241"/>
    <w:pPr>
      <w:jc w:val="right"/>
    </w:pPr>
  </w:style>
  <w:style w:type="paragraph" w:styleId="Title">
    <w:name w:val="Title"/>
    <w:basedOn w:val="Normal"/>
    <w:next w:val="Subtitle"/>
    <w:link w:val="TitleChar"/>
    <w:uiPriority w:val="29"/>
    <w:qFormat/>
    <w:rsid w:val="0089278E"/>
    <w:pPr>
      <w:spacing w:line="500" w:lineRule="atLeast"/>
    </w:pPr>
    <w:rPr>
      <w:rFonts w:asciiTheme="majorHAnsi" w:eastAsia="Times New Roman" w:hAnsiTheme="majorHAnsi"/>
      <w:spacing w:val="-2"/>
      <w:kern w:val="28"/>
      <w:sz w:val="44"/>
      <w:szCs w:val="48"/>
    </w:rPr>
  </w:style>
  <w:style w:type="character" w:customStyle="1" w:styleId="TitleChar">
    <w:name w:val="Title Char"/>
    <w:basedOn w:val="DefaultParagraphFont"/>
    <w:link w:val="Title"/>
    <w:uiPriority w:val="29"/>
    <w:rsid w:val="001624ED"/>
    <w:rPr>
      <w:rFonts w:asciiTheme="majorHAnsi" w:eastAsia="Times New Roman" w:hAnsiTheme="majorHAnsi"/>
      <w:spacing w:val="-2"/>
      <w:kern w:val="28"/>
      <w:sz w:val="44"/>
      <w:szCs w:val="48"/>
    </w:rPr>
  </w:style>
  <w:style w:type="paragraph" w:styleId="Subtitle">
    <w:name w:val="Subtitle"/>
    <w:basedOn w:val="Title"/>
    <w:link w:val="SubtitleChar"/>
    <w:uiPriority w:val="30"/>
    <w:qFormat/>
    <w:rsid w:val="008F6EF9"/>
    <w:pPr>
      <w:spacing w:before="280" w:line="320" w:lineRule="atLeast"/>
    </w:pPr>
    <w:rPr>
      <w:sz w:val="25"/>
      <w:szCs w:val="28"/>
    </w:rPr>
  </w:style>
  <w:style w:type="character" w:customStyle="1" w:styleId="SubtitleChar">
    <w:name w:val="Subtitle Char"/>
    <w:basedOn w:val="DefaultParagraphFont"/>
    <w:link w:val="Subtitle"/>
    <w:uiPriority w:val="30"/>
    <w:rsid w:val="001624ED"/>
    <w:rPr>
      <w:rFonts w:asciiTheme="majorHAnsi" w:eastAsia="Times New Roman" w:hAnsiTheme="majorHAnsi"/>
      <w:spacing w:val="-2"/>
      <w:kern w:val="28"/>
      <w:sz w:val="25"/>
      <w:szCs w:val="28"/>
    </w:rPr>
  </w:style>
  <w:style w:type="paragraph" w:styleId="Date">
    <w:name w:val="Date"/>
    <w:basedOn w:val="Subtitle"/>
    <w:link w:val="DateChar"/>
    <w:uiPriority w:val="33"/>
    <w:rsid w:val="00DA40B0"/>
    <w:pPr>
      <w:spacing w:before="140" w:line="280" w:lineRule="atLeast"/>
    </w:pPr>
    <w:rPr>
      <w:i/>
      <w:color w:val="6F6652" w:themeColor="text2"/>
      <w:spacing w:val="0"/>
    </w:rPr>
  </w:style>
  <w:style w:type="character" w:customStyle="1" w:styleId="DateChar">
    <w:name w:val="Date Char"/>
    <w:basedOn w:val="DefaultParagraphFont"/>
    <w:link w:val="Date"/>
    <w:uiPriority w:val="33"/>
    <w:rsid w:val="001624ED"/>
    <w:rPr>
      <w:rFonts w:asciiTheme="majorHAnsi" w:eastAsia="Times New Roman" w:hAnsiTheme="majorHAnsi"/>
      <w:i/>
      <w:color w:val="6F6652" w:themeColor="text2"/>
      <w:kern w:val="28"/>
      <w:sz w:val="25"/>
      <w:szCs w:val="28"/>
    </w:rPr>
  </w:style>
  <w:style w:type="character" w:customStyle="1" w:styleId="DraftingNote">
    <w:name w:val="Drafting Note"/>
    <w:uiPriority w:val="2"/>
    <w:rsid w:val="00F31AEF"/>
    <w:rPr>
      <w:rFonts w:asciiTheme="minorHAnsi" w:hAnsiTheme="minorHAnsi"/>
      <w:b/>
      <w:color w:val="0070C0"/>
      <w:u w:val="dotted"/>
    </w:rPr>
  </w:style>
  <w:style w:type="paragraph" w:styleId="Footer">
    <w:name w:val="footer"/>
    <w:basedOn w:val="BodyText"/>
    <w:link w:val="FooterChar"/>
    <w:uiPriority w:val="99"/>
    <w:rsid w:val="00B52205"/>
    <w:pPr>
      <w:spacing w:before="0" w:line="200" w:lineRule="atLeast"/>
    </w:pPr>
    <w:rPr>
      <w:i/>
      <w:color w:val="6F6652" w:themeColor="text2"/>
      <w:sz w:val="16"/>
      <w:szCs w:val="14"/>
    </w:rPr>
  </w:style>
  <w:style w:type="character" w:customStyle="1" w:styleId="FooterChar">
    <w:name w:val="Footer Char"/>
    <w:basedOn w:val="DefaultParagraphFont"/>
    <w:link w:val="Footer"/>
    <w:uiPriority w:val="99"/>
    <w:rsid w:val="001624ED"/>
    <w:rPr>
      <w:rFonts w:asciiTheme="minorHAnsi" w:eastAsia="Times New Roman" w:hAnsiTheme="minorHAnsi"/>
      <w:i/>
      <w:color w:val="6F6652" w:themeColor="text2"/>
      <w:sz w:val="16"/>
      <w:szCs w:val="14"/>
    </w:rPr>
  </w:style>
  <w:style w:type="character" w:styleId="FootnoteReference">
    <w:name w:val="footnote reference"/>
    <w:uiPriority w:val="25"/>
    <w:unhideWhenUsed/>
    <w:rsid w:val="008A036A"/>
    <w:rPr>
      <w:rFonts w:ascii="Calisto MT" w:hAnsi="Calisto MT"/>
      <w:b w:val="0"/>
      <w:i w:val="0"/>
      <w:color w:val="auto"/>
      <w:w w:val="100"/>
      <w:position w:val="4"/>
      <w:sz w:val="18"/>
      <w:szCs w:val="21"/>
      <w:vertAlign w:val="baseline"/>
    </w:rPr>
  </w:style>
  <w:style w:type="paragraph" w:styleId="FootnoteText">
    <w:name w:val="footnote text"/>
    <w:basedOn w:val="BodyText"/>
    <w:link w:val="FootnoteTextChar"/>
    <w:uiPriority w:val="25"/>
    <w:unhideWhenUsed/>
    <w:rsid w:val="008A036A"/>
    <w:pPr>
      <w:spacing w:before="80" w:line="240" w:lineRule="atLeast"/>
      <w:ind w:left="284" w:hanging="284"/>
    </w:pPr>
    <w:rPr>
      <w:sz w:val="19"/>
      <w:szCs w:val="18"/>
    </w:rPr>
  </w:style>
  <w:style w:type="character" w:customStyle="1" w:styleId="FootnoteTextChar">
    <w:name w:val="Footnote Text Char"/>
    <w:basedOn w:val="DefaultParagraphFont"/>
    <w:link w:val="FootnoteText"/>
    <w:uiPriority w:val="25"/>
    <w:rsid w:val="002812E4"/>
    <w:rPr>
      <w:rFonts w:asciiTheme="minorHAnsi" w:eastAsia="Times New Roman" w:hAnsiTheme="minorHAnsi"/>
      <w:sz w:val="19"/>
      <w:szCs w:val="18"/>
    </w:rPr>
  </w:style>
  <w:style w:type="paragraph" w:styleId="Header">
    <w:name w:val="header"/>
    <w:basedOn w:val="BodyText"/>
    <w:link w:val="HeaderChar"/>
    <w:uiPriority w:val="99"/>
    <w:rsid w:val="00222BF5"/>
    <w:pPr>
      <w:pBdr>
        <w:bottom w:val="single" w:sz="4" w:space="1" w:color="F61D12" w:themeColor="accent2"/>
      </w:pBdr>
      <w:tabs>
        <w:tab w:val="left" w:pos="-567"/>
        <w:tab w:val="left" w:pos="0"/>
        <w:tab w:val="right" w:pos="7938"/>
        <w:tab w:val="right" w:pos="8505"/>
      </w:tabs>
      <w:spacing w:before="480" w:line="240" w:lineRule="atLeast"/>
      <w:ind w:left="-2268" w:right="-2268"/>
    </w:pPr>
    <w:rPr>
      <w:rFonts w:ascii="Franklin Gothic Medium" w:hAnsi="Franklin Gothic Medium"/>
      <w:sz w:val="14"/>
      <w:szCs w:val="14"/>
    </w:rPr>
  </w:style>
  <w:style w:type="character" w:customStyle="1" w:styleId="HeaderChar">
    <w:name w:val="Header Char"/>
    <w:basedOn w:val="DefaultParagraphFont"/>
    <w:link w:val="Header"/>
    <w:uiPriority w:val="99"/>
    <w:rsid w:val="001624ED"/>
    <w:rPr>
      <w:rFonts w:ascii="Franklin Gothic Medium" w:eastAsia="Times New Roman" w:hAnsi="Franklin Gothic Medium"/>
      <w:sz w:val="14"/>
      <w:szCs w:val="14"/>
    </w:rPr>
  </w:style>
  <w:style w:type="character" w:customStyle="1" w:styleId="Heading1Char">
    <w:name w:val="Heading 1 Char"/>
    <w:aliases w:val="h1 Char,EOI - Heading 1 (Low) Char,Heading 1 (low) Char,Para1 Char,h11 Char,h12 Char,ChapterHeadingNumber Char,Top 1 Char,ParaLevel1 Char,Level 1 Para Char,Level 1 Para1 Char,Level 1 Para2 Char,Level 1 Para3 Char,Level 1 Para4 Char,1 Char"/>
    <w:basedOn w:val="DefaultParagraphFont"/>
    <w:link w:val="Heading1"/>
    <w:rsid w:val="00F474C1"/>
    <w:rPr>
      <w:rFonts w:asciiTheme="majorHAnsi" w:eastAsia="Times New Roman" w:hAnsiTheme="majorHAnsi"/>
      <w:i/>
      <w:kern w:val="28"/>
      <w:sz w:val="36"/>
      <w:szCs w:val="32"/>
    </w:rPr>
  </w:style>
  <w:style w:type="character" w:customStyle="1" w:styleId="Heading2Char">
    <w:name w:val="Heading 2 Char"/>
    <w:aliases w:val="Para2 Char,h2 Char,BT-Legal Numbering Char,Head hdbk Char,Top 2 Char,H2 Char,h2 main heading Char,B Sub/Bold Char,B Sub/Bold1 Char,B Sub/Bold2 Char,B Sub/Bold11 Char,h2 main heading1 Char,h2 main heading2 Char,B Sub/Bold3 Char,Para 2 Char"/>
    <w:basedOn w:val="DefaultParagraphFont"/>
    <w:link w:val="Heading2"/>
    <w:rsid w:val="00814B8B"/>
    <w:rPr>
      <w:rFonts w:asciiTheme="majorHAnsi" w:eastAsia="Times New Roman" w:hAnsiTheme="majorHAnsi"/>
      <w:b/>
      <w:i/>
      <w:color w:val="F61D12" w:themeColor="accent2"/>
      <w:kern w:val="28"/>
      <w:sz w:val="30"/>
      <w:szCs w:val="26"/>
    </w:rPr>
  </w:style>
  <w:style w:type="paragraph" w:styleId="ListBullet2">
    <w:name w:val="List Bullet 2"/>
    <w:basedOn w:val="ListBullet"/>
    <w:uiPriority w:val="2"/>
    <w:rsid w:val="004C31EE"/>
    <w:pPr>
      <w:numPr>
        <w:ilvl w:val="1"/>
      </w:numPr>
      <w:spacing w:before="40"/>
      <w:ind w:left="568" w:hanging="284"/>
    </w:pPr>
  </w:style>
  <w:style w:type="character" w:customStyle="1" w:styleId="Heading3Char">
    <w:name w:val="Heading 3 Char"/>
    <w:aliases w:val="Normal + num Char,Level 1 - 2 Char,h3 Char,EOI - Heading 3 Char,h3 sub heading Char,Para3 Char,Paragraph (heading 3) Char,BTL Numbered Char,L3 Char,3 Char,Level 1 - 1 Char,Report Heading 3 Char,d Char,Tempo Heading 3 Char,H3 Char,h31 Char"/>
    <w:basedOn w:val="DefaultParagraphFont"/>
    <w:link w:val="Heading3"/>
    <w:rsid w:val="002F2DAD"/>
    <w:rPr>
      <w:rFonts w:eastAsia="Times New Roman"/>
      <w:b/>
      <w:i/>
      <w:kern w:val="28"/>
      <w:sz w:val="25"/>
      <w:szCs w:val="22"/>
    </w:rPr>
  </w:style>
  <w:style w:type="character" w:customStyle="1" w:styleId="Heading4Char">
    <w:name w:val="Heading 4 Char"/>
    <w:aliases w:val="h4 Char,L4 Char,Level 2 - a Char,sd Char,Standard H3 Char,h41 Char,Titre 4 Char,1.1.1.1 Char,bullet Char,bl Char,bb Char,h4 sub sub heading Char,Level 2 - (a) Char,4 Char,Org Heading 2 Char,Sub3Para Char,proj4 Char,proj41 Char,proj42 Char"/>
    <w:basedOn w:val="DefaultParagraphFont"/>
    <w:link w:val="Heading4"/>
    <w:rsid w:val="00FC141A"/>
    <w:rPr>
      <w:rFonts w:eastAsia="Times New Roman"/>
      <w:b/>
      <w:i/>
      <w:color w:val="6F6652" w:themeColor="text2"/>
      <w:kern w:val="28"/>
      <w:szCs w:val="22"/>
    </w:rPr>
  </w:style>
  <w:style w:type="character" w:customStyle="1" w:styleId="Heading5Char">
    <w:name w:val="Heading 5 Char"/>
    <w:aliases w:val="h5 Char,L5 Char,Level 3 - i Char,L51 Char,Para5 Char,i. Char,H1 Char,subsubpara Char,1.1.1.1.1 Char,H11 Char"/>
    <w:basedOn w:val="DefaultParagraphFont"/>
    <w:link w:val="Heading5"/>
    <w:rsid w:val="00742A5F"/>
    <w:rPr>
      <w:rFonts w:asciiTheme="minorHAnsi" w:eastAsia="Times New Roman" w:hAnsiTheme="minorHAnsi"/>
      <w:i/>
      <w:color w:val="6F6652" w:themeColor="text2"/>
      <w:kern w:val="28"/>
      <w:szCs w:val="22"/>
    </w:rPr>
  </w:style>
  <w:style w:type="character" w:customStyle="1" w:styleId="Heading6Char">
    <w:name w:val="Heading 6 Char"/>
    <w:basedOn w:val="DefaultParagraphFont"/>
    <w:link w:val="Heading6"/>
    <w:rsid w:val="000E5731"/>
    <w:rPr>
      <w:rFonts w:asciiTheme="majorHAnsi" w:eastAsia="Times New Roman" w:hAnsiTheme="majorHAnsi"/>
      <w:bCs/>
      <w:i/>
      <w:kern w:val="28"/>
      <w:sz w:val="36"/>
      <w:szCs w:val="32"/>
    </w:rPr>
  </w:style>
  <w:style w:type="character" w:customStyle="1" w:styleId="Heading7Char">
    <w:name w:val="Heading 7 Char"/>
    <w:basedOn w:val="DefaultParagraphFont"/>
    <w:link w:val="Heading7"/>
    <w:rsid w:val="00395D18"/>
    <w:rPr>
      <w:rFonts w:eastAsia="Times New Roman"/>
      <w:b/>
      <w:i/>
      <w:kern w:val="28"/>
      <w:sz w:val="30"/>
      <w:szCs w:val="26"/>
    </w:rPr>
  </w:style>
  <w:style w:type="character" w:customStyle="1" w:styleId="Heading8Char">
    <w:name w:val="Heading 8 Char"/>
    <w:basedOn w:val="DefaultParagraphFont"/>
    <w:link w:val="Heading8"/>
    <w:rsid w:val="00CE3386"/>
    <w:rPr>
      <w:rFonts w:eastAsia="Times New Roman"/>
      <w:b/>
      <w:i/>
      <w:kern w:val="28"/>
      <w:sz w:val="25"/>
      <w:szCs w:val="22"/>
    </w:rPr>
  </w:style>
  <w:style w:type="character" w:customStyle="1" w:styleId="Heading9Char">
    <w:name w:val="Heading 9 Char"/>
    <w:aliases w:val="Spare5 Char"/>
    <w:basedOn w:val="DefaultParagraphFont"/>
    <w:link w:val="Heading9"/>
    <w:rsid w:val="00F47B3A"/>
    <w:rPr>
      <w:rFonts w:eastAsia="Times New Roman"/>
      <w:b/>
      <w:i/>
      <w:kern w:val="28"/>
      <w:szCs w:val="22"/>
    </w:rPr>
  </w:style>
  <w:style w:type="character" w:styleId="Hyperlink">
    <w:name w:val="Hyperlink"/>
    <w:uiPriority w:val="99"/>
    <w:semiHidden/>
    <w:rsid w:val="00FE6AD6"/>
    <w:rPr>
      <w:b w:val="0"/>
      <w:i w:val="0"/>
      <w:color w:val="6F6652" w:themeColor="text2"/>
      <w:u w:val="none"/>
    </w:rPr>
  </w:style>
  <w:style w:type="paragraph" w:customStyle="1" w:styleId="Invisiblepara">
    <w:name w:val="Invisible para"/>
    <w:basedOn w:val="Normal"/>
    <w:uiPriority w:val="99"/>
    <w:rsid w:val="00664723"/>
    <w:pPr>
      <w:keepNext/>
      <w:spacing w:before="320" w:line="80" w:lineRule="exact"/>
    </w:pPr>
    <w:rPr>
      <w:rFonts w:eastAsia="Times New Roman"/>
      <w:szCs w:val="20"/>
    </w:rPr>
  </w:style>
  <w:style w:type="character" w:customStyle="1" w:styleId="NoteLabel">
    <w:name w:val="Note Label"/>
    <w:uiPriority w:val="15"/>
    <w:rsid w:val="008D63BD"/>
    <w:rPr>
      <w:rFonts w:ascii="Franklin Gothic Demi" w:hAnsi="Franklin Gothic Demi"/>
      <w:b w:val="0"/>
      <w:i w:val="0"/>
      <w:color w:val="9B917E" w:themeColor="accent4"/>
      <w:position w:val="4"/>
      <w:sz w:val="14"/>
      <w:szCs w:val="16"/>
    </w:rPr>
  </w:style>
  <w:style w:type="character" w:styleId="PageNumber">
    <w:name w:val="page number"/>
    <w:uiPriority w:val="99"/>
    <w:rsid w:val="00AB00C7"/>
    <w:rPr>
      <w:rFonts w:ascii="Franklin Gothic Demi" w:hAnsi="Franklin Gothic Demi"/>
      <w:b w:val="0"/>
      <w:color w:val="006B7A" w:themeColor="accent1"/>
      <w:sz w:val="20"/>
      <w:szCs w:val="20"/>
    </w:rPr>
  </w:style>
  <w:style w:type="paragraph" w:styleId="Quote">
    <w:name w:val="Quote"/>
    <w:basedOn w:val="BodyText"/>
    <w:next w:val="BodyText"/>
    <w:link w:val="QuoteChar"/>
    <w:uiPriority w:val="3"/>
    <w:qFormat/>
    <w:rsid w:val="00B27E6E"/>
    <w:pPr>
      <w:spacing w:before="70" w:line="260" w:lineRule="atLeast"/>
      <w:ind w:left="284"/>
    </w:pPr>
    <w:rPr>
      <w:sz w:val="19"/>
      <w:szCs w:val="20"/>
    </w:rPr>
  </w:style>
  <w:style w:type="character" w:customStyle="1" w:styleId="QuoteChar">
    <w:name w:val="Quote Char"/>
    <w:basedOn w:val="DefaultParagraphFont"/>
    <w:link w:val="Quote"/>
    <w:uiPriority w:val="3"/>
    <w:rsid w:val="00B27E6E"/>
    <w:rPr>
      <w:rFonts w:asciiTheme="minorHAnsi" w:eastAsia="Times New Roman" w:hAnsiTheme="minorHAnsi"/>
      <w:sz w:val="19"/>
      <w:szCs w:val="20"/>
    </w:rPr>
  </w:style>
  <w:style w:type="paragraph" w:customStyle="1" w:styleId="RecommendationNumber">
    <w:name w:val="Recommendation Number"/>
    <w:basedOn w:val="BodyText"/>
    <w:next w:val="RecommendationNumber2"/>
    <w:uiPriority w:val="28"/>
    <w:rsid w:val="002C0234"/>
    <w:pPr>
      <w:numPr>
        <w:numId w:val="10"/>
      </w:numPr>
      <w:spacing w:before="80"/>
    </w:pPr>
    <w:rPr>
      <w:rFonts w:ascii="Franklin Gothic Book" w:eastAsia="MS Mincho" w:hAnsi="Franklin Gothic Book" w:cs="MS Mincho"/>
    </w:rPr>
  </w:style>
  <w:style w:type="paragraph" w:customStyle="1" w:styleId="Reference">
    <w:name w:val="Reference"/>
    <w:basedOn w:val="BodyText"/>
    <w:uiPriority w:val="3"/>
    <w:qFormat/>
    <w:rsid w:val="00B27E6E"/>
    <w:pPr>
      <w:spacing w:before="70" w:line="260" w:lineRule="atLeast"/>
      <w:ind w:left="284" w:hanging="284"/>
    </w:pPr>
    <w:rPr>
      <w:sz w:val="19"/>
      <w:szCs w:val="20"/>
    </w:rPr>
  </w:style>
  <w:style w:type="paragraph" w:customStyle="1" w:styleId="Reporttype">
    <w:name w:val="Report type"/>
    <w:basedOn w:val="Date"/>
    <w:next w:val="Title"/>
    <w:uiPriority w:val="31"/>
    <w:rsid w:val="009A4238"/>
    <w:pPr>
      <w:spacing w:before="0" w:after="280" w:line="260" w:lineRule="atLeast"/>
    </w:pPr>
    <w:rPr>
      <w:rFonts w:ascii="Franklin Gothic Demi" w:hAnsi="Franklin Gothic Demi"/>
      <w:i w:val="0"/>
      <w:caps/>
      <w:color w:val="F61D12" w:themeColor="accent2"/>
      <w:spacing w:val="44"/>
      <w:sz w:val="22"/>
    </w:rPr>
  </w:style>
  <w:style w:type="paragraph" w:customStyle="1" w:styleId="TableDataEntries">
    <w:name w:val="Table Data Entries"/>
    <w:basedOn w:val="TableTextEntries"/>
    <w:uiPriority w:val="11"/>
    <w:rsid w:val="003C4883"/>
    <w:pPr>
      <w:spacing w:before="40" w:after="40"/>
      <w:jc w:val="right"/>
    </w:pPr>
  </w:style>
  <w:style w:type="paragraph" w:customStyle="1" w:styleId="TableDataColumnHeading">
    <w:name w:val="Table Data Column Heading"/>
    <w:basedOn w:val="TableDataEntries"/>
    <w:uiPriority w:val="11"/>
    <w:rsid w:val="00E879B8"/>
    <w:pPr>
      <w:keepNext/>
      <w:spacing w:before="80" w:after="80"/>
    </w:pPr>
    <w:rPr>
      <w:rFonts w:ascii="Franklin Gothic Demi" w:hAnsi="Franklin Gothic Demi"/>
      <w:color w:val="FFFFFF"/>
    </w:rPr>
  </w:style>
  <w:style w:type="paragraph" w:customStyle="1" w:styleId="TableHeading1">
    <w:name w:val="Table Heading 1"/>
    <w:basedOn w:val="TableTextEntries"/>
    <w:next w:val="TableTextEntries"/>
    <w:uiPriority w:val="10"/>
    <w:rsid w:val="00FC141A"/>
    <w:pPr>
      <w:spacing w:before="140"/>
    </w:pPr>
    <w:rPr>
      <w:rFonts w:ascii="Franklin Gothic Demi" w:hAnsi="Franklin Gothic Demi"/>
      <w:color w:val="6F6652" w:themeColor="text2"/>
    </w:rPr>
  </w:style>
  <w:style w:type="paragraph" w:customStyle="1" w:styleId="TableHeading2">
    <w:name w:val="Table Heading 2"/>
    <w:basedOn w:val="TableHeading1"/>
    <w:next w:val="TableTextEntries"/>
    <w:uiPriority w:val="10"/>
    <w:rsid w:val="00591C8C"/>
    <w:pPr>
      <w:spacing w:before="80"/>
    </w:pPr>
    <w:rPr>
      <w:rFonts w:ascii="Franklin Gothic Medium" w:hAnsi="Franklin Gothic Medium"/>
    </w:rPr>
  </w:style>
  <w:style w:type="paragraph" w:customStyle="1" w:styleId="TableTextColumnHeading">
    <w:name w:val="Table Text Column Heading"/>
    <w:basedOn w:val="TableDataColumnHeading"/>
    <w:rsid w:val="00D950CE"/>
    <w:pPr>
      <w:jc w:val="left"/>
    </w:pPr>
  </w:style>
  <w:style w:type="paragraph" w:customStyle="1" w:styleId="TableUnit">
    <w:name w:val="Table Unit"/>
    <w:basedOn w:val="TableDataColumnHeading"/>
    <w:next w:val="TableDataEntries"/>
    <w:uiPriority w:val="11"/>
    <w:rsid w:val="00AF5770"/>
    <w:rPr>
      <w:rFonts w:ascii="Franklin Gothic Book" w:hAnsi="Franklin Gothic Book"/>
      <w:color w:val="auto"/>
      <w:szCs w:val="17"/>
    </w:rPr>
  </w:style>
  <w:style w:type="paragraph" w:styleId="TOC1">
    <w:name w:val="toc 1"/>
    <w:basedOn w:val="BodyText"/>
    <w:next w:val="TOC2"/>
    <w:uiPriority w:val="39"/>
    <w:rsid w:val="006B34C3"/>
    <w:pPr>
      <w:tabs>
        <w:tab w:val="left" w:pos="340"/>
        <w:tab w:val="right" w:pos="7938"/>
      </w:tabs>
      <w:spacing w:line="260" w:lineRule="atLeast"/>
      <w:ind w:right="567"/>
    </w:pPr>
    <w:rPr>
      <w:rFonts w:ascii="Franklin Gothic Demi" w:hAnsi="Franklin Gothic Demi"/>
      <w:szCs w:val="24"/>
    </w:rPr>
  </w:style>
  <w:style w:type="paragraph" w:styleId="TOC2">
    <w:name w:val="toc 2"/>
    <w:basedOn w:val="TOC1"/>
    <w:uiPriority w:val="39"/>
    <w:rsid w:val="00D908FD"/>
    <w:pPr>
      <w:tabs>
        <w:tab w:val="clear" w:pos="340"/>
      </w:tabs>
      <w:spacing w:before="60"/>
      <w:ind w:left="340"/>
    </w:pPr>
    <w:rPr>
      <w:rFonts w:ascii="Calisto MT" w:hAnsi="Calisto MT"/>
    </w:rPr>
  </w:style>
  <w:style w:type="paragraph" w:styleId="TOC3">
    <w:name w:val="toc 3"/>
    <w:basedOn w:val="TOC2"/>
    <w:next w:val="BodyText"/>
    <w:uiPriority w:val="39"/>
    <w:semiHidden/>
    <w:rsid w:val="00D908FD"/>
    <w:pPr>
      <w:ind w:left="680"/>
    </w:pPr>
  </w:style>
  <w:style w:type="paragraph" w:styleId="TOC6">
    <w:name w:val="toc 6"/>
    <w:basedOn w:val="BodyText"/>
    <w:next w:val="BodyText"/>
    <w:uiPriority w:val="39"/>
    <w:semiHidden/>
    <w:rsid w:val="0052602A"/>
    <w:pPr>
      <w:tabs>
        <w:tab w:val="left" w:pos="284"/>
        <w:tab w:val="right" w:pos="7655"/>
      </w:tabs>
      <w:ind w:left="284" w:right="567" w:hanging="284"/>
    </w:pPr>
  </w:style>
  <w:style w:type="paragraph" w:styleId="TOC7">
    <w:name w:val="toc 7"/>
    <w:basedOn w:val="TOC6"/>
    <w:next w:val="TOC1"/>
    <w:uiPriority w:val="39"/>
    <w:semiHidden/>
    <w:rsid w:val="009C0B20"/>
    <w:pPr>
      <w:tabs>
        <w:tab w:val="left" w:pos="1418"/>
      </w:tabs>
      <w:spacing w:before="80"/>
      <w:ind w:left="709" w:hanging="425"/>
    </w:pPr>
  </w:style>
  <w:style w:type="numbering" w:customStyle="1" w:styleId="HeadingNumbers">
    <w:name w:val="HeadingNumbers"/>
    <w:uiPriority w:val="99"/>
    <w:rsid w:val="00FD7C5A"/>
    <w:pPr>
      <w:numPr>
        <w:numId w:val="5"/>
      </w:numPr>
    </w:pPr>
  </w:style>
  <w:style w:type="paragraph" w:customStyle="1" w:styleId="TableListBullet">
    <w:name w:val="Table List Bullet"/>
    <w:basedOn w:val="TableTextEntries"/>
    <w:uiPriority w:val="14"/>
    <w:rsid w:val="00E35B83"/>
    <w:pPr>
      <w:numPr>
        <w:numId w:val="9"/>
      </w:numPr>
      <w:spacing w:line="210" w:lineRule="atLeast"/>
    </w:pPr>
    <w:rPr>
      <w:szCs w:val="19"/>
    </w:rPr>
  </w:style>
  <w:style w:type="paragraph" w:customStyle="1" w:styleId="TableListBullet2">
    <w:name w:val="Table List Bullet 2"/>
    <w:basedOn w:val="TableListBullet"/>
    <w:uiPriority w:val="14"/>
    <w:rsid w:val="00B402A3"/>
    <w:pPr>
      <w:numPr>
        <w:ilvl w:val="1"/>
      </w:numPr>
    </w:pPr>
  </w:style>
  <w:style w:type="paragraph" w:customStyle="1" w:styleId="TableListNumber">
    <w:name w:val="Table List Number"/>
    <w:basedOn w:val="TableTextEntries"/>
    <w:uiPriority w:val="14"/>
    <w:rsid w:val="00497862"/>
    <w:pPr>
      <w:numPr>
        <w:numId w:val="1"/>
      </w:numPr>
      <w:spacing w:before="40" w:after="40"/>
    </w:pPr>
    <w:rPr>
      <w:szCs w:val="19"/>
    </w:rPr>
  </w:style>
  <w:style w:type="paragraph" w:customStyle="1" w:styleId="TableListNumber2">
    <w:name w:val="Table List Number 2"/>
    <w:basedOn w:val="TableListNumber"/>
    <w:uiPriority w:val="14"/>
    <w:rsid w:val="00B402A3"/>
    <w:pPr>
      <w:numPr>
        <w:ilvl w:val="1"/>
      </w:numPr>
    </w:pPr>
  </w:style>
  <w:style w:type="numbering" w:customStyle="1" w:styleId="TableListBullets">
    <w:name w:val="TableListBullets"/>
    <w:uiPriority w:val="99"/>
    <w:rsid w:val="00E35B83"/>
    <w:pPr>
      <w:numPr>
        <w:numId w:val="2"/>
      </w:numPr>
    </w:pPr>
  </w:style>
  <w:style w:type="numbering" w:customStyle="1" w:styleId="TableListNumbers">
    <w:name w:val="TableListNumbers"/>
    <w:uiPriority w:val="99"/>
    <w:rsid w:val="00497862"/>
    <w:pPr>
      <w:numPr>
        <w:numId w:val="1"/>
      </w:numPr>
    </w:pPr>
  </w:style>
  <w:style w:type="character" w:styleId="PlaceholderText">
    <w:name w:val="Placeholder Text"/>
    <w:basedOn w:val="DefaultParagraphFont"/>
    <w:uiPriority w:val="99"/>
    <w:semiHidden/>
    <w:rsid w:val="00AF4E66"/>
    <w:rPr>
      <w:color w:val="808080"/>
    </w:rPr>
  </w:style>
  <w:style w:type="paragraph" w:customStyle="1" w:styleId="ChartListBullet">
    <w:name w:val="Chart List Bullet"/>
    <w:basedOn w:val="TableListBullet"/>
    <w:uiPriority w:val="24"/>
    <w:rsid w:val="00CC4851"/>
    <w:pPr>
      <w:numPr>
        <w:numId w:val="3"/>
      </w:numPr>
      <w:spacing w:before="50" w:after="0" w:line="200" w:lineRule="atLeast"/>
    </w:pPr>
    <w:rPr>
      <w:rFonts w:ascii="Franklin Gothic Medium" w:hAnsi="Franklin Gothic Medium"/>
      <w:szCs w:val="18"/>
    </w:rPr>
  </w:style>
  <w:style w:type="paragraph" w:customStyle="1" w:styleId="ChartListBullet2">
    <w:name w:val="Chart List Bullet 2"/>
    <w:basedOn w:val="ChartText"/>
    <w:uiPriority w:val="24"/>
    <w:rsid w:val="00CC4851"/>
    <w:pPr>
      <w:numPr>
        <w:ilvl w:val="1"/>
        <w:numId w:val="3"/>
      </w:numPr>
      <w:spacing w:before="30"/>
    </w:pPr>
  </w:style>
  <w:style w:type="paragraph" w:customStyle="1" w:styleId="ChartListNumber0">
    <w:name w:val="Chart List Number"/>
    <w:basedOn w:val="ChartText"/>
    <w:uiPriority w:val="24"/>
    <w:rsid w:val="004563C5"/>
    <w:pPr>
      <w:numPr>
        <w:numId w:val="4"/>
      </w:numPr>
      <w:spacing w:before="60"/>
    </w:pPr>
  </w:style>
  <w:style w:type="numbering" w:customStyle="1" w:styleId="ChartListNumber">
    <w:name w:val="ChartListNumber"/>
    <w:uiPriority w:val="99"/>
    <w:rsid w:val="004563C5"/>
    <w:pPr>
      <w:numPr>
        <w:numId w:val="4"/>
      </w:numPr>
    </w:pPr>
  </w:style>
  <w:style w:type="numbering" w:customStyle="1" w:styleId="RecommendationNumbers">
    <w:name w:val="RecommendationNumbers"/>
    <w:uiPriority w:val="99"/>
    <w:rsid w:val="002C0234"/>
    <w:pPr>
      <w:numPr>
        <w:numId w:val="6"/>
      </w:numPr>
    </w:pPr>
  </w:style>
  <w:style w:type="paragraph" w:customStyle="1" w:styleId="Abbreviation">
    <w:name w:val="Abbreviation"/>
    <w:basedOn w:val="BodyText"/>
    <w:uiPriority w:val="3"/>
    <w:rsid w:val="002321B8"/>
    <w:pPr>
      <w:ind w:left="1134" w:hanging="1134"/>
    </w:pPr>
  </w:style>
  <w:style w:type="paragraph" w:styleId="TableofFigures">
    <w:name w:val="table of figures"/>
    <w:basedOn w:val="BodyText"/>
    <w:next w:val="BodyText"/>
    <w:uiPriority w:val="99"/>
    <w:rsid w:val="00830E27"/>
    <w:pPr>
      <w:tabs>
        <w:tab w:val="left" w:pos="510"/>
        <w:tab w:val="right" w:pos="7938"/>
      </w:tabs>
      <w:spacing w:before="60" w:line="260" w:lineRule="atLeast"/>
      <w:ind w:left="510" w:right="567" w:hanging="510"/>
    </w:pPr>
  </w:style>
  <w:style w:type="table" w:styleId="TableGrid">
    <w:name w:val="Table Grid"/>
    <w:basedOn w:val="TableNormal"/>
    <w:uiPriority w:val="59"/>
    <w:rsid w:val="00C9369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19F1"/>
    <w:rPr>
      <w:color w:val="9B917E" w:themeColor="followedHyperlink"/>
      <w:u w:val="single"/>
    </w:rPr>
  </w:style>
  <w:style w:type="paragraph" w:styleId="NoSpacing">
    <w:name w:val="No Spacing"/>
    <w:basedOn w:val="Normal"/>
    <w:uiPriority w:val="1"/>
    <w:semiHidden/>
    <w:qFormat/>
    <w:rsid w:val="00DD7B16"/>
    <w:pPr>
      <w:spacing w:line="240" w:lineRule="auto"/>
    </w:pPr>
    <w:rPr>
      <w:rFonts w:asciiTheme="minorHAnsi" w:eastAsiaTheme="minorHAnsi" w:hAnsiTheme="minorHAnsi"/>
      <w:color w:val="000000" w:themeColor="text1"/>
      <w:szCs w:val="20"/>
      <w:lang w:val="en-US" w:eastAsia="ja-JP"/>
    </w:rPr>
  </w:style>
  <w:style w:type="paragraph" w:styleId="CommentSubject">
    <w:name w:val="annotation subject"/>
    <w:basedOn w:val="CommentText"/>
    <w:next w:val="CommentText"/>
    <w:link w:val="CommentSubjectChar"/>
    <w:uiPriority w:val="99"/>
    <w:semiHidden/>
    <w:rsid w:val="00EB66C5"/>
    <w:pPr>
      <w:spacing w:before="0" w:line="240" w:lineRule="auto"/>
    </w:pPr>
    <w:rPr>
      <w:rFonts w:ascii="Calibri" w:eastAsiaTheme="minorEastAsia" w:hAnsi="Calibri" w:cstheme="minorBidi"/>
      <w:b/>
      <w:bCs/>
    </w:rPr>
  </w:style>
  <w:style w:type="character" w:customStyle="1" w:styleId="CommentSubjectChar">
    <w:name w:val="Comment Subject Char"/>
    <w:basedOn w:val="CommentTextChar"/>
    <w:link w:val="CommentSubject"/>
    <w:uiPriority w:val="99"/>
    <w:semiHidden/>
    <w:rsid w:val="002812E4"/>
    <w:rPr>
      <w:rFonts w:ascii="Calibri" w:eastAsia="Times New Roman" w:hAnsi="Calibri" w:cstheme="minorBidi"/>
      <w:b/>
      <w:bCs/>
      <w:sz w:val="20"/>
      <w:szCs w:val="20"/>
    </w:rPr>
  </w:style>
  <w:style w:type="paragraph" w:styleId="Revision">
    <w:name w:val="Revision"/>
    <w:hidden/>
    <w:uiPriority w:val="99"/>
    <w:semiHidden/>
    <w:rsid w:val="00EB66C5"/>
    <w:pPr>
      <w:spacing w:before="0" w:line="240" w:lineRule="auto"/>
    </w:pPr>
  </w:style>
  <w:style w:type="paragraph" w:styleId="BalloonText">
    <w:name w:val="Balloon Text"/>
    <w:basedOn w:val="Normal"/>
    <w:link w:val="BalloonTextChar"/>
    <w:semiHidden/>
    <w:unhideWhenUsed/>
    <w:rsid w:val="00EB66C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B66C5"/>
    <w:rPr>
      <w:rFonts w:ascii="Tahoma" w:hAnsi="Tahoma" w:cs="Tahoma"/>
      <w:sz w:val="16"/>
      <w:szCs w:val="16"/>
    </w:rPr>
  </w:style>
  <w:style w:type="paragraph" w:customStyle="1" w:styleId="HighlightMessage">
    <w:name w:val="Highlight Message"/>
    <w:basedOn w:val="BodyText"/>
    <w:next w:val="BodyText"/>
    <w:rsid w:val="00814B8B"/>
    <w:pPr>
      <w:keepNext/>
      <w:spacing w:before="360" w:line="260" w:lineRule="atLeast"/>
      <w:ind w:right="1701"/>
    </w:pPr>
    <w:rPr>
      <w:rFonts w:ascii="Franklin Gothic Heavy" w:hAnsi="Franklin Gothic Heavy"/>
      <w:color w:val="F61D12" w:themeColor="accent2"/>
      <w:szCs w:val="16"/>
      <w:lang w:eastAsia="en-US"/>
    </w:rPr>
  </w:style>
  <w:style w:type="paragraph" w:customStyle="1" w:styleId="Chart">
    <w:name w:val="Chart"/>
    <w:basedOn w:val="BodyText"/>
    <w:uiPriority w:val="99"/>
    <w:unhideWhenUsed/>
    <w:rsid w:val="00576C2E"/>
    <w:pPr>
      <w:spacing w:before="0" w:line="200" w:lineRule="atLeast"/>
    </w:pPr>
    <w:rPr>
      <w:lang w:eastAsia="en-US"/>
    </w:rPr>
  </w:style>
  <w:style w:type="paragraph" w:customStyle="1" w:styleId="KeyPoint">
    <w:name w:val="Key Point"/>
    <w:basedOn w:val="BodyText"/>
    <w:uiPriority w:val="1"/>
    <w:rsid w:val="00825668"/>
    <w:pPr>
      <w:numPr>
        <w:numId w:val="13"/>
      </w:numPr>
    </w:pPr>
    <w:rPr>
      <w:rFonts w:ascii="Franklin Gothic Demi" w:hAnsi="Franklin Gothic Demi"/>
      <w:color w:val="6F6652" w:themeColor="text2"/>
      <w:szCs w:val="20"/>
      <w:lang w:eastAsia="en-US"/>
    </w:rPr>
  </w:style>
  <w:style w:type="paragraph" w:customStyle="1" w:styleId="ChapterSummary">
    <w:name w:val="Chapter Summary"/>
    <w:basedOn w:val="KeyPoint"/>
    <w:uiPriority w:val="1"/>
    <w:rsid w:val="00FC141A"/>
    <w:pPr>
      <w:numPr>
        <w:numId w:val="0"/>
      </w:numPr>
    </w:pPr>
  </w:style>
  <w:style w:type="paragraph" w:customStyle="1" w:styleId="ChapterIntroduction">
    <w:name w:val="Chapter Introduction"/>
    <w:basedOn w:val="ChapterSummary"/>
    <w:next w:val="BodyText"/>
    <w:uiPriority w:val="1"/>
    <w:rsid w:val="00E6555A"/>
    <w:pPr>
      <w:pBdr>
        <w:top w:val="single" w:sz="4" w:space="4" w:color="9B917E" w:themeColor="accent4"/>
        <w:bottom w:val="single" w:sz="4" w:space="6" w:color="9B917E" w:themeColor="accent4"/>
      </w:pBdr>
      <w:spacing w:after="180"/>
    </w:pPr>
    <w:rPr>
      <w:rFonts w:asciiTheme="minorHAnsi" w:hAnsiTheme="minorHAnsi"/>
      <w:b/>
      <w:i/>
      <w:color w:val="F61D12" w:themeColor="accent2"/>
      <w:sz w:val="22"/>
    </w:rPr>
  </w:style>
  <w:style w:type="paragraph" w:customStyle="1" w:styleId="Confidential">
    <w:name w:val="Confidential"/>
    <w:basedOn w:val="Reporttype"/>
    <w:uiPriority w:val="31"/>
    <w:rsid w:val="005D3C6B"/>
    <w:pPr>
      <w:spacing w:after="0"/>
    </w:pPr>
    <w:rPr>
      <w:rFonts w:ascii="Franklin Gothic Book" w:hAnsi="Franklin Gothic Book"/>
      <w:color w:val="auto"/>
      <w:spacing w:val="10"/>
    </w:rPr>
  </w:style>
  <w:style w:type="numbering" w:customStyle="1" w:styleId="ListNumbers">
    <w:name w:val="ListNumbers"/>
    <w:next w:val="NoList"/>
    <w:uiPriority w:val="99"/>
    <w:rsid w:val="00497862"/>
    <w:pPr>
      <w:numPr>
        <w:numId w:val="12"/>
      </w:numPr>
    </w:pPr>
  </w:style>
  <w:style w:type="paragraph" w:customStyle="1" w:styleId="PartNumber">
    <w:name w:val="Part Number"/>
    <w:basedOn w:val="Reporttype"/>
    <w:uiPriority w:val="34"/>
    <w:semiHidden/>
    <w:rsid w:val="006E03FF"/>
  </w:style>
  <w:style w:type="paragraph" w:customStyle="1" w:styleId="PartTitle">
    <w:name w:val="Part Title"/>
    <w:basedOn w:val="Title"/>
    <w:link w:val="PartTitleChar"/>
    <w:uiPriority w:val="34"/>
    <w:semiHidden/>
    <w:rsid w:val="00145444"/>
    <w:pPr>
      <w:spacing w:line="440" w:lineRule="atLeast"/>
    </w:pPr>
    <w:rPr>
      <w:sz w:val="36"/>
    </w:rPr>
  </w:style>
  <w:style w:type="character" w:customStyle="1" w:styleId="PartTitleChar">
    <w:name w:val="Part Title Char"/>
    <w:basedOn w:val="TitleChar"/>
    <w:link w:val="PartTitle"/>
    <w:uiPriority w:val="34"/>
    <w:semiHidden/>
    <w:rsid w:val="007B3F04"/>
    <w:rPr>
      <w:rFonts w:asciiTheme="majorHAnsi" w:eastAsia="Times New Roman" w:hAnsiTheme="majorHAnsi"/>
      <w:spacing w:val="-2"/>
      <w:kern w:val="28"/>
      <w:sz w:val="36"/>
      <w:szCs w:val="48"/>
    </w:rPr>
  </w:style>
  <w:style w:type="character" w:customStyle="1" w:styleId="ListBulletChar">
    <w:name w:val="List Bullet Char"/>
    <w:link w:val="ListBullet"/>
    <w:uiPriority w:val="2"/>
    <w:locked/>
    <w:rsid w:val="00B974A4"/>
    <w:rPr>
      <w:rFonts w:asciiTheme="minorHAnsi" w:eastAsia="Times New Roman" w:hAnsiTheme="minorHAnsi"/>
    </w:rPr>
  </w:style>
  <w:style w:type="paragraph" w:styleId="TOC4">
    <w:name w:val="toc 4"/>
    <w:basedOn w:val="TOC1"/>
    <w:next w:val="TOC1"/>
    <w:uiPriority w:val="39"/>
    <w:semiHidden/>
    <w:rsid w:val="00D908FD"/>
    <w:pPr>
      <w:spacing w:before="360"/>
      <w:ind w:right="0"/>
    </w:pPr>
    <w:rPr>
      <w:caps/>
      <w:color w:val="9B917E" w:themeColor="accent4"/>
      <w:spacing w:val="10"/>
      <w:sz w:val="22"/>
    </w:rPr>
  </w:style>
  <w:style w:type="paragraph" w:styleId="TOCHeading">
    <w:name w:val="TOC Heading"/>
    <w:basedOn w:val="Heading4"/>
    <w:next w:val="TableofFigures"/>
    <w:uiPriority w:val="39"/>
    <w:semiHidden/>
    <w:rsid w:val="00FC141A"/>
    <w:pPr>
      <w:keepLines/>
      <w:numPr>
        <w:ilvl w:val="0"/>
        <w:numId w:val="0"/>
      </w:numPr>
      <w:outlineLvl w:val="9"/>
    </w:pPr>
    <w:rPr>
      <w:rFonts w:ascii="Franklin Gothic Demi" w:eastAsiaTheme="majorEastAsia" w:hAnsi="Franklin Gothic Demi" w:cstheme="majorBidi"/>
      <w:b w:val="0"/>
      <w:bCs/>
      <w:i w:val="0"/>
      <w:caps/>
      <w:color w:val="006B7A" w:themeColor="accent1"/>
      <w:spacing w:val="10"/>
      <w:sz w:val="22"/>
      <w:szCs w:val="28"/>
    </w:rPr>
  </w:style>
  <w:style w:type="character" w:customStyle="1" w:styleId="ContinuedChar">
    <w:name w:val="Continued Char"/>
    <w:basedOn w:val="DefaultParagraphFont"/>
    <w:link w:val="Continued"/>
    <w:rsid w:val="007A2A3B"/>
    <w:rPr>
      <w:rFonts w:ascii="Franklin Gothic Book" w:eastAsia="Times New Roman" w:hAnsi="Franklin Gothic Book"/>
      <w:sz w:val="14"/>
      <w:szCs w:val="16"/>
      <w:lang w:eastAsia="en-US"/>
    </w:rPr>
  </w:style>
  <w:style w:type="paragraph" w:styleId="ListParagraph">
    <w:name w:val="List Paragraph"/>
    <w:basedOn w:val="Normal"/>
    <w:uiPriority w:val="34"/>
    <w:semiHidden/>
    <w:qFormat/>
    <w:rsid w:val="005B435E"/>
    <w:pPr>
      <w:ind w:left="720"/>
      <w:contextualSpacing/>
    </w:pPr>
  </w:style>
  <w:style w:type="character" w:customStyle="1" w:styleId="CaptionChar">
    <w:name w:val="Caption Char"/>
    <w:basedOn w:val="BodyTextChar"/>
    <w:link w:val="Caption"/>
    <w:uiPriority w:val="99"/>
    <w:rsid w:val="001E3D69"/>
    <w:rPr>
      <w:rFonts w:ascii="Franklin Gothic Demi" w:eastAsia="Times New Roman" w:hAnsi="Franklin Gothic Demi"/>
      <w:szCs w:val="20"/>
    </w:rPr>
  </w:style>
  <w:style w:type="paragraph" w:customStyle="1" w:styleId="Summary2">
    <w:name w:val="Summary 2"/>
    <w:basedOn w:val="Heading2"/>
    <w:next w:val="BodyText"/>
    <w:rsid w:val="006544F3"/>
  </w:style>
  <w:style w:type="paragraph" w:customStyle="1" w:styleId="Summary3">
    <w:name w:val="Summary 3"/>
    <w:basedOn w:val="Heading3"/>
    <w:next w:val="BodyText"/>
    <w:rsid w:val="006544F3"/>
  </w:style>
  <w:style w:type="paragraph" w:customStyle="1" w:styleId="Summary4">
    <w:name w:val="Summary 4"/>
    <w:basedOn w:val="Heading4"/>
    <w:next w:val="BodyText"/>
    <w:rsid w:val="006544F3"/>
  </w:style>
  <w:style w:type="paragraph" w:customStyle="1" w:styleId="KeyPoint2">
    <w:name w:val="Key Point 2"/>
    <w:basedOn w:val="KeyPoint"/>
    <w:next w:val="BodyText"/>
    <w:uiPriority w:val="1"/>
    <w:rsid w:val="00825668"/>
    <w:pPr>
      <w:numPr>
        <w:ilvl w:val="1"/>
      </w:numPr>
      <w:spacing w:before="80"/>
    </w:pPr>
  </w:style>
  <w:style w:type="paragraph" w:customStyle="1" w:styleId="KeyPoint3">
    <w:name w:val="Key Point 3"/>
    <w:basedOn w:val="KeyPoint2"/>
    <w:next w:val="BodyText"/>
    <w:uiPriority w:val="1"/>
    <w:rsid w:val="00825668"/>
    <w:pPr>
      <w:numPr>
        <w:ilvl w:val="2"/>
      </w:numPr>
      <w:spacing w:before="60"/>
    </w:pPr>
  </w:style>
  <w:style w:type="numbering" w:customStyle="1" w:styleId="KeyPointBullets">
    <w:name w:val="KeyPointBullets"/>
    <w:basedOn w:val="ListBullets"/>
    <w:uiPriority w:val="99"/>
    <w:rsid w:val="00825668"/>
    <w:pPr>
      <w:numPr>
        <w:numId w:val="13"/>
      </w:numPr>
    </w:pPr>
  </w:style>
  <w:style w:type="numbering" w:customStyle="1" w:styleId="NoteListNumber">
    <w:name w:val="NoteListNumber"/>
    <w:uiPriority w:val="99"/>
    <w:rsid w:val="00E864C1"/>
    <w:pPr>
      <w:numPr>
        <w:numId w:val="14"/>
      </w:numPr>
    </w:pPr>
  </w:style>
  <w:style w:type="paragraph" w:styleId="NormalWeb">
    <w:name w:val="Normal (Web)"/>
    <w:basedOn w:val="Normal"/>
    <w:uiPriority w:val="99"/>
    <w:semiHidden/>
    <w:unhideWhenUsed/>
    <w:rsid w:val="0071617D"/>
    <w:pPr>
      <w:spacing w:before="100" w:beforeAutospacing="1" w:after="100" w:afterAutospacing="1" w:line="240" w:lineRule="auto"/>
    </w:pPr>
    <w:rPr>
      <w:rFonts w:ascii="Times New Roman" w:hAnsi="Times New Roman"/>
      <w:sz w:val="24"/>
      <w:szCs w:val="24"/>
    </w:rPr>
  </w:style>
  <w:style w:type="paragraph" w:customStyle="1" w:styleId="NoteNumber">
    <w:name w:val="Note Number"/>
    <w:basedOn w:val="Note"/>
    <w:uiPriority w:val="15"/>
    <w:rsid w:val="00E6555A"/>
    <w:pPr>
      <w:numPr>
        <w:ilvl w:val="1"/>
        <w:numId w:val="19"/>
      </w:numPr>
    </w:pPr>
    <w:rPr>
      <w:szCs w:val="15"/>
    </w:rPr>
  </w:style>
  <w:style w:type="paragraph" w:customStyle="1" w:styleId="Customtabletitle">
    <w:name w:val="Custom table title"/>
    <w:rsid w:val="00796D3D"/>
    <w:pPr>
      <w:keepNext/>
      <w:spacing w:before="360" w:after="80" w:line="260" w:lineRule="atLeast"/>
    </w:pPr>
    <w:rPr>
      <w:rFonts w:ascii="Franklin Gothic Demi" w:eastAsia="Times New Roman" w:hAnsi="Franklin Gothic Demi"/>
      <w:szCs w:val="20"/>
    </w:rPr>
  </w:style>
  <w:style w:type="character" w:customStyle="1" w:styleId="SourceChar">
    <w:name w:val="Source Char"/>
    <w:basedOn w:val="BodyTextChar"/>
    <w:link w:val="Source"/>
    <w:uiPriority w:val="16"/>
    <w:rsid w:val="00796D3D"/>
    <w:rPr>
      <w:rFonts w:ascii="Franklin Gothic Book" w:eastAsia="Times New Roman" w:hAnsi="Franklin Gothic Book"/>
      <w:sz w:val="14"/>
      <w:szCs w:val="16"/>
      <w:lang w:eastAsia="en-US"/>
    </w:rPr>
  </w:style>
  <w:style w:type="paragraph" w:customStyle="1" w:styleId="TableTextLeft-BP3">
    <w:name w:val="Table Text Left - BP3"/>
    <w:basedOn w:val="Normal"/>
    <w:uiPriority w:val="99"/>
    <w:semiHidden/>
    <w:rsid w:val="00796D3D"/>
    <w:pPr>
      <w:spacing w:line="240" w:lineRule="auto"/>
      <w:ind w:left="142" w:hanging="142"/>
    </w:pPr>
    <w:rPr>
      <w:rFonts w:ascii="Calibri" w:eastAsia="Times New Roman" w:hAnsi="Calibri"/>
      <w:sz w:val="20"/>
      <w:szCs w:val="18"/>
      <w:lang w:eastAsia="en-US"/>
    </w:rPr>
  </w:style>
  <w:style w:type="character" w:customStyle="1" w:styleId="CharacterStyle1">
    <w:name w:val="Character Style 1"/>
    <w:uiPriority w:val="99"/>
    <w:rsid w:val="00796D3D"/>
    <w:rPr>
      <w:rFonts w:ascii="Arial" w:hAnsi="Arial" w:cs="Arial"/>
      <w:sz w:val="16"/>
      <w:szCs w:val="16"/>
    </w:rPr>
  </w:style>
  <w:style w:type="character" w:customStyle="1" w:styleId="st">
    <w:name w:val="st"/>
    <w:basedOn w:val="DefaultParagraphFont"/>
    <w:rsid w:val="00796D3D"/>
  </w:style>
  <w:style w:type="character" w:styleId="Emphasis">
    <w:name w:val="Emphasis"/>
    <w:basedOn w:val="DefaultParagraphFont"/>
    <w:uiPriority w:val="20"/>
    <w:qFormat/>
    <w:rsid w:val="00796D3D"/>
    <w:rPr>
      <w:b/>
      <w:bCs/>
      <w:i w:val="0"/>
      <w:iCs w:val="0"/>
    </w:rPr>
  </w:style>
  <w:style w:type="paragraph" w:customStyle="1" w:styleId="TableTitle">
    <w:name w:val="Table Title"/>
    <w:basedOn w:val="BodyText"/>
    <w:next w:val="Normal"/>
    <w:semiHidden/>
    <w:rsid w:val="00796D3D"/>
    <w:pPr>
      <w:keepNext/>
      <w:spacing w:before="360" w:after="80" w:line="220" w:lineRule="exact"/>
      <w:ind w:left="454" w:hanging="454"/>
    </w:pPr>
    <w:rPr>
      <w:rFonts w:ascii="Arial" w:hAnsi="Arial"/>
      <w:sz w:val="20"/>
      <w:lang w:eastAsia="en-US"/>
    </w:rPr>
  </w:style>
  <w:style w:type="paragraph" w:customStyle="1" w:styleId="Default">
    <w:name w:val="Default"/>
    <w:rsid w:val="000E7F4B"/>
    <w:pPr>
      <w:autoSpaceDE w:val="0"/>
      <w:autoSpaceDN w:val="0"/>
      <w:adjustRightInd w:val="0"/>
      <w:spacing w:before="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61375">
      <w:bodyDiv w:val="1"/>
      <w:marLeft w:val="0"/>
      <w:marRight w:val="0"/>
      <w:marTop w:val="0"/>
      <w:marBottom w:val="0"/>
      <w:divBdr>
        <w:top w:val="none" w:sz="0" w:space="0" w:color="auto"/>
        <w:left w:val="none" w:sz="0" w:space="0" w:color="auto"/>
        <w:bottom w:val="none" w:sz="0" w:space="0" w:color="auto"/>
        <w:right w:val="none" w:sz="0" w:space="0" w:color="auto"/>
      </w:divBdr>
    </w:div>
    <w:div w:id="686180482">
      <w:bodyDiv w:val="1"/>
      <w:marLeft w:val="0"/>
      <w:marRight w:val="0"/>
      <w:marTop w:val="0"/>
      <w:marBottom w:val="0"/>
      <w:divBdr>
        <w:top w:val="none" w:sz="0" w:space="0" w:color="auto"/>
        <w:left w:val="none" w:sz="0" w:space="0" w:color="auto"/>
        <w:bottom w:val="none" w:sz="0" w:space="0" w:color="auto"/>
        <w:right w:val="none" w:sz="0" w:space="0" w:color="auto"/>
      </w:divBdr>
    </w:div>
    <w:div w:id="915242328">
      <w:bodyDiv w:val="1"/>
      <w:marLeft w:val="0"/>
      <w:marRight w:val="0"/>
      <w:marTop w:val="0"/>
      <w:marBottom w:val="0"/>
      <w:divBdr>
        <w:top w:val="none" w:sz="0" w:space="0" w:color="auto"/>
        <w:left w:val="none" w:sz="0" w:space="0" w:color="auto"/>
        <w:bottom w:val="none" w:sz="0" w:space="0" w:color="auto"/>
        <w:right w:val="none" w:sz="0" w:space="0" w:color="auto"/>
      </w:divBdr>
    </w:div>
    <w:div w:id="1298536351">
      <w:bodyDiv w:val="1"/>
      <w:marLeft w:val="0"/>
      <w:marRight w:val="0"/>
      <w:marTop w:val="0"/>
      <w:marBottom w:val="0"/>
      <w:divBdr>
        <w:top w:val="none" w:sz="0" w:space="0" w:color="auto"/>
        <w:left w:val="none" w:sz="0" w:space="0" w:color="auto"/>
        <w:bottom w:val="none" w:sz="0" w:space="0" w:color="auto"/>
        <w:right w:val="none" w:sz="0" w:space="0" w:color="auto"/>
      </w:divBdr>
    </w:div>
    <w:div w:id="19482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treasury.act.gov.au/documents/ACT%20Taxation%20Review/ACT%20Taxation%20Review%20May%202012.pdf"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taxreview.treasury.gov.au/" TargetMode="Externa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www.TheCIE.com.au" TargetMode="External"/><Relationship Id="rId23" Type="http://schemas.openxmlformats.org/officeDocument/2006/relationships/image" Target="media/image3.emf"/><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iesyd@TheCIE.com.au" TargetMode="External"/><Relationship Id="rId22" Type="http://schemas.openxmlformats.org/officeDocument/2006/relationships/image" Target="media/image2.emf"/><Relationship Id="rId27" Type="http://schemas.openxmlformats.org/officeDocument/2006/relationships/header" Target="header7.xml"/><Relationship Id="rId30" Type="http://schemas.openxmlformats.org/officeDocument/2006/relationships/image" Target="media/image4.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nfrastructureaustralia.gov.au/publications/files/lightrailvsbus.pdf" TargetMode="External"/><Relationship Id="rId2" Type="http://schemas.openxmlformats.org/officeDocument/2006/relationships/hyperlink" Target="http://www.ttf.org.au/DisplayFile.aspx?FileID=762" TargetMode="External"/><Relationship Id="rId1" Type="http://schemas.openxmlformats.org/officeDocument/2006/relationships/hyperlink" Target="http://www.canberratimes.com.au/act-news/no-downgrade-for-the-acts-triplea-credit-rating-says-standard-and-poors-20140608-zs10w.html" TargetMode="External"/><Relationship Id="rId6" Type="http://schemas.openxmlformats.org/officeDocument/2006/relationships/hyperlink" Target="https://openknowledge.worldbank.org/bitstream/handle/10986/12237/NonAsciiFileName0.pdf?sequence=1" TargetMode="External"/><Relationship Id="rId5" Type="http://schemas.openxmlformats.org/officeDocument/2006/relationships/hyperlink" Target="http://www.infrastructureaustralia.gov.au/publications/files/lightrailvsbus.pdf" TargetMode="External"/><Relationship Id="rId4" Type="http://schemas.openxmlformats.org/officeDocument/2006/relationships/hyperlink" Target="http://www.goldcoast.qld.gov.au/documents/bf/GCRT_Corridor-Study-Aug2011-ful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Office%202010%20Templates%20(2013)\CIE%20report.dotm" TargetMode="External"/></Relationships>
</file>

<file path=word/theme/theme1.xml><?xml version="1.0" encoding="utf-8"?>
<a:theme xmlns:a="http://schemas.openxmlformats.org/drawingml/2006/main" name="TheCIE">
  <a:themeElements>
    <a:clrScheme name="TheCIE">
      <a:dk1>
        <a:sysClr val="windowText" lastClr="000000"/>
      </a:dk1>
      <a:lt1>
        <a:sysClr val="window" lastClr="FFFFFF"/>
      </a:lt1>
      <a:dk2>
        <a:srgbClr val="6F6652"/>
      </a:dk2>
      <a:lt2>
        <a:srgbClr val="E9E8E5"/>
      </a:lt2>
      <a:accent1>
        <a:srgbClr val="006B7A"/>
      </a:accent1>
      <a:accent2>
        <a:srgbClr val="F61D12"/>
      </a:accent2>
      <a:accent3>
        <a:srgbClr val="C6BFAB"/>
      </a:accent3>
      <a:accent4>
        <a:srgbClr val="9B917E"/>
      </a:accent4>
      <a:accent5>
        <a:srgbClr val="6F6652"/>
      </a:accent5>
      <a:accent6>
        <a:srgbClr val="9AC2C4"/>
      </a:accent6>
      <a:hlink>
        <a:srgbClr val="6F6652"/>
      </a:hlink>
      <a:folHlink>
        <a:srgbClr val="9B917E"/>
      </a:folHlink>
    </a:clrScheme>
    <a:fontScheme name="TheCIE">
      <a:majorFont>
        <a:latin typeface="Calisto MT"/>
        <a:ea typeface=""/>
        <a:cs typeface=""/>
      </a:majorFont>
      <a:minorFont>
        <a:latin typeface="Calisto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0C74D0C-4674-4F3E-814C-A587E1CF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CIE report</Template>
  <TotalTime>19</TotalTime>
  <Pages>26</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dc:creator>
  <cp:lastModifiedBy>Sarina Fisher</cp:lastModifiedBy>
  <cp:revision>7</cp:revision>
  <cp:lastPrinted>2014-07-15T05:46:00Z</cp:lastPrinted>
  <dcterms:created xsi:type="dcterms:W3CDTF">2014-07-15T05:28:00Z</dcterms:created>
  <dcterms:modified xsi:type="dcterms:W3CDTF">2014-07-15T05:47:00Z</dcterms:modified>
</cp:coreProperties>
</file>