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9133346" w:displacedByCustomXml="next"/>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y and Gender and Economic Equality" w:value="Standing Committee on Economy and Gender and Economic Equality"/>
          <w:listItem w:displayText="Standing Committee on Education and Community Inclusion" w:value="Standing Committee on Education and Community Inclusion"/>
          <w:listItem w:displayText="Standing Committee on Environment, Climate Change, and Biodiversity" w:value="Standing Committee on Environment, Climate Change, and Biodiversity"/>
          <w:listItem w:displayText="Standing Committee on Health and Community Wellbeing" w:value="Standing Committee on Health and Community Wellbeing"/>
          <w:listItem w:displayText="Standing Committee on Justice and Community Safety" w:value="Standing Committee on Justice and Community Safety"/>
          <w:listItem w:displayText="Standing Committee on Justice and Community Safety (Legislative Scrutiny Role)" w:value="Standing Committee on Justice and Community Safety (Legislative Scrutiny Role)"/>
          <w:listItem w:displayText="Standing Committee on Planning, Transport, and City Services" w:value="Standing Committee on Planning, Transport, and City Services"/>
          <w:listItem w:displayText="Standing Committee on Public Accounts" w:value="Standing Committee on Public Accounts"/>
        </w:dropDownList>
      </w:sdtPr>
      <w:sdtEndPr/>
      <w:sdtContent>
        <w:p w14:paraId="0164FF71" w14:textId="2227C124" w:rsidR="00C02510" w:rsidRPr="00C8358A" w:rsidRDefault="006803E2" w:rsidP="00C8358A">
          <w:pPr>
            <w:pStyle w:val="Cover-Committeename"/>
            <w:ind w:left="1701"/>
          </w:pPr>
          <w:r>
            <w:t>Standing Committee on Justice and Community Safety</w:t>
          </w:r>
        </w:p>
      </w:sdtContent>
    </w:sdt>
    <w:p w14:paraId="202E963F" w14:textId="37BD0A9D" w:rsidR="00C61A86" w:rsidRDefault="003D3C3B" w:rsidP="00C61A86">
      <w:pPr>
        <w:pStyle w:val="Creativetitle"/>
      </w:pPr>
      <w:r>
        <w:t>Inquiry into Cashless Gaming</w:t>
      </w:r>
      <w:r w:rsidR="006803E2">
        <w:t xml:space="preserve"> in the ACT</w:t>
      </w:r>
    </w:p>
    <w:p w14:paraId="1D81489A" w14:textId="6151B980"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70201509"/>
      <w:r>
        <w:lastRenderedPageBreak/>
        <w:t>About the</w:t>
      </w:r>
      <w:r w:rsidR="00A23A3E">
        <w:t xml:space="preserve"> committee</w:t>
      </w:r>
      <w:bookmarkEnd w:id="1"/>
    </w:p>
    <w:p w14:paraId="60748398" w14:textId="77777777" w:rsidR="003D3C3B" w:rsidRDefault="003D3C3B" w:rsidP="00570363">
      <w:pPr>
        <w:pStyle w:val="Heading2"/>
      </w:pPr>
      <w:bookmarkStart w:id="2" w:name="_Toc142567169"/>
      <w:bookmarkStart w:id="3" w:name="_Toc170201510"/>
      <w:r>
        <w:t>Establishing resolution</w:t>
      </w:r>
      <w:bookmarkEnd w:id="2"/>
      <w:bookmarkEnd w:id="3"/>
    </w:p>
    <w:p w14:paraId="70E94757" w14:textId="10B32F64" w:rsidR="003D3C3B" w:rsidRDefault="003D3C3B" w:rsidP="003D3C3B">
      <w:r>
        <w:t xml:space="preserve">The Assembly established the </w:t>
      </w:r>
      <w:r w:rsidR="006803E2">
        <w:t xml:space="preserve">Standing Committee on Justice and Community Safety </w:t>
      </w:r>
      <w:r>
        <w:t xml:space="preserve">on 2 December 2020. </w:t>
      </w:r>
    </w:p>
    <w:p w14:paraId="4062CEBD" w14:textId="77777777" w:rsidR="003D3C3B" w:rsidRDefault="003D3C3B" w:rsidP="003D3C3B">
      <w:pPr>
        <w:spacing w:after="120"/>
      </w:pPr>
      <w:r>
        <w:t>The Committee is responsible for the following areas:</w:t>
      </w:r>
    </w:p>
    <w:tbl>
      <w:tblPr>
        <w:tblStyle w:val="Assemblystyletable"/>
        <w:tblpPr w:leftFromText="180" w:rightFromText="180" w:vertAnchor="text" w:horzAnchor="margin" w:tblpY="87"/>
        <w:tblW w:w="9454" w:type="dxa"/>
        <w:tblBorders>
          <w:top w:val="none" w:sz="0" w:space="0" w:color="auto"/>
          <w:bottom w:val="none" w:sz="0" w:space="0" w:color="auto"/>
        </w:tblBorders>
        <w:tblLook w:val="04A0" w:firstRow="1" w:lastRow="0" w:firstColumn="1" w:lastColumn="0" w:noHBand="0" w:noVBand="1"/>
      </w:tblPr>
      <w:tblGrid>
        <w:gridCol w:w="4653"/>
        <w:gridCol w:w="4801"/>
      </w:tblGrid>
      <w:tr w:rsidR="003D3C3B" w14:paraId="56F013BA" w14:textId="77777777" w:rsidTr="00C926B1">
        <w:trPr>
          <w:cnfStyle w:val="100000000000" w:firstRow="1" w:lastRow="0" w:firstColumn="0" w:lastColumn="0" w:oddVBand="0" w:evenVBand="0" w:oddHBand="0" w:evenHBand="0" w:firstRowFirstColumn="0" w:firstRowLastColumn="0" w:lastRowFirstColumn="0" w:lastRowLastColumn="0"/>
          <w:trHeight w:val="466"/>
        </w:trPr>
        <w:tc>
          <w:tcPr>
            <w:tcW w:w="0" w:type="auto"/>
            <w:tcBorders>
              <w:top w:val="none" w:sz="0" w:space="0" w:color="auto"/>
              <w:left w:val="none" w:sz="0" w:space="0" w:color="auto"/>
              <w:bottom w:val="none" w:sz="0" w:space="0" w:color="auto"/>
              <w:right w:val="none" w:sz="0" w:space="0" w:color="auto"/>
            </w:tcBorders>
          </w:tcPr>
          <w:p w14:paraId="29A2057F" w14:textId="77777777" w:rsidR="003D3C3B" w:rsidRPr="006803E2" w:rsidRDefault="003D3C3B" w:rsidP="00C926B1">
            <w:pPr>
              <w:pStyle w:val="ListParagraph"/>
              <w:numPr>
                <w:ilvl w:val="0"/>
                <w:numId w:val="14"/>
              </w:numPr>
              <w:rPr>
                <w:sz w:val="22"/>
              </w:rPr>
            </w:pPr>
            <w:r w:rsidRPr="006803E2">
              <w:rPr>
                <w:sz w:val="22"/>
              </w:rPr>
              <w:t>ACT Electoral Commission</w:t>
            </w:r>
          </w:p>
          <w:p w14:paraId="47B9B500" w14:textId="77777777" w:rsidR="003D3C3B" w:rsidRPr="006803E2" w:rsidRDefault="003D3C3B" w:rsidP="00C926B1">
            <w:pPr>
              <w:pStyle w:val="ListParagraph"/>
              <w:numPr>
                <w:ilvl w:val="0"/>
                <w:numId w:val="14"/>
              </w:numPr>
              <w:rPr>
                <w:sz w:val="22"/>
              </w:rPr>
            </w:pPr>
            <w:r w:rsidRPr="006803E2">
              <w:rPr>
                <w:sz w:val="22"/>
              </w:rPr>
              <w:t>ACT Integrity Commission</w:t>
            </w:r>
          </w:p>
          <w:p w14:paraId="3A618F00" w14:textId="77777777" w:rsidR="003D3C3B" w:rsidRPr="006803E2" w:rsidRDefault="003D3C3B" w:rsidP="00C926B1">
            <w:pPr>
              <w:pStyle w:val="ListParagraph"/>
              <w:numPr>
                <w:ilvl w:val="0"/>
                <w:numId w:val="14"/>
              </w:numPr>
              <w:rPr>
                <w:sz w:val="22"/>
              </w:rPr>
            </w:pPr>
            <w:r w:rsidRPr="006803E2">
              <w:rPr>
                <w:sz w:val="22"/>
              </w:rPr>
              <w:t>Gaming</w:t>
            </w:r>
          </w:p>
          <w:p w14:paraId="4BB7D036" w14:textId="77777777" w:rsidR="003D3C3B" w:rsidRPr="006803E2" w:rsidRDefault="003D3C3B" w:rsidP="00C926B1">
            <w:pPr>
              <w:pStyle w:val="ListParagraph"/>
              <w:numPr>
                <w:ilvl w:val="0"/>
                <w:numId w:val="14"/>
              </w:numPr>
              <w:rPr>
                <w:sz w:val="22"/>
              </w:rPr>
            </w:pPr>
            <w:r w:rsidRPr="006803E2">
              <w:rPr>
                <w:sz w:val="22"/>
              </w:rPr>
              <w:t>Minister of State (JACS reporting areas)</w:t>
            </w:r>
          </w:p>
          <w:p w14:paraId="65BB7FF5" w14:textId="77777777" w:rsidR="003D3C3B" w:rsidRPr="006803E2" w:rsidRDefault="003D3C3B" w:rsidP="00C926B1">
            <w:pPr>
              <w:pStyle w:val="ListParagraph"/>
              <w:numPr>
                <w:ilvl w:val="0"/>
                <w:numId w:val="14"/>
              </w:numPr>
              <w:rPr>
                <w:sz w:val="22"/>
              </w:rPr>
            </w:pPr>
            <w:r w:rsidRPr="006803E2">
              <w:rPr>
                <w:sz w:val="22"/>
              </w:rPr>
              <w:t>Emergency management and the</w:t>
            </w:r>
          </w:p>
          <w:p w14:paraId="6528B9C3" w14:textId="77777777" w:rsidR="003D3C3B" w:rsidRPr="006803E2" w:rsidRDefault="003D3C3B" w:rsidP="00C926B1">
            <w:pPr>
              <w:pStyle w:val="ListParagraph"/>
              <w:ind w:left="340"/>
              <w:rPr>
                <w:sz w:val="22"/>
              </w:rPr>
            </w:pPr>
            <w:r w:rsidRPr="006803E2">
              <w:rPr>
                <w:sz w:val="22"/>
              </w:rPr>
              <w:t>Emergency Services Agency</w:t>
            </w:r>
          </w:p>
          <w:p w14:paraId="666B4CEC" w14:textId="77777777" w:rsidR="003D3C3B" w:rsidRPr="006803E2" w:rsidRDefault="003D3C3B" w:rsidP="00C926B1">
            <w:pPr>
              <w:pStyle w:val="ListParagraph"/>
              <w:numPr>
                <w:ilvl w:val="0"/>
                <w:numId w:val="14"/>
              </w:numPr>
              <w:rPr>
                <w:sz w:val="22"/>
              </w:rPr>
            </w:pPr>
            <w:r w:rsidRPr="006803E2">
              <w:rPr>
                <w:sz w:val="22"/>
              </w:rPr>
              <w:t>Policing and ACT Policing</w:t>
            </w:r>
          </w:p>
          <w:p w14:paraId="3D72E6D5" w14:textId="77777777" w:rsidR="003D3C3B" w:rsidRPr="006803E2" w:rsidRDefault="003D3C3B" w:rsidP="00C926B1">
            <w:pPr>
              <w:pStyle w:val="ListParagraph"/>
              <w:numPr>
                <w:ilvl w:val="0"/>
                <w:numId w:val="14"/>
              </w:numPr>
              <w:rPr>
                <w:sz w:val="22"/>
              </w:rPr>
            </w:pPr>
            <w:r w:rsidRPr="006803E2">
              <w:rPr>
                <w:sz w:val="22"/>
              </w:rPr>
              <w:t>ACT Ombudsman</w:t>
            </w:r>
          </w:p>
        </w:tc>
        <w:tc>
          <w:tcPr>
            <w:tcW w:w="0" w:type="auto"/>
            <w:tcBorders>
              <w:top w:val="none" w:sz="0" w:space="0" w:color="auto"/>
              <w:left w:val="none" w:sz="0" w:space="0" w:color="auto"/>
              <w:bottom w:val="none" w:sz="0" w:space="0" w:color="auto"/>
              <w:right w:val="none" w:sz="0" w:space="0" w:color="auto"/>
            </w:tcBorders>
          </w:tcPr>
          <w:p w14:paraId="7C0E3ED6" w14:textId="77777777" w:rsidR="003D3C3B" w:rsidRPr="006803E2" w:rsidRDefault="003D3C3B" w:rsidP="00C926B1">
            <w:pPr>
              <w:pStyle w:val="ListParagraph"/>
              <w:numPr>
                <w:ilvl w:val="0"/>
                <w:numId w:val="14"/>
              </w:numPr>
              <w:rPr>
                <w:sz w:val="22"/>
              </w:rPr>
            </w:pPr>
            <w:r w:rsidRPr="006803E2">
              <w:rPr>
                <w:sz w:val="22"/>
              </w:rPr>
              <w:t>Corrective services</w:t>
            </w:r>
          </w:p>
          <w:p w14:paraId="498D8031" w14:textId="77777777" w:rsidR="003D3C3B" w:rsidRPr="006803E2" w:rsidRDefault="003D3C3B" w:rsidP="00C926B1">
            <w:pPr>
              <w:pStyle w:val="ListParagraph"/>
              <w:numPr>
                <w:ilvl w:val="0"/>
                <w:numId w:val="14"/>
              </w:numPr>
              <w:rPr>
                <w:sz w:val="22"/>
              </w:rPr>
            </w:pPr>
            <w:r w:rsidRPr="006803E2">
              <w:rPr>
                <w:sz w:val="22"/>
              </w:rPr>
              <w:t>Attorney-General</w:t>
            </w:r>
          </w:p>
          <w:p w14:paraId="547BB9BB" w14:textId="77777777" w:rsidR="003D3C3B" w:rsidRPr="006803E2" w:rsidRDefault="003D3C3B" w:rsidP="00C926B1">
            <w:pPr>
              <w:pStyle w:val="ListParagraph"/>
              <w:numPr>
                <w:ilvl w:val="0"/>
                <w:numId w:val="14"/>
              </w:numPr>
              <w:rPr>
                <w:sz w:val="22"/>
              </w:rPr>
            </w:pPr>
            <w:r w:rsidRPr="006803E2">
              <w:rPr>
                <w:sz w:val="22"/>
              </w:rPr>
              <w:t>Consumer affairs</w:t>
            </w:r>
          </w:p>
          <w:p w14:paraId="29912449" w14:textId="77777777" w:rsidR="003D3C3B" w:rsidRPr="006803E2" w:rsidRDefault="003D3C3B" w:rsidP="00C926B1">
            <w:pPr>
              <w:pStyle w:val="ListParagraph"/>
              <w:numPr>
                <w:ilvl w:val="0"/>
                <w:numId w:val="14"/>
              </w:numPr>
              <w:rPr>
                <w:sz w:val="22"/>
              </w:rPr>
            </w:pPr>
            <w:r w:rsidRPr="006803E2">
              <w:rPr>
                <w:sz w:val="22"/>
              </w:rPr>
              <w:t>Human rights</w:t>
            </w:r>
          </w:p>
          <w:p w14:paraId="4029C6D5" w14:textId="77777777" w:rsidR="003D3C3B" w:rsidRPr="006803E2" w:rsidRDefault="003D3C3B" w:rsidP="00C926B1">
            <w:pPr>
              <w:pStyle w:val="ListParagraph"/>
              <w:numPr>
                <w:ilvl w:val="0"/>
                <w:numId w:val="14"/>
              </w:numPr>
              <w:rPr>
                <w:sz w:val="22"/>
              </w:rPr>
            </w:pPr>
            <w:r w:rsidRPr="006803E2">
              <w:rPr>
                <w:sz w:val="22"/>
              </w:rPr>
              <w:t>Victims of crime</w:t>
            </w:r>
          </w:p>
          <w:p w14:paraId="1DBDA9B4" w14:textId="77777777" w:rsidR="003D3C3B" w:rsidRPr="006803E2" w:rsidRDefault="003D3C3B" w:rsidP="00C926B1">
            <w:pPr>
              <w:pStyle w:val="ListParagraph"/>
              <w:numPr>
                <w:ilvl w:val="0"/>
                <w:numId w:val="14"/>
              </w:numPr>
              <w:rPr>
                <w:sz w:val="22"/>
              </w:rPr>
            </w:pPr>
            <w:r w:rsidRPr="006803E2">
              <w:rPr>
                <w:sz w:val="22"/>
              </w:rPr>
              <w:t>Access to justice and restorative practice</w:t>
            </w:r>
          </w:p>
          <w:p w14:paraId="10242D71" w14:textId="77777777" w:rsidR="003D3C3B" w:rsidRPr="006803E2" w:rsidRDefault="003D3C3B" w:rsidP="00C926B1">
            <w:pPr>
              <w:pStyle w:val="ListParagraph"/>
              <w:numPr>
                <w:ilvl w:val="0"/>
                <w:numId w:val="14"/>
              </w:numPr>
              <w:rPr>
                <w:sz w:val="22"/>
              </w:rPr>
            </w:pPr>
            <w:r w:rsidRPr="006803E2">
              <w:rPr>
                <w:sz w:val="22"/>
              </w:rPr>
              <w:t>Public Trustee and Guardian</w:t>
            </w:r>
          </w:p>
        </w:tc>
      </w:tr>
    </w:tbl>
    <w:p w14:paraId="5331B1F1" w14:textId="77777777" w:rsidR="003D3C3B" w:rsidRDefault="003D3C3B" w:rsidP="003D3C3B">
      <w:pPr>
        <w:spacing w:before="120"/>
      </w:pPr>
      <w:r>
        <w:t>You can read the full establishing resolution</w:t>
      </w:r>
      <w:hyperlink r:id="rId13" w:history="1">
        <w:r w:rsidRPr="00633A66">
          <w:t xml:space="preserve"> </w:t>
        </w:r>
        <w:r w:rsidRPr="00633A66">
          <w:rPr>
            <w:rStyle w:val="Hyperlink"/>
          </w:rPr>
          <w:t>on our website</w:t>
        </w:r>
        <w:r w:rsidRPr="006718E3">
          <w:rPr>
            <w:rStyle w:val="Hyperlink"/>
          </w:rPr>
          <w:t>.</w:t>
        </w:r>
      </w:hyperlink>
    </w:p>
    <w:p w14:paraId="34844F8E" w14:textId="77777777" w:rsidR="003D3C3B" w:rsidRDefault="003D3C3B" w:rsidP="00570363">
      <w:pPr>
        <w:pStyle w:val="Heading2"/>
      </w:pPr>
      <w:bookmarkStart w:id="4" w:name="_Toc142567170"/>
      <w:bookmarkStart w:id="5" w:name="_Toc170201511"/>
      <w:r>
        <w:t>Committee members</w:t>
      </w:r>
      <w:bookmarkEnd w:id="4"/>
      <w:bookmarkEnd w:id="5"/>
    </w:p>
    <w:p w14:paraId="52ECCEBB" w14:textId="77777777" w:rsidR="003D3C3B" w:rsidRDefault="003D3C3B" w:rsidP="003D3C3B">
      <w:pPr>
        <w:pStyle w:val="List"/>
      </w:pPr>
      <w:r>
        <w:t>Mr Peter Cain MLA, Chair</w:t>
      </w:r>
    </w:p>
    <w:p w14:paraId="61C3B519" w14:textId="77777777" w:rsidR="003D3C3B" w:rsidRDefault="003D3C3B" w:rsidP="003D3C3B">
      <w:pPr>
        <w:pStyle w:val="List"/>
      </w:pPr>
      <w:r>
        <w:t>Dr Marisa Paterson MLA, Deputy Chair</w:t>
      </w:r>
    </w:p>
    <w:p w14:paraId="2C075FC4" w14:textId="77777777" w:rsidR="003D3C3B" w:rsidRDefault="003D3C3B" w:rsidP="003D3C3B">
      <w:pPr>
        <w:pStyle w:val="List"/>
      </w:pPr>
      <w:r>
        <w:t xml:space="preserve">Mr Andrew Braddock MLA </w:t>
      </w:r>
    </w:p>
    <w:p w14:paraId="31F1BA52" w14:textId="77777777" w:rsidR="003D3C3B" w:rsidRDefault="003D3C3B" w:rsidP="00570363">
      <w:pPr>
        <w:pStyle w:val="Heading2"/>
      </w:pPr>
      <w:bookmarkStart w:id="6" w:name="_Toc142567171"/>
      <w:bookmarkStart w:id="7" w:name="_Toc170201512"/>
      <w:r>
        <w:t>Secretariat</w:t>
      </w:r>
      <w:bookmarkEnd w:id="6"/>
      <w:bookmarkEnd w:id="7"/>
    </w:p>
    <w:p w14:paraId="2185A6A5" w14:textId="77777777" w:rsidR="003D3C3B" w:rsidRPr="00A23A3E" w:rsidRDefault="003D3C3B" w:rsidP="003D3C3B">
      <w:pPr>
        <w:pStyle w:val="List"/>
      </w:pPr>
      <w:r>
        <w:t>Ms Kathleen de Kleuver</w:t>
      </w:r>
      <w:r w:rsidRPr="00A23A3E">
        <w:t>, Committee Secretary</w:t>
      </w:r>
      <w:r>
        <w:t xml:space="preserve"> (from 14 August 2023)</w:t>
      </w:r>
    </w:p>
    <w:p w14:paraId="1F56CD07" w14:textId="77777777" w:rsidR="003D3C3B" w:rsidRDefault="003D3C3B" w:rsidP="003D3C3B">
      <w:pPr>
        <w:pStyle w:val="List"/>
      </w:pPr>
      <w:r>
        <w:t>Ms Kate Mickelson, Acting Committee Secretary (until 11 August 2023)</w:t>
      </w:r>
    </w:p>
    <w:p w14:paraId="60044B26" w14:textId="77777777" w:rsidR="003D3C3B" w:rsidRDefault="003D3C3B" w:rsidP="003D3C3B">
      <w:pPr>
        <w:pStyle w:val="List"/>
      </w:pPr>
      <w:r>
        <w:t>Mr Peter Materne, Assistant Secretary (from 4 September 2023 to 23 November 2023)</w:t>
      </w:r>
    </w:p>
    <w:p w14:paraId="1FC3E732" w14:textId="77777777" w:rsidR="003D3C3B" w:rsidRDefault="003D3C3B" w:rsidP="003D3C3B">
      <w:pPr>
        <w:pStyle w:val="List"/>
      </w:pPr>
      <w:r>
        <w:t>Ms Anna Hough</w:t>
      </w:r>
      <w:r w:rsidRPr="00A23A3E">
        <w:t xml:space="preserve">, </w:t>
      </w:r>
      <w:r>
        <w:t>Assistant Secretary (until 4 September 2023)</w:t>
      </w:r>
    </w:p>
    <w:p w14:paraId="521E6B85" w14:textId="220E32E6" w:rsidR="003D3C3B" w:rsidRDefault="003D3C3B" w:rsidP="003D3C3B">
      <w:pPr>
        <w:pStyle w:val="List"/>
      </w:pPr>
      <w:r>
        <w:t>Ms Alicia Coupland, Assistant Secretary (from 23 October 2023)</w:t>
      </w:r>
    </w:p>
    <w:p w14:paraId="014BD62B" w14:textId="7A3E0C7E" w:rsidR="003D3C3B" w:rsidRDefault="003D3C3B" w:rsidP="003D3C3B">
      <w:pPr>
        <w:pStyle w:val="List"/>
      </w:pPr>
      <w:r>
        <w:t>Ms Erin Dinneen, Assistant Secretary (from 30 October 2023</w:t>
      </w:r>
      <w:r w:rsidR="00BF29BA">
        <w:t xml:space="preserve"> to 29 </w:t>
      </w:r>
      <w:r w:rsidR="006803E2">
        <w:t>March</w:t>
      </w:r>
      <w:r w:rsidR="00BF29BA">
        <w:t xml:space="preserve"> 2024</w:t>
      </w:r>
      <w:r>
        <w:t>)</w:t>
      </w:r>
    </w:p>
    <w:p w14:paraId="39891C57" w14:textId="77777777" w:rsidR="003D3C3B" w:rsidRDefault="003D3C3B" w:rsidP="003D3C3B">
      <w:pPr>
        <w:pStyle w:val="List"/>
      </w:pPr>
      <w:r>
        <w:t>Mr Satyen Sharma,</w:t>
      </w:r>
      <w:r w:rsidRPr="00A23A3E">
        <w:t xml:space="preserve"> Administrative </w:t>
      </w:r>
      <w:r>
        <w:t>Officer</w:t>
      </w:r>
    </w:p>
    <w:p w14:paraId="5C1111C4" w14:textId="49FC1929" w:rsidR="003D3C3B" w:rsidRDefault="003D3C3B" w:rsidP="00570363">
      <w:pPr>
        <w:pStyle w:val="Heading2"/>
      </w:pPr>
      <w:bookmarkStart w:id="8" w:name="_Toc142567172"/>
      <w:r>
        <w:br w:type="column"/>
      </w:r>
      <w:bookmarkStart w:id="9" w:name="_Toc170201513"/>
      <w:r>
        <w:lastRenderedPageBreak/>
        <w:t>Contact us</w:t>
      </w:r>
      <w:bookmarkEnd w:id="8"/>
      <w:bookmarkEnd w:id="9"/>
    </w:p>
    <w:p w14:paraId="15E37614" w14:textId="2FB9151C" w:rsidR="003D3C3B" w:rsidRDefault="003D3C3B" w:rsidP="003D3C3B">
      <w:pPr>
        <w:ind w:left="1134" w:hanging="1134"/>
      </w:pPr>
      <w:r>
        <w:rPr>
          <w:b/>
          <w:bCs/>
        </w:rPr>
        <w:t>Mail</w:t>
      </w:r>
      <w:r>
        <w:tab/>
      </w:r>
      <w:r w:rsidR="006803E2">
        <w:t>Standing Committee on Justice and Community Safety</w:t>
      </w:r>
      <w:r>
        <w:br/>
        <w:t>Legislative Assembly for the Australian Capital Territory</w:t>
      </w:r>
      <w:r>
        <w:br/>
        <w:t>GPO Box 1020</w:t>
      </w:r>
      <w:r>
        <w:br/>
        <w:t>CANBERRA ACT 2601</w:t>
      </w:r>
    </w:p>
    <w:p w14:paraId="5235A9FE" w14:textId="77777777" w:rsidR="003D3C3B" w:rsidRDefault="003D3C3B" w:rsidP="003D3C3B">
      <w:pPr>
        <w:ind w:left="1134" w:hanging="1134"/>
      </w:pPr>
      <w:r>
        <w:rPr>
          <w:b/>
          <w:bCs/>
        </w:rPr>
        <w:t>Phone</w:t>
      </w:r>
      <w:r>
        <w:rPr>
          <w:b/>
          <w:bCs/>
        </w:rPr>
        <w:tab/>
      </w:r>
      <w:r>
        <w:t xml:space="preserve">(02) </w:t>
      </w:r>
      <w:r w:rsidRPr="008E750D">
        <w:t>620</w:t>
      </w:r>
      <w:r>
        <w:t>7 0524</w:t>
      </w:r>
    </w:p>
    <w:p w14:paraId="6FC74F1C" w14:textId="77777777" w:rsidR="003D3C3B" w:rsidRDefault="003D3C3B" w:rsidP="003D3C3B">
      <w:pPr>
        <w:ind w:left="1134" w:hanging="1134"/>
      </w:pPr>
      <w:r>
        <w:rPr>
          <w:b/>
          <w:bCs/>
        </w:rPr>
        <w:t>Email</w:t>
      </w:r>
      <w:r>
        <w:tab/>
        <w:t xml:space="preserve">LACommitteeJCS@parliament.act.gov.au </w:t>
      </w:r>
    </w:p>
    <w:p w14:paraId="4C32DD35" w14:textId="53F40BB5" w:rsidR="003D3C3B" w:rsidRDefault="003D3C3B" w:rsidP="003D3C3B">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5D7A900" w14:textId="0B4E6340" w:rsidR="00151C2E" w:rsidRDefault="006718E3" w:rsidP="002F7BB3">
      <w:pPr>
        <w:pStyle w:val="Heading1nonumber"/>
      </w:pPr>
      <w:bookmarkStart w:id="10" w:name="_Toc170201514"/>
      <w:r>
        <w:lastRenderedPageBreak/>
        <w:t>About this inquiry</w:t>
      </w:r>
      <w:bookmarkEnd w:id="10"/>
    </w:p>
    <w:p w14:paraId="714DEC6A" w14:textId="6EB88DA5" w:rsidR="00151C2E" w:rsidRPr="00EA233B" w:rsidRDefault="00151C2E" w:rsidP="00151C2E">
      <w:r w:rsidRPr="00EA233B">
        <w:t xml:space="preserve">Under Standing Order 216, standing committees can self-initiate an inquiry into any subject area it is given responsibility for by the establishing resolution. The </w:t>
      </w:r>
      <w:r>
        <w:t xml:space="preserve">Standing Committee on Justice and Community Safety resolved to conduct an inquiry into cashless gaming </w:t>
      </w:r>
      <w:r w:rsidR="006803E2">
        <w:t xml:space="preserve">in the ACT </w:t>
      </w:r>
      <w:r>
        <w:t>on 3 Jul</w:t>
      </w:r>
      <w:r w:rsidR="006803E2">
        <w:t>y</w:t>
      </w:r>
      <w:r>
        <w:t xml:space="preserve"> 2023.</w:t>
      </w:r>
    </w:p>
    <w:p w14:paraId="33F19E2A" w14:textId="629B5F9D" w:rsidR="00151C2E" w:rsidRDefault="00467425" w:rsidP="004508F1">
      <w:r>
        <w:t xml:space="preserve">On 9 April 2024, the Committee made a statement about the inquiry to the Assembly </w:t>
      </w:r>
      <w:proofErr w:type="spellStart"/>
      <w:r>
        <w:t>under standing</w:t>
      </w:r>
      <w:proofErr w:type="spellEnd"/>
      <w:r>
        <w:t xml:space="preserve"> order 246A regarding its establishment and recent media on gambling harms.</w:t>
      </w:r>
    </w:p>
    <w:p w14:paraId="71694048" w14:textId="77777777" w:rsidR="002F7BB3" w:rsidRDefault="002F7BB3" w:rsidP="002F7BB3">
      <w:pPr>
        <w:pStyle w:val="Heading1nonumber"/>
      </w:pPr>
      <w:bookmarkStart w:id="11" w:name="_Toc170201515"/>
      <w:r>
        <w:t>Terms of reference</w:t>
      </w:r>
      <w:bookmarkEnd w:id="11"/>
    </w:p>
    <w:p w14:paraId="6DD40C01" w14:textId="77777777" w:rsidR="002F7BB3" w:rsidRPr="00DB2487" w:rsidRDefault="002F7BB3" w:rsidP="002F7BB3">
      <w:pPr>
        <w:pStyle w:val="Bodycopy"/>
        <w:rPr>
          <w:bCs w:val="0"/>
          <w:smallCaps w:val="0"/>
          <w:szCs w:val="22"/>
        </w:rPr>
      </w:pPr>
      <w:r w:rsidRPr="00DB2487">
        <w:rPr>
          <w:bCs w:val="0"/>
          <w:smallCaps w:val="0"/>
          <w:szCs w:val="22"/>
        </w:rPr>
        <w:t xml:space="preserve">The Committee will inquire and report on </w:t>
      </w:r>
      <w:r w:rsidRPr="00DB2487">
        <w:rPr>
          <w:smallCaps w:val="0"/>
          <w:szCs w:val="22"/>
        </w:rPr>
        <w:t xml:space="preserve">card-based cashless gaming in the ACT with </w:t>
      </w:r>
      <w:proofErr w:type="gramStart"/>
      <w:r w:rsidRPr="00DB2487">
        <w:rPr>
          <w:smallCaps w:val="0"/>
          <w:szCs w:val="22"/>
        </w:rPr>
        <w:t>particular reference</w:t>
      </w:r>
      <w:proofErr w:type="gramEnd"/>
      <w:r w:rsidRPr="00DB2487">
        <w:rPr>
          <w:smallCaps w:val="0"/>
          <w:szCs w:val="22"/>
        </w:rPr>
        <w:t xml:space="preserve"> to</w:t>
      </w:r>
      <w:r w:rsidRPr="00DB2487">
        <w:rPr>
          <w:bCs w:val="0"/>
          <w:smallCaps w:val="0"/>
          <w:szCs w:val="22"/>
        </w:rPr>
        <w:t>:</w:t>
      </w:r>
    </w:p>
    <w:p w14:paraId="7ADD7A52" w14:textId="33FCE86D" w:rsidR="002F7BB3" w:rsidRPr="00DB2487" w:rsidRDefault="002F7BB3" w:rsidP="00BF29BA">
      <w:pPr>
        <w:pStyle w:val="ListBullet"/>
        <w:rPr>
          <w:bCs/>
          <w:smallCaps/>
        </w:rPr>
      </w:pPr>
      <w:r w:rsidRPr="00DB2487">
        <w:t>What the implementation of card-based cashless gaming technology in the ACT would look like</w:t>
      </w:r>
      <w:r>
        <w:t>;</w:t>
      </w:r>
    </w:p>
    <w:p w14:paraId="1DAA94A7" w14:textId="3C175093" w:rsidR="002F7BB3" w:rsidRPr="00DB2487" w:rsidRDefault="002F7BB3" w:rsidP="00BF29BA">
      <w:pPr>
        <w:pStyle w:val="ListBullet"/>
        <w:rPr>
          <w:bCs/>
          <w:smallCaps/>
        </w:rPr>
      </w:pPr>
      <w:r w:rsidRPr="00DB2487">
        <w:t xml:space="preserve">Experiences in other jurisdictions of cashless gaming trials, with particular consideration to issues around </w:t>
      </w:r>
      <w:proofErr w:type="gramStart"/>
      <w:r w:rsidRPr="00DB2487">
        <w:t>implementation</w:t>
      </w:r>
      <w:r>
        <w:t>;</w:t>
      </w:r>
      <w:proofErr w:type="gramEnd"/>
    </w:p>
    <w:p w14:paraId="34157DB2" w14:textId="12268897" w:rsidR="002F7BB3" w:rsidRPr="00DB2487" w:rsidRDefault="002F7BB3" w:rsidP="00BF29BA">
      <w:pPr>
        <w:pStyle w:val="ListBullet"/>
        <w:rPr>
          <w:bCs/>
          <w:smallCaps/>
        </w:rPr>
      </w:pPr>
      <w:r w:rsidRPr="00DB2487">
        <w:t xml:space="preserve">The nature and extent of money laundering that may be occurring in licensed premises in ACT through electronic gaming machines; </w:t>
      </w:r>
    </w:p>
    <w:p w14:paraId="3783E3E4" w14:textId="2B02FEA5" w:rsidR="002F7BB3" w:rsidRPr="00DB2487" w:rsidRDefault="002F7BB3" w:rsidP="00BF29BA">
      <w:pPr>
        <w:pStyle w:val="ListBullet"/>
        <w:rPr>
          <w:bCs/>
          <w:smallCaps/>
        </w:rPr>
      </w:pPr>
      <w:r w:rsidRPr="00DB2487">
        <w:t>The extent to which card-based cashless gaming would impact organised crime in the ACT</w:t>
      </w:r>
      <w:r>
        <w:t>;</w:t>
      </w:r>
    </w:p>
    <w:p w14:paraId="59CA6D94" w14:textId="697B65BA" w:rsidR="002F7BB3" w:rsidRPr="00DB2487" w:rsidRDefault="002F7BB3" w:rsidP="00BF29BA">
      <w:pPr>
        <w:pStyle w:val="ListBullet"/>
        <w:rPr>
          <w:bCs/>
          <w:smallCaps/>
        </w:rPr>
      </w:pPr>
      <w:r w:rsidRPr="00DB2487">
        <w:t>The potential impacts on reducing gambling harm from electronic gaming machines in the ACT</w:t>
      </w:r>
      <w:r>
        <w:t>;</w:t>
      </w:r>
    </w:p>
    <w:p w14:paraId="45DAB91B" w14:textId="78F1E434" w:rsidR="002F7BB3" w:rsidRDefault="002F7BB3" w:rsidP="00BF29BA">
      <w:pPr>
        <w:pStyle w:val="ListBullet"/>
        <w:rPr>
          <w:bCs/>
          <w:smallCaps/>
        </w:rPr>
      </w:pPr>
      <w:r w:rsidRPr="00DB2487">
        <w:t>Any legislative or regula</w:t>
      </w:r>
      <w:r>
        <w:t>tor</w:t>
      </w:r>
      <w:r w:rsidRPr="00DB2487">
        <w:t>y considerations that would be required if card-based cashless gaming w</w:t>
      </w:r>
      <w:r>
        <w:t>ere</w:t>
      </w:r>
      <w:r w:rsidRPr="00DB2487">
        <w:t xml:space="preserve"> to be implemented in the ACT</w:t>
      </w:r>
      <w:r>
        <w:t>; and</w:t>
      </w:r>
    </w:p>
    <w:p w14:paraId="72FC21B0" w14:textId="78377BC4" w:rsidR="002F7BB3" w:rsidRPr="00F46E59" w:rsidRDefault="002F7BB3" w:rsidP="00BF29BA">
      <w:pPr>
        <w:pStyle w:val="ListBullet"/>
        <w:rPr>
          <w:bCs/>
          <w:smallCaps/>
        </w:rPr>
      </w:pPr>
      <w:r>
        <w:t>Any cross-jurisdictional issues that may arise from the implementation of cashless gaming.</w:t>
      </w:r>
    </w:p>
    <w:p w14:paraId="4DA557D2" w14:textId="267CD626" w:rsidR="002F7BB3" w:rsidRDefault="00BF29BA" w:rsidP="002F7BB3">
      <w:pPr>
        <w:pStyle w:val="Heading1nonumber"/>
      </w:pPr>
      <w:bookmarkStart w:id="12" w:name="_Toc170201516"/>
      <w:r>
        <w:t xml:space="preserve">Support on problem </w:t>
      </w:r>
      <w:r w:rsidR="007A1D4F">
        <w:t>gambling</w:t>
      </w:r>
      <w:bookmarkEnd w:id="12"/>
    </w:p>
    <w:p w14:paraId="5B26E8EE" w14:textId="77777777" w:rsidR="002F7BB3" w:rsidRDefault="002F7BB3" w:rsidP="00B14169">
      <w:pPr>
        <w:pStyle w:val="List"/>
        <w:spacing w:line="360" w:lineRule="auto"/>
      </w:pPr>
      <w:bookmarkStart w:id="13" w:name="_Hlk159514099"/>
      <w:r>
        <w:t>Support for anyone affected by the issues raised in this inquiry is available from:</w:t>
      </w:r>
    </w:p>
    <w:p w14:paraId="7EC2E3E6" w14:textId="77777777" w:rsidR="002F7BB3" w:rsidRDefault="002F7BB3" w:rsidP="00B14169">
      <w:pPr>
        <w:pStyle w:val="ListParagraph"/>
        <w:numPr>
          <w:ilvl w:val="0"/>
          <w:numId w:val="24"/>
        </w:numPr>
        <w:spacing w:after="0" w:line="360" w:lineRule="auto"/>
        <w:ind w:left="1208" w:hanging="357"/>
      </w:pPr>
      <w:r>
        <w:t>National Gambling Helpline: 1800 858 858</w:t>
      </w:r>
    </w:p>
    <w:p w14:paraId="15ADEEE9" w14:textId="77777777" w:rsidR="002F7BB3" w:rsidRDefault="002F7BB3" w:rsidP="00B14169">
      <w:pPr>
        <w:pStyle w:val="ListParagraph"/>
        <w:numPr>
          <w:ilvl w:val="0"/>
          <w:numId w:val="24"/>
        </w:numPr>
        <w:spacing w:after="0" w:line="360" w:lineRule="auto"/>
        <w:ind w:left="1211"/>
      </w:pPr>
      <w:r>
        <w:t xml:space="preserve">Gambling Help Online: </w:t>
      </w:r>
      <w:hyperlink r:id="rId15" w:history="1">
        <w:r>
          <w:rPr>
            <w:rStyle w:val="Hyperlink"/>
          </w:rPr>
          <w:t>Gambling Help Online | Gambling Help Online</w:t>
        </w:r>
      </w:hyperlink>
    </w:p>
    <w:p w14:paraId="4CB319F7" w14:textId="77777777" w:rsidR="002F7BB3" w:rsidRDefault="002F7BB3" w:rsidP="00B14169">
      <w:pPr>
        <w:pStyle w:val="ListParagraph"/>
        <w:numPr>
          <w:ilvl w:val="0"/>
          <w:numId w:val="24"/>
        </w:numPr>
        <w:spacing w:after="0" w:line="360" w:lineRule="auto"/>
        <w:ind w:left="1211"/>
      </w:pPr>
      <w:r>
        <w:t xml:space="preserve">Financial counselling to support people affected by Gambling Harm:  </w:t>
      </w:r>
      <w:hyperlink r:id="rId16" w:history="1">
        <w:r>
          <w:rPr>
            <w:rStyle w:val="Hyperlink"/>
          </w:rPr>
          <w:t>Commonwealth Financial Counselling | Department of Social Services, Australian Government (dss.gov.au)</w:t>
        </w:r>
      </w:hyperlink>
    </w:p>
    <w:p w14:paraId="0DF7F0D9" w14:textId="77777777" w:rsidR="002F7BB3" w:rsidRDefault="002F7BB3" w:rsidP="00B14169">
      <w:pPr>
        <w:pStyle w:val="ListParagraph"/>
        <w:numPr>
          <w:ilvl w:val="0"/>
          <w:numId w:val="24"/>
        </w:numPr>
        <w:spacing w:after="0" w:line="360" w:lineRule="auto"/>
        <w:ind w:left="1208" w:hanging="357"/>
      </w:pPr>
      <w:r>
        <w:t xml:space="preserve">Lifeline: 131114  </w:t>
      </w:r>
      <w:hyperlink r:id="rId17" w:history="1">
        <w:r w:rsidRPr="0085221D">
          <w:rPr>
            <w:rStyle w:val="Hyperlink"/>
          </w:rPr>
          <w:t>www.lifeline.org.au</w:t>
        </w:r>
      </w:hyperlink>
    </w:p>
    <w:bookmarkEnd w:id="13"/>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49E0B54" w14:textId="67CC8FA0" w:rsidR="00E12DD3"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70201509" w:history="1">
            <w:r w:rsidR="00E12DD3" w:rsidRPr="001932E5">
              <w:rPr>
                <w:rStyle w:val="Hyperlink"/>
              </w:rPr>
              <w:t>About the committee</w:t>
            </w:r>
            <w:r w:rsidR="00E12DD3">
              <w:rPr>
                <w:webHidden/>
              </w:rPr>
              <w:tab/>
            </w:r>
            <w:r w:rsidR="00E12DD3">
              <w:rPr>
                <w:webHidden/>
              </w:rPr>
              <w:fldChar w:fldCharType="begin"/>
            </w:r>
            <w:r w:rsidR="00E12DD3">
              <w:rPr>
                <w:webHidden/>
              </w:rPr>
              <w:instrText xml:space="preserve"> PAGEREF _Toc170201509 \h </w:instrText>
            </w:r>
            <w:r w:rsidR="00E12DD3">
              <w:rPr>
                <w:webHidden/>
              </w:rPr>
            </w:r>
            <w:r w:rsidR="00E12DD3">
              <w:rPr>
                <w:webHidden/>
              </w:rPr>
              <w:fldChar w:fldCharType="separate"/>
            </w:r>
            <w:r w:rsidR="00EE4A95">
              <w:rPr>
                <w:webHidden/>
              </w:rPr>
              <w:t>i</w:t>
            </w:r>
            <w:r w:rsidR="00E12DD3">
              <w:rPr>
                <w:webHidden/>
              </w:rPr>
              <w:fldChar w:fldCharType="end"/>
            </w:r>
          </w:hyperlink>
        </w:p>
        <w:p w14:paraId="6E2596D2" w14:textId="79AD6F9A" w:rsidR="00E12DD3" w:rsidRDefault="00E12DD3">
          <w:pPr>
            <w:pStyle w:val="TOC2"/>
            <w:rPr>
              <w:rFonts w:eastAsiaTheme="minorEastAsia"/>
              <w:kern w:val="2"/>
              <w:lang w:eastAsia="en-AU"/>
              <w14:ligatures w14:val="standardContextual"/>
            </w:rPr>
          </w:pPr>
          <w:hyperlink w:anchor="_Toc170201510" w:history="1">
            <w:r w:rsidRPr="001932E5">
              <w:rPr>
                <w:rStyle w:val="Hyperlink"/>
              </w:rPr>
              <w:t>Establishing resolution</w:t>
            </w:r>
            <w:r>
              <w:rPr>
                <w:webHidden/>
              </w:rPr>
              <w:tab/>
            </w:r>
            <w:r>
              <w:rPr>
                <w:webHidden/>
              </w:rPr>
              <w:fldChar w:fldCharType="begin"/>
            </w:r>
            <w:r>
              <w:rPr>
                <w:webHidden/>
              </w:rPr>
              <w:instrText xml:space="preserve"> PAGEREF _Toc170201510 \h </w:instrText>
            </w:r>
            <w:r>
              <w:rPr>
                <w:webHidden/>
              </w:rPr>
            </w:r>
            <w:r>
              <w:rPr>
                <w:webHidden/>
              </w:rPr>
              <w:fldChar w:fldCharType="separate"/>
            </w:r>
            <w:r w:rsidR="00EE4A95">
              <w:rPr>
                <w:webHidden/>
              </w:rPr>
              <w:t>i</w:t>
            </w:r>
            <w:r>
              <w:rPr>
                <w:webHidden/>
              </w:rPr>
              <w:fldChar w:fldCharType="end"/>
            </w:r>
          </w:hyperlink>
        </w:p>
        <w:p w14:paraId="3317EBB4" w14:textId="35D4FF1B" w:rsidR="00E12DD3" w:rsidRDefault="00E12DD3">
          <w:pPr>
            <w:pStyle w:val="TOC2"/>
            <w:rPr>
              <w:rFonts w:eastAsiaTheme="minorEastAsia"/>
              <w:kern w:val="2"/>
              <w:lang w:eastAsia="en-AU"/>
              <w14:ligatures w14:val="standardContextual"/>
            </w:rPr>
          </w:pPr>
          <w:hyperlink w:anchor="_Toc170201511" w:history="1">
            <w:r w:rsidRPr="001932E5">
              <w:rPr>
                <w:rStyle w:val="Hyperlink"/>
              </w:rPr>
              <w:t>Committee members</w:t>
            </w:r>
            <w:r>
              <w:rPr>
                <w:webHidden/>
              </w:rPr>
              <w:tab/>
            </w:r>
            <w:r>
              <w:rPr>
                <w:webHidden/>
              </w:rPr>
              <w:fldChar w:fldCharType="begin"/>
            </w:r>
            <w:r>
              <w:rPr>
                <w:webHidden/>
              </w:rPr>
              <w:instrText xml:space="preserve"> PAGEREF _Toc170201511 \h </w:instrText>
            </w:r>
            <w:r>
              <w:rPr>
                <w:webHidden/>
              </w:rPr>
            </w:r>
            <w:r>
              <w:rPr>
                <w:webHidden/>
              </w:rPr>
              <w:fldChar w:fldCharType="separate"/>
            </w:r>
            <w:r w:rsidR="00EE4A95">
              <w:rPr>
                <w:webHidden/>
              </w:rPr>
              <w:t>i</w:t>
            </w:r>
            <w:r>
              <w:rPr>
                <w:webHidden/>
              </w:rPr>
              <w:fldChar w:fldCharType="end"/>
            </w:r>
          </w:hyperlink>
        </w:p>
        <w:p w14:paraId="37BA2425" w14:textId="37503F48" w:rsidR="00E12DD3" w:rsidRDefault="00E12DD3">
          <w:pPr>
            <w:pStyle w:val="TOC2"/>
            <w:rPr>
              <w:rFonts w:eastAsiaTheme="minorEastAsia"/>
              <w:kern w:val="2"/>
              <w:lang w:eastAsia="en-AU"/>
              <w14:ligatures w14:val="standardContextual"/>
            </w:rPr>
          </w:pPr>
          <w:hyperlink w:anchor="_Toc170201512" w:history="1">
            <w:r w:rsidRPr="001932E5">
              <w:rPr>
                <w:rStyle w:val="Hyperlink"/>
              </w:rPr>
              <w:t>Secretariat</w:t>
            </w:r>
            <w:r>
              <w:rPr>
                <w:webHidden/>
              </w:rPr>
              <w:tab/>
            </w:r>
            <w:r>
              <w:rPr>
                <w:webHidden/>
              </w:rPr>
              <w:fldChar w:fldCharType="begin"/>
            </w:r>
            <w:r>
              <w:rPr>
                <w:webHidden/>
              </w:rPr>
              <w:instrText xml:space="preserve"> PAGEREF _Toc170201512 \h </w:instrText>
            </w:r>
            <w:r>
              <w:rPr>
                <w:webHidden/>
              </w:rPr>
            </w:r>
            <w:r>
              <w:rPr>
                <w:webHidden/>
              </w:rPr>
              <w:fldChar w:fldCharType="separate"/>
            </w:r>
            <w:r w:rsidR="00EE4A95">
              <w:rPr>
                <w:webHidden/>
              </w:rPr>
              <w:t>i</w:t>
            </w:r>
            <w:r>
              <w:rPr>
                <w:webHidden/>
              </w:rPr>
              <w:fldChar w:fldCharType="end"/>
            </w:r>
          </w:hyperlink>
        </w:p>
        <w:p w14:paraId="7B096B6A" w14:textId="1F01BE88" w:rsidR="00E12DD3" w:rsidRDefault="00E12DD3">
          <w:pPr>
            <w:pStyle w:val="TOC2"/>
            <w:rPr>
              <w:rFonts w:eastAsiaTheme="minorEastAsia"/>
              <w:kern w:val="2"/>
              <w:lang w:eastAsia="en-AU"/>
              <w14:ligatures w14:val="standardContextual"/>
            </w:rPr>
          </w:pPr>
          <w:hyperlink w:anchor="_Toc170201513" w:history="1">
            <w:r w:rsidRPr="001932E5">
              <w:rPr>
                <w:rStyle w:val="Hyperlink"/>
              </w:rPr>
              <w:t>Contact us</w:t>
            </w:r>
            <w:r>
              <w:rPr>
                <w:webHidden/>
              </w:rPr>
              <w:tab/>
            </w:r>
            <w:r>
              <w:rPr>
                <w:webHidden/>
              </w:rPr>
              <w:fldChar w:fldCharType="begin"/>
            </w:r>
            <w:r>
              <w:rPr>
                <w:webHidden/>
              </w:rPr>
              <w:instrText xml:space="preserve"> PAGEREF _Toc170201513 \h </w:instrText>
            </w:r>
            <w:r>
              <w:rPr>
                <w:webHidden/>
              </w:rPr>
            </w:r>
            <w:r>
              <w:rPr>
                <w:webHidden/>
              </w:rPr>
              <w:fldChar w:fldCharType="separate"/>
            </w:r>
            <w:r w:rsidR="00EE4A95">
              <w:rPr>
                <w:webHidden/>
              </w:rPr>
              <w:t>ii</w:t>
            </w:r>
            <w:r>
              <w:rPr>
                <w:webHidden/>
              </w:rPr>
              <w:fldChar w:fldCharType="end"/>
            </w:r>
          </w:hyperlink>
        </w:p>
        <w:p w14:paraId="336AC8C1" w14:textId="4516A785"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4" w:history="1">
            <w:r w:rsidRPr="001932E5">
              <w:rPr>
                <w:rStyle w:val="Hyperlink"/>
              </w:rPr>
              <w:t>About this inquiry</w:t>
            </w:r>
            <w:r>
              <w:rPr>
                <w:webHidden/>
              </w:rPr>
              <w:tab/>
            </w:r>
            <w:r>
              <w:rPr>
                <w:webHidden/>
              </w:rPr>
              <w:fldChar w:fldCharType="begin"/>
            </w:r>
            <w:r>
              <w:rPr>
                <w:webHidden/>
              </w:rPr>
              <w:instrText xml:space="preserve"> PAGEREF _Toc170201514 \h </w:instrText>
            </w:r>
            <w:r>
              <w:rPr>
                <w:webHidden/>
              </w:rPr>
            </w:r>
            <w:r>
              <w:rPr>
                <w:webHidden/>
              </w:rPr>
              <w:fldChar w:fldCharType="separate"/>
            </w:r>
            <w:r w:rsidR="00EE4A95">
              <w:rPr>
                <w:webHidden/>
              </w:rPr>
              <w:t>iii</w:t>
            </w:r>
            <w:r>
              <w:rPr>
                <w:webHidden/>
              </w:rPr>
              <w:fldChar w:fldCharType="end"/>
            </w:r>
          </w:hyperlink>
        </w:p>
        <w:p w14:paraId="22A468B6" w14:textId="65CAEB2C"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5" w:history="1">
            <w:r w:rsidRPr="001932E5">
              <w:rPr>
                <w:rStyle w:val="Hyperlink"/>
              </w:rPr>
              <w:t>Terms of reference</w:t>
            </w:r>
            <w:r>
              <w:rPr>
                <w:webHidden/>
              </w:rPr>
              <w:tab/>
            </w:r>
            <w:r>
              <w:rPr>
                <w:webHidden/>
              </w:rPr>
              <w:fldChar w:fldCharType="begin"/>
            </w:r>
            <w:r>
              <w:rPr>
                <w:webHidden/>
              </w:rPr>
              <w:instrText xml:space="preserve"> PAGEREF _Toc170201515 \h </w:instrText>
            </w:r>
            <w:r>
              <w:rPr>
                <w:webHidden/>
              </w:rPr>
            </w:r>
            <w:r>
              <w:rPr>
                <w:webHidden/>
              </w:rPr>
              <w:fldChar w:fldCharType="separate"/>
            </w:r>
            <w:r w:rsidR="00EE4A95">
              <w:rPr>
                <w:webHidden/>
              </w:rPr>
              <w:t>iii</w:t>
            </w:r>
            <w:r>
              <w:rPr>
                <w:webHidden/>
              </w:rPr>
              <w:fldChar w:fldCharType="end"/>
            </w:r>
          </w:hyperlink>
        </w:p>
        <w:p w14:paraId="1851C45E" w14:textId="6A90DE3D"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6" w:history="1">
            <w:r w:rsidRPr="001932E5">
              <w:rPr>
                <w:rStyle w:val="Hyperlink"/>
              </w:rPr>
              <w:t>Support on problem gambling</w:t>
            </w:r>
            <w:r>
              <w:rPr>
                <w:webHidden/>
              </w:rPr>
              <w:tab/>
            </w:r>
            <w:r>
              <w:rPr>
                <w:webHidden/>
              </w:rPr>
              <w:fldChar w:fldCharType="begin"/>
            </w:r>
            <w:r>
              <w:rPr>
                <w:webHidden/>
              </w:rPr>
              <w:instrText xml:space="preserve"> PAGEREF _Toc170201516 \h </w:instrText>
            </w:r>
            <w:r>
              <w:rPr>
                <w:webHidden/>
              </w:rPr>
            </w:r>
            <w:r>
              <w:rPr>
                <w:webHidden/>
              </w:rPr>
              <w:fldChar w:fldCharType="separate"/>
            </w:r>
            <w:r w:rsidR="00EE4A95">
              <w:rPr>
                <w:webHidden/>
              </w:rPr>
              <w:t>iii</w:t>
            </w:r>
            <w:r>
              <w:rPr>
                <w:webHidden/>
              </w:rPr>
              <w:fldChar w:fldCharType="end"/>
            </w:r>
          </w:hyperlink>
        </w:p>
        <w:p w14:paraId="13E7111C" w14:textId="77EF3F55"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7" w:history="1">
            <w:r w:rsidRPr="001932E5">
              <w:rPr>
                <w:rStyle w:val="Hyperlink"/>
              </w:rPr>
              <w:t>Acronyms &amp; Abbreviations</w:t>
            </w:r>
            <w:r>
              <w:rPr>
                <w:webHidden/>
              </w:rPr>
              <w:tab/>
            </w:r>
            <w:r>
              <w:rPr>
                <w:webHidden/>
              </w:rPr>
              <w:fldChar w:fldCharType="begin"/>
            </w:r>
            <w:r>
              <w:rPr>
                <w:webHidden/>
              </w:rPr>
              <w:instrText xml:space="preserve"> PAGEREF _Toc170201517 \h </w:instrText>
            </w:r>
            <w:r>
              <w:rPr>
                <w:webHidden/>
              </w:rPr>
            </w:r>
            <w:r>
              <w:rPr>
                <w:webHidden/>
              </w:rPr>
              <w:fldChar w:fldCharType="separate"/>
            </w:r>
            <w:r w:rsidR="00EE4A95">
              <w:rPr>
                <w:webHidden/>
              </w:rPr>
              <w:t>vi</w:t>
            </w:r>
            <w:r>
              <w:rPr>
                <w:webHidden/>
              </w:rPr>
              <w:fldChar w:fldCharType="end"/>
            </w:r>
          </w:hyperlink>
        </w:p>
        <w:p w14:paraId="2288132D" w14:textId="113DC9B0"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8" w:history="1">
            <w:r w:rsidRPr="001932E5">
              <w:rPr>
                <w:rStyle w:val="Hyperlink"/>
              </w:rPr>
              <w:t>Recommendations</w:t>
            </w:r>
            <w:r>
              <w:rPr>
                <w:webHidden/>
              </w:rPr>
              <w:tab/>
            </w:r>
            <w:r>
              <w:rPr>
                <w:webHidden/>
              </w:rPr>
              <w:fldChar w:fldCharType="begin"/>
            </w:r>
            <w:r>
              <w:rPr>
                <w:webHidden/>
              </w:rPr>
              <w:instrText xml:space="preserve"> PAGEREF _Toc170201518 \h </w:instrText>
            </w:r>
            <w:r>
              <w:rPr>
                <w:webHidden/>
              </w:rPr>
            </w:r>
            <w:r>
              <w:rPr>
                <w:webHidden/>
              </w:rPr>
              <w:fldChar w:fldCharType="separate"/>
            </w:r>
            <w:r w:rsidR="00EE4A95">
              <w:rPr>
                <w:webHidden/>
              </w:rPr>
              <w:t>vii</w:t>
            </w:r>
            <w:r>
              <w:rPr>
                <w:webHidden/>
              </w:rPr>
              <w:fldChar w:fldCharType="end"/>
            </w:r>
          </w:hyperlink>
        </w:p>
        <w:p w14:paraId="59545B12" w14:textId="65E56B33"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19" w:history="1">
            <w:r w:rsidRPr="001932E5">
              <w:rPr>
                <w:rStyle w:val="Hyperlink"/>
              </w:rPr>
              <w:t>1.</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Conduct of the Inquiry</w:t>
            </w:r>
            <w:r>
              <w:rPr>
                <w:webHidden/>
              </w:rPr>
              <w:tab/>
            </w:r>
            <w:r>
              <w:rPr>
                <w:webHidden/>
              </w:rPr>
              <w:fldChar w:fldCharType="begin"/>
            </w:r>
            <w:r>
              <w:rPr>
                <w:webHidden/>
              </w:rPr>
              <w:instrText xml:space="preserve"> PAGEREF _Toc170201519 \h </w:instrText>
            </w:r>
            <w:r>
              <w:rPr>
                <w:webHidden/>
              </w:rPr>
            </w:r>
            <w:r>
              <w:rPr>
                <w:webHidden/>
              </w:rPr>
              <w:fldChar w:fldCharType="separate"/>
            </w:r>
            <w:r w:rsidR="00EE4A95">
              <w:rPr>
                <w:webHidden/>
              </w:rPr>
              <w:t>1</w:t>
            </w:r>
            <w:r>
              <w:rPr>
                <w:webHidden/>
              </w:rPr>
              <w:fldChar w:fldCharType="end"/>
            </w:r>
          </w:hyperlink>
        </w:p>
        <w:p w14:paraId="1436A473" w14:textId="35CD6960"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20" w:history="1">
            <w:r w:rsidRPr="001932E5">
              <w:rPr>
                <w:rStyle w:val="Hyperlink"/>
              </w:rPr>
              <w:t>2.</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Existing gaming policy in the ACT</w:t>
            </w:r>
            <w:r>
              <w:rPr>
                <w:webHidden/>
              </w:rPr>
              <w:tab/>
            </w:r>
            <w:r>
              <w:rPr>
                <w:webHidden/>
              </w:rPr>
              <w:fldChar w:fldCharType="begin"/>
            </w:r>
            <w:r>
              <w:rPr>
                <w:webHidden/>
              </w:rPr>
              <w:instrText xml:space="preserve"> PAGEREF _Toc170201520 \h </w:instrText>
            </w:r>
            <w:r>
              <w:rPr>
                <w:webHidden/>
              </w:rPr>
            </w:r>
            <w:r>
              <w:rPr>
                <w:webHidden/>
              </w:rPr>
              <w:fldChar w:fldCharType="separate"/>
            </w:r>
            <w:r w:rsidR="00EE4A95">
              <w:rPr>
                <w:webHidden/>
              </w:rPr>
              <w:t>2</w:t>
            </w:r>
            <w:r>
              <w:rPr>
                <w:webHidden/>
              </w:rPr>
              <w:fldChar w:fldCharType="end"/>
            </w:r>
          </w:hyperlink>
        </w:p>
        <w:p w14:paraId="0F4F7A44" w14:textId="3C0C0C48" w:rsidR="00E12DD3" w:rsidRDefault="00E12DD3">
          <w:pPr>
            <w:pStyle w:val="TOC2"/>
            <w:rPr>
              <w:rFonts w:eastAsiaTheme="minorEastAsia"/>
              <w:kern w:val="2"/>
              <w:lang w:eastAsia="en-AU"/>
              <w14:ligatures w14:val="standardContextual"/>
            </w:rPr>
          </w:pPr>
          <w:hyperlink w:anchor="_Toc170201521" w:history="1">
            <w:r w:rsidRPr="001932E5">
              <w:rPr>
                <w:rStyle w:val="Hyperlink"/>
              </w:rPr>
              <w:t>Strategy for gambling harm prevention</w:t>
            </w:r>
            <w:r>
              <w:rPr>
                <w:webHidden/>
              </w:rPr>
              <w:tab/>
            </w:r>
            <w:r>
              <w:rPr>
                <w:webHidden/>
              </w:rPr>
              <w:fldChar w:fldCharType="begin"/>
            </w:r>
            <w:r>
              <w:rPr>
                <w:webHidden/>
              </w:rPr>
              <w:instrText xml:space="preserve"> PAGEREF _Toc170201521 \h </w:instrText>
            </w:r>
            <w:r>
              <w:rPr>
                <w:webHidden/>
              </w:rPr>
            </w:r>
            <w:r>
              <w:rPr>
                <w:webHidden/>
              </w:rPr>
              <w:fldChar w:fldCharType="separate"/>
            </w:r>
            <w:r w:rsidR="00EE4A95">
              <w:rPr>
                <w:webHidden/>
              </w:rPr>
              <w:t>2</w:t>
            </w:r>
            <w:r>
              <w:rPr>
                <w:webHidden/>
              </w:rPr>
              <w:fldChar w:fldCharType="end"/>
            </w:r>
          </w:hyperlink>
        </w:p>
        <w:p w14:paraId="771235CD" w14:textId="7133237D" w:rsidR="00E12DD3" w:rsidRDefault="00E12DD3">
          <w:pPr>
            <w:pStyle w:val="TOC2"/>
            <w:rPr>
              <w:rFonts w:eastAsiaTheme="minorEastAsia"/>
              <w:kern w:val="2"/>
              <w:lang w:eastAsia="en-AU"/>
              <w14:ligatures w14:val="standardContextual"/>
            </w:rPr>
          </w:pPr>
          <w:hyperlink w:anchor="_Toc170201522" w:history="1">
            <w:r w:rsidRPr="001932E5">
              <w:rPr>
                <w:rStyle w:val="Hyperlink"/>
              </w:rPr>
              <w:t>Parliamentary and Governing Agreement</w:t>
            </w:r>
            <w:r>
              <w:rPr>
                <w:webHidden/>
              </w:rPr>
              <w:tab/>
            </w:r>
            <w:r>
              <w:rPr>
                <w:webHidden/>
              </w:rPr>
              <w:fldChar w:fldCharType="begin"/>
            </w:r>
            <w:r>
              <w:rPr>
                <w:webHidden/>
              </w:rPr>
              <w:instrText xml:space="preserve"> PAGEREF _Toc170201522 \h </w:instrText>
            </w:r>
            <w:r>
              <w:rPr>
                <w:webHidden/>
              </w:rPr>
            </w:r>
            <w:r>
              <w:rPr>
                <w:webHidden/>
              </w:rPr>
              <w:fldChar w:fldCharType="separate"/>
            </w:r>
            <w:r w:rsidR="00EE4A95">
              <w:rPr>
                <w:webHidden/>
              </w:rPr>
              <w:t>2</w:t>
            </w:r>
            <w:r>
              <w:rPr>
                <w:webHidden/>
              </w:rPr>
              <w:fldChar w:fldCharType="end"/>
            </w:r>
          </w:hyperlink>
        </w:p>
        <w:p w14:paraId="10A6F508" w14:textId="6ADADDD0" w:rsidR="00E12DD3" w:rsidRDefault="00E12DD3">
          <w:pPr>
            <w:pStyle w:val="TOC3"/>
            <w:rPr>
              <w:rFonts w:eastAsiaTheme="minorEastAsia"/>
              <w:kern w:val="2"/>
              <w:lang w:eastAsia="en-AU"/>
              <w14:ligatures w14:val="standardContextual"/>
            </w:rPr>
          </w:pPr>
          <w:hyperlink w:anchor="_Toc170201523" w:history="1">
            <w:r w:rsidRPr="001932E5">
              <w:rPr>
                <w:rStyle w:val="Hyperlink"/>
              </w:rPr>
              <w:t>Reductions in electronic gaming machine licences</w:t>
            </w:r>
            <w:r>
              <w:rPr>
                <w:webHidden/>
              </w:rPr>
              <w:tab/>
            </w:r>
            <w:r>
              <w:rPr>
                <w:webHidden/>
              </w:rPr>
              <w:fldChar w:fldCharType="begin"/>
            </w:r>
            <w:r>
              <w:rPr>
                <w:webHidden/>
              </w:rPr>
              <w:instrText xml:space="preserve"> PAGEREF _Toc170201523 \h </w:instrText>
            </w:r>
            <w:r>
              <w:rPr>
                <w:webHidden/>
              </w:rPr>
            </w:r>
            <w:r>
              <w:rPr>
                <w:webHidden/>
              </w:rPr>
              <w:fldChar w:fldCharType="separate"/>
            </w:r>
            <w:r w:rsidR="00EE4A95">
              <w:rPr>
                <w:webHidden/>
              </w:rPr>
              <w:t>3</w:t>
            </w:r>
            <w:r>
              <w:rPr>
                <w:webHidden/>
              </w:rPr>
              <w:fldChar w:fldCharType="end"/>
            </w:r>
          </w:hyperlink>
        </w:p>
        <w:p w14:paraId="7012FB9C" w14:textId="61C72C81" w:rsidR="00E12DD3" w:rsidRDefault="00E12DD3">
          <w:pPr>
            <w:pStyle w:val="TOC3"/>
            <w:rPr>
              <w:rFonts w:eastAsiaTheme="minorEastAsia"/>
              <w:kern w:val="2"/>
              <w:lang w:eastAsia="en-AU"/>
              <w14:ligatures w14:val="standardContextual"/>
            </w:rPr>
          </w:pPr>
          <w:hyperlink w:anchor="_Toc170201524" w:history="1">
            <w:r w:rsidRPr="001932E5">
              <w:rPr>
                <w:rStyle w:val="Hyperlink"/>
              </w:rPr>
              <w:t>$5 bet limits and $100 load-up limits – central monitoring system</w:t>
            </w:r>
            <w:r>
              <w:rPr>
                <w:webHidden/>
              </w:rPr>
              <w:tab/>
            </w:r>
            <w:r>
              <w:rPr>
                <w:webHidden/>
              </w:rPr>
              <w:fldChar w:fldCharType="begin"/>
            </w:r>
            <w:r>
              <w:rPr>
                <w:webHidden/>
              </w:rPr>
              <w:instrText xml:space="preserve"> PAGEREF _Toc170201524 \h </w:instrText>
            </w:r>
            <w:r>
              <w:rPr>
                <w:webHidden/>
              </w:rPr>
            </w:r>
            <w:r>
              <w:rPr>
                <w:webHidden/>
              </w:rPr>
              <w:fldChar w:fldCharType="separate"/>
            </w:r>
            <w:r w:rsidR="00EE4A95">
              <w:rPr>
                <w:webHidden/>
              </w:rPr>
              <w:t>3</w:t>
            </w:r>
            <w:r>
              <w:rPr>
                <w:webHidden/>
              </w:rPr>
              <w:fldChar w:fldCharType="end"/>
            </w:r>
          </w:hyperlink>
        </w:p>
        <w:p w14:paraId="234B895C" w14:textId="640B1039" w:rsidR="00E12DD3" w:rsidRDefault="00E12DD3">
          <w:pPr>
            <w:pStyle w:val="TOC3"/>
            <w:rPr>
              <w:rFonts w:eastAsiaTheme="minorEastAsia"/>
              <w:kern w:val="2"/>
              <w:lang w:eastAsia="en-AU"/>
              <w14:ligatures w14:val="standardContextual"/>
            </w:rPr>
          </w:pPr>
          <w:hyperlink w:anchor="_Toc170201525" w:history="1">
            <w:r w:rsidRPr="001932E5">
              <w:rPr>
                <w:rStyle w:val="Hyperlink"/>
              </w:rPr>
              <w:t>Self exclusion</w:t>
            </w:r>
            <w:r>
              <w:rPr>
                <w:webHidden/>
              </w:rPr>
              <w:tab/>
            </w:r>
            <w:r>
              <w:rPr>
                <w:webHidden/>
              </w:rPr>
              <w:fldChar w:fldCharType="begin"/>
            </w:r>
            <w:r>
              <w:rPr>
                <w:webHidden/>
              </w:rPr>
              <w:instrText xml:space="preserve"> PAGEREF _Toc170201525 \h </w:instrText>
            </w:r>
            <w:r>
              <w:rPr>
                <w:webHidden/>
              </w:rPr>
            </w:r>
            <w:r>
              <w:rPr>
                <w:webHidden/>
              </w:rPr>
              <w:fldChar w:fldCharType="separate"/>
            </w:r>
            <w:r w:rsidR="00EE4A95">
              <w:rPr>
                <w:webHidden/>
              </w:rPr>
              <w:t>4</w:t>
            </w:r>
            <w:r>
              <w:rPr>
                <w:webHidden/>
              </w:rPr>
              <w:fldChar w:fldCharType="end"/>
            </w:r>
          </w:hyperlink>
        </w:p>
        <w:p w14:paraId="23E1414D" w14:textId="466F8E55" w:rsidR="00E12DD3" w:rsidRDefault="00E12DD3">
          <w:pPr>
            <w:pStyle w:val="TOC3"/>
            <w:rPr>
              <w:rFonts w:eastAsiaTheme="minorEastAsia"/>
              <w:kern w:val="2"/>
              <w:lang w:eastAsia="en-AU"/>
              <w14:ligatures w14:val="standardContextual"/>
            </w:rPr>
          </w:pPr>
          <w:hyperlink w:anchor="_Toc170201526" w:history="1">
            <w:r w:rsidRPr="001932E5">
              <w:rPr>
                <w:rStyle w:val="Hyperlink"/>
              </w:rPr>
              <w:t>Assisting clubs to diversify to other income streams</w:t>
            </w:r>
            <w:r>
              <w:rPr>
                <w:webHidden/>
              </w:rPr>
              <w:tab/>
            </w:r>
            <w:r>
              <w:rPr>
                <w:webHidden/>
              </w:rPr>
              <w:fldChar w:fldCharType="begin"/>
            </w:r>
            <w:r>
              <w:rPr>
                <w:webHidden/>
              </w:rPr>
              <w:instrText xml:space="preserve"> PAGEREF _Toc170201526 \h </w:instrText>
            </w:r>
            <w:r>
              <w:rPr>
                <w:webHidden/>
              </w:rPr>
            </w:r>
            <w:r>
              <w:rPr>
                <w:webHidden/>
              </w:rPr>
              <w:fldChar w:fldCharType="separate"/>
            </w:r>
            <w:r w:rsidR="00EE4A95">
              <w:rPr>
                <w:webHidden/>
              </w:rPr>
              <w:t>4</w:t>
            </w:r>
            <w:r>
              <w:rPr>
                <w:webHidden/>
              </w:rPr>
              <w:fldChar w:fldCharType="end"/>
            </w:r>
          </w:hyperlink>
        </w:p>
        <w:p w14:paraId="1392E744" w14:textId="5C12F5C8" w:rsidR="00E12DD3" w:rsidRDefault="00E12DD3">
          <w:pPr>
            <w:pStyle w:val="TOC2"/>
            <w:rPr>
              <w:rFonts w:eastAsiaTheme="minorEastAsia"/>
              <w:kern w:val="2"/>
              <w:lang w:eastAsia="en-AU"/>
              <w14:ligatures w14:val="standardContextual"/>
            </w:rPr>
          </w:pPr>
          <w:hyperlink w:anchor="_Toc170201527" w:history="1">
            <w:r w:rsidRPr="001932E5">
              <w:rPr>
                <w:rStyle w:val="Hyperlink"/>
              </w:rPr>
              <w:t>Other measures in place</w:t>
            </w:r>
            <w:r>
              <w:rPr>
                <w:webHidden/>
              </w:rPr>
              <w:tab/>
            </w:r>
            <w:r>
              <w:rPr>
                <w:webHidden/>
              </w:rPr>
              <w:fldChar w:fldCharType="begin"/>
            </w:r>
            <w:r>
              <w:rPr>
                <w:webHidden/>
              </w:rPr>
              <w:instrText xml:space="preserve"> PAGEREF _Toc170201527 \h </w:instrText>
            </w:r>
            <w:r>
              <w:rPr>
                <w:webHidden/>
              </w:rPr>
            </w:r>
            <w:r>
              <w:rPr>
                <w:webHidden/>
              </w:rPr>
              <w:fldChar w:fldCharType="separate"/>
            </w:r>
            <w:r w:rsidR="00EE4A95">
              <w:rPr>
                <w:webHidden/>
              </w:rPr>
              <w:t>5</w:t>
            </w:r>
            <w:r>
              <w:rPr>
                <w:webHidden/>
              </w:rPr>
              <w:fldChar w:fldCharType="end"/>
            </w:r>
          </w:hyperlink>
        </w:p>
        <w:p w14:paraId="05BEC957" w14:textId="6A07DC05"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28" w:history="1">
            <w:r w:rsidRPr="001932E5">
              <w:rPr>
                <w:rStyle w:val="Hyperlink"/>
              </w:rPr>
              <w:t>3.</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Background to cashless gaming</w:t>
            </w:r>
            <w:r>
              <w:rPr>
                <w:webHidden/>
              </w:rPr>
              <w:tab/>
            </w:r>
            <w:r>
              <w:rPr>
                <w:webHidden/>
              </w:rPr>
              <w:fldChar w:fldCharType="begin"/>
            </w:r>
            <w:r>
              <w:rPr>
                <w:webHidden/>
              </w:rPr>
              <w:instrText xml:space="preserve"> PAGEREF _Toc170201528 \h </w:instrText>
            </w:r>
            <w:r>
              <w:rPr>
                <w:webHidden/>
              </w:rPr>
            </w:r>
            <w:r>
              <w:rPr>
                <w:webHidden/>
              </w:rPr>
              <w:fldChar w:fldCharType="separate"/>
            </w:r>
            <w:r w:rsidR="00EE4A95">
              <w:rPr>
                <w:webHidden/>
              </w:rPr>
              <w:t>6</w:t>
            </w:r>
            <w:r>
              <w:rPr>
                <w:webHidden/>
              </w:rPr>
              <w:fldChar w:fldCharType="end"/>
            </w:r>
          </w:hyperlink>
        </w:p>
        <w:p w14:paraId="033EB379" w14:textId="2B382C96" w:rsidR="00E12DD3" w:rsidRDefault="00E12DD3">
          <w:pPr>
            <w:pStyle w:val="TOC2"/>
            <w:rPr>
              <w:rFonts w:eastAsiaTheme="minorEastAsia"/>
              <w:kern w:val="2"/>
              <w:lang w:eastAsia="en-AU"/>
              <w14:ligatures w14:val="standardContextual"/>
            </w:rPr>
          </w:pPr>
          <w:hyperlink w:anchor="_Toc170201529" w:history="1">
            <w:r w:rsidRPr="001932E5">
              <w:rPr>
                <w:rStyle w:val="Hyperlink"/>
              </w:rPr>
              <w:t>What is cashless gaming</w:t>
            </w:r>
            <w:r>
              <w:rPr>
                <w:webHidden/>
              </w:rPr>
              <w:tab/>
            </w:r>
            <w:r>
              <w:rPr>
                <w:webHidden/>
              </w:rPr>
              <w:fldChar w:fldCharType="begin"/>
            </w:r>
            <w:r>
              <w:rPr>
                <w:webHidden/>
              </w:rPr>
              <w:instrText xml:space="preserve"> PAGEREF _Toc170201529 \h </w:instrText>
            </w:r>
            <w:r>
              <w:rPr>
                <w:webHidden/>
              </w:rPr>
            </w:r>
            <w:r>
              <w:rPr>
                <w:webHidden/>
              </w:rPr>
              <w:fldChar w:fldCharType="separate"/>
            </w:r>
            <w:r w:rsidR="00EE4A95">
              <w:rPr>
                <w:webHidden/>
              </w:rPr>
              <w:t>6</w:t>
            </w:r>
            <w:r>
              <w:rPr>
                <w:webHidden/>
              </w:rPr>
              <w:fldChar w:fldCharType="end"/>
            </w:r>
          </w:hyperlink>
        </w:p>
        <w:p w14:paraId="1777EA86" w14:textId="6C99B11D" w:rsidR="00E12DD3" w:rsidRDefault="00E12DD3">
          <w:pPr>
            <w:pStyle w:val="TOC2"/>
            <w:rPr>
              <w:rFonts w:eastAsiaTheme="minorEastAsia"/>
              <w:kern w:val="2"/>
              <w:lang w:eastAsia="en-AU"/>
              <w14:ligatures w14:val="standardContextual"/>
            </w:rPr>
          </w:pPr>
          <w:hyperlink w:anchor="_Toc170201530" w:history="1">
            <w:r w:rsidRPr="001932E5">
              <w:rPr>
                <w:rStyle w:val="Hyperlink"/>
              </w:rPr>
              <w:t>Matters related to cashless gaming</w:t>
            </w:r>
            <w:r>
              <w:rPr>
                <w:webHidden/>
              </w:rPr>
              <w:tab/>
            </w:r>
            <w:r>
              <w:rPr>
                <w:webHidden/>
              </w:rPr>
              <w:fldChar w:fldCharType="begin"/>
            </w:r>
            <w:r>
              <w:rPr>
                <w:webHidden/>
              </w:rPr>
              <w:instrText xml:space="preserve"> PAGEREF _Toc170201530 \h </w:instrText>
            </w:r>
            <w:r>
              <w:rPr>
                <w:webHidden/>
              </w:rPr>
            </w:r>
            <w:r>
              <w:rPr>
                <w:webHidden/>
              </w:rPr>
              <w:fldChar w:fldCharType="separate"/>
            </w:r>
            <w:r w:rsidR="00EE4A95">
              <w:rPr>
                <w:webHidden/>
              </w:rPr>
              <w:t>6</w:t>
            </w:r>
            <w:r>
              <w:rPr>
                <w:webHidden/>
              </w:rPr>
              <w:fldChar w:fldCharType="end"/>
            </w:r>
          </w:hyperlink>
        </w:p>
        <w:p w14:paraId="6E6CC7AF" w14:textId="4ED0B621" w:rsidR="00E12DD3" w:rsidRDefault="00E12DD3">
          <w:pPr>
            <w:pStyle w:val="TOC3"/>
            <w:rPr>
              <w:rFonts w:eastAsiaTheme="minorEastAsia"/>
              <w:kern w:val="2"/>
              <w:lang w:eastAsia="en-AU"/>
              <w14:ligatures w14:val="standardContextual"/>
            </w:rPr>
          </w:pPr>
          <w:hyperlink w:anchor="_Toc170201531" w:history="1">
            <w:r w:rsidRPr="001932E5">
              <w:rPr>
                <w:rStyle w:val="Hyperlink"/>
              </w:rPr>
              <w:t>Money laundering</w:t>
            </w:r>
            <w:r>
              <w:rPr>
                <w:webHidden/>
              </w:rPr>
              <w:tab/>
            </w:r>
            <w:r>
              <w:rPr>
                <w:webHidden/>
              </w:rPr>
              <w:fldChar w:fldCharType="begin"/>
            </w:r>
            <w:r>
              <w:rPr>
                <w:webHidden/>
              </w:rPr>
              <w:instrText xml:space="preserve"> PAGEREF _Toc170201531 \h </w:instrText>
            </w:r>
            <w:r>
              <w:rPr>
                <w:webHidden/>
              </w:rPr>
            </w:r>
            <w:r>
              <w:rPr>
                <w:webHidden/>
              </w:rPr>
              <w:fldChar w:fldCharType="separate"/>
            </w:r>
            <w:r w:rsidR="00EE4A95">
              <w:rPr>
                <w:webHidden/>
              </w:rPr>
              <w:t>6</w:t>
            </w:r>
            <w:r>
              <w:rPr>
                <w:webHidden/>
              </w:rPr>
              <w:fldChar w:fldCharType="end"/>
            </w:r>
          </w:hyperlink>
        </w:p>
        <w:p w14:paraId="5E356D79" w14:textId="565E630F" w:rsidR="00E12DD3" w:rsidRDefault="00E12DD3">
          <w:pPr>
            <w:pStyle w:val="TOC3"/>
            <w:rPr>
              <w:rFonts w:eastAsiaTheme="minorEastAsia"/>
              <w:kern w:val="2"/>
              <w:lang w:eastAsia="en-AU"/>
              <w14:ligatures w14:val="standardContextual"/>
            </w:rPr>
          </w:pPr>
          <w:hyperlink w:anchor="_Toc170201532" w:history="1">
            <w:r w:rsidRPr="001932E5">
              <w:rPr>
                <w:rStyle w:val="Hyperlink"/>
              </w:rPr>
              <w:t>Reducing gambling harm</w:t>
            </w:r>
            <w:r>
              <w:rPr>
                <w:webHidden/>
              </w:rPr>
              <w:tab/>
            </w:r>
            <w:r>
              <w:rPr>
                <w:webHidden/>
              </w:rPr>
              <w:fldChar w:fldCharType="begin"/>
            </w:r>
            <w:r>
              <w:rPr>
                <w:webHidden/>
              </w:rPr>
              <w:instrText xml:space="preserve"> PAGEREF _Toc170201532 \h </w:instrText>
            </w:r>
            <w:r>
              <w:rPr>
                <w:webHidden/>
              </w:rPr>
            </w:r>
            <w:r>
              <w:rPr>
                <w:webHidden/>
              </w:rPr>
              <w:fldChar w:fldCharType="separate"/>
            </w:r>
            <w:r w:rsidR="00EE4A95">
              <w:rPr>
                <w:webHidden/>
              </w:rPr>
              <w:t>8</w:t>
            </w:r>
            <w:r>
              <w:rPr>
                <w:webHidden/>
              </w:rPr>
              <w:fldChar w:fldCharType="end"/>
            </w:r>
          </w:hyperlink>
        </w:p>
        <w:p w14:paraId="42B5A02F" w14:textId="0A209130" w:rsidR="00E12DD3" w:rsidRDefault="00E12DD3">
          <w:pPr>
            <w:pStyle w:val="TOC3"/>
            <w:rPr>
              <w:rFonts w:eastAsiaTheme="minorEastAsia"/>
              <w:kern w:val="2"/>
              <w:lang w:eastAsia="en-AU"/>
              <w14:ligatures w14:val="standardContextual"/>
            </w:rPr>
          </w:pPr>
          <w:hyperlink w:anchor="_Toc170201533" w:history="1">
            <w:r w:rsidRPr="001932E5">
              <w:rPr>
                <w:rStyle w:val="Hyperlink"/>
              </w:rPr>
              <w:t>Central Monitoring System</w:t>
            </w:r>
            <w:r>
              <w:rPr>
                <w:webHidden/>
              </w:rPr>
              <w:tab/>
            </w:r>
            <w:r>
              <w:rPr>
                <w:webHidden/>
              </w:rPr>
              <w:fldChar w:fldCharType="begin"/>
            </w:r>
            <w:r>
              <w:rPr>
                <w:webHidden/>
              </w:rPr>
              <w:instrText xml:space="preserve"> PAGEREF _Toc170201533 \h </w:instrText>
            </w:r>
            <w:r>
              <w:rPr>
                <w:webHidden/>
              </w:rPr>
            </w:r>
            <w:r>
              <w:rPr>
                <w:webHidden/>
              </w:rPr>
              <w:fldChar w:fldCharType="separate"/>
            </w:r>
            <w:r w:rsidR="00EE4A95">
              <w:rPr>
                <w:webHidden/>
              </w:rPr>
              <w:t>9</w:t>
            </w:r>
            <w:r>
              <w:rPr>
                <w:webHidden/>
              </w:rPr>
              <w:fldChar w:fldCharType="end"/>
            </w:r>
          </w:hyperlink>
        </w:p>
        <w:p w14:paraId="4CCF1420" w14:textId="121D187A" w:rsidR="00E12DD3" w:rsidRDefault="00E12DD3">
          <w:pPr>
            <w:pStyle w:val="TOC3"/>
            <w:rPr>
              <w:rFonts w:eastAsiaTheme="minorEastAsia"/>
              <w:kern w:val="2"/>
              <w:lang w:eastAsia="en-AU"/>
              <w14:ligatures w14:val="standardContextual"/>
            </w:rPr>
          </w:pPr>
          <w:hyperlink w:anchor="_Toc170201534" w:history="1">
            <w:r w:rsidRPr="001932E5">
              <w:rPr>
                <w:rStyle w:val="Hyperlink"/>
              </w:rPr>
              <w:t>Mandatory or optional implementation</w:t>
            </w:r>
            <w:r>
              <w:rPr>
                <w:webHidden/>
              </w:rPr>
              <w:tab/>
            </w:r>
            <w:r>
              <w:rPr>
                <w:webHidden/>
              </w:rPr>
              <w:fldChar w:fldCharType="begin"/>
            </w:r>
            <w:r>
              <w:rPr>
                <w:webHidden/>
              </w:rPr>
              <w:instrText xml:space="preserve"> PAGEREF _Toc170201534 \h </w:instrText>
            </w:r>
            <w:r>
              <w:rPr>
                <w:webHidden/>
              </w:rPr>
            </w:r>
            <w:r>
              <w:rPr>
                <w:webHidden/>
              </w:rPr>
              <w:fldChar w:fldCharType="separate"/>
            </w:r>
            <w:r w:rsidR="00EE4A95">
              <w:rPr>
                <w:webHidden/>
              </w:rPr>
              <w:t>12</w:t>
            </w:r>
            <w:r>
              <w:rPr>
                <w:webHidden/>
              </w:rPr>
              <w:fldChar w:fldCharType="end"/>
            </w:r>
          </w:hyperlink>
        </w:p>
        <w:p w14:paraId="3F43DC6D" w14:textId="2BED9762" w:rsidR="00E12DD3" w:rsidRDefault="00E12DD3">
          <w:pPr>
            <w:pStyle w:val="TOC3"/>
            <w:rPr>
              <w:rFonts w:eastAsiaTheme="minorEastAsia"/>
              <w:kern w:val="2"/>
              <w:lang w:eastAsia="en-AU"/>
              <w14:ligatures w14:val="standardContextual"/>
            </w:rPr>
          </w:pPr>
          <w:hyperlink w:anchor="_Toc170201535" w:history="1">
            <w:r w:rsidRPr="001932E5">
              <w:rPr>
                <w:rStyle w:val="Hyperlink"/>
              </w:rPr>
              <w:t>Cross border issues and other Australian developments</w:t>
            </w:r>
            <w:r>
              <w:rPr>
                <w:webHidden/>
              </w:rPr>
              <w:tab/>
            </w:r>
            <w:r>
              <w:rPr>
                <w:webHidden/>
              </w:rPr>
              <w:fldChar w:fldCharType="begin"/>
            </w:r>
            <w:r>
              <w:rPr>
                <w:webHidden/>
              </w:rPr>
              <w:instrText xml:space="preserve"> PAGEREF _Toc170201535 \h </w:instrText>
            </w:r>
            <w:r>
              <w:rPr>
                <w:webHidden/>
              </w:rPr>
            </w:r>
            <w:r>
              <w:rPr>
                <w:webHidden/>
              </w:rPr>
              <w:fldChar w:fldCharType="separate"/>
            </w:r>
            <w:r w:rsidR="00EE4A95">
              <w:rPr>
                <w:webHidden/>
              </w:rPr>
              <w:t>13</w:t>
            </w:r>
            <w:r>
              <w:rPr>
                <w:webHidden/>
              </w:rPr>
              <w:fldChar w:fldCharType="end"/>
            </w:r>
          </w:hyperlink>
        </w:p>
        <w:p w14:paraId="296C2268" w14:textId="18C32881"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36" w:history="1">
            <w:r w:rsidRPr="001932E5">
              <w:rPr>
                <w:rStyle w:val="Hyperlink"/>
              </w:rPr>
              <w:t>4.</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ACT trial of cashless gaming</w:t>
            </w:r>
            <w:r>
              <w:rPr>
                <w:webHidden/>
              </w:rPr>
              <w:tab/>
            </w:r>
            <w:r>
              <w:rPr>
                <w:webHidden/>
              </w:rPr>
              <w:fldChar w:fldCharType="begin"/>
            </w:r>
            <w:r>
              <w:rPr>
                <w:webHidden/>
              </w:rPr>
              <w:instrText xml:space="preserve"> PAGEREF _Toc170201536 \h </w:instrText>
            </w:r>
            <w:r>
              <w:rPr>
                <w:webHidden/>
              </w:rPr>
            </w:r>
            <w:r>
              <w:rPr>
                <w:webHidden/>
              </w:rPr>
              <w:fldChar w:fldCharType="separate"/>
            </w:r>
            <w:r w:rsidR="00EE4A95">
              <w:rPr>
                <w:webHidden/>
              </w:rPr>
              <w:t>16</w:t>
            </w:r>
            <w:r>
              <w:rPr>
                <w:webHidden/>
              </w:rPr>
              <w:fldChar w:fldCharType="end"/>
            </w:r>
          </w:hyperlink>
        </w:p>
        <w:p w14:paraId="3470BD55" w14:textId="16167B1D" w:rsidR="00E12DD3" w:rsidRDefault="00E12DD3">
          <w:pPr>
            <w:pStyle w:val="TOC2"/>
            <w:rPr>
              <w:rFonts w:eastAsiaTheme="minorEastAsia"/>
              <w:kern w:val="2"/>
              <w:lang w:eastAsia="en-AU"/>
              <w14:ligatures w14:val="standardContextual"/>
            </w:rPr>
          </w:pPr>
          <w:hyperlink w:anchor="_Toc170201537" w:history="1">
            <w:r w:rsidRPr="001932E5">
              <w:rPr>
                <w:rStyle w:val="Hyperlink"/>
              </w:rPr>
              <w:t>Support for an ACT trial of cashless gaming</w:t>
            </w:r>
            <w:r>
              <w:rPr>
                <w:webHidden/>
              </w:rPr>
              <w:tab/>
            </w:r>
            <w:r>
              <w:rPr>
                <w:webHidden/>
              </w:rPr>
              <w:fldChar w:fldCharType="begin"/>
            </w:r>
            <w:r>
              <w:rPr>
                <w:webHidden/>
              </w:rPr>
              <w:instrText xml:space="preserve"> PAGEREF _Toc170201537 \h </w:instrText>
            </w:r>
            <w:r>
              <w:rPr>
                <w:webHidden/>
              </w:rPr>
            </w:r>
            <w:r>
              <w:rPr>
                <w:webHidden/>
              </w:rPr>
              <w:fldChar w:fldCharType="separate"/>
            </w:r>
            <w:r w:rsidR="00EE4A95">
              <w:rPr>
                <w:webHidden/>
              </w:rPr>
              <w:t>16</w:t>
            </w:r>
            <w:r>
              <w:rPr>
                <w:webHidden/>
              </w:rPr>
              <w:fldChar w:fldCharType="end"/>
            </w:r>
          </w:hyperlink>
        </w:p>
        <w:p w14:paraId="641C3FA4" w14:textId="30B52EA5" w:rsidR="00E12DD3" w:rsidRDefault="00E12DD3">
          <w:pPr>
            <w:pStyle w:val="TOC2"/>
            <w:rPr>
              <w:rFonts w:eastAsiaTheme="minorEastAsia"/>
              <w:kern w:val="2"/>
              <w:lang w:eastAsia="en-AU"/>
              <w14:ligatures w14:val="standardContextual"/>
            </w:rPr>
          </w:pPr>
          <w:hyperlink w:anchor="_Toc170201538" w:history="1">
            <w:r w:rsidRPr="001932E5">
              <w:rPr>
                <w:rStyle w:val="Hyperlink"/>
              </w:rPr>
              <w:t>Opposition to an ACT trial of cashless gaming</w:t>
            </w:r>
            <w:r>
              <w:rPr>
                <w:webHidden/>
              </w:rPr>
              <w:tab/>
            </w:r>
            <w:r>
              <w:rPr>
                <w:webHidden/>
              </w:rPr>
              <w:fldChar w:fldCharType="begin"/>
            </w:r>
            <w:r>
              <w:rPr>
                <w:webHidden/>
              </w:rPr>
              <w:instrText xml:space="preserve"> PAGEREF _Toc170201538 \h </w:instrText>
            </w:r>
            <w:r>
              <w:rPr>
                <w:webHidden/>
              </w:rPr>
            </w:r>
            <w:r>
              <w:rPr>
                <w:webHidden/>
              </w:rPr>
              <w:fldChar w:fldCharType="separate"/>
            </w:r>
            <w:r w:rsidR="00EE4A95">
              <w:rPr>
                <w:webHidden/>
              </w:rPr>
              <w:t>16</w:t>
            </w:r>
            <w:r>
              <w:rPr>
                <w:webHidden/>
              </w:rPr>
              <w:fldChar w:fldCharType="end"/>
            </w:r>
          </w:hyperlink>
        </w:p>
        <w:p w14:paraId="2AC267A6" w14:textId="5FC604B9"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39" w:history="1">
            <w:r w:rsidRPr="001932E5">
              <w:rPr>
                <w:rStyle w:val="Hyperlink"/>
              </w:rPr>
              <w:t>5.</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Long term vision for gambling harm reduction in ACT</w:t>
            </w:r>
            <w:r>
              <w:rPr>
                <w:webHidden/>
              </w:rPr>
              <w:tab/>
            </w:r>
            <w:r>
              <w:rPr>
                <w:webHidden/>
              </w:rPr>
              <w:fldChar w:fldCharType="begin"/>
            </w:r>
            <w:r>
              <w:rPr>
                <w:webHidden/>
              </w:rPr>
              <w:instrText xml:space="preserve"> PAGEREF _Toc170201539 \h </w:instrText>
            </w:r>
            <w:r>
              <w:rPr>
                <w:webHidden/>
              </w:rPr>
            </w:r>
            <w:r>
              <w:rPr>
                <w:webHidden/>
              </w:rPr>
              <w:fldChar w:fldCharType="separate"/>
            </w:r>
            <w:r w:rsidR="00EE4A95">
              <w:rPr>
                <w:webHidden/>
              </w:rPr>
              <w:t>19</w:t>
            </w:r>
            <w:r>
              <w:rPr>
                <w:webHidden/>
              </w:rPr>
              <w:fldChar w:fldCharType="end"/>
            </w:r>
          </w:hyperlink>
        </w:p>
        <w:p w14:paraId="7F0F0273" w14:textId="5F139D22" w:rsidR="00E12DD3" w:rsidRDefault="00E12DD3">
          <w:pPr>
            <w:pStyle w:val="TOC2"/>
            <w:rPr>
              <w:rFonts w:eastAsiaTheme="minorEastAsia"/>
              <w:kern w:val="2"/>
              <w:lang w:eastAsia="en-AU"/>
              <w14:ligatures w14:val="standardContextual"/>
            </w:rPr>
          </w:pPr>
          <w:hyperlink w:anchor="_Toc170201540" w:history="1">
            <w:r w:rsidRPr="001932E5">
              <w:rPr>
                <w:rStyle w:val="Hyperlink"/>
              </w:rPr>
              <w:t>ACT Government position on cashless gaming in the ACT</w:t>
            </w:r>
            <w:r>
              <w:rPr>
                <w:webHidden/>
              </w:rPr>
              <w:tab/>
            </w:r>
            <w:r>
              <w:rPr>
                <w:webHidden/>
              </w:rPr>
              <w:fldChar w:fldCharType="begin"/>
            </w:r>
            <w:r>
              <w:rPr>
                <w:webHidden/>
              </w:rPr>
              <w:instrText xml:space="preserve"> PAGEREF _Toc170201540 \h </w:instrText>
            </w:r>
            <w:r>
              <w:rPr>
                <w:webHidden/>
              </w:rPr>
            </w:r>
            <w:r>
              <w:rPr>
                <w:webHidden/>
              </w:rPr>
              <w:fldChar w:fldCharType="separate"/>
            </w:r>
            <w:r w:rsidR="00EE4A95">
              <w:rPr>
                <w:webHidden/>
              </w:rPr>
              <w:t>19</w:t>
            </w:r>
            <w:r>
              <w:rPr>
                <w:webHidden/>
              </w:rPr>
              <w:fldChar w:fldCharType="end"/>
            </w:r>
          </w:hyperlink>
        </w:p>
        <w:p w14:paraId="7DDDE9FD" w14:textId="5F6F917D" w:rsidR="00E12DD3" w:rsidRDefault="00E12DD3">
          <w:pPr>
            <w:pStyle w:val="TOC2"/>
            <w:rPr>
              <w:rFonts w:eastAsiaTheme="minorEastAsia"/>
              <w:kern w:val="2"/>
              <w:lang w:eastAsia="en-AU"/>
              <w14:ligatures w14:val="standardContextual"/>
            </w:rPr>
          </w:pPr>
          <w:hyperlink w:anchor="_Toc170201541" w:history="1">
            <w:r w:rsidRPr="001932E5">
              <w:rPr>
                <w:rStyle w:val="Hyperlink"/>
              </w:rPr>
              <w:t>Developing a long-term vision for reducing gambling harm</w:t>
            </w:r>
            <w:r>
              <w:rPr>
                <w:webHidden/>
              </w:rPr>
              <w:tab/>
            </w:r>
            <w:r>
              <w:rPr>
                <w:webHidden/>
              </w:rPr>
              <w:fldChar w:fldCharType="begin"/>
            </w:r>
            <w:r>
              <w:rPr>
                <w:webHidden/>
              </w:rPr>
              <w:instrText xml:space="preserve"> PAGEREF _Toc170201541 \h </w:instrText>
            </w:r>
            <w:r>
              <w:rPr>
                <w:webHidden/>
              </w:rPr>
            </w:r>
            <w:r>
              <w:rPr>
                <w:webHidden/>
              </w:rPr>
              <w:fldChar w:fldCharType="separate"/>
            </w:r>
            <w:r w:rsidR="00EE4A95">
              <w:rPr>
                <w:webHidden/>
              </w:rPr>
              <w:t>19</w:t>
            </w:r>
            <w:r>
              <w:rPr>
                <w:webHidden/>
              </w:rPr>
              <w:fldChar w:fldCharType="end"/>
            </w:r>
          </w:hyperlink>
        </w:p>
        <w:p w14:paraId="4566849F" w14:textId="22675682" w:rsidR="00E12DD3" w:rsidRDefault="00E12DD3">
          <w:pPr>
            <w:pStyle w:val="TOC2"/>
            <w:rPr>
              <w:rFonts w:eastAsiaTheme="minorEastAsia"/>
              <w:kern w:val="2"/>
              <w:lang w:eastAsia="en-AU"/>
              <w14:ligatures w14:val="standardContextual"/>
            </w:rPr>
          </w:pPr>
          <w:hyperlink w:anchor="_Toc170201542" w:history="1">
            <w:r w:rsidRPr="001932E5">
              <w:rPr>
                <w:rStyle w:val="Hyperlink"/>
              </w:rPr>
              <w:t>Technology developments</w:t>
            </w:r>
            <w:r>
              <w:rPr>
                <w:webHidden/>
              </w:rPr>
              <w:tab/>
            </w:r>
            <w:r>
              <w:rPr>
                <w:webHidden/>
              </w:rPr>
              <w:fldChar w:fldCharType="begin"/>
            </w:r>
            <w:r>
              <w:rPr>
                <w:webHidden/>
              </w:rPr>
              <w:instrText xml:space="preserve"> PAGEREF _Toc170201542 \h </w:instrText>
            </w:r>
            <w:r>
              <w:rPr>
                <w:webHidden/>
              </w:rPr>
            </w:r>
            <w:r>
              <w:rPr>
                <w:webHidden/>
              </w:rPr>
              <w:fldChar w:fldCharType="separate"/>
            </w:r>
            <w:r w:rsidR="00EE4A95">
              <w:rPr>
                <w:webHidden/>
              </w:rPr>
              <w:t>21</w:t>
            </w:r>
            <w:r>
              <w:rPr>
                <w:webHidden/>
              </w:rPr>
              <w:fldChar w:fldCharType="end"/>
            </w:r>
          </w:hyperlink>
        </w:p>
        <w:p w14:paraId="08FAAF64" w14:textId="382F9A51" w:rsidR="00E12DD3" w:rsidRDefault="00E12DD3">
          <w:pPr>
            <w:pStyle w:val="TOC2"/>
            <w:rPr>
              <w:rFonts w:eastAsiaTheme="minorEastAsia"/>
              <w:kern w:val="2"/>
              <w:lang w:eastAsia="en-AU"/>
              <w14:ligatures w14:val="standardContextual"/>
            </w:rPr>
          </w:pPr>
          <w:hyperlink w:anchor="_Toc170201543" w:history="1">
            <w:r w:rsidRPr="001932E5">
              <w:rPr>
                <w:rStyle w:val="Hyperlink"/>
              </w:rPr>
              <w:t>Data and privacy</w:t>
            </w:r>
            <w:r>
              <w:rPr>
                <w:webHidden/>
              </w:rPr>
              <w:tab/>
            </w:r>
            <w:r>
              <w:rPr>
                <w:webHidden/>
              </w:rPr>
              <w:fldChar w:fldCharType="begin"/>
            </w:r>
            <w:r>
              <w:rPr>
                <w:webHidden/>
              </w:rPr>
              <w:instrText xml:space="preserve"> PAGEREF _Toc170201543 \h </w:instrText>
            </w:r>
            <w:r>
              <w:rPr>
                <w:webHidden/>
              </w:rPr>
            </w:r>
            <w:r>
              <w:rPr>
                <w:webHidden/>
              </w:rPr>
              <w:fldChar w:fldCharType="separate"/>
            </w:r>
            <w:r w:rsidR="00EE4A95">
              <w:rPr>
                <w:webHidden/>
              </w:rPr>
              <w:t>22</w:t>
            </w:r>
            <w:r>
              <w:rPr>
                <w:webHidden/>
              </w:rPr>
              <w:fldChar w:fldCharType="end"/>
            </w:r>
          </w:hyperlink>
        </w:p>
        <w:p w14:paraId="14274AD3" w14:textId="4FC26146" w:rsidR="00E12DD3" w:rsidRDefault="00E12DD3">
          <w:pPr>
            <w:pStyle w:val="TOC3"/>
            <w:rPr>
              <w:rFonts w:eastAsiaTheme="minorEastAsia"/>
              <w:kern w:val="2"/>
              <w:lang w:eastAsia="en-AU"/>
              <w14:ligatures w14:val="standardContextual"/>
            </w:rPr>
          </w:pPr>
          <w:hyperlink w:anchor="_Toc170201544" w:history="1">
            <w:r w:rsidRPr="001932E5">
              <w:rPr>
                <w:rStyle w:val="Hyperlink"/>
              </w:rPr>
              <w:t>Facial recognition technology</w:t>
            </w:r>
            <w:r>
              <w:rPr>
                <w:webHidden/>
              </w:rPr>
              <w:tab/>
            </w:r>
            <w:r>
              <w:rPr>
                <w:webHidden/>
              </w:rPr>
              <w:fldChar w:fldCharType="begin"/>
            </w:r>
            <w:r>
              <w:rPr>
                <w:webHidden/>
              </w:rPr>
              <w:instrText xml:space="preserve"> PAGEREF _Toc170201544 \h </w:instrText>
            </w:r>
            <w:r>
              <w:rPr>
                <w:webHidden/>
              </w:rPr>
            </w:r>
            <w:r>
              <w:rPr>
                <w:webHidden/>
              </w:rPr>
              <w:fldChar w:fldCharType="separate"/>
            </w:r>
            <w:r w:rsidR="00EE4A95">
              <w:rPr>
                <w:webHidden/>
              </w:rPr>
              <w:t>23</w:t>
            </w:r>
            <w:r>
              <w:rPr>
                <w:webHidden/>
              </w:rPr>
              <w:fldChar w:fldCharType="end"/>
            </w:r>
          </w:hyperlink>
        </w:p>
        <w:p w14:paraId="426E3CAC" w14:textId="68F93546"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45" w:history="1">
            <w:r w:rsidRPr="001932E5">
              <w:rPr>
                <w:rStyle w:val="Hyperlink"/>
              </w:rPr>
              <w:t>6.</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Sustainability for clubs</w:t>
            </w:r>
            <w:r>
              <w:rPr>
                <w:webHidden/>
              </w:rPr>
              <w:tab/>
            </w:r>
            <w:r>
              <w:rPr>
                <w:webHidden/>
              </w:rPr>
              <w:fldChar w:fldCharType="begin"/>
            </w:r>
            <w:r>
              <w:rPr>
                <w:webHidden/>
              </w:rPr>
              <w:instrText xml:space="preserve"> PAGEREF _Toc170201545 \h </w:instrText>
            </w:r>
            <w:r>
              <w:rPr>
                <w:webHidden/>
              </w:rPr>
            </w:r>
            <w:r>
              <w:rPr>
                <w:webHidden/>
              </w:rPr>
              <w:fldChar w:fldCharType="separate"/>
            </w:r>
            <w:r w:rsidR="00EE4A95">
              <w:rPr>
                <w:webHidden/>
              </w:rPr>
              <w:t>25</w:t>
            </w:r>
            <w:r>
              <w:rPr>
                <w:webHidden/>
              </w:rPr>
              <w:fldChar w:fldCharType="end"/>
            </w:r>
          </w:hyperlink>
        </w:p>
        <w:p w14:paraId="1A1A58EB" w14:textId="5CBA5B90"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46" w:history="1">
            <w:r w:rsidRPr="001932E5">
              <w:rPr>
                <w:rStyle w:val="Hyperlink"/>
              </w:rPr>
              <w:t>7.</w:t>
            </w:r>
            <w:r>
              <w:rPr>
                <w:rFonts w:asciiTheme="minorHAnsi" w:eastAsiaTheme="minorEastAsia" w:hAnsiTheme="minorHAnsi"/>
                <w:b w:val="0"/>
                <w:bCs w:val="0"/>
                <w:color w:val="auto"/>
                <w:w w:val="100"/>
                <w:kern w:val="2"/>
                <w:sz w:val="22"/>
                <w:lang w:eastAsia="en-AU"/>
                <w14:ligatures w14:val="standardContextual"/>
              </w:rPr>
              <w:tab/>
            </w:r>
            <w:r w:rsidRPr="001932E5">
              <w:rPr>
                <w:rStyle w:val="Hyperlink"/>
              </w:rPr>
              <w:t>Conclusion</w:t>
            </w:r>
            <w:r>
              <w:rPr>
                <w:webHidden/>
              </w:rPr>
              <w:tab/>
            </w:r>
            <w:r>
              <w:rPr>
                <w:webHidden/>
              </w:rPr>
              <w:fldChar w:fldCharType="begin"/>
            </w:r>
            <w:r>
              <w:rPr>
                <w:webHidden/>
              </w:rPr>
              <w:instrText xml:space="preserve"> PAGEREF _Toc170201546 \h </w:instrText>
            </w:r>
            <w:r>
              <w:rPr>
                <w:webHidden/>
              </w:rPr>
            </w:r>
            <w:r>
              <w:rPr>
                <w:webHidden/>
              </w:rPr>
              <w:fldChar w:fldCharType="separate"/>
            </w:r>
            <w:r w:rsidR="00EE4A95">
              <w:rPr>
                <w:webHidden/>
              </w:rPr>
              <w:t>27</w:t>
            </w:r>
            <w:r>
              <w:rPr>
                <w:webHidden/>
              </w:rPr>
              <w:fldChar w:fldCharType="end"/>
            </w:r>
          </w:hyperlink>
        </w:p>
        <w:p w14:paraId="7FD1FF51" w14:textId="5F62A50F"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47" w:history="1">
            <w:r w:rsidRPr="001932E5">
              <w:rPr>
                <w:rStyle w:val="Hyperlink"/>
              </w:rPr>
              <w:t>Appendix A: Submissions</w:t>
            </w:r>
            <w:r>
              <w:rPr>
                <w:webHidden/>
              </w:rPr>
              <w:tab/>
            </w:r>
            <w:r>
              <w:rPr>
                <w:webHidden/>
              </w:rPr>
              <w:fldChar w:fldCharType="begin"/>
            </w:r>
            <w:r>
              <w:rPr>
                <w:webHidden/>
              </w:rPr>
              <w:instrText xml:space="preserve"> PAGEREF _Toc170201547 \h </w:instrText>
            </w:r>
            <w:r>
              <w:rPr>
                <w:webHidden/>
              </w:rPr>
            </w:r>
            <w:r>
              <w:rPr>
                <w:webHidden/>
              </w:rPr>
              <w:fldChar w:fldCharType="separate"/>
            </w:r>
            <w:r w:rsidR="00EE4A95">
              <w:rPr>
                <w:webHidden/>
              </w:rPr>
              <w:t>28</w:t>
            </w:r>
            <w:r>
              <w:rPr>
                <w:webHidden/>
              </w:rPr>
              <w:fldChar w:fldCharType="end"/>
            </w:r>
          </w:hyperlink>
        </w:p>
        <w:p w14:paraId="363CBF5C" w14:textId="00550D25"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48" w:history="1">
            <w:r w:rsidRPr="001932E5">
              <w:rPr>
                <w:rStyle w:val="Hyperlink"/>
              </w:rPr>
              <w:t>Appendix B: Witnesses</w:t>
            </w:r>
            <w:r>
              <w:rPr>
                <w:webHidden/>
              </w:rPr>
              <w:tab/>
            </w:r>
            <w:r>
              <w:rPr>
                <w:webHidden/>
              </w:rPr>
              <w:fldChar w:fldCharType="begin"/>
            </w:r>
            <w:r>
              <w:rPr>
                <w:webHidden/>
              </w:rPr>
              <w:instrText xml:space="preserve"> PAGEREF _Toc170201548 \h </w:instrText>
            </w:r>
            <w:r>
              <w:rPr>
                <w:webHidden/>
              </w:rPr>
            </w:r>
            <w:r>
              <w:rPr>
                <w:webHidden/>
              </w:rPr>
              <w:fldChar w:fldCharType="separate"/>
            </w:r>
            <w:r w:rsidR="00EE4A95">
              <w:rPr>
                <w:webHidden/>
              </w:rPr>
              <w:t>29</w:t>
            </w:r>
            <w:r>
              <w:rPr>
                <w:webHidden/>
              </w:rPr>
              <w:fldChar w:fldCharType="end"/>
            </w:r>
          </w:hyperlink>
        </w:p>
        <w:p w14:paraId="53860CDB" w14:textId="672DFAFD" w:rsidR="00E12DD3" w:rsidRDefault="00E12DD3">
          <w:pPr>
            <w:pStyle w:val="TOC2"/>
            <w:rPr>
              <w:rFonts w:eastAsiaTheme="minorEastAsia"/>
              <w:kern w:val="2"/>
              <w:lang w:eastAsia="en-AU"/>
              <w14:ligatures w14:val="standardContextual"/>
            </w:rPr>
          </w:pPr>
          <w:hyperlink w:anchor="_Toc170201549" w:history="1">
            <w:r w:rsidRPr="001932E5">
              <w:rPr>
                <w:rStyle w:val="Hyperlink"/>
              </w:rPr>
              <w:t>Wednesday, 27 March 2024</w:t>
            </w:r>
            <w:r>
              <w:rPr>
                <w:webHidden/>
              </w:rPr>
              <w:tab/>
            </w:r>
            <w:r>
              <w:rPr>
                <w:webHidden/>
              </w:rPr>
              <w:fldChar w:fldCharType="begin"/>
            </w:r>
            <w:r>
              <w:rPr>
                <w:webHidden/>
              </w:rPr>
              <w:instrText xml:space="preserve"> PAGEREF _Toc170201549 \h </w:instrText>
            </w:r>
            <w:r>
              <w:rPr>
                <w:webHidden/>
              </w:rPr>
            </w:r>
            <w:r>
              <w:rPr>
                <w:webHidden/>
              </w:rPr>
              <w:fldChar w:fldCharType="separate"/>
            </w:r>
            <w:r w:rsidR="00EE4A95">
              <w:rPr>
                <w:webHidden/>
              </w:rPr>
              <w:t>29</w:t>
            </w:r>
            <w:r>
              <w:rPr>
                <w:webHidden/>
              </w:rPr>
              <w:fldChar w:fldCharType="end"/>
            </w:r>
          </w:hyperlink>
        </w:p>
        <w:p w14:paraId="58A7FEA1" w14:textId="0511808F"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50" w:history="1">
            <w:r w:rsidRPr="001932E5">
              <w:rPr>
                <w:rStyle w:val="Hyperlink"/>
              </w:rPr>
              <w:t>Appendix C: Questions on Notice and Questions Taken on Notice</w:t>
            </w:r>
            <w:r>
              <w:rPr>
                <w:webHidden/>
              </w:rPr>
              <w:tab/>
            </w:r>
            <w:r>
              <w:rPr>
                <w:webHidden/>
              </w:rPr>
              <w:fldChar w:fldCharType="begin"/>
            </w:r>
            <w:r>
              <w:rPr>
                <w:webHidden/>
              </w:rPr>
              <w:instrText xml:space="preserve"> PAGEREF _Toc170201550 \h </w:instrText>
            </w:r>
            <w:r>
              <w:rPr>
                <w:webHidden/>
              </w:rPr>
            </w:r>
            <w:r>
              <w:rPr>
                <w:webHidden/>
              </w:rPr>
              <w:fldChar w:fldCharType="separate"/>
            </w:r>
            <w:r w:rsidR="00EE4A95">
              <w:rPr>
                <w:webHidden/>
              </w:rPr>
              <w:t>31</w:t>
            </w:r>
            <w:r>
              <w:rPr>
                <w:webHidden/>
              </w:rPr>
              <w:fldChar w:fldCharType="end"/>
            </w:r>
          </w:hyperlink>
        </w:p>
        <w:p w14:paraId="3FE054DC" w14:textId="6B3F7FF1" w:rsidR="00E12DD3" w:rsidRDefault="00E12DD3">
          <w:pPr>
            <w:pStyle w:val="TOC2"/>
            <w:rPr>
              <w:rFonts w:eastAsiaTheme="minorEastAsia"/>
              <w:kern w:val="2"/>
              <w:lang w:eastAsia="en-AU"/>
              <w14:ligatures w14:val="standardContextual"/>
            </w:rPr>
          </w:pPr>
          <w:hyperlink w:anchor="_Toc170201551" w:history="1">
            <w:r w:rsidRPr="001932E5">
              <w:rPr>
                <w:rStyle w:val="Hyperlink"/>
              </w:rPr>
              <w:t>Questions on Notice</w:t>
            </w:r>
            <w:r>
              <w:rPr>
                <w:webHidden/>
              </w:rPr>
              <w:tab/>
            </w:r>
            <w:r>
              <w:rPr>
                <w:webHidden/>
              </w:rPr>
              <w:fldChar w:fldCharType="begin"/>
            </w:r>
            <w:r>
              <w:rPr>
                <w:webHidden/>
              </w:rPr>
              <w:instrText xml:space="preserve"> PAGEREF _Toc170201551 \h </w:instrText>
            </w:r>
            <w:r>
              <w:rPr>
                <w:webHidden/>
              </w:rPr>
            </w:r>
            <w:r>
              <w:rPr>
                <w:webHidden/>
              </w:rPr>
              <w:fldChar w:fldCharType="separate"/>
            </w:r>
            <w:r w:rsidR="00EE4A95">
              <w:rPr>
                <w:webHidden/>
              </w:rPr>
              <w:t>31</w:t>
            </w:r>
            <w:r>
              <w:rPr>
                <w:webHidden/>
              </w:rPr>
              <w:fldChar w:fldCharType="end"/>
            </w:r>
          </w:hyperlink>
        </w:p>
        <w:p w14:paraId="1C2444C1" w14:textId="1CCA7F6A" w:rsidR="00E12DD3" w:rsidRDefault="00E12DD3">
          <w:pPr>
            <w:pStyle w:val="TOC2"/>
            <w:rPr>
              <w:rFonts w:eastAsiaTheme="minorEastAsia"/>
              <w:kern w:val="2"/>
              <w:lang w:eastAsia="en-AU"/>
              <w14:ligatures w14:val="standardContextual"/>
            </w:rPr>
          </w:pPr>
          <w:hyperlink w:anchor="_Toc170201552" w:history="1">
            <w:r w:rsidRPr="001932E5">
              <w:rPr>
                <w:rStyle w:val="Hyperlink"/>
              </w:rPr>
              <w:t>Questions Taken on Notice</w:t>
            </w:r>
            <w:r>
              <w:rPr>
                <w:webHidden/>
              </w:rPr>
              <w:tab/>
            </w:r>
            <w:r>
              <w:rPr>
                <w:webHidden/>
              </w:rPr>
              <w:fldChar w:fldCharType="begin"/>
            </w:r>
            <w:r>
              <w:rPr>
                <w:webHidden/>
              </w:rPr>
              <w:instrText xml:space="preserve"> PAGEREF _Toc170201552 \h </w:instrText>
            </w:r>
            <w:r>
              <w:rPr>
                <w:webHidden/>
              </w:rPr>
            </w:r>
            <w:r>
              <w:rPr>
                <w:webHidden/>
              </w:rPr>
              <w:fldChar w:fldCharType="separate"/>
            </w:r>
            <w:r w:rsidR="00EE4A95">
              <w:rPr>
                <w:webHidden/>
              </w:rPr>
              <w:t>31</w:t>
            </w:r>
            <w:r>
              <w:rPr>
                <w:webHidden/>
              </w:rPr>
              <w:fldChar w:fldCharType="end"/>
            </w:r>
          </w:hyperlink>
        </w:p>
        <w:p w14:paraId="366E68DF" w14:textId="1119CEB3"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53" w:history="1">
            <w:r w:rsidRPr="001932E5">
              <w:rPr>
                <w:rStyle w:val="Hyperlink"/>
              </w:rPr>
              <w:t>Appendix D: Gender distribution of witnesses</w:t>
            </w:r>
            <w:r>
              <w:rPr>
                <w:webHidden/>
              </w:rPr>
              <w:tab/>
            </w:r>
            <w:r>
              <w:rPr>
                <w:webHidden/>
              </w:rPr>
              <w:fldChar w:fldCharType="begin"/>
            </w:r>
            <w:r>
              <w:rPr>
                <w:webHidden/>
              </w:rPr>
              <w:instrText xml:space="preserve"> PAGEREF _Toc170201553 \h </w:instrText>
            </w:r>
            <w:r>
              <w:rPr>
                <w:webHidden/>
              </w:rPr>
            </w:r>
            <w:r>
              <w:rPr>
                <w:webHidden/>
              </w:rPr>
              <w:fldChar w:fldCharType="separate"/>
            </w:r>
            <w:r w:rsidR="00EE4A95">
              <w:rPr>
                <w:webHidden/>
              </w:rPr>
              <w:t>32</w:t>
            </w:r>
            <w:r>
              <w:rPr>
                <w:webHidden/>
              </w:rPr>
              <w:fldChar w:fldCharType="end"/>
            </w:r>
          </w:hyperlink>
        </w:p>
        <w:p w14:paraId="44B9F4CC" w14:textId="0661A861"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54" w:history="1">
            <w:r w:rsidRPr="001932E5">
              <w:rPr>
                <w:rStyle w:val="Hyperlink"/>
              </w:rPr>
              <w:t>Appendix E: Dissenting report – Mr Peter Cain MLA</w:t>
            </w:r>
            <w:r>
              <w:rPr>
                <w:webHidden/>
              </w:rPr>
              <w:tab/>
            </w:r>
            <w:r>
              <w:rPr>
                <w:webHidden/>
              </w:rPr>
              <w:fldChar w:fldCharType="begin"/>
            </w:r>
            <w:r>
              <w:rPr>
                <w:webHidden/>
              </w:rPr>
              <w:instrText xml:space="preserve"> PAGEREF _Toc170201554 \h </w:instrText>
            </w:r>
            <w:r>
              <w:rPr>
                <w:webHidden/>
              </w:rPr>
            </w:r>
            <w:r>
              <w:rPr>
                <w:webHidden/>
              </w:rPr>
              <w:fldChar w:fldCharType="separate"/>
            </w:r>
            <w:r w:rsidR="00EE4A95">
              <w:rPr>
                <w:webHidden/>
              </w:rPr>
              <w:t>33</w:t>
            </w:r>
            <w:r>
              <w:rPr>
                <w:webHidden/>
              </w:rPr>
              <w:fldChar w:fldCharType="end"/>
            </w:r>
          </w:hyperlink>
        </w:p>
        <w:p w14:paraId="2CF12262" w14:textId="727BF438" w:rsidR="00E12DD3" w:rsidRDefault="00E12DD3">
          <w:pPr>
            <w:pStyle w:val="TOC1"/>
            <w:rPr>
              <w:rFonts w:asciiTheme="minorHAnsi" w:eastAsiaTheme="minorEastAsia" w:hAnsiTheme="minorHAnsi"/>
              <w:b w:val="0"/>
              <w:bCs w:val="0"/>
              <w:color w:val="auto"/>
              <w:w w:val="100"/>
              <w:kern w:val="2"/>
              <w:sz w:val="22"/>
              <w:lang w:eastAsia="en-AU"/>
              <w14:ligatures w14:val="standardContextual"/>
            </w:rPr>
          </w:pPr>
          <w:hyperlink w:anchor="_Toc170201555" w:history="1">
            <w:r w:rsidRPr="001932E5">
              <w:rPr>
                <w:rStyle w:val="Hyperlink"/>
              </w:rPr>
              <w:t>Appendix F: Additional Comments – Mr Andrew Braddock MLA</w:t>
            </w:r>
            <w:r>
              <w:rPr>
                <w:webHidden/>
              </w:rPr>
              <w:tab/>
            </w:r>
            <w:r>
              <w:rPr>
                <w:webHidden/>
              </w:rPr>
              <w:fldChar w:fldCharType="begin"/>
            </w:r>
            <w:r>
              <w:rPr>
                <w:webHidden/>
              </w:rPr>
              <w:instrText xml:space="preserve"> PAGEREF _Toc170201555 \h </w:instrText>
            </w:r>
            <w:r>
              <w:rPr>
                <w:webHidden/>
              </w:rPr>
            </w:r>
            <w:r>
              <w:rPr>
                <w:webHidden/>
              </w:rPr>
              <w:fldChar w:fldCharType="separate"/>
            </w:r>
            <w:r w:rsidR="00EE4A95">
              <w:rPr>
                <w:webHidden/>
              </w:rPr>
              <w:t>36</w:t>
            </w:r>
            <w:r>
              <w:rPr>
                <w:webHidden/>
              </w:rPr>
              <w:fldChar w:fldCharType="end"/>
            </w:r>
          </w:hyperlink>
        </w:p>
        <w:p w14:paraId="1E1CDF38" w14:textId="39C0CF23"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14" w:name="_Toc79133347"/>
      <w:bookmarkStart w:id="15" w:name="_Hlk79475490"/>
      <w:r>
        <w:br w:type="page"/>
      </w:r>
    </w:p>
    <w:p w14:paraId="1F9FD703" w14:textId="22058E20" w:rsidR="0031628A" w:rsidRDefault="0031628A" w:rsidP="0031628A">
      <w:pPr>
        <w:pStyle w:val="Heading1nonumber"/>
      </w:pPr>
      <w:bookmarkStart w:id="16" w:name="_Toc170201517"/>
      <w:r>
        <w:lastRenderedPageBreak/>
        <w:t>Acronyms</w:t>
      </w:r>
      <w:r w:rsidR="007F0956">
        <w:t xml:space="preserve"> &amp; Abbreviations</w:t>
      </w:r>
      <w:bookmarkEnd w:id="16"/>
    </w:p>
    <w:tbl>
      <w:tblPr>
        <w:tblStyle w:val="Assemblystyletable"/>
        <w:tblW w:w="0" w:type="auto"/>
        <w:tblLook w:val="04A0" w:firstRow="1" w:lastRow="0" w:firstColumn="1" w:lastColumn="0" w:noHBand="0" w:noVBand="1"/>
      </w:tblPr>
      <w:tblGrid>
        <w:gridCol w:w="1843"/>
        <w:gridCol w:w="7183"/>
      </w:tblGrid>
      <w:tr w:rsidR="00151C2E" w14:paraId="7DF0C94D" w14:textId="77777777" w:rsidTr="00C926B1">
        <w:trPr>
          <w:cnfStyle w:val="100000000000" w:firstRow="1" w:lastRow="0" w:firstColumn="0" w:lastColumn="0" w:oddVBand="0" w:evenVBand="0" w:oddHBand="0" w:evenHBand="0" w:firstRowFirstColumn="0" w:firstRowLastColumn="0" w:lastRowFirstColumn="0" w:lastRowLastColumn="0"/>
        </w:trPr>
        <w:tc>
          <w:tcPr>
            <w:tcW w:w="1843" w:type="dxa"/>
          </w:tcPr>
          <w:p w14:paraId="542B4DCF" w14:textId="77777777" w:rsidR="00151C2E" w:rsidRDefault="00151C2E" w:rsidP="00C926B1">
            <w:pPr>
              <w:pStyle w:val="Tableheading"/>
            </w:pPr>
            <w:r>
              <w:t>Acronym</w:t>
            </w:r>
          </w:p>
        </w:tc>
        <w:tc>
          <w:tcPr>
            <w:tcW w:w="7183" w:type="dxa"/>
          </w:tcPr>
          <w:p w14:paraId="1C54D80A" w14:textId="77777777" w:rsidR="00151C2E" w:rsidRDefault="00151C2E" w:rsidP="00C926B1">
            <w:pPr>
              <w:pStyle w:val="Tableheading"/>
            </w:pPr>
            <w:r>
              <w:t>Long form</w:t>
            </w:r>
          </w:p>
        </w:tc>
      </w:tr>
      <w:tr w:rsidR="00151C2E" w14:paraId="5AC794BB"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19678EBA" w14:textId="77777777" w:rsidR="00151C2E" w:rsidRDefault="00151C2E" w:rsidP="00C926B1">
            <w:pPr>
              <w:pStyle w:val="Tablebody"/>
            </w:pPr>
            <w:r>
              <w:t>ABN</w:t>
            </w:r>
          </w:p>
        </w:tc>
        <w:tc>
          <w:tcPr>
            <w:tcW w:w="7183" w:type="dxa"/>
          </w:tcPr>
          <w:p w14:paraId="34DB43DF" w14:textId="77777777" w:rsidR="00151C2E" w:rsidRDefault="00151C2E" w:rsidP="00C926B1">
            <w:pPr>
              <w:pStyle w:val="Tablebody"/>
            </w:pPr>
            <w:r>
              <w:t>Australian Business Number</w:t>
            </w:r>
          </w:p>
        </w:tc>
      </w:tr>
      <w:tr w:rsidR="00151C2E" w14:paraId="0131D399"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35A1B827" w14:textId="77777777" w:rsidR="00151C2E" w:rsidRDefault="00151C2E" w:rsidP="00C926B1">
            <w:pPr>
              <w:pStyle w:val="Tablebody"/>
            </w:pPr>
            <w:r>
              <w:t>ACT</w:t>
            </w:r>
          </w:p>
        </w:tc>
        <w:tc>
          <w:tcPr>
            <w:tcW w:w="7183" w:type="dxa"/>
          </w:tcPr>
          <w:p w14:paraId="1822916D" w14:textId="77777777" w:rsidR="00151C2E" w:rsidRDefault="00151C2E" w:rsidP="00C926B1">
            <w:pPr>
              <w:pStyle w:val="Tablebody"/>
            </w:pPr>
            <w:r>
              <w:t>Australian Capital Territory</w:t>
            </w:r>
          </w:p>
        </w:tc>
      </w:tr>
      <w:tr w:rsidR="00151C2E" w14:paraId="3B811D7A"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6F8F559E" w14:textId="77777777" w:rsidR="00151C2E" w:rsidRDefault="00151C2E" w:rsidP="00C926B1">
            <w:pPr>
              <w:pStyle w:val="Tablebody"/>
            </w:pPr>
            <w:r>
              <w:t>ACTCOSS</w:t>
            </w:r>
          </w:p>
        </w:tc>
        <w:tc>
          <w:tcPr>
            <w:tcW w:w="7183" w:type="dxa"/>
          </w:tcPr>
          <w:p w14:paraId="68D481B6" w14:textId="77777777" w:rsidR="00151C2E" w:rsidRDefault="00151C2E" w:rsidP="00C926B1">
            <w:pPr>
              <w:pStyle w:val="Tablebody"/>
            </w:pPr>
            <w:r>
              <w:t>Australian Capital Territory Council of Social Services</w:t>
            </w:r>
          </w:p>
        </w:tc>
      </w:tr>
      <w:tr w:rsidR="00D50DEA" w14:paraId="70C90578"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0E607804" w14:textId="0BE242D3" w:rsidR="00D50DEA" w:rsidRDefault="00D50DEA" w:rsidP="00C926B1">
            <w:pPr>
              <w:pStyle w:val="Tablebody"/>
            </w:pPr>
            <w:r>
              <w:t>AI</w:t>
            </w:r>
          </w:p>
        </w:tc>
        <w:tc>
          <w:tcPr>
            <w:tcW w:w="7183" w:type="dxa"/>
          </w:tcPr>
          <w:p w14:paraId="25E8D891" w14:textId="050953B3" w:rsidR="00D50DEA" w:rsidRDefault="00D50DEA" w:rsidP="00C926B1">
            <w:pPr>
              <w:pStyle w:val="Tablebody"/>
            </w:pPr>
            <w:r>
              <w:t>Artificial intelligence</w:t>
            </w:r>
          </w:p>
        </w:tc>
      </w:tr>
      <w:tr w:rsidR="0086394E" w14:paraId="2D33F147"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440CD9E0" w14:textId="79BBFF7A" w:rsidR="0086394E" w:rsidRDefault="0086394E" w:rsidP="00C926B1">
            <w:pPr>
              <w:pStyle w:val="Tablebody"/>
            </w:pPr>
            <w:r>
              <w:t>ALH</w:t>
            </w:r>
          </w:p>
        </w:tc>
        <w:tc>
          <w:tcPr>
            <w:tcW w:w="7183" w:type="dxa"/>
          </w:tcPr>
          <w:p w14:paraId="3C0F2CBC" w14:textId="7C9BE861" w:rsidR="0086394E" w:rsidRDefault="00D50DEA" w:rsidP="00C926B1">
            <w:pPr>
              <w:pStyle w:val="Tablebody"/>
            </w:pPr>
            <w:r>
              <w:t>ALH Group/ ALH Hotels</w:t>
            </w:r>
          </w:p>
        </w:tc>
      </w:tr>
      <w:tr w:rsidR="004B37BC" w14:paraId="1083F209"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497D8932" w14:textId="69A1CB30" w:rsidR="004B37BC" w:rsidRDefault="004B37BC" w:rsidP="00C926B1">
            <w:pPr>
              <w:pStyle w:val="Tablebody"/>
            </w:pPr>
            <w:r>
              <w:t>ANU</w:t>
            </w:r>
          </w:p>
        </w:tc>
        <w:tc>
          <w:tcPr>
            <w:tcW w:w="7183" w:type="dxa"/>
          </w:tcPr>
          <w:p w14:paraId="700525B1" w14:textId="1662D72F" w:rsidR="004B37BC" w:rsidRDefault="004B37BC" w:rsidP="00C926B1">
            <w:pPr>
              <w:pStyle w:val="Tablebody"/>
            </w:pPr>
            <w:r>
              <w:t>Australian National University</w:t>
            </w:r>
          </w:p>
        </w:tc>
      </w:tr>
      <w:tr w:rsidR="007F3C75" w14:paraId="47CFBC2C"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444486BE" w14:textId="495370FF" w:rsidR="007F3C75" w:rsidRDefault="007F3C75" w:rsidP="00C926B1">
            <w:pPr>
              <w:pStyle w:val="Tablebody"/>
            </w:pPr>
            <w:r>
              <w:t>ATM</w:t>
            </w:r>
          </w:p>
        </w:tc>
        <w:tc>
          <w:tcPr>
            <w:tcW w:w="7183" w:type="dxa"/>
          </w:tcPr>
          <w:p w14:paraId="13F20C54" w14:textId="1CE289AB" w:rsidR="007F3C75" w:rsidRDefault="007F3C75" w:rsidP="00C926B1">
            <w:pPr>
              <w:pStyle w:val="Tablebody"/>
            </w:pPr>
            <w:r>
              <w:t>Automatic teller machine</w:t>
            </w:r>
          </w:p>
        </w:tc>
      </w:tr>
      <w:tr w:rsidR="00151C2E" w14:paraId="56A08C63"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63549C8C" w14:textId="77777777" w:rsidR="00151C2E" w:rsidRDefault="00151C2E" w:rsidP="00C926B1">
            <w:pPr>
              <w:pStyle w:val="Tablebody"/>
            </w:pPr>
            <w:r>
              <w:t>CMS</w:t>
            </w:r>
          </w:p>
        </w:tc>
        <w:tc>
          <w:tcPr>
            <w:tcW w:w="7183" w:type="dxa"/>
          </w:tcPr>
          <w:p w14:paraId="40068EC9" w14:textId="696997FD" w:rsidR="00151C2E" w:rsidRDefault="009B397D" w:rsidP="00C926B1">
            <w:pPr>
              <w:pStyle w:val="Tablebody"/>
            </w:pPr>
            <w:r>
              <w:t>central monitoring system</w:t>
            </w:r>
          </w:p>
        </w:tc>
      </w:tr>
      <w:tr w:rsidR="007F3C75" w14:paraId="209CC3DF"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1C491879" w14:textId="0D0E9629" w:rsidR="007F3C75" w:rsidRDefault="007F3C75" w:rsidP="00C926B1">
            <w:pPr>
              <w:pStyle w:val="Tablebody"/>
            </w:pPr>
            <w:r>
              <w:t>COVID</w:t>
            </w:r>
          </w:p>
        </w:tc>
        <w:tc>
          <w:tcPr>
            <w:tcW w:w="7183" w:type="dxa"/>
          </w:tcPr>
          <w:p w14:paraId="3B3CA543" w14:textId="55313882" w:rsidR="007F3C75" w:rsidRDefault="007F3C75" w:rsidP="00C926B1">
            <w:pPr>
              <w:pStyle w:val="Tablebody"/>
            </w:pPr>
            <w:r>
              <w:t>COVID-19, Coronavirus</w:t>
            </w:r>
          </w:p>
        </w:tc>
      </w:tr>
      <w:tr w:rsidR="000463A1" w14:paraId="004007B5"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458F87D8" w14:textId="4275AD40" w:rsidR="000463A1" w:rsidRDefault="000463A1" w:rsidP="00C926B1">
            <w:pPr>
              <w:pStyle w:val="Tablebody"/>
            </w:pPr>
            <w:r>
              <w:t>EGM</w:t>
            </w:r>
          </w:p>
        </w:tc>
        <w:tc>
          <w:tcPr>
            <w:tcW w:w="7183" w:type="dxa"/>
          </w:tcPr>
          <w:p w14:paraId="2E5B5105" w14:textId="36133BAA" w:rsidR="000463A1" w:rsidRDefault="009B397D" w:rsidP="00C926B1">
            <w:pPr>
              <w:pStyle w:val="Tablebody"/>
            </w:pPr>
            <w:r>
              <w:t>electronic gaming machine</w:t>
            </w:r>
          </w:p>
        </w:tc>
      </w:tr>
      <w:tr w:rsidR="007F3C75" w14:paraId="097C6EF3"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52DDBD55" w14:textId="6A55439B" w:rsidR="007F3C75" w:rsidRDefault="007F3C75" w:rsidP="00C926B1">
            <w:pPr>
              <w:pStyle w:val="Tablebody"/>
            </w:pPr>
            <w:r>
              <w:t>EFTPOS</w:t>
            </w:r>
          </w:p>
        </w:tc>
        <w:tc>
          <w:tcPr>
            <w:tcW w:w="7183" w:type="dxa"/>
          </w:tcPr>
          <w:p w14:paraId="1FB54DF5" w14:textId="595E0362" w:rsidR="007F3C75" w:rsidRDefault="007F3C75" w:rsidP="00C926B1">
            <w:pPr>
              <w:pStyle w:val="Tablebody"/>
            </w:pPr>
            <w:r>
              <w:t>Electronic funds transfer at point of sale</w:t>
            </w:r>
          </w:p>
        </w:tc>
      </w:tr>
      <w:tr w:rsidR="008C1048" w14:paraId="3056E32F"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2295116E" w14:textId="12475673" w:rsidR="008C1048" w:rsidRDefault="004B37BC" w:rsidP="00C926B1">
            <w:pPr>
              <w:pStyle w:val="Tablebody"/>
            </w:pPr>
            <w:r>
              <w:t>GTA</w:t>
            </w:r>
          </w:p>
        </w:tc>
        <w:tc>
          <w:tcPr>
            <w:tcW w:w="7183" w:type="dxa"/>
          </w:tcPr>
          <w:p w14:paraId="4BCA70D1" w14:textId="3881D0F7" w:rsidR="008C1048" w:rsidRDefault="004B37BC" w:rsidP="00C926B1">
            <w:pPr>
              <w:pStyle w:val="Tablebody"/>
            </w:pPr>
            <w:r>
              <w:t>Gaming Technologies Association</w:t>
            </w:r>
          </w:p>
        </w:tc>
      </w:tr>
      <w:tr w:rsidR="00151C2E" w14:paraId="19698F35"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683683DC" w14:textId="77777777" w:rsidR="00151C2E" w:rsidRDefault="00151C2E" w:rsidP="00C926B1">
            <w:pPr>
              <w:pStyle w:val="Tablebody"/>
            </w:pPr>
            <w:r>
              <w:t>ID</w:t>
            </w:r>
          </w:p>
        </w:tc>
        <w:tc>
          <w:tcPr>
            <w:tcW w:w="7183" w:type="dxa"/>
          </w:tcPr>
          <w:p w14:paraId="0E6D7D38" w14:textId="77777777" w:rsidR="00151C2E" w:rsidRDefault="00151C2E" w:rsidP="00C926B1">
            <w:pPr>
              <w:pStyle w:val="Tablebody"/>
            </w:pPr>
            <w:r>
              <w:t>identification</w:t>
            </w:r>
          </w:p>
        </w:tc>
      </w:tr>
      <w:tr w:rsidR="0086394E" w14:paraId="6AC5F7AE"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0B5FA183" w14:textId="103070E9" w:rsidR="0086394E" w:rsidRDefault="0086394E" w:rsidP="00C926B1">
            <w:pPr>
              <w:pStyle w:val="Tablebody"/>
            </w:pPr>
            <w:r>
              <w:t>IGT</w:t>
            </w:r>
          </w:p>
        </w:tc>
        <w:tc>
          <w:tcPr>
            <w:tcW w:w="7183" w:type="dxa"/>
          </w:tcPr>
          <w:p w14:paraId="6EC3DB6E" w14:textId="252E2BD0" w:rsidR="0086394E" w:rsidRDefault="0086394E" w:rsidP="00C926B1">
            <w:pPr>
              <w:pStyle w:val="Tablebody"/>
            </w:pPr>
            <w:r>
              <w:t xml:space="preserve">International Gaming Technology PLC </w:t>
            </w:r>
          </w:p>
        </w:tc>
      </w:tr>
      <w:tr w:rsidR="008C1048" w14:paraId="2172F664"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6BF18FDE" w14:textId="4EF085A0" w:rsidR="008C1048" w:rsidRDefault="008C1048" w:rsidP="00C926B1">
            <w:pPr>
              <w:pStyle w:val="Tablebody"/>
            </w:pPr>
            <w:r>
              <w:t>JACS</w:t>
            </w:r>
          </w:p>
        </w:tc>
        <w:tc>
          <w:tcPr>
            <w:tcW w:w="7183" w:type="dxa"/>
          </w:tcPr>
          <w:p w14:paraId="2D2938C0" w14:textId="2D713BD3" w:rsidR="008C1048" w:rsidRDefault="008C1048" w:rsidP="00C926B1">
            <w:pPr>
              <w:pStyle w:val="Tablebody"/>
            </w:pPr>
            <w:r>
              <w:t>Justice and Community Safety</w:t>
            </w:r>
          </w:p>
        </w:tc>
      </w:tr>
      <w:tr w:rsidR="00151C2E" w14:paraId="4032F6A2"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01A7B122" w14:textId="77777777" w:rsidR="00151C2E" w:rsidRDefault="00151C2E" w:rsidP="00C926B1">
            <w:pPr>
              <w:pStyle w:val="Tablebody"/>
            </w:pPr>
            <w:r>
              <w:t>MLA</w:t>
            </w:r>
          </w:p>
        </w:tc>
        <w:tc>
          <w:tcPr>
            <w:tcW w:w="7183" w:type="dxa"/>
          </w:tcPr>
          <w:p w14:paraId="194326C4" w14:textId="77777777" w:rsidR="00151C2E" w:rsidRDefault="00151C2E" w:rsidP="00C926B1">
            <w:pPr>
              <w:pStyle w:val="Tablebody"/>
            </w:pPr>
            <w:r>
              <w:t>Member of the Legislative Assembly</w:t>
            </w:r>
          </w:p>
        </w:tc>
      </w:tr>
      <w:tr w:rsidR="00151C2E" w14:paraId="13AF48B7"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7E2C8A7D" w14:textId="77777777" w:rsidR="00151C2E" w:rsidRDefault="00151C2E" w:rsidP="00C926B1">
            <w:pPr>
              <w:pStyle w:val="Tablebody"/>
            </w:pPr>
            <w:r>
              <w:t>NSW</w:t>
            </w:r>
          </w:p>
        </w:tc>
        <w:tc>
          <w:tcPr>
            <w:tcW w:w="7183" w:type="dxa"/>
          </w:tcPr>
          <w:p w14:paraId="0DC9D9A5" w14:textId="77777777" w:rsidR="00151C2E" w:rsidRDefault="00151C2E" w:rsidP="00C926B1">
            <w:pPr>
              <w:pStyle w:val="Tablebody"/>
            </w:pPr>
            <w:r>
              <w:t>New South Wales</w:t>
            </w:r>
          </w:p>
        </w:tc>
      </w:tr>
      <w:tr w:rsidR="00BC0EF0" w14:paraId="2F816AF9"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6761AEA6" w14:textId="3C94B093" w:rsidR="00BC0EF0" w:rsidRPr="00F66D6E" w:rsidRDefault="00BC0EF0" w:rsidP="00C926B1">
            <w:pPr>
              <w:pStyle w:val="Tablebody"/>
            </w:pPr>
            <w:r>
              <w:t>PAGA</w:t>
            </w:r>
          </w:p>
        </w:tc>
        <w:tc>
          <w:tcPr>
            <w:tcW w:w="7183" w:type="dxa"/>
          </w:tcPr>
          <w:p w14:paraId="297603ED" w14:textId="698EE579" w:rsidR="00BC0EF0" w:rsidRDefault="00BC0EF0" w:rsidP="00C926B1">
            <w:pPr>
              <w:pStyle w:val="Tablebody"/>
            </w:pPr>
            <w:r>
              <w:t>Parliamentary and Governing Agreement</w:t>
            </w:r>
          </w:p>
        </w:tc>
      </w:tr>
      <w:tr w:rsidR="009B397D" w14:paraId="366FB2DE"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16DFDFEB" w14:textId="50E8D156" w:rsidR="009B397D" w:rsidRPr="00F66D6E" w:rsidRDefault="009B397D" w:rsidP="00C926B1">
            <w:pPr>
              <w:pStyle w:val="Tablebody"/>
            </w:pPr>
            <w:proofErr w:type="spellStart"/>
            <w:r>
              <w:t>Pokie</w:t>
            </w:r>
            <w:proofErr w:type="spellEnd"/>
            <w:r>
              <w:t>/Poker machine</w:t>
            </w:r>
          </w:p>
        </w:tc>
        <w:tc>
          <w:tcPr>
            <w:tcW w:w="7183" w:type="dxa"/>
          </w:tcPr>
          <w:p w14:paraId="259DEBE7" w14:textId="2B45E1A0" w:rsidR="009B397D" w:rsidRDefault="009B397D" w:rsidP="00C926B1">
            <w:pPr>
              <w:pStyle w:val="Tablebody"/>
            </w:pPr>
            <w:r>
              <w:t>electronic gaming machine</w:t>
            </w:r>
          </w:p>
        </w:tc>
      </w:tr>
      <w:tr w:rsidR="00D50DEA" w14:paraId="36BAB42A"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7E2ED4F7" w14:textId="0E99283F" w:rsidR="00D50DEA" w:rsidRDefault="00D50DEA" w:rsidP="00C926B1">
            <w:pPr>
              <w:pStyle w:val="Tablebody"/>
            </w:pPr>
            <w:r>
              <w:t>QCOM</w:t>
            </w:r>
          </w:p>
        </w:tc>
        <w:tc>
          <w:tcPr>
            <w:tcW w:w="7183" w:type="dxa"/>
          </w:tcPr>
          <w:p w14:paraId="65ACF187" w14:textId="02B90AC6" w:rsidR="00D50DEA" w:rsidRDefault="00D50DEA" w:rsidP="00C926B1">
            <w:pPr>
              <w:pStyle w:val="Tablebody"/>
            </w:pPr>
            <w:r>
              <w:t>QCOM Protocol – a communications protocol specification used for EGMs</w:t>
            </w:r>
          </w:p>
        </w:tc>
      </w:tr>
      <w:tr w:rsidR="008C1048" w14:paraId="63AA15F1"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5728BA0C" w14:textId="5D341E76" w:rsidR="008C1048" w:rsidRPr="00F66D6E" w:rsidRDefault="008C1048" w:rsidP="00C926B1">
            <w:pPr>
              <w:pStyle w:val="Tablebody"/>
            </w:pPr>
            <w:r>
              <w:t>QON</w:t>
            </w:r>
          </w:p>
        </w:tc>
        <w:tc>
          <w:tcPr>
            <w:tcW w:w="7183" w:type="dxa"/>
          </w:tcPr>
          <w:p w14:paraId="5076410B" w14:textId="61EBF868" w:rsidR="008C1048" w:rsidRDefault="008C1048" w:rsidP="00C926B1">
            <w:pPr>
              <w:pStyle w:val="Tablebody"/>
            </w:pPr>
            <w:r>
              <w:t>Question on notice</w:t>
            </w:r>
          </w:p>
        </w:tc>
      </w:tr>
      <w:tr w:rsidR="008C1048" w14:paraId="4A6A3CA0"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25FDFDAC" w14:textId="1B24646F" w:rsidR="008C1048" w:rsidRPr="00F66D6E" w:rsidRDefault="008C1048" w:rsidP="00C926B1">
            <w:pPr>
              <w:pStyle w:val="Tablebody"/>
            </w:pPr>
            <w:r>
              <w:t>QTON</w:t>
            </w:r>
          </w:p>
        </w:tc>
        <w:tc>
          <w:tcPr>
            <w:tcW w:w="7183" w:type="dxa"/>
          </w:tcPr>
          <w:p w14:paraId="1BF96A28" w14:textId="3DEFABA6" w:rsidR="008C1048" w:rsidRDefault="008C1048" w:rsidP="00C926B1">
            <w:pPr>
              <w:pStyle w:val="Tablebody"/>
            </w:pPr>
            <w:r>
              <w:t>Question taken on notice</w:t>
            </w:r>
          </w:p>
        </w:tc>
      </w:tr>
      <w:tr w:rsidR="00D50DEA" w14:paraId="01AF3EE9"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1EF5014E" w14:textId="03F4D5C7" w:rsidR="00D50DEA" w:rsidRPr="00F66D6E" w:rsidRDefault="00D50DEA" w:rsidP="00C926B1">
            <w:pPr>
              <w:pStyle w:val="Tablebody"/>
            </w:pPr>
            <w:r>
              <w:t>RUC</w:t>
            </w:r>
          </w:p>
        </w:tc>
        <w:tc>
          <w:tcPr>
            <w:tcW w:w="7183" w:type="dxa"/>
          </w:tcPr>
          <w:p w14:paraId="383FC682" w14:textId="1E55B86D" w:rsidR="00D50DEA" w:rsidRDefault="00D50DEA" w:rsidP="00C926B1">
            <w:pPr>
              <w:pStyle w:val="Tablebody"/>
            </w:pPr>
            <w:r>
              <w:t>ACT Rugby Union Club</w:t>
            </w:r>
          </w:p>
        </w:tc>
      </w:tr>
      <w:tr w:rsidR="00151C2E" w14:paraId="7BB870B8"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468549AE" w14:textId="77777777" w:rsidR="00151C2E" w:rsidRPr="00457212" w:rsidRDefault="00151C2E" w:rsidP="00C926B1">
            <w:pPr>
              <w:pStyle w:val="Tablebody"/>
            </w:pPr>
            <w:r w:rsidRPr="00F66D6E">
              <w:t>The Territory</w:t>
            </w:r>
          </w:p>
        </w:tc>
        <w:tc>
          <w:tcPr>
            <w:tcW w:w="7183" w:type="dxa"/>
          </w:tcPr>
          <w:p w14:paraId="026870B5" w14:textId="77777777" w:rsidR="00151C2E" w:rsidRPr="00457212" w:rsidRDefault="00151C2E" w:rsidP="00C926B1">
            <w:pPr>
              <w:pStyle w:val="Tablebody"/>
              <w:rPr>
                <w:i/>
                <w:iCs/>
              </w:rPr>
            </w:pPr>
            <w:r>
              <w:t>The Australian Capital Territory</w:t>
            </w:r>
          </w:p>
        </w:tc>
      </w:tr>
      <w:tr w:rsidR="009B397D" w14:paraId="5E06FA6B" w14:textId="77777777" w:rsidTr="00C926B1">
        <w:trPr>
          <w:cnfStyle w:val="000000100000" w:firstRow="0" w:lastRow="0" w:firstColumn="0" w:lastColumn="0" w:oddVBand="0" w:evenVBand="0" w:oddHBand="1" w:evenHBand="0" w:firstRowFirstColumn="0" w:firstRowLastColumn="0" w:lastRowFirstColumn="0" w:lastRowLastColumn="0"/>
        </w:trPr>
        <w:tc>
          <w:tcPr>
            <w:tcW w:w="1843" w:type="dxa"/>
          </w:tcPr>
          <w:p w14:paraId="35D303D3" w14:textId="7F7462B4" w:rsidR="009B397D" w:rsidRPr="00F66D6E" w:rsidRDefault="00754F3B" w:rsidP="00C926B1">
            <w:pPr>
              <w:pStyle w:val="Tablebody"/>
            </w:pPr>
            <w:r>
              <w:t>TITO</w:t>
            </w:r>
          </w:p>
        </w:tc>
        <w:tc>
          <w:tcPr>
            <w:tcW w:w="7183" w:type="dxa"/>
          </w:tcPr>
          <w:p w14:paraId="7B469675" w14:textId="1D90DB3E" w:rsidR="009B397D" w:rsidRDefault="00754F3B" w:rsidP="00C926B1">
            <w:pPr>
              <w:pStyle w:val="Tablebody"/>
            </w:pPr>
            <w:r>
              <w:t>Ticket in – ticket out</w:t>
            </w:r>
          </w:p>
        </w:tc>
      </w:tr>
      <w:tr w:rsidR="009B397D" w14:paraId="10B0E606" w14:textId="77777777" w:rsidTr="00C926B1">
        <w:trPr>
          <w:cnfStyle w:val="000000010000" w:firstRow="0" w:lastRow="0" w:firstColumn="0" w:lastColumn="0" w:oddVBand="0" w:evenVBand="0" w:oddHBand="0" w:evenHBand="1" w:firstRowFirstColumn="0" w:firstRowLastColumn="0" w:lastRowFirstColumn="0" w:lastRowLastColumn="0"/>
        </w:trPr>
        <w:tc>
          <w:tcPr>
            <w:tcW w:w="1843" w:type="dxa"/>
          </w:tcPr>
          <w:p w14:paraId="2CB2B107" w14:textId="5A6FF6E0" w:rsidR="009B397D" w:rsidRPr="00F66D6E" w:rsidRDefault="00D50DEA" w:rsidP="00C926B1">
            <w:pPr>
              <w:pStyle w:val="Tablebody"/>
            </w:pPr>
            <w:r>
              <w:t>X Series</w:t>
            </w:r>
          </w:p>
        </w:tc>
        <w:tc>
          <w:tcPr>
            <w:tcW w:w="7183" w:type="dxa"/>
          </w:tcPr>
          <w:p w14:paraId="5E3E2226" w14:textId="1F5B45D1" w:rsidR="009B397D" w:rsidRDefault="00D50DEA" w:rsidP="00C926B1">
            <w:pPr>
              <w:pStyle w:val="Tablebody"/>
            </w:pPr>
            <w:r>
              <w:t>A communications protocol specification used for EGMs</w:t>
            </w:r>
          </w:p>
        </w:tc>
      </w:tr>
    </w:tbl>
    <w:p w14:paraId="5CC4E2AD" w14:textId="6F0A88B4" w:rsidR="0031628A" w:rsidRPr="008857F1" w:rsidRDefault="0031628A" w:rsidP="0031628A">
      <w:r>
        <w:br w:type="page"/>
      </w:r>
    </w:p>
    <w:p w14:paraId="4044F508" w14:textId="0C89929A" w:rsidR="007A6EB9" w:rsidRDefault="008D72C9" w:rsidP="009F5A83">
      <w:pPr>
        <w:pStyle w:val="Heading1nonumber"/>
      </w:pPr>
      <w:bookmarkStart w:id="17" w:name="_Toc170201518"/>
      <w:r>
        <w:lastRenderedPageBreak/>
        <w:t>R</w:t>
      </w:r>
      <w:r w:rsidR="007A6EB9" w:rsidRPr="0006752F">
        <w:t>ecommendations</w:t>
      </w:r>
      <w:bookmarkEnd w:id="17"/>
    </w:p>
    <w:p w14:paraId="30BE82E3" w14:textId="62548D86" w:rsidR="003E2744"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67880935" w:history="1">
        <w:r w:rsidR="003E2744" w:rsidRPr="00510EE4">
          <w:rPr>
            <w:rStyle w:val="Hyperlink"/>
          </w:rPr>
          <w:t>Recommendation 1</w:t>
        </w:r>
      </w:hyperlink>
    </w:p>
    <w:p w14:paraId="17B01C81" w14:textId="2F456FB4" w:rsidR="003E2744" w:rsidRDefault="00494622">
      <w:pPr>
        <w:pStyle w:val="TOC2"/>
        <w:rPr>
          <w:rFonts w:eastAsiaTheme="minorEastAsia"/>
          <w:kern w:val="2"/>
          <w:lang w:eastAsia="en-AU"/>
          <w14:ligatures w14:val="standardContextual"/>
        </w:rPr>
      </w:pPr>
      <w:hyperlink w:anchor="_Toc167880936" w:history="1">
        <w:r w:rsidR="003E2744" w:rsidRPr="00510EE4">
          <w:rPr>
            <w:rStyle w:val="Hyperlink"/>
          </w:rPr>
          <w:t>The Committee recommends that the ACT Government articulate a long-term vision for gambling harm reduction in the ACT.</w:t>
        </w:r>
      </w:hyperlink>
    </w:p>
    <w:p w14:paraId="5A4232C4" w14:textId="0F7103FC" w:rsidR="003E2744" w:rsidRDefault="00494622">
      <w:pPr>
        <w:pStyle w:val="TOC1"/>
        <w:rPr>
          <w:rFonts w:asciiTheme="minorHAnsi" w:eastAsiaTheme="minorEastAsia" w:hAnsiTheme="minorHAnsi"/>
          <w:b w:val="0"/>
          <w:bCs w:val="0"/>
          <w:color w:val="auto"/>
          <w:w w:val="100"/>
          <w:kern w:val="2"/>
          <w:sz w:val="22"/>
          <w:lang w:eastAsia="en-AU"/>
          <w14:ligatures w14:val="standardContextual"/>
        </w:rPr>
      </w:pPr>
      <w:hyperlink w:anchor="_Toc167880937" w:history="1">
        <w:r w:rsidR="003E2744" w:rsidRPr="00510EE4">
          <w:rPr>
            <w:rStyle w:val="Hyperlink"/>
          </w:rPr>
          <w:t>Recommendation 2</w:t>
        </w:r>
      </w:hyperlink>
    </w:p>
    <w:p w14:paraId="38A261FE" w14:textId="47835C64" w:rsidR="003E2744" w:rsidRDefault="00494622">
      <w:pPr>
        <w:pStyle w:val="TOC2"/>
        <w:rPr>
          <w:rFonts w:eastAsiaTheme="minorEastAsia"/>
          <w:kern w:val="2"/>
          <w:lang w:eastAsia="en-AU"/>
          <w14:ligatures w14:val="standardContextual"/>
        </w:rPr>
      </w:pPr>
      <w:hyperlink w:anchor="_Toc167880938" w:history="1">
        <w:r w:rsidR="003E2744" w:rsidRPr="00510EE4">
          <w:rPr>
            <w:rStyle w:val="Hyperlink"/>
          </w:rPr>
          <w:t>The Committee recommends that the ACT Government continue to reduce the number of electronic gaming machines in the ACT, irrespective of other policy positions it may take.</w:t>
        </w:r>
      </w:hyperlink>
    </w:p>
    <w:p w14:paraId="4896307A" w14:textId="5DD1DCF6" w:rsidR="003E2744" w:rsidRDefault="00494622">
      <w:pPr>
        <w:pStyle w:val="TOC1"/>
        <w:rPr>
          <w:rFonts w:asciiTheme="minorHAnsi" w:eastAsiaTheme="minorEastAsia" w:hAnsiTheme="minorHAnsi"/>
          <w:b w:val="0"/>
          <w:bCs w:val="0"/>
          <w:color w:val="auto"/>
          <w:w w:val="100"/>
          <w:kern w:val="2"/>
          <w:sz w:val="22"/>
          <w:lang w:eastAsia="en-AU"/>
          <w14:ligatures w14:val="standardContextual"/>
        </w:rPr>
      </w:pPr>
      <w:hyperlink w:anchor="_Toc167880939" w:history="1">
        <w:r w:rsidR="003E2744" w:rsidRPr="00510EE4">
          <w:rPr>
            <w:rStyle w:val="Hyperlink"/>
          </w:rPr>
          <w:t>Recommendation 3</w:t>
        </w:r>
      </w:hyperlink>
    </w:p>
    <w:p w14:paraId="44CEA50B" w14:textId="1B437122" w:rsidR="003E2744" w:rsidRDefault="00494622">
      <w:pPr>
        <w:pStyle w:val="TOC2"/>
        <w:rPr>
          <w:rFonts w:eastAsiaTheme="minorEastAsia"/>
          <w:kern w:val="2"/>
          <w:lang w:eastAsia="en-AU"/>
          <w14:ligatures w14:val="standardContextual"/>
        </w:rPr>
      </w:pPr>
      <w:hyperlink w:anchor="_Toc167880940" w:history="1">
        <w:r w:rsidR="003E2744" w:rsidRPr="00510EE4">
          <w:rPr>
            <w:rStyle w:val="Hyperlink"/>
          </w:rPr>
          <w:t>The Committee recommends that the ACT Government introduce legislative amendments for the implementation of a mandatory account-based gaming system which includes a raft of integrated harm-minimisation measures such as mandatory precommitment on spending or losses, forced breaks and player-exclusion capabilities.</w:t>
        </w:r>
      </w:hyperlink>
    </w:p>
    <w:p w14:paraId="469E5FFA" w14:textId="1A14216D" w:rsidR="003E2744" w:rsidRDefault="00494622">
      <w:pPr>
        <w:pStyle w:val="TOC1"/>
        <w:rPr>
          <w:rFonts w:asciiTheme="minorHAnsi" w:eastAsiaTheme="minorEastAsia" w:hAnsiTheme="minorHAnsi"/>
          <w:b w:val="0"/>
          <w:bCs w:val="0"/>
          <w:color w:val="auto"/>
          <w:w w:val="100"/>
          <w:kern w:val="2"/>
          <w:sz w:val="22"/>
          <w:lang w:eastAsia="en-AU"/>
          <w14:ligatures w14:val="standardContextual"/>
        </w:rPr>
      </w:pPr>
      <w:hyperlink w:anchor="_Toc167880941" w:history="1">
        <w:r w:rsidR="003E2744" w:rsidRPr="00510EE4">
          <w:rPr>
            <w:rStyle w:val="Hyperlink"/>
          </w:rPr>
          <w:t>Recommendation 4</w:t>
        </w:r>
      </w:hyperlink>
    </w:p>
    <w:p w14:paraId="44D4D083" w14:textId="3B5BBEB6" w:rsidR="003E2744" w:rsidRDefault="00494622">
      <w:pPr>
        <w:pStyle w:val="TOC2"/>
        <w:rPr>
          <w:rFonts w:eastAsiaTheme="minorEastAsia"/>
          <w:kern w:val="2"/>
          <w:lang w:eastAsia="en-AU"/>
          <w14:ligatures w14:val="standardContextual"/>
        </w:rPr>
      </w:pPr>
      <w:hyperlink w:anchor="_Toc167880942" w:history="1">
        <w:r w:rsidR="003E2744" w:rsidRPr="00510EE4">
          <w:rPr>
            <w:rStyle w:val="Hyperlink"/>
          </w:rPr>
          <w:t>The Committee recommends that the ACT Government ensure that the protection of personal and private information is a part of the design of any system designed to support harm-reduction in gambling.</w:t>
        </w:r>
      </w:hyperlink>
    </w:p>
    <w:p w14:paraId="33501180" w14:textId="02D2DA87" w:rsidR="003E2744" w:rsidRDefault="00494622">
      <w:pPr>
        <w:pStyle w:val="TOC1"/>
        <w:rPr>
          <w:rFonts w:asciiTheme="minorHAnsi" w:eastAsiaTheme="minorEastAsia" w:hAnsiTheme="minorHAnsi"/>
          <w:b w:val="0"/>
          <w:bCs w:val="0"/>
          <w:color w:val="auto"/>
          <w:w w:val="100"/>
          <w:kern w:val="2"/>
          <w:sz w:val="22"/>
          <w:lang w:eastAsia="en-AU"/>
          <w14:ligatures w14:val="standardContextual"/>
        </w:rPr>
      </w:pPr>
      <w:hyperlink w:anchor="_Toc167880943" w:history="1">
        <w:r w:rsidR="003E2744" w:rsidRPr="00510EE4">
          <w:rPr>
            <w:rStyle w:val="Hyperlink"/>
          </w:rPr>
          <w:t>Recommendation 5</w:t>
        </w:r>
      </w:hyperlink>
    </w:p>
    <w:p w14:paraId="21BC2229" w14:textId="637CCDE2" w:rsidR="003E2744" w:rsidRDefault="00494622">
      <w:pPr>
        <w:pStyle w:val="TOC2"/>
        <w:rPr>
          <w:rFonts w:eastAsiaTheme="minorEastAsia"/>
          <w:kern w:val="2"/>
          <w:lang w:eastAsia="en-AU"/>
          <w14:ligatures w14:val="standardContextual"/>
        </w:rPr>
      </w:pPr>
      <w:hyperlink w:anchor="_Toc167880944" w:history="1">
        <w:r w:rsidR="003E2744" w:rsidRPr="00510EE4">
          <w:rPr>
            <w:rStyle w:val="Hyperlink"/>
          </w:rPr>
          <w:t>The Committee recommends that the ACT Government develop policies to facilitate diversification with respect to reducing clubs reliance on Electronic Gaming Machines.</w:t>
        </w:r>
      </w:hyperlink>
    </w:p>
    <w:p w14:paraId="34234833" w14:textId="49773D62"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8"/>
          <w:footerReference w:type="default" r:id="rId19"/>
          <w:pgSz w:w="11906" w:h="16838"/>
          <w:pgMar w:top="1440" w:right="1440" w:bottom="1440" w:left="1440" w:header="708" w:footer="708" w:gutter="0"/>
          <w:pgNumType w:fmt="lowerRoman" w:start="1"/>
          <w:cols w:space="708"/>
          <w:docGrid w:linePitch="360"/>
        </w:sectPr>
      </w:pPr>
    </w:p>
    <w:p w14:paraId="53852A67" w14:textId="2DAEF567" w:rsidR="0036775A" w:rsidRPr="006323F8" w:rsidRDefault="00151C2E" w:rsidP="00A070D4">
      <w:pPr>
        <w:pStyle w:val="Heading1"/>
      </w:pPr>
      <w:bookmarkStart w:id="18" w:name="_Toc170201519"/>
      <w:bookmarkEnd w:id="14"/>
      <w:r>
        <w:lastRenderedPageBreak/>
        <w:t>Conduct of the Inquiry</w:t>
      </w:r>
      <w:bookmarkEnd w:id="18"/>
    </w:p>
    <w:p w14:paraId="17CE8D10" w14:textId="35E793AF" w:rsidR="008D72C9" w:rsidRDefault="0069416F" w:rsidP="0069416F">
      <w:pPr>
        <w:pStyle w:val="ListNumber2"/>
      </w:pPr>
      <w:r>
        <w:t xml:space="preserve">On 3 July 2023, </w:t>
      </w:r>
      <w:r w:rsidRPr="006C1911">
        <w:t>the Committee agreed to conduct a self-referred Inquiry into Cashless Gaming</w:t>
      </w:r>
      <w:r w:rsidR="006C1911">
        <w:t xml:space="preserve"> in the ACT</w:t>
      </w:r>
      <w:r w:rsidRPr="006C1911">
        <w:t xml:space="preserve"> and</w:t>
      </w:r>
      <w:r>
        <w:t xml:space="preserve"> issued a media release on 5 July 2023 inviting the community to participate in the inquiry by making a submission. Invitations to make submissions to the inquiry were also emailed directly to stakeholders.</w:t>
      </w:r>
    </w:p>
    <w:p w14:paraId="75E11A94" w14:textId="7187DCF4" w:rsidR="00BE0AB2" w:rsidRPr="0069416F" w:rsidRDefault="0069416F" w:rsidP="00BE0AB2">
      <w:pPr>
        <w:pStyle w:val="ListNumber2"/>
      </w:pPr>
      <w:r>
        <w:t>The Committee received 1</w:t>
      </w:r>
      <w:r w:rsidR="000926FF">
        <w:t>6</w:t>
      </w:r>
      <w:r>
        <w:t xml:space="preserve"> submissions. These are listed in </w:t>
      </w:r>
      <w:r w:rsidRPr="0069416F">
        <w:rPr>
          <w:b/>
          <w:bCs w:val="0"/>
        </w:rPr>
        <w:t>Appendix A.</w:t>
      </w:r>
    </w:p>
    <w:p w14:paraId="0A839EA3" w14:textId="3F814170" w:rsidR="0069416F" w:rsidRPr="0069416F" w:rsidRDefault="0069416F" w:rsidP="00BE0AB2">
      <w:pPr>
        <w:pStyle w:val="ListNumber2"/>
      </w:pPr>
      <w:r>
        <w:t xml:space="preserve">The Committee held a public hearing on Wednesday 27 March 2024. Witnesses who appeared at the hearing are listed in </w:t>
      </w:r>
      <w:r w:rsidRPr="0069416F">
        <w:rPr>
          <w:b/>
          <w:bCs w:val="0"/>
        </w:rPr>
        <w:t>Appendix B.</w:t>
      </w:r>
    </w:p>
    <w:p w14:paraId="3D804985" w14:textId="59043F60" w:rsidR="0069416F" w:rsidRDefault="0069416F" w:rsidP="00BE0AB2">
      <w:pPr>
        <w:pStyle w:val="ListNumber2"/>
      </w:pPr>
      <w:r w:rsidRPr="0069416F">
        <w:t xml:space="preserve">The Committee had </w:t>
      </w:r>
      <w:r w:rsidR="008C1048">
        <w:t>seven</w:t>
      </w:r>
      <w:r w:rsidRPr="0069416F">
        <w:t xml:space="preserve"> Questions Taken on Notice and </w:t>
      </w:r>
      <w:r w:rsidR="008C1048">
        <w:t>one</w:t>
      </w:r>
      <w:r w:rsidRPr="0069416F">
        <w:t xml:space="preserve"> </w:t>
      </w:r>
      <w:r w:rsidRPr="00B14169">
        <w:t>Question on Notice from</w:t>
      </w:r>
      <w:r w:rsidRPr="0069416F">
        <w:t xml:space="preserve"> the public hearing. These are listed in </w:t>
      </w:r>
      <w:r w:rsidRPr="00BF29BA">
        <w:rPr>
          <w:b/>
          <w:bCs w:val="0"/>
        </w:rPr>
        <w:t>Appendix C</w:t>
      </w:r>
      <w:r w:rsidRPr="0069416F">
        <w:t>.</w:t>
      </w:r>
    </w:p>
    <w:p w14:paraId="7DDDF2DD" w14:textId="6E10A790" w:rsidR="0069416F" w:rsidRPr="0069416F" w:rsidRDefault="0069416F" w:rsidP="00BE0AB2">
      <w:pPr>
        <w:pStyle w:val="ListNumber2"/>
      </w:pPr>
      <w:r>
        <w:t xml:space="preserve">A breakdown of witnesses at the public hearing by gender identity is given in </w:t>
      </w:r>
      <w:r w:rsidRPr="00BF29BA">
        <w:rPr>
          <w:b/>
          <w:bCs w:val="0"/>
        </w:rPr>
        <w:t xml:space="preserve">Appendix </w:t>
      </w:r>
      <w:r w:rsidR="00BF29BA" w:rsidRPr="00BF29BA">
        <w:rPr>
          <w:b/>
          <w:bCs w:val="0"/>
        </w:rPr>
        <w:t>D</w:t>
      </w:r>
      <w:r w:rsidRPr="00BF29BA">
        <w:rPr>
          <w:b/>
          <w:bCs w:val="0"/>
        </w:rPr>
        <w:t>.</w:t>
      </w:r>
    </w:p>
    <w:bookmarkEnd w:id="15"/>
    <w:p w14:paraId="58802858" w14:textId="77777777" w:rsidR="00706B6C" w:rsidRDefault="00706B6C">
      <w:pPr>
        <w:spacing w:line="259" w:lineRule="auto"/>
        <w:rPr>
          <w:rFonts w:ascii="Montserrat" w:eastAsiaTheme="majorEastAsia" w:hAnsi="Montserrat" w:cstheme="majorBidi"/>
          <w:b/>
          <w:color w:val="2F5496"/>
          <w:w w:val="90"/>
          <w:kern w:val="2"/>
          <w:sz w:val="32"/>
          <w:szCs w:val="26"/>
        </w:rPr>
      </w:pPr>
      <w:r>
        <w:br w:type="page"/>
      </w:r>
    </w:p>
    <w:p w14:paraId="3E35725B" w14:textId="77777777" w:rsidR="00AA3AF3" w:rsidRDefault="00AA3AF3" w:rsidP="00AA3AF3">
      <w:pPr>
        <w:pStyle w:val="Heading1"/>
      </w:pPr>
      <w:bookmarkStart w:id="19" w:name="_Toc170201520"/>
      <w:r>
        <w:lastRenderedPageBreak/>
        <w:t>Existing gaming policy in the ACT</w:t>
      </w:r>
      <w:bookmarkEnd w:id="19"/>
    </w:p>
    <w:p w14:paraId="2370D01F" w14:textId="77777777" w:rsidR="00AA3AF3" w:rsidRDefault="00AA3AF3" w:rsidP="00570363">
      <w:pPr>
        <w:pStyle w:val="Heading2"/>
      </w:pPr>
      <w:bookmarkStart w:id="20" w:name="_Toc170201521"/>
      <w:r>
        <w:t>Strategy for gambling harm prevention</w:t>
      </w:r>
      <w:bookmarkEnd w:id="20"/>
    </w:p>
    <w:p w14:paraId="39ECFE8B" w14:textId="28DB6604" w:rsidR="00AA3AF3" w:rsidRDefault="00AA3AF3" w:rsidP="00AA3AF3">
      <w:pPr>
        <w:pStyle w:val="ListNumber2"/>
      </w:pPr>
      <w:r>
        <w:t xml:space="preserve">The ACT Government’s approach to preventing gambling harms is outlined in </w:t>
      </w:r>
      <w:r w:rsidR="002F4DA1">
        <w:t xml:space="preserve">the </w:t>
      </w:r>
      <w:r w:rsidRPr="002B7218">
        <w:rPr>
          <w:i/>
          <w:iCs/>
        </w:rPr>
        <w:t>Strategy for gambling harm prevention in the ACT: A public health approach 2019-2024</w:t>
      </w:r>
      <w:r>
        <w:t>.</w:t>
      </w:r>
      <w:r>
        <w:rPr>
          <w:rStyle w:val="FootnoteReference"/>
        </w:rPr>
        <w:footnoteReference w:id="1"/>
      </w:r>
      <w:r>
        <w:t xml:space="preserve">  It explains its public health </w:t>
      </w:r>
      <w:r w:rsidR="002F4DA1">
        <w:t xml:space="preserve">strategy </w:t>
      </w:r>
      <w:r>
        <w:t>is about taking a broad approach rather than one which focuses on individual ‘problem gamblers’:</w:t>
      </w:r>
    </w:p>
    <w:p w14:paraId="53EDE6B3" w14:textId="77777777" w:rsidR="00AA3AF3" w:rsidRDefault="00AA3AF3" w:rsidP="00AA3AF3">
      <w:pPr>
        <w:pStyle w:val="Quote"/>
      </w:pPr>
      <w:r>
        <w:t xml:space="preserve">A public health approach takes a broad perspective about responsibility and areas for action. Instead of focussing only on treating ‘problem gamblers’ it also aims to prevent problems and promote wellbeing. It is commonly defined ‘as the science and art of preventing disease, prolonging </w:t>
      </w:r>
      <w:proofErr w:type="gramStart"/>
      <w:r>
        <w:t>life</w:t>
      </w:r>
      <w:proofErr w:type="gramEnd"/>
      <w:r>
        <w:t xml:space="preserve"> and promoting health through the organised efforts and informed choices of society, organisations, public and private, communities and individuals</w:t>
      </w:r>
      <w:r>
        <w:rPr>
          <w:rStyle w:val="FootnoteReference"/>
        </w:rPr>
        <w:footnoteReference w:id="2"/>
      </w:r>
    </w:p>
    <w:p w14:paraId="68B83073" w14:textId="77777777" w:rsidR="00AA3AF3" w:rsidRDefault="00AA3AF3" w:rsidP="00AA3AF3">
      <w:pPr>
        <w:pStyle w:val="ListNumber2"/>
      </w:pPr>
      <w:r>
        <w:t xml:space="preserve">The strategy is described as a framework that ‘ties together current initiatives and an overarching narrative for planning, implementing and evaluating future harm prevention </w:t>
      </w:r>
      <w:proofErr w:type="gramStart"/>
      <w:r>
        <w:t>efforts’</w:t>
      </w:r>
      <w:proofErr w:type="gramEnd"/>
      <w:r>
        <w:t>.</w:t>
      </w:r>
      <w:r>
        <w:rPr>
          <w:rStyle w:val="FootnoteReference"/>
        </w:rPr>
        <w:footnoteReference w:id="3"/>
      </w:r>
    </w:p>
    <w:p w14:paraId="7D279A4B" w14:textId="77777777" w:rsidR="00AA3AF3" w:rsidRDefault="00AA3AF3" w:rsidP="00570363">
      <w:pPr>
        <w:pStyle w:val="Heading2"/>
      </w:pPr>
      <w:bookmarkStart w:id="21" w:name="_Toc170201522"/>
      <w:r>
        <w:t>Parliamentary and Governing Agreement</w:t>
      </w:r>
      <w:bookmarkEnd w:id="21"/>
    </w:p>
    <w:p w14:paraId="73572C60" w14:textId="77777777" w:rsidR="00AA3AF3" w:rsidRDefault="00AA3AF3" w:rsidP="00AA3AF3">
      <w:pPr>
        <w:pStyle w:val="ListNumber2"/>
      </w:pPr>
      <w:r>
        <w:t>The ACT Labor Party and ACT Greens committed to ‘r</w:t>
      </w:r>
      <w:r w:rsidRPr="006E6ABB">
        <w:t>educing harm from gaming while supporting sustainable clubs</w:t>
      </w:r>
      <w:r>
        <w:t>’ in the Parliamentary and Governing Agreement (PAGA) for the 10</w:t>
      </w:r>
      <w:r w:rsidRPr="006E6ABB">
        <w:rPr>
          <w:vertAlign w:val="superscript"/>
        </w:rPr>
        <w:t>th</w:t>
      </w:r>
      <w:r>
        <w:t xml:space="preserve"> Legislative Assembly, including to ‘match or exceed any further harm reduction gaming reforms commenced in NSW, such as cashless gaming’. Proposed harm minimisation measures included:</w:t>
      </w:r>
    </w:p>
    <w:p w14:paraId="724E45E6" w14:textId="77777777" w:rsidR="00AA3AF3" w:rsidRDefault="00AA3AF3" w:rsidP="00AA3AF3">
      <w:pPr>
        <w:pStyle w:val="ListNumber3"/>
      </w:pPr>
      <w:r>
        <w:t>Reductions in the number of Electronic Gaming Machine (EGM) licences to 3500 by 1 July 2025;</w:t>
      </w:r>
    </w:p>
    <w:p w14:paraId="3FDC7F77" w14:textId="77777777" w:rsidR="00AA3AF3" w:rsidRDefault="00AA3AF3" w:rsidP="00AA3AF3">
      <w:pPr>
        <w:pStyle w:val="ListNumber3"/>
      </w:pPr>
      <w:r>
        <w:t>Establishing a self-exclusion regime;</w:t>
      </w:r>
    </w:p>
    <w:p w14:paraId="0912DC43" w14:textId="77777777" w:rsidR="00AA3AF3" w:rsidRDefault="00AA3AF3" w:rsidP="00AA3AF3">
      <w:pPr>
        <w:pStyle w:val="ListNumber3"/>
      </w:pPr>
      <w:r>
        <w:t>Matching or exceeding any harm reduction gaming reforms commenced in NSW such as cashless gaming;</w:t>
      </w:r>
    </w:p>
    <w:p w14:paraId="3398BCA0" w14:textId="77777777" w:rsidR="00AA3AF3" w:rsidRDefault="00AA3AF3" w:rsidP="00AA3AF3">
      <w:pPr>
        <w:pStyle w:val="ListNumber3"/>
      </w:pPr>
      <w:r>
        <w:t>Introducing $5 bet limits and $100 load-up limits; and</w:t>
      </w:r>
    </w:p>
    <w:p w14:paraId="05890824" w14:textId="77777777" w:rsidR="00AA3AF3" w:rsidRDefault="00AA3AF3" w:rsidP="00AA3AF3">
      <w:pPr>
        <w:pStyle w:val="ListNumber3"/>
      </w:pPr>
      <w:r>
        <w:t>Assisting clubs to diversify to other income streams.</w:t>
      </w:r>
      <w:r>
        <w:rPr>
          <w:rStyle w:val="FootnoteReference"/>
        </w:rPr>
        <w:footnoteReference w:id="4"/>
      </w:r>
      <w:r>
        <w:t xml:space="preserve">  </w:t>
      </w:r>
    </w:p>
    <w:p w14:paraId="750A0186" w14:textId="77777777" w:rsidR="00AA3AF3" w:rsidRDefault="00AA3AF3" w:rsidP="00570363">
      <w:pPr>
        <w:pStyle w:val="Heading3"/>
      </w:pPr>
      <w:bookmarkStart w:id="22" w:name="_Toc170201523"/>
      <w:r>
        <w:lastRenderedPageBreak/>
        <w:t>Reductions in electronic gaming machine licences</w:t>
      </w:r>
      <w:bookmarkEnd w:id="22"/>
    </w:p>
    <w:p w14:paraId="1BE97794" w14:textId="1AD13F0E" w:rsidR="00AA3AF3" w:rsidRDefault="00AA3AF3" w:rsidP="00AA3AF3">
      <w:pPr>
        <w:pStyle w:val="ListNumber2"/>
      </w:pPr>
      <w:r w:rsidRPr="001C4BE3">
        <w:t xml:space="preserve">As of 1 </w:t>
      </w:r>
      <w:r w:rsidR="003E7A29">
        <w:t>May</w:t>
      </w:r>
      <w:r w:rsidR="003E7A29" w:rsidRPr="001C4BE3">
        <w:t xml:space="preserve"> </w:t>
      </w:r>
      <w:r w:rsidRPr="001C4BE3">
        <w:t>2024, there are 3,589 EGMs in operation in the ACT. These</w:t>
      </w:r>
      <w:r w:rsidRPr="002319E8">
        <w:t xml:space="preserve"> EGMs are predominantly located in not-for-profit licensed club venues (40 venues), </w:t>
      </w:r>
      <w:r>
        <w:t>with</w:t>
      </w:r>
      <w:r w:rsidRPr="002319E8">
        <w:t xml:space="preserve"> </w:t>
      </w:r>
      <w:r w:rsidR="003E7A29">
        <w:t>three</w:t>
      </w:r>
      <w:r w:rsidR="003E7A29" w:rsidRPr="002319E8">
        <w:t xml:space="preserve"> </w:t>
      </w:r>
      <w:r w:rsidRPr="002319E8">
        <w:t xml:space="preserve">hotels and taverns </w:t>
      </w:r>
      <w:r w:rsidR="00AA3A42">
        <w:t>holding</w:t>
      </w:r>
      <w:r w:rsidRPr="002319E8">
        <w:t xml:space="preserve"> </w:t>
      </w:r>
      <w:r w:rsidR="003E7A29">
        <w:t>authorisations</w:t>
      </w:r>
      <w:r w:rsidRPr="002319E8">
        <w:t>.</w:t>
      </w:r>
      <w:r w:rsidRPr="002319E8">
        <w:rPr>
          <w:rStyle w:val="FootnoteReference"/>
        </w:rPr>
        <w:footnoteReference w:id="5"/>
      </w:r>
      <w:r w:rsidRPr="002319E8">
        <w:t xml:space="preserve"> </w:t>
      </w:r>
      <w:proofErr w:type="spellStart"/>
      <w:r>
        <w:t>ClubsACT</w:t>
      </w:r>
      <w:proofErr w:type="spellEnd"/>
      <w:r>
        <w:t xml:space="preserve"> told the Committee that most EGMs in the ACT are class C machines that are only available in not-for-profit Clubs with class B machines in some for-profit venues.</w:t>
      </w:r>
      <w:r>
        <w:rPr>
          <w:rStyle w:val="FootnoteReference"/>
        </w:rPr>
        <w:footnoteReference w:id="6"/>
      </w:r>
    </w:p>
    <w:p w14:paraId="669D3304" w14:textId="77777777" w:rsidR="00AA3AF3" w:rsidRDefault="00AA3AF3" w:rsidP="00AA3AF3">
      <w:pPr>
        <w:pStyle w:val="ListNumber2"/>
      </w:pPr>
      <w:r>
        <w:t>As part of its commitment under the PAGA, under the</w:t>
      </w:r>
      <w:r w:rsidRPr="00E82666">
        <w:t xml:space="preserve"> </w:t>
      </w:r>
      <w:r w:rsidRPr="00114008">
        <w:t xml:space="preserve">Gaming Machine Authorisation Surrender Incentive Scheme, </w:t>
      </w:r>
      <w:r>
        <w:t>the ACT Government offers financial incentives for the voluntary surrender of gaming machines authorisations. The government has offered $15,000 for every gaming machine authorisation surrendered, or $20,000 for every machine authorisation surrendered where this results in the venue becoming ‘</w:t>
      </w:r>
      <w:proofErr w:type="spellStart"/>
      <w:r>
        <w:t>pokie</w:t>
      </w:r>
      <w:proofErr w:type="spellEnd"/>
      <w:r>
        <w:t>-free’.</w:t>
      </w:r>
      <w:r>
        <w:rPr>
          <w:rStyle w:val="FootnoteReference"/>
        </w:rPr>
        <w:footnoteReference w:id="7"/>
      </w:r>
      <w:r>
        <w:t xml:space="preserve">  </w:t>
      </w:r>
    </w:p>
    <w:p w14:paraId="37BB20E2" w14:textId="770A38ED" w:rsidR="00AA3AF3" w:rsidRDefault="00AA3AF3" w:rsidP="00AA3AF3">
      <w:pPr>
        <w:pStyle w:val="ListNumber2"/>
      </w:pPr>
      <w:r>
        <w:t xml:space="preserve">On 21 March 2024, the ACT Government introduced the Gaming Machine (Compulsory Surrender) Amendment Bill 2024, which proposes to require </w:t>
      </w:r>
      <w:r w:rsidR="002F4DA1">
        <w:t xml:space="preserve">the surrender of </w:t>
      </w:r>
      <w:r>
        <w:t xml:space="preserve">EMGs by larger clubs on an involuntary basis if the target </w:t>
      </w:r>
      <w:r w:rsidR="002F4DA1">
        <w:t xml:space="preserve">to reduce </w:t>
      </w:r>
      <w:r>
        <w:t>EGMs to 3,500 machines cannot be reached</w:t>
      </w:r>
      <w:r w:rsidR="00DF5E5F">
        <w:t xml:space="preserve"> by 1 July 2025</w:t>
      </w:r>
      <w:r w:rsidR="002F4DA1">
        <w:t>.</w:t>
      </w:r>
      <w:r>
        <w:t xml:space="preserve">  The Minister said:</w:t>
      </w:r>
    </w:p>
    <w:p w14:paraId="20E93E51" w14:textId="77777777" w:rsidR="00AA3AF3" w:rsidRDefault="00AA3AF3" w:rsidP="00AA3AF3">
      <w:pPr>
        <w:pStyle w:val="ListNumber2"/>
        <w:numPr>
          <w:ilvl w:val="0"/>
          <w:numId w:val="0"/>
        </w:numPr>
        <w:ind w:left="1440"/>
        <w:rPr>
          <w:rStyle w:val="QuoteChar"/>
        </w:rPr>
      </w:pPr>
      <w:r w:rsidRPr="0001598D">
        <w:rPr>
          <w:rStyle w:val="QuoteChar"/>
        </w:rPr>
        <w:t xml:space="preserve">The Government has already introduced a range of measures to reduce poker machine numbers, which have helped reduce the number of poker machine authorisations by 1232 since 2015 (5022 authorisations in 2015, reduced to 3790 authorisations in February 2024) </w:t>
      </w:r>
      <w:r>
        <w:rPr>
          <w:rStyle w:val="FootnoteReference"/>
        </w:rPr>
        <w:footnoteReference w:id="8"/>
      </w:r>
    </w:p>
    <w:p w14:paraId="2F087674" w14:textId="77777777" w:rsidR="00AA3AF3" w:rsidRDefault="00AA3AF3" w:rsidP="00570363">
      <w:pPr>
        <w:pStyle w:val="Heading3"/>
      </w:pPr>
      <w:bookmarkStart w:id="23" w:name="_Toc170201524"/>
      <w:r>
        <w:t>$5 bet limits and $100 load-up limits – central monitoring system</w:t>
      </w:r>
      <w:bookmarkEnd w:id="23"/>
    </w:p>
    <w:p w14:paraId="72B50F7D" w14:textId="77777777" w:rsidR="00AA3AF3" w:rsidRDefault="00AA3AF3" w:rsidP="00AA3AF3">
      <w:pPr>
        <w:pStyle w:val="ListNumber2"/>
      </w:pPr>
      <w:r>
        <w:t>On 29 April 2022, the ACT Government commenced consultation on a central monitoring system (CMS) to introduce $5 bet limits and a new $100 load up limit for EGMs, designed to limit the amount of gambling losses by slowing play.</w:t>
      </w:r>
      <w:r>
        <w:rPr>
          <w:rStyle w:val="FootnoteReference"/>
        </w:rPr>
        <w:footnoteReference w:id="9"/>
      </w:r>
      <w:r>
        <w:t xml:space="preserve">  </w:t>
      </w:r>
    </w:p>
    <w:p w14:paraId="272015F7" w14:textId="0168248C" w:rsidR="00AA3AF3" w:rsidRDefault="00AA3AF3" w:rsidP="00AA3AF3">
      <w:pPr>
        <w:pStyle w:val="ListNumber2"/>
      </w:pPr>
      <w:r>
        <w:t xml:space="preserve">The government advised that introducing a CMS would be the most cost-effective way to implement bet limits as well as providing enhanced monitoring and control of EGMs, </w:t>
      </w:r>
      <w:r w:rsidR="00B57CAD">
        <w:t xml:space="preserve">improved </w:t>
      </w:r>
      <w:r>
        <w:t xml:space="preserve">oversight for anti-money laundering, counter-terrorism financing, and reduced administrative burden for clubs. The government advised </w:t>
      </w:r>
      <w:r w:rsidR="00C02CA6">
        <w:t xml:space="preserve">it </w:t>
      </w:r>
      <w:r>
        <w:t>would cost in the order of $11-18 million.  A CMS is an IT system that connects gaming machines to a network.</w:t>
      </w:r>
      <w:r>
        <w:rPr>
          <w:rStyle w:val="FootnoteReference"/>
        </w:rPr>
        <w:footnoteReference w:id="10"/>
      </w:r>
    </w:p>
    <w:p w14:paraId="14F75968" w14:textId="1A6D1B53" w:rsidR="00AA3AF3" w:rsidRDefault="00AA3AF3" w:rsidP="00AA3AF3">
      <w:pPr>
        <w:pStyle w:val="ListNumber2"/>
      </w:pPr>
      <w:r>
        <w:t xml:space="preserve">On </w:t>
      </w:r>
      <w:r w:rsidR="009753F9">
        <w:t>18</w:t>
      </w:r>
      <w:r>
        <w:t xml:space="preserve"> March 2024, the Minister advised that the Government was testing the market for a CMS:</w:t>
      </w:r>
    </w:p>
    <w:p w14:paraId="702DB8DB" w14:textId="77777777" w:rsidR="00AA3AF3" w:rsidRPr="002B5B06" w:rsidRDefault="00AA3AF3" w:rsidP="00AA3AF3">
      <w:pPr>
        <w:pStyle w:val="Quote"/>
      </w:pPr>
      <w:r>
        <w:lastRenderedPageBreak/>
        <w:t xml:space="preserve">In addition to reducing the number of poker machines, we also need to implement harm reduction measures to limit the losses people can experience on machines. It’s for this reason that we’re currently testing the market for a “central </w:t>
      </w:r>
      <w:r w:rsidRPr="002B5B06">
        <w:t>monitoring system”, which would allow for the introduction of measures such as bet limits and loss limits.</w:t>
      </w:r>
      <w:r w:rsidRPr="002B5B06">
        <w:rPr>
          <w:rStyle w:val="FootnoteReference"/>
        </w:rPr>
        <w:footnoteReference w:id="11"/>
      </w:r>
    </w:p>
    <w:p w14:paraId="25198DBD" w14:textId="22BE207D" w:rsidR="00AA3AF3" w:rsidRPr="002B5B06" w:rsidRDefault="00AA3AF3" w:rsidP="00AA3AF3">
      <w:pPr>
        <w:pStyle w:val="ListNumber2"/>
      </w:pPr>
      <w:r w:rsidRPr="002B5B06">
        <w:t xml:space="preserve">In </w:t>
      </w:r>
      <w:r w:rsidR="009753F9" w:rsidRPr="002B5B06">
        <w:t>their</w:t>
      </w:r>
      <w:r w:rsidRPr="002B5B06">
        <w:t xml:space="preserve"> media release, the ACT Government noted that the ACT was the only jurisdiction without a CMS, that the market sounding was for research purposes only and that </w:t>
      </w:r>
      <w:r w:rsidR="00C02CA6" w:rsidRPr="002B5B06">
        <w:t xml:space="preserve">the </w:t>
      </w:r>
      <w:r w:rsidRPr="002B5B06">
        <w:t>government has not committed to implementing a CMS.</w:t>
      </w:r>
      <w:r w:rsidRPr="002B5B06">
        <w:rPr>
          <w:rStyle w:val="FootnoteReference"/>
        </w:rPr>
        <w:footnoteReference w:id="12"/>
      </w:r>
      <w:r w:rsidRPr="002B5B06">
        <w:t xml:space="preserve">  The government also told the Committee that </w:t>
      </w:r>
      <w:r w:rsidR="002B5B06" w:rsidRPr="002B5B06">
        <w:t xml:space="preserve">in initial analysis, </w:t>
      </w:r>
      <w:r w:rsidRPr="002B5B06">
        <w:t>a CMS was seen to be the most cost-effective approach to establish a basis for future reforms such as cashless gaming.</w:t>
      </w:r>
      <w:r w:rsidRPr="002B5B06">
        <w:rPr>
          <w:rStyle w:val="FootnoteReference"/>
        </w:rPr>
        <w:footnoteReference w:id="13"/>
      </w:r>
      <w:r w:rsidRPr="002B5B06">
        <w:t xml:space="preserve">  </w:t>
      </w:r>
    </w:p>
    <w:p w14:paraId="605F5FF4" w14:textId="77777777" w:rsidR="00AA3AF3" w:rsidRDefault="00AA3AF3" w:rsidP="00AA3AF3">
      <w:pPr>
        <w:pStyle w:val="ListNumber2"/>
      </w:pPr>
      <w:r w:rsidRPr="002B5B06">
        <w:t>In their submission, the ACT Government told the Committee that a universal system (a CMS) is a way that EGM use can be tracked and managed</w:t>
      </w:r>
      <w:r>
        <w:t xml:space="preserve"> in all venues.</w:t>
      </w:r>
      <w:r>
        <w:rPr>
          <w:rStyle w:val="FootnoteReference"/>
        </w:rPr>
        <w:footnoteReference w:id="14"/>
      </w:r>
      <w:r>
        <w:t xml:space="preserve">  This has the effect that individuals cannot bypass the system including any harm reduction controls simply by moving to another venue.</w:t>
      </w:r>
      <w:r>
        <w:rPr>
          <w:rStyle w:val="FootnoteReference"/>
        </w:rPr>
        <w:footnoteReference w:id="15"/>
      </w:r>
      <w:r>
        <w:t xml:space="preserve">  A CMS can also be used for tickets and rewards schemes, marketing, membership, point of sale purposes, and simplifying administration of EGM operations such as data collection for regulatory reporting.</w:t>
      </w:r>
      <w:r>
        <w:rPr>
          <w:rStyle w:val="FootnoteReference"/>
        </w:rPr>
        <w:footnoteReference w:id="16"/>
      </w:r>
    </w:p>
    <w:p w14:paraId="45F0FABE" w14:textId="77777777" w:rsidR="00AA3AF3" w:rsidRDefault="00AA3AF3" w:rsidP="00570363">
      <w:pPr>
        <w:pStyle w:val="Heading3"/>
      </w:pPr>
      <w:bookmarkStart w:id="24" w:name="_Toc170201525"/>
      <w:proofErr w:type="spellStart"/>
      <w:r>
        <w:t>Self exclusion</w:t>
      </w:r>
      <w:bookmarkEnd w:id="24"/>
      <w:proofErr w:type="spellEnd"/>
      <w:r>
        <w:t xml:space="preserve"> </w:t>
      </w:r>
    </w:p>
    <w:p w14:paraId="48D02277" w14:textId="77777777" w:rsidR="00AA3AF3" w:rsidRDefault="00AA3AF3" w:rsidP="00AA3AF3">
      <w:pPr>
        <w:pStyle w:val="ListNumber2"/>
      </w:pPr>
      <w:r>
        <w:t>The ACT Gambling Exclusion Scheme allows people who are experiencing gambling harm to be excluded from gambling venues in the ACT.  It is a voluntary process, whereby through a deed of self-exclusion a person will be self-excluded from accessing a gambling venue, will not be able to collect gambling winnings, and the venue will not be able to send the person gambling promotional material.</w:t>
      </w:r>
      <w:r>
        <w:rPr>
          <w:rStyle w:val="FootnoteReference"/>
        </w:rPr>
        <w:footnoteReference w:id="17"/>
      </w:r>
    </w:p>
    <w:p w14:paraId="73C70818" w14:textId="77777777" w:rsidR="00AA3AF3" w:rsidRDefault="00AA3AF3" w:rsidP="00AA3AF3">
      <w:pPr>
        <w:pStyle w:val="ListNumber2"/>
      </w:pPr>
      <w:r>
        <w:t>The ACT Government advised that there were 226 deeds of exclusion enacted in 2022-23 and the average exclusion period in that time was approximately 22 months.</w:t>
      </w:r>
      <w:r>
        <w:rPr>
          <w:rStyle w:val="FootnoteReference"/>
        </w:rPr>
        <w:footnoteReference w:id="18"/>
      </w:r>
    </w:p>
    <w:p w14:paraId="358E6AE5" w14:textId="77777777" w:rsidR="00AA3AF3" w:rsidRDefault="00AA3AF3" w:rsidP="00570363">
      <w:pPr>
        <w:pStyle w:val="Heading3"/>
      </w:pPr>
      <w:bookmarkStart w:id="25" w:name="_Toc170201526"/>
      <w:r>
        <w:t>Assisting clubs to diversify to other income streams</w:t>
      </w:r>
      <w:bookmarkEnd w:id="25"/>
      <w:r>
        <w:t xml:space="preserve">  </w:t>
      </w:r>
    </w:p>
    <w:p w14:paraId="33A79581" w14:textId="77777777" w:rsidR="00AA3AF3" w:rsidRDefault="00AA3AF3" w:rsidP="00AA3AF3">
      <w:pPr>
        <w:pStyle w:val="ListNumber2"/>
      </w:pPr>
      <w:r>
        <w:t>Under the Diversification and Sustainability Support Fund, the ACT Government provides funding to clubs to assist with activities and initiatives to assist clubs diversify their income to sources other than gaming machines and support the sustainability of clubs.</w:t>
      </w:r>
      <w:r w:rsidRPr="00E82666">
        <w:rPr>
          <w:rStyle w:val="FootnoteReference"/>
        </w:rPr>
        <w:t xml:space="preserve"> </w:t>
      </w:r>
      <w:r>
        <w:rPr>
          <w:rStyle w:val="FootnoteReference"/>
        </w:rPr>
        <w:footnoteReference w:id="19"/>
      </w:r>
    </w:p>
    <w:p w14:paraId="3F1F4630" w14:textId="26F5646F" w:rsidR="00AA3AF3" w:rsidRDefault="00AA3AF3" w:rsidP="00AA3AF3">
      <w:pPr>
        <w:pStyle w:val="ListNumber2"/>
      </w:pPr>
      <w:r>
        <w:lastRenderedPageBreak/>
        <w:t>The ACT Government announced on 23 January 2024 that it had awarded more than $1.5 million to seven applicants to the tier two funding round under the scheme</w:t>
      </w:r>
      <w:r w:rsidR="00C02CA6">
        <w:t>.</w:t>
      </w:r>
      <w:r>
        <w:t xml:space="preserve"> </w:t>
      </w:r>
      <w:r w:rsidR="00C02CA6">
        <w:t>F</w:t>
      </w:r>
      <w:r>
        <w:t>or example</w:t>
      </w:r>
      <w:r w:rsidR="000A57E1">
        <w:t>,</w:t>
      </w:r>
      <w:r>
        <w:t xml:space="preserve"> $250,000 was awarded to the Canberra Services Club to renovate and update its conference facilities.</w:t>
      </w:r>
      <w:r>
        <w:rPr>
          <w:rStyle w:val="FootnoteReference"/>
        </w:rPr>
        <w:footnoteReference w:id="20"/>
      </w:r>
    </w:p>
    <w:p w14:paraId="2DD46E7D" w14:textId="77777777" w:rsidR="00AA3AF3" w:rsidRDefault="00AA3AF3" w:rsidP="00570363">
      <w:pPr>
        <w:pStyle w:val="Heading2"/>
      </w:pPr>
      <w:bookmarkStart w:id="26" w:name="_Toc170201527"/>
      <w:r>
        <w:t>Other measures in place</w:t>
      </w:r>
      <w:bookmarkEnd w:id="26"/>
    </w:p>
    <w:p w14:paraId="499F7D16" w14:textId="77777777" w:rsidR="00AA3AF3" w:rsidRDefault="00AA3AF3" w:rsidP="00AA3AF3">
      <w:pPr>
        <w:pStyle w:val="ListNumber2"/>
      </w:pPr>
      <w:r>
        <w:t>In addition to implementing the initiatives in the PAGA, measures that are in place to reduce gambling harms include:</w:t>
      </w:r>
    </w:p>
    <w:p w14:paraId="068EA05E" w14:textId="77777777" w:rsidR="00AA3AF3" w:rsidRDefault="00AA3AF3" w:rsidP="00AA3AF3">
      <w:pPr>
        <w:pStyle w:val="ListNumber3"/>
      </w:pPr>
      <w:r>
        <w:t>provision of gambling harm prevention tips and support, including assistance in other languages, and Gambling Harm Awareness Week;</w:t>
      </w:r>
      <w:r>
        <w:rPr>
          <w:rStyle w:val="FootnoteReference"/>
        </w:rPr>
        <w:footnoteReference w:id="21"/>
      </w:r>
    </w:p>
    <w:p w14:paraId="28AAF4CA" w14:textId="77777777" w:rsidR="00AA3AF3" w:rsidRDefault="00AA3AF3" w:rsidP="00AA3AF3">
      <w:pPr>
        <w:pStyle w:val="ListNumber3"/>
      </w:pPr>
      <w:r>
        <w:t>requirements for training of staff working in a gambling venue and gambling contact officers;</w:t>
      </w:r>
      <w:r>
        <w:rPr>
          <w:rStyle w:val="FootnoteReference"/>
        </w:rPr>
        <w:footnoteReference w:id="22"/>
      </w:r>
      <w:r>
        <w:t xml:space="preserve"> and</w:t>
      </w:r>
    </w:p>
    <w:p w14:paraId="417DBD87" w14:textId="77777777" w:rsidR="00AA3AF3" w:rsidRDefault="00AA3AF3" w:rsidP="00AA3AF3">
      <w:pPr>
        <w:pStyle w:val="ListNumber3"/>
      </w:pPr>
      <w:r>
        <w:t>the Gambling Harm Prevention and Mitigation Fund.</w:t>
      </w:r>
      <w:r>
        <w:rPr>
          <w:rStyle w:val="FootnoteReference"/>
        </w:rPr>
        <w:footnoteReference w:id="23"/>
      </w:r>
    </w:p>
    <w:p w14:paraId="0FDCBD36" w14:textId="77777777" w:rsidR="00AA3AF3" w:rsidRDefault="00AA3AF3" w:rsidP="00AA3AF3">
      <w:pPr>
        <w:spacing w:line="259" w:lineRule="auto"/>
        <w:rPr>
          <w:rFonts w:ascii="Montserrat" w:eastAsiaTheme="majorEastAsia" w:hAnsi="Montserrat" w:cstheme="majorBidi"/>
          <w:b/>
          <w:color w:val="1A234C"/>
          <w:w w:val="90"/>
          <w:kern w:val="2"/>
          <w:sz w:val="36"/>
          <w:szCs w:val="32"/>
        </w:rPr>
      </w:pPr>
      <w:r>
        <w:br w:type="page"/>
      </w:r>
    </w:p>
    <w:p w14:paraId="54DFA928" w14:textId="31A58F5C" w:rsidR="00EA32C4" w:rsidRDefault="00EA32C4" w:rsidP="00EA32C4">
      <w:pPr>
        <w:pStyle w:val="Heading1"/>
      </w:pPr>
      <w:bookmarkStart w:id="27" w:name="_Toc170201528"/>
      <w:r>
        <w:lastRenderedPageBreak/>
        <w:t>Background to cashless gaming</w:t>
      </w:r>
      <w:bookmarkEnd w:id="27"/>
    </w:p>
    <w:p w14:paraId="2369404B" w14:textId="77777777" w:rsidR="00EA32C4" w:rsidRDefault="00EA32C4" w:rsidP="00570363">
      <w:pPr>
        <w:pStyle w:val="Heading2"/>
      </w:pPr>
      <w:bookmarkStart w:id="28" w:name="_Toc170201529"/>
      <w:r>
        <w:t>What is cashless gaming</w:t>
      </w:r>
      <w:bookmarkEnd w:id="28"/>
      <w:r>
        <w:t xml:space="preserve"> </w:t>
      </w:r>
    </w:p>
    <w:p w14:paraId="17D45225" w14:textId="39357D3D" w:rsidR="00EA32C4" w:rsidRPr="000A57E1" w:rsidRDefault="00EA32C4" w:rsidP="00EA32C4">
      <w:pPr>
        <w:pStyle w:val="ListNumber2"/>
      </w:pPr>
      <w:r w:rsidRPr="000A57E1">
        <w:t>Cashless gaming involves the use of an alternative to cash (</w:t>
      </w:r>
      <w:r w:rsidR="009F00E8" w:rsidRPr="000A57E1">
        <w:t>or</w:t>
      </w:r>
      <w:r w:rsidRPr="000A57E1">
        <w:t xml:space="preserve"> physical money) for electronic gaming machine (EGM) play.</w:t>
      </w:r>
      <w:r w:rsidRPr="000A57E1">
        <w:rPr>
          <w:rStyle w:val="FootnoteReference"/>
        </w:rPr>
        <w:footnoteReference w:id="24"/>
      </w:r>
      <w:r w:rsidRPr="000A57E1">
        <w:t xml:space="preserve"> </w:t>
      </w:r>
    </w:p>
    <w:p w14:paraId="47600133" w14:textId="77777777" w:rsidR="00EA32C4" w:rsidRPr="000A57E1" w:rsidRDefault="00EA32C4" w:rsidP="00EA32C4">
      <w:pPr>
        <w:pStyle w:val="ListNumber2"/>
      </w:pPr>
      <w:r w:rsidRPr="000A57E1">
        <w:t>In their submission, the ACT Government pointed out that the term ‘cashless gaming’ can refer to anything from just a system of non-cash payments for use of EGMs or a more complex system. A cashless gaming scheme could involve:</w:t>
      </w:r>
    </w:p>
    <w:p w14:paraId="491ADE5D" w14:textId="77777777" w:rsidR="00EA32C4" w:rsidRPr="000A57E1" w:rsidRDefault="00EA32C4" w:rsidP="00EA32C4">
      <w:pPr>
        <w:pStyle w:val="ListBullet2"/>
      </w:pPr>
      <w:r w:rsidRPr="000A57E1">
        <w:t>Physical or digital tokens or cards;</w:t>
      </w:r>
    </w:p>
    <w:p w14:paraId="26D171A6" w14:textId="77777777" w:rsidR="00EA32C4" w:rsidRPr="000A57E1" w:rsidRDefault="00EA32C4" w:rsidP="00EA32C4">
      <w:pPr>
        <w:pStyle w:val="ListBullet2"/>
      </w:pPr>
      <w:r w:rsidRPr="000A57E1">
        <w:t>Be account-based, and either venue-specific or universal within a jurisdiction; and</w:t>
      </w:r>
    </w:p>
    <w:p w14:paraId="4C01BB4E" w14:textId="77777777" w:rsidR="00EA32C4" w:rsidRPr="000A57E1" w:rsidRDefault="00EA32C4" w:rsidP="00EA32C4">
      <w:pPr>
        <w:pStyle w:val="ListBullet2"/>
      </w:pPr>
      <w:r w:rsidRPr="000A57E1">
        <w:t>Include (or not) harm-reduction measures.</w:t>
      </w:r>
      <w:r w:rsidRPr="000A57E1">
        <w:rPr>
          <w:rStyle w:val="FootnoteReference"/>
        </w:rPr>
        <w:footnoteReference w:id="25"/>
      </w:r>
    </w:p>
    <w:p w14:paraId="797B7C8B" w14:textId="6D7B5A8A" w:rsidR="00EA32C4" w:rsidRPr="000A57E1" w:rsidRDefault="00EA32C4" w:rsidP="00EA32C4">
      <w:pPr>
        <w:pStyle w:val="ListNumber2"/>
      </w:pPr>
      <w:r w:rsidRPr="000A57E1">
        <w:t xml:space="preserve">The terms of reference of the inquiry refer to ‘card-based cashless gaming’. The Committee notes that </w:t>
      </w:r>
      <w:r w:rsidR="009F00E8" w:rsidRPr="000A57E1">
        <w:t xml:space="preserve">this </w:t>
      </w:r>
      <w:r w:rsidRPr="000A57E1">
        <w:t>may refer to a physical or digital card (for example, a card held in a smart phone digital wallet)</w:t>
      </w:r>
      <w:r w:rsidR="004E1658" w:rsidRPr="000A57E1">
        <w:t>, potentially including a bankcard</w:t>
      </w:r>
      <w:r w:rsidRPr="000A57E1">
        <w:t xml:space="preserve">. For the purposes of this inquiry, cashless gaming will be broadly considered as </w:t>
      </w:r>
      <w:r w:rsidR="009F00E8" w:rsidRPr="000A57E1">
        <w:t>using</w:t>
      </w:r>
      <w:r w:rsidRPr="000A57E1">
        <w:t xml:space="preserve"> an EGM without the use of cash. </w:t>
      </w:r>
    </w:p>
    <w:p w14:paraId="1165DF34" w14:textId="6B7CF450" w:rsidR="00EA32C4" w:rsidRPr="000A57E1" w:rsidRDefault="00EA32C4" w:rsidP="00EA32C4">
      <w:pPr>
        <w:pStyle w:val="ListNumber2"/>
      </w:pPr>
      <w:r w:rsidRPr="000A57E1">
        <w:t xml:space="preserve">The Labor Club Group told the Committee that they understand that most venue systems operating in the ACT have the functionality to enable a cashless gaming program that operations </w:t>
      </w:r>
      <w:proofErr w:type="gramStart"/>
      <w:r w:rsidRPr="000A57E1">
        <w:t>similar to</w:t>
      </w:r>
      <w:proofErr w:type="gramEnd"/>
      <w:r w:rsidRPr="000A57E1">
        <w:t xml:space="preserve"> ‘ticket in, ticket out’ (TITO).</w:t>
      </w:r>
      <w:r w:rsidRPr="000A57E1">
        <w:rPr>
          <w:rStyle w:val="FootnoteReference"/>
        </w:rPr>
        <w:footnoteReference w:id="26"/>
      </w:r>
      <w:r w:rsidRPr="000A57E1">
        <w:t xml:space="preserve"> </w:t>
      </w:r>
    </w:p>
    <w:p w14:paraId="0C30875D" w14:textId="79AAFC2A" w:rsidR="00EA32C4" w:rsidRPr="000A57E1" w:rsidRDefault="00EA32C4" w:rsidP="00EA32C4">
      <w:pPr>
        <w:pStyle w:val="ListNumber2"/>
      </w:pPr>
      <w:proofErr w:type="spellStart"/>
      <w:r w:rsidRPr="000A57E1">
        <w:t>ClubsACT</w:t>
      </w:r>
      <w:proofErr w:type="spellEnd"/>
      <w:r w:rsidRPr="000A57E1">
        <w:t xml:space="preserve"> also told the Committee that two common methods for cashless gaming are TITO and card-based gaming.</w:t>
      </w:r>
      <w:r w:rsidRPr="000A57E1">
        <w:rPr>
          <w:rStyle w:val="FootnoteReference"/>
        </w:rPr>
        <w:footnoteReference w:id="27"/>
      </w:r>
    </w:p>
    <w:p w14:paraId="3CC5BA7A" w14:textId="77777777" w:rsidR="00EA32C4" w:rsidRDefault="00EA32C4" w:rsidP="00570363">
      <w:pPr>
        <w:pStyle w:val="Heading2"/>
      </w:pPr>
      <w:bookmarkStart w:id="29" w:name="_Toc170201530"/>
      <w:r>
        <w:t>Matters related to cashless gaming</w:t>
      </w:r>
      <w:bookmarkEnd w:id="29"/>
    </w:p>
    <w:p w14:paraId="088F9CEF" w14:textId="77777777" w:rsidR="00EA32C4" w:rsidRDefault="00EA32C4" w:rsidP="00570363">
      <w:pPr>
        <w:pStyle w:val="Heading3"/>
      </w:pPr>
      <w:bookmarkStart w:id="30" w:name="_Toc170201531"/>
      <w:r>
        <w:t>Money laundering</w:t>
      </w:r>
      <w:bookmarkEnd w:id="30"/>
    </w:p>
    <w:p w14:paraId="088442A9" w14:textId="693A4A01" w:rsidR="00EA32C4" w:rsidRDefault="00EA32C4" w:rsidP="00EA32C4">
      <w:pPr>
        <w:pStyle w:val="ListNumber2"/>
      </w:pPr>
      <w:r>
        <w:t>Cashless gaming is seen as a way of minimising criminal activity through money laundering.  The Gambling Technologies Association (GTA) told the Committee that a system that tracked transactions is likely to be useful from a law enforcement perspective.</w:t>
      </w:r>
      <w:r>
        <w:rPr>
          <w:rStyle w:val="FootnoteReference"/>
        </w:rPr>
        <w:footnoteReference w:id="28"/>
      </w:r>
      <w:r>
        <w:t xml:space="preserve">  This was also noted by Professor Gainsbury who </w:t>
      </w:r>
      <w:r w:rsidR="00C02CA6">
        <w:t xml:space="preserve">advised </w:t>
      </w:r>
      <w:r>
        <w:t>that there was sufficient evidence to support this.</w:t>
      </w:r>
      <w:r>
        <w:rPr>
          <w:rStyle w:val="FootnoteReference"/>
        </w:rPr>
        <w:footnoteReference w:id="29"/>
      </w:r>
    </w:p>
    <w:p w14:paraId="7396FB1F" w14:textId="2678F688" w:rsidR="00CB2AEE" w:rsidRDefault="00EA32C4" w:rsidP="00862A69">
      <w:pPr>
        <w:pStyle w:val="ListNumber2"/>
      </w:pPr>
      <w:proofErr w:type="spellStart"/>
      <w:r>
        <w:t>Clubs</w:t>
      </w:r>
      <w:r w:rsidR="00CB2AEE">
        <w:t>ACT</w:t>
      </w:r>
      <w:proofErr w:type="spellEnd"/>
      <w:r>
        <w:t xml:space="preserve"> </w:t>
      </w:r>
      <w:r w:rsidR="00CB2AEE">
        <w:t>told</w:t>
      </w:r>
      <w:r>
        <w:t xml:space="preserve"> the Committee that money laundering is not an issue in the ACT.</w:t>
      </w:r>
      <w:r w:rsidR="00CB2AEE">
        <w:t xml:space="preserve"> In their submission, they noted that Michael Phelan APM, the former head of the Australian Criminal Intelligence Commission and the Deputy Commissioner of the Australian Federal Police had confirmed to </w:t>
      </w:r>
      <w:proofErr w:type="spellStart"/>
      <w:r w:rsidR="00CB2AEE">
        <w:t>ClubsACT</w:t>
      </w:r>
      <w:proofErr w:type="spellEnd"/>
      <w:r w:rsidR="00CB2AEE">
        <w:t xml:space="preserve"> and their members at a public forum that ‘there are no </w:t>
      </w:r>
      <w:r w:rsidR="00CB2AEE">
        <w:lastRenderedPageBreak/>
        <w:t>law enforcement concerns about money laundering in Club venues in the ACT and it has not been identified as an issue’.</w:t>
      </w:r>
      <w:r>
        <w:rPr>
          <w:rStyle w:val="FootnoteReference"/>
        </w:rPr>
        <w:footnoteReference w:id="30"/>
      </w:r>
      <w:r w:rsidR="00CB2AEE">
        <w:t xml:space="preserve"> </w:t>
      </w:r>
    </w:p>
    <w:p w14:paraId="54FE0BF5" w14:textId="7C35F18F" w:rsidR="00EA32C4" w:rsidRDefault="00EA32C4" w:rsidP="00862A69">
      <w:pPr>
        <w:pStyle w:val="ListNumber2"/>
      </w:pPr>
      <w:r>
        <w:t>At the hearing</w:t>
      </w:r>
      <w:r w:rsidR="00C02CA6">
        <w:t>,</w:t>
      </w:r>
      <w:r>
        <w:t xml:space="preserve"> </w:t>
      </w:r>
      <w:proofErr w:type="spellStart"/>
      <w:r w:rsidR="00CB2AEE">
        <w:t>ClubsACT</w:t>
      </w:r>
      <w:proofErr w:type="spellEnd"/>
      <w:r>
        <w:t xml:space="preserve"> told the Committee that the small spending limit in the ACT was part of the reason: ‘</w:t>
      </w:r>
      <w:r w:rsidR="00C02CA6">
        <w:t>[t]</w:t>
      </w:r>
      <w:r>
        <w:t>o money launder, a $20 bet is a very slow way of getting rid of cash and trying to wash it, so there is a big disincentive there.’  At the hearing they also told the Committee that the money laundering issues identified by the NSW Criminal Intelligence Commission were mostly found in Casinos.</w:t>
      </w:r>
      <w:r>
        <w:rPr>
          <w:rStyle w:val="FootnoteReference"/>
        </w:rPr>
        <w:footnoteReference w:id="31"/>
      </w:r>
    </w:p>
    <w:p w14:paraId="311DA98B" w14:textId="7E4AD3E3" w:rsidR="00EA32C4" w:rsidRDefault="00EA32C4" w:rsidP="00EA32C4">
      <w:pPr>
        <w:pStyle w:val="ListNumber2"/>
      </w:pPr>
      <w:r>
        <w:t>The Tuggeranong Valley Rugby Union and Sports Club told the Committee that live monitoring systems are in place in their club that address money laundering concerns.</w:t>
      </w:r>
      <w:r>
        <w:rPr>
          <w:rStyle w:val="FootnoteReference"/>
        </w:rPr>
        <w:footnoteReference w:id="32"/>
      </w:r>
    </w:p>
    <w:p w14:paraId="59FE16C8" w14:textId="306CE0B0" w:rsidR="00EA32C4" w:rsidRDefault="00EA32C4" w:rsidP="00EA32C4">
      <w:pPr>
        <w:pStyle w:val="ListNumber2"/>
      </w:pPr>
      <w:r>
        <w:t xml:space="preserve">In a letter </w:t>
      </w:r>
      <w:r w:rsidR="00E85406">
        <w:t xml:space="preserve">to the Committee </w:t>
      </w:r>
      <w:r>
        <w:t xml:space="preserve">received on 18 December 2023, Deputy Commissioner Neil </w:t>
      </w:r>
      <w:proofErr w:type="spellStart"/>
      <w:r>
        <w:t>Gaughan</w:t>
      </w:r>
      <w:proofErr w:type="spellEnd"/>
      <w:r>
        <w:t xml:space="preserve"> advised that ACT Policing would support the introduction of cashless gaming in the ACT</w:t>
      </w:r>
      <w:r w:rsidR="00917030">
        <w:t xml:space="preserve">. Mr </w:t>
      </w:r>
      <w:proofErr w:type="spellStart"/>
      <w:r w:rsidR="00917030">
        <w:t>Gaughan</w:t>
      </w:r>
      <w:proofErr w:type="spellEnd"/>
      <w:r>
        <w:t xml:space="preserve"> not</w:t>
      </w:r>
      <w:r w:rsidR="00917030">
        <w:t>ed</w:t>
      </w:r>
      <w:r>
        <w:t xml:space="preserve"> that while ACT gaming activities </w:t>
      </w:r>
      <w:r w:rsidR="00E469D2">
        <w:t xml:space="preserve">were </w:t>
      </w:r>
      <w:r>
        <w:t xml:space="preserve">not considered by the NSW Crime Commission report </w:t>
      </w:r>
      <w:r w:rsidRPr="005A0E75">
        <w:rPr>
          <w:i/>
          <w:iCs/>
        </w:rPr>
        <w:t>Inquiry into Money Laundering via Electric Gaming Machines</w:t>
      </w:r>
      <w:r>
        <w:t xml:space="preserve"> due to jurisdiction limits, it could not be assumed that the significant money laundering activities identified in NSW where not occurring in the ACT.</w:t>
      </w:r>
      <w:r>
        <w:rPr>
          <w:rStyle w:val="FootnoteReference"/>
        </w:rPr>
        <w:footnoteReference w:id="33"/>
      </w:r>
    </w:p>
    <w:p w14:paraId="03BCD5F8" w14:textId="0D2C3E18" w:rsidR="00EA32C4" w:rsidRDefault="00EA32C4" w:rsidP="00EA32C4">
      <w:pPr>
        <w:pStyle w:val="ListNumber2"/>
      </w:pPr>
      <w:r>
        <w:t>The Australian Federal Police Association told the Committee that if NSW proceeds with cashless gaming reforms it is likely that the ACT would be an alternative target to conduct money laundering activities unless it takes similar action.</w:t>
      </w:r>
      <w:r>
        <w:rPr>
          <w:rStyle w:val="FootnoteReference"/>
        </w:rPr>
        <w:footnoteReference w:id="34"/>
      </w:r>
      <w:r>
        <w:t xml:space="preserve">  </w:t>
      </w:r>
    </w:p>
    <w:p w14:paraId="7E69405D" w14:textId="2491642D" w:rsidR="00EA32C4" w:rsidRDefault="00EA32C4" w:rsidP="00EA32C4">
      <w:pPr>
        <w:pStyle w:val="ListNumber2"/>
      </w:pPr>
      <w:r>
        <w:t>This view was also supported by ACTCOSS</w:t>
      </w:r>
      <w:r w:rsidR="0086394E">
        <w:t xml:space="preserve"> (ACT Council of Social Services)</w:t>
      </w:r>
      <w:r>
        <w:t>:</w:t>
      </w:r>
    </w:p>
    <w:p w14:paraId="26D7359C" w14:textId="77777777" w:rsidR="00EA32C4" w:rsidRDefault="00EA32C4" w:rsidP="00EA32C4">
      <w:pPr>
        <w:pStyle w:val="ListNumber2"/>
        <w:numPr>
          <w:ilvl w:val="0"/>
          <w:numId w:val="0"/>
        </w:numPr>
        <w:ind w:left="1440"/>
      </w:pPr>
      <w:r w:rsidRPr="001A16D0">
        <w:rPr>
          <w:rStyle w:val="QuoteChar"/>
        </w:rPr>
        <w:t>Estimations of the amount of money laundering in New South Wales alone put it in the hundreds of millions to a billion plus per year. If we continue to stay behind other jurisdictions, we will absolutely become a focus for money laundering, because Victoria, Queensland and New South Wales are all out in front and we would be the natural place where that would be redirected to.</w:t>
      </w:r>
      <w:r>
        <w:rPr>
          <w:rStyle w:val="FootnoteReference"/>
        </w:rPr>
        <w:footnoteReference w:id="35"/>
      </w:r>
    </w:p>
    <w:p w14:paraId="29306509" w14:textId="60EE600D" w:rsidR="00EA32C4" w:rsidRDefault="00EA32C4" w:rsidP="00EA32C4">
      <w:pPr>
        <w:pStyle w:val="ListNumber2"/>
      </w:pPr>
      <w:r>
        <w:t xml:space="preserve">However, ACTCOSS considered that addressing money laundering would be most effective with a Central Monitoring </w:t>
      </w:r>
      <w:r w:rsidRPr="00407196">
        <w:t>System (CMS</w:t>
      </w:r>
      <w:r w:rsidR="004E1658" w:rsidRPr="00407196">
        <w:t>)</w:t>
      </w:r>
      <w:r w:rsidR="004E1658">
        <w:t>:</w:t>
      </w:r>
      <w:r w:rsidR="004E1658" w:rsidRPr="00407196">
        <w:rPr>
          <w:rStyle w:val="FootnoteReference"/>
        </w:rPr>
        <w:footnoteReference w:id="36"/>
      </w:r>
      <w:r w:rsidR="004E1658">
        <w:t xml:space="preserve">  </w:t>
      </w:r>
    </w:p>
    <w:p w14:paraId="5E55D70F" w14:textId="77777777" w:rsidR="004E1658" w:rsidRPr="003B4E52" w:rsidRDefault="004E1658" w:rsidP="004E1658">
      <w:pPr>
        <w:pStyle w:val="Quote"/>
        <w:rPr>
          <w:rStyle w:val="QuoteChar"/>
        </w:rPr>
      </w:pPr>
      <w:r w:rsidRPr="005C2D0A">
        <w:rPr>
          <w:rStyle w:val="QuoteChar"/>
        </w:rPr>
        <w:t>The one additional point I would make about a central monitoring system is that the risks of money laundering are not dealt with as effectively without a central monitoring system, so it is quite important for both the harm reduction and the anti-money laundering features.</w:t>
      </w:r>
      <w:r w:rsidRPr="003B4E52">
        <w:rPr>
          <w:rStyle w:val="QuoteChar"/>
          <w:vertAlign w:val="superscript"/>
        </w:rPr>
        <w:footnoteReference w:id="37"/>
      </w:r>
      <w:r w:rsidRPr="003B4E52">
        <w:rPr>
          <w:rStyle w:val="QuoteChar"/>
        </w:rPr>
        <w:t xml:space="preserve">  </w:t>
      </w:r>
    </w:p>
    <w:p w14:paraId="4BCB8162" w14:textId="73EB037C" w:rsidR="00066208" w:rsidRPr="00FA6764" w:rsidRDefault="00066208" w:rsidP="00D85EEA">
      <w:pPr>
        <w:pStyle w:val="ListNumber2"/>
      </w:pPr>
      <w:r w:rsidRPr="00FA6764">
        <w:t>This view conflicts with the</w:t>
      </w:r>
      <w:r w:rsidR="00570363" w:rsidRPr="00FA6764">
        <w:t xml:space="preserve"> </w:t>
      </w:r>
      <w:r w:rsidRPr="00FA6764">
        <w:t>NSW Crime Commission report which</w:t>
      </w:r>
      <w:r w:rsidR="001B4821" w:rsidRPr="00FA6764">
        <w:t xml:space="preserve"> found that the centralised monitoring system in NSW was not designed to capture suspicious </w:t>
      </w:r>
      <w:r w:rsidR="00570363" w:rsidRPr="00FA6764">
        <w:t>activity and was therefore unable to identify money laundering. The report instead identified</w:t>
      </w:r>
      <w:r w:rsidRPr="00FA6764">
        <w:t xml:space="preserve"> </w:t>
      </w:r>
      <w:r w:rsidR="001B4821" w:rsidRPr="00FA6764">
        <w:t xml:space="preserve">that </w:t>
      </w:r>
      <w:r w:rsidRPr="00FA6764">
        <w:lastRenderedPageBreak/>
        <w:t xml:space="preserve">mandatory cashless gaming </w:t>
      </w:r>
      <w:r w:rsidR="001B4821" w:rsidRPr="00FA6764">
        <w:t>would ‘</w:t>
      </w:r>
      <w:r w:rsidRPr="00FA6764">
        <w:t>minimise money laundering associated with EGMs by removing anonymity and increasing traceability of EGM related transactions.’</w:t>
      </w:r>
      <w:r w:rsidR="001B4821" w:rsidRPr="00FA6764">
        <w:rPr>
          <w:rStyle w:val="FootnoteReference"/>
        </w:rPr>
        <w:footnoteReference w:id="38"/>
      </w:r>
      <w:r w:rsidRPr="00FA6764">
        <w:t xml:space="preserve"> </w:t>
      </w:r>
    </w:p>
    <w:p w14:paraId="40A0C90F" w14:textId="77777777" w:rsidR="00EA32C4" w:rsidRDefault="00EA32C4" w:rsidP="00570363">
      <w:pPr>
        <w:pStyle w:val="Heading3"/>
      </w:pPr>
      <w:bookmarkStart w:id="31" w:name="_Toc170201532"/>
      <w:r>
        <w:t>Reducing gambling harm</w:t>
      </w:r>
      <w:bookmarkEnd w:id="31"/>
    </w:p>
    <w:p w14:paraId="734E2687" w14:textId="381D7FD5" w:rsidR="00EA32C4" w:rsidRDefault="00EA32C4" w:rsidP="00EA32C4">
      <w:pPr>
        <w:pStyle w:val="ListNumber2"/>
      </w:pPr>
      <w:r w:rsidRPr="007637D4">
        <w:t xml:space="preserve">Many witnesses were of the view that cashless gaming </w:t>
      </w:r>
      <w:r>
        <w:t>is</w:t>
      </w:r>
      <w:r w:rsidRPr="007637D4">
        <w:t xml:space="preserve"> not a gambling harm minimisation tool </w:t>
      </w:r>
      <w:r w:rsidR="00917030">
        <w:t>by</w:t>
      </w:r>
      <w:r>
        <w:t xml:space="preserve"> </w:t>
      </w:r>
      <w:r w:rsidR="00917030">
        <w:t>itself but</w:t>
      </w:r>
      <w:r w:rsidRPr="007637D4">
        <w:t xml:space="preserve"> </w:t>
      </w:r>
      <w:r w:rsidR="00917030">
        <w:t>is</w:t>
      </w:r>
      <w:r>
        <w:t xml:space="preserve"> effective</w:t>
      </w:r>
      <w:r w:rsidRPr="007637D4">
        <w:t xml:space="preserve"> when introduced with features that target</w:t>
      </w:r>
      <w:r>
        <w:t>ed</w:t>
      </w:r>
      <w:r w:rsidRPr="007637D4">
        <w:t xml:space="preserve"> gambling harms</w:t>
      </w:r>
      <w:r>
        <w:t xml:space="preserve">.  </w:t>
      </w:r>
    </w:p>
    <w:p w14:paraId="18290055" w14:textId="0F3C8C45" w:rsidR="00EA32C4" w:rsidRPr="00694E8E" w:rsidRDefault="003D1730" w:rsidP="00EA32C4">
      <w:pPr>
        <w:pStyle w:val="ListNumber2"/>
      </w:pPr>
      <w:proofErr w:type="spellStart"/>
      <w:r w:rsidRPr="00694E8E">
        <w:t>ClubsACT</w:t>
      </w:r>
      <w:proofErr w:type="spellEnd"/>
      <w:r w:rsidRPr="00694E8E">
        <w:t xml:space="preserve"> and t</w:t>
      </w:r>
      <w:r w:rsidR="00EA32C4" w:rsidRPr="00694E8E">
        <w:t>he Labor Club Group told the Committee that cashless gaming on its own would not reduce gambling harm, noting that for some people budgeting can be easier using cash</w:t>
      </w:r>
      <w:r w:rsidR="00BD7CD3" w:rsidRPr="00694E8E">
        <w:t>.</w:t>
      </w:r>
      <w:r w:rsidR="00EA32C4" w:rsidRPr="00694E8E">
        <w:rPr>
          <w:rStyle w:val="FootnoteReference"/>
        </w:rPr>
        <w:footnoteReference w:id="39"/>
      </w:r>
      <w:r w:rsidR="00EA32C4" w:rsidRPr="00694E8E">
        <w:t xml:space="preserve">  </w:t>
      </w:r>
      <w:r w:rsidR="00BD7CD3" w:rsidRPr="00694E8E">
        <w:t xml:space="preserve">The Labor Club Group </w:t>
      </w:r>
      <w:r w:rsidR="00917030" w:rsidRPr="00694E8E">
        <w:t>advised that</w:t>
      </w:r>
      <w:r w:rsidR="00EA32C4" w:rsidRPr="00694E8E">
        <w:t xml:space="preserve"> other measures to minimise gambling harm would be strengthening self-exclusion processes, the use of existing programs such as gambling contact officers and facial recognition technology.  The</w:t>
      </w:r>
      <w:r w:rsidR="00F0105C" w:rsidRPr="00694E8E">
        <w:t xml:space="preserve"> Labor Club</w:t>
      </w:r>
      <w:r w:rsidR="00EA32C4" w:rsidRPr="00694E8E">
        <w:t xml:space="preserve"> cited evidence from a study by Responsible Gambling Victoria which found that </w:t>
      </w:r>
      <w:r w:rsidR="00DF5879" w:rsidRPr="00694E8E">
        <w:t>‘cashless gaming using monetary substitutes such as gaming cards will likely facilitate less controlled gambling behaviour, and potentially lead to gambling harm in some consumers</w:t>
      </w:r>
      <w:r w:rsidR="00EA32C4" w:rsidRPr="00694E8E">
        <w:t>.’</w:t>
      </w:r>
      <w:r w:rsidR="00EA32C4" w:rsidRPr="00694E8E">
        <w:rPr>
          <w:rStyle w:val="FootnoteReference"/>
        </w:rPr>
        <w:footnoteReference w:id="40"/>
      </w:r>
      <w:r w:rsidR="00EA32C4" w:rsidRPr="00694E8E">
        <w:t xml:space="preserve"> </w:t>
      </w:r>
    </w:p>
    <w:p w14:paraId="77FE76F2" w14:textId="7BC79C23" w:rsidR="00EA32C4" w:rsidRDefault="00EA32C4" w:rsidP="00EA32C4">
      <w:pPr>
        <w:pStyle w:val="ListNumber2"/>
      </w:pPr>
      <w:r>
        <w:t>The Salvation Army also raised concerns about cashless gaming on its own resulting in greater gambling harm due to removing</w:t>
      </w:r>
      <w:r w:rsidR="00917030">
        <w:t xml:space="preserve"> the</w:t>
      </w:r>
      <w:r>
        <w:t xml:space="preserve"> ‘friction and the inconvenience and delay’ of using cash</w:t>
      </w:r>
      <w:r w:rsidR="00917030">
        <w:t xml:space="preserve">. They </w:t>
      </w:r>
      <w:r>
        <w:t>highlight</w:t>
      </w:r>
      <w:r w:rsidR="00917030">
        <w:t>ed</w:t>
      </w:r>
      <w:r>
        <w:t xml:space="preserve"> the importance of considering gambling harm reduction when considering the implementation of cashless gaming.</w:t>
      </w:r>
      <w:r>
        <w:rPr>
          <w:rStyle w:val="FootnoteReference"/>
        </w:rPr>
        <w:footnoteReference w:id="41"/>
      </w:r>
    </w:p>
    <w:p w14:paraId="607A3646" w14:textId="45993D3E" w:rsidR="004E508E" w:rsidRDefault="004E508E" w:rsidP="004E508E">
      <w:pPr>
        <w:pStyle w:val="ListNumber2"/>
      </w:pPr>
      <w:r>
        <w:t xml:space="preserve">Professor Gainsbury </w:t>
      </w:r>
      <w:r w:rsidR="00917030">
        <w:t xml:space="preserve">shared a similar sentiment, </w:t>
      </w:r>
      <w:r w:rsidR="00654BF5">
        <w:t>informing</w:t>
      </w:r>
      <w:r>
        <w:t xml:space="preserve"> the Committee that there are substantial potential harms of cashless gaming (without harm prevention measures) as it is ‘frictionless’ making it easier for people to spend more and lose track of their spending.</w:t>
      </w:r>
      <w:r>
        <w:rPr>
          <w:rStyle w:val="FootnoteReference"/>
        </w:rPr>
        <w:footnoteReference w:id="42"/>
      </w:r>
    </w:p>
    <w:p w14:paraId="78261959" w14:textId="47A4FB3D" w:rsidR="00EA32C4" w:rsidRDefault="00EA32C4" w:rsidP="00EA32C4">
      <w:pPr>
        <w:pStyle w:val="ListNumber2"/>
      </w:pPr>
      <w:r>
        <w:t xml:space="preserve">The ANU Centre for Gambling Research also told the Committee that cashless payment methods can lead to increased expenditure and pace of play and </w:t>
      </w:r>
      <w:r w:rsidR="004E508E">
        <w:t xml:space="preserve">therefore </w:t>
      </w:r>
      <w:r>
        <w:t>should not be considered without including mandatory harm minimisation strategies including ‘behavioural tracking, personalised messaging and referral pathways to support services.’ It was noted that the harm minimisation benefits of cashless gaming are more due to the other harm minimisation tools that accompany cashless gaming.</w:t>
      </w:r>
      <w:r>
        <w:rPr>
          <w:rStyle w:val="FootnoteReference"/>
        </w:rPr>
        <w:footnoteReference w:id="43"/>
      </w:r>
      <w:r>
        <w:t xml:space="preserve"> </w:t>
      </w:r>
    </w:p>
    <w:p w14:paraId="772ED709" w14:textId="5A971611" w:rsidR="00EA32C4" w:rsidRDefault="00EA32C4" w:rsidP="00EA32C4">
      <w:pPr>
        <w:pStyle w:val="ListNumber2"/>
      </w:pPr>
      <w:r>
        <w:t>The ACT Government told the Committee that cashless gaming without protective measures would result in significant gambling harm risks.  They put forward a range of harm minimisation measures identified by the ACT Gambling and Racing Commission in their submission.</w:t>
      </w:r>
      <w:r>
        <w:rPr>
          <w:rStyle w:val="FootnoteReference"/>
        </w:rPr>
        <w:footnoteReference w:id="44"/>
      </w:r>
      <w:r w:rsidR="003D1730">
        <w:t xml:space="preserve"> </w:t>
      </w:r>
    </w:p>
    <w:p w14:paraId="1F4CD777" w14:textId="670A97A7" w:rsidR="00EA32C4" w:rsidRDefault="00EA32C4" w:rsidP="00EA32C4">
      <w:pPr>
        <w:pStyle w:val="ListNumber2"/>
      </w:pPr>
      <w:r>
        <w:t>The Alliance for Gambling Reform described a carded system with mandatory pre-commitment and binding limits as potentially ‘</w:t>
      </w:r>
      <w:r w:rsidR="007F3C75">
        <w:t>groundbreaking</w:t>
      </w:r>
      <w:r>
        <w:t>’ if implemented in the ACT</w:t>
      </w:r>
      <w:r w:rsidR="00654BF5">
        <w:t>,</w:t>
      </w:r>
      <w:r>
        <w:t xml:space="preserve"> </w:t>
      </w:r>
      <w:r w:rsidR="004E508E">
        <w:lastRenderedPageBreak/>
        <w:t>saying</w:t>
      </w:r>
      <w:r>
        <w:t xml:space="preserve"> that Canberrans lost $188 million in the last year</w:t>
      </w:r>
      <w:r w:rsidR="00E85406">
        <w:t xml:space="preserve"> (the ACT Government advised that the total player loss in the period 1 January 2023 to 31 December 2023 was $181,171,559.08 and $14,665,035.79 in January 2024)</w:t>
      </w:r>
      <w:r w:rsidR="00E85406">
        <w:rPr>
          <w:rStyle w:val="FootnoteReference"/>
        </w:rPr>
        <w:footnoteReference w:id="45"/>
      </w:r>
      <w:r>
        <w:t>.  They noted</w:t>
      </w:r>
      <w:r w:rsidR="004E508E" w:rsidRPr="004E508E">
        <w:t xml:space="preserve"> </w:t>
      </w:r>
      <w:r w:rsidR="004E508E">
        <w:t xml:space="preserve">while not a harm reduction measure on its own, </w:t>
      </w:r>
      <w:r>
        <w:t>cashless gaming had the ability to collect data to enable an approach tailored to the individual that could reduce gambling harm.</w:t>
      </w:r>
      <w:r>
        <w:rPr>
          <w:rStyle w:val="FootnoteReference"/>
        </w:rPr>
        <w:footnoteReference w:id="46"/>
      </w:r>
      <w:r>
        <w:t xml:space="preserve">  This view was supported by ACTCOSS who were in favour of cashless gaming providing it was set up </w:t>
      </w:r>
      <w:r w:rsidR="00654BF5">
        <w:t>to introduce a</w:t>
      </w:r>
      <w:r>
        <w:t xml:space="preserve"> range of harm minimisation measure</w:t>
      </w:r>
      <w:r w:rsidR="00654BF5">
        <w:t>s</w:t>
      </w:r>
      <w:r>
        <w:t>.</w:t>
      </w:r>
      <w:r>
        <w:rPr>
          <w:rStyle w:val="FootnoteReference"/>
        </w:rPr>
        <w:footnoteReference w:id="47"/>
      </w:r>
    </w:p>
    <w:p w14:paraId="61F2BD68" w14:textId="2B99C922" w:rsidR="00EA32C4" w:rsidRDefault="00EA32C4" w:rsidP="00EA32C4">
      <w:pPr>
        <w:pStyle w:val="ListNumber2"/>
      </w:pPr>
      <w:r>
        <w:t>The Alliance for Gambling Reform told the Committee that</w:t>
      </w:r>
      <w:r w:rsidR="00654BF5">
        <w:t>,</w:t>
      </w:r>
      <w:r>
        <w:t xml:space="preserve"> at Melbourne’s Crown Casino</w:t>
      </w:r>
      <w:r w:rsidR="00654BF5">
        <w:t>,</w:t>
      </w:r>
      <w:r>
        <w:t xml:space="preserve"> cashless gaming meant that people were required to show identification, and are then monitored, with machines disabling once the time or money limit was exceed</w:t>
      </w:r>
      <w:r w:rsidR="00FA2226">
        <w:t>ed</w:t>
      </w:r>
      <w:r>
        <w:t xml:space="preserve"> which helps with intervention.</w:t>
      </w:r>
      <w:r>
        <w:rPr>
          <w:rStyle w:val="FootnoteReference"/>
        </w:rPr>
        <w:footnoteReference w:id="48"/>
      </w:r>
    </w:p>
    <w:p w14:paraId="38591C11" w14:textId="77777777" w:rsidR="00EA32C4" w:rsidRDefault="00EA32C4" w:rsidP="00EA32C4">
      <w:pPr>
        <w:pStyle w:val="ListNumber2"/>
      </w:pPr>
      <w:r w:rsidRPr="00654BF5">
        <w:t>ACTCOSS spoke about the</w:t>
      </w:r>
      <w:r>
        <w:t xml:space="preserve"> benefits of cashless gaming with harm minimisation features providing friction in the gambling, with enforced breaks in gambling activity giving the gambler time to think and consider whether to continue gambling.</w:t>
      </w:r>
      <w:r>
        <w:rPr>
          <w:rStyle w:val="FootnoteReference"/>
        </w:rPr>
        <w:footnoteReference w:id="49"/>
      </w:r>
      <w:r>
        <w:t xml:space="preserve">  </w:t>
      </w:r>
    </w:p>
    <w:p w14:paraId="4D96977C" w14:textId="71367CAA" w:rsidR="00EA32C4" w:rsidRDefault="00EA32C4" w:rsidP="00EA32C4">
      <w:pPr>
        <w:pStyle w:val="ListNumber2"/>
      </w:pPr>
      <w:r>
        <w:t xml:space="preserve">In their submission, ACTCOSS supported cashless gaming with a strong emphasis of mitigating gambling harm.  They proposed that any cashless gaming system introduced in the ACT must have controls to minimise gambling harms, be linked to individuals, maintain </w:t>
      </w:r>
      <w:r w:rsidRPr="000A57E1">
        <w:t xml:space="preserve">privacy </w:t>
      </w:r>
      <w:r w:rsidR="00130F73" w:rsidRPr="000A57E1">
        <w:t xml:space="preserve">for individuals </w:t>
      </w:r>
      <w:r w:rsidRPr="000A57E1">
        <w:t>on</w:t>
      </w:r>
      <w:r>
        <w:t xml:space="preserve"> any data collected,</w:t>
      </w:r>
      <w:r w:rsidR="00654BF5">
        <w:t xml:space="preserve"> </w:t>
      </w:r>
      <w:r>
        <w:t xml:space="preserve">limit access to cash </w:t>
      </w:r>
      <w:r w:rsidRPr="007F3C75">
        <w:t>through ATMs and EFTPOS machines</w:t>
      </w:r>
      <w:r>
        <w:t xml:space="preserve"> at the venue, and </w:t>
      </w:r>
      <w:r w:rsidR="00654BF5">
        <w:t xml:space="preserve">be implemented in </w:t>
      </w:r>
      <w:r>
        <w:t>a staged approach as an alternative to a trial of cashless gaming.</w:t>
      </w:r>
      <w:r>
        <w:rPr>
          <w:rStyle w:val="FootnoteReference"/>
        </w:rPr>
        <w:footnoteReference w:id="50"/>
      </w:r>
    </w:p>
    <w:p w14:paraId="253E4BB0" w14:textId="77777777" w:rsidR="00EA32C4" w:rsidRDefault="00EA32C4" w:rsidP="00570363">
      <w:pPr>
        <w:pStyle w:val="Heading3"/>
      </w:pPr>
      <w:bookmarkStart w:id="32" w:name="_Toc170201533"/>
      <w:r>
        <w:t>Central Monitoring System</w:t>
      </w:r>
      <w:bookmarkEnd w:id="32"/>
    </w:p>
    <w:p w14:paraId="0EC36054" w14:textId="1CE9AEFB" w:rsidR="00570363" w:rsidRPr="00056153" w:rsidRDefault="00EA32C4" w:rsidP="00570363">
      <w:pPr>
        <w:pStyle w:val="ListNumber2"/>
      </w:pPr>
      <w:r>
        <w:t xml:space="preserve">The ACT Government described a </w:t>
      </w:r>
      <w:r w:rsidR="004E508E">
        <w:t>CMS</w:t>
      </w:r>
      <w:r>
        <w:t xml:space="preserve"> as being ‘backbone infrastructure’ required to implement cashless gaming.</w:t>
      </w:r>
      <w:r>
        <w:rPr>
          <w:rStyle w:val="FootnoteReference"/>
        </w:rPr>
        <w:footnoteReference w:id="51"/>
      </w:r>
      <w:r w:rsidR="00570363">
        <w:t xml:space="preserve"> </w:t>
      </w:r>
      <w:r w:rsidR="00570363" w:rsidRPr="00056153">
        <w:t xml:space="preserve">The </w:t>
      </w:r>
      <w:r w:rsidR="00570363">
        <w:t xml:space="preserve">Minister </w:t>
      </w:r>
      <w:r w:rsidR="00570363" w:rsidRPr="00056153">
        <w:t xml:space="preserve">also stated that a CMS would be the best way to facilitate the protective measures of cashless gaming, as it would prevent people getting around the protective measures applied at one venue by going to another. </w:t>
      </w:r>
      <w:r w:rsidR="00570363">
        <w:t>He</w:t>
      </w:r>
      <w:r w:rsidR="00570363" w:rsidRPr="00056153">
        <w:t xml:space="preserve"> referred to the experience in Victoria as an example</w:t>
      </w:r>
      <w:r w:rsidR="00570363" w:rsidRPr="00056153">
        <w:rPr>
          <w:rStyle w:val="FootnoteReference"/>
        </w:rPr>
        <w:footnoteReference w:id="52"/>
      </w:r>
      <w:r w:rsidR="00570363" w:rsidRPr="00056153">
        <w:t xml:space="preserve"> and cited evidence from the ANU Centre for Gambling Research:</w:t>
      </w:r>
    </w:p>
    <w:p w14:paraId="78532112" w14:textId="7097BAE9" w:rsidR="00570363" w:rsidRPr="007637D4" w:rsidRDefault="00570363" w:rsidP="00570363">
      <w:pPr>
        <w:pStyle w:val="Quote"/>
      </w:pPr>
      <w:r w:rsidRPr="00056153">
        <w:t xml:space="preserve">The ANU submission </w:t>
      </w:r>
      <w:proofErr w:type="gramStart"/>
      <w:r w:rsidRPr="00056153">
        <w:t>makes the observation</w:t>
      </w:r>
      <w:proofErr w:type="gramEnd"/>
      <w:r w:rsidRPr="00056153">
        <w:t xml:space="preserve"> that essentially having things like bet or load-up limits does not necessarily limit people’s spending. It might slow it down a little bit, but you can still spend a lot of money and lose a lot of money. That is the observation they make. </w:t>
      </w:r>
    </w:p>
    <w:p w14:paraId="7640147A" w14:textId="5DE4732B" w:rsidR="00EA32C4" w:rsidRDefault="00EA32C4" w:rsidP="00EA32C4">
      <w:pPr>
        <w:pStyle w:val="ListNumber2"/>
      </w:pPr>
      <w:r>
        <w:lastRenderedPageBreak/>
        <w:t xml:space="preserve">The </w:t>
      </w:r>
      <w:r w:rsidRPr="001E5EB6">
        <w:t xml:space="preserve">GTA said that a </w:t>
      </w:r>
      <w:r>
        <w:t>CMS</w:t>
      </w:r>
      <w:r w:rsidRPr="001E5EB6">
        <w:t xml:space="preserve"> is </w:t>
      </w:r>
      <w:r w:rsidR="00FA2226">
        <w:t>best looked at as</w:t>
      </w:r>
      <w:r w:rsidRPr="001E5EB6">
        <w:t xml:space="preserve"> a revenue collection tool, </w:t>
      </w:r>
      <w:r w:rsidR="00C02CA6">
        <w:t>with</w:t>
      </w:r>
      <w:r w:rsidR="00C02CA6" w:rsidRPr="001E5EB6">
        <w:t xml:space="preserve"> </w:t>
      </w:r>
      <w:r w:rsidRPr="001E5EB6">
        <w:t>harm minimisation achieved through auxiliary technologies, such as a cashless gaming system which would be an additional cost to the cost of a CMS.</w:t>
      </w:r>
      <w:r>
        <w:rPr>
          <w:rStyle w:val="FootnoteReference"/>
        </w:rPr>
        <w:footnoteReference w:id="53"/>
      </w:r>
    </w:p>
    <w:p w14:paraId="135E89E7" w14:textId="12361916" w:rsidR="00EA32C4" w:rsidRDefault="00EA32C4" w:rsidP="00EA32C4">
      <w:pPr>
        <w:pStyle w:val="ListNumber2"/>
      </w:pPr>
      <w:proofErr w:type="spellStart"/>
      <w:r>
        <w:t>ClubsACT</w:t>
      </w:r>
      <w:proofErr w:type="spellEnd"/>
      <w:r>
        <w:t xml:space="preserve"> advised that the cost of implementing a CMS was $70 million, which had been taken from the estimate of $50 million to $70 million determined by the industry for their submission to the 2022 government discussion paper on a CMS.</w:t>
      </w:r>
      <w:r>
        <w:rPr>
          <w:rStyle w:val="FootnoteReference"/>
        </w:rPr>
        <w:footnoteReference w:id="54"/>
      </w:r>
      <w:r>
        <w:t xml:space="preserve">  They added that there is also an additional $350,000 to $525,000 per month in operating costs and raised concerns about the ability of clubs to absorb this cost.</w:t>
      </w:r>
      <w:r>
        <w:rPr>
          <w:rStyle w:val="FootnoteReference"/>
        </w:rPr>
        <w:footnoteReference w:id="55"/>
      </w:r>
    </w:p>
    <w:p w14:paraId="2CDD26E1" w14:textId="23ADB42F" w:rsidR="00EA32C4" w:rsidRDefault="00EA32C4" w:rsidP="00EA32C4">
      <w:pPr>
        <w:pStyle w:val="ListNumber2"/>
      </w:pPr>
      <w:r>
        <w:t>The Gambling Treatment and Research Clinic told the Committee that a CMS has been used internationally and has many benefits as users are tracked</w:t>
      </w:r>
      <w:r w:rsidR="00654BF5">
        <w:t>. These include</w:t>
      </w:r>
      <w:r>
        <w:t xml:space="preserve"> assisting with preventing underage gambling, reducing money laundering, and facilitat</w:t>
      </w:r>
      <w:r w:rsidR="00654BF5">
        <w:t>ing</w:t>
      </w:r>
      <w:r>
        <w:t xml:space="preserve"> harm reduction measures such as allowing for feedback to </w:t>
      </w:r>
      <w:r w:rsidR="004D118E">
        <w:t>clients</w:t>
      </w:r>
      <w:r>
        <w:t xml:space="preserve"> about how much they are spending, allow</w:t>
      </w:r>
      <w:r w:rsidR="00654BF5">
        <w:t xml:space="preserve">ing </w:t>
      </w:r>
      <w:r w:rsidR="004D118E">
        <w:t>clients</w:t>
      </w:r>
      <w:r>
        <w:t xml:space="preserve"> to set a limit on how much they wish to spend, and monitor</w:t>
      </w:r>
      <w:r w:rsidR="00654BF5">
        <w:t>ing</w:t>
      </w:r>
      <w:r>
        <w:t xml:space="preserve"> for risky gambling with a view to targeting individuals requiring interventions.  </w:t>
      </w:r>
      <w:r w:rsidR="004B37BC">
        <w:t>Professor Gainsbury</w:t>
      </w:r>
      <w:r>
        <w:t xml:space="preserve"> noted that the risk of implementing cashless gaming on its own was that </w:t>
      </w:r>
      <w:r w:rsidR="004D118E">
        <w:t>clients</w:t>
      </w:r>
      <w:r>
        <w:t xml:space="preserve"> might spend more as it is harder to track their spending.</w:t>
      </w:r>
      <w:r>
        <w:rPr>
          <w:rStyle w:val="FootnoteReference"/>
        </w:rPr>
        <w:footnoteReference w:id="56"/>
      </w:r>
    </w:p>
    <w:p w14:paraId="3BD1B31F" w14:textId="6A06E7E2" w:rsidR="00EA32C4" w:rsidRDefault="00EA32C4" w:rsidP="0086394E">
      <w:pPr>
        <w:pStyle w:val="ListNumber2"/>
      </w:pPr>
      <w:r>
        <w:t xml:space="preserve">This was supported by the ANU Centre for Gambling Research who promoted the use of a mandatory universal account-based system to avoid ‘one person going to one club and then be able to do </w:t>
      </w:r>
      <w:r w:rsidR="00E469D2">
        <w:t>whatever</w:t>
      </w:r>
      <w:r>
        <w:t xml:space="preserve"> they wanted in another club’ citing jurisdictions such as Norway or Finland where it has worked.</w:t>
      </w:r>
      <w:r>
        <w:rPr>
          <w:rStyle w:val="FootnoteReference"/>
        </w:rPr>
        <w:footnoteReference w:id="57"/>
      </w:r>
      <w:r w:rsidR="0086394E">
        <w:t xml:space="preserve">  They said </w:t>
      </w:r>
      <w:r>
        <w:t>a CMS is required to ‘implement additional har</w:t>
      </w:r>
      <w:r w:rsidR="00E94FCD">
        <w:t>m</w:t>
      </w:r>
      <w:r>
        <w:t xml:space="preserve"> reduction strategies alongside cashless gaming to ensure product safety.’</w:t>
      </w:r>
      <w:r>
        <w:rPr>
          <w:rStyle w:val="FootnoteReference"/>
        </w:rPr>
        <w:footnoteReference w:id="58"/>
      </w:r>
    </w:p>
    <w:p w14:paraId="76D1802E" w14:textId="4C4A30B0" w:rsidR="00EA32C4" w:rsidRDefault="00EA32C4" w:rsidP="00EA32C4">
      <w:pPr>
        <w:pStyle w:val="ListNumber2"/>
      </w:pPr>
      <w:r>
        <w:t>ACTCOSS supported the use of a CMS, noting that without it, it can be easy for people to bypass harm minimisation measures:</w:t>
      </w:r>
    </w:p>
    <w:p w14:paraId="5E2F4F55" w14:textId="77777777" w:rsidR="00EA32C4" w:rsidRDefault="00EA32C4" w:rsidP="00DF5879">
      <w:pPr>
        <w:pStyle w:val="Quote"/>
      </w:pPr>
      <w:r w:rsidRPr="00302F91">
        <w:rPr>
          <w:rStyle w:val="QuoteChar"/>
        </w:rPr>
        <w:t xml:space="preserve">I think central monitoring is </w:t>
      </w:r>
      <w:proofErr w:type="gramStart"/>
      <w:r w:rsidRPr="00302F91">
        <w:rPr>
          <w:rStyle w:val="QuoteChar"/>
        </w:rPr>
        <w:t>really important</w:t>
      </w:r>
      <w:proofErr w:type="gramEnd"/>
      <w:r w:rsidRPr="00302F91">
        <w:rPr>
          <w:rStyle w:val="QuoteChar"/>
        </w:rPr>
        <w:t xml:space="preserve">, because we know that people who are experiencing dependence on gambling will simply switch venues. If you have any kind of limit, it is per venue. It is very simple to walk from one venue to the next, and that is absolutely what will occur. So having a system that encompasses the whole of the jurisdiction is </w:t>
      </w:r>
      <w:proofErr w:type="gramStart"/>
      <w:r w:rsidRPr="00302F91">
        <w:rPr>
          <w:rStyle w:val="QuoteChar"/>
        </w:rPr>
        <w:t>absolutely essential</w:t>
      </w:r>
      <w:proofErr w:type="gramEnd"/>
      <w:r w:rsidRPr="00302F91">
        <w:rPr>
          <w:rStyle w:val="QuoteChar"/>
        </w:rPr>
        <w:t xml:space="preserve"> if we want to minimise gambling harms</w:t>
      </w:r>
      <w:r>
        <w:t>.</w:t>
      </w:r>
      <w:r>
        <w:rPr>
          <w:rStyle w:val="FootnoteReference"/>
        </w:rPr>
        <w:footnoteReference w:id="59"/>
      </w:r>
    </w:p>
    <w:p w14:paraId="58035C00" w14:textId="77777777" w:rsidR="00EA32C4" w:rsidRDefault="00EA32C4" w:rsidP="00EA32C4">
      <w:pPr>
        <w:pStyle w:val="ListNumber2"/>
      </w:pPr>
      <w:r>
        <w:t>ACTCOSS did not think it was necessary to wait to fully design a cashless gaming model before implementing a CMS, saying that a system can be built with the ability to add in additional features.</w:t>
      </w:r>
      <w:r>
        <w:rPr>
          <w:rStyle w:val="FootnoteReference"/>
        </w:rPr>
        <w:footnoteReference w:id="60"/>
      </w:r>
    </w:p>
    <w:p w14:paraId="13ED49F7" w14:textId="00221210" w:rsidR="00EA32C4" w:rsidRDefault="00EA32C4" w:rsidP="00EA32C4">
      <w:pPr>
        <w:pStyle w:val="ListNumber2"/>
      </w:pPr>
      <w:r>
        <w:lastRenderedPageBreak/>
        <w:t xml:space="preserve">The Alliance for Gambling Reform noted the data from the CMS in Victoria in respect of cashless gaming at Melbourne’s Crown Casino had </w:t>
      </w:r>
      <w:r w:rsidR="004E508E">
        <w:t>resulted in</w:t>
      </w:r>
      <w:r>
        <w:t xml:space="preserve"> a reduction in use of </w:t>
      </w:r>
      <w:r w:rsidRPr="000A57E1">
        <w:t>EGMs</w:t>
      </w:r>
      <w:r w:rsidR="00130F73" w:rsidRPr="000A57E1">
        <w:t xml:space="preserve"> at the casino</w:t>
      </w:r>
      <w:r w:rsidRPr="000A57E1">
        <w:t>:</w:t>
      </w:r>
    </w:p>
    <w:p w14:paraId="113B33AB" w14:textId="3E09C5D7" w:rsidR="00EA32C4" w:rsidRPr="00E15B29" w:rsidRDefault="00EA32C4" w:rsidP="00EA32C4">
      <w:pPr>
        <w:pStyle w:val="Quote"/>
      </w:pPr>
      <w:r>
        <w:t xml:space="preserve">Crown’s pokies with the cashless card are down about 20 to 25 per cent, which is what you would expect with people when they are setting their limits and not mesmerised or hypnotised in front of a machine. In setting the limits beforehand you would expect it to be down, and that is great. The central monitoring system in Victoria allows us to know that the pokies within five kilometres radius of Crown, which do not have the card, are all up. A central monitoring that gives us </w:t>
      </w:r>
      <w:r w:rsidRPr="00E15B29">
        <w:t>that visibility about displacement is a very critical part.</w:t>
      </w:r>
      <w:r w:rsidRPr="00E15B29">
        <w:rPr>
          <w:rStyle w:val="FootnoteReference"/>
        </w:rPr>
        <w:footnoteReference w:id="61"/>
      </w:r>
      <w:r w:rsidR="00130F73">
        <w:t xml:space="preserve"> </w:t>
      </w:r>
    </w:p>
    <w:p w14:paraId="5E1E4A23" w14:textId="77777777" w:rsidR="00BD7CD3" w:rsidRDefault="00EA32C4" w:rsidP="00EA32C4">
      <w:pPr>
        <w:pStyle w:val="ListNumber2"/>
      </w:pPr>
      <w:r w:rsidRPr="00E15B29">
        <w:t>The Alliance for Gambling Reform noted that while the elimination of EGMs would be the ideal strategy to reduce gambling harms</w:t>
      </w:r>
      <w:r w:rsidR="004E508E">
        <w:t xml:space="preserve"> (rather than </w:t>
      </w:r>
      <w:r w:rsidRPr="00E15B29">
        <w:t>implementing a CMS</w:t>
      </w:r>
      <w:r w:rsidR="004E508E">
        <w:t>)</w:t>
      </w:r>
      <w:r w:rsidRPr="00E15B29">
        <w:t xml:space="preserve"> there were concerns about how long this might take.</w:t>
      </w:r>
      <w:r w:rsidRPr="00E15B29">
        <w:rPr>
          <w:rStyle w:val="FootnoteReference"/>
        </w:rPr>
        <w:footnoteReference w:id="62"/>
      </w:r>
      <w:r>
        <w:t xml:space="preserve"> </w:t>
      </w:r>
    </w:p>
    <w:p w14:paraId="75B0DC67" w14:textId="77777777" w:rsidR="00BD7CD3" w:rsidRDefault="00BD7CD3" w:rsidP="00BD7CD3">
      <w:pPr>
        <w:pStyle w:val="ListNumber2"/>
      </w:pPr>
      <w:r>
        <w:t>GTA told the Committee that it was important that policy objectives were understood before designing a system, as had been the case in NSW:</w:t>
      </w:r>
    </w:p>
    <w:p w14:paraId="1D0456FA" w14:textId="400D7CA8" w:rsidR="00BD7CD3" w:rsidRDefault="00E96FD6" w:rsidP="00BD7CD3">
      <w:pPr>
        <w:pStyle w:val="Quote"/>
      </w:pPr>
      <w:r>
        <w:t>…</w:t>
      </w:r>
      <w:r w:rsidR="00BD7CD3">
        <w:t xml:space="preserve"> from a harm minimisation perspective, and from our submission, you need to understand what your policy objectives are before you design a system. In respect of New South Wales, the elected government had identified some proven harm minimisation tools that they would like to see implemented in our jurisdiction over </w:t>
      </w:r>
      <w:proofErr w:type="gramStart"/>
      <w:r w:rsidR="00BD7CD3">
        <w:t>a period of time</w:t>
      </w:r>
      <w:proofErr w:type="gramEnd"/>
      <w:r w:rsidR="00BD7CD3">
        <w:t>, and they have left it to the panel to consider other potential harm minimisation initiatives that could be applied over the top of that.</w:t>
      </w:r>
      <w:r w:rsidR="00BD7CD3">
        <w:rPr>
          <w:rStyle w:val="FootnoteReference"/>
        </w:rPr>
        <w:footnoteReference w:id="63"/>
      </w:r>
    </w:p>
    <w:p w14:paraId="4A897C87" w14:textId="2023165C" w:rsidR="00BD7CD3" w:rsidRDefault="00BD7CD3" w:rsidP="00BD7CD3">
      <w:pPr>
        <w:pStyle w:val="ListNumber2"/>
      </w:pPr>
      <w:r>
        <w:t>The Minister rejected claims made at the hearing that the CMS was solely a tax administration tool</w:t>
      </w:r>
      <w:r w:rsidR="009D07D6">
        <w:rPr>
          <w:rStyle w:val="FootnoteReference"/>
        </w:rPr>
        <w:footnoteReference w:id="64"/>
      </w:r>
      <w:r>
        <w:t xml:space="preserve"> and at an estimated cost of $70 million there should be a clearer position on harm minimisation policies before implementing a CMS.</w:t>
      </w:r>
      <w:r>
        <w:rPr>
          <w:rStyle w:val="FootnoteReference"/>
        </w:rPr>
        <w:footnoteReference w:id="65"/>
      </w:r>
      <w:r>
        <w:t xml:space="preserve">  He also rejected concerns that if the ACT Government implemented a CMS, then this would prevent the </w:t>
      </w:r>
      <w:r w:rsidR="00C02CA6">
        <w:t>g</w:t>
      </w:r>
      <w:r>
        <w:t>overnment from reducing numbers of EGMs, saying it would depend on the way the CMS is implemented and noting that the cost of $70 million for a CMS has been estimated based on research and is over five years, i.e. $14 million per year and contrasts with $180 million per year in profits from EGMs.</w:t>
      </w:r>
      <w:r>
        <w:rPr>
          <w:rStyle w:val="FootnoteReference"/>
        </w:rPr>
        <w:footnoteReference w:id="66"/>
      </w:r>
    </w:p>
    <w:p w14:paraId="30B7BF97" w14:textId="3343EEB0" w:rsidR="00E96FD6" w:rsidRDefault="00E96FD6" w:rsidP="00BD7CD3">
      <w:pPr>
        <w:pStyle w:val="ListNumber2"/>
      </w:pPr>
      <w:r>
        <w:t>The ACT government has not yet made decisions on the implementation of cashless gaming in the ACT, noting ongoing consultation on the implementation of a CMS.  The</w:t>
      </w:r>
      <w:r w:rsidR="00570363">
        <w:t xml:space="preserve"> Minister</w:t>
      </w:r>
      <w:r>
        <w:t xml:space="preserve"> maintained </w:t>
      </w:r>
      <w:r w:rsidR="00570363">
        <w:t>he was</w:t>
      </w:r>
      <w:r>
        <w:t xml:space="preserve"> of the view that a CMS with a pre-commitment measure attached should be implemented in the ACT.</w:t>
      </w:r>
      <w:r>
        <w:rPr>
          <w:rStyle w:val="FootnoteReference"/>
        </w:rPr>
        <w:footnoteReference w:id="67"/>
      </w:r>
      <w:r>
        <w:t xml:space="preserve">  </w:t>
      </w:r>
    </w:p>
    <w:p w14:paraId="3C7E1800" w14:textId="77777777" w:rsidR="00EA32C4" w:rsidRDefault="00EA32C4" w:rsidP="00570363">
      <w:pPr>
        <w:pStyle w:val="Heading3"/>
      </w:pPr>
      <w:bookmarkStart w:id="33" w:name="_Toc170201534"/>
      <w:r>
        <w:lastRenderedPageBreak/>
        <w:t>Mandatory or optional implementation</w:t>
      </w:r>
      <w:bookmarkEnd w:id="33"/>
    </w:p>
    <w:p w14:paraId="4C6B9369" w14:textId="77777777" w:rsidR="00EA32C4" w:rsidRDefault="00EA32C4" w:rsidP="00EA32C4">
      <w:pPr>
        <w:pStyle w:val="ListNumber2"/>
      </w:pPr>
      <w:r>
        <w:t>In submissions and at the hearing, many witnesses discussed whether cashless gaming should be introduced in the ACT on a mandatory or voluntary basis.</w:t>
      </w:r>
    </w:p>
    <w:p w14:paraId="71B56421" w14:textId="35F929CD" w:rsidR="004D118E" w:rsidRDefault="004D118E" w:rsidP="004D118E">
      <w:pPr>
        <w:pStyle w:val="ListNumber2"/>
      </w:pPr>
      <w:r>
        <w:t>The ACT Government told the Committee that the Victorian ‘</w:t>
      </w:r>
      <w:proofErr w:type="spellStart"/>
      <w:r>
        <w:t>YourPlay</w:t>
      </w:r>
      <w:proofErr w:type="spellEnd"/>
      <w:r>
        <w:t>’ system is not a mandatory requirement to use a cashless system, however, the proposed Tasmanian and Victorian systems will be mandatory.</w:t>
      </w:r>
      <w:r w:rsidRPr="00FD48EE">
        <w:rPr>
          <w:rStyle w:val="FootnoteReference"/>
        </w:rPr>
        <w:t xml:space="preserve"> </w:t>
      </w:r>
      <w:r>
        <w:rPr>
          <w:rStyle w:val="FootnoteReference"/>
        </w:rPr>
        <w:footnoteReference w:id="68"/>
      </w:r>
      <w:r w:rsidR="00B83D67">
        <w:t xml:space="preserve"> </w:t>
      </w:r>
    </w:p>
    <w:p w14:paraId="4F257963" w14:textId="4334349D" w:rsidR="00EA32C4" w:rsidRDefault="00EA32C4" w:rsidP="00724A8F">
      <w:pPr>
        <w:pStyle w:val="ListNumber2"/>
      </w:pPr>
      <w:r>
        <w:t xml:space="preserve">A voluntary introduction of cashless gaming was mostly supported by </w:t>
      </w:r>
      <w:r w:rsidR="007C0E05">
        <w:t>c</w:t>
      </w:r>
      <w:r>
        <w:t xml:space="preserve">lubs.  </w:t>
      </w:r>
      <w:proofErr w:type="spellStart"/>
      <w:r>
        <w:t>ClubsACT</w:t>
      </w:r>
      <w:proofErr w:type="spellEnd"/>
      <w:r>
        <w:t xml:space="preserve"> noted that they did not support mandatory cashless gaming as cash is still a legal form of tender.</w:t>
      </w:r>
      <w:r>
        <w:rPr>
          <w:rStyle w:val="FootnoteReference"/>
        </w:rPr>
        <w:footnoteReference w:id="69"/>
      </w:r>
      <w:r>
        <w:t xml:space="preserve">  They also proposed that a voluntary system so that </w:t>
      </w:r>
      <w:r w:rsidR="004D118E">
        <w:t>clients</w:t>
      </w:r>
      <w:r>
        <w:t xml:space="preserve"> could make personal decisions to suit their budgeting preferences.</w:t>
      </w:r>
      <w:r>
        <w:rPr>
          <w:rStyle w:val="FootnoteReference"/>
        </w:rPr>
        <w:footnoteReference w:id="70"/>
      </w:r>
      <w:r w:rsidR="00BD7CD3">
        <w:t xml:space="preserve"> </w:t>
      </w:r>
      <w:r>
        <w:t xml:space="preserve">The Labor Club also supported a cashless gaming system that was voluntary with </w:t>
      </w:r>
      <w:r w:rsidR="004D118E">
        <w:t xml:space="preserve">clients </w:t>
      </w:r>
      <w:r>
        <w:t>still able to use cash.</w:t>
      </w:r>
      <w:r>
        <w:rPr>
          <w:rStyle w:val="FootnoteReference"/>
        </w:rPr>
        <w:footnoteReference w:id="71"/>
      </w:r>
    </w:p>
    <w:p w14:paraId="7D16B5DB" w14:textId="77777777" w:rsidR="004D118E" w:rsidRDefault="004D118E" w:rsidP="004D118E">
      <w:pPr>
        <w:pStyle w:val="ListNumber2"/>
      </w:pPr>
      <w:r>
        <w:t>However, other witnesses argued that if introduced in the ACT, cashless gaming should be part of a mandatory system.</w:t>
      </w:r>
    </w:p>
    <w:p w14:paraId="43915A15" w14:textId="553AAA4D" w:rsidR="00EA32C4" w:rsidRDefault="00EA32C4" w:rsidP="00EA32C4">
      <w:pPr>
        <w:pStyle w:val="ListNumber2"/>
      </w:pPr>
      <w:r>
        <w:t>The ANU Centre of Gambling Research noted that more evidence on the benefits of cashless gaming would be beneficial as there are not many jurisdictions where cashless gaming is mandatory.  However, there was some evidence to support a mandatory system as nearly a third of players discarded their card when they reached pre</w:t>
      </w:r>
      <w:r w:rsidR="004D118E">
        <w:t>-</w:t>
      </w:r>
      <w:r>
        <w:t>commitment limits and switched to non-card playing.</w:t>
      </w:r>
      <w:r>
        <w:rPr>
          <w:rStyle w:val="FootnoteReference"/>
        </w:rPr>
        <w:footnoteReference w:id="72"/>
      </w:r>
      <w:r>
        <w:t xml:space="preserve">  </w:t>
      </w:r>
      <w:r w:rsidRPr="001E5EB6">
        <w:t>They said that due to this finding, cashless gaming should be mandatory, universally implemented and linked to a personal account and the account holder verified to reduce money laundering risks.</w:t>
      </w:r>
      <w:r w:rsidRPr="001E5EB6">
        <w:rPr>
          <w:rStyle w:val="FootnoteReference"/>
        </w:rPr>
        <w:footnoteReference w:id="73"/>
      </w:r>
    </w:p>
    <w:p w14:paraId="3A39B97C" w14:textId="3558BE88" w:rsidR="00EA32C4" w:rsidRDefault="00EA32C4" w:rsidP="00EA32C4">
      <w:pPr>
        <w:pStyle w:val="ListNumber2"/>
      </w:pPr>
      <w:r>
        <w:t xml:space="preserve">The University of Sydney Gambling Treatment and Research Centre also noted that there was </w:t>
      </w:r>
      <w:r w:rsidR="001C4BE3">
        <w:t>limited</w:t>
      </w:r>
      <w:r>
        <w:t xml:space="preserve"> evidence to help design a cashless system but </w:t>
      </w:r>
      <w:r w:rsidR="004D118E">
        <w:t>supported</w:t>
      </w:r>
      <w:r>
        <w:t xml:space="preserve"> a mandatory account-based system.</w:t>
      </w:r>
      <w:r>
        <w:rPr>
          <w:rStyle w:val="FootnoteReference"/>
        </w:rPr>
        <w:footnoteReference w:id="74"/>
      </w:r>
      <w:r>
        <w:t xml:space="preserve">  At the hearing they told the Committee that there was enough evidence to say a mandatory cashless or account-based system would be beneficial to minimise gambling harms and money-laundering.</w:t>
      </w:r>
      <w:r>
        <w:rPr>
          <w:rStyle w:val="FootnoteReference"/>
        </w:rPr>
        <w:footnoteReference w:id="75"/>
      </w:r>
      <w:r>
        <w:t xml:space="preserve">  They went on to say that it was very difficult to do a trial of a mandatory system due to the expense and difficulty of setting up the system.</w:t>
      </w:r>
      <w:r>
        <w:rPr>
          <w:rStyle w:val="FootnoteReference"/>
        </w:rPr>
        <w:footnoteReference w:id="76"/>
      </w:r>
    </w:p>
    <w:p w14:paraId="538DAC6D" w14:textId="2E3CC1EF" w:rsidR="00EA32C4" w:rsidRPr="00336124" w:rsidRDefault="00EA32C4" w:rsidP="00EA32C4">
      <w:pPr>
        <w:pStyle w:val="ListNumber2"/>
      </w:pPr>
      <w:r>
        <w:t>The Salvation Army also supported the introduction of mandatory cashless gaming to reduce gambling harm along with other mandatory harm minimisation features</w:t>
      </w:r>
      <w:r w:rsidR="00E94FCD">
        <w:t xml:space="preserve"> such as</w:t>
      </w:r>
      <w:r>
        <w:t xml:space="preserve"> time limits, pre-commitment, and a lock out period.</w:t>
      </w:r>
      <w:r>
        <w:rPr>
          <w:rStyle w:val="FootnoteReference"/>
        </w:rPr>
        <w:footnoteReference w:id="77"/>
      </w:r>
    </w:p>
    <w:p w14:paraId="7D1CBE64" w14:textId="443E7C0A" w:rsidR="00EA32C4" w:rsidRDefault="00EA32C4" w:rsidP="00EA32C4">
      <w:pPr>
        <w:pStyle w:val="ListNumber2"/>
      </w:pPr>
      <w:r>
        <w:lastRenderedPageBreak/>
        <w:t xml:space="preserve">The Alliance for Gambling Reform also strongly supported a mandatory cashless </w:t>
      </w:r>
      <w:r w:rsidR="0086394E">
        <w:t>account-based</w:t>
      </w:r>
      <w:r>
        <w:t xml:space="preserve"> system with mandatory pre-commitment, saying that a voluntary system is ‘self-defeating’ and </w:t>
      </w:r>
      <w:r w:rsidR="004D118E">
        <w:t>will</w:t>
      </w:r>
      <w:r>
        <w:t xml:space="preserve"> not minimise gambling harms for reduce criminal activity.</w:t>
      </w:r>
      <w:r>
        <w:rPr>
          <w:rStyle w:val="FootnoteReference"/>
        </w:rPr>
        <w:footnoteReference w:id="78"/>
      </w:r>
      <w:r>
        <w:t xml:space="preserve">  At the hearing they noted that a mandatory cashless card was recommended by the NSW Crime Commission report of 2022 and by the Victorian Responsible Gaming Foundation.</w:t>
      </w:r>
      <w:r>
        <w:rPr>
          <w:rStyle w:val="FootnoteReference"/>
        </w:rPr>
        <w:footnoteReference w:id="79"/>
      </w:r>
    </w:p>
    <w:p w14:paraId="52C0F8A4" w14:textId="58C57E85" w:rsidR="00EA32C4" w:rsidRDefault="00EA32C4" w:rsidP="00EA32C4">
      <w:pPr>
        <w:pStyle w:val="ListNumber2"/>
      </w:pPr>
      <w:r>
        <w:t xml:space="preserve">The Australian Federal Police Association recommended in their submission that the Government should introduce mandatory cashless gaming primarily to reduce opportunities for money laundering.  They noted that this would be in step with proposed systems in Tasmania and NSW, with cashless gaming proposed for casinos in Victoria, Western </w:t>
      </w:r>
      <w:proofErr w:type="gramStart"/>
      <w:r>
        <w:t>Australia</w:t>
      </w:r>
      <w:proofErr w:type="gramEnd"/>
      <w:r>
        <w:t xml:space="preserve"> and Queensland.</w:t>
      </w:r>
      <w:r>
        <w:rPr>
          <w:rStyle w:val="FootnoteReference"/>
        </w:rPr>
        <w:footnoteReference w:id="80"/>
      </w:r>
    </w:p>
    <w:p w14:paraId="500F7E39" w14:textId="46AD403E" w:rsidR="00EA32C4" w:rsidRPr="00E96FD6" w:rsidRDefault="00EA32C4" w:rsidP="00570363">
      <w:pPr>
        <w:pStyle w:val="Heading3"/>
      </w:pPr>
      <w:bookmarkStart w:id="34" w:name="_Toc170201535"/>
      <w:r w:rsidRPr="00E96FD6">
        <w:rPr>
          <w:rStyle w:val="Heading3Char"/>
          <w:b/>
        </w:rPr>
        <w:t>Cross border issues and other Australian development</w:t>
      </w:r>
      <w:r w:rsidRPr="00E96FD6">
        <w:t>s</w:t>
      </w:r>
      <w:bookmarkEnd w:id="34"/>
      <w:r w:rsidR="00B83D67" w:rsidRPr="00E96FD6">
        <w:t xml:space="preserve"> </w:t>
      </w:r>
    </w:p>
    <w:p w14:paraId="7D6A37F4" w14:textId="77777777" w:rsidR="00EA32C4" w:rsidRDefault="00EA32C4" w:rsidP="00EA32C4">
      <w:pPr>
        <w:pStyle w:val="ListNumber2"/>
      </w:pPr>
      <w:r>
        <w:t>As part of its terms of reference for the inquiry, the Committee sought to understand cross-jurisdictional issues that might arise from cashless gaming and experiences of other jurisdictions in cashless gaming trials.</w:t>
      </w:r>
    </w:p>
    <w:p w14:paraId="6EF19761" w14:textId="407E479F" w:rsidR="00EA32C4" w:rsidRDefault="00EA32C4" w:rsidP="00EA32C4">
      <w:pPr>
        <w:pStyle w:val="ListNumber2"/>
      </w:pPr>
      <w:proofErr w:type="spellStart"/>
      <w:r>
        <w:t>Clubs</w:t>
      </w:r>
      <w:r w:rsidR="00F131BF">
        <w:t>ACT</w:t>
      </w:r>
      <w:proofErr w:type="spellEnd"/>
      <w:r>
        <w:t xml:space="preserve"> told the Committee that their preference is for a national approach </w:t>
      </w:r>
      <w:r w:rsidR="00E94FCD">
        <w:t>to</w:t>
      </w:r>
      <w:r>
        <w:t xml:space="preserve"> implementing cashless gaming,</w:t>
      </w:r>
      <w:r>
        <w:rPr>
          <w:rStyle w:val="FootnoteReference"/>
        </w:rPr>
        <w:footnoteReference w:id="81"/>
      </w:r>
      <w:r>
        <w:t xml:space="preserve"> and that the ACT should be consistent with the approach in NSW to minimise cross border issues.</w:t>
      </w:r>
      <w:r>
        <w:rPr>
          <w:rStyle w:val="FootnoteReference"/>
        </w:rPr>
        <w:footnoteReference w:id="82"/>
      </w:r>
      <w:r>
        <w:t xml:space="preserve">  Regulatory harmonisation was also supported by GTA.</w:t>
      </w:r>
      <w:r>
        <w:rPr>
          <w:rStyle w:val="FootnoteReference"/>
        </w:rPr>
        <w:footnoteReference w:id="83"/>
      </w:r>
    </w:p>
    <w:p w14:paraId="6089C03B" w14:textId="7A825B3A" w:rsidR="00E96FD6" w:rsidRDefault="00E96FD6" w:rsidP="00EA32C4">
      <w:pPr>
        <w:pStyle w:val="ListNumber2"/>
      </w:pPr>
      <w:proofErr w:type="spellStart"/>
      <w:r w:rsidRPr="0073114B">
        <w:t>ClubsACT</w:t>
      </w:r>
      <w:proofErr w:type="spellEnd"/>
      <w:r w:rsidRPr="0073114B">
        <w:t xml:space="preserve"> noted that eliminating all EGMs in the ACT </w:t>
      </w:r>
      <w:r w:rsidR="00F131BF">
        <w:t xml:space="preserve">could result in people </w:t>
      </w:r>
      <w:r>
        <w:t>divert</w:t>
      </w:r>
      <w:r w:rsidR="00F131BF">
        <w:t xml:space="preserve">ing </w:t>
      </w:r>
      <w:r>
        <w:t xml:space="preserve">their gambling </w:t>
      </w:r>
      <w:r w:rsidRPr="0073114B">
        <w:t>over the border in Queanbeyan</w:t>
      </w:r>
      <w:r>
        <w:t xml:space="preserve"> instead and</w:t>
      </w:r>
      <w:r w:rsidRPr="0073114B">
        <w:t xml:space="preserve"> noted that this occurred during COVID </w:t>
      </w:r>
      <w:r>
        <w:t xml:space="preserve">when </w:t>
      </w:r>
      <w:r w:rsidRPr="0073114B">
        <w:t>Queanbeyan Clubs and pubs were open when there</w:t>
      </w:r>
      <w:r>
        <w:t xml:space="preserve"> were</w:t>
      </w:r>
      <w:r w:rsidRPr="0073114B">
        <w:t xml:space="preserve"> lockdowns in the ACT</w:t>
      </w:r>
      <w:r>
        <w:t>.</w:t>
      </w:r>
      <w:r w:rsidRPr="0073114B">
        <w:rPr>
          <w:rStyle w:val="FootnoteReference"/>
        </w:rPr>
        <w:footnoteReference w:id="84"/>
      </w:r>
    </w:p>
    <w:p w14:paraId="45495B4D" w14:textId="520766CF" w:rsidR="00EA32C4" w:rsidRDefault="00EA32C4" w:rsidP="00EA32C4">
      <w:pPr>
        <w:pStyle w:val="ListNumber2"/>
      </w:pPr>
      <w:r>
        <w:t>The ACT Government noted that from 1 July 2023, the NSW Government has a $500 credit limit for new EGMs which is expected to result in credit limits in new machines supplied to the A</w:t>
      </w:r>
      <w:r w:rsidR="001C4BE3">
        <w:t>CT</w:t>
      </w:r>
      <w:r>
        <w:t xml:space="preserve"> to also be $500.</w:t>
      </w:r>
      <w:r>
        <w:rPr>
          <w:rStyle w:val="FootnoteReference"/>
        </w:rPr>
        <w:footnoteReference w:id="85"/>
      </w:r>
      <w:r>
        <w:t xml:space="preserve">  At the hearing, the Minister told the Committee that while the </w:t>
      </w:r>
      <w:r w:rsidR="00FA2226">
        <w:t>Parliamentary and Governing Agreement (PAGA)</w:t>
      </w:r>
      <w:r>
        <w:t xml:space="preserve"> seeks alignment with NSW, he had concerns that NSW had the fewest restrictions on gaming measures in Australia and that this should be taken into account when seeking regulatory alignment.</w:t>
      </w:r>
      <w:r>
        <w:rPr>
          <w:rStyle w:val="FootnoteReference"/>
        </w:rPr>
        <w:footnoteReference w:id="86"/>
      </w:r>
    </w:p>
    <w:p w14:paraId="2A406494" w14:textId="77777777" w:rsidR="00EA32C4" w:rsidRDefault="00EA32C4" w:rsidP="00EA32C4">
      <w:pPr>
        <w:pStyle w:val="ListNumber2"/>
      </w:pPr>
      <w:r>
        <w:t>The Australian Federal Police Association noted that mandatory cashless gaming systems are proposed for casinos in Victoria, Western Australia and Queensland following various recommendations from royal commissioners, with NSW and Tasmania planning cashless gaming to all EGM venues.</w:t>
      </w:r>
      <w:r>
        <w:rPr>
          <w:rStyle w:val="FootnoteReference"/>
        </w:rPr>
        <w:footnoteReference w:id="87"/>
      </w:r>
    </w:p>
    <w:p w14:paraId="035F3FCF" w14:textId="5AE2D325" w:rsidR="00EA32C4" w:rsidRDefault="00EA32C4" w:rsidP="00570363">
      <w:pPr>
        <w:pStyle w:val="Heading4"/>
      </w:pPr>
      <w:r>
        <w:lastRenderedPageBreak/>
        <w:t>NSW trials</w:t>
      </w:r>
      <w:r w:rsidR="00B83D67">
        <w:t xml:space="preserve"> </w:t>
      </w:r>
    </w:p>
    <w:p w14:paraId="781FAAF5" w14:textId="26F238B5" w:rsidR="00EA32C4" w:rsidRDefault="00EA32C4" w:rsidP="00EA32C4">
      <w:pPr>
        <w:pStyle w:val="ListNumber2"/>
      </w:pPr>
      <w:r>
        <w:t xml:space="preserve">GTA as </w:t>
      </w:r>
      <w:r w:rsidR="00FA6764">
        <w:t>a</w:t>
      </w:r>
      <w:r>
        <w:t xml:space="preserve"> representative body for suppliers of gaming machine technologies spoke of their involvement in trials of cashless gaming in NSW under an industry funded ‘regulatory sandbox’.</w:t>
      </w:r>
      <w:r>
        <w:rPr>
          <w:rStyle w:val="FootnoteReference"/>
        </w:rPr>
        <w:footnoteReference w:id="88"/>
      </w:r>
      <w:r>
        <w:t xml:space="preserve"> </w:t>
      </w:r>
      <w:r>
        <w:rPr>
          <w:rStyle w:val="FootnoteReference"/>
        </w:rPr>
        <w:footnoteReference w:id="89"/>
      </w:r>
      <w:r>
        <w:t xml:space="preserve">  </w:t>
      </w:r>
    </w:p>
    <w:p w14:paraId="71EE7322" w14:textId="77777777" w:rsidR="00EA32C4" w:rsidRDefault="00EA32C4" w:rsidP="00EA32C4">
      <w:pPr>
        <w:pStyle w:val="ListNumber2"/>
      </w:pPr>
      <w:r>
        <w:t>There were three initial trials:</w:t>
      </w:r>
    </w:p>
    <w:p w14:paraId="63C3E28D" w14:textId="1831AF3B" w:rsidR="00EA32C4" w:rsidRDefault="00EA32C4" w:rsidP="00EA32C4">
      <w:pPr>
        <w:pStyle w:val="ListBullet2"/>
      </w:pPr>
      <w:r>
        <w:t>Aristocrats-West Newcastle – commenced in October 2022 on 140 machines using a digital wallet</w:t>
      </w:r>
      <w:r w:rsidR="007C0E05">
        <w:t>, and</w:t>
      </w:r>
      <w:r>
        <w:t xml:space="preserve"> concluded in June 2023</w:t>
      </w:r>
      <w:r w:rsidR="007C0E05">
        <w:t>;</w:t>
      </w:r>
    </w:p>
    <w:p w14:paraId="6CD71728" w14:textId="77777777" w:rsidR="00EA32C4" w:rsidRDefault="00EA32C4" w:rsidP="00EA32C4">
      <w:pPr>
        <w:pStyle w:val="ListBullet2"/>
      </w:pPr>
      <w:r>
        <w:t xml:space="preserve">IGT- Club York Trial – commenced in April 2023 on all 112 of the venue’s gaming machines using a digital wallet on a smart phone, and concluded in October 2023; and </w:t>
      </w:r>
    </w:p>
    <w:p w14:paraId="12A054DE" w14:textId="77777777" w:rsidR="00EA32C4" w:rsidRDefault="00EA32C4" w:rsidP="00EA32C4">
      <w:pPr>
        <w:pStyle w:val="ListBullet2"/>
      </w:pPr>
      <w:r>
        <w:t xml:space="preserve">Light &amp; Wonder/ALH Group Trial at the </w:t>
      </w:r>
      <w:proofErr w:type="spellStart"/>
      <w:r>
        <w:t>Crows</w:t>
      </w:r>
      <w:proofErr w:type="spellEnd"/>
      <w:r>
        <w:t xml:space="preserve"> Nest Hotel – Light &amp; Wonder has since withdrawn </w:t>
      </w:r>
      <w:proofErr w:type="gramStart"/>
      <w:r>
        <w:t>in order to</w:t>
      </w:r>
      <w:proofErr w:type="gramEnd"/>
      <w:r>
        <w:t xml:space="preserve"> participate in an expanded cashless gaming trial.</w:t>
      </w:r>
      <w:r>
        <w:rPr>
          <w:rStyle w:val="FootnoteReference"/>
        </w:rPr>
        <w:footnoteReference w:id="90"/>
      </w:r>
    </w:p>
    <w:p w14:paraId="2BE47B87" w14:textId="77777777" w:rsidR="00EA32C4" w:rsidRDefault="00EA32C4" w:rsidP="00EA32C4">
      <w:pPr>
        <w:pStyle w:val="ListNumber2"/>
      </w:pPr>
      <w:r>
        <w:t>An expanded cashless gaming trial has since commenced, overseen by the Independent Panel on Gaming Reform which is to report to the NSW Government in November 2024.  The trial includes five technology providers and 27 venues including 21 clubs and six hotels with more than 4,000 EGMs and is to operate under temporary changes to the gaming laws to enable the trial.  It is operating on a voluntary basis.</w:t>
      </w:r>
      <w:r>
        <w:rPr>
          <w:rStyle w:val="FootnoteReference"/>
        </w:rPr>
        <w:footnoteReference w:id="91"/>
      </w:r>
    </w:p>
    <w:p w14:paraId="7763AA54" w14:textId="77777777" w:rsidR="00EA32C4" w:rsidRDefault="00EA32C4" w:rsidP="00EA32C4">
      <w:pPr>
        <w:pStyle w:val="ListNumber2"/>
      </w:pPr>
      <w:r>
        <w:t>The ACT Government told the Committee that NSW has been trialling cashless gaming through localised systems although a CMS has been part of recommendations to the NSW Government.</w:t>
      </w:r>
      <w:r>
        <w:rPr>
          <w:rStyle w:val="FootnoteReference"/>
        </w:rPr>
        <w:footnoteReference w:id="92"/>
      </w:r>
    </w:p>
    <w:p w14:paraId="458A52E0" w14:textId="77777777" w:rsidR="00EA32C4" w:rsidRDefault="00EA32C4" w:rsidP="00570363">
      <w:pPr>
        <w:pStyle w:val="Heading4"/>
      </w:pPr>
      <w:r>
        <w:t>Tasmanian approach</w:t>
      </w:r>
    </w:p>
    <w:p w14:paraId="2B5384D6" w14:textId="77777777" w:rsidR="00862F3B" w:rsidRDefault="00EA32C4" w:rsidP="00862F3B">
      <w:pPr>
        <w:pStyle w:val="ListNumber2"/>
      </w:pPr>
      <w:r>
        <w:t>The ACT Government told the Committee that Tasmania has announced on 15 September 2022 that it intends to introduce a universal cashless gaming approach through a CMS with gambling pre-commitment.</w:t>
      </w:r>
      <w:r>
        <w:rPr>
          <w:rStyle w:val="FootnoteReference"/>
        </w:rPr>
        <w:footnoteReference w:id="93"/>
      </w:r>
      <w:r w:rsidR="00862F3B" w:rsidRPr="00862F3B">
        <w:t xml:space="preserve"> </w:t>
      </w:r>
    </w:p>
    <w:p w14:paraId="162D5392" w14:textId="0DFFD9CF" w:rsidR="00862F3B" w:rsidRDefault="00862F3B" w:rsidP="00862F3B">
      <w:pPr>
        <w:pStyle w:val="ListNumber2"/>
      </w:pPr>
      <w:r>
        <w:t>The Minister for Gaming reiterated the importance of a pre-commitment scheme, speaking favourably of the Tasmanian proposal to have a mandatory pre-commitment limit of $5000 in a year, $500 in a month and $100 per day.</w:t>
      </w:r>
      <w:r>
        <w:rPr>
          <w:rStyle w:val="FootnoteReference"/>
        </w:rPr>
        <w:footnoteReference w:id="94"/>
      </w:r>
    </w:p>
    <w:p w14:paraId="42CAA9BE" w14:textId="7FF9F7F6" w:rsidR="00EA32C4" w:rsidRDefault="00EA32C4" w:rsidP="00EA32C4">
      <w:pPr>
        <w:pStyle w:val="ListNumber2"/>
      </w:pPr>
      <w:r>
        <w:t xml:space="preserve">The Tasmanian Government announced it would work with </w:t>
      </w:r>
      <w:r w:rsidR="00E94FCD">
        <w:t xml:space="preserve">a </w:t>
      </w:r>
      <w:r>
        <w:t>new monitoring operator and provide venues with card-based gaming technology as a fee-based service.</w:t>
      </w:r>
      <w:r>
        <w:rPr>
          <w:rStyle w:val="FootnoteReference"/>
        </w:rPr>
        <w:footnoteReference w:id="95"/>
      </w:r>
    </w:p>
    <w:p w14:paraId="73DEB144" w14:textId="77777777" w:rsidR="00EA32C4" w:rsidRDefault="00EA32C4" w:rsidP="00EA32C4">
      <w:pPr>
        <w:pStyle w:val="ListNumber2"/>
      </w:pPr>
      <w:r>
        <w:lastRenderedPageBreak/>
        <w:t>The Tasmanian system is intended to be in place by December 2024 and will include harm minimisation measures such as:</w:t>
      </w:r>
    </w:p>
    <w:p w14:paraId="41437657" w14:textId="33AA9E31" w:rsidR="00EA32C4" w:rsidRPr="001C4BE3" w:rsidRDefault="00EA32C4" w:rsidP="00EA32C4">
      <w:pPr>
        <w:pStyle w:val="ListNumber3"/>
        <w:numPr>
          <w:ilvl w:val="2"/>
          <w:numId w:val="31"/>
        </w:numPr>
        <w:rPr>
          <w:rFonts w:cstheme="minorBidi"/>
          <w:bCs w:val="0"/>
          <w:color w:val="auto"/>
          <w:szCs w:val="22"/>
        </w:rPr>
      </w:pPr>
      <w:r w:rsidRPr="001C4BE3">
        <w:rPr>
          <w:rFonts w:cstheme="minorBidi"/>
          <w:bCs w:val="0"/>
          <w:color w:val="auto"/>
          <w:szCs w:val="22"/>
        </w:rPr>
        <w:t>Maximum default losses</w:t>
      </w:r>
      <w:r w:rsidR="00E94FCD" w:rsidRPr="001C4BE3">
        <w:rPr>
          <w:rFonts w:cstheme="minorBidi"/>
          <w:bCs w:val="0"/>
          <w:color w:val="auto"/>
          <w:szCs w:val="22"/>
        </w:rPr>
        <w:t>;</w:t>
      </w:r>
    </w:p>
    <w:p w14:paraId="541FAC2A" w14:textId="7EEEF590" w:rsidR="00EA32C4" w:rsidRPr="001C4BE3" w:rsidRDefault="00EA32C4" w:rsidP="00EA32C4">
      <w:pPr>
        <w:pStyle w:val="ListNumber3"/>
        <w:numPr>
          <w:ilvl w:val="2"/>
          <w:numId w:val="31"/>
        </w:numPr>
        <w:rPr>
          <w:rFonts w:cstheme="minorBidi"/>
          <w:bCs w:val="0"/>
          <w:color w:val="auto"/>
          <w:szCs w:val="22"/>
        </w:rPr>
      </w:pPr>
      <w:r w:rsidRPr="001C4BE3">
        <w:rPr>
          <w:rFonts w:cstheme="minorBidi"/>
          <w:bCs w:val="0"/>
          <w:color w:val="auto"/>
          <w:szCs w:val="22"/>
        </w:rPr>
        <w:t xml:space="preserve">Daily </w:t>
      </w:r>
      <w:r w:rsidR="002D2F42" w:rsidRPr="001C4BE3">
        <w:rPr>
          <w:rFonts w:cstheme="minorBidi"/>
          <w:bCs w:val="0"/>
          <w:color w:val="auto"/>
          <w:szCs w:val="22"/>
        </w:rPr>
        <w:t>limits;</w:t>
      </w:r>
    </w:p>
    <w:p w14:paraId="5E1CA8D0" w14:textId="0F2D5FFB" w:rsidR="00EA32C4" w:rsidRPr="001C4BE3" w:rsidRDefault="00EA32C4" w:rsidP="00EA32C4">
      <w:pPr>
        <w:pStyle w:val="ListNumber3"/>
        <w:numPr>
          <w:ilvl w:val="2"/>
          <w:numId w:val="31"/>
        </w:numPr>
        <w:rPr>
          <w:rFonts w:cstheme="minorBidi"/>
          <w:bCs w:val="0"/>
          <w:color w:val="auto"/>
          <w:szCs w:val="22"/>
        </w:rPr>
      </w:pPr>
      <w:r w:rsidRPr="001C4BE3">
        <w:rPr>
          <w:rFonts w:cstheme="minorBidi"/>
          <w:bCs w:val="0"/>
          <w:color w:val="auto"/>
          <w:szCs w:val="22"/>
        </w:rPr>
        <w:t>Messaging regarding progress towards limits</w:t>
      </w:r>
      <w:r w:rsidR="00E94FCD" w:rsidRPr="001C4BE3">
        <w:rPr>
          <w:rFonts w:cstheme="minorBidi"/>
          <w:bCs w:val="0"/>
          <w:color w:val="auto"/>
          <w:szCs w:val="22"/>
        </w:rPr>
        <w:t>; and</w:t>
      </w:r>
    </w:p>
    <w:p w14:paraId="46010DA2" w14:textId="77777777" w:rsidR="00FA6764" w:rsidRPr="00FA6764" w:rsidRDefault="00EA32C4" w:rsidP="00FA6764">
      <w:pPr>
        <w:pStyle w:val="ListNumber3"/>
        <w:numPr>
          <w:ilvl w:val="2"/>
          <w:numId w:val="31"/>
        </w:numPr>
        <w:rPr>
          <w:rFonts w:cstheme="minorBidi"/>
          <w:bCs w:val="0"/>
          <w:color w:val="auto"/>
          <w:szCs w:val="22"/>
        </w:rPr>
      </w:pPr>
      <w:r w:rsidRPr="00FA6764">
        <w:rPr>
          <w:rFonts w:cstheme="minorBidi"/>
          <w:bCs w:val="0"/>
          <w:color w:val="auto"/>
          <w:szCs w:val="22"/>
        </w:rPr>
        <w:t>Breaks in play</w:t>
      </w:r>
      <w:r w:rsidR="00E94FCD" w:rsidRPr="00FA6764">
        <w:rPr>
          <w:rFonts w:cstheme="minorBidi"/>
          <w:bCs w:val="0"/>
          <w:color w:val="auto"/>
          <w:szCs w:val="22"/>
        </w:rPr>
        <w:t>.</w:t>
      </w:r>
      <w:r w:rsidRPr="00FA6764">
        <w:rPr>
          <w:rFonts w:cstheme="minorBidi"/>
          <w:bCs w:val="0"/>
          <w:color w:val="auto"/>
          <w:szCs w:val="22"/>
          <w:vertAlign w:val="superscript"/>
        </w:rPr>
        <w:footnoteReference w:id="96"/>
      </w:r>
    </w:p>
    <w:p w14:paraId="6A3A193D" w14:textId="0D0CFAE0" w:rsidR="00EA32C4" w:rsidRDefault="00EA32C4" w:rsidP="00570363">
      <w:pPr>
        <w:pStyle w:val="Heading4"/>
      </w:pPr>
      <w:r>
        <w:t xml:space="preserve">Victorian </w:t>
      </w:r>
      <w:r w:rsidR="00E96FD6">
        <w:t>a</w:t>
      </w:r>
      <w:r>
        <w:t>pproach</w:t>
      </w:r>
    </w:p>
    <w:p w14:paraId="51E72DF9" w14:textId="1135F0C5" w:rsidR="00EA32C4" w:rsidRDefault="00EA32C4" w:rsidP="00EA32C4">
      <w:pPr>
        <w:pStyle w:val="ListNumber2"/>
      </w:pPr>
      <w:r>
        <w:t xml:space="preserve">The ACT Government said that in Victoria there is a </w:t>
      </w:r>
      <w:r w:rsidR="00E94FCD">
        <w:t>statewide</w:t>
      </w:r>
      <w:r>
        <w:t xml:space="preserve"> player account and card solution called ‘</w:t>
      </w:r>
      <w:proofErr w:type="spellStart"/>
      <w:r>
        <w:t>YourPlay</w:t>
      </w:r>
      <w:proofErr w:type="spellEnd"/>
      <w:r>
        <w:t xml:space="preserve">’ that is voluntary for EGM users, but mandatory </w:t>
      </w:r>
      <w:r w:rsidR="004D118E">
        <w:t>to be</w:t>
      </w:r>
      <w:r>
        <w:t xml:space="preserve"> offered by venues, which can be used in any venue where EGMs operate.</w:t>
      </w:r>
      <w:r>
        <w:rPr>
          <w:rStyle w:val="FootnoteReference"/>
        </w:rPr>
        <w:footnoteReference w:id="97"/>
      </w:r>
      <w:r>
        <w:t xml:space="preserve">  </w:t>
      </w:r>
    </w:p>
    <w:p w14:paraId="2CDB8A1E" w14:textId="5E9F6562" w:rsidR="00EA32C4" w:rsidRPr="00754F3B" w:rsidRDefault="00EA32C4" w:rsidP="00EA32C4">
      <w:pPr>
        <w:pStyle w:val="ListNumber2"/>
      </w:pPr>
      <w:r>
        <w:t xml:space="preserve">The ACT Government also noted that an evaluation of </w:t>
      </w:r>
      <w:proofErr w:type="spellStart"/>
      <w:r>
        <w:t>YourPlay</w:t>
      </w:r>
      <w:proofErr w:type="spellEnd"/>
      <w:r>
        <w:t xml:space="preserve"> by the University of Adelaide published in March 2019 found that usage of </w:t>
      </w:r>
      <w:proofErr w:type="spellStart"/>
      <w:r>
        <w:t>YourPlay</w:t>
      </w:r>
      <w:proofErr w:type="spellEnd"/>
      <w:r>
        <w:t xml:space="preserve"> was not considered to be an effective harm minimisation measure due to extremely low </w:t>
      </w:r>
      <w:r w:rsidR="00E94FCD">
        <w:t>usage and</w:t>
      </w:r>
      <w:r>
        <w:t xml:space="preserve"> being able to use EGMs without a player card, even amongst players who had chosen to use a card.  On 16 July 2023, the Victorian Government announced a proposed introduction of a mandatory statewide pre-commitment system and lower load up or credit limits which would leverage off their existing </w:t>
      </w:r>
      <w:r w:rsidRPr="009F1983">
        <w:t>CMS</w:t>
      </w:r>
      <w:r>
        <w:t xml:space="preserve"> and EGM technology.</w:t>
      </w:r>
      <w:r>
        <w:rPr>
          <w:rStyle w:val="FootnoteReference"/>
        </w:rPr>
        <w:footnoteReference w:id="98"/>
      </w:r>
    </w:p>
    <w:p w14:paraId="3A9D6001" w14:textId="77777777" w:rsidR="00EA32C4" w:rsidRDefault="00EA32C4">
      <w:pPr>
        <w:spacing w:line="259" w:lineRule="auto"/>
        <w:rPr>
          <w:rFonts w:ascii="Montserrat" w:eastAsiaTheme="majorEastAsia" w:hAnsi="Montserrat" w:cstheme="majorBidi"/>
          <w:b/>
          <w:color w:val="1A234C"/>
          <w:w w:val="90"/>
          <w:kern w:val="2"/>
          <w:sz w:val="36"/>
          <w:szCs w:val="32"/>
        </w:rPr>
      </w:pPr>
      <w:r>
        <w:br w:type="page"/>
      </w:r>
    </w:p>
    <w:p w14:paraId="2C7FE559" w14:textId="77777777" w:rsidR="00AA3AF3" w:rsidRDefault="00AA3AF3" w:rsidP="00AA3AF3">
      <w:pPr>
        <w:pStyle w:val="Heading1"/>
      </w:pPr>
      <w:bookmarkStart w:id="35" w:name="_Toc170201536"/>
      <w:r>
        <w:lastRenderedPageBreak/>
        <w:t>ACT trial of cashless gaming</w:t>
      </w:r>
      <w:bookmarkEnd w:id="35"/>
    </w:p>
    <w:p w14:paraId="418E61B2" w14:textId="77777777" w:rsidR="00AA3AF3" w:rsidRDefault="00AA3AF3" w:rsidP="00AA3AF3">
      <w:pPr>
        <w:pStyle w:val="ListNumber2"/>
      </w:pPr>
      <w:r>
        <w:t>At the public hearings, the Minister for Gaming indicated that the ACT Government had been following the trials in NSW, and developments in Tasmania and Victoria, but at this stage has not received advice that it would be a useful to conduct an ACT specific trial.  The Minister advised that the government is currently undertaking market sounding on a central monitoring system (CMS), but that a final decision has not yet been made.</w:t>
      </w:r>
      <w:r>
        <w:rPr>
          <w:rStyle w:val="FootnoteReference"/>
        </w:rPr>
        <w:footnoteReference w:id="99"/>
      </w:r>
    </w:p>
    <w:p w14:paraId="0E46C5C1" w14:textId="77777777" w:rsidR="00AA3AF3" w:rsidRDefault="00AA3AF3" w:rsidP="00AA3AF3">
      <w:pPr>
        <w:pStyle w:val="ListNumber2"/>
      </w:pPr>
      <w:r w:rsidRPr="00D2237C">
        <w:t xml:space="preserve">There were differing views on whether there should be a trial of cashless gaming in the ACT </w:t>
      </w:r>
      <w:r>
        <w:t>as</w:t>
      </w:r>
      <w:r w:rsidRPr="00D2237C">
        <w:t xml:space="preserve"> </w:t>
      </w:r>
      <w:r>
        <w:t>discussed</w:t>
      </w:r>
      <w:r w:rsidRPr="00D2237C">
        <w:t xml:space="preserve"> below.</w:t>
      </w:r>
    </w:p>
    <w:p w14:paraId="4C1D39A8" w14:textId="77777777" w:rsidR="00AA3AF3" w:rsidRDefault="00AA3AF3" w:rsidP="00570363">
      <w:pPr>
        <w:pStyle w:val="Heading2"/>
      </w:pPr>
      <w:bookmarkStart w:id="36" w:name="_Toc170201537"/>
      <w:r>
        <w:t>Support for an ACT trial of cashless gaming</w:t>
      </w:r>
      <w:bookmarkEnd w:id="36"/>
      <w:r>
        <w:t xml:space="preserve"> </w:t>
      </w:r>
    </w:p>
    <w:p w14:paraId="1839B2E2" w14:textId="77777777" w:rsidR="00AA3AF3" w:rsidRDefault="00AA3AF3" w:rsidP="00AA3AF3">
      <w:pPr>
        <w:pStyle w:val="ListNumber2"/>
      </w:pPr>
      <w:proofErr w:type="spellStart"/>
      <w:r>
        <w:t>ClubsACT</w:t>
      </w:r>
      <w:proofErr w:type="spellEnd"/>
      <w:r>
        <w:t xml:space="preserve"> expressed concern that cashless </w:t>
      </w:r>
      <w:r w:rsidRPr="00436CE1">
        <w:t xml:space="preserve">gaming </w:t>
      </w:r>
      <w:r>
        <w:t>could deter clients if there are too many steps involved, or there is weak cyber</w:t>
      </w:r>
      <w:r w:rsidRPr="00436CE1">
        <w:t xml:space="preserve"> security</w:t>
      </w:r>
      <w:r>
        <w:t>, leading them to move to online gambling which may have less interventions to minimise harm than in the club environment. They promoted the use of a trial to mitigate these risks.</w:t>
      </w:r>
      <w:r>
        <w:rPr>
          <w:rStyle w:val="FootnoteReference"/>
        </w:rPr>
        <w:footnoteReference w:id="100"/>
      </w:r>
      <w:r>
        <w:t xml:space="preserve">  Key features they would like to see in the design of a cashless gaming system in the ACT are:</w:t>
      </w:r>
    </w:p>
    <w:p w14:paraId="78903B33" w14:textId="77777777" w:rsidR="00AA3AF3" w:rsidRDefault="00AA3AF3" w:rsidP="00AA3AF3">
      <w:pPr>
        <w:pStyle w:val="ListBullet"/>
        <w:ind w:left="1276"/>
      </w:pPr>
      <w:r>
        <w:t>ease of use and a seamless experience for clients;</w:t>
      </w:r>
    </w:p>
    <w:p w14:paraId="503C0F15" w14:textId="77777777" w:rsidR="00AA3AF3" w:rsidRDefault="00AA3AF3" w:rsidP="00AA3AF3">
      <w:pPr>
        <w:pStyle w:val="ListBullet"/>
        <w:ind w:left="1276"/>
      </w:pPr>
      <w:r>
        <w:t>minimising costs of implementation;</w:t>
      </w:r>
    </w:p>
    <w:p w14:paraId="2B1B86B3" w14:textId="77777777" w:rsidR="00AA3AF3" w:rsidRDefault="00AA3AF3" w:rsidP="00AA3AF3">
      <w:pPr>
        <w:pStyle w:val="ListBullet"/>
        <w:ind w:left="1276"/>
      </w:pPr>
      <w:r>
        <w:t>strong privacy and cyber security protections;</w:t>
      </w:r>
    </w:p>
    <w:p w14:paraId="5A0B5459" w14:textId="77777777" w:rsidR="00AA3AF3" w:rsidRDefault="00AA3AF3" w:rsidP="00AA3AF3">
      <w:pPr>
        <w:pStyle w:val="ListBullet"/>
        <w:ind w:left="1276"/>
      </w:pPr>
      <w:r>
        <w:t>controls to target problem gamblers prioritised over broader controls that apply to recreational gamblers; and</w:t>
      </w:r>
    </w:p>
    <w:p w14:paraId="7FAFB391" w14:textId="77777777" w:rsidR="00AA3AF3" w:rsidRDefault="00AA3AF3" w:rsidP="00AA3AF3">
      <w:pPr>
        <w:pStyle w:val="ListBullet"/>
        <w:ind w:left="1276"/>
      </w:pPr>
      <w:r>
        <w:t>complementing rather than replacing existing money laundering rules.</w:t>
      </w:r>
      <w:r>
        <w:rPr>
          <w:rStyle w:val="FootnoteReference"/>
        </w:rPr>
        <w:footnoteReference w:id="101"/>
      </w:r>
    </w:p>
    <w:p w14:paraId="1288CEB2" w14:textId="77777777" w:rsidR="00AA3AF3" w:rsidRDefault="00AA3AF3" w:rsidP="00AA3AF3">
      <w:pPr>
        <w:pStyle w:val="ListNumber2"/>
      </w:pPr>
      <w:r>
        <w:t>Canberra Community Clubs also supported the development of an ACT trial, stating support of a phased approach that vets various technologies, trials operational parameters, measures customer experience and explores the potential of digital technology as well as cards.</w:t>
      </w:r>
      <w:r>
        <w:rPr>
          <w:rStyle w:val="FootnoteReference"/>
        </w:rPr>
        <w:footnoteReference w:id="102"/>
      </w:r>
      <w:r>
        <w:t xml:space="preserve">  </w:t>
      </w:r>
    </w:p>
    <w:p w14:paraId="256E3072" w14:textId="77777777" w:rsidR="00AA3AF3" w:rsidRDefault="00AA3AF3" w:rsidP="00AA3AF3">
      <w:pPr>
        <w:pStyle w:val="ListNumber2"/>
      </w:pPr>
      <w:r>
        <w:t xml:space="preserve">Similarly, </w:t>
      </w:r>
      <w:proofErr w:type="spellStart"/>
      <w:r>
        <w:t>ClubsACT</w:t>
      </w:r>
      <w:proofErr w:type="spellEnd"/>
      <w:r>
        <w:t>, stated they could ‘embrace a trial relatively quicky’.</w:t>
      </w:r>
      <w:r>
        <w:rPr>
          <w:rStyle w:val="FootnoteReference"/>
        </w:rPr>
        <w:footnoteReference w:id="103"/>
      </w:r>
      <w:r>
        <w:t xml:space="preserve"> </w:t>
      </w:r>
    </w:p>
    <w:p w14:paraId="0F455E95" w14:textId="77777777" w:rsidR="00AA3AF3" w:rsidRDefault="00AA3AF3" w:rsidP="00570363">
      <w:pPr>
        <w:pStyle w:val="Heading2"/>
      </w:pPr>
      <w:bookmarkStart w:id="37" w:name="_Toc170201538"/>
      <w:r>
        <w:t>Opposition to an ACT trial of cashless gaming</w:t>
      </w:r>
      <w:bookmarkEnd w:id="37"/>
      <w:r>
        <w:t xml:space="preserve"> </w:t>
      </w:r>
    </w:p>
    <w:p w14:paraId="734A3372" w14:textId="77777777" w:rsidR="00AA3AF3" w:rsidRDefault="00AA3AF3" w:rsidP="00AA3AF3">
      <w:pPr>
        <w:pStyle w:val="ListNumber2"/>
      </w:pPr>
      <w:r>
        <w:t xml:space="preserve">During the public hearings, Associate Professor Aino Suomi, Director of ANU Centre for Gambling Research, acknowledged the value of trials from a research perspective, but told the Committee a further trial is not necessary: </w:t>
      </w:r>
    </w:p>
    <w:p w14:paraId="00A49AE6" w14:textId="77777777" w:rsidR="00AA3AF3" w:rsidRDefault="00AA3AF3" w:rsidP="00AA3AF3">
      <w:pPr>
        <w:pStyle w:val="Quote"/>
      </w:pPr>
      <w:r w:rsidRPr="00394C22">
        <w:t xml:space="preserve">We know what parts of the harm minimisation that work and do not work, even though some of those aspects have limited evidence. We need some kind of </w:t>
      </w:r>
      <w:r w:rsidRPr="00394C22">
        <w:lastRenderedPageBreak/>
        <w:t>infrastructure to govern, so we can link all the EGMs together so that we can fully realise all the harm minimisation. My view is that there be no further trials other than maybe setting the infrastructure. The evidence is there.</w:t>
      </w:r>
      <w:r>
        <w:rPr>
          <w:rStyle w:val="FootnoteReference"/>
        </w:rPr>
        <w:footnoteReference w:id="104"/>
      </w:r>
    </w:p>
    <w:p w14:paraId="45D70E0B" w14:textId="77777777" w:rsidR="00AA3AF3" w:rsidRDefault="00AA3AF3" w:rsidP="00AA3AF3">
      <w:pPr>
        <w:pStyle w:val="ListNumber2"/>
      </w:pPr>
      <w:r>
        <w:t>Professor Gainsbury from the Gambling Treatment and Research Centre at the University of Sydney supported methodologically rigorous trials, with evaluations to be conducted to inform the feasibility, acceptance and implementation of cashless gaming and to test the effectiveness of harm minimisation interventions.</w:t>
      </w:r>
      <w:r>
        <w:rPr>
          <w:rStyle w:val="FootnoteReference"/>
        </w:rPr>
        <w:footnoteReference w:id="105"/>
      </w:r>
      <w:r w:rsidRPr="00305DF6">
        <w:t xml:space="preserve"> </w:t>
      </w:r>
      <w:r>
        <w:t xml:space="preserve"> However, she expressed views that a trial in the ACT might not be necessary stating that the ACT is not sufficiently different from NSW that a separate trial is needed.</w:t>
      </w:r>
      <w:r>
        <w:rPr>
          <w:rStyle w:val="FootnoteReference"/>
        </w:rPr>
        <w:footnoteReference w:id="106"/>
      </w:r>
      <w:r>
        <w:t xml:space="preserve">  Instead, consideration should be given to evaluating the implementation of a cashless gaming system to ensure there are no unintended consequences and broad adoption across the industry.</w:t>
      </w:r>
      <w:r>
        <w:rPr>
          <w:rStyle w:val="FootnoteReference"/>
        </w:rPr>
        <w:footnoteReference w:id="107"/>
      </w:r>
      <w:r>
        <w:t xml:space="preserve"> </w:t>
      </w:r>
    </w:p>
    <w:p w14:paraId="6642A771" w14:textId="77777777" w:rsidR="00AA3AF3" w:rsidRDefault="00AA3AF3" w:rsidP="00AA3AF3">
      <w:pPr>
        <w:pStyle w:val="ListNumber2"/>
      </w:pPr>
      <w:r>
        <w:t xml:space="preserve">Professor Gainsbury also highlighted the challenges of conducting a trial when the cashless gaming system is not mandatory as it does not offer insights into the technology in the way it is intended to be used.  She advised that: </w:t>
      </w:r>
    </w:p>
    <w:p w14:paraId="261E917D" w14:textId="77777777" w:rsidR="00AA3AF3" w:rsidRPr="003E340A" w:rsidRDefault="00AA3AF3" w:rsidP="00AA3AF3">
      <w:pPr>
        <w:pStyle w:val="Quote"/>
      </w:pPr>
      <w:r>
        <w:t>T</w:t>
      </w:r>
      <w:r w:rsidRPr="003E340A">
        <w:t>he nature of the technologies require</w:t>
      </w:r>
      <w:r>
        <w:t>s</w:t>
      </w:r>
      <w:r w:rsidRPr="003E340A">
        <w:t xml:space="preserve"> such a fundamental overhaul of the system, </w:t>
      </w:r>
      <w:r>
        <w:t xml:space="preserve">and </w:t>
      </w:r>
      <w:r w:rsidRPr="003E340A">
        <w:t>it is difficult to do that in a partial manner in a way that would appropriately mimic and resemble what a system would look like if it were to be implemented.</w:t>
      </w:r>
      <w:r>
        <w:rPr>
          <w:rStyle w:val="FootnoteReference"/>
        </w:rPr>
        <w:footnoteReference w:id="108"/>
      </w:r>
    </w:p>
    <w:p w14:paraId="7DC0306A" w14:textId="70855E96" w:rsidR="00AA3AF3" w:rsidRPr="003E2744" w:rsidRDefault="00AA3AF3" w:rsidP="00AA3AF3">
      <w:pPr>
        <w:pStyle w:val="ListNumber2"/>
      </w:pPr>
      <w:r w:rsidRPr="003E2744">
        <w:t>In their submission, the ANU Centre for Gambling Research submitted that a</w:t>
      </w:r>
      <w:r w:rsidR="007012A3" w:rsidRPr="003E2744">
        <w:t xml:space="preserve"> rollout of new cashless gaming technology could facilitate a</w:t>
      </w:r>
      <w:r w:rsidRPr="003E2744">
        <w:t xml:space="preserve"> pilot trial followed by an evaluation of the de-identified data collected to develop proactive harm minimisation strategies.</w:t>
      </w:r>
      <w:r w:rsidRPr="003E2744">
        <w:rPr>
          <w:rStyle w:val="FootnoteReference"/>
        </w:rPr>
        <w:footnoteReference w:id="109"/>
      </w:r>
      <w:r w:rsidRPr="003E2744">
        <w:t xml:space="preserve">  At the public hearing Ms Suomi noted that while trials are beneficial, there have been a few trials of cashless gaming in Australia, and another expensive trial was not required.  While the evidence was limited, there was sufficient understanding of what harm protections worked and didn’t.</w:t>
      </w:r>
      <w:r w:rsidRPr="003E2744">
        <w:rPr>
          <w:rStyle w:val="FootnoteReference"/>
        </w:rPr>
        <w:footnoteReference w:id="110"/>
      </w:r>
    </w:p>
    <w:p w14:paraId="510E41B3" w14:textId="77777777" w:rsidR="00AA3AF3" w:rsidRDefault="00AA3AF3" w:rsidP="00AA3AF3">
      <w:pPr>
        <w:pStyle w:val="ListNumber2"/>
      </w:pPr>
      <w:r>
        <w:t xml:space="preserve">The Alliance for Gambling Reform questioned the relevance of investing in another trial when the key recommendation from the NSW Crime Commission is ‘a </w:t>
      </w:r>
      <w:r w:rsidRPr="003F00B7">
        <w:t xml:space="preserve">mandatory cashless gambling card with binding and default limits </w:t>
      </w:r>
      <w:r>
        <w:t xml:space="preserve">be </w:t>
      </w:r>
      <w:r w:rsidRPr="003F00B7">
        <w:t>the gold standard</w:t>
      </w:r>
      <w:r>
        <w:t>’</w:t>
      </w:r>
      <w:r w:rsidRPr="003F00B7">
        <w:t>.</w:t>
      </w:r>
      <w:r>
        <w:rPr>
          <w:rStyle w:val="FootnoteReference"/>
        </w:rPr>
        <w:footnoteReference w:id="111"/>
      </w:r>
      <w:r w:rsidRPr="003F00B7">
        <w:t xml:space="preserve"> </w:t>
      </w:r>
      <w:r>
        <w:t xml:space="preserve"> </w:t>
      </w:r>
    </w:p>
    <w:p w14:paraId="2AFB5F26" w14:textId="77777777" w:rsidR="00AA3AF3" w:rsidRDefault="00AA3AF3" w:rsidP="00AA3AF3">
      <w:pPr>
        <w:pStyle w:val="ListNumber2"/>
      </w:pPr>
      <w:r>
        <w:t xml:space="preserve">Reverend Tim Costello, Chief Advocate at Alliance for Gambling Reform, indicated opposition to any trials that aim to test whether cashless gaming works, asserting that it is already well established that it does.  Reverend Costello advised that he would be more </w:t>
      </w:r>
      <w:r>
        <w:lastRenderedPageBreak/>
        <w:t>amenable to trials that aim to iron out technical difficulties or identify the best method of implementation.</w:t>
      </w:r>
      <w:r>
        <w:rPr>
          <w:rStyle w:val="FootnoteReference"/>
        </w:rPr>
        <w:footnoteReference w:id="112"/>
      </w:r>
      <w:r>
        <w:t xml:space="preserve">    </w:t>
      </w:r>
    </w:p>
    <w:p w14:paraId="087DF698" w14:textId="77777777" w:rsidR="00AA3AF3" w:rsidRDefault="00AA3AF3" w:rsidP="00AA3AF3">
      <w:pPr>
        <w:pStyle w:val="ListNumber2"/>
      </w:pPr>
      <w:r>
        <w:t>ACTCOSS (ACT Council of Social Services) highlighted that cashless gaming technology is already well understood and prevalent, giving the example of debit and credit cards which have set limits.</w:t>
      </w:r>
      <w:r>
        <w:rPr>
          <w:rStyle w:val="FootnoteReference"/>
        </w:rPr>
        <w:footnoteReference w:id="113"/>
      </w:r>
      <w:r>
        <w:t xml:space="preserve">  ACTCOSS suggested that given the ACT is a small jurisdiction, a staged approach would be preferable to a trial. This would allow for data collection and analysis to fully assess its effectiveness and examine ways to reduce gambling harm.</w:t>
      </w:r>
      <w:r>
        <w:rPr>
          <w:rStyle w:val="FootnoteReference"/>
        </w:rPr>
        <w:footnoteReference w:id="114"/>
      </w:r>
    </w:p>
    <w:p w14:paraId="2C467E07" w14:textId="77777777" w:rsidR="006500D6" w:rsidRDefault="006500D6" w:rsidP="00570363">
      <w:pPr>
        <w:pStyle w:val="Heading5"/>
      </w:pPr>
      <w:r>
        <w:t>Committee comment</w:t>
      </w:r>
    </w:p>
    <w:p w14:paraId="275D9C0D" w14:textId="77777777" w:rsidR="006500D6" w:rsidRPr="00056153" w:rsidRDefault="006500D6" w:rsidP="006500D6">
      <w:pPr>
        <w:pStyle w:val="ListNumber2"/>
      </w:pPr>
      <w:r w:rsidRPr="00056153">
        <w:t>The Committee agrees that a trial of the core technologies in question would be superfluous and defeat the purpose of ensuring a comprehensive implementation across the ACT.  That said, there is scope for new and innovative harm-minimisation strategies to be trailed alongside the implementation of core reforms, be it by the ACT Government, independent researchers, or individual venues with appropriate regulatory oversight.  This would necessitate the conducting of a pre- and post-evaluation of the core reforms.</w:t>
      </w:r>
    </w:p>
    <w:p w14:paraId="2762DBBD" w14:textId="77777777" w:rsidR="00AA3AF3" w:rsidRDefault="00AA3AF3" w:rsidP="00AA3AF3">
      <w:pPr>
        <w:spacing w:line="259" w:lineRule="auto"/>
        <w:rPr>
          <w:rFonts w:ascii="Montserrat" w:eastAsiaTheme="majorEastAsia" w:hAnsi="Montserrat" w:cstheme="majorBidi"/>
          <w:b/>
          <w:color w:val="1A234C"/>
          <w:w w:val="90"/>
          <w:kern w:val="2"/>
          <w:sz w:val="36"/>
          <w:szCs w:val="32"/>
        </w:rPr>
      </w:pPr>
      <w:r>
        <w:br w:type="page"/>
      </w:r>
    </w:p>
    <w:p w14:paraId="279F28E0" w14:textId="0F9A57DC" w:rsidR="00BC1DF7" w:rsidRDefault="00BC1DF7" w:rsidP="00BC1DF7">
      <w:pPr>
        <w:pStyle w:val="Heading1"/>
      </w:pPr>
      <w:bookmarkStart w:id="38" w:name="_Toc170201539"/>
      <w:r>
        <w:lastRenderedPageBreak/>
        <w:t>Long term vision for gambling harm reduction in ACT</w:t>
      </w:r>
      <w:bookmarkEnd w:id="38"/>
    </w:p>
    <w:p w14:paraId="29126CFE" w14:textId="0C9F6F4D" w:rsidR="005859C3" w:rsidRPr="005859C3" w:rsidRDefault="005859C3" w:rsidP="005859C3">
      <w:pPr>
        <w:pStyle w:val="ListNumber2"/>
      </w:pPr>
      <w:r>
        <w:t xml:space="preserve">As part of its terms of reference, the Committee </w:t>
      </w:r>
      <w:proofErr w:type="gramStart"/>
      <w:r>
        <w:t>looked into</w:t>
      </w:r>
      <w:proofErr w:type="gramEnd"/>
      <w:r>
        <w:t xml:space="preserve"> what the implementation of card-based cashless gaming technology in the ACT might look like.</w:t>
      </w:r>
    </w:p>
    <w:p w14:paraId="419366EF" w14:textId="1003262C" w:rsidR="00114008" w:rsidRDefault="001F5526" w:rsidP="00570363">
      <w:pPr>
        <w:pStyle w:val="Heading2"/>
      </w:pPr>
      <w:bookmarkStart w:id="39" w:name="_Toc170201540"/>
      <w:r>
        <w:t xml:space="preserve">ACT Government </w:t>
      </w:r>
      <w:r w:rsidR="005859C3">
        <w:t>p</w:t>
      </w:r>
      <w:r w:rsidR="00114008">
        <w:t xml:space="preserve">osition on </w:t>
      </w:r>
      <w:r w:rsidR="005859C3">
        <w:t>c</w:t>
      </w:r>
      <w:r w:rsidR="00114008">
        <w:t xml:space="preserve">ashless </w:t>
      </w:r>
      <w:r w:rsidR="005859C3">
        <w:t>g</w:t>
      </w:r>
      <w:r w:rsidR="00114008">
        <w:t>aming in the ACT</w:t>
      </w:r>
      <w:bookmarkEnd w:id="39"/>
    </w:p>
    <w:p w14:paraId="1FCB3952" w14:textId="0DB80BC8" w:rsidR="00A53FDB" w:rsidRDefault="00A53FDB" w:rsidP="00A140D1">
      <w:pPr>
        <w:pStyle w:val="ListNumber2"/>
      </w:pPr>
      <w:r>
        <w:t xml:space="preserve">The ACT Government does not have a set policy to introduce cashless gaming in the ACT, </w:t>
      </w:r>
      <w:r w:rsidR="003875B8">
        <w:t>informing</w:t>
      </w:r>
      <w:r>
        <w:t xml:space="preserve"> the Committee that if </w:t>
      </w:r>
      <w:r w:rsidR="00114008">
        <w:t>cashless gaming is to be introduced in the ACT, the</w:t>
      </w:r>
      <w:r>
        <w:t>re are several issues:</w:t>
      </w:r>
      <w:r w:rsidRPr="00A53FDB">
        <w:rPr>
          <w:rStyle w:val="FootnoteReference"/>
        </w:rPr>
        <w:t xml:space="preserve"> </w:t>
      </w:r>
    </w:p>
    <w:p w14:paraId="26A15587" w14:textId="45FBCCD9" w:rsidR="00A53FDB" w:rsidRDefault="0053776A" w:rsidP="006D51EA">
      <w:pPr>
        <w:pStyle w:val="ListNumber3"/>
      </w:pPr>
      <w:r>
        <w:t>I</w:t>
      </w:r>
      <w:r w:rsidR="00114008">
        <w:t>t must correspond with harm reduction measures</w:t>
      </w:r>
      <w:r w:rsidR="00A53FDB">
        <w:t xml:space="preserve">, on its own cashless gaming has significant harm risks.  They have not established a firm policy on the gambling harm measures that would feature with cashless gaming if introduced in the ACT. </w:t>
      </w:r>
    </w:p>
    <w:p w14:paraId="49A23EF8" w14:textId="6C8A27A1" w:rsidR="00BC1DF7" w:rsidRDefault="0053776A" w:rsidP="00A53FDB">
      <w:pPr>
        <w:pStyle w:val="ListNumber3"/>
      </w:pPr>
      <w:r>
        <w:t xml:space="preserve">The </w:t>
      </w:r>
      <w:r w:rsidR="00754F3B">
        <w:t>feasibility of introducing cashless gaming in the ACT will depend on finding suitable technology and a transition process, noting that EGMs in the ACT and NSW are based on older technology</w:t>
      </w:r>
      <w:r w:rsidR="00834DD2">
        <w:t>.</w:t>
      </w:r>
      <w:r w:rsidR="00A53FDB">
        <w:t xml:space="preserve">  </w:t>
      </w:r>
    </w:p>
    <w:p w14:paraId="222315F0" w14:textId="51CC02C0" w:rsidR="00A53FDB" w:rsidRDefault="00A53FDB" w:rsidP="0057347B">
      <w:pPr>
        <w:pStyle w:val="ListNumber3"/>
      </w:pPr>
      <w:r>
        <w:t>There needs to be an understanding on what cashless gaming might be, noting that it could be either a universal cashless gaming system (citing the proposed Tasmanian CMS</w:t>
      </w:r>
      <w:r w:rsidR="007F3C75">
        <w:t xml:space="preserve"> (central monitoring system)</w:t>
      </w:r>
      <w:r>
        <w:t xml:space="preserve"> or the ‘Your Play’ system used in Victoria as examples) or as simple as using bankcards, noting that this is unlikely to provide protection from gambling harms.</w:t>
      </w:r>
    </w:p>
    <w:p w14:paraId="6D704D65" w14:textId="24C2ABB4" w:rsidR="00A53FDB" w:rsidRDefault="00A53FDB" w:rsidP="0057347B">
      <w:pPr>
        <w:pStyle w:val="ListNumber3"/>
      </w:pPr>
      <w:r>
        <w:t>Data security and associated human rights need to be protected.</w:t>
      </w:r>
      <w:r w:rsidRPr="00A53FDB">
        <w:rPr>
          <w:rStyle w:val="FootnoteReference"/>
        </w:rPr>
        <w:t xml:space="preserve"> </w:t>
      </w:r>
      <w:r>
        <w:rPr>
          <w:rStyle w:val="FootnoteReference"/>
        </w:rPr>
        <w:footnoteReference w:id="115"/>
      </w:r>
    </w:p>
    <w:p w14:paraId="554288B3" w14:textId="4F198AD6" w:rsidR="007830C2" w:rsidRDefault="007830C2" w:rsidP="007830C2">
      <w:pPr>
        <w:pStyle w:val="ListNumber2"/>
      </w:pPr>
      <w:r>
        <w:t xml:space="preserve">While the ACT government have indicated in their submission that they do not have a firm policy on which harm reduction measures </w:t>
      </w:r>
      <w:r w:rsidR="005C1B69">
        <w:t>should</w:t>
      </w:r>
      <w:r>
        <w:t xml:space="preserve"> be incorporated into cashless gaming in the ACT</w:t>
      </w:r>
      <w:r>
        <w:rPr>
          <w:rStyle w:val="FootnoteReference"/>
        </w:rPr>
        <w:footnoteReference w:id="116"/>
      </w:r>
      <w:r>
        <w:t>, they advised that the ACT Gambling and Racing Commission has identified a range of harm reduction measures that should be incorporated into a cashless gaming framework.</w:t>
      </w:r>
      <w:r>
        <w:rPr>
          <w:rStyle w:val="FootnoteReference"/>
        </w:rPr>
        <w:footnoteReference w:id="117"/>
      </w:r>
    </w:p>
    <w:p w14:paraId="0DFD809C" w14:textId="77777777" w:rsidR="00570363" w:rsidRDefault="00570363" w:rsidP="00570363">
      <w:pPr>
        <w:pStyle w:val="Heading2"/>
      </w:pPr>
      <w:bookmarkStart w:id="40" w:name="_Toc170201541"/>
      <w:r>
        <w:t>Developing a long-term vision for reducing gambling harm</w:t>
      </w:r>
      <w:bookmarkEnd w:id="40"/>
    </w:p>
    <w:p w14:paraId="513B87A2" w14:textId="77777777" w:rsidR="00570363" w:rsidRDefault="00570363" w:rsidP="00570363">
      <w:pPr>
        <w:pStyle w:val="ListNumber2"/>
      </w:pPr>
      <w:r>
        <w:t xml:space="preserve">The Minister noted that while under the PAGA the government seeks to align with NSW, NSW is currently undergoing significant change in terms of gambling policy.  He went on to note that NSW has some of the fewest restrictions (in terms of harm prevention) in Australia and queried if the ACT </w:t>
      </w:r>
      <w:r w:rsidRPr="003E2744">
        <w:t>be held back by</w:t>
      </w:r>
      <w:r>
        <w:t xml:space="preserve"> NSW under those circumstances.</w:t>
      </w:r>
      <w:r>
        <w:rPr>
          <w:rStyle w:val="FootnoteReference"/>
        </w:rPr>
        <w:footnoteReference w:id="118"/>
      </w:r>
    </w:p>
    <w:p w14:paraId="73CF3D12" w14:textId="77777777" w:rsidR="00570363" w:rsidRDefault="00570363" w:rsidP="00570363">
      <w:pPr>
        <w:pStyle w:val="ListNumber2"/>
      </w:pPr>
      <w:proofErr w:type="spellStart"/>
      <w:r>
        <w:t>ClubsACT</w:t>
      </w:r>
      <w:proofErr w:type="spellEnd"/>
      <w:r>
        <w:t xml:space="preserve"> told the Committee that technology is changing quickly and there should be ‘an investment in outcomes that are effective and meaningful’.  They discussed how the RUC </w:t>
      </w:r>
      <w:r>
        <w:lastRenderedPageBreak/>
        <w:t>(ACT Rugby Union Club) in Turner is trialling AI (artificial intelligence) technology to identify risk behaviours which they said seemed to be effective, but they not been able to engage with the government on.</w:t>
      </w:r>
      <w:r>
        <w:rPr>
          <w:rStyle w:val="FootnoteReference"/>
        </w:rPr>
        <w:footnoteReference w:id="119"/>
      </w:r>
    </w:p>
    <w:p w14:paraId="7066D8F7" w14:textId="77777777" w:rsidR="00570363" w:rsidRDefault="00570363" w:rsidP="00570363">
      <w:pPr>
        <w:pStyle w:val="ListNumber2"/>
      </w:pPr>
      <w:r>
        <w:t xml:space="preserve">The Committee noted that </w:t>
      </w:r>
      <w:proofErr w:type="spellStart"/>
      <w:r>
        <w:t>ClubsACT</w:t>
      </w:r>
      <w:proofErr w:type="spellEnd"/>
      <w:r>
        <w:t xml:space="preserve"> disputed the figure of $180 million in profits,</w:t>
      </w:r>
      <w:r>
        <w:rPr>
          <w:rStyle w:val="FootnoteReference"/>
        </w:rPr>
        <w:footnoteReference w:id="120"/>
      </w:r>
      <w:r>
        <w:t xml:space="preserve"> and Canberra Community Clubs said it was likely to be a gross gaming machine revenue number.  They went on to say that in 2021-22 clubs did not make a profit.</w:t>
      </w:r>
      <w:r>
        <w:rPr>
          <w:rStyle w:val="FootnoteReference"/>
        </w:rPr>
        <w:footnoteReference w:id="121"/>
      </w:r>
      <w:r>
        <w:t xml:space="preserve">  </w:t>
      </w:r>
    </w:p>
    <w:p w14:paraId="349E7EA2" w14:textId="77777777" w:rsidR="00570363" w:rsidRDefault="00570363" w:rsidP="00570363">
      <w:pPr>
        <w:pStyle w:val="ListNumber2"/>
      </w:pPr>
      <w:proofErr w:type="spellStart"/>
      <w:r>
        <w:t>ClubsACT</w:t>
      </w:r>
      <w:proofErr w:type="spellEnd"/>
      <w:r>
        <w:t xml:space="preserve"> also told the Committee that in terms of the need to diversify their income away from revenue from EGMs, they need a long-term industry plan:</w:t>
      </w:r>
    </w:p>
    <w:p w14:paraId="3F6CCCEA" w14:textId="77777777" w:rsidR="00570363" w:rsidRDefault="00570363" w:rsidP="00570363">
      <w:pPr>
        <w:pStyle w:val="Quote"/>
      </w:pPr>
      <w:r w:rsidRPr="003E2744">
        <w:t>Another big frustration from our point of view, in terms of diversification, is the fact that we do not have a long-term industry plan for what the club industry should be looking to be in the next 15 years: how do we get there; what is a club going to be; how is a club different from a pub if you get rid of revenue from EGMs; who is going to fund the floor space for functions and those sorts of things? They are currently fundamental issues, but we are governed as an industry largely through the prism of only gambling and alcohol. There is no foresight in terms of how this industry will evolve.</w:t>
      </w:r>
      <w:r w:rsidRPr="003E2744">
        <w:rPr>
          <w:rStyle w:val="FootnoteReference"/>
        </w:rPr>
        <w:footnoteReference w:id="122"/>
      </w:r>
    </w:p>
    <w:p w14:paraId="4BFE1276" w14:textId="77777777" w:rsidR="00570363" w:rsidRPr="0073114B" w:rsidRDefault="00570363" w:rsidP="00570363">
      <w:pPr>
        <w:pStyle w:val="Heading5"/>
      </w:pPr>
      <w:r>
        <w:t>Committee comment</w:t>
      </w:r>
    </w:p>
    <w:p w14:paraId="6D171075" w14:textId="77777777" w:rsidR="00570363" w:rsidRDefault="00570363" w:rsidP="00570363">
      <w:pPr>
        <w:pStyle w:val="ListNumber2"/>
      </w:pPr>
      <w:r>
        <w:t>The Committee acknowledges that the environment in respect of gaming in the ACT is changing in terms of technological advances and developments in other jurisdictions but agreed that a longer-term vision of what should be in place to reduce gambling harms is necessary.</w:t>
      </w:r>
    </w:p>
    <w:p w14:paraId="28DF3F4F" w14:textId="77777777" w:rsidR="00570363" w:rsidRPr="00694E8E" w:rsidRDefault="00570363" w:rsidP="00570363">
      <w:pPr>
        <w:pStyle w:val="ListNumber2"/>
      </w:pPr>
      <w:r w:rsidRPr="00694E8E">
        <w:t>The Committee supports approaches which simultaneously allow for the ongoing reduction in the number of EGMs in the territory alongside efforts on harm-minimisation in the present context.</w:t>
      </w:r>
    </w:p>
    <w:tbl>
      <w:tblPr>
        <w:tblStyle w:val="Recommendationbox"/>
        <w:tblW w:w="0" w:type="auto"/>
        <w:tblLook w:val="0600" w:firstRow="0" w:lastRow="0" w:firstColumn="0" w:lastColumn="0" w:noHBand="1" w:noVBand="1"/>
      </w:tblPr>
      <w:tblGrid>
        <w:gridCol w:w="8175"/>
      </w:tblGrid>
      <w:tr w:rsidR="00570363" w14:paraId="5AF82A65" w14:textId="77777777" w:rsidTr="00327281">
        <w:trPr>
          <w:cantSplit/>
        </w:trPr>
        <w:tc>
          <w:tcPr>
            <w:tcW w:w="7891" w:type="dxa"/>
          </w:tcPr>
          <w:p w14:paraId="178C7545" w14:textId="77777777" w:rsidR="00570363" w:rsidRPr="00C90D42" w:rsidRDefault="00570363" w:rsidP="00327281">
            <w:pPr>
              <w:pStyle w:val="Recommendationheading"/>
            </w:pPr>
            <w:bookmarkStart w:id="41" w:name="_Toc167880935"/>
            <w:r w:rsidRPr="00C90D42">
              <w:t xml:space="preserve">Recommendation </w:t>
            </w:r>
            <w:r w:rsidRPr="00C90D42">
              <w:fldChar w:fldCharType="begin"/>
            </w:r>
            <w:r w:rsidRPr="00C90D42">
              <w:instrText xml:space="preserve"> AUTONUMLGL \* Arabic\e </w:instrText>
            </w:r>
            <w:r w:rsidRPr="00C90D42">
              <w:fldChar w:fldCharType="end"/>
            </w:r>
            <w:bookmarkEnd w:id="41"/>
          </w:p>
          <w:p w14:paraId="027B9B0E" w14:textId="77777777" w:rsidR="00570363" w:rsidRPr="000A5577" w:rsidRDefault="00570363" w:rsidP="00327281">
            <w:pPr>
              <w:pStyle w:val="Recommendationbody"/>
            </w:pPr>
            <w:bookmarkStart w:id="42" w:name="_Toc167880936"/>
            <w:r>
              <w:t>The Committee recommends that the ACT Government articulate a long-term vision for gambling harm reduction in the ACT.</w:t>
            </w:r>
            <w:bookmarkEnd w:id="42"/>
          </w:p>
        </w:tc>
      </w:tr>
      <w:tr w:rsidR="00570363" w14:paraId="7AB6C601" w14:textId="77777777" w:rsidTr="00327281">
        <w:tblPrEx>
          <w:tblLook w:val="04A0" w:firstRow="1" w:lastRow="0" w:firstColumn="1" w:lastColumn="0" w:noHBand="0" w:noVBand="1"/>
        </w:tblPrEx>
        <w:tc>
          <w:tcPr>
            <w:tcW w:w="7891" w:type="dxa"/>
          </w:tcPr>
          <w:p w14:paraId="7D7F5B60" w14:textId="77777777" w:rsidR="00570363" w:rsidRPr="00C90D42" w:rsidRDefault="00570363" w:rsidP="00327281">
            <w:pPr>
              <w:pStyle w:val="Recommendationheading"/>
            </w:pPr>
            <w:bookmarkStart w:id="43" w:name="_Toc167880937"/>
            <w:r w:rsidRPr="00C90D42">
              <w:t xml:space="preserve">Recommendation </w:t>
            </w:r>
            <w:r w:rsidRPr="00C90D42">
              <w:fldChar w:fldCharType="begin"/>
            </w:r>
            <w:r w:rsidRPr="00C90D42">
              <w:instrText xml:space="preserve"> AUTONUMLGL \* Arabic\e </w:instrText>
            </w:r>
            <w:r w:rsidRPr="00C90D42">
              <w:fldChar w:fldCharType="end"/>
            </w:r>
            <w:bookmarkEnd w:id="43"/>
          </w:p>
          <w:p w14:paraId="19E17E4B" w14:textId="77777777" w:rsidR="00570363" w:rsidRPr="000A5577" w:rsidRDefault="00570363" w:rsidP="00327281">
            <w:pPr>
              <w:pStyle w:val="Recommendationbody"/>
            </w:pPr>
            <w:bookmarkStart w:id="44" w:name="_Toc167880938"/>
            <w:r>
              <w:t>The Committee recommends that the ACT Government continue to reduce the number of electronic gaming machines in the ACT, irrespective of other policy positions it may take.</w:t>
            </w:r>
            <w:bookmarkEnd w:id="44"/>
          </w:p>
        </w:tc>
      </w:tr>
    </w:tbl>
    <w:p w14:paraId="65F27096" w14:textId="44875392" w:rsidR="00A53FDB" w:rsidRDefault="00A53FDB" w:rsidP="00570363">
      <w:pPr>
        <w:pStyle w:val="Heading2"/>
      </w:pPr>
      <w:bookmarkStart w:id="45" w:name="_Toc170201542"/>
      <w:r>
        <w:lastRenderedPageBreak/>
        <w:t xml:space="preserve">Technology </w:t>
      </w:r>
      <w:r w:rsidR="0088059E">
        <w:t>developments</w:t>
      </w:r>
      <w:bookmarkEnd w:id="45"/>
    </w:p>
    <w:p w14:paraId="1174B8AD" w14:textId="0CD7427B" w:rsidR="00A53FDB" w:rsidRDefault="00D41D0D" w:rsidP="00A53FDB">
      <w:pPr>
        <w:pStyle w:val="ListNumber2"/>
      </w:pPr>
      <w:r>
        <w:t xml:space="preserve">Some witnesses told the Committee that the long-term vision for the approach on gaming would depend to some extent on technology developments including </w:t>
      </w:r>
      <w:r w:rsidR="005C1B69">
        <w:t>those</w:t>
      </w:r>
      <w:r>
        <w:t xml:space="preserve"> used in other jurisdictions.  </w:t>
      </w:r>
      <w:r w:rsidR="00046694">
        <w:t xml:space="preserve">It </w:t>
      </w:r>
      <w:r w:rsidR="00834DD2">
        <w:t>was</w:t>
      </w:r>
      <w:r w:rsidR="00046694">
        <w:t xml:space="preserve"> estimated </w:t>
      </w:r>
      <w:r w:rsidR="00834DD2">
        <w:t xml:space="preserve">in 2022, </w:t>
      </w:r>
      <w:r w:rsidR="00046694">
        <w:t>that 21 percent of EGMs in the ACT are older than ten years and a further 45 percent are between six and ten years old.  Older machines are not supported by EGM providers and may not be able to be connected to a CMS.</w:t>
      </w:r>
      <w:r w:rsidR="00046694">
        <w:rPr>
          <w:rStyle w:val="FootnoteReference"/>
        </w:rPr>
        <w:footnoteReference w:id="123"/>
      </w:r>
      <w:r w:rsidR="00A53FDB" w:rsidRPr="00A53FDB">
        <w:t xml:space="preserve"> </w:t>
      </w:r>
    </w:p>
    <w:p w14:paraId="77D5CBCD" w14:textId="77777777" w:rsidR="00AA3AF3" w:rsidRDefault="00AA3AF3" w:rsidP="00AA3AF3">
      <w:pPr>
        <w:pStyle w:val="ListNumber2"/>
      </w:pPr>
      <w:r>
        <w:t>The ACT Government raised concerns that the desired cashless gaming approach might be limited by existing technologies.</w:t>
      </w:r>
      <w:r>
        <w:rPr>
          <w:rStyle w:val="FootnoteReference"/>
        </w:rPr>
        <w:footnoteReference w:id="124"/>
      </w:r>
      <w:r>
        <w:t xml:space="preserve">  </w:t>
      </w:r>
      <w:r w:rsidRPr="002319E8">
        <w:t>In its submission</w:t>
      </w:r>
      <w:r>
        <w:t xml:space="preserve"> to the inquiry,</w:t>
      </w:r>
      <w:r w:rsidRPr="002319E8">
        <w:t xml:space="preserve"> the ACT Government noted that the EGMs in operation in both the ACT and NSW (New South Wales) rely on X</w:t>
      </w:r>
      <w:r>
        <w:t> S</w:t>
      </w:r>
      <w:r w:rsidRPr="002319E8">
        <w:t>eries technology, whereas the remaining Australian states and territories and New Zealand utilise QCOM technology.</w:t>
      </w:r>
      <w:r w:rsidRPr="002319E8">
        <w:rPr>
          <w:rStyle w:val="FootnoteReference"/>
        </w:rPr>
        <w:footnoteReference w:id="125"/>
      </w:r>
      <w:r>
        <w:t xml:space="preserve">  </w:t>
      </w:r>
    </w:p>
    <w:p w14:paraId="21DDA3D7" w14:textId="77777777" w:rsidR="00F131BF" w:rsidRDefault="00D24B9E" w:rsidP="007C6351">
      <w:pPr>
        <w:pStyle w:val="ListNumber2"/>
      </w:pPr>
      <w:r>
        <w:t xml:space="preserve">EGMs use either X Series or QCOM communication protocols – </w:t>
      </w:r>
      <w:r w:rsidR="0053776A">
        <w:t>how</w:t>
      </w:r>
      <w:r>
        <w:t xml:space="preserve"> data is communicated to and from the EGM to a monitoring system.  The QCOM system is newer and offers some benefits</w:t>
      </w:r>
      <w:r w:rsidR="0053776A">
        <w:t xml:space="preserve"> over the X Series</w:t>
      </w:r>
      <w:r>
        <w:t xml:space="preserve">.  The Committee heard that NSW is likely to transition to </w:t>
      </w:r>
      <w:proofErr w:type="gramStart"/>
      <w:r>
        <w:t>QCOM</w:t>
      </w:r>
      <w:proofErr w:type="gramEnd"/>
      <w:r>
        <w:t xml:space="preserve"> but it may take nine to ten years.</w:t>
      </w:r>
      <w:r>
        <w:rPr>
          <w:rStyle w:val="FootnoteReference"/>
        </w:rPr>
        <w:footnoteReference w:id="126"/>
      </w:r>
      <w:r w:rsidR="00F131BF">
        <w:t xml:space="preserve"> The Minister noted that if this was to happen, it would force ACT venues to replace machines.</w:t>
      </w:r>
      <w:r w:rsidR="00F131BF">
        <w:rPr>
          <w:rStyle w:val="FootnoteReference"/>
        </w:rPr>
        <w:footnoteReference w:id="127"/>
      </w:r>
      <w:r w:rsidR="00F131BF">
        <w:t xml:space="preserve"> </w:t>
      </w:r>
    </w:p>
    <w:p w14:paraId="1D965DF5" w14:textId="77777777" w:rsidR="00F131BF" w:rsidRDefault="00F131BF" w:rsidP="00F131BF">
      <w:pPr>
        <w:pStyle w:val="ListNumber2"/>
      </w:pPr>
      <w:r>
        <w:t>The ACT Government also told the Committee that the move from X Series in NSW may force a similar move in the ACT if EGM suppliers decide to no longer support the relatively small ACT market.</w:t>
      </w:r>
      <w:r>
        <w:rPr>
          <w:rStyle w:val="FootnoteReference"/>
        </w:rPr>
        <w:footnoteReference w:id="128"/>
      </w:r>
      <w:r>
        <w:t xml:space="preserve">  </w:t>
      </w:r>
      <w:proofErr w:type="spellStart"/>
      <w:r>
        <w:t>ClubsACT</w:t>
      </w:r>
      <w:proofErr w:type="spellEnd"/>
      <w:r>
        <w:t xml:space="preserve"> also noted that the move to QCOM technology in NSW would also mean many machines in the ACT would need to be upgraded.</w:t>
      </w:r>
      <w:r>
        <w:rPr>
          <w:rStyle w:val="FootnoteReference"/>
        </w:rPr>
        <w:footnoteReference w:id="129"/>
      </w:r>
    </w:p>
    <w:p w14:paraId="7CDACD19" w14:textId="587716C0" w:rsidR="00F131BF" w:rsidRDefault="00F131BF" w:rsidP="007C6351">
      <w:pPr>
        <w:pStyle w:val="ListNumber2"/>
      </w:pPr>
      <w:proofErr w:type="spellStart"/>
      <w:r>
        <w:t>ClubsACT</w:t>
      </w:r>
      <w:proofErr w:type="spellEnd"/>
      <w:r>
        <w:t xml:space="preserve"> highlighted the potential move from QCOM to X series as a reason a </w:t>
      </w:r>
      <w:r w:rsidR="003E2744">
        <w:t>longer-term</w:t>
      </w:r>
      <w:r>
        <w:t xml:space="preserve"> plan is needed:</w:t>
      </w:r>
    </w:p>
    <w:p w14:paraId="70FB39B5" w14:textId="77777777" w:rsidR="00F131BF" w:rsidRDefault="00F131BF" w:rsidP="00F131BF">
      <w:pPr>
        <w:pStyle w:val="Quote"/>
      </w:pPr>
      <w:r>
        <w:t>I think this [likely move to QCOM technology] is part of the issue we have more broadly with all these debates—facial recognition, CMS, cash. At some point, these are all doubling up in expenditure issues. If they are not dealt with in an effective way, they could have substantial negative cost impacts across the ACT if they keep being put in with no clear identification of what we are trying to achieve in this jurisdiction.</w:t>
      </w:r>
      <w:r>
        <w:rPr>
          <w:rStyle w:val="FootnoteReference"/>
        </w:rPr>
        <w:footnoteReference w:id="130"/>
      </w:r>
    </w:p>
    <w:p w14:paraId="4C3D738C" w14:textId="77777777" w:rsidR="009A7A2A" w:rsidRDefault="009A7A2A" w:rsidP="009A7A2A">
      <w:pPr>
        <w:pStyle w:val="ListNumber2"/>
      </w:pPr>
      <w:r>
        <w:t>The ACT Government pointed out in their submission that the ACT has ‘relatively few machines’, meaning their ‘ability to drive EGM technology in a particular way is limited’.</w:t>
      </w:r>
      <w:r>
        <w:rPr>
          <w:rStyle w:val="FootnoteReference"/>
        </w:rPr>
        <w:footnoteReference w:id="131"/>
      </w:r>
    </w:p>
    <w:p w14:paraId="7E287B90" w14:textId="77777777" w:rsidR="007012A3" w:rsidRDefault="009A7A2A" w:rsidP="007012A3">
      <w:pPr>
        <w:pStyle w:val="ListNumber2"/>
      </w:pPr>
      <w:r>
        <w:lastRenderedPageBreak/>
        <w:t>GTA as a representative body for suppliers of gaming machine technologies spoke of the importance of involving the industry when implementing cashless gaming.</w:t>
      </w:r>
      <w:r w:rsidRPr="007012A3">
        <w:footnoteReference w:id="132"/>
      </w:r>
      <w:r>
        <w:t xml:space="preserve">  They also said a player-centric approach is the best way to embed responsible gambling measures.</w:t>
      </w:r>
      <w:r w:rsidRPr="007012A3">
        <w:rPr>
          <w:vertAlign w:val="superscript"/>
        </w:rPr>
        <w:footnoteReference w:id="133"/>
      </w:r>
    </w:p>
    <w:p w14:paraId="5F09B819" w14:textId="77777777" w:rsidR="007012A3" w:rsidRPr="003E2744" w:rsidRDefault="007012A3" w:rsidP="00570363">
      <w:pPr>
        <w:pStyle w:val="Heading5"/>
      </w:pPr>
      <w:r w:rsidRPr="003E2744">
        <w:t>Committee Comment</w:t>
      </w:r>
    </w:p>
    <w:p w14:paraId="12E8781E" w14:textId="77777777" w:rsidR="007012A3" w:rsidRPr="003E2744" w:rsidRDefault="007012A3" w:rsidP="007012A3">
      <w:pPr>
        <w:pStyle w:val="ListNumber2"/>
      </w:pPr>
      <w:r w:rsidRPr="003E2744">
        <w:t xml:space="preserve">The Committee recognises that there is both a need and an opportunity to adopt reforms to gaming technology.  Implementing new regulatory requirements </w:t>
      </w:r>
      <w:proofErr w:type="gramStart"/>
      <w:r w:rsidRPr="003E2744">
        <w:t>in the near future</w:t>
      </w:r>
      <w:proofErr w:type="gramEnd"/>
      <w:r w:rsidRPr="003E2744">
        <w:t>, at a time when venues are likely to need to update their gambling infrastructure in any case, would be the fairest and most cost-effective way of achieving harm-minimisation reforms.</w:t>
      </w:r>
    </w:p>
    <w:p w14:paraId="7B54D2FD" w14:textId="77777777" w:rsidR="007012A3" w:rsidRPr="003E2744" w:rsidRDefault="007012A3" w:rsidP="007012A3">
      <w:pPr>
        <w:pStyle w:val="ListNumber2"/>
      </w:pPr>
      <w:r w:rsidRPr="003E2744">
        <w:t>The Committee agrees that any reforms implemented on gaming technology, including for cashless gaming, should have harm-minimisation and the protection of individuals as central objectives.</w:t>
      </w:r>
    </w:p>
    <w:p w14:paraId="7441F759" w14:textId="3A2917A3" w:rsidR="007012A3" w:rsidRPr="003E2744" w:rsidRDefault="007012A3" w:rsidP="005452EF">
      <w:pPr>
        <w:pStyle w:val="ListNumber2"/>
      </w:pPr>
      <w:r w:rsidRPr="003E2744">
        <w:t xml:space="preserve">Suggestions that cashless gaming systems should be voluntary are at odds with compelling harm-minimisation arguments, </w:t>
      </w:r>
      <w:proofErr w:type="gramStart"/>
      <w:r w:rsidRPr="003E2744">
        <w:t>and also</w:t>
      </w:r>
      <w:proofErr w:type="gramEnd"/>
      <w:r w:rsidRPr="003E2744">
        <w:t xml:space="preserve"> anti-money laundering arguments.  They must be mandatory </w:t>
      </w:r>
      <w:proofErr w:type="gramStart"/>
      <w:r w:rsidRPr="003E2744">
        <w:t>in order to</w:t>
      </w:r>
      <w:proofErr w:type="gramEnd"/>
      <w:r w:rsidRPr="003E2744">
        <w:t xml:space="preserve"> be effective.</w:t>
      </w:r>
    </w:p>
    <w:tbl>
      <w:tblPr>
        <w:tblStyle w:val="Recommendationbox"/>
        <w:tblW w:w="0" w:type="auto"/>
        <w:tblLook w:val="0600" w:firstRow="0" w:lastRow="0" w:firstColumn="0" w:lastColumn="0" w:noHBand="1" w:noVBand="1"/>
      </w:tblPr>
      <w:tblGrid>
        <w:gridCol w:w="8175"/>
      </w:tblGrid>
      <w:tr w:rsidR="007012A3" w14:paraId="3FB6E83A" w14:textId="77777777" w:rsidTr="00496C82">
        <w:trPr>
          <w:cantSplit/>
        </w:trPr>
        <w:tc>
          <w:tcPr>
            <w:tcW w:w="7891" w:type="dxa"/>
          </w:tcPr>
          <w:p w14:paraId="21BB0EC4" w14:textId="77777777" w:rsidR="007012A3" w:rsidRPr="003E2744" w:rsidRDefault="007012A3" w:rsidP="00496C82">
            <w:pPr>
              <w:pStyle w:val="Recommendationheading"/>
            </w:pPr>
            <w:bookmarkStart w:id="46" w:name="_Toc167880939"/>
            <w:r w:rsidRPr="003E2744">
              <w:t xml:space="preserve">Recommendation </w:t>
            </w:r>
            <w:r w:rsidRPr="003E2744">
              <w:fldChar w:fldCharType="begin"/>
            </w:r>
            <w:r w:rsidRPr="003E2744">
              <w:instrText xml:space="preserve"> AUTONUMLGL \* Arabic\e </w:instrText>
            </w:r>
            <w:r w:rsidRPr="003E2744">
              <w:fldChar w:fldCharType="end"/>
            </w:r>
            <w:bookmarkEnd w:id="46"/>
          </w:p>
          <w:p w14:paraId="20322B61" w14:textId="4196F79F" w:rsidR="007012A3" w:rsidRPr="000A5577" w:rsidRDefault="007012A3" w:rsidP="00496C82">
            <w:pPr>
              <w:pStyle w:val="Recommendationbody"/>
            </w:pPr>
            <w:bookmarkStart w:id="47" w:name="_Toc167880940"/>
            <w:r w:rsidRPr="003E2744">
              <w:t>The Committee recommends that the ACT Government introduce legislative amendments for the implementation of a mandatory account-based gaming system which includes a raft of integrated harm-minimisation measures such as mandatory precommitment on spending or losses, forced breaks and player-exclusion capabilities.</w:t>
            </w:r>
            <w:bookmarkEnd w:id="47"/>
          </w:p>
        </w:tc>
      </w:tr>
    </w:tbl>
    <w:p w14:paraId="63EDE819" w14:textId="57A4A7D4" w:rsidR="008D7ED3" w:rsidRDefault="008D7ED3" w:rsidP="00570363">
      <w:pPr>
        <w:pStyle w:val="Heading2"/>
      </w:pPr>
      <w:bookmarkStart w:id="48" w:name="_Toc170201543"/>
      <w:r>
        <w:t>Data and privacy</w:t>
      </w:r>
      <w:bookmarkEnd w:id="48"/>
      <w:r>
        <w:t xml:space="preserve"> </w:t>
      </w:r>
    </w:p>
    <w:p w14:paraId="38EE0410" w14:textId="77777777" w:rsidR="008D7ED3" w:rsidRDefault="008D7ED3" w:rsidP="008D7ED3">
      <w:pPr>
        <w:pStyle w:val="ListNumber2"/>
      </w:pPr>
      <w:r>
        <w:t>Data security associated with cashless gaming was a concern considered by the Committee.  Referencing a security issue that occurred in the early NSW cashless gaming trials, GTA noted that more work is required on ensuring that there are sufficient data protections.</w:t>
      </w:r>
      <w:r>
        <w:rPr>
          <w:rStyle w:val="FootnoteReference"/>
        </w:rPr>
        <w:footnoteReference w:id="134"/>
      </w:r>
    </w:p>
    <w:p w14:paraId="1E1EB2C1" w14:textId="77777777" w:rsidR="008D7ED3" w:rsidRDefault="008D7ED3" w:rsidP="008D7ED3">
      <w:pPr>
        <w:pStyle w:val="ListNumber2"/>
      </w:pPr>
      <w:r>
        <w:t>The Minister for Gaming also told the Committee that in the context of implementing a CMS, that legislative change would be required to ensure data and privacy protections noting that venues often collected a lot of information about their clients through loyalty programs.</w:t>
      </w:r>
      <w:r>
        <w:rPr>
          <w:rStyle w:val="FootnoteReference"/>
        </w:rPr>
        <w:footnoteReference w:id="135"/>
      </w:r>
    </w:p>
    <w:p w14:paraId="1ABC60E5" w14:textId="41E05F73" w:rsidR="008D7ED3" w:rsidRDefault="008D7ED3" w:rsidP="008D7ED3">
      <w:pPr>
        <w:pStyle w:val="ListNumber2"/>
      </w:pPr>
      <w:r>
        <w:t xml:space="preserve">ACT Clubs </w:t>
      </w:r>
      <w:r w:rsidR="00694E8E">
        <w:t xml:space="preserve">also </w:t>
      </w:r>
      <w:r>
        <w:t>observed that if clients had concerns with security associated with EGMs, they may opt to using online or other forms of gambling.</w:t>
      </w:r>
      <w:r>
        <w:rPr>
          <w:rStyle w:val="FootnoteReference"/>
        </w:rPr>
        <w:footnoteReference w:id="136"/>
      </w:r>
    </w:p>
    <w:p w14:paraId="47DDEF4F" w14:textId="77777777" w:rsidR="008D7ED3" w:rsidRDefault="008D7ED3" w:rsidP="008D7ED3">
      <w:pPr>
        <w:pStyle w:val="ListNumber2"/>
      </w:pPr>
      <w:r>
        <w:lastRenderedPageBreak/>
        <w:t>The Canberra Southern Cross Club noted the benefits of a cashless system such as increased safety for clients, however, they were concerned that a mandatory system of registering to use an EGM would result in clients gambling over the ACT border.  They noted that in trials in other jurisdictions, setting up an account was a deterrent to engage in cashless gaming.  They supported cashless gaming that would align with the NSW approach.</w:t>
      </w:r>
      <w:r>
        <w:rPr>
          <w:rStyle w:val="FootnoteReference"/>
        </w:rPr>
        <w:footnoteReference w:id="137"/>
      </w:r>
    </w:p>
    <w:p w14:paraId="7928DB30" w14:textId="493ADE4E" w:rsidR="00D24B9E" w:rsidRDefault="00D24B9E" w:rsidP="00570363">
      <w:pPr>
        <w:pStyle w:val="Heading3"/>
      </w:pPr>
      <w:bookmarkStart w:id="49" w:name="_Toc170201544"/>
      <w:r>
        <w:t>Facial recognition technology</w:t>
      </w:r>
      <w:bookmarkEnd w:id="49"/>
    </w:p>
    <w:p w14:paraId="07F22014" w14:textId="26B34786" w:rsidR="00D41D0D" w:rsidRDefault="00D41D0D" w:rsidP="00B14169">
      <w:pPr>
        <w:pStyle w:val="ListNumber2"/>
      </w:pPr>
      <w:r>
        <w:t xml:space="preserve">In considering what should be the </w:t>
      </w:r>
      <w:r w:rsidR="0053776A">
        <w:t>longer-term</w:t>
      </w:r>
      <w:r>
        <w:t xml:space="preserve"> vision for reduction gambling harms in the ACT, the Committee asked witnesses several questions about the use of facial recognition technology in clubs for ensuring that gambling harm measures such as self-exclusion could be enforced.</w:t>
      </w:r>
    </w:p>
    <w:p w14:paraId="439F0187" w14:textId="0651B750" w:rsidR="00B14169" w:rsidRDefault="00B14169" w:rsidP="00B14169">
      <w:pPr>
        <w:pStyle w:val="ListNumber2"/>
      </w:pPr>
      <w:r>
        <w:t>The Tuggeranong Valley Rugby Union and Sports Club Ltd spoke of the difficulties for staff at their venues to identify people who are self-excluding:</w:t>
      </w:r>
    </w:p>
    <w:p w14:paraId="460A80B8" w14:textId="77777777" w:rsidR="00B14169" w:rsidRDefault="00B14169" w:rsidP="00B14169">
      <w:pPr>
        <w:pStyle w:val="Quote"/>
      </w:pPr>
      <w:r>
        <w:t>We have close to 500,000 visitors over a year across our four sites, in food, beverage and gaming. The poor young staff at the front are expected to remember a self-exclusion register and try to identify people.</w:t>
      </w:r>
      <w:r>
        <w:rPr>
          <w:rStyle w:val="FootnoteReference"/>
        </w:rPr>
        <w:footnoteReference w:id="138"/>
      </w:r>
    </w:p>
    <w:p w14:paraId="5CFD51C4" w14:textId="498811B2" w:rsidR="00A6147F" w:rsidRDefault="00A6147F" w:rsidP="00A6147F">
      <w:pPr>
        <w:pStyle w:val="ListNumber2"/>
      </w:pPr>
      <w:r>
        <w:t xml:space="preserve">Facial recognition technology was identified as a </w:t>
      </w:r>
      <w:r w:rsidR="0053776A">
        <w:t>tool</w:t>
      </w:r>
      <w:r>
        <w:t xml:space="preserve"> to assist with harm reduction measures</w:t>
      </w:r>
      <w:r w:rsidR="00B14169">
        <w:t>, particularly self-exclusion</w:t>
      </w:r>
      <w:r>
        <w:t>:</w:t>
      </w:r>
    </w:p>
    <w:p w14:paraId="36ACAA36" w14:textId="58675FEE" w:rsidR="00A6147F" w:rsidRDefault="00A6147F" w:rsidP="00A6147F">
      <w:pPr>
        <w:pStyle w:val="Quote"/>
      </w:pPr>
      <w:r>
        <w:t>When you are talking about self-exclusion, facial recognition is an important tool in the toolkit to be able to identify people. The idea of having faces behind the reception desk just does not work. At the end of the day, there are vulnerable people in our society who will try and get into a venue or sneak into a venue and, yes, they can fly under the radar.</w:t>
      </w:r>
      <w:r>
        <w:rPr>
          <w:rStyle w:val="FootnoteReference"/>
        </w:rPr>
        <w:footnoteReference w:id="139"/>
      </w:r>
    </w:p>
    <w:p w14:paraId="11C7884D" w14:textId="7C898449" w:rsidR="00B14169" w:rsidRDefault="00B14169" w:rsidP="00B14169">
      <w:pPr>
        <w:pStyle w:val="ListNumber2"/>
      </w:pPr>
      <w:proofErr w:type="spellStart"/>
      <w:r>
        <w:t>ClubsACT</w:t>
      </w:r>
      <w:proofErr w:type="spellEnd"/>
      <w:r>
        <w:t xml:space="preserve"> also noted that some people who had self-excluded had dressed up in disguise, used other people’s membership cards, </w:t>
      </w:r>
      <w:r w:rsidR="0053776A">
        <w:t xml:space="preserve">and </w:t>
      </w:r>
      <w:r>
        <w:t>come in through a back entrance to avoid identification.</w:t>
      </w:r>
      <w:r>
        <w:rPr>
          <w:rStyle w:val="FootnoteReference"/>
        </w:rPr>
        <w:footnoteReference w:id="140"/>
      </w:r>
      <w:r>
        <w:t xml:space="preserve">  </w:t>
      </w:r>
    </w:p>
    <w:p w14:paraId="32D4D0C5" w14:textId="0091D241" w:rsidR="00B14169" w:rsidRDefault="00B14169" w:rsidP="00B14169">
      <w:pPr>
        <w:pStyle w:val="ListNumber2"/>
      </w:pPr>
      <w:r>
        <w:t>The Committee noted that facial recognition technology was already being used in South Australia, some venues in NSW and in New Zealand.</w:t>
      </w:r>
      <w:r>
        <w:rPr>
          <w:rStyle w:val="FootnoteReference"/>
        </w:rPr>
        <w:footnoteReference w:id="141"/>
      </w:r>
      <w:r>
        <w:t xml:space="preserve"> </w:t>
      </w:r>
      <w:proofErr w:type="spellStart"/>
      <w:r>
        <w:t>ClubsACT</w:t>
      </w:r>
      <w:proofErr w:type="spellEnd"/>
      <w:r>
        <w:t xml:space="preserve"> told the Committee that the industry was keen to trial it but there had not been much interest from the ACT Government.  They said i</w:t>
      </w:r>
      <w:r w:rsidR="00FA2226">
        <w:t>n</w:t>
      </w:r>
      <w:r>
        <w:t xml:space="preserve"> South Australia it had resulted in an 80% increase in breaches of self-exclusion and had been ‘embraced in nearly every other jurisdiction’</w:t>
      </w:r>
      <w:r w:rsidR="00EB01FD">
        <w:t>.</w:t>
      </w:r>
      <w:r>
        <w:rPr>
          <w:rStyle w:val="FootnoteReference"/>
        </w:rPr>
        <w:footnoteReference w:id="142"/>
      </w:r>
    </w:p>
    <w:p w14:paraId="3265C44C" w14:textId="1E22397B" w:rsidR="00283156" w:rsidRDefault="00283156" w:rsidP="007D7741">
      <w:pPr>
        <w:pStyle w:val="ListNumber2"/>
      </w:pPr>
      <w:r>
        <w:t xml:space="preserve">The Minister for Gaming expressed reservations about the use of facial recognition technology, noting that it is primarily used in respect of self-exclusion, which is a harm </w:t>
      </w:r>
      <w:r>
        <w:lastRenderedPageBreak/>
        <w:t>minimisation tool that comes ‘late in the process’ rather than intervening before gambling harm reaches that point.</w:t>
      </w:r>
      <w:r>
        <w:rPr>
          <w:rStyle w:val="FootnoteReference"/>
        </w:rPr>
        <w:footnoteReference w:id="143"/>
      </w:r>
      <w:r>
        <w:t xml:space="preserve">  The Minister noted that human rights and privacy issues are key considerations should facial recognition technology be considered in the ACT.</w:t>
      </w:r>
      <w:r>
        <w:rPr>
          <w:rStyle w:val="FootnoteReference"/>
        </w:rPr>
        <w:footnoteReference w:id="144"/>
      </w:r>
    </w:p>
    <w:p w14:paraId="57002541" w14:textId="77C8A43F" w:rsidR="00302F91" w:rsidRDefault="00302F91" w:rsidP="007D7741">
      <w:pPr>
        <w:pStyle w:val="ListNumber2"/>
      </w:pPr>
      <w:r>
        <w:t>The Gambling Treatment and Research Clinic did not think facial recognition was needed</w:t>
      </w:r>
      <w:r w:rsidR="005C1B69">
        <w:t xml:space="preserve">, and that an account-based system is better able to identify individuals. They advised that there are privacy </w:t>
      </w:r>
      <w:r>
        <w:t>concerns</w:t>
      </w:r>
      <w:r w:rsidR="005C1B69">
        <w:t xml:space="preserve"> with facial recognition technology and</w:t>
      </w:r>
      <w:r>
        <w:t xml:space="preserve"> </w:t>
      </w:r>
      <w:r w:rsidR="005C1B69">
        <w:t xml:space="preserve">that </w:t>
      </w:r>
      <w:r>
        <w:t xml:space="preserve">it </w:t>
      </w:r>
      <w:r w:rsidR="005C1B69">
        <w:t xml:space="preserve">is </w:t>
      </w:r>
      <w:r>
        <w:t xml:space="preserve">not perfect in identifying all individuals, </w:t>
      </w:r>
      <w:r w:rsidR="005C1B69">
        <w:t xml:space="preserve">as well as there being </w:t>
      </w:r>
      <w:r>
        <w:t>ways to get around it.</w:t>
      </w:r>
      <w:r>
        <w:rPr>
          <w:rStyle w:val="FootnoteReference"/>
        </w:rPr>
        <w:footnoteReference w:id="145"/>
      </w:r>
    </w:p>
    <w:p w14:paraId="78A1F1FE" w14:textId="77777777" w:rsidR="004701DC" w:rsidRDefault="004701DC" w:rsidP="004701DC">
      <w:pPr>
        <w:pStyle w:val="ListNumber2"/>
      </w:pPr>
      <w:r>
        <w:t>The Alliance for Gambling Reform told the Committee that it was not necessary if a mandatory pre-commitment system with defaults limits was in place, noting issues with privacy of data and problems with data being misused by the gambling industry in the United States of America.</w:t>
      </w:r>
      <w:r>
        <w:rPr>
          <w:rStyle w:val="FootnoteReference"/>
        </w:rPr>
        <w:footnoteReference w:id="146"/>
      </w:r>
    </w:p>
    <w:p w14:paraId="79DD92CC" w14:textId="1E076743" w:rsidR="000D6988" w:rsidRDefault="00E15B29" w:rsidP="007D7741">
      <w:pPr>
        <w:pStyle w:val="ListNumber2"/>
      </w:pPr>
      <w:r>
        <w:t>Facial recognition technology was also not supported by the Alliance for Gambling Reform or ACTCOSS</w:t>
      </w:r>
      <w:r w:rsidR="0086394E">
        <w:t xml:space="preserve"> (ACT Council of Social Services)</w:t>
      </w:r>
      <w:r>
        <w:t xml:space="preserve">. </w:t>
      </w:r>
      <w:r w:rsidR="000D6988">
        <w:t xml:space="preserve"> They advised the Committee</w:t>
      </w:r>
      <w:r w:rsidR="004701DC">
        <w:t xml:space="preserve"> that it was unnecessary and raised concerns about misuse without an adequate regulatory framework, citing international evidence that facial recognition technology can be used to increase client losses and time spent on EGMs.</w:t>
      </w:r>
      <w:r w:rsidR="004701DC">
        <w:rPr>
          <w:rStyle w:val="FootnoteReference"/>
        </w:rPr>
        <w:footnoteReference w:id="147"/>
      </w:r>
    </w:p>
    <w:p w14:paraId="172FEE98" w14:textId="00CF0CD5" w:rsidR="00A502BA" w:rsidRDefault="00A502BA" w:rsidP="00A156DB">
      <w:pPr>
        <w:pStyle w:val="ListNumber2"/>
      </w:pPr>
      <w:r>
        <w:t xml:space="preserve">ACTCOSS did not think that facial recognition technology offered any benefits if a carded system such as that used at the Crown Casino was used </w:t>
      </w:r>
      <w:r w:rsidR="005C1B69">
        <w:t>and</w:t>
      </w:r>
      <w:r>
        <w:t xml:space="preserve"> </w:t>
      </w:r>
      <w:r w:rsidR="005C1B69">
        <w:t>agreed with</w:t>
      </w:r>
      <w:r>
        <w:t xml:space="preserve"> the concerns raised by the Alliance for Gambling Reform about potential misuse of data.</w:t>
      </w:r>
      <w:r>
        <w:rPr>
          <w:rStyle w:val="FootnoteReference"/>
        </w:rPr>
        <w:footnoteReference w:id="148"/>
      </w:r>
    </w:p>
    <w:p w14:paraId="77EF3533" w14:textId="17C9578C" w:rsidR="00FA2226" w:rsidRDefault="00FA2226" w:rsidP="00570363">
      <w:pPr>
        <w:pStyle w:val="Heading5"/>
      </w:pPr>
      <w:r>
        <w:t xml:space="preserve">Committee comment </w:t>
      </w:r>
    </w:p>
    <w:p w14:paraId="2CAF994E" w14:textId="52092DFA" w:rsidR="00FA2226" w:rsidRPr="00694E8E" w:rsidRDefault="006500D6" w:rsidP="00FA2226">
      <w:pPr>
        <w:pStyle w:val="ListNumber2"/>
      </w:pPr>
      <w:r w:rsidRPr="00694E8E">
        <w:t>D</w:t>
      </w:r>
      <w:r w:rsidR="00FA2226" w:rsidRPr="00694E8E">
        <w:t>ata privacy for the individual players, be it from facial recognition technology systems or any form of system that supports cashless gaming, is of central importance.  Gambling license holders should not be able to make use of data for the purpose of loyalty programs or customer promotions where it is derived from systems designed for the purpose of gambling harm-minimisation.</w:t>
      </w:r>
    </w:p>
    <w:tbl>
      <w:tblPr>
        <w:tblStyle w:val="Recommendationbox"/>
        <w:tblW w:w="0" w:type="auto"/>
        <w:tblLook w:val="0600" w:firstRow="0" w:lastRow="0" w:firstColumn="0" w:lastColumn="0" w:noHBand="1" w:noVBand="1"/>
      </w:tblPr>
      <w:tblGrid>
        <w:gridCol w:w="8175"/>
      </w:tblGrid>
      <w:tr w:rsidR="00FA2226" w14:paraId="13B828FC" w14:textId="77777777" w:rsidTr="001C079C">
        <w:trPr>
          <w:cantSplit/>
        </w:trPr>
        <w:tc>
          <w:tcPr>
            <w:tcW w:w="7891" w:type="dxa"/>
          </w:tcPr>
          <w:p w14:paraId="42D7A41F" w14:textId="77777777" w:rsidR="00FA2226" w:rsidRPr="00C90D42" w:rsidRDefault="00FA2226" w:rsidP="001C079C">
            <w:pPr>
              <w:pStyle w:val="Recommendationheading"/>
            </w:pPr>
            <w:bookmarkStart w:id="50" w:name="_Toc167880941"/>
            <w:r w:rsidRPr="00C90D42">
              <w:t xml:space="preserve">Recommendation </w:t>
            </w:r>
            <w:r w:rsidRPr="00C90D42">
              <w:fldChar w:fldCharType="begin"/>
            </w:r>
            <w:r w:rsidRPr="00C90D42">
              <w:instrText xml:space="preserve"> AUTONUMLGL \* Arabic\e </w:instrText>
            </w:r>
            <w:r w:rsidRPr="00C90D42">
              <w:fldChar w:fldCharType="end"/>
            </w:r>
            <w:bookmarkEnd w:id="50"/>
          </w:p>
          <w:p w14:paraId="65C00CCE" w14:textId="1D8C4998" w:rsidR="00FA2226" w:rsidRPr="000A5577" w:rsidRDefault="00FA2226" w:rsidP="001C079C">
            <w:pPr>
              <w:pStyle w:val="Recommendationbody"/>
            </w:pPr>
            <w:bookmarkStart w:id="51" w:name="_Toc167880942"/>
            <w:r>
              <w:t>The Committee recommends that the ACT Government ensure that the protection of personal and private information is a part of the design of any system designed to support harm-reduction in gambling.</w:t>
            </w:r>
            <w:bookmarkEnd w:id="51"/>
          </w:p>
        </w:tc>
      </w:tr>
    </w:tbl>
    <w:p w14:paraId="017DF919" w14:textId="5586E1A0" w:rsidR="00216BB7" w:rsidRDefault="004135EF" w:rsidP="00216BB7">
      <w:pPr>
        <w:pStyle w:val="Heading1"/>
      </w:pPr>
      <w:bookmarkStart w:id="52" w:name="_Toc170201545"/>
      <w:r>
        <w:lastRenderedPageBreak/>
        <w:t>Sustainability for clubs</w:t>
      </w:r>
      <w:bookmarkEnd w:id="52"/>
    </w:p>
    <w:p w14:paraId="2CE13628" w14:textId="36B60682" w:rsidR="004135EF" w:rsidRDefault="00850BB2" w:rsidP="00B7541C">
      <w:pPr>
        <w:pStyle w:val="ListNumber2"/>
      </w:pPr>
      <w:r>
        <w:t xml:space="preserve">In their submission, </w:t>
      </w:r>
      <w:proofErr w:type="spellStart"/>
      <w:r w:rsidR="004135EF">
        <w:t>ClubsACT</w:t>
      </w:r>
      <w:proofErr w:type="spellEnd"/>
      <w:r w:rsidR="004135EF">
        <w:t xml:space="preserve"> told the Committee that as of September 2022, there were 47 licensed clubs in Canberra with aggregate memberships in their 21 clubs over 505,000 members, suggesting that each adult in Canberra is likely to be a member of at least one club.  They told the Committee that clubs play </w:t>
      </w:r>
      <w:r w:rsidR="00E469D2">
        <w:t>an</w:t>
      </w:r>
      <w:r w:rsidR="004135EF">
        <w:t xml:space="preserve"> important role in the community:</w:t>
      </w:r>
    </w:p>
    <w:p w14:paraId="0A41748F" w14:textId="56724A1E" w:rsidR="004135EF" w:rsidRDefault="004135EF" w:rsidP="004135EF">
      <w:pPr>
        <w:pStyle w:val="ListNumber2"/>
        <w:numPr>
          <w:ilvl w:val="0"/>
          <w:numId w:val="0"/>
        </w:numPr>
        <w:ind w:left="1440"/>
      </w:pPr>
      <w:r w:rsidRPr="004135EF">
        <w:rPr>
          <w:rStyle w:val="QuoteChar"/>
        </w:rPr>
        <w:t xml:space="preserve">Canberra clubs play a vital part in the Canberra community and are seen to contribute substantially to the Canberra economy each year. Not only do clubs contribute financially, </w:t>
      </w:r>
      <w:proofErr w:type="gramStart"/>
      <w:r w:rsidRPr="004135EF">
        <w:rPr>
          <w:rStyle w:val="QuoteChar"/>
        </w:rPr>
        <w:t>they</w:t>
      </w:r>
      <w:proofErr w:type="gramEnd"/>
      <w:r w:rsidRPr="004135EF">
        <w:rPr>
          <w:rStyle w:val="QuoteChar"/>
        </w:rPr>
        <w:t xml:space="preserve"> are also contributors to many facets of life in Canberra. This includes but is not limited to contributions to community sport, maintenance of community infrastructure, support provided to local employment and form a key provider of entertainment and hospitality to Canberrans.</w:t>
      </w:r>
      <w:r>
        <w:rPr>
          <w:rStyle w:val="FootnoteReference"/>
        </w:rPr>
        <w:t xml:space="preserve"> </w:t>
      </w:r>
      <w:r>
        <w:rPr>
          <w:rStyle w:val="FootnoteReference"/>
        </w:rPr>
        <w:footnoteReference w:id="149"/>
      </w:r>
    </w:p>
    <w:p w14:paraId="374270F7" w14:textId="77777777" w:rsidR="0049117B" w:rsidRDefault="0049117B" w:rsidP="007574E2">
      <w:pPr>
        <w:pStyle w:val="ListNumber2"/>
      </w:pPr>
      <w:r>
        <w:t xml:space="preserve">However, in their submission, the Salvation Army highlighted that gambling should ‘not be a means of income generation nor economic development whether by government agencies, charitable organisations, </w:t>
      </w:r>
      <w:proofErr w:type="gramStart"/>
      <w:r>
        <w:t>churches</w:t>
      </w:r>
      <w:proofErr w:type="gramEnd"/>
      <w:r>
        <w:t xml:space="preserve"> or commercial interests’.  They emphasised that gambling preys on vulnerable people and can become a harmful compulsive dependency.</w:t>
      </w:r>
      <w:r>
        <w:rPr>
          <w:rStyle w:val="FootnoteReference"/>
        </w:rPr>
        <w:footnoteReference w:id="150"/>
      </w:r>
      <w:r>
        <w:t xml:space="preserve"> </w:t>
      </w:r>
    </w:p>
    <w:p w14:paraId="0AF482A2" w14:textId="4B4FB9DD" w:rsidR="0049117B" w:rsidRDefault="0049117B" w:rsidP="007574E2">
      <w:pPr>
        <w:pStyle w:val="ListNumber2"/>
      </w:pPr>
      <w:r>
        <w:t>During the public hearings, the Committee heard from</w:t>
      </w:r>
      <w:r w:rsidRPr="00246E6D">
        <w:t xml:space="preserve"> </w:t>
      </w:r>
      <w:r>
        <w:t xml:space="preserve">Mr Athol Chalmers, President of Canberra Community Clubs who stated that the clubs industry has largely embraced calls to diversify their income streams away from </w:t>
      </w:r>
      <w:r w:rsidR="007A1D4F">
        <w:t>EGMS but</w:t>
      </w:r>
      <w:r>
        <w:t xml:space="preserve"> continue to face roadblocks in their attempts to do so.  Mr Chalmers informed the Committee that land is usually a club’s biggest asset, which could be used in several ways to benefit communities, such as aged care centre</w:t>
      </w:r>
      <w:r w:rsidR="008D7ED3">
        <w:t>s</w:t>
      </w:r>
      <w:r>
        <w:t xml:space="preserve"> o</w:t>
      </w:r>
      <w:r w:rsidR="008D7ED3">
        <w:t>r</w:t>
      </w:r>
      <w:r>
        <w:t xml:space="preserve"> childcare centres. However, he indicated that there was a need for ‘</w:t>
      </w:r>
      <w:r w:rsidRPr="005E52DE">
        <w:t>the planning department to come on board</w:t>
      </w:r>
      <w:r>
        <w:t>’ as this was a barrier to diversification progressing.</w:t>
      </w:r>
      <w:r>
        <w:rPr>
          <w:rStyle w:val="FootnoteReference"/>
        </w:rPr>
        <w:footnoteReference w:id="151"/>
      </w:r>
      <w:r>
        <w:t xml:space="preserve"> </w:t>
      </w:r>
    </w:p>
    <w:p w14:paraId="61443E97" w14:textId="1359B969" w:rsidR="0049117B" w:rsidRDefault="0049117B" w:rsidP="007574E2">
      <w:pPr>
        <w:pStyle w:val="ListNumber2"/>
      </w:pPr>
      <w:r>
        <w:t xml:space="preserve">This was reiterated by </w:t>
      </w:r>
      <w:proofErr w:type="spellStart"/>
      <w:r>
        <w:t>ClubsACT</w:t>
      </w:r>
      <w:proofErr w:type="spellEnd"/>
      <w:r>
        <w:t xml:space="preserve"> who advised that there used to be a ‘planning concierge’ who would act a single point of contact to assist clubs through the planning process.  </w:t>
      </w:r>
      <w:proofErr w:type="spellStart"/>
      <w:r w:rsidR="009B5462">
        <w:t>ClubsACT</w:t>
      </w:r>
      <w:proofErr w:type="spellEnd"/>
      <w:r>
        <w:t xml:space="preserve"> stated that this is no longer in place, and that despite concerns being raised with the relevant </w:t>
      </w:r>
      <w:r w:rsidR="00443FE2">
        <w:t>g</w:t>
      </w:r>
      <w:r>
        <w:t>overnment ministers who indicate in-principal support, nothing has yet happened.</w:t>
      </w:r>
      <w:r>
        <w:rPr>
          <w:rStyle w:val="FootnoteReference"/>
        </w:rPr>
        <w:footnoteReference w:id="152"/>
      </w:r>
      <w:r>
        <w:t xml:space="preserve"> </w:t>
      </w:r>
    </w:p>
    <w:p w14:paraId="12221A79" w14:textId="77777777" w:rsidR="0049117B" w:rsidRDefault="0049117B" w:rsidP="007574E2">
      <w:pPr>
        <w:pStyle w:val="ListNumber2"/>
      </w:pPr>
      <w:r>
        <w:t xml:space="preserve">Mr Shannon summarised that there is a disconnect between a governmental desire for clubs to diversify their income streams and the tangible delivery of those outcomes for the industry:  </w:t>
      </w:r>
    </w:p>
    <w:p w14:paraId="415E51D9" w14:textId="77777777" w:rsidR="0049117B" w:rsidRDefault="0049117B" w:rsidP="007574E2">
      <w:pPr>
        <w:pStyle w:val="Quote"/>
      </w:pPr>
      <w:r w:rsidRPr="009D5707">
        <w:t xml:space="preserve">Certainly, Athol and I have both been at the forefront in the ministerial council meetings, raising our concern with the minister that, with the siloed nature of the way the government is operating </w:t>
      </w:r>
      <w:proofErr w:type="gramStart"/>
      <w:r w:rsidRPr="009D5707">
        <w:t>at the moment</w:t>
      </w:r>
      <w:proofErr w:type="gramEnd"/>
      <w:r w:rsidRPr="009D5707">
        <w:t>, there seems very little buy-in from EPSDD</w:t>
      </w:r>
      <w:r>
        <w:rPr>
          <w:rStyle w:val="FootnoteReference"/>
        </w:rPr>
        <w:footnoteReference w:id="153"/>
      </w:r>
      <w:r w:rsidRPr="009D5707">
        <w:t xml:space="preserve">, for instance, to the government’s announcements with regard to </w:t>
      </w:r>
      <w:r w:rsidRPr="009D5707">
        <w:lastRenderedPageBreak/>
        <w:t xml:space="preserve">planning and diversification. </w:t>
      </w:r>
      <w:proofErr w:type="gramStart"/>
      <w:r w:rsidRPr="009D5707">
        <w:t>So</w:t>
      </w:r>
      <w:proofErr w:type="gramEnd"/>
      <w:r w:rsidRPr="009D5707">
        <w:t xml:space="preserve"> there is a disconnect between what government says at the parliamentary level and what we are seeing playing out at the bureaucratic level in delivering those outcomes for the industry.</w:t>
      </w:r>
      <w:r>
        <w:rPr>
          <w:rStyle w:val="FootnoteReference"/>
        </w:rPr>
        <w:footnoteReference w:id="154"/>
      </w:r>
    </w:p>
    <w:p w14:paraId="1AA414D5" w14:textId="7ECD85C9" w:rsidR="0049117B" w:rsidRDefault="0049117B" w:rsidP="007574E2">
      <w:pPr>
        <w:pStyle w:val="ListNumber2"/>
      </w:pPr>
      <w:r>
        <w:t>The Parliamentary and Governing Agreement (PAGA) between ACT Labor and the ACT Greens for the 10</w:t>
      </w:r>
      <w:r w:rsidRPr="00CD7D42">
        <w:rPr>
          <w:vertAlign w:val="superscript"/>
        </w:rPr>
        <w:t>th</w:t>
      </w:r>
      <w:r>
        <w:t xml:space="preserve"> Assembly included a commitment to: </w:t>
      </w:r>
    </w:p>
    <w:p w14:paraId="23BFE4F4" w14:textId="5674C628" w:rsidR="0049117B" w:rsidRPr="00CD7D42" w:rsidRDefault="0049117B" w:rsidP="007574E2">
      <w:pPr>
        <w:pStyle w:val="Quote"/>
      </w:pPr>
      <w:r>
        <w:t>Facilitate planning and other processes to allow clubs to diversify to other revenue generating streams, particularly development of available land for social housing and land supply purposes, that are supported by the community.</w:t>
      </w:r>
      <w:r>
        <w:rPr>
          <w:rStyle w:val="FootnoteReference"/>
        </w:rPr>
        <w:footnoteReference w:id="155"/>
      </w:r>
      <w:r w:rsidR="00AE587D">
        <w:t xml:space="preserve"> </w:t>
      </w:r>
    </w:p>
    <w:p w14:paraId="3B0D2D0D" w14:textId="77777777" w:rsidR="00AE587D" w:rsidRDefault="00AE587D" w:rsidP="00570363">
      <w:pPr>
        <w:pStyle w:val="Heading5"/>
      </w:pPr>
      <w:r>
        <w:t xml:space="preserve">Committee comment </w:t>
      </w:r>
    </w:p>
    <w:p w14:paraId="13BF399D" w14:textId="77777777" w:rsidR="0049117B" w:rsidRDefault="0049117B" w:rsidP="007574E2">
      <w:pPr>
        <w:pStyle w:val="ListNumber2"/>
      </w:pPr>
      <w:r>
        <w:t xml:space="preserve">The Committee acknowledges the desire of clubs to diversity their income streams, and the challenges they face in doing so, despite the in-principal support from the government.  </w:t>
      </w:r>
    </w:p>
    <w:p w14:paraId="30B8925C" w14:textId="0D10D31C" w:rsidR="006500D6" w:rsidRPr="006500D6" w:rsidRDefault="0049117B" w:rsidP="006500D6">
      <w:pPr>
        <w:pStyle w:val="ListNumber2"/>
      </w:pPr>
      <w:r w:rsidRPr="008D7ED3">
        <w:t xml:space="preserve">The Committee would like to see </w:t>
      </w:r>
      <w:r w:rsidR="00AA3AF3" w:rsidRPr="008D7ED3">
        <w:t>f</w:t>
      </w:r>
      <w:r w:rsidRPr="008D7ED3">
        <w:t xml:space="preserve">urther commitment </w:t>
      </w:r>
      <w:r w:rsidR="00570363">
        <w:t xml:space="preserve">from the government </w:t>
      </w:r>
      <w:r w:rsidRPr="008D7ED3">
        <w:t xml:space="preserve">to ensure that community clubs </w:t>
      </w:r>
      <w:r w:rsidR="008D7ED3" w:rsidRPr="008D7ED3">
        <w:t xml:space="preserve">can </w:t>
      </w:r>
      <w:r w:rsidRPr="008D7ED3">
        <w:t>effectively diversi</w:t>
      </w:r>
      <w:r w:rsidR="008D7ED3">
        <w:t>f</w:t>
      </w:r>
      <w:r w:rsidRPr="008D7ED3">
        <w:t>y their income streams and reduce their reliance on EGM</w:t>
      </w:r>
      <w:r w:rsidR="00AA3AF3" w:rsidRPr="008D7ED3">
        <w:t>s.</w:t>
      </w:r>
      <w:r w:rsidR="008D7ED3" w:rsidRPr="008D7ED3">
        <w:t xml:space="preserve"> </w:t>
      </w:r>
      <w:r w:rsidR="008D7ED3">
        <w:t xml:space="preserve">Plans to derive </w:t>
      </w:r>
      <w:r w:rsidR="008D7ED3" w:rsidRPr="008D7ED3">
        <w:t xml:space="preserve">income from other uses of club land, consistent with the not-for-profit status of clubs, </w:t>
      </w:r>
      <w:r w:rsidR="008D7ED3">
        <w:t xml:space="preserve">should be </w:t>
      </w:r>
      <w:r w:rsidR="008D7ED3" w:rsidRPr="008D7ED3">
        <w:t>encouraged and supported.</w:t>
      </w:r>
    </w:p>
    <w:tbl>
      <w:tblPr>
        <w:tblStyle w:val="Recommendationbox"/>
        <w:tblW w:w="0" w:type="auto"/>
        <w:tblLook w:val="0600" w:firstRow="0" w:lastRow="0" w:firstColumn="0" w:lastColumn="0" w:noHBand="1" w:noVBand="1"/>
      </w:tblPr>
      <w:tblGrid>
        <w:gridCol w:w="8175"/>
      </w:tblGrid>
      <w:tr w:rsidR="00AA719E" w14:paraId="0ECA45F6" w14:textId="77777777" w:rsidTr="006500D6">
        <w:trPr>
          <w:cantSplit/>
        </w:trPr>
        <w:tc>
          <w:tcPr>
            <w:tcW w:w="7891" w:type="dxa"/>
          </w:tcPr>
          <w:p w14:paraId="57082DDC" w14:textId="77777777" w:rsidR="00AA719E" w:rsidRPr="00C90D42" w:rsidRDefault="00AA719E" w:rsidP="00AA719E">
            <w:pPr>
              <w:pStyle w:val="Recommendationheading"/>
            </w:pPr>
            <w:bookmarkStart w:id="53" w:name="_Toc167880943"/>
            <w:r w:rsidRPr="00C90D42">
              <w:t xml:space="preserve">Recommendation </w:t>
            </w:r>
            <w:r w:rsidRPr="00C90D42">
              <w:fldChar w:fldCharType="begin"/>
            </w:r>
            <w:r w:rsidRPr="00C90D42">
              <w:instrText xml:space="preserve"> AUTONUMLGL \* Arabic\e </w:instrText>
            </w:r>
            <w:r w:rsidRPr="00C90D42">
              <w:fldChar w:fldCharType="end"/>
            </w:r>
            <w:bookmarkEnd w:id="53"/>
          </w:p>
          <w:p w14:paraId="024E3EC2" w14:textId="597CB7AA" w:rsidR="000A5577" w:rsidRPr="000A5577" w:rsidRDefault="004135EF" w:rsidP="000A5577">
            <w:pPr>
              <w:pStyle w:val="Recommendationbody"/>
            </w:pPr>
            <w:bookmarkStart w:id="54" w:name="_Toc167880944"/>
            <w:r>
              <w:t xml:space="preserve">The Committee recommends that the ACT Government </w:t>
            </w:r>
            <w:r w:rsidR="00AE587D">
              <w:t xml:space="preserve">develop policies to facilitate diversification </w:t>
            </w:r>
            <w:r>
              <w:t>with respect to reducing</w:t>
            </w:r>
            <w:r w:rsidR="008D7ED3">
              <w:t xml:space="preserve"> clubs</w:t>
            </w:r>
            <w:r>
              <w:t xml:space="preserve"> reliance on Electronic Gaming Machines</w:t>
            </w:r>
            <w:r w:rsidR="008D7ED3">
              <w:t>.</w:t>
            </w:r>
            <w:bookmarkEnd w:id="54"/>
          </w:p>
        </w:tc>
      </w:tr>
    </w:tbl>
    <w:p w14:paraId="728A07F0" w14:textId="77777777" w:rsidR="0098373B" w:rsidRDefault="0098373B" w:rsidP="00C31E7B">
      <w:pPr>
        <w:pStyle w:val="ListNumber2"/>
        <w:numPr>
          <w:ilvl w:val="0"/>
          <w:numId w:val="0"/>
        </w:numPr>
        <w:ind w:left="851" w:hanging="851"/>
      </w:pPr>
    </w:p>
    <w:p w14:paraId="35863B89" w14:textId="77777777" w:rsidR="00AE587D" w:rsidRDefault="00AE587D" w:rsidP="00C31E7B">
      <w:pPr>
        <w:pStyle w:val="ListNumber2"/>
        <w:numPr>
          <w:ilvl w:val="0"/>
          <w:numId w:val="0"/>
        </w:numPr>
        <w:ind w:left="851" w:hanging="851"/>
      </w:pPr>
    </w:p>
    <w:p w14:paraId="2EC1575B" w14:textId="10F79AD5" w:rsidR="00850BB2" w:rsidRDefault="00EB3179" w:rsidP="00850BB2">
      <w:pPr>
        <w:pStyle w:val="Heading1"/>
      </w:pPr>
      <w:r>
        <w:br w:type="page"/>
      </w:r>
      <w:bookmarkStart w:id="55" w:name="_Toc170201546"/>
      <w:r w:rsidR="00850BB2">
        <w:lastRenderedPageBreak/>
        <w:t>Conclusion</w:t>
      </w:r>
      <w:bookmarkEnd w:id="55"/>
    </w:p>
    <w:p w14:paraId="60636CE6" w14:textId="73A883DC" w:rsidR="00850BB2" w:rsidRPr="008F4F78" w:rsidRDefault="00850BB2" w:rsidP="00850BB2">
      <w:pPr>
        <w:pStyle w:val="ListNumber2"/>
      </w:pPr>
      <w:r w:rsidRPr="008F4F78">
        <w:t xml:space="preserve">The Committee has made </w:t>
      </w:r>
      <w:r w:rsidR="003E7A29" w:rsidRPr="008F4F78">
        <w:t xml:space="preserve">five </w:t>
      </w:r>
      <w:r w:rsidRPr="008F4F78">
        <w:t>recommendations in its Inquiry into Cashless Gaming in the ACT.</w:t>
      </w:r>
    </w:p>
    <w:p w14:paraId="61558E84" w14:textId="77777777" w:rsidR="00850BB2" w:rsidRDefault="00850BB2" w:rsidP="00850BB2">
      <w:pPr>
        <w:pStyle w:val="ListNumber2"/>
      </w:pPr>
      <w:r>
        <w:t>The Committee would like to thank all those who participated in this inquiry including those who made submissions and appeared at the public hearing.</w:t>
      </w:r>
    </w:p>
    <w:p w14:paraId="2A494B6D" w14:textId="77777777" w:rsidR="00850BB2" w:rsidRDefault="00850BB2" w:rsidP="00850BB2">
      <w:pPr>
        <w:spacing w:line="259" w:lineRule="auto"/>
      </w:pPr>
    </w:p>
    <w:p w14:paraId="58DF5689" w14:textId="77777777" w:rsidR="00850BB2" w:rsidRDefault="00850BB2" w:rsidP="00850BB2">
      <w:pPr>
        <w:spacing w:line="259" w:lineRule="auto"/>
      </w:pPr>
    </w:p>
    <w:p w14:paraId="193897C8" w14:textId="77777777" w:rsidR="008F4F78" w:rsidRDefault="008F4F78" w:rsidP="00850BB2">
      <w:pPr>
        <w:spacing w:line="259" w:lineRule="auto"/>
      </w:pPr>
    </w:p>
    <w:p w14:paraId="10E96827" w14:textId="77777777" w:rsidR="008F4F78" w:rsidRDefault="008F4F78" w:rsidP="00850BB2">
      <w:pPr>
        <w:spacing w:line="259" w:lineRule="auto"/>
      </w:pPr>
    </w:p>
    <w:p w14:paraId="0B07999E" w14:textId="77777777" w:rsidR="00850BB2" w:rsidRPr="008F4F78" w:rsidRDefault="00850BB2" w:rsidP="00850BB2">
      <w:pPr>
        <w:spacing w:after="0" w:line="240" w:lineRule="auto"/>
      </w:pPr>
      <w:r w:rsidRPr="008F4F78">
        <w:t>Peter Cain MLA</w:t>
      </w:r>
    </w:p>
    <w:p w14:paraId="3D9CFFB1" w14:textId="77777777" w:rsidR="00850BB2" w:rsidRPr="008F4F78" w:rsidRDefault="00850BB2" w:rsidP="00850BB2">
      <w:pPr>
        <w:spacing w:after="0" w:line="240" w:lineRule="auto"/>
      </w:pPr>
      <w:r w:rsidRPr="008F4F78">
        <w:t>Chair</w:t>
      </w:r>
    </w:p>
    <w:p w14:paraId="6AEA04A6" w14:textId="69529FE7" w:rsidR="00EB3179" w:rsidRDefault="00850BB2" w:rsidP="00850BB2">
      <w:pPr>
        <w:spacing w:line="259" w:lineRule="auto"/>
        <w:rPr>
          <w:rFonts w:cstheme="minorHAnsi"/>
          <w:bCs/>
          <w:color w:val="000000" w:themeColor="text1"/>
          <w:szCs w:val="20"/>
        </w:rPr>
      </w:pPr>
      <w:r w:rsidRPr="008F4F78">
        <w:t xml:space="preserve">   </w:t>
      </w:r>
      <w:r w:rsidR="003E2744" w:rsidRPr="008F4F78">
        <w:t>June</w:t>
      </w:r>
      <w:r w:rsidRPr="008F4F78">
        <w:t xml:space="preserve"> 2024</w:t>
      </w:r>
    </w:p>
    <w:p w14:paraId="3C7878A9" w14:textId="77777777" w:rsidR="00850BB2" w:rsidRDefault="00850BB2">
      <w:pPr>
        <w:spacing w:line="259" w:lineRule="auto"/>
        <w:rPr>
          <w:rFonts w:ascii="Montserrat" w:eastAsiaTheme="majorEastAsia" w:hAnsi="Montserrat" w:cstheme="majorBidi"/>
          <w:b/>
          <w:color w:val="1A234C"/>
          <w:w w:val="90"/>
          <w:kern w:val="2"/>
          <w:sz w:val="36"/>
          <w:szCs w:val="32"/>
        </w:rPr>
      </w:pPr>
      <w:r>
        <w:br w:type="page"/>
      </w:r>
    </w:p>
    <w:p w14:paraId="7127DF32" w14:textId="4A410C0F" w:rsidR="00E833AA" w:rsidRDefault="00E833AA" w:rsidP="00247A37">
      <w:pPr>
        <w:pStyle w:val="Heading1nonumber"/>
      </w:pPr>
      <w:bookmarkStart w:id="56" w:name="_Toc170201547"/>
      <w:r>
        <w:lastRenderedPageBreak/>
        <w:t xml:space="preserve">Appendix </w:t>
      </w:r>
      <w:r w:rsidR="00247A37">
        <w:t>A</w:t>
      </w:r>
      <w:r>
        <w:t>: Submissions</w:t>
      </w:r>
      <w:bookmarkEnd w:id="56"/>
    </w:p>
    <w:tbl>
      <w:tblPr>
        <w:tblStyle w:val="Assemblystyletable"/>
        <w:tblW w:w="0" w:type="auto"/>
        <w:tblLook w:val="04A0" w:firstRow="1" w:lastRow="0" w:firstColumn="1" w:lastColumn="0" w:noHBand="0" w:noVBand="1"/>
      </w:tblPr>
      <w:tblGrid>
        <w:gridCol w:w="668"/>
        <w:gridCol w:w="5665"/>
        <w:gridCol w:w="1346"/>
        <w:gridCol w:w="1347"/>
      </w:tblGrid>
      <w:tr w:rsidR="007C503A"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5B2C1DDC" w:rsidR="007C503A" w:rsidRDefault="007C503A" w:rsidP="007C503A">
            <w:pPr>
              <w:pStyle w:val="Tableheading"/>
            </w:pPr>
            <w:r>
              <w:t>No.</w:t>
            </w:r>
          </w:p>
        </w:tc>
        <w:tc>
          <w:tcPr>
            <w:tcW w:w="5665" w:type="dxa"/>
          </w:tcPr>
          <w:p w14:paraId="4F8DE72C" w14:textId="14DA7A3E" w:rsidR="007C503A" w:rsidRDefault="007C503A" w:rsidP="007C503A">
            <w:pPr>
              <w:pStyle w:val="Tableheading"/>
            </w:pPr>
            <w:r>
              <w:t>Submission by</w:t>
            </w:r>
          </w:p>
        </w:tc>
        <w:tc>
          <w:tcPr>
            <w:tcW w:w="1346" w:type="dxa"/>
          </w:tcPr>
          <w:p w14:paraId="11EA56C2" w14:textId="6A595F24" w:rsidR="007C503A" w:rsidRDefault="007C503A" w:rsidP="007C503A">
            <w:pPr>
              <w:pStyle w:val="Tableheading"/>
            </w:pPr>
            <w:r>
              <w:t>Received</w:t>
            </w:r>
          </w:p>
        </w:tc>
        <w:tc>
          <w:tcPr>
            <w:tcW w:w="1347" w:type="dxa"/>
          </w:tcPr>
          <w:p w14:paraId="1BD47A41" w14:textId="041671BE" w:rsidR="007C503A" w:rsidRDefault="007C503A" w:rsidP="007C503A">
            <w:pPr>
              <w:pStyle w:val="Tableheading"/>
            </w:pPr>
            <w:r>
              <w:t>Published</w:t>
            </w:r>
          </w:p>
        </w:tc>
      </w:tr>
      <w:tr w:rsidR="007C503A"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2C5DD886" w:rsidR="007C503A" w:rsidRDefault="007C503A" w:rsidP="007C503A">
            <w:pPr>
              <w:pStyle w:val="Tablebody"/>
            </w:pPr>
            <w:r>
              <w:t>1</w:t>
            </w:r>
          </w:p>
        </w:tc>
        <w:tc>
          <w:tcPr>
            <w:tcW w:w="5665" w:type="dxa"/>
          </w:tcPr>
          <w:p w14:paraId="2309834D" w14:textId="1C27F54E" w:rsidR="007C503A" w:rsidRDefault="007C503A" w:rsidP="007C503A">
            <w:pPr>
              <w:pStyle w:val="Tablebody"/>
            </w:pPr>
            <w:r>
              <w:t>Alliance for Gambling Reform</w:t>
            </w:r>
          </w:p>
        </w:tc>
        <w:tc>
          <w:tcPr>
            <w:tcW w:w="1346" w:type="dxa"/>
          </w:tcPr>
          <w:p w14:paraId="3EFED712" w14:textId="7BAEE68E" w:rsidR="007C503A" w:rsidRDefault="007C503A" w:rsidP="007C503A">
            <w:pPr>
              <w:pStyle w:val="Tablebody"/>
            </w:pPr>
            <w:r>
              <w:t>28/08/2023</w:t>
            </w:r>
          </w:p>
        </w:tc>
        <w:tc>
          <w:tcPr>
            <w:tcW w:w="1347" w:type="dxa"/>
          </w:tcPr>
          <w:p w14:paraId="07A93217" w14:textId="60A316A6" w:rsidR="007C503A" w:rsidRDefault="007C503A" w:rsidP="007C503A">
            <w:pPr>
              <w:pStyle w:val="Tablebody"/>
            </w:pPr>
            <w:r>
              <w:t>07/09/2023</w:t>
            </w:r>
          </w:p>
        </w:tc>
      </w:tr>
      <w:tr w:rsidR="007C503A"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45AF9274" w:rsidR="007C503A" w:rsidRDefault="007C503A" w:rsidP="007C503A">
            <w:pPr>
              <w:pStyle w:val="Tablebody"/>
            </w:pPr>
            <w:r>
              <w:t>2</w:t>
            </w:r>
          </w:p>
        </w:tc>
        <w:tc>
          <w:tcPr>
            <w:tcW w:w="5665" w:type="dxa"/>
          </w:tcPr>
          <w:p w14:paraId="195930F2" w14:textId="15E8EB76" w:rsidR="007C503A" w:rsidRDefault="000D6988" w:rsidP="007C503A">
            <w:pPr>
              <w:pStyle w:val="Tablebody"/>
            </w:pPr>
            <w:r>
              <w:t>Confidential</w:t>
            </w:r>
          </w:p>
        </w:tc>
        <w:tc>
          <w:tcPr>
            <w:tcW w:w="1346" w:type="dxa"/>
          </w:tcPr>
          <w:p w14:paraId="0DB77781" w14:textId="4F9C0655" w:rsidR="007C503A" w:rsidRDefault="007C503A" w:rsidP="007C503A">
            <w:pPr>
              <w:pStyle w:val="Tablebody"/>
            </w:pPr>
            <w:r>
              <w:t>30/08/2023</w:t>
            </w:r>
          </w:p>
        </w:tc>
        <w:tc>
          <w:tcPr>
            <w:tcW w:w="1347" w:type="dxa"/>
          </w:tcPr>
          <w:p w14:paraId="128C6192" w14:textId="6AE8E10C" w:rsidR="007C503A" w:rsidRDefault="007C503A" w:rsidP="007C503A">
            <w:pPr>
              <w:pStyle w:val="Tablebody"/>
            </w:pPr>
            <w:r>
              <w:t>07/09/2023</w:t>
            </w:r>
          </w:p>
        </w:tc>
      </w:tr>
      <w:tr w:rsidR="007C503A"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603325E2" w:rsidR="007C503A" w:rsidRDefault="007C503A" w:rsidP="007C503A">
            <w:pPr>
              <w:pStyle w:val="Tablebody"/>
            </w:pPr>
            <w:r>
              <w:t>3</w:t>
            </w:r>
          </w:p>
        </w:tc>
        <w:tc>
          <w:tcPr>
            <w:tcW w:w="5665" w:type="dxa"/>
          </w:tcPr>
          <w:p w14:paraId="4F659747" w14:textId="54D1746A" w:rsidR="007C503A" w:rsidRDefault="007C503A" w:rsidP="007C503A">
            <w:pPr>
              <w:pStyle w:val="Tablebody"/>
            </w:pPr>
            <w:r>
              <w:t>Gambling Treatment &amp; Research Centre</w:t>
            </w:r>
          </w:p>
        </w:tc>
        <w:tc>
          <w:tcPr>
            <w:tcW w:w="1346" w:type="dxa"/>
          </w:tcPr>
          <w:p w14:paraId="07695424" w14:textId="03C35762" w:rsidR="007C503A" w:rsidRDefault="007C503A" w:rsidP="007C503A">
            <w:pPr>
              <w:pStyle w:val="Tablebody"/>
            </w:pPr>
            <w:r>
              <w:t>30/08/2023</w:t>
            </w:r>
          </w:p>
        </w:tc>
        <w:tc>
          <w:tcPr>
            <w:tcW w:w="1347" w:type="dxa"/>
          </w:tcPr>
          <w:p w14:paraId="2B3E54F9" w14:textId="16FF0893" w:rsidR="007C503A" w:rsidRDefault="007C503A" w:rsidP="007C503A">
            <w:pPr>
              <w:pStyle w:val="Tablebody"/>
            </w:pPr>
            <w:r>
              <w:t>07/09/2023</w:t>
            </w:r>
          </w:p>
        </w:tc>
      </w:tr>
      <w:tr w:rsidR="007C503A" w14:paraId="23D89A7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49E29CB" w14:textId="3A84363B" w:rsidR="007C503A" w:rsidRDefault="007C503A" w:rsidP="007C503A">
            <w:pPr>
              <w:pStyle w:val="Tablebody"/>
            </w:pPr>
            <w:r>
              <w:t>4</w:t>
            </w:r>
          </w:p>
        </w:tc>
        <w:tc>
          <w:tcPr>
            <w:tcW w:w="5665" w:type="dxa"/>
          </w:tcPr>
          <w:p w14:paraId="12B5FEE8" w14:textId="15308ADB" w:rsidR="007C503A" w:rsidRDefault="007C503A" w:rsidP="007C503A">
            <w:pPr>
              <w:pStyle w:val="Tablebody"/>
            </w:pPr>
            <w:r>
              <w:t>The Salvation Army</w:t>
            </w:r>
          </w:p>
        </w:tc>
        <w:tc>
          <w:tcPr>
            <w:tcW w:w="1346" w:type="dxa"/>
          </w:tcPr>
          <w:p w14:paraId="6B00B98F" w14:textId="7F13D134" w:rsidR="007C503A" w:rsidRDefault="007C503A" w:rsidP="007C503A">
            <w:pPr>
              <w:pStyle w:val="Tablebody"/>
            </w:pPr>
            <w:r>
              <w:t>31/08/2023</w:t>
            </w:r>
          </w:p>
        </w:tc>
        <w:tc>
          <w:tcPr>
            <w:tcW w:w="1347" w:type="dxa"/>
          </w:tcPr>
          <w:p w14:paraId="15DB9465" w14:textId="364DB9BE" w:rsidR="007C503A" w:rsidRDefault="007C503A" w:rsidP="007C503A">
            <w:pPr>
              <w:pStyle w:val="Tablebody"/>
            </w:pPr>
            <w:r>
              <w:t>07/09/2023</w:t>
            </w:r>
          </w:p>
        </w:tc>
      </w:tr>
      <w:tr w:rsidR="007C503A" w14:paraId="6D6BA5C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64CEDEB" w14:textId="5EDB7F9E" w:rsidR="007C503A" w:rsidRDefault="007C503A" w:rsidP="007C503A">
            <w:pPr>
              <w:pStyle w:val="Tablebody"/>
            </w:pPr>
            <w:r>
              <w:t>5</w:t>
            </w:r>
          </w:p>
        </w:tc>
        <w:tc>
          <w:tcPr>
            <w:tcW w:w="5665" w:type="dxa"/>
          </w:tcPr>
          <w:p w14:paraId="705026FC" w14:textId="6FF3E28D" w:rsidR="007C503A" w:rsidRDefault="000D6988" w:rsidP="007C503A">
            <w:pPr>
              <w:pStyle w:val="Tablebody"/>
            </w:pPr>
            <w:r>
              <w:t>Name Withheld</w:t>
            </w:r>
          </w:p>
        </w:tc>
        <w:tc>
          <w:tcPr>
            <w:tcW w:w="1346" w:type="dxa"/>
          </w:tcPr>
          <w:p w14:paraId="4DF490D9" w14:textId="3021E26C" w:rsidR="007C503A" w:rsidRDefault="007C503A" w:rsidP="007C503A">
            <w:pPr>
              <w:pStyle w:val="Tablebody"/>
            </w:pPr>
            <w:r>
              <w:t>31/08/2023</w:t>
            </w:r>
          </w:p>
        </w:tc>
        <w:tc>
          <w:tcPr>
            <w:tcW w:w="1347" w:type="dxa"/>
          </w:tcPr>
          <w:p w14:paraId="3A65C60D" w14:textId="1EF8149D" w:rsidR="007C503A" w:rsidRDefault="007C503A" w:rsidP="007C503A">
            <w:pPr>
              <w:pStyle w:val="Tablebody"/>
            </w:pPr>
            <w:r>
              <w:t>07/09/2023</w:t>
            </w:r>
          </w:p>
        </w:tc>
      </w:tr>
      <w:tr w:rsidR="007C503A" w14:paraId="1CA2213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D608027" w14:textId="2E3B9A89" w:rsidR="007C503A" w:rsidRDefault="007C503A" w:rsidP="007C503A">
            <w:pPr>
              <w:pStyle w:val="Tablebody"/>
            </w:pPr>
            <w:r>
              <w:t>6</w:t>
            </w:r>
          </w:p>
        </w:tc>
        <w:tc>
          <w:tcPr>
            <w:tcW w:w="5665" w:type="dxa"/>
          </w:tcPr>
          <w:p w14:paraId="5A21421E" w14:textId="3FA448E5" w:rsidR="007C503A" w:rsidRDefault="007C503A" w:rsidP="007C503A">
            <w:pPr>
              <w:pStyle w:val="Tablebody"/>
            </w:pPr>
            <w:r>
              <w:t>Canberra Community Clubs</w:t>
            </w:r>
          </w:p>
        </w:tc>
        <w:tc>
          <w:tcPr>
            <w:tcW w:w="1346" w:type="dxa"/>
          </w:tcPr>
          <w:p w14:paraId="48F24C98" w14:textId="1C8D4BD7" w:rsidR="007C503A" w:rsidRDefault="007C503A" w:rsidP="007C503A">
            <w:pPr>
              <w:pStyle w:val="Tablebody"/>
            </w:pPr>
            <w:r>
              <w:t>01/09/2023</w:t>
            </w:r>
          </w:p>
        </w:tc>
        <w:tc>
          <w:tcPr>
            <w:tcW w:w="1347" w:type="dxa"/>
          </w:tcPr>
          <w:p w14:paraId="127138F1" w14:textId="73A337FE" w:rsidR="007C503A" w:rsidRDefault="007C503A" w:rsidP="007C503A">
            <w:pPr>
              <w:pStyle w:val="Tablebody"/>
            </w:pPr>
            <w:r>
              <w:t>07/09/2023</w:t>
            </w:r>
          </w:p>
        </w:tc>
      </w:tr>
      <w:tr w:rsidR="007C503A" w14:paraId="3C7231E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F7B498F" w14:textId="57A7F0A6" w:rsidR="007C503A" w:rsidRDefault="007C503A" w:rsidP="007C503A">
            <w:pPr>
              <w:pStyle w:val="Tablebody"/>
            </w:pPr>
            <w:r>
              <w:t>7</w:t>
            </w:r>
          </w:p>
        </w:tc>
        <w:tc>
          <w:tcPr>
            <w:tcW w:w="5665" w:type="dxa"/>
          </w:tcPr>
          <w:p w14:paraId="77C1C943" w14:textId="60C8075D" w:rsidR="007C503A" w:rsidRDefault="007C503A" w:rsidP="007C503A">
            <w:pPr>
              <w:pStyle w:val="Tablebody"/>
            </w:pPr>
            <w:r>
              <w:t>Australian Federal Police Association</w:t>
            </w:r>
          </w:p>
        </w:tc>
        <w:tc>
          <w:tcPr>
            <w:tcW w:w="1346" w:type="dxa"/>
          </w:tcPr>
          <w:p w14:paraId="60531922" w14:textId="74CF6CAC" w:rsidR="007C503A" w:rsidRDefault="007C503A" w:rsidP="007C503A">
            <w:pPr>
              <w:pStyle w:val="Tablebody"/>
            </w:pPr>
            <w:r>
              <w:t>01/09/2023</w:t>
            </w:r>
          </w:p>
        </w:tc>
        <w:tc>
          <w:tcPr>
            <w:tcW w:w="1347" w:type="dxa"/>
          </w:tcPr>
          <w:p w14:paraId="6EF808B0" w14:textId="54890648" w:rsidR="007C503A" w:rsidRDefault="007C503A" w:rsidP="007C503A">
            <w:pPr>
              <w:pStyle w:val="Tablebody"/>
            </w:pPr>
            <w:r>
              <w:t>07/09/2023</w:t>
            </w:r>
          </w:p>
        </w:tc>
      </w:tr>
      <w:tr w:rsidR="007C503A" w14:paraId="7B393DD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3F0A550" w14:textId="27C2E57A" w:rsidR="007C503A" w:rsidRDefault="007C503A" w:rsidP="007C503A">
            <w:pPr>
              <w:pStyle w:val="Tablebody"/>
            </w:pPr>
            <w:r>
              <w:t>8</w:t>
            </w:r>
          </w:p>
        </w:tc>
        <w:tc>
          <w:tcPr>
            <w:tcW w:w="5665" w:type="dxa"/>
          </w:tcPr>
          <w:p w14:paraId="4202AB5B" w14:textId="7AEA53AE" w:rsidR="007C503A" w:rsidRDefault="007C503A" w:rsidP="007C503A">
            <w:pPr>
              <w:pStyle w:val="Tablebody"/>
            </w:pPr>
            <w:r>
              <w:t>Canberra Southern Cross Club</w:t>
            </w:r>
          </w:p>
        </w:tc>
        <w:tc>
          <w:tcPr>
            <w:tcW w:w="1346" w:type="dxa"/>
          </w:tcPr>
          <w:p w14:paraId="7B748BDC" w14:textId="0A993CAA" w:rsidR="007C503A" w:rsidRDefault="007C503A" w:rsidP="007C503A">
            <w:pPr>
              <w:pStyle w:val="Tablebody"/>
            </w:pPr>
            <w:r>
              <w:t>01/09/2023</w:t>
            </w:r>
          </w:p>
        </w:tc>
        <w:tc>
          <w:tcPr>
            <w:tcW w:w="1347" w:type="dxa"/>
          </w:tcPr>
          <w:p w14:paraId="412673E7" w14:textId="33B90260" w:rsidR="007C503A" w:rsidRDefault="007C503A" w:rsidP="007C503A">
            <w:pPr>
              <w:pStyle w:val="Tablebody"/>
            </w:pPr>
            <w:r>
              <w:t>07/09/2023</w:t>
            </w:r>
          </w:p>
        </w:tc>
      </w:tr>
      <w:tr w:rsidR="007C503A" w14:paraId="071B042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E06EBB3" w14:textId="5B9CF4B1" w:rsidR="007C503A" w:rsidRDefault="007C503A" w:rsidP="007C503A">
            <w:pPr>
              <w:pStyle w:val="Tablebody"/>
            </w:pPr>
            <w:r>
              <w:t>9</w:t>
            </w:r>
          </w:p>
        </w:tc>
        <w:tc>
          <w:tcPr>
            <w:tcW w:w="5665" w:type="dxa"/>
          </w:tcPr>
          <w:p w14:paraId="4A8D16A8" w14:textId="7B2216C1" w:rsidR="007C503A" w:rsidRDefault="007C503A" w:rsidP="007C503A">
            <w:pPr>
              <w:pStyle w:val="Tablebody"/>
            </w:pPr>
            <w:r>
              <w:t>ACTCOSS</w:t>
            </w:r>
            <w:r w:rsidR="0086394E">
              <w:t xml:space="preserve"> (ACT Council of Social Services)</w:t>
            </w:r>
          </w:p>
        </w:tc>
        <w:tc>
          <w:tcPr>
            <w:tcW w:w="1346" w:type="dxa"/>
          </w:tcPr>
          <w:p w14:paraId="21AB02B3" w14:textId="2A533283" w:rsidR="007C503A" w:rsidRDefault="007C503A" w:rsidP="007C503A">
            <w:pPr>
              <w:pStyle w:val="Tablebody"/>
            </w:pPr>
            <w:r>
              <w:t>01/09/2023</w:t>
            </w:r>
          </w:p>
        </w:tc>
        <w:tc>
          <w:tcPr>
            <w:tcW w:w="1347" w:type="dxa"/>
          </w:tcPr>
          <w:p w14:paraId="3893546F" w14:textId="54C58FB3" w:rsidR="007C503A" w:rsidRDefault="007C503A" w:rsidP="007C503A">
            <w:pPr>
              <w:pStyle w:val="Tablebody"/>
            </w:pPr>
            <w:r>
              <w:t>07/09/2023</w:t>
            </w:r>
          </w:p>
        </w:tc>
      </w:tr>
      <w:tr w:rsidR="007C503A" w14:paraId="3142A88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150413D" w14:textId="3A26A423" w:rsidR="007C503A" w:rsidRDefault="007C503A" w:rsidP="007C503A">
            <w:pPr>
              <w:pStyle w:val="Tablebody"/>
            </w:pPr>
            <w:r>
              <w:t>10</w:t>
            </w:r>
          </w:p>
        </w:tc>
        <w:tc>
          <w:tcPr>
            <w:tcW w:w="5665" w:type="dxa"/>
          </w:tcPr>
          <w:p w14:paraId="4EE36DE4" w14:textId="7773B1F2" w:rsidR="007C503A" w:rsidRDefault="007C503A" w:rsidP="007C503A">
            <w:pPr>
              <w:pStyle w:val="Tablebody"/>
            </w:pPr>
            <w:r>
              <w:t>ANU-Centre for Gambling Research</w:t>
            </w:r>
          </w:p>
        </w:tc>
        <w:tc>
          <w:tcPr>
            <w:tcW w:w="1346" w:type="dxa"/>
          </w:tcPr>
          <w:p w14:paraId="05FBAE88" w14:textId="2C7E8BF3" w:rsidR="007C503A" w:rsidRDefault="007C503A" w:rsidP="007C503A">
            <w:pPr>
              <w:pStyle w:val="Tablebody"/>
            </w:pPr>
            <w:r>
              <w:t>04/09/2023</w:t>
            </w:r>
          </w:p>
        </w:tc>
        <w:tc>
          <w:tcPr>
            <w:tcW w:w="1347" w:type="dxa"/>
          </w:tcPr>
          <w:p w14:paraId="23633DB2" w14:textId="0DCBA6A6" w:rsidR="007C503A" w:rsidRDefault="007C503A" w:rsidP="007C503A">
            <w:pPr>
              <w:pStyle w:val="Tablebody"/>
            </w:pPr>
            <w:r>
              <w:t>12/10/2023</w:t>
            </w:r>
          </w:p>
        </w:tc>
      </w:tr>
      <w:tr w:rsidR="007C503A" w14:paraId="2E82DD2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548658F" w14:textId="58C4D8B7" w:rsidR="007C503A" w:rsidRDefault="007C503A" w:rsidP="007C503A">
            <w:pPr>
              <w:pStyle w:val="Tablebody"/>
            </w:pPr>
            <w:r>
              <w:t>11</w:t>
            </w:r>
          </w:p>
        </w:tc>
        <w:tc>
          <w:tcPr>
            <w:tcW w:w="5665" w:type="dxa"/>
          </w:tcPr>
          <w:p w14:paraId="256D1E54" w14:textId="12BAB6FB" w:rsidR="007C503A" w:rsidRDefault="007C503A" w:rsidP="007C503A">
            <w:pPr>
              <w:pStyle w:val="Tablebody"/>
            </w:pPr>
            <w:r>
              <w:t>ACT Government</w:t>
            </w:r>
          </w:p>
        </w:tc>
        <w:tc>
          <w:tcPr>
            <w:tcW w:w="1346" w:type="dxa"/>
          </w:tcPr>
          <w:p w14:paraId="66314E43" w14:textId="200A6E23" w:rsidR="007C503A" w:rsidRDefault="007C503A" w:rsidP="007C503A">
            <w:pPr>
              <w:pStyle w:val="Tablebody"/>
            </w:pPr>
            <w:r>
              <w:t>13/09/2023</w:t>
            </w:r>
          </w:p>
        </w:tc>
        <w:tc>
          <w:tcPr>
            <w:tcW w:w="1347" w:type="dxa"/>
          </w:tcPr>
          <w:p w14:paraId="0C9440B3" w14:textId="4B2FFBF9" w:rsidR="007C503A" w:rsidRDefault="007C503A" w:rsidP="007C503A">
            <w:pPr>
              <w:pStyle w:val="Tablebody"/>
            </w:pPr>
            <w:r>
              <w:t>12/10/2023</w:t>
            </w:r>
          </w:p>
        </w:tc>
      </w:tr>
      <w:tr w:rsidR="007C503A" w14:paraId="79CBCE3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D6A2D7A" w14:textId="0AE24F56" w:rsidR="007C503A" w:rsidRDefault="007C503A" w:rsidP="007C503A">
            <w:pPr>
              <w:pStyle w:val="Tablebody"/>
            </w:pPr>
            <w:r>
              <w:t>12</w:t>
            </w:r>
          </w:p>
        </w:tc>
        <w:tc>
          <w:tcPr>
            <w:tcW w:w="5665" w:type="dxa"/>
          </w:tcPr>
          <w:p w14:paraId="1D5F9024" w14:textId="270A3B7C" w:rsidR="007C503A" w:rsidRDefault="007C503A" w:rsidP="007C503A">
            <w:pPr>
              <w:pStyle w:val="Tablebody"/>
            </w:pPr>
            <w:proofErr w:type="spellStart"/>
            <w:r>
              <w:t>ClubsACT</w:t>
            </w:r>
            <w:proofErr w:type="spellEnd"/>
          </w:p>
        </w:tc>
        <w:tc>
          <w:tcPr>
            <w:tcW w:w="1346" w:type="dxa"/>
          </w:tcPr>
          <w:p w14:paraId="7629816D" w14:textId="4E98C216" w:rsidR="007C503A" w:rsidRDefault="007C503A" w:rsidP="007C503A">
            <w:pPr>
              <w:pStyle w:val="Tablebody"/>
            </w:pPr>
            <w:r>
              <w:t>14/09/2023</w:t>
            </w:r>
          </w:p>
        </w:tc>
        <w:tc>
          <w:tcPr>
            <w:tcW w:w="1347" w:type="dxa"/>
          </w:tcPr>
          <w:p w14:paraId="31573653" w14:textId="555AAF1E" w:rsidR="007C503A" w:rsidRDefault="007C503A" w:rsidP="007C503A">
            <w:pPr>
              <w:pStyle w:val="Tablebody"/>
            </w:pPr>
            <w:r>
              <w:t>12/10/2023</w:t>
            </w:r>
          </w:p>
        </w:tc>
      </w:tr>
      <w:tr w:rsidR="007C503A" w14:paraId="0639E4B6"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885A4AD" w14:textId="12FCE5AC" w:rsidR="007C503A" w:rsidRDefault="007C503A" w:rsidP="007C503A">
            <w:pPr>
              <w:pStyle w:val="Tablebody"/>
            </w:pPr>
            <w:r>
              <w:t>13</w:t>
            </w:r>
          </w:p>
        </w:tc>
        <w:tc>
          <w:tcPr>
            <w:tcW w:w="5665" w:type="dxa"/>
          </w:tcPr>
          <w:p w14:paraId="6A0B61F4" w14:textId="0B03ADD0" w:rsidR="007C503A" w:rsidRDefault="007C503A" w:rsidP="007C503A">
            <w:pPr>
              <w:pStyle w:val="Tablebody"/>
            </w:pPr>
            <w:r>
              <w:t>Gaming Technologies Association</w:t>
            </w:r>
          </w:p>
        </w:tc>
        <w:tc>
          <w:tcPr>
            <w:tcW w:w="1346" w:type="dxa"/>
          </w:tcPr>
          <w:p w14:paraId="51B9B710" w14:textId="272FAC20" w:rsidR="007C503A" w:rsidRDefault="007C503A" w:rsidP="007C503A">
            <w:pPr>
              <w:pStyle w:val="Tablebody"/>
            </w:pPr>
            <w:r>
              <w:t>14/09/2023</w:t>
            </w:r>
          </w:p>
        </w:tc>
        <w:tc>
          <w:tcPr>
            <w:tcW w:w="1347" w:type="dxa"/>
          </w:tcPr>
          <w:p w14:paraId="5CB0D074" w14:textId="6AEB1DDD" w:rsidR="007C503A" w:rsidRDefault="007C503A" w:rsidP="007C503A">
            <w:pPr>
              <w:pStyle w:val="Tablebody"/>
            </w:pPr>
            <w:r>
              <w:t>12/10/2023</w:t>
            </w:r>
          </w:p>
        </w:tc>
      </w:tr>
      <w:tr w:rsidR="007C503A" w14:paraId="345CC96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607C32D" w14:textId="58E5AA1C" w:rsidR="007C503A" w:rsidRDefault="007C503A" w:rsidP="007C503A">
            <w:pPr>
              <w:pStyle w:val="Tablebody"/>
            </w:pPr>
            <w:r>
              <w:t>14</w:t>
            </w:r>
          </w:p>
        </w:tc>
        <w:tc>
          <w:tcPr>
            <w:tcW w:w="5665" w:type="dxa"/>
          </w:tcPr>
          <w:p w14:paraId="22D783DE" w14:textId="582A0B94" w:rsidR="007C503A" w:rsidRDefault="000D6988" w:rsidP="007C503A">
            <w:pPr>
              <w:pStyle w:val="Tablebody"/>
            </w:pPr>
            <w:r>
              <w:t>Confidential</w:t>
            </w:r>
          </w:p>
        </w:tc>
        <w:tc>
          <w:tcPr>
            <w:tcW w:w="1346" w:type="dxa"/>
          </w:tcPr>
          <w:p w14:paraId="40EAB27E" w14:textId="29B590EF" w:rsidR="007C503A" w:rsidRDefault="007C503A" w:rsidP="007C503A">
            <w:pPr>
              <w:pStyle w:val="Tablebody"/>
            </w:pPr>
            <w:r>
              <w:t>14/09/2023</w:t>
            </w:r>
          </w:p>
        </w:tc>
        <w:tc>
          <w:tcPr>
            <w:tcW w:w="1347" w:type="dxa"/>
          </w:tcPr>
          <w:p w14:paraId="06CE5342" w14:textId="3585F412" w:rsidR="007C503A" w:rsidRDefault="007C503A" w:rsidP="007C503A">
            <w:pPr>
              <w:pStyle w:val="Tablebody"/>
            </w:pPr>
            <w:r>
              <w:t>12/10/2023</w:t>
            </w:r>
          </w:p>
        </w:tc>
      </w:tr>
      <w:tr w:rsidR="007C503A" w14:paraId="243F9EB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6A6E6EE" w14:textId="6EF128CF" w:rsidR="007C503A" w:rsidRDefault="007C503A" w:rsidP="007C503A">
            <w:pPr>
              <w:pStyle w:val="Tablebody"/>
            </w:pPr>
            <w:r>
              <w:t>15</w:t>
            </w:r>
          </w:p>
        </w:tc>
        <w:tc>
          <w:tcPr>
            <w:tcW w:w="5665" w:type="dxa"/>
          </w:tcPr>
          <w:p w14:paraId="2BF61DFE" w14:textId="34B777F9" w:rsidR="007C503A" w:rsidRDefault="007C503A" w:rsidP="007C503A">
            <w:pPr>
              <w:pStyle w:val="Tablebody"/>
            </w:pPr>
            <w:r>
              <w:t>Labor Club Group</w:t>
            </w:r>
          </w:p>
        </w:tc>
        <w:tc>
          <w:tcPr>
            <w:tcW w:w="1346" w:type="dxa"/>
          </w:tcPr>
          <w:p w14:paraId="1BE95179" w14:textId="7D825F26" w:rsidR="007C503A" w:rsidRDefault="007C503A" w:rsidP="007C503A">
            <w:pPr>
              <w:pStyle w:val="Tablebody"/>
            </w:pPr>
            <w:r>
              <w:t>14/09/2023</w:t>
            </w:r>
          </w:p>
        </w:tc>
        <w:tc>
          <w:tcPr>
            <w:tcW w:w="1347" w:type="dxa"/>
          </w:tcPr>
          <w:p w14:paraId="60E74B46" w14:textId="0D8930E4" w:rsidR="007C503A" w:rsidRDefault="007C503A" w:rsidP="007C503A">
            <w:pPr>
              <w:pStyle w:val="Tablebody"/>
            </w:pPr>
            <w:r>
              <w:t>12/10/2023</w:t>
            </w:r>
          </w:p>
        </w:tc>
      </w:tr>
      <w:tr w:rsidR="007C503A" w14:paraId="2B00678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A97C424" w14:textId="24C130A3" w:rsidR="007C503A" w:rsidRDefault="007C503A" w:rsidP="007C503A">
            <w:pPr>
              <w:pStyle w:val="Tablebody"/>
            </w:pPr>
            <w:r>
              <w:t>16</w:t>
            </w:r>
          </w:p>
        </w:tc>
        <w:tc>
          <w:tcPr>
            <w:tcW w:w="5665" w:type="dxa"/>
          </w:tcPr>
          <w:p w14:paraId="6B4C5D43" w14:textId="4094582A" w:rsidR="007C503A" w:rsidRDefault="000D6988" w:rsidP="007C503A">
            <w:pPr>
              <w:pStyle w:val="Tablebody"/>
            </w:pPr>
            <w:r>
              <w:t>Confidential</w:t>
            </w:r>
          </w:p>
        </w:tc>
        <w:tc>
          <w:tcPr>
            <w:tcW w:w="1346" w:type="dxa"/>
          </w:tcPr>
          <w:p w14:paraId="6BA2B86A" w14:textId="48D88D13" w:rsidR="007C503A" w:rsidRDefault="007C503A" w:rsidP="007C503A">
            <w:pPr>
              <w:pStyle w:val="Tablebody"/>
            </w:pPr>
            <w:r>
              <w:t>04/04/2024</w:t>
            </w:r>
          </w:p>
        </w:tc>
        <w:tc>
          <w:tcPr>
            <w:tcW w:w="1347" w:type="dxa"/>
          </w:tcPr>
          <w:p w14:paraId="5C89BC0F" w14:textId="36A8DE1B" w:rsidR="007C503A" w:rsidRDefault="007C503A" w:rsidP="007C503A">
            <w:pPr>
              <w:pStyle w:val="Tablebody"/>
            </w:pPr>
            <w:r>
              <w:t>08/04/2024</w:t>
            </w:r>
          </w:p>
        </w:tc>
      </w:tr>
    </w:tbl>
    <w:p w14:paraId="1180F728" w14:textId="67DA8344" w:rsidR="00E833AA" w:rsidRDefault="00E833AA">
      <w:pPr>
        <w:spacing w:line="259" w:lineRule="auto"/>
      </w:pPr>
      <w:r>
        <w:br w:type="page"/>
      </w:r>
    </w:p>
    <w:p w14:paraId="5585A6B8" w14:textId="77777777" w:rsidR="007C503A" w:rsidRDefault="007C503A" w:rsidP="007C503A">
      <w:pPr>
        <w:pStyle w:val="Heading1nonumber"/>
      </w:pPr>
      <w:bookmarkStart w:id="57" w:name="_Toc170201548"/>
      <w:r>
        <w:lastRenderedPageBreak/>
        <w:t>Appendix B: Witnesses</w:t>
      </w:r>
      <w:bookmarkEnd w:id="57"/>
    </w:p>
    <w:p w14:paraId="0359B6CA" w14:textId="77777777" w:rsidR="007C503A" w:rsidRDefault="007C503A" w:rsidP="00570363">
      <w:pPr>
        <w:pStyle w:val="Heading2"/>
      </w:pPr>
      <w:bookmarkStart w:id="58" w:name="_Toc170201549"/>
      <w:r>
        <w:t>Wednesday, 27 March 2024</w:t>
      </w:r>
      <w:bookmarkEnd w:id="58"/>
    </w:p>
    <w:p w14:paraId="23C623F9" w14:textId="77777777" w:rsidR="007C503A" w:rsidRDefault="007C503A" w:rsidP="00570363">
      <w:pPr>
        <w:pStyle w:val="Heading4"/>
      </w:pPr>
      <w:r>
        <w:t>Gaming Technologies Association</w:t>
      </w:r>
    </w:p>
    <w:p w14:paraId="035ED0F7" w14:textId="5DE69CE3" w:rsidR="007C503A" w:rsidRPr="00850BB2" w:rsidRDefault="006645D4" w:rsidP="00850BB2">
      <w:pPr>
        <w:pStyle w:val="ListBullet"/>
        <w:spacing w:before="40" w:after="40"/>
        <w:ind w:left="425"/>
        <w:rPr>
          <w:b/>
          <w:bCs/>
        </w:rPr>
      </w:pPr>
      <w:r>
        <w:rPr>
          <w:b/>
          <w:bCs/>
        </w:rPr>
        <w:t xml:space="preserve">Mr </w:t>
      </w:r>
      <w:r w:rsidR="007C503A" w:rsidRPr="00850BB2">
        <w:rPr>
          <w:b/>
          <w:bCs/>
        </w:rPr>
        <w:t xml:space="preserve">Jinesh Patel, </w:t>
      </w:r>
      <w:r w:rsidR="007C503A" w:rsidRPr="00850BB2">
        <w:t>C</w:t>
      </w:r>
      <w:r w:rsidR="00850BB2">
        <w:t>hief Executive Officer</w:t>
      </w:r>
    </w:p>
    <w:p w14:paraId="67834E79" w14:textId="77777777" w:rsidR="007C503A" w:rsidRDefault="007C503A" w:rsidP="00570363">
      <w:pPr>
        <w:pStyle w:val="Heading4"/>
      </w:pPr>
      <w:r>
        <w:t>Minister for Gaming</w:t>
      </w:r>
    </w:p>
    <w:p w14:paraId="33666162" w14:textId="114B1001" w:rsidR="007C503A" w:rsidRDefault="006645D4" w:rsidP="007C503A">
      <w:pPr>
        <w:pStyle w:val="ListBullet"/>
        <w:spacing w:before="40" w:after="40"/>
        <w:ind w:left="425"/>
      </w:pPr>
      <w:r>
        <w:rPr>
          <w:b/>
          <w:bCs/>
        </w:rPr>
        <w:t xml:space="preserve">Mr </w:t>
      </w:r>
      <w:r w:rsidR="007C503A">
        <w:rPr>
          <w:b/>
          <w:bCs/>
        </w:rPr>
        <w:t>Shane Rattenbury</w:t>
      </w:r>
      <w:r>
        <w:rPr>
          <w:b/>
          <w:bCs/>
        </w:rPr>
        <w:t xml:space="preserve"> MLA</w:t>
      </w:r>
      <w:r w:rsidR="007C503A">
        <w:t>, Minister for Gaming</w:t>
      </w:r>
    </w:p>
    <w:p w14:paraId="79B2B5E1" w14:textId="52E210D7" w:rsidR="007C503A" w:rsidRDefault="006645D4" w:rsidP="007C503A">
      <w:pPr>
        <w:pStyle w:val="ListBullet"/>
        <w:spacing w:before="40" w:after="40"/>
        <w:ind w:left="425"/>
      </w:pPr>
      <w:r>
        <w:rPr>
          <w:b/>
          <w:bCs/>
        </w:rPr>
        <w:t xml:space="preserve">Ms </w:t>
      </w:r>
      <w:r w:rsidR="007C503A">
        <w:rPr>
          <w:b/>
          <w:bCs/>
        </w:rPr>
        <w:t>Jennifer McNeill</w:t>
      </w:r>
      <w:r w:rsidR="007C503A">
        <w:t>, Deputy Director-General, Justice, JACS Directorate</w:t>
      </w:r>
    </w:p>
    <w:p w14:paraId="57F86B4D" w14:textId="1096193B" w:rsidR="007C503A" w:rsidRDefault="006645D4" w:rsidP="007C503A">
      <w:pPr>
        <w:pStyle w:val="ListBullet"/>
        <w:spacing w:before="40" w:after="40"/>
        <w:ind w:left="425"/>
      </w:pPr>
      <w:r>
        <w:rPr>
          <w:b/>
          <w:bCs/>
        </w:rPr>
        <w:t xml:space="preserve">Mr </w:t>
      </w:r>
      <w:r w:rsidR="007C503A">
        <w:rPr>
          <w:b/>
          <w:bCs/>
        </w:rPr>
        <w:t xml:space="preserve">Daniel Ng, </w:t>
      </w:r>
      <w:r w:rsidR="007C503A" w:rsidRPr="009530F3">
        <w:t xml:space="preserve">Executive Branch Manager, Legislation Policy &amp;Programs, </w:t>
      </w:r>
      <w:proofErr w:type="gramStart"/>
      <w:r w:rsidR="007C503A" w:rsidRPr="009530F3">
        <w:t>Justice</w:t>
      </w:r>
      <w:proofErr w:type="gramEnd"/>
      <w:r w:rsidR="007C503A" w:rsidRPr="009530F3">
        <w:t xml:space="preserve"> and Community</w:t>
      </w:r>
    </w:p>
    <w:p w14:paraId="70395ED5" w14:textId="0B386B7C" w:rsidR="007C503A" w:rsidRDefault="006645D4" w:rsidP="007C503A">
      <w:pPr>
        <w:pStyle w:val="ListBullet"/>
        <w:spacing w:before="40" w:after="40"/>
        <w:ind w:left="425"/>
      </w:pPr>
      <w:r>
        <w:rPr>
          <w:b/>
          <w:bCs/>
        </w:rPr>
        <w:t xml:space="preserve">Mr </w:t>
      </w:r>
      <w:r w:rsidR="007C503A">
        <w:rPr>
          <w:b/>
          <w:bCs/>
        </w:rPr>
        <w:t xml:space="preserve">Joshua </w:t>
      </w:r>
      <w:proofErr w:type="spellStart"/>
      <w:r w:rsidR="007C503A">
        <w:rPr>
          <w:b/>
          <w:bCs/>
        </w:rPr>
        <w:t>Ceramidas</w:t>
      </w:r>
      <w:proofErr w:type="spellEnd"/>
      <w:r w:rsidR="007C503A">
        <w:rPr>
          <w:b/>
          <w:bCs/>
        </w:rPr>
        <w:t xml:space="preserve">, </w:t>
      </w:r>
      <w:r w:rsidR="007C503A" w:rsidRPr="009530F3">
        <w:t xml:space="preserve">Senior Director, Legislation Policy &amp; Programs, </w:t>
      </w:r>
      <w:proofErr w:type="gramStart"/>
      <w:r w:rsidR="007C503A" w:rsidRPr="009530F3">
        <w:t>Justice</w:t>
      </w:r>
      <w:proofErr w:type="gramEnd"/>
      <w:r w:rsidR="007C503A" w:rsidRPr="009530F3">
        <w:t xml:space="preserve"> and Community</w:t>
      </w:r>
    </w:p>
    <w:p w14:paraId="63F806DD" w14:textId="0BB87069" w:rsidR="007C503A" w:rsidRDefault="006645D4" w:rsidP="007C503A">
      <w:pPr>
        <w:pStyle w:val="ListBullet"/>
        <w:spacing w:before="40" w:after="40"/>
        <w:ind w:left="425"/>
      </w:pPr>
      <w:r>
        <w:rPr>
          <w:b/>
          <w:bCs/>
        </w:rPr>
        <w:t xml:space="preserve">Ms </w:t>
      </w:r>
      <w:r w:rsidR="007C503A">
        <w:rPr>
          <w:b/>
          <w:bCs/>
        </w:rPr>
        <w:t xml:space="preserve">Yu-Lan Chan, </w:t>
      </w:r>
      <w:r w:rsidR="007C503A" w:rsidRPr="009530F3">
        <w:t>CEO, Gambling and Racing Commission</w:t>
      </w:r>
    </w:p>
    <w:p w14:paraId="3D2C454B" w14:textId="77777777" w:rsidR="007C503A" w:rsidRDefault="007C503A" w:rsidP="007C503A">
      <w:pPr>
        <w:pStyle w:val="ListBullet"/>
        <w:numPr>
          <w:ilvl w:val="0"/>
          <w:numId w:val="0"/>
        </w:numPr>
        <w:spacing w:before="40" w:after="40"/>
        <w:ind w:left="340" w:hanging="340"/>
      </w:pPr>
    </w:p>
    <w:p w14:paraId="688B2D15" w14:textId="77777777" w:rsidR="00C61493" w:rsidRDefault="00C61493" w:rsidP="00570363">
      <w:pPr>
        <w:pStyle w:val="Heading4"/>
      </w:pPr>
      <w:r>
        <w:t>ANU Centre for Gambling Research</w:t>
      </w:r>
    </w:p>
    <w:p w14:paraId="3E4D65A8" w14:textId="77777777" w:rsidR="00C61493" w:rsidRPr="00C61493" w:rsidRDefault="00C61493" w:rsidP="00C61493">
      <w:pPr>
        <w:pStyle w:val="ListBullet"/>
        <w:spacing w:before="40" w:after="240"/>
        <w:ind w:left="425"/>
        <w:rPr>
          <w:b/>
          <w:bCs/>
        </w:rPr>
      </w:pPr>
      <w:r w:rsidRPr="00C61493">
        <w:rPr>
          <w:b/>
          <w:bCs/>
        </w:rPr>
        <w:t xml:space="preserve">Ms Aino Suomi, </w:t>
      </w:r>
      <w:r w:rsidRPr="00C61493">
        <w:t>Director</w:t>
      </w:r>
    </w:p>
    <w:p w14:paraId="655062CA" w14:textId="3A41AE81" w:rsidR="00C61493" w:rsidRDefault="00C61493" w:rsidP="00570363">
      <w:pPr>
        <w:pStyle w:val="Heading4"/>
      </w:pPr>
      <w:r>
        <w:t>University of Sydney, Gambling Treatment and Research Centre</w:t>
      </w:r>
    </w:p>
    <w:p w14:paraId="1185A26F" w14:textId="0C4535E9" w:rsidR="00C61493" w:rsidRPr="00C61493" w:rsidRDefault="00C61493" w:rsidP="00C61493">
      <w:pPr>
        <w:pStyle w:val="ListBullet"/>
        <w:spacing w:before="40" w:after="240"/>
        <w:ind w:left="425"/>
        <w:rPr>
          <w:b/>
          <w:bCs/>
        </w:rPr>
      </w:pPr>
      <w:r w:rsidRPr="00C61493">
        <w:rPr>
          <w:b/>
          <w:bCs/>
        </w:rPr>
        <w:t xml:space="preserve">Professor Sally Gainsbury, </w:t>
      </w:r>
      <w:r w:rsidRPr="00C61493">
        <w:t>Director</w:t>
      </w:r>
    </w:p>
    <w:p w14:paraId="547501C6" w14:textId="622780F4" w:rsidR="007C503A" w:rsidRDefault="007C503A" w:rsidP="00570363">
      <w:pPr>
        <w:pStyle w:val="Heading4"/>
      </w:pPr>
      <w:r>
        <w:t>ACTCOSS</w:t>
      </w:r>
      <w:r w:rsidR="0086394E">
        <w:t xml:space="preserve"> (ACT Council of Social Services)</w:t>
      </w:r>
    </w:p>
    <w:p w14:paraId="27D1EDC9" w14:textId="0512B863" w:rsidR="007C503A" w:rsidRPr="009530F3" w:rsidRDefault="007C503A" w:rsidP="007C503A">
      <w:pPr>
        <w:pStyle w:val="ListBullet"/>
        <w:spacing w:before="40" w:after="40"/>
        <w:ind w:left="425"/>
      </w:pPr>
      <w:r>
        <w:rPr>
          <w:b/>
          <w:bCs/>
        </w:rPr>
        <w:t xml:space="preserve">Dr Devin Bowles, </w:t>
      </w:r>
      <w:r w:rsidR="00850BB2" w:rsidRPr="00850BB2">
        <w:t>C</w:t>
      </w:r>
      <w:r w:rsidR="00850BB2">
        <w:t>hief Executive Officer</w:t>
      </w:r>
    </w:p>
    <w:p w14:paraId="3B9BFE3A" w14:textId="77777777" w:rsidR="007C503A" w:rsidRDefault="007C503A" w:rsidP="007C503A">
      <w:pPr>
        <w:pStyle w:val="ListBullet"/>
        <w:spacing w:before="40" w:after="40"/>
        <w:ind w:left="425"/>
      </w:pPr>
      <w:r>
        <w:rPr>
          <w:b/>
          <w:bCs/>
        </w:rPr>
        <w:t xml:space="preserve">Corinne Dobson, </w:t>
      </w:r>
      <w:r w:rsidRPr="009530F3">
        <w:t>Head of Policy</w:t>
      </w:r>
    </w:p>
    <w:p w14:paraId="6A74D87A" w14:textId="77777777" w:rsidR="007C503A" w:rsidRDefault="007C503A" w:rsidP="007C503A">
      <w:pPr>
        <w:pStyle w:val="ListBullet"/>
        <w:numPr>
          <w:ilvl w:val="0"/>
          <w:numId w:val="0"/>
        </w:numPr>
        <w:spacing w:before="40" w:after="40"/>
        <w:ind w:left="340" w:hanging="340"/>
      </w:pPr>
    </w:p>
    <w:p w14:paraId="1FA19F42" w14:textId="77777777" w:rsidR="007C503A" w:rsidRDefault="007C503A" w:rsidP="00570363">
      <w:pPr>
        <w:pStyle w:val="Heading4"/>
      </w:pPr>
      <w:r>
        <w:t>Alliance for Gambling Reform</w:t>
      </w:r>
    </w:p>
    <w:p w14:paraId="16675FC6" w14:textId="1C6B0AFA" w:rsidR="007C503A" w:rsidRDefault="00C61493" w:rsidP="007C503A">
      <w:pPr>
        <w:pStyle w:val="ListBullet"/>
        <w:spacing w:before="40" w:after="40"/>
        <w:ind w:left="425"/>
      </w:pPr>
      <w:r>
        <w:rPr>
          <w:b/>
          <w:bCs/>
        </w:rPr>
        <w:t xml:space="preserve">Ms </w:t>
      </w:r>
      <w:r w:rsidR="007C503A">
        <w:rPr>
          <w:b/>
          <w:bCs/>
        </w:rPr>
        <w:t xml:space="preserve">Carol Bennett, </w:t>
      </w:r>
      <w:r w:rsidR="00850BB2" w:rsidRPr="00850BB2">
        <w:t>C</w:t>
      </w:r>
      <w:r w:rsidR="00850BB2">
        <w:t>hief Executive Officer</w:t>
      </w:r>
    </w:p>
    <w:p w14:paraId="16D1FCA2" w14:textId="45181981" w:rsidR="007C503A" w:rsidRPr="009530F3" w:rsidRDefault="007C503A" w:rsidP="007C503A">
      <w:pPr>
        <w:pStyle w:val="ListBullet"/>
        <w:spacing w:before="40" w:after="40"/>
        <w:ind w:left="425"/>
      </w:pPr>
      <w:r>
        <w:rPr>
          <w:b/>
          <w:bCs/>
        </w:rPr>
        <w:t>Rev</w:t>
      </w:r>
      <w:r w:rsidR="007F3C75">
        <w:rPr>
          <w:b/>
          <w:bCs/>
        </w:rPr>
        <w:t>erend</w:t>
      </w:r>
      <w:r>
        <w:rPr>
          <w:b/>
          <w:bCs/>
        </w:rPr>
        <w:t xml:space="preserve"> Tim Costello, </w:t>
      </w:r>
      <w:r w:rsidRPr="00547391">
        <w:t>Chief Advocate</w:t>
      </w:r>
    </w:p>
    <w:p w14:paraId="10D59431" w14:textId="77777777" w:rsidR="007C503A" w:rsidRDefault="007C503A" w:rsidP="007C503A">
      <w:pPr>
        <w:pStyle w:val="ListBullet"/>
        <w:numPr>
          <w:ilvl w:val="0"/>
          <w:numId w:val="0"/>
        </w:numPr>
        <w:spacing w:before="40" w:after="40"/>
        <w:ind w:left="340" w:hanging="340"/>
      </w:pPr>
    </w:p>
    <w:p w14:paraId="467E7D6B" w14:textId="77777777" w:rsidR="00C61493" w:rsidRDefault="00C61493" w:rsidP="00570363">
      <w:pPr>
        <w:pStyle w:val="Heading4"/>
      </w:pPr>
      <w:r>
        <w:t>The Salvation Army</w:t>
      </w:r>
    </w:p>
    <w:p w14:paraId="7D9E5872" w14:textId="77777777" w:rsidR="00C61493" w:rsidRDefault="00C61493" w:rsidP="00C61493">
      <w:pPr>
        <w:pStyle w:val="ListBullet"/>
        <w:spacing w:before="40" w:after="40"/>
        <w:ind w:left="425"/>
      </w:pPr>
      <w:r>
        <w:rPr>
          <w:b/>
          <w:bCs/>
        </w:rPr>
        <w:t>Ms Jennifer Kirkaldy</w:t>
      </w:r>
      <w:r>
        <w:t xml:space="preserve">, General Manager, </w:t>
      </w:r>
      <w:proofErr w:type="gramStart"/>
      <w:r>
        <w:t>Policy</w:t>
      </w:r>
      <w:proofErr w:type="gramEnd"/>
      <w:r>
        <w:t xml:space="preserve"> and Advocacy</w:t>
      </w:r>
    </w:p>
    <w:p w14:paraId="3EB400CE" w14:textId="77777777" w:rsidR="00C61493" w:rsidRDefault="00C61493" w:rsidP="00C61493">
      <w:pPr>
        <w:pStyle w:val="ListBullet"/>
        <w:spacing w:before="40" w:after="40"/>
        <w:ind w:left="425"/>
      </w:pPr>
      <w:r>
        <w:rPr>
          <w:b/>
          <w:bCs/>
        </w:rPr>
        <w:t xml:space="preserve">Ms </w:t>
      </w:r>
      <w:proofErr w:type="spellStart"/>
      <w:r>
        <w:rPr>
          <w:b/>
          <w:bCs/>
        </w:rPr>
        <w:t>Kisthana</w:t>
      </w:r>
      <w:proofErr w:type="spellEnd"/>
      <w:r>
        <w:rPr>
          <w:b/>
          <w:bCs/>
        </w:rPr>
        <w:t xml:space="preserve"> </w:t>
      </w:r>
      <w:proofErr w:type="spellStart"/>
      <w:r>
        <w:rPr>
          <w:b/>
          <w:bCs/>
        </w:rPr>
        <w:t>Chandramogan</w:t>
      </w:r>
      <w:proofErr w:type="spellEnd"/>
      <w:r>
        <w:rPr>
          <w:b/>
          <w:bCs/>
        </w:rPr>
        <w:t xml:space="preserve">, </w:t>
      </w:r>
      <w:r w:rsidRPr="009530F3">
        <w:t>Policy and Advocacy Adviser</w:t>
      </w:r>
    </w:p>
    <w:p w14:paraId="1A8FAE30" w14:textId="77777777" w:rsidR="00C61493" w:rsidRDefault="00C61493" w:rsidP="00C61493">
      <w:pPr>
        <w:pStyle w:val="ListBullet"/>
        <w:spacing w:before="40" w:after="240"/>
        <w:ind w:left="425"/>
      </w:pPr>
      <w:r>
        <w:rPr>
          <w:b/>
          <w:bCs/>
        </w:rPr>
        <w:t xml:space="preserve">Ms Emily Seiler, </w:t>
      </w:r>
      <w:proofErr w:type="spellStart"/>
      <w:r w:rsidRPr="009530F3">
        <w:t>Moneycare</w:t>
      </w:r>
      <w:proofErr w:type="spellEnd"/>
      <w:r w:rsidRPr="009530F3">
        <w:t xml:space="preserve"> Financial Counsellor</w:t>
      </w:r>
    </w:p>
    <w:p w14:paraId="6CA2DE43" w14:textId="4F4ABFC5" w:rsidR="007C503A" w:rsidRDefault="007C503A" w:rsidP="00570363">
      <w:pPr>
        <w:pStyle w:val="Heading4"/>
      </w:pPr>
      <w:r>
        <w:t>Canberra Community Clubs</w:t>
      </w:r>
    </w:p>
    <w:p w14:paraId="3F358E9A" w14:textId="2830D3F4" w:rsidR="007C503A" w:rsidRDefault="006645D4" w:rsidP="007C503A">
      <w:pPr>
        <w:pStyle w:val="ListBullet"/>
        <w:spacing w:before="40" w:after="40"/>
        <w:ind w:left="425"/>
      </w:pPr>
      <w:r>
        <w:rPr>
          <w:b/>
          <w:bCs/>
        </w:rPr>
        <w:t xml:space="preserve">Mr </w:t>
      </w:r>
      <w:r w:rsidR="007C503A">
        <w:rPr>
          <w:b/>
          <w:bCs/>
        </w:rPr>
        <w:t xml:space="preserve">Athol Chalmers, </w:t>
      </w:r>
      <w:r w:rsidR="007C503A" w:rsidRPr="00547391">
        <w:t>President</w:t>
      </w:r>
    </w:p>
    <w:p w14:paraId="04AC70E8" w14:textId="0E532E01" w:rsidR="007C503A" w:rsidRDefault="006645D4" w:rsidP="007C503A">
      <w:pPr>
        <w:pStyle w:val="ListBullet"/>
        <w:spacing w:before="40" w:after="40"/>
        <w:ind w:left="425"/>
      </w:pPr>
      <w:r>
        <w:rPr>
          <w:b/>
          <w:bCs/>
        </w:rPr>
        <w:t xml:space="preserve">Mr </w:t>
      </w:r>
      <w:r w:rsidR="007C503A">
        <w:rPr>
          <w:b/>
          <w:bCs/>
        </w:rPr>
        <w:t xml:space="preserve">Neil Spencer, </w:t>
      </w:r>
      <w:r w:rsidR="007C503A" w:rsidRPr="00547391">
        <w:t>Managing Director, Gaming Consultants International, Consultant to Canberra Community Club</w:t>
      </w:r>
      <w:r w:rsidR="007C503A">
        <w:t>s</w:t>
      </w:r>
    </w:p>
    <w:p w14:paraId="113A2E3F" w14:textId="03A5FF56" w:rsidR="007C503A" w:rsidRDefault="007C503A" w:rsidP="00570363">
      <w:pPr>
        <w:pStyle w:val="Heading4"/>
      </w:pPr>
      <w:proofErr w:type="spellStart"/>
      <w:r>
        <w:lastRenderedPageBreak/>
        <w:t>ClubsACT</w:t>
      </w:r>
      <w:proofErr w:type="spellEnd"/>
    </w:p>
    <w:p w14:paraId="000CE36F" w14:textId="165E5D2A" w:rsidR="007C503A" w:rsidRDefault="006645D4" w:rsidP="007C503A">
      <w:pPr>
        <w:pStyle w:val="ListBullet"/>
        <w:spacing w:before="40" w:after="40"/>
        <w:ind w:left="425"/>
      </w:pPr>
      <w:r>
        <w:rPr>
          <w:b/>
          <w:bCs/>
        </w:rPr>
        <w:t xml:space="preserve">Mr </w:t>
      </w:r>
      <w:r w:rsidR="007C503A">
        <w:rPr>
          <w:b/>
          <w:bCs/>
        </w:rPr>
        <w:t xml:space="preserve">Craig Shannon, </w:t>
      </w:r>
      <w:r w:rsidR="00850BB2" w:rsidRPr="00850BB2">
        <w:t>C</w:t>
      </w:r>
      <w:r w:rsidR="00850BB2">
        <w:t>hief Executive Officer</w:t>
      </w:r>
    </w:p>
    <w:p w14:paraId="02157851" w14:textId="4D0C58DF" w:rsidR="00A7385A" w:rsidRDefault="006645D4" w:rsidP="007C503A">
      <w:pPr>
        <w:pStyle w:val="ListBullet"/>
        <w:spacing w:before="40" w:after="40"/>
        <w:ind w:left="425"/>
      </w:pPr>
      <w:r>
        <w:rPr>
          <w:b/>
          <w:bCs/>
        </w:rPr>
        <w:t xml:space="preserve">Mr </w:t>
      </w:r>
      <w:r w:rsidR="00A7385A">
        <w:rPr>
          <w:b/>
          <w:bCs/>
        </w:rPr>
        <w:t xml:space="preserve">Ronald Kent, </w:t>
      </w:r>
      <w:r w:rsidR="00A7385A">
        <w:t>General Manager, Vikings Group</w:t>
      </w:r>
    </w:p>
    <w:p w14:paraId="7B7C45B5" w14:textId="77777777" w:rsidR="00C61493" w:rsidRDefault="00C61493">
      <w:pPr>
        <w:spacing w:line="259" w:lineRule="auto"/>
        <w:rPr>
          <w:rFonts w:ascii="Montserrat" w:eastAsiaTheme="majorEastAsia" w:hAnsi="Montserrat" w:cstheme="majorBidi"/>
          <w:b/>
          <w:color w:val="1A234C"/>
          <w:w w:val="90"/>
          <w:kern w:val="2"/>
          <w:sz w:val="36"/>
          <w:szCs w:val="32"/>
        </w:rPr>
      </w:pPr>
      <w:r>
        <w:br w:type="page"/>
      </w:r>
    </w:p>
    <w:p w14:paraId="15533BFD" w14:textId="32F4FC35" w:rsidR="00E833AA" w:rsidRDefault="00E833AA" w:rsidP="00E833AA">
      <w:pPr>
        <w:pStyle w:val="Heading1nonumber"/>
      </w:pPr>
      <w:bookmarkStart w:id="59" w:name="_Toc170201550"/>
      <w:r>
        <w:lastRenderedPageBreak/>
        <w:t xml:space="preserve">Appendix C: Questions on </w:t>
      </w:r>
      <w:r w:rsidR="001A3F3B">
        <w:t>N</w:t>
      </w:r>
      <w:r>
        <w:t xml:space="preserve">otice and </w:t>
      </w:r>
      <w:r w:rsidR="001A3F3B">
        <w:t>Questions T</w:t>
      </w:r>
      <w:r>
        <w:t xml:space="preserve">aken on </w:t>
      </w:r>
      <w:r w:rsidR="001A3F3B">
        <w:t>N</w:t>
      </w:r>
      <w:r>
        <w:t>otice</w:t>
      </w:r>
      <w:bookmarkEnd w:id="59"/>
    </w:p>
    <w:p w14:paraId="428C3AA2" w14:textId="1164F95F" w:rsidR="00D90ED8" w:rsidRPr="00D90ED8" w:rsidRDefault="00D90ED8" w:rsidP="00570363">
      <w:pPr>
        <w:pStyle w:val="Heading2"/>
      </w:pPr>
      <w:bookmarkStart w:id="60" w:name="_Toc170201551"/>
      <w:r>
        <w:t xml:space="preserve">Questions on </w:t>
      </w:r>
      <w:r w:rsidR="001A3F3B">
        <w:t>N</w:t>
      </w:r>
      <w:r>
        <w:t>otice</w:t>
      </w:r>
      <w:bookmarkEnd w:id="60"/>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7E5BC6BD" w14:textId="6FF5AB7D" w:rsidTr="00D90ED8">
        <w:trPr>
          <w:cnfStyle w:val="100000000000" w:firstRow="1" w:lastRow="0" w:firstColumn="0" w:lastColumn="0" w:oddVBand="0" w:evenVBand="0" w:oddHBand="0" w:evenHBand="0" w:firstRowFirstColumn="0" w:firstRowLastColumn="0" w:lastRowFirstColumn="0" w:lastRowLastColumn="0"/>
        </w:trPr>
        <w:tc>
          <w:tcPr>
            <w:tcW w:w="567" w:type="dxa"/>
          </w:tcPr>
          <w:p w14:paraId="439EB773" w14:textId="09FB149B" w:rsidR="00D90ED8" w:rsidRDefault="00D90ED8" w:rsidP="003D69C2">
            <w:pPr>
              <w:pStyle w:val="Tableheading"/>
            </w:pPr>
            <w:r>
              <w:t>No.</w:t>
            </w:r>
          </w:p>
        </w:tc>
        <w:tc>
          <w:tcPr>
            <w:tcW w:w="1276" w:type="dxa"/>
          </w:tcPr>
          <w:p w14:paraId="77166992" w14:textId="2EB41392" w:rsidR="00D90ED8" w:rsidRDefault="00D90ED8" w:rsidP="003D69C2">
            <w:pPr>
              <w:pStyle w:val="Tableheading"/>
            </w:pPr>
            <w:r>
              <w:t>Date</w:t>
            </w:r>
          </w:p>
        </w:tc>
        <w:tc>
          <w:tcPr>
            <w:tcW w:w="1701" w:type="dxa"/>
          </w:tcPr>
          <w:p w14:paraId="3AF081DB" w14:textId="70670399" w:rsidR="00D90ED8" w:rsidRDefault="00D90ED8" w:rsidP="003D69C2">
            <w:pPr>
              <w:pStyle w:val="Tableheading"/>
            </w:pPr>
            <w:r>
              <w:t>Asked of</w:t>
            </w:r>
          </w:p>
        </w:tc>
        <w:tc>
          <w:tcPr>
            <w:tcW w:w="4111" w:type="dxa"/>
          </w:tcPr>
          <w:p w14:paraId="572D4277" w14:textId="05F907E4" w:rsidR="00D90ED8" w:rsidRDefault="00D90ED8" w:rsidP="003D69C2">
            <w:pPr>
              <w:pStyle w:val="Tableheading"/>
            </w:pPr>
            <w:r>
              <w:t>Subject</w:t>
            </w:r>
          </w:p>
        </w:tc>
        <w:tc>
          <w:tcPr>
            <w:tcW w:w="1371" w:type="dxa"/>
          </w:tcPr>
          <w:p w14:paraId="3EC0D7B1" w14:textId="3D9BE965" w:rsidR="00D90ED8" w:rsidRDefault="00D90ED8" w:rsidP="003D69C2">
            <w:pPr>
              <w:pStyle w:val="Tableheading"/>
            </w:pPr>
            <w:r>
              <w:t>Response received</w:t>
            </w:r>
          </w:p>
        </w:tc>
      </w:tr>
      <w:tr w:rsidR="00D90ED8" w14:paraId="2964D207" w14:textId="071F6FC1" w:rsidTr="00D90ED8">
        <w:trPr>
          <w:cnfStyle w:val="000000100000" w:firstRow="0" w:lastRow="0" w:firstColumn="0" w:lastColumn="0" w:oddVBand="0" w:evenVBand="0" w:oddHBand="1" w:evenHBand="0" w:firstRowFirstColumn="0" w:firstRowLastColumn="0" w:lastRowFirstColumn="0" w:lastRowLastColumn="0"/>
        </w:trPr>
        <w:tc>
          <w:tcPr>
            <w:tcW w:w="567" w:type="dxa"/>
          </w:tcPr>
          <w:p w14:paraId="21E43600" w14:textId="30383230" w:rsidR="00D90ED8" w:rsidRPr="00515B8A" w:rsidRDefault="00D90ED8" w:rsidP="003D69C2">
            <w:pPr>
              <w:pStyle w:val="Tablebody"/>
            </w:pPr>
            <w:r w:rsidRPr="00515B8A">
              <w:t>1</w:t>
            </w:r>
          </w:p>
        </w:tc>
        <w:tc>
          <w:tcPr>
            <w:tcW w:w="1276" w:type="dxa"/>
          </w:tcPr>
          <w:p w14:paraId="0861DD8C" w14:textId="072775D9" w:rsidR="00D90ED8" w:rsidRPr="00515B8A" w:rsidRDefault="00515B8A" w:rsidP="003D69C2">
            <w:pPr>
              <w:pStyle w:val="Tablebody"/>
            </w:pPr>
            <w:r w:rsidRPr="00515B8A">
              <w:t>04</w:t>
            </w:r>
            <w:r w:rsidR="00850BB2" w:rsidRPr="00515B8A">
              <w:t>/04/2024</w:t>
            </w:r>
          </w:p>
        </w:tc>
        <w:tc>
          <w:tcPr>
            <w:tcW w:w="1701" w:type="dxa"/>
          </w:tcPr>
          <w:p w14:paraId="4AF862DC" w14:textId="3EC5ADD0" w:rsidR="00D90ED8" w:rsidRPr="00850BB2" w:rsidRDefault="00850BB2" w:rsidP="003D69C2">
            <w:pPr>
              <w:pStyle w:val="Tablebody"/>
            </w:pPr>
            <w:r w:rsidRPr="00850BB2">
              <w:t>Minister for Gaming</w:t>
            </w:r>
          </w:p>
        </w:tc>
        <w:tc>
          <w:tcPr>
            <w:tcW w:w="4111" w:type="dxa"/>
          </w:tcPr>
          <w:p w14:paraId="22C98E4D" w14:textId="5A32B927" w:rsidR="00D90ED8" w:rsidRPr="00850BB2" w:rsidRDefault="00850BB2" w:rsidP="003D69C2">
            <w:pPr>
              <w:pStyle w:val="Tablebody"/>
            </w:pPr>
            <w:r w:rsidRPr="00850BB2">
              <w:t>EGMs and self-exclusion information</w:t>
            </w:r>
          </w:p>
        </w:tc>
        <w:tc>
          <w:tcPr>
            <w:tcW w:w="1371" w:type="dxa"/>
          </w:tcPr>
          <w:p w14:paraId="5C0EF968" w14:textId="5BE487A9" w:rsidR="00D90ED8" w:rsidRPr="00850BB2" w:rsidRDefault="00515B8A" w:rsidP="003D69C2">
            <w:pPr>
              <w:pStyle w:val="Tablebody"/>
            </w:pPr>
            <w:r>
              <w:t>19</w:t>
            </w:r>
            <w:r w:rsidR="00850BB2" w:rsidRPr="00850BB2">
              <w:t>/04/2024</w:t>
            </w:r>
          </w:p>
        </w:tc>
      </w:tr>
    </w:tbl>
    <w:p w14:paraId="353114A1" w14:textId="76676BB4" w:rsidR="00E833AA" w:rsidRPr="00EB3179" w:rsidRDefault="00E833AA" w:rsidP="00E833AA"/>
    <w:p w14:paraId="52611C6C" w14:textId="5F48B08D" w:rsidR="00D90ED8" w:rsidRPr="00D90ED8" w:rsidRDefault="00D90ED8" w:rsidP="00570363">
      <w:pPr>
        <w:pStyle w:val="Heading2"/>
      </w:pPr>
      <w:bookmarkStart w:id="61" w:name="_Toc170201552"/>
      <w:r>
        <w:t xml:space="preserve">Questions </w:t>
      </w:r>
      <w:r w:rsidR="001A3F3B">
        <w:t>T</w:t>
      </w:r>
      <w:r>
        <w:t xml:space="preserve">aken on </w:t>
      </w:r>
      <w:r w:rsidR="001A3F3B">
        <w:t>N</w:t>
      </w:r>
      <w:r>
        <w:t>otice</w:t>
      </w:r>
      <w:bookmarkEnd w:id="61"/>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7C503A" w:rsidRPr="00515B8A" w14:paraId="6F2A66AA" w14:textId="77777777" w:rsidTr="00DF6E59">
        <w:trPr>
          <w:cnfStyle w:val="000000100000" w:firstRow="0" w:lastRow="0" w:firstColumn="0" w:lastColumn="0" w:oddVBand="0" w:evenVBand="0" w:oddHBand="1" w:evenHBand="0" w:firstRowFirstColumn="0" w:firstRowLastColumn="0" w:lastRowFirstColumn="0" w:lastRowLastColumn="0"/>
        </w:trPr>
        <w:tc>
          <w:tcPr>
            <w:tcW w:w="567" w:type="dxa"/>
          </w:tcPr>
          <w:p w14:paraId="22A4C431" w14:textId="77777777" w:rsidR="007C503A" w:rsidRPr="00515B8A" w:rsidRDefault="007C503A" w:rsidP="00DF6E59">
            <w:pPr>
              <w:pStyle w:val="Tablebody"/>
            </w:pPr>
            <w:r w:rsidRPr="00515B8A">
              <w:t>1</w:t>
            </w:r>
          </w:p>
        </w:tc>
        <w:tc>
          <w:tcPr>
            <w:tcW w:w="1276" w:type="dxa"/>
          </w:tcPr>
          <w:p w14:paraId="260746EC" w14:textId="77777777" w:rsidR="007C503A" w:rsidRPr="00515B8A" w:rsidRDefault="007C503A" w:rsidP="00DF6E59">
            <w:pPr>
              <w:pStyle w:val="Tablebody"/>
            </w:pPr>
            <w:r w:rsidRPr="00515B8A">
              <w:t>27/03/2024</w:t>
            </w:r>
          </w:p>
        </w:tc>
        <w:tc>
          <w:tcPr>
            <w:tcW w:w="1701" w:type="dxa"/>
          </w:tcPr>
          <w:p w14:paraId="00388B47" w14:textId="77777777" w:rsidR="007C503A" w:rsidRPr="00515B8A" w:rsidRDefault="007C503A" w:rsidP="00DF6E59">
            <w:pPr>
              <w:pStyle w:val="Tablebody"/>
            </w:pPr>
            <w:r w:rsidRPr="00515B8A">
              <w:t>Gaming Technologies Association</w:t>
            </w:r>
          </w:p>
        </w:tc>
        <w:tc>
          <w:tcPr>
            <w:tcW w:w="4111" w:type="dxa"/>
          </w:tcPr>
          <w:p w14:paraId="1443D778" w14:textId="77777777" w:rsidR="007C503A" w:rsidRPr="00515B8A" w:rsidRDefault="007C503A" w:rsidP="00DF6E59">
            <w:pPr>
              <w:pStyle w:val="Tablebody"/>
            </w:pPr>
            <w:r w:rsidRPr="00515B8A">
              <w:t>Keno and Cashless Gaming</w:t>
            </w:r>
          </w:p>
        </w:tc>
        <w:tc>
          <w:tcPr>
            <w:tcW w:w="1371" w:type="dxa"/>
          </w:tcPr>
          <w:p w14:paraId="09ADE4AD" w14:textId="77777777" w:rsidR="007C503A" w:rsidRPr="00515B8A" w:rsidRDefault="007C503A" w:rsidP="00DF6E59">
            <w:pPr>
              <w:pStyle w:val="Tablebody"/>
            </w:pPr>
            <w:r w:rsidRPr="00515B8A">
              <w:t>08/04/2024</w:t>
            </w:r>
          </w:p>
        </w:tc>
      </w:tr>
      <w:tr w:rsidR="007C503A" w:rsidRPr="00515B8A" w14:paraId="3AC01DEA" w14:textId="77777777" w:rsidTr="00DF6E59">
        <w:trPr>
          <w:cnfStyle w:val="000000010000" w:firstRow="0" w:lastRow="0" w:firstColumn="0" w:lastColumn="0" w:oddVBand="0" w:evenVBand="0" w:oddHBand="0" w:evenHBand="1" w:firstRowFirstColumn="0" w:firstRowLastColumn="0" w:lastRowFirstColumn="0" w:lastRowLastColumn="0"/>
        </w:trPr>
        <w:tc>
          <w:tcPr>
            <w:tcW w:w="567" w:type="dxa"/>
          </w:tcPr>
          <w:p w14:paraId="48B18565" w14:textId="77777777" w:rsidR="007C503A" w:rsidRPr="00515B8A" w:rsidRDefault="007C503A" w:rsidP="00DF6E59">
            <w:pPr>
              <w:pStyle w:val="Tablebody"/>
            </w:pPr>
            <w:r w:rsidRPr="00515B8A">
              <w:t>2</w:t>
            </w:r>
          </w:p>
        </w:tc>
        <w:tc>
          <w:tcPr>
            <w:tcW w:w="1276" w:type="dxa"/>
          </w:tcPr>
          <w:p w14:paraId="5D57467C" w14:textId="77777777" w:rsidR="007C503A" w:rsidRPr="00515B8A" w:rsidRDefault="007C503A" w:rsidP="00DF6E59">
            <w:pPr>
              <w:pStyle w:val="Tablebody"/>
            </w:pPr>
            <w:r w:rsidRPr="00515B8A">
              <w:t>27/03/2024</w:t>
            </w:r>
          </w:p>
        </w:tc>
        <w:tc>
          <w:tcPr>
            <w:tcW w:w="1701" w:type="dxa"/>
          </w:tcPr>
          <w:p w14:paraId="7837F83B" w14:textId="77777777" w:rsidR="007C503A" w:rsidRPr="00515B8A" w:rsidRDefault="007C503A" w:rsidP="00DF6E59">
            <w:pPr>
              <w:pStyle w:val="Tablebody"/>
            </w:pPr>
            <w:r w:rsidRPr="00515B8A">
              <w:t>Minister for Gaming</w:t>
            </w:r>
          </w:p>
        </w:tc>
        <w:tc>
          <w:tcPr>
            <w:tcW w:w="4111" w:type="dxa"/>
          </w:tcPr>
          <w:p w14:paraId="163AF2F0" w14:textId="77777777" w:rsidR="007C503A" w:rsidRPr="00515B8A" w:rsidRDefault="007C503A" w:rsidP="00DF6E59">
            <w:pPr>
              <w:pStyle w:val="Tablebody"/>
            </w:pPr>
            <w:r w:rsidRPr="00515B8A">
              <w:t>Facial recognition technology and human rights</w:t>
            </w:r>
          </w:p>
        </w:tc>
        <w:tc>
          <w:tcPr>
            <w:tcW w:w="1371" w:type="dxa"/>
          </w:tcPr>
          <w:p w14:paraId="6E868C45" w14:textId="77777777" w:rsidR="007C503A" w:rsidRPr="00515B8A" w:rsidRDefault="007C503A" w:rsidP="00DF6E59">
            <w:pPr>
              <w:pStyle w:val="Tablebody"/>
            </w:pPr>
            <w:r w:rsidRPr="00515B8A">
              <w:t>12/04/2024</w:t>
            </w:r>
          </w:p>
        </w:tc>
      </w:tr>
      <w:tr w:rsidR="007C503A" w:rsidRPr="00515B8A" w14:paraId="4264542F" w14:textId="77777777" w:rsidTr="00DF6E59">
        <w:trPr>
          <w:cnfStyle w:val="000000100000" w:firstRow="0" w:lastRow="0" w:firstColumn="0" w:lastColumn="0" w:oddVBand="0" w:evenVBand="0" w:oddHBand="1" w:evenHBand="0" w:firstRowFirstColumn="0" w:firstRowLastColumn="0" w:lastRowFirstColumn="0" w:lastRowLastColumn="0"/>
        </w:trPr>
        <w:tc>
          <w:tcPr>
            <w:tcW w:w="567" w:type="dxa"/>
          </w:tcPr>
          <w:p w14:paraId="774874BE" w14:textId="77777777" w:rsidR="007C503A" w:rsidRPr="00515B8A" w:rsidRDefault="007C503A" w:rsidP="00DF6E59">
            <w:pPr>
              <w:pStyle w:val="Tablebody"/>
            </w:pPr>
            <w:r w:rsidRPr="00515B8A">
              <w:t>3</w:t>
            </w:r>
          </w:p>
        </w:tc>
        <w:tc>
          <w:tcPr>
            <w:tcW w:w="1276" w:type="dxa"/>
          </w:tcPr>
          <w:p w14:paraId="31B39BF4" w14:textId="77777777" w:rsidR="007C503A" w:rsidRPr="00515B8A" w:rsidRDefault="007C503A" w:rsidP="00DF6E59">
            <w:pPr>
              <w:pStyle w:val="Tablebody"/>
            </w:pPr>
            <w:r w:rsidRPr="00515B8A">
              <w:t>27/03/2024</w:t>
            </w:r>
          </w:p>
        </w:tc>
        <w:tc>
          <w:tcPr>
            <w:tcW w:w="1701" w:type="dxa"/>
          </w:tcPr>
          <w:p w14:paraId="5272AE17" w14:textId="77777777" w:rsidR="007C503A" w:rsidRPr="00515B8A" w:rsidRDefault="007C503A" w:rsidP="00DF6E59">
            <w:pPr>
              <w:pStyle w:val="Tablebody"/>
            </w:pPr>
            <w:r w:rsidRPr="00515B8A">
              <w:t>Minister for Gaming</w:t>
            </w:r>
          </w:p>
        </w:tc>
        <w:tc>
          <w:tcPr>
            <w:tcW w:w="4111" w:type="dxa"/>
          </w:tcPr>
          <w:p w14:paraId="148D8904" w14:textId="12414735" w:rsidR="007C503A" w:rsidRPr="00515B8A" w:rsidRDefault="007C503A" w:rsidP="00DF6E59">
            <w:pPr>
              <w:pStyle w:val="Tablebody"/>
            </w:pPr>
            <w:r w:rsidRPr="00515B8A">
              <w:t xml:space="preserve">Statements regarding </w:t>
            </w:r>
            <w:proofErr w:type="spellStart"/>
            <w:r w:rsidRPr="00515B8A">
              <w:t>ClubsACT</w:t>
            </w:r>
            <w:proofErr w:type="spellEnd"/>
          </w:p>
        </w:tc>
        <w:tc>
          <w:tcPr>
            <w:tcW w:w="1371" w:type="dxa"/>
          </w:tcPr>
          <w:p w14:paraId="14CE1E12" w14:textId="77777777" w:rsidR="007C503A" w:rsidRPr="00515B8A" w:rsidRDefault="007C503A" w:rsidP="00DF6E59">
            <w:pPr>
              <w:pStyle w:val="Tablebody"/>
            </w:pPr>
            <w:r w:rsidRPr="00515B8A">
              <w:t>12/04/2024</w:t>
            </w:r>
          </w:p>
        </w:tc>
      </w:tr>
      <w:tr w:rsidR="00515B8A" w:rsidRPr="00515B8A" w14:paraId="41C9D247" w14:textId="77777777" w:rsidTr="00DF6E59">
        <w:trPr>
          <w:cnfStyle w:val="000000010000" w:firstRow="0" w:lastRow="0" w:firstColumn="0" w:lastColumn="0" w:oddVBand="0" w:evenVBand="0" w:oddHBand="0" w:evenHBand="1" w:firstRowFirstColumn="0" w:firstRowLastColumn="0" w:lastRowFirstColumn="0" w:lastRowLastColumn="0"/>
        </w:trPr>
        <w:tc>
          <w:tcPr>
            <w:tcW w:w="567" w:type="dxa"/>
          </w:tcPr>
          <w:p w14:paraId="410DB94A" w14:textId="7694C0BC" w:rsidR="00515B8A" w:rsidRPr="00515B8A" w:rsidRDefault="00515B8A" w:rsidP="00DF6E59">
            <w:pPr>
              <w:pStyle w:val="Tablebody"/>
            </w:pPr>
            <w:r w:rsidRPr="00515B8A">
              <w:t>4</w:t>
            </w:r>
          </w:p>
        </w:tc>
        <w:tc>
          <w:tcPr>
            <w:tcW w:w="1276" w:type="dxa"/>
          </w:tcPr>
          <w:p w14:paraId="468A1A42" w14:textId="299DC150" w:rsidR="00515B8A" w:rsidRPr="00515B8A" w:rsidRDefault="00515B8A" w:rsidP="00DF6E59">
            <w:pPr>
              <w:pStyle w:val="Tablebody"/>
            </w:pPr>
            <w:r w:rsidRPr="00515B8A">
              <w:t>27/03/2024</w:t>
            </w:r>
          </w:p>
        </w:tc>
        <w:tc>
          <w:tcPr>
            <w:tcW w:w="1701" w:type="dxa"/>
          </w:tcPr>
          <w:p w14:paraId="3B1E2FAB" w14:textId="19CF16B7" w:rsidR="00515B8A" w:rsidRPr="00515B8A" w:rsidRDefault="00515B8A" w:rsidP="00DF6E59">
            <w:pPr>
              <w:pStyle w:val="Tablebody"/>
            </w:pPr>
            <w:r w:rsidRPr="00515B8A">
              <w:t>Minister for Gaming</w:t>
            </w:r>
          </w:p>
        </w:tc>
        <w:tc>
          <w:tcPr>
            <w:tcW w:w="4111" w:type="dxa"/>
          </w:tcPr>
          <w:p w14:paraId="101776DC" w14:textId="4F0733AD" w:rsidR="00515B8A" w:rsidRPr="00515B8A" w:rsidRDefault="00515B8A" w:rsidP="00DF6E59">
            <w:pPr>
              <w:pStyle w:val="Tablebody"/>
            </w:pPr>
            <w:r w:rsidRPr="00515B8A">
              <w:t>Annual loss due to gambling harm</w:t>
            </w:r>
          </w:p>
        </w:tc>
        <w:tc>
          <w:tcPr>
            <w:tcW w:w="1371" w:type="dxa"/>
          </w:tcPr>
          <w:p w14:paraId="6F379130" w14:textId="1AA3D859" w:rsidR="00515B8A" w:rsidRPr="00515B8A" w:rsidRDefault="00515B8A" w:rsidP="00DF6E59">
            <w:pPr>
              <w:pStyle w:val="Tablebody"/>
            </w:pPr>
            <w:r w:rsidRPr="00515B8A">
              <w:t>15/04/2024</w:t>
            </w:r>
          </w:p>
        </w:tc>
      </w:tr>
      <w:tr w:rsidR="00515B8A" w:rsidRPr="00515B8A" w14:paraId="659B0E74" w14:textId="77777777" w:rsidTr="00DF6E59">
        <w:trPr>
          <w:cnfStyle w:val="000000100000" w:firstRow="0" w:lastRow="0" w:firstColumn="0" w:lastColumn="0" w:oddVBand="0" w:evenVBand="0" w:oddHBand="1" w:evenHBand="0" w:firstRowFirstColumn="0" w:firstRowLastColumn="0" w:lastRowFirstColumn="0" w:lastRowLastColumn="0"/>
        </w:trPr>
        <w:tc>
          <w:tcPr>
            <w:tcW w:w="567" w:type="dxa"/>
          </w:tcPr>
          <w:p w14:paraId="4636E344" w14:textId="088670C7" w:rsidR="00515B8A" w:rsidRPr="00515B8A" w:rsidRDefault="00515B8A" w:rsidP="00DF6E59">
            <w:pPr>
              <w:pStyle w:val="Tablebody"/>
            </w:pPr>
            <w:r w:rsidRPr="00515B8A">
              <w:t>5</w:t>
            </w:r>
          </w:p>
        </w:tc>
        <w:tc>
          <w:tcPr>
            <w:tcW w:w="1276" w:type="dxa"/>
          </w:tcPr>
          <w:p w14:paraId="42B98091" w14:textId="6504114F" w:rsidR="00515B8A" w:rsidRPr="00515B8A" w:rsidRDefault="00515B8A" w:rsidP="00DF6E59">
            <w:pPr>
              <w:pStyle w:val="Tablebody"/>
            </w:pPr>
            <w:r w:rsidRPr="00515B8A">
              <w:t>27/03/2024</w:t>
            </w:r>
          </w:p>
        </w:tc>
        <w:tc>
          <w:tcPr>
            <w:tcW w:w="1701" w:type="dxa"/>
          </w:tcPr>
          <w:p w14:paraId="618624D9" w14:textId="738F9BF5" w:rsidR="00515B8A" w:rsidRPr="00515B8A" w:rsidRDefault="00515B8A" w:rsidP="00DF6E59">
            <w:pPr>
              <w:pStyle w:val="Tablebody"/>
            </w:pPr>
            <w:r w:rsidRPr="00515B8A">
              <w:t>ANU Centre for Gambling Research</w:t>
            </w:r>
          </w:p>
        </w:tc>
        <w:tc>
          <w:tcPr>
            <w:tcW w:w="4111" w:type="dxa"/>
          </w:tcPr>
          <w:p w14:paraId="7240816E" w14:textId="4EEFB23B" w:rsidR="00515B8A" w:rsidRPr="00515B8A" w:rsidRDefault="00515B8A" w:rsidP="00DF6E59">
            <w:pPr>
              <w:pStyle w:val="Tablebody"/>
            </w:pPr>
            <w:r w:rsidRPr="00515B8A">
              <w:t xml:space="preserve">Average monthly </w:t>
            </w:r>
            <w:proofErr w:type="gramStart"/>
            <w:r w:rsidRPr="00515B8A">
              <w:t>spend</w:t>
            </w:r>
            <w:proofErr w:type="gramEnd"/>
          </w:p>
        </w:tc>
        <w:tc>
          <w:tcPr>
            <w:tcW w:w="1371" w:type="dxa"/>
          </w:tcPr>
          <w:p w14:paraId="2FB248AE" w14:textId="6A5F4BDA" w:rsidR="00515B8A" w:rsidRPr="00515B8A" w:rsidRDefault="00515B8A" w:rsidP="00DF6E59">
            <w:pPr>
              <w:pStyle w:val="Tablebody"/>
            </w:pPr>
            <w:r w:rsidRPr="00515B8A">
              <w:t>10/04/2024</w:t>
            </w:r>
          </w:p>
        </w:tc>
      </w:tr>
      <w:tr w:rsidR="00515B8A" w:rsidRPr="00515B8A" w14:paraId="306B9BA5" w14:textId="77777777" w:rsidTr="00DF6E59">
        <w:trPr>
          <w:cnfStyle w:val="000000010000" w:firstRow="0" w:lastRow="0" w:firstColumn="0" w:lastColumn="0" w:oddVBand="0" w:evenVBand="0" w:oddHBand="0" w:evenHBand="1" w:firstRowFirstColumn="0" w:firstRowLastColumn="0" w:lastRowFirstColumn="0" w:lastRowLastColumn="0"/>
        </w:trPr>
        <w:tc>
          <w:tcPr>
            <w:tcW w:w="567" w:type="dxa"/>
          </w:tcPr>
          <w:p w14:paraId="5DEB65EF" w14:textId="24CB98A2" w:rsidR="00515B8A" w:rsidRPr="00515B8A" w:rsidRDefault="00515B8A" w:rsidP="00515B8A">
            <w:pPr>
              <w:pStyle w:val="Tablebody"/>
            </w:pPr>
            <w:r w:rsidRPr="00515B8A">
              <w:t xml:space="preserve">6 </w:t>
            </w:r>
          </w:p>
        </w:tc>
        <w:tc>
          <w:tcPr>
            <w:tcW w:w="1276" w:type="dxa"/>
          </w:tcPr>
          <w:p w14:paraId="2AB27AC3" w14:textId="6767D372" w:rsidR="00515B8A" w:rsidRPr="00515B8A" w:rsidRDefault="00515B8A" w:rsidP="00515B8A">
            <w:pPr>
              <w:pStyle w:val="Tablebody"/>
            </w:pPr>
            <w:r w:rsidRPr="00515B8A">
              <w:t>27/03/2024</w:t>
            </w:r>
          </w:p>
        </w:tc>
        <w:tc>
          <w:tcPr>
            <w:tcW w:w="1701" w:type="dxa"/>
          </w:tcPr>
          <w:p w14:paraId="1C1C503A" w14:textId="1527A671" w:rsidR="00515B8A" w:rsidRPr="00515B8A" w:rsidRDefault="00515B8A" w:rsidP="00515B8A">
            <w:pPr>
              <w:pStyle w:val="Tablebody"/>
            </w:pPr>
            <w:r w:rsidRPr="00515B8A">
              <w:t>ANU Centre for Gambling Research</w:t>
            </w:r>
          </w:p>
        </w:tc>
        <w:tc>
          <w:tcPr>
            <w:tcW w:w="4111" w:type="dxa"/>
          </w:tcPr>
          <w:p w14:paraId="053E7C31" w14:textId="1B1B4948" w:rsidR="00515B8A" w:rsidRPr="00515B8A" w:rsidRDefault="00515B8A" w:rsidP="00515B8A">
            <w:pPr>
              <w:pStyle w:val="Tablebody"/>
            </w:pPr>
            <w:r w:rsidRPr="00515B8A">
              <w:t>Continuous play</w:t>
            </w:r>
          </w:p>
        </w:tc>
        <w:tc>
          <w:tcPr>
            <w:tcW w:w="1371" w:type="dxa"/>
          </w:tcPr>
          <w:p w14:paraId="492F2357" w14:textId="36BF9E08" w:rsidR="00515B8A" w:rsidRPr="00515B8A" w:rsidRDefault="00515B8A" w:rsidP="00515B8A">
            <w:pPr>
              <w:pStyle w:val="Tablebody"/>
            </w:pPr>
            <w:r w:rsidRPr="00515B8A">
              <w:t>10/04/2024</w:t>
            </w:r>
          </w:p>
        </w:tc>
      </w:tr>
      <w:tr w:rsidR="00515B8A" w14:paraId="2E2C7882" w14:textId="77777777" w:rsidTr="00DF6E59">
        <w:trPr>
          <w:cnfStyle w:val="000000100000" w:firstRow="0" w:lastRow="0" w:firstColumn="0" w:lastColumn="0" w:oddVBand="0" w:evenVBand="0" w:oddHBand="1" w:evenHBand="0" w:firstRowFirstColumn="0" w:firstRowLastColumn="0" w:lastRowFirstColumn="0" w:lastRowLastColumn="0"/>
        </w:trPr>
        <w:tc>
          <w:tcPr>
            <w:tcW w:w="567" w:type="dxa"/>
          </w:tcPr>
          <w:p w14:paraId="66D9BA30" w14:textId="7B17D5E9" w:rsidR="00515B8A" w:rsidRPr="00515B8A" w:rsidRDefault="00515B8A" w:rsidP="00515B8A">
            <w:pPr>
              <w:pStyle w:val="Tablebody"/>
            </w:pPr>
            <w:r w:rsidRPr="00515B8A">
              <w:t>7</w:t>
            </w:r>
          </w:p>
        </w:tc>
        <w:tc>
          <w:tcPr>
            <w:tcW w:w="1276" w:type="dxa"/>
          </w:tcPr>
          <w:p w14:paraId="49C8B1F5" w14:textId="3F546C15" w:rsidR="00515B8A" w:rsidRPr="00515B8A" w:rsidRDefault="00515B8A" w:rsidP="00515B8A">
            <w:pPr>
              <w:pStyle w:val="Tablebody"/>
            </w:pPr>
            <w:r w:rsidRPr="00515B8A">
              <w:t>27/03/2024</w:t>
            </w:r>
          </w:p>
        </w:tc>
        <w:tc>
          <w:tcPr>
            <w:tcW w:w="1701" w:type="dxa"/>
          </w:tcPr>
          <w:p w14:paraId="335FDAC6" w14:textId="3AAB164B" w:rsidR="00515B8A" w:rsidRPr="00515B8A" w:rsidRDefault="00515B8A" w:rsidP="00515B8A">
            <w:pPr>
              <w:pStyle w:val="Tablebody"/>
            </w:pPr>
            <w:r w:rsidRPr="00515B8A">
              <w:t>ACTCOSS</w:t>
            </w:r>
          </w:p>
        </w:tc>
        <w:tc>
          <w:tcPr>
            <w:tcW w:w="4111" w:type="dxa"/>
          </w:tcPr>
          <w:p w14:paraId="7F589E70" w14:textId="250B0FE6" w:rsidR="00515B8A" w:rsidRPr="00515B8A" w:rsidRDefault="00515B8A" w:rsidP="00515B8A">
            <w:pPr>
              <w:pStyle w:val="Tablebody"/>
            </w:pPr>
            <w:r w:rsidRPr="00515B8A">
              <w:t>Facial recognition technology</w:t>
            </w:r>
          </w:p>
        </w:tc>
        <w:tc>
          <w:tcPr>
            <w:tcW w:w="1371" w:type="dxa"/>
          </w:tcPr>
          <w:p w14:paraId="05C33DF4" w14:textId="63920110" w:rsidR="00515B8A" w:rsidRPr="00515B8A" w:rsidRDefault="008A308D" w:rsidP="00515B8A">
            <w:pPr>
              <w:pStyle w:val="Tablebody"/>
            </w:pPr>
            <w:r w:rsidRPr="008A308D">
              <w:t>10</w:t>
            </w:r>
            <w:r w:rsidR="00515B8A" w:rsidRPr="008A308D">
              <w:t>/04/2024</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77777777" w:rsidR="002A6A10" w:rsidRDefault="002A6A10" w:rsidP="002A6A10">
      <w:pPr>
        <w:pStyle w:val="Heading1nonumber"/>
      </w:pPr>
      <w:bookmarkStart w:id="62" w:name="_Toc133250017"/>
      <w:bookmarkStart w:id="63" w:name="_Toc134693199"/>
      <w:bookmarkStart w:id="64" w:name="_Toc170201553"/>
      <w:r>
        <w:lastRenderedPageBreak/>
        <w:t xml:space="preserve">Appendix D: </w:t>
      </w:r>
      <w:bookmarkEnd w:id="62"/>
      <w:r>
        <w:t>Gender distribution of witnesses</w:t>
      </w:r>
      <w:bookmarkEnd w:id="63"/>
      <w:bookmarkEnd w:id="64"/>
    </w:p>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2F9D1739" w:rsidR="002A6A10" w:rsidRDefault="00D91E35" w:rsidP="001B4092">
            <w:pPr>
              <w:pStyle w:val="Tablebody"/>
            </w:pPr>
            <w:r>
              <w:t>8</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18B3708A" w:rsidR="002A6A10" w:rsidRDefault="006803E2" w:rsidP="001B4092">
            <w:pPr>
              <w:pStyle w:val="Tablebody"/>
            </w:pPr>
            <w:r>
              <w:t>9</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1B4092">
            <w:pPr>
              <w:pStyle w:val="Tablebody"/>
            </w:pPr>
            <w:r>
              <w:t>No data</w:t>
            </w:r>
          </w:p>
        </w:tc>
        <w:tc>
          <w:tcPr>
            <w:tcW w:w="4252" w:type="dxa"/>
          </w:tcPr>
          <w:p w14:paraId="6B478104" w14:textId="23A6947F" w:rsidR="002A6A10" w:rsidRDefault="00C61493" w:rsidP="001B4092">
            <w:pPr>
              <w:pStyle w:val="Tablebody"/>
            </w:pPr>
            <w:r>
              <w:t>2</w:t>
            </w:r>
          </w:p>
        </w:tc>
      </w:tr>
    </w:tbl>
    <w:p w14:paraId="33067811" w14:textId="77777777" w:rsidR="002A6A10" w:rsidRDefault="002A6A10" w:rsidP="002A6A10">
      <w:pPr>
        <w:spacing w:line="259" w:lineRule="auto"/>
      </w:pPr>
    </w:p>
    <w:p w14:paraId="7AE36A76" w14:textId="2E5BFB9B" w:rsidR="00065581" w:rsidRDefault="00065581">
      <w:pPr>
        <w:spacing w:line="259" w:lineRule="auto"/>
      </w:pPr>
      <w:r>
        <w:br w:type="page"/>
      </w:r>
    </w:p>
    <w:p w14:paraId="19D02EEB" w14:textId="511148C0" w:rsidR="00EB3179" w:rsidRDefault="00065581" w:rsidP="00065581">
      <w:pPr>
        <w:pStyle w:val="Heading1nonumber"/>
      </w:pPr>
      <w:bookmarkStart w:id="65" w:name="_Toc170201554"/>
      <w:r>
        <w:lastRenderedPageBreak/>
        <w:t>Appendix E: Dissenting report – Mr Peter Cain MLA</w:t>
      </w:r>
      <w:bookmarkEnd w:id="65"/>
    </w:p>
    <w:p w14:paraId="791DED8D" w14:textId="2674F11C" w:rsidR="004E456C" w:rsidRPr="00A11B61" w:rsidRDefault="00A11B61" w:rsidP="00A11B61">
      <w:pPr>
        <w:rPr>
          <w:rFonts w:ascii="Montserrat" w:hAnsi="Montserrat"/>
          <w:b/>
          <w:bCs/>
          <w:color w:val="002060"/>
          <w:sz w:val="36"/>
          <w:szCs w:val="36"/>
        </w:rPr>
      </w:pPr>
      <w:bookmarkStart w:id="66" w:name="_Toc165030047"/>
      <w:r w:rsidRPr="00A11B61">
        <w:rPr>
          <w:rFonts w:ascii="Montserrat" w:hAnsi="Montserrat"/>
          <w:b/>
          <w:bCs/>
          <w:color w:val="002060"/>
          <w:sz w:val="36"/>
          <w:szCs w:val="36"/>
        </w:rPr>
        <w:t xml:space="preserve">1. </w:t>
      </w:r>
      <w:r w:rsidR="004E456C" w:rsidRPr="00A11B61">
        <w:rPr>
          <w:rFonts w:ascii="Montserrat" w:hAnsi="Montserrat"/>
          <w:b/>
          <w:bCs/>
          <w:color w:val="002060"/>
          <w:sz w:val="36"/>
          <w:szCs w:val="36"/>
        </w:rPr>
        <w:t>ACT trial of cashless gaming</w:t>
      </w:r>
      <w:bookmarkEnd w:id="66"/>
    </w:p>
    <w:p w14:paraId="0C2F2380" w14:textId="77777777" w:rsidR="004E456C" w:rsidRDefault="004E456C" w:rsidP="004E456C">
      <w:pPr>
        <w:pStyle w:val="ListNumber2"/>
      </w:pPr>
      <w:r>
        <w:t>At the public hearings, the Minister for Gaming indicated that the ACT Government had been following the trials in NSW, and developments in Tasmania and Victoria, but at this stage has not received advice that it would be a useful to conduct an ACT specific trial.  The Minister advised that the government is currently undertaking market sounding on a central monitoring system (CMS), but that a final decision has not yet been made.</w:t>
      </w:r>
      <w:r>
        <w:rPr>
          <w:rStyle w:val="FootnoteReference"/>
        </w:rPr>
        <w:footnoteReference w:id="156"/>
      </w:r>
    </w:p>
    <w:p w14:paraId="0771A0EC" w14:textId="77777777" w:rsidR="004E456C" w:rsidRDefault="004E456C" w:rsidP="004E456C">
      <w:pPr>
        <w:pStyle w:val="ListNumber2"/>
      </w:pPr>
      <w:r>
        <w:t>There were differing views on whether there should be a trial of cashless gaming in the ACT as discussed below.</w:t>
      </w:r>
    </w:p>
    <w:p w14:paraId="2D3732C9" w14:textId="77777777" w:rsidR="004E456C" w:rsidRPr="00A11B61" w:rsidRDefault="004E456C" w:rsidP="00A11B61">
      <w:pPr>
        <w:rPr>
          <w:rFonts w:ascii="Montserrat" w:hAnsi="Montserrat"/>
          <w:b/>
          <w:bCs/>
          <w:color w:val="2F5496" w:themeColor="accent1" w:themeShade="BF"/>
          <w:sz w:val="32"/>
          <w:szCs w:val="32"/>
        </w:rPr>
      </w:pPr>
      <w:bookmarkStart w:id="67" w:name="_Toc165030048"/>
      <w:r w:rsidRPr="00A11B61">
        <w:rPr>
          <w:rFonts w:ascii="Montserrat" w:hAnsi="Montserrat"/>
          <w:b/>
          <w:bCs/>
          <w:color w:val="2F5496" w:themeColor="accent1" w:themeShade="BF"/>
          <w:sz w:val="32"/>
          <w:szCs w:val="32"/>
        </w:rPr>
        <w:t xml:space="preserve">Support for an ACT trial of cashless </w:t>
      </w:r>
      <w:proofErr w:type="gramStart"/>
      <w:r w:rsidRPr="00A11B61">
        <w:rPr>
          <w:rFonts w:ascii="Montserrat" w:hAnsi="Montserrat"/>
          <w:b/>
          <w:bCs/>
          <w:color w:val="2F5496" w:themeColor="accent1" w:themeShade="BF"/>
          <w:sz w:val="32"/>
          <w:szCs w:val="32"/>
        </w:rPr>
        <w:t>gaming</w:t>
      </w:r>
      <w:bookmarkEnd w:id="67"/>
      <w:proofErr w:type="gramEnd"/>
      <w:r w:rsidRPr="00A11B61">
        <w:rPr>
          <w:rFonts w:ascii="Montserrat" w:hAnsi="Montserrat"/>
          <w:b/>
          <w:bCs/>
          <w:color w:val="2F5496" w:themeColor="accent1" w:themeShade="BF"/>
          <w:sz w:val="32"/>
          <w:szCs w:val="32"/>
        </w:rPr>
        <w:t xml:space="preserve"> </w:t>
      </w:r>
    </w:p>
    <w:p w14:paraId="39A41393" w14:textId="77777777" w:rsidR="004E456C" w:rsidRDefault="004E456C" w:rsidP="004E456C">
      <w:pPr>
        <w:pStyle w:val="ListNumber2"/>
      </w:pPr>
      <w:proofErr w:type="spellStart"/>
      <w:r>
        <w:t>ClubsACT</w:t>
      </w:r>
      <w:proofErr w:type="spellEnd"/>
      <w:r>
        <w:t xml:space="preserve"> expressed concern that cashless gaming could deter clients if there are too many steps involved, or there is weak cyber security, leading them to move to online gambling which may have less interventions to minimise harm than in the club environment. They promoted the use of a trial to mitigate these risks.</w:t>
      </w:r>
      <w:r>
        <w:rPr>
          <w:rStyle w:val="FootnoteReference"/>
        </w:rPr>
        <w:footnoteReference w:id="157"/>
      </w:r>
      <w:r>
        <w:t xml:space="preserve">  Key features they would like to see in the design of a cashless gaming system in the ACT are:</w:t>
      </w:r>
    </w:p>
    <w:p w14:paraId="668FBDF9" w14:textId="77777777" w:rsidR="004E456C" w:rsidRDefault="004E456C" w:rsidP="004E456C">
      <w:pPr>
        <w:pStyle w:val="ListBullet"/>
        <w:tabs>
          <w:tab w:val="left" w:pos="720"/>
        </w:tabs>
        <w:ind w:left="1276"/>
      </w:pPr>
      <w:r>
        <w:t>ease of use and a seamless experience for clients;</w:t>
      </w:r>
    </w:p>
    <w:p w14:paraId="3377F5EA" w14:textId="77777777" w:rsidR="004E456C" w:rsidRDefault="004E456C" w:rsidP="004E456C">
      <w:pPr>
        <w:pStyle w:val="ListBullet"/>
        <w:tabs>
          <w:tab w:val="left" w:pos="720"/>
        </w:tabs>
        <w:ind w:left="1276"/>
      </w:pPr>
      <w:r>
        <w:t>minimising costs of implementation;</w:t>
      </w:r>
    </w:p>
    <w:p w14:paraId="1C21E089" w14:textId="77777777" w:rsidR="004E456C" w:rsidRDefault="004E456C" w:rsidP="004E456C">
      <w:pPr>
        <w:pStyle w:val="ListBullet"/>
        <w:tabs>
          <w:tab w:val="left" w:pos="720"/>
        </w:tabs>
        <w:ind w:left="1276"/>
      </w:pPr>
      <w:r>
        <w:t>strong privacy and cyber security protections;</w:t>
      </w:r>
    </w:p>
    <w:p w14:paraId="5AAFA908" w14:textId="77777777" w:rsidR="004E456C" w:rsidRDefault="004E456C" w:rsidP="004E456C">
      <w:pPr>
        <w:pStyle w:val="ListBullet"/>
        <w:tabs>
          <w:tab w:val="left" w:pos="720"/>
        </w:tabs>
        <w:ind w:left="1276"/>
      </w:pPr>
      <w:r>
        <w:t>controls to target problem gamblers prioritised over broader controls that apply to recreational gamblers; and</w:t>
      </w:r>
    </w:p>
    <w:p w14:paraId="1FF479C4" w14:textId="77777777" w:rsidR="004E456C" w:rsidRDefault="004E456C" w:rsidP="004E456C">
      <w:pPr>
        <w:pStyle w:val="ListBullet"/>
        <w:tabs>
          <w:tab w:val="left" w:pos="720"/>
        </w:tabs>
        <w:ind w:left="1276"/>
      </w:pPr>
      <w:r>
        <w:t>complementing rather than replacing existing money laundering rules.</w:t>
      </w:r>
      <w:r>
        <w:rPr>
          <w:rStyle w:val="FootnoteReference"/>
        </w:rPr>
        <w:footnoteReference w:id="158"/>
      </w:r>
    </w:p>
    <w:p w14:paraId="00F0103A" w14:textId="77777777" w:rsidR="004E456C" w:rsidRDefault="004E456C" w:rsidP="004E456C">
      <w:pPr>
        <w:pStyle w:val="ListNumber2"/>
      </w:pPr>
      <w:r>
        <w:t>Canberra Community Clubs also supported the development of an ACT trial, stating support of a phased approach that vets various technologies, trials operational parameters, measures customer experience and explores the potential of digital technology as well as cards.</w:t>
      </w:r>
      <w:r>
        <w:rPr>
          <w:rStyle w:val="FootnoteReference"/>
        </w:rPr>
        <w:footnoteReference w:id="159"/>
      </w:r>
      <w:r>
        <w:t xml:space="preserve">  </w:t>
      </w:r>
    </w:p>
    <w:p w14:paraId="14AB2125" w14:textId="77777777" w:rsidR="004E456C" w:rsidRDefault="004E456C" w:rsidP="004E456C">
      <w:pPr>
        <w:pStyle w:val="ListNumber2"/>
      </w:pPr>
      <w:r>
        <w:t xml:space="preserve">Similarly, </w:t>
      </w:r>
      <w:proofErr w:type="spellStart"/>
      <w:r>
        <w:t>ClubsACT</w:t>
      </w:r>
      <w:proofErr w:type="spellEnd"/>
      <w:r>
        <w:t>, stated they could ‘embrace a trial relatively quicky’.</w:t>
      </w:r>
      <w:r>
        <w:rPr>
          <w:rStyle w:val="FootnoteReference"/>
        </w:rPr>
        <w:footnoteReference w:id="160"/>
      </w:r>
      <w:r>
        <w:t xml:space="preserve"> </w:t>
      </w:r>
    </w:p>
    <w:p w14:paraId="04233208" w14:textId="77777777" w:rsidR="004E456C" w:rsidRPr="00A11B61" w:rsidRDefault="004E456C" w:rsidP="00A11B61">
      <w:pPr>
        <w:keepNext/>
        <w:rPr>
          <w:rFonts w:ascii="Montserrat" w:hAnsi="Montserrat"/>
          <w:b/>
          <w:bCs/>
          <w:color w:val="2F5496" w:themeColor="accent1" w:themeShade="BF"/>
          <w:sz w:val="32"/>
          <w:szCs w:val="32"/>
        </w:rPr>
      </w:pPr>
      <w:bookmarkStart w:id="68" w:name="_Toc165030049"/>
      <w:r w:rsidRPr="00A11B61">
        <w:rPr>
          <w:rFonts w:ascii="Montserrat" w:hAnsi="Montserrat"/>
          <w:b/>
          <w:bCs/>
          <w:color w:val="2F5496" w:themeColor="accent1" w:themeShade="BF"/>
          <w:sz w:val="32"/>
          <w:szCs w:val="32"/>
        </w:rPr>
        <w:lastRenderedPageBreak/>
        <w:t>Opposition to an ACT trial of cashless gaming</w:t>
      </w:r>
      <w:bookmarkEnd w:id="68"/>
      <w:r w:rsidRPr="00A11B61">
        <w:rPr>
          <w:rFonts w:ascii="Montserrat" w:hAnsi="Montserrat"/>
          <w:b/>
          <w:bCs/>
          <w:color w:val="2F5496" w:themeColor="accent1" w:themeShade="BF"/>
          <w:sz w:val="32"/>
          <w:szCs w:val="32"/>
        </w:rPr>
        <w:t xml:space="preserve"> </w:t>
      </w:r>
    </w:p>
    <w:p w14:paraId="5543149D" w14:textId="77777777" w:rsidR="004E456C" w:rsidRDefault="004E456C" w:rsidP="00A11B61">
      <w:pPr>
        <w:pStyle w:val="ListNumber2"/>
        <w:keepNext/>
      </w:pPr>
      <w:r>
        <w:t xml:space="preserve">During the public hearings, Associate Professor Aino Suomi, Director of ANU Centre for Gambling Research, acknowledged the value of trials from a research perspective, but told the Committee a further trial is not necessary: </w:t>
      </w:r>
    </w:p>
    <w:p w14:paraId="097AB9F8" w14:textId="77777777" w:rsidR="004E456C" w:rsidRDefault="004E456C" w:rsidP="004E456C">
      <w:pPr>
        <w:pStyle w:val="Quote"/>
      </w:pPr>
      <w:r>
        <w:t>We know what parts of the harm minimisation that work and do not work, even though some of those aspects have limited evidence. We need some kind of infrastructure to govern, so we can link all the EGMs together so that we can fully realise all the harm minimisation. My view is that there be no further trials other than maybe setting the infrastructure. The evidence is there.</w:t>
      </w:r>
      <w:r>
        <w:rPr>
          <w:rStyle w:val="FootnoteReference"/>
        </w:rPr>
        <w:footnoteReference w:id="161"/>
      </w:r>
    </w:p>
    <w:p w14:paraId="443D22AE" w14:textId="77777777" w:rsidR="004E456C" w:rsidRDefault="004E456C" w:rsidP="004E456C">
      <w:pPr>
        <w:pStyle w:val="ListNumber2"/>
      </w:pPr>
      <w:r>
        <w:t>Professor Gainsbury from the Gambling Treatment and Research Centre at the University of Sydney supported methodologically rigorous trials, with evaluations to be conducted to inform the feasibility, acceptance and implementation of cashless gaming and to test the effectiveness of harm minimisation interventions.</w:t>
      </w:r>
      <w:r>
        <w:rPr>
          <w:rStyle w:val="FootnoteReference"/>
        </w:rPr>
        <w:footnoteReference w:id="162"/>
      </w:r>
      <w:r>
        <w:t xml:space="preserve">  However, she expressed views that a trial in the ACT might not be necessary stating that the ACT is not sufficiently different from NSW that a separate trial is needed.</w:t>
      </w:r>
      <w:r>
        <w:rPr>
          <w:rStyle w:val="FootnoteReference"/>
        </w:rPr>
        <w:footnoteReference w:id="163"/>
      </w:r>
      <w:r>
        <w:t xml:space="preserve">  Instead, consideration should be given to evaluating the implementation of a cashless gaming system to ensure there are no unintended consequences and broad adoption across the industry.</w:t>
      </w:r>
      <w:r>
        <w:rPr>
          <w:rStyle w:val="FootnoteReference"/>
        </w:rPr>
        <w:footnoteReference w:id="164"/>
      </w:r>
      <w:r>
        <w:t xml:space="preserve"> </w:t>
      </w:r>
    </w:p>
    <w:p w14:paraId="786840E7" w14:textId="77777777" w:rsidR="004E456C" w:rsidRDefault="004E456C" w:rsidP="004E456C">
      <w:pPr>
        <w:pStyle w:val="ListNumber2"/>
      </w:pPr>
      <w:r>
        <w:t xml:space="preserve">Professor Gainsbury also highlighted the challenges of conducting a trial when the cashless gaming system is not mandatory as it does not offer insights into the technology in the way it is intended to be used.  She advised that: </w:t>
      </w:r>
    </w:p>
    <w:p w14:paraId="528EDA00" w14:textId="77777777" w:rsidR="004E456C" w:rsidRDefault="004E456C" w:rsidP="004E456C">
      <w:pPr>
        <w:pStyle w:val="Quote"/>
      </w:pPr>
      <w:r>
        <w:t>The nature of the technologies requires such a fundamental overhaul of the system, and it is difficult to do that in a partial manner in a way that would appropriately mimic and resemble what a system would look like if it were to be implemented.</w:t>
      </w:r>
      <w:r>
        <w:rPr>
          <w:rStyle w:val="FootnoteReference"/>
        </w:rPr>
        <w:footnoteReference w:id="165"/>
      </w:r>
    </w:p>
    <w:p w14:paraId="4D4E040C" w14:textId="77777777" w:rsidR="004E456C" w:rsidRDefault="004E456C" w:rsidP="004E456C">
      <w:pPr>
        <w:pStyle w:val="ListNumber2"/>
      </w:pPr>
      <w:r>
        <w:t>In their submission, the ANU Centre for Gambling Research submitted that a pilot trial followed by an evaluation of the de-identified data collected could be used to develop proactive harm minimisation strategies.</w:t>
      </w:r>
      <w:r>
        <w:rPr>
          <w:rStyle w:val="FootnoteReference"/>
        </w:rPr>
        <w:footnoteReference w:id="166"/>
      </w:r>
      <w:r>
        <w:t xml:space="preserve">  At the public hearing Ms Suomi noted that while trials are beneficial, there have been a few trials of cashless gaming in Australia, and another expensive trial was not required.  While the evidence was limited, there was sufficient understanding of what harm protections worked and didn’t.</w:t>
      </w:r>
      <w:r>
        <w:rPr>
          <w:rStyle w:val="FootnoteReference"/>
        </w:rPr>
        <w:footnoteReference w:id="167"/>
      </w:r>
    </w:p>
    <w:p w14:paraId="44FE163A" w14:textId="77777777" w:rsidR="004E456C" w:rsidRDefault="004E456C" w:rsidP="004E456C">
      <w:pPr>
        <w:pStyle w:val="ListNumber2"/>
      </w:pPr>
      <w:r>
        <w:lastRenderedPageBreak/>
        <w:t>The Alliance for Gambling Reform questioned the relevance of investing in another trial when the key recommendation from the NSW Crime Commission is ‘a mandatory cashless gambling card with binding and default limits be the gold standard’.</w:t>
      </w:r>
      <w:r>
        <w:rPr>
          <w:rStyle w:val="FootnoteReference"/>
        </w:rPr>
        <w:footnoteReference w:id="168"/>
      </w:r>
      <w:r>
        <w:t xml:space="preserve">  </w:t>
      </w:r>
    </w:p>
    <w:p w14:paraId="62A78F0D" w14:textId="77777777" w:rsidR="004E456C" w:rsidRDefault="004E456C" w:rsidP="004E456C">
      <w:pPr>
        <w:pStyle w:val="ListNumber2"/>
      </w:pPr>
      <w:r>
        <w:t>Reverend Tim Costello, Chief Advocate at Alliance for Gambling Reform, indicated opposition to any trials that aim to test whether cashless gaming works, asserting that it is already well established that it does.  Reverend Costello advised that he would be more amenable to trials that aim to iron out technical difficulties or identify the best method of implementation.</w:t>
      </w:r>
      <w:r>
        <w:rPr>
          <w:rStyle w:val="FootnoteReference"/>
        </w:rPr>
        <w:footnoteReference w:id="169"/>
      </w:r>
      <w:r>
        <w:t xml:space="preserve">    </w:t>
      </w:r>
    </w:p>
    <w:p w14:paraId="5127D9B6" w14:textId="77777777" w:rsidR="004E456C" w:rsidRDefault="004E456C" w:rsidP="004E456C">
      <w:pPr>
        <w:pStyle w:val="ListNumber2"/>
      </w:pPr>
      <w:r>
        <w:t>ACTCOSS (ACT Council of Social Services) highlighted that cashless gaming technology is already well understood and prevalent, giving the example of debit and credit cards which have set limits.</w:t>
      </w:r>
      <w:r>
        <w:rPr>
          <w:rStyle w:val="FootnoteReference"/>
        </w:rPr>
        <w:footnoteReference w:id="170"/>
      </w:r>
      <w:r>
        <w:t xml:space="preserve">  ACTCOSS suggested that given the ACT is a small jurisdiction, a staged approach would be preferable to a trial. This would allow for data collection and analysis to fully assess its effectiveness and examine ways to reduce gambling harm.</w:t>
      </w:r>
      <w:r>
        <w:rPr>
          <w:rStyle w:val="FootnoteReference"/>
        </w:rPr>
        <w:footnoteReference w:id="171"/>
      </w:r>
    </w:p>
    <w:p w14:paraId="00D7FBDB" w14:textId="77777777" w:rsidR="004E456C" w:rsidRPr="00A11B61" w:rsidRDefault="004E456C" w:rsidP="00A11B61">
      <w:pPr>
        <w:rPr>
          <w:rFonts w:ascii="Montserrat" w:hAnsi="Montserrat"/>
          <w:color w:val="2E74B5" w:themeColor="accent5" w:themeShade="BF"/>
        </w:rPr>
      </w:pPr>
      <w:r w:rsidRPr="00A11B61">
        <w:rPr>
          <w:rFonts w:ascii="Montserrat" w:hAnsi="Montserrat"/>
          <w:color w:val="2E74B5" w:themeColor="accent5" w:themeShade="BF"/>
        </w:rPr>
        <w:t>Conclusion</w:t>
      </w:r>
    </w:p>
    <w:p w14:paraId="78E5A0C6" w14:textId="77777777" w:rsidR="004E456C" w:rsidRDefault="004E456C" w:rsidP="004E456C">
      <w:pPr>
        <w:pStyle w:val="ListNumber2"/>
      </w:pPr>
      <w:r>
        <w:t xml:space="preserve">While I acknowledge the views of those suggesting a trial is not required, I am of the view that there is value in conducting a trial of cashless gaming in the ACT, and that consideration should be given to the design of the trial so that it returns useful data to inform best practices. </w:t>
      </w:r>
    </w:p>
    <w:p w14:paraId="1C55D02F" w14:textId="77777777" w:rsidR="004E456C" w:rsidRDefault="004E456C" w:rsidP="004E456C">
      <w:pPr>
        <w:pStyle w:val="ListNumber2"/>
      </w:pPr>
      <w:r>
        <w:t xml:space="preserve">The trials conducted elsewhere would obviously inform the construction of a trial in the ACT, which should recognise distinctive features of the ACT gaming and regulatory environment and, of course, our distinctive socioeconomic features. </w:t>
      </w:r>
      <w:proofErr w:type="gramStart"/>
      <w:r>
        <w:t>Particular consideration</w:t>
      </w:r>
      <w:proofErr w:type="gramEnd"/>
      <w:r>
        <w:t xml:space="preserve"> should be given to implementation, harm reduction and avoiding unintended consequences. </w:t>
      </w:r>
    </w:p>
    <w:p w14:paraId="23204AA8" w14:textId="77777777" w:rsidR="004E456C" w:rsidRDefault="004E456C" w:rsidP="004E456C">
      <w:pPr>
        <w:pStyle w:val="ListNumber2"/>
      </w:pPr>
      <w:r>
        <w:t>I therefore dissent from the Committee Report to the degree that it conflicts with the following recommendation:</w:t>
      </w:r>
    </w:p>
    <w:tbl>
      <w:tblPr>
        <w:tblStyle w:val="Recommendationbox"/>
        <w:tblW w:w="0" w:type="auto"/>
        <w:tblLook w:val="0600" w:firstRow="0" w:lastRow="0" w:firstColumn="0" w:lastColumn="0" w:noHBand="1" w:noVBand="1"/>
      </w:tblPr>
      <w:tblGrid>
        <w:gridCol w:w="8175"/>
      </w:tblGrid>
      <w:tr w:rsidR="004E456C" w14:paraId="71E3A1CF" w14:textId="77777777" w:rsidTr="004E456C">
        <w:trPr>
          <w:cantSplit/>
        </w:trPr>
        <w:tc>
          <w:tcPr>
            <w:tcW w:w="7891" w:type="dxa"/>
            <w:hideMark/>
          </w:tcPr>
          <w:p w14:paraId="28DCCF9F" w14:textId="77777777" w:rsidR="004E456C" w:rsidRDefault="004E456C">
            <w:pPr>
              <w:pStyle w:val="Recommendationheading"/>
            </w:pPr>
            <w:bookmarkStart w:id="69" w:name="_Toc165030003"/>
            <w:r>
              <w:t>Recommendation</w:t>
            </w:r>
            <w:bookmarkEnd w:id="69"/>
          </w:p>
          <w:p w14:paraId="3A15D044" w14:textId="77777777" w:rsidR="004E456C" w:rsidRDefault="004E456C">
            <w:pPr>
              <w:pStyle w:val="Recommendationbody"/>
            </w:pPr>
            <w:bookmarkStart w:id="70" w:name="_Toc165030004"/>
            <w:r>
              <w:t>I recommend that the ACT Government undertake a trial of cashless gaming in the ACT with a view to harmonising as much as possible with NSW regulations and policies</w:t>
            </w:r>
            <w:bookmarkEnd w:id="70"/>
          </w:p>
        </w:tc>
      </w:tr>
    </w:tbl>
    <w:p w14:paraId="44C36BA0" w14:textId="77777777" w:rsidR="004E456C" w:rsidRDefault="004E456C" w:rsidP="004E456C">
      <w:pPr>
        <w:spacing w:line="256" w:lineRule="auto"/>
      </w:pPr>
    </w:p>
    <w:p w14:paraId="1804A27C" w14:textId="77777777" w:rsidR="004E456C" w:rsidRDefault="004E456C" w:rsidP="004E456C">
      <w:pPr>
        <w:spacing w:line="256" w:lineRule="auto"/>
      </w:pPr>
    </w:p>
    <w:p w14:paraId="04DA1BDC" w14:textId="77777777" w:rsidR="004E456C" w:rsidRDefault="004E456C" w:rsidP="004E456C">
      <w:pPr>
        <w:spacing w:line="256" w:lineRule="auto"/>
      </w:pPr>
      <w:r>
        <w:t>Mr Peter Cain MLA</w:t>
      </w:r>
    </w:p>
    <w:p w14:paraId="6EB3899A" w14:textId="4D8C3404" w:rsidR="00065581" w:rsidRPr="004E456C" w:rsidRDefault="004E456C" w:rsidP="004E456C">
      <w:pPr>
        <w:spacing w:line="256" w:lineRule="auto"/>
        <w:rPr>
          <w:rFonts w:ascii="Montserrat" w:eastAsiaTheme="majorEastAsia" w:hAnsi="Montserrat" w:cstheme="majorBidi"/>
          <w:b/>
          <w:color w:val="1A234C"/>
          <w:w w:val="90"/>
          <w:sz w:val="36"/>
          <w:szCs w:val="32"/>
        </w:rPr>
      </w:pPr>
      <w:r>
        <w:tab/>
        <w:t>June 2024</w:t>
      </w:r>
    </w:p>
    <w:p w14:paraId="69331F42" w14:textId="42CAAC7A" w:rsidR="00065581" w:rsidRPr="00EB3179" w:rsidRDefault="00065581" w:rsidP="00065581">
      <w:pPr>
        <w:pStyle w:val="Heading1nonumber"/>
      </w:pPr>
      <w:bookmarkStart w:id="71" w:name="_Toc170201555"/>
      <w:r>
        <w:lastRenderedPageBreak/>
        <w:t xml:space="preserve">Appendix </w:t>
      </w:r>
      <w:r w:rsidR="00E12DD3">
        <w:t>F</w:t>
      </w:r>
      <w:r>
        <w:t>: Additional Comments – Mr Andrew Braddock MLA</w:t>
      </w:r>
      <w:bookmarkEnd w:id="71"/>
    </w:p>
    <w:p w14:paraId="7051595F" w14:textId="77777777" w:rsidR="00C53166" w:rsidRPr="00C53166" w:rsidRDefault="00C53166" w:rsidP="00C53166">
      <w:pPr>
        <w:spacing w:line="259" w:lineRule="auto"/>
        <w:jc w:val="center"/>
        <w:rPr>
          <w:rFonts w:ascii="Calibri" w:eastAsia="Calibri" w:hAnsi="Calibri" w:cs="Times New Roman"/>
          <w:sz w:val="44"/>
          <w:szCs w:val="44"/>
        </w:rPr>
      </w:pPr>
      <w:r w:rsidRPr="00C53166">
        <w:rPr>
          <w:rFonts w:ascii="Calibri" w:eastAsia="Calibri" w:hAnsi="Calibri" w:cs="Times New Roman"/>
          <w:b/>
          <w:bCs/>
          <w:sz w:val="44"/>
          <w:szCs w:val="44"/>
          <w:u w:val="single"/>
        </w:rPr>
        <w:t>The House Always Wins</w:t>
      </w:r>
      <w:r w:rsidRPr="00C53166">
        <w:rPr>
          <w:rFonts w:ascii="Calibri" w:eastAsia="Calibri" w:hAnsi="Calibri" w:cs="Times New Roman"/>
          <w:sz w:val="44"/>
          <w:szCs w:val="44"/>
          <w:u w:val="single"/>
        </w:rPr>
        <w:br/>
      </w:r>
      <w:r w:rsidRPr="00C53166">
        <w:rPr>
          <w:rFonts w:ascii="Calibri" w:eastAsia="Calibri" w:hAnsi="Calibri" w:cs="Times New Roman"/>
          <w:sz w:val="28"/>
          <w:szCs w:val="28"/>
        </w:rPr>
        <w:t>(and we must act accordingly)</w:t>
      </w:r>
    </w:p>
    <w:p w14:paraId="7BDE7FBA" w14:textId="77777777" w:rsidR="00C53166" w:rsidRPr="00C53166" w:rsidRDefault="00C53166" w:rsidP="00C53166">
      <w:pPr>
        <w:spacing w:line="259" w:lineRule="auto"/>
        <w:rPr>
          <w:rFonts w:ascii="Calibri" w:eastAsia="Calibri" w:hAnsi="Calibri" w:cs="Times New Roman"/>
          <w:sz w:val="24"/>
          <w:szCs w:val="24"/>
        </w:rPr>
      </w:pPr>
    </w:p>
    <w:p w14:paraId="21D70A45"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Few issues have attracted as much political attention over the decades as the question of how to regulate gambling.  Australians, and indeed Canberrans, know that problem gambling is a serious issue.  On this, there is no doubt.  Problem gambling is a wicked issue, particularly prevalent in Australia, and which has destroyed lives and livelihoods.  On this, the committee was in effective agreement, and that is worth acknowledging.</w:t>
      </w:r>
    </w:p>
    <w:p w14:paraId="51B1AABE"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Where things become controversial is in deciding on the best solutions to employ.  At a basic level, this inquiry has been the most recent in a very long string of activities where those advocating for the interests of pokies venues have openly clashed against the advocates of harm-minimisation, and in which various approaches to regulation have been considered and compared.  As with every inquiry that has come before it, it has been a struggle to overcome the well-planned strategies of gambling interests.  </w:t>
      </w:r>
    </w:p>
    <w:p w14:paraId="27F02546"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There are places in the majority report where some things that should have been clear as day have gone unsaid, mostly because there is disagreement on the preferred solution to be embedded in a recommendation.  With political colours stapled to the mast, my colleagues have sometimes struggled to land a recommendation, even if there is consensus in the principles which underlie it.  This is unfortunate, because it denies us the opportunity to require a direct response from the government on that underlying principle, and that in turn serves the established interests.  I will attempt to illuminate some of these as we go.</w:t>
      </w:r>
    </w:p>
    <w:p w14:paraId="42D2B7A3"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My additional recommendations, which I will expand on below, are as follows:</w:t>
      </w:r>
    </w:p>
    <w:p w14:paraId="28DBAD73" w14:textId="77777777" w:rsidR="00C53166" w:rsidRPr="00C53166" w:rsidRDefault="00C53166" w:rsidP="00C53166">
      <w:pPr>
        <w:numPr>
          <w:ilvl w:val="0"/>
          <w:numId w:val="42"/>
        </w:num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That the ACT Government be extremely wary of any advice or representations received from the Gambling lobby, including </w:t>
      </w:r>
      <w:proofErr w:type="spellStart"/>
      <w:r w:rsidRPr="00C53166">
        <w:rPr>
          <w:rFonts w:ascii="Calibri" w:eastAsia="Calibri" w:hAnsi="Calibri" w:cs="Times New Roman"/>
          <w:sz w:val="24"/>
          <w:szCs w:val="24"/>
        </w:rPr>
        <w:t>ClubsACT</w:t>
      </w:r>
      <w:proofErr w:type="spellEnd"/>
      <w:r w:rsidRPr="00C53166">
        <w:rPr>
          <w:rFonts w:ascii="Calibri" w:eastAsia="Calibri" w:hAnsi="Calibri" w:cs="Times New Roman"/>
          <w:sz w:val="24"/>
          <w:szCs w:val="24"/>
        </w:rPr>
        <w:t>, the Gaming Technologies Association, and their related parties.</w:t>
      </w:r>
    </w:p>
    <w:p w14:paraId="0E99E853" w14:textId="77777777" w:rsidR="00C53166" w:rsidRPr="00C53166" w:rsidRDefault="00C53166" w:rsidP="00C53166">
      <w:pPr>
        <w:numPr>
          <w:ilvl w:val="0"/>
          <w:numId w:val="42"/>
        </w:numPr>
        <w:spacing w:line="259" w:lineRule="auto"/>
        <w:rPr>
          <w:rFonts w:ascii="Calibri" w:eastAsia="Calibri" w:hAnsi="Calibri" w:cs="Times New Roman"/>
          <w:sz w:val="24"/>
          <w:szCs w:val="24"/>
        </w:rPr>
      </w:pPr>
      <w:r w:rsidRPr="00C53166">
        <w:rPr>
          <w:rFonts w:ascii="Calibri" w:eastAsia="Calibri" w:hAnsi="Calibri" w:cs="Times New Roman"/>
          <w:sz w:val="24"/>
          <w:szCs w:val="24"/>
        </w:rPr>
        <w:t>That the ACT Government implement a Central Monitoring System of poker machines</w:t>
      </w:r>
      <w:r w:rsidRPr="00C53166">
        <w:rPr>
          <w:rFonts w:ascii="Calibri" w:eastAsia="Calibri" w:hAnsi="Calibri" w:cs="Times New Roman"/>
          <w:sz w:val="24"/>
          <w:szCs w:val="24"/>
          <w:vertAlign w:val="superscript"/>
        </w:rPr>
        <w:footnoteReference w:id="172"/>
      </w:r>
      <w:r w:rsidRPr="00C53166">
        <w:rPr>
          <w:rFonts w:ascii="Calibri" w:eastAsia="Calibri" w:hAnsi="Calibri" w:cs="Times New Roman"/>
          <w:sz w:val="24"/>
          <w:szCs w:val="24"/>
        </w:rPr>
        <w:t>, to anchor initiatives in harm-minimisation including mandatory precommitment and loss limits, the prevention of money-laundering, and other effective regulation of gambling operations.</w:t>
      </w:r>
    </w:p>
    <w:p w14:paraId="41727FEF" w14:textId="77777777" w:rsidR="00C53166" w:rsidRPr="00C53166" w:rsidRDefault="00C53166" w:rsidP="00C53166">
      <w:pPr>
        <w:numPr>
          <w:ilvl w:val="0"/>
          <w:numId w:val="42"/>
        </w:numPr>
        <w:spacing w:line="259" w:lineRule="auto"/>
        <w:rPr>
          <w:rFonts w:ascii="Calibri" w:eastAsia="Calibri" w:hAnsi="Calibri" w:cs="Times New Roman"/>
          <w:sz w:val="24"/>
          <w:szCs w:val="24"/>
        </w:rPr>
      </w:pPr>
      <w:r w:rsidRPr="00C53166">
        <w:rPr>
          <w:rFonts w:ascii="Calibri" w:eastAsia="Calibri" w:hAnsi="Calibri" w:cs="Times New Roman"/>
          <w:sz w:val="24"/>
          <w:szCs w:val="24"/>
        </w:rPr>
        <w:t>That the ACT Government place a moratorium on the use of facial recognition technology in licensed venues, until such time as the Commonwealth and/or Territory can introduce human rights-consistent regulations governing the use of this technology.</w:t>
      </w:r>
    </w:p>
    <w:p w14:paraId="60CA03A7" w14:textId="77777777" w:rsidR="00C53166" w:rsidRPr="00C53166" w:rsidRDefault="00C53166" w:rsidP="00C53166">
      <w:pPr>
        <w:spacing w:line="259" w:lineRule="auto"/>
        <w:rPr>
          <w:rFonts w:ascii="Calibri" w:eastAsia="Calibri" w:hAnsi="Calibri" w:cs="Times New Roman"/>
          <w:b/>
          <w:bCs/>
          <w:sz w:val="24"/>
          <w:szCs w:val="24"/>
        </w:rPr>
      </w:pPr>
      <w:r w:rsidRPr="00C53166">
        <w:rPr>
          <w:rFonts w:ascii="Calibri" w:eastAsia="Calibri" w:hAnsi="Calibri" w:cs="Times New Roman"/>
          <w:b/>
          <w:bCs/>
          <w:sz w:val="28"/>
          <w:szCs w:val="28"/>
        </w:rPr>
        <w:lastRenderedPageBreak/>
        <w:t>Dealing with the Gambling Lobby</w:t>
      </w:r>
    </w:p>
    <w:p w14:paraId="40FB04B2"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“The House always wins.”  It’s a well-known idiom – one intended to remind us that casinos, and indeed all gambling institutions, operate in a manner such that it will always turn a profit.  Gambling is a predatory industry.  It can be fun, but you will lose. The more you play, the more you will lose, and the more the House will win.  The technology is designed to be enticing, and industry practices are well-developed to keep players on machines.  Unfortunately, the Government has struggled to keep this </w:t>
      </w:r>
      <w:proofErr w:type="gramStart"/>
      <w:r w:rsidRPr="00C53166">
        <w:rPr>
          <w:rFonts w:ascii="Calibri" w:eastAsia="Calibri" w:hAnsi="Calibri" w:cs="Times New Roman"/>
          <w:sz w:val="24"/>
          <w:szCs w:val="24"/>
        </w:rPr>
        <w:t>principle</w:t>
      </w:r>
      <w:proofErr w:type="gramEnd"/>
      <w:r w:rsidRPr="00C53166">
        <w:rPr>
          <w:rFonts w:ascii="Calibri" w:eastAsia="Calibri" w:hAnsi="Calibri" w:cs="Times New Roman"/>
          <w:sz w:val="24"/>
          <w:szCs w:val="24"/>
        </w:rPr>
        <w:t xml:space="preserve"> front-of-mind.</w:t>
      </w:r>
    </w:p>
    <w:p w14:paraId="78EFF122"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Ms Carol Bennet of the Alliance for Gambling Reform offered this opening statement, which is worth reproducing in full:</w:t>
      </w:r>
    </w:p>
    <w:p w14:paraId="2802A8B4"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The ACT is generally considered to be a progressive territory that accepts the importance of governing for public benefit. We would say that cannot be said to be the case when it comes to gambling reform.</w:t>
      </w:r>
    </w:p>
    <w:p w14:paraId="090EC4E8"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If it could, the ACT would have already accepted the inevitability of a carded system, including mandatory precommitment with binding and reasonable default limits. A carded gambling system could be groundbreaking in reducing gambling harm and placing limits on the behaviour of a predatory gambling industry that costs Australians more than $25 billion in losses every year. That is more per capita than any other country on the planet. In the ACT, that figure is growing each year. Canberrans lost $188 million in the last year alone. That is $16 million every month. That is just to poker machines. Over $1.2 billion has been lost in the last decade. These are staggering losses for a small jurisdiction of under half a million people.</w:t>
      </w:r>
    </w:p>
    <w:p w14:paraId="16A49EA6"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The Alliance has already supported Dr Marisa Paterson’s legislation for pokies-free new developments in the ACT. We have worked with Attorney-General Shane Rattenbury to look at other reforms to address gambling losses and harms, and they include the central monitoring system, which the ACT is playing catch-up on behind other jurisdictions, the capacity for setting loss limits and self-exclusion. The Alliance is firmly of the view that cashless gambling is not an </w:t>
      </w:r>
      <w:proofErr w:type="gramStart"/>
      <w:r w:rsidRPr="00C53166">
        <w:rPr>
          <w:rFonts w:ascii="Calibri" w:eastAsia="Calibri" w:hAnsi="Calibri" w:cs="Times New Roman"/>
          <w:sz w:val="24"/>
          <w:szCs w:val="24"/>
        </w:rPr>
        <w:t>end in itself, but</w:t>
      </w:r>
      <w:proofErr w:type="gramEnd"/>
      <w:r w:rsidRPr="00C53166">
        <w:rPr>
          <w:rFonts w:ascii="Calibri" w:eastAsia="Calibri" w:hAnsi="Calibri" w:cs="Times New Roman"/>
          <w:sz w:val="24"/>
          <w:szCs w:val="24"/>
        </w:rPr>
        <w:t xml:space="preserve"> collecting more sophisticated data about individual gamblers that is linked to an individualised, mandatory, cashless gambling card provides the opportunity to significantly reduce gambling harm.</w:t>
      </w:r>
    </w:p>
    <w:p w14:paraId="4466F9C8"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There is an avalanche of evidence. I know </w:t>
      </w:r>
      <w:proofErr w:type="gramStart"/>
      <w:r w:rsidRPr="00C53166">
        <w:rPr>
          <w:rFonts w:ascii="Calibri" w:eastAsia="Calibri" w:hAnsi="Calibri" w:cs="Times New Roman"/>
          <w:sz w:val="24"/>
          <w:szCs w:val="24"/>
        </w:rPr>
        <w:t>we have heard today</w:t>
      </w:r>
      <w:proofErr w:type="gramEnd"/>
      <w:r w:rsidRPr="00C53166">
        <w:rPr>
          <w:rFonts w:ascii="Calibri" w:eastAsia="Calibri" w:hAnsi="Calibri" w:cs="Times New Roman"/>
          <w:sz w:val="24"/>
          <w:szCs w:val="24"/>
        </w:rPr>
        <w:t xml:space="preserve"> questions about that evidence, but we know how a mandatory precommitment cashless card can work incredibly well to reduce gambling harm and disrupt organised crime and money laundering. The New South Wales Crime Commission report of 2022, for instance, made the recommendation to the New South Wales government for this important reform. It is considered the gold standard, as the Victorian Responsible Gambling Foundation has recommended.</w:t>
      </w:r>
    </w:p>
    <w:p w14:paraId="3D893F54"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In New South Wales, we know the Minns government has been reluctant to adopt this card, instead opting to kick the can down the road with the strong support of an industry that does not want scrutiny and accountability that will undoubtedly impact </w:t>
      </w:r>
      <w:r w:rsidRPr="00C53166">
        <w:rPr>
          <w:rFonts w:ascii="Calibri" w:eastAsia="Calibri" w:hAnsi="Calibri" w:cs="Times New Roman"/>
          <w:sz w:val="24"/>
          <w:szCs w:val="24"/>
        </w:rPr>
        <w:lastRenderedPageBreak/>
        <w:t>their bottom line. That is the risk for the ACT: not adopting the reform measures that will address gambling harm and choosing instead to pander to an industry intent on maintaining lax regulation that enables it to generate enormous profit from gambling losses.</w:t>
      </w:r>
      <w:r w:rsidRPr="00C53166">
        <w:rPr>
          <w:rFonts w:ascii="Calibri" w:eastAsia="Calibri" w:hAnsi="Calibri" w:cs="Times New Roman"/>
          <w:sz w:val="24"/>
          <w:szCs w:val="24"/>
          <w:vertAlign w:val="superscript"/>
        </w:rPr>
        <w:footnoteReference w:id="173"/>
      </w:r>
    </w:p>
    <w:p w14:paraId="554F52E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Later during the inquiry, Rev Tim Costello also offered the following which is worth reproducing verbatim:</w:t>
      </w:r>
    </w:p>
    <w:p w14:paraId="5F2C5C81"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Politically, I have watched nothing happen now for 25 years. I am as a realist going, ‘the cashless card at last!’ It was defeated, you might remember, when the Gillard government tried to introduce it. </w:t>
      </w:r>
      <w:proofErr w:type="spellStart"/>
      <w:r w:rsidRPr="00C53166">
        <w:rPr>
          <w:rFonts w:ascii="Calibri" w:eastAsia="Calibri" w:hAnsi="Calibri" w:cs="Times New Roman"/>
          <w:sz w:val="24"/>
          <w:szCs w:val="24"/>
        </w:rPr>
        <w:t>ClubsNSW</w:t>
      </w:r>
      <w:proofErr w:type="spellEnd"/>
      <w:r w:rsidRPr="00C53166">
        <w:rPr>
          <w:rFonts w:ascii="Calibri" w:eastAsia="Calibri" w:hAnsi="Calibri" w:cs="Times New Roman"/>
          <w:sz w:val="24"/>
          <w:szCs w:val="24"/>
        </w:rPr>
        <w:t xml:space="preserve"> ran the “un-Australian” campaign, and it was the mother of all fear campaigns. The realist in me says it is not likely that we are going to see fast systematic reduction of pokies just yet, given that the political clout and muscle of this industry is so entrenched. That is a matter for you.</w:t>
      </w:r>
      <w:r w:rsidRPr="00C53166">
        <w:rPr>
          <w:rFonts w:ascii="Calibri" w:eastAsia="Calibri" w:hAnsi="Calibri" w:cs="Times New Roman"/>
          <w:sz w:val="24"/>
          <w:szCs w:val="24"/>
          <w:vertAlign w:val="superscript"/>
        </w:rPr>
        <w:footnoteReference w:id="174"/>
      </w:r>
    </w:p>
    <w:p w14:paraId="43E5B2FB"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These sage pieces of advice have been my starting point in preparing these additional comments.</w:t>
      </w:r>
    </w:p>
    <w:p w14:paraId="5E101329"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Lawmakers need to be </w:t>
      </w:r>
      <w:r w:rsidRPr="00C53166">
        <w:rPr>
          <w:rFonts w:ascii="Calibri" w:eastAsia="Calibri" w:hAnsi="Calibri" w:cs="Times New Roman"/>
          <w:sz w:val="24"/>
          <w:szCs w:val="24"/>
          <w:u w:val="single"/>
        </w:rPr>
        <w:t>extremely</w:t>
      </w:r>
      <w:r w:rsidRPr="00C53166">
        <w:rPr>
          <w:rFonts w:ascii="Calibri" w:eastAsia="Calibri" w:hAnsi="Calibri" w:cs="Times New Roman"/>
          <w:sz w:val="24"/>
          <w:szCs w:val="24"/>
        </w:rPr>
        <w:t xml:space="preserve"> careful in taking the advice of machine operators and manufacturers.  While they may have useful technical knowledge to support government, they nonetheless have a clear vested interest in ensuring the regulation of their industry is minimised and the profits produced by their machines are maximised.  Irrespective of whether they have a for-profit or not-for-profit institutional structure, their operational models depend upon the exploitation of people and the extraction of wealth from our own communities.  They directly benefit from problem gambling remaining a problem to the maximum extent they can get away with.</w:t>
      </w:r>
    </w:p>
    <w:p w14:paraId="29BBECC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The submissions made by these organisations must be taken with </w:t>
      </w:r>
      <w:r w:rsidRPr="00C53166">
        <w:rPr>
          <w:rFonts w:ascii="Calibri" w:eastAsia="Calibri" w:hAnsi="Calibri" w:cs="Times New Roman"/>
          <w:sz w:val="24"/>
          <w:szCs w:val="24"/>
          <w:u w:val="single"/>
        </w:rPr>
        <w:t>extreme</w:t>
      </w:r>
      <w:r w:rsidRPr="00C53166">
        <w:rPr>
          <w:rFonts w:ascii="Calibri" w:eastAsia="Calibri" w:hAnsi="Calibri" w:cs="Times New Roman"/>
          <w:sz w:val="24"/>
          <w:szCs w:val="24"/>
        </w:rPr>
        <w:t xml:space="preserve"> caution.  By corollary, the </w:t>
      </w:r>
      <w:proofErr w:type="gramStart"/>
      <w:r w:rsidRPr="00C53166">
        <w:rPr>
          <w:rFonts w:ascii="Calibri" w:eastAsia="Calibri" w:hAnsi="Calibri" w:cs="Times New Roman"/>
          <w:sz w:val="24"/>
          <w:szCs w:val="24"/>
        </w:rPr>
        <w:t>decisions</w:t>
      </w:r>
      <w:proofErr w:type="gramEnd"/>
      <w:r w:rsidRPr="00C53166">
        <w:rPr>
          <w:rFonts w:ascii="Calibri" w:eastAsia="Calibri" w:hAnsi="Calibri" w:cs="Times New Roman"/>
          <w:sz w:val="24"/>
          <w:szCs w:val="24"/>
        </w:rPr>
        <w:t xml:space="preserve"> and actions of other organisations with affiliations to them must be equally considered with some caution.  This includes the Labor party, which continues to benefit from the wealth generated by pokies assets and venues in the ACT.</w:t>
      </w:r>
    </w:p>
    <w:p w14:paraId="297762D0"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Unfortunately, the spin of the gambling lobby has worked its way into the report in a few instances.  I draw attention to:</w:t>
      </w:r>
    </w:p>
    <w:p w14:paraId="64169B34" w14:textId="77777777" w:rsidR="00C53166" w:rsidRPr="00C53166" w:rsidRDefault="00C53166" w:rsidP="00C53166">
      <w:pPr>
        <w:numPr>
          <w:ilvl w:val="0"/>
          <w:numId w:val="43"/>
        </w:numPr>
        <w:spacing w:line="259" w:lineRule="auto"/>
        <w:rPr>
          <w:rFonts w:ascii="Calibri" w:eastAsia="Calibri" w:hAnsi="Calibri" w:cs="Times New Roman"/>
          <w:sz w:val="24"/>
          <w:szCs w:val="24"/>
        </w:rPr>
      </w:pPr>
      <w:r w:rsidRPr="00C53166">
        <w:rPr>
          <w:rFonts w:ascii="Calibri" w:eastAsia="Calibri" w:hAnsi="Calibri" w:cs="Times New Roman"/>
          <w:sz w:val="24"/>
          <w:szCs w:val="24"/>
        </w:rPr>
        <w:t>Point 5.6, which asserts that ACT clubs did not make a profit in 2021-22 in the context of discussing the profit-making and ‘not-for-profit’</w:t>
      </w:r>
      <w:r w:rsidRPr="00C53166">
        <w:rPr>
          <w:rFonts w:ascii="Calibri" w:eastAsia="Calibri" w:hAnsi="Calibri" w:cs="Times New Roman"/>
          <w:sz w:val="24"/>
          <w:szCs w:val="24"/>
          <w:vertAlign w:val="superscript"/>
        </w:rPr>
        <w:footnoteReference w:id="175"/>
      </w:r>
      <w:r w:rsidRPr="00C53166">
        <w:rPr>
          <w:rFonts w:ascii="Calibri" w:eastAsia="Calibri" w:hAnsi="Calibri" w:cs="Times New Roman"/>
          <w:sz w:val="24"/>
          <w:szCs w:val="24"/>
        </w:rPr>
        <w:t xml:space="preserve"> nature of their operations, but without the important context that this was the year of pandemic lockdowns when the economy-at-large was on life-support.</w:t>
      </w:r>
    </w:p>
    <w:p w14:paraId="524D0B55" w14:textId="77777777" w:rsidR="00C53166" w:rsidRPr="00C53166" w:rsidRDefault="00C53166" w:rsidP="00C53166">
      <w:pPr>
        <w:numPr>
          <w:ilvl w:val="0"/>
          <w:numId w:val="43"/>
        </w:num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Point 5.22, which repeats unevidenced suggestions that people with data security concerns will simply move </w:t>
      </w:r>
      <w:proofErr w:type="gramStart"/>
      <w:r w:rsidRPr="00C53166">
        <w:rPr>
          <w:rFonts w:ascii="Calibri" w:eastAsia="Calibri" w:hAnsi="Calibri" w:cs="Times New Roman"/>
          <w:sz w:val="24"/>
          <w:szCs w:val="24"/>
        </w:rPr>
        <w:t>online, and</w:t>
      </w:r>
      <w:proofErr w:type="gramEnd"/>
      <w:r w:rsidRPr="00C53166">
        <w:rPr>
          <w:rFonts w:ascii="Calibri" w:eastAsia="Calibri" w:hAnsi="Calibri" w:cs="Times New Roman"/>
          <w:sz w:val="24"/>
          <w:szCs w:val="24"/>
        </w:rPr>
        <w:t xml:space="preserve"> fails to recognise that these are very different gambling ecosystems with differing data security issues at play.</w:t>
      </w:r>
    </w:p>
    <w:p w14:paraId="70B895DD" w14:textId="77777777" w:rsidR="00C53166" w:rsidRPr="00C53166" w:rsidRDefault="00C53166" w:rsidP="00C53166">
      <w:pPr>
        <w:numPr>
          <w:ilvl w:val="0"/>
          <w:numId w:val="43"/>
        </w:numPr>
        <w:spacing w:line="259" w:lineRule="auto"/>
        <w:rPr>
          <w:rFonts w:ascii="Calibri" w:eastAsia="Calibri" w:hAnsi="Calibri" w:cs="Times New Roman"/>
          <w:sz w:val="24"/>
          <w:szCs w:val="24"/>
        </w:rPr>
      </w:pPr>
      <w:r w:rsidRPr="00C53166">
        <w:rPr>
          <w:rFonts w:ascii="Calibri" w:eastAsia="Calibri" w:hAnsi="Calibri" w:cs="Times New Roman"/>
          <w:sz w:val="24"/>
          <w:szCs w:val="24"/>
        </w:rPr>
        <w:lastRenderedPageBreak/>
        <w:t>Point 6.1, which reprints what is obviously marketing spin on how every Canberran “is likely a member of at least one club”.  This is patently ridiculous and significantly overstates the patronage of venues and their importance to the Canberra community.</w:t>
      </w:r>
    </w:p>
    <w:p w14:paraId="745A4541"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Accordingly, I made the following additional recommendation.</w:t>
      </w:r>
      <w:r w:rsidRPr="00C53166">
        <w:rPr>
          <w:rFonts w:ascii="Calibri" w:eastAsia="Calibri" w:hAnsi="Calibri" w:cs="Times New Roman"/>
          <w:noProof/>
          <w:sz w:val="24"/>
          <w:szCs w:val="24"/>
        </w:rPr>
        <w:t xml:space="preserve"> </w:t>
      </w:r>
    </w:p>
    <w:p w14:paraId="461FC620"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2B0D706D" wp14:editId="3D9ECEFE">
                <wp:simplePos x="0" y="0"/>
                <wp:positionH relativeFrom="margin">
                  <wp:posOffset>485775</wp:posOffset>
                </wp:positionH>
                <wp:positionV relativeFrom="paragraph">
                  <wp:posOffset>25400</wp:posOffset>
                </wp:positionV>
                <wp:extent cx="4733925" cy="1038225"/>
                <wp:effectExtent l="0" t="0" r="28575" b="28575"/>
                <wp:wrapTopAndBottom/>
                <wp:docPr id="1" name="Text Box 1"/>
                <wp:cNvGraphicFramePr/>
                <a:graphic xmlns:a="http://schemas.openxmlformats.org/drawingml/2006/main">
                  <a:graphicData uri="http://schemas.microsoft.com/office/word/2010/wordprocessingShape">
                    <wps:wsp>
                      <wps:cNvSpPr txBox="1"/>
                      <wps:spPr>
                        <a:xfrm>
                          <a:off x="0" y="0"/>
                          <a:ext cx="4733925" cy="1038225"/>
                        </a:xfrm>
                        <a:prstGeom prst="rect">
                          <a:avLst/>
                        </a:prstGeom>
                        <a:solidFill>
                          <a:sysClr val="window" lastClr="FFFFFF"/>
                        </a:solidFill>
                        <a:ln w="6350">
                          <a:solidFill>
                            <a:prstClr val="black"/>
                          </a:solidFill>
                        </a:ln>
                      </wps:spPr>
                      <wps:txbx>
                        <w:txbxContent>
                          <w:p w14:paraId="25405A06" w14:textId="77777777" w:rsidR="00C53166" w:rsidRPr="000F1D4E" w:rsidRDefault="00C53166" w:rsidP="00C53166">
                            <w:pPr>
                              <w:rPr>
                                <w:b/>
                                <w:bCs/>
                                <w:sz w:val="28"/>
                                <w:szCs w:val="28"/>
                              </w:rPr>
                            </w:pPr>
                            <w:r>
                              <w:rPr>
                                <w:b/>
                                <w:bCs/>
                                <w:sz w:val="28"/>
                                <w:szCs w:val="28"/>
                              </w:rPr>
                              <w:t>Additional r</w:t>
                            </w:r>
                            <w:r w:rsidRPr="000F1D4E">
                              <w:rPr>
                                <w:b/>
                                <w:bCs/>
                                <w:sz w:val="28"/>
                                <w:szCs w:val="28"/>
                              </w:rPr>
                              <w:t>ecommendation 1:</w:t>
                            </w:r>
                          </w:p>
                          <w:p w14:paraId="30CA5566" w14:textId="77777777" w:rsidR="00C53166" w:rsidRPr="000F1D4E" w:rsidRDefault="00C53166" w:rsidP="00C53166">
                            <w:pPr>
                              <w:rPr>
                                <w:sz w:val="24"/>
                                <w:szCs w:val="24"/>
                              </w:rPr>
                            </w:pPr>
                            <w:r w:rsidRPr="000F1D4E">
                              <w:rPr>
                                <w:sz w:val="24"/>
                                <w:szCs w:val="24"/>
                              </w:rPr>
                              <w:t xml:space="preserve">That the ACT Government be extremely wary of any advice or representations received from the </w:t>
                            </w:r>
                            <w:r>
                              <w:rPr>
                                <w:sz w:val="24"/>
                                <w:szCs w:val="24"/>
                              </w:rPr>
                              <w:t>g</w:t>
                            </w:r>
                            <w:r w:rsidRPr="000F1D4E">
                              <w:rPr>
                                <w:sz w:val="24"/>
                                <w:szCs w:val="24"/>
                              </w:rPr>
                              <w:t>ambling lobby, including ClubsACT, the Gaming Technologies Association</w:t>
                            </w:r>
                            <w:r>
                              <w:rPr>
                                <w:sz w:val="24"/>
                                <w:szCs w:val="24"/>
                              </w:rPr>
                              <w:t>,</w:t>
                            </w:r>
                            <w:r w:rsidRPr="000F1D4E">
                              <w:rPr>
                                <w:sz w:val="24"/>
                                <w:szCs w:val="24"/>
                              </w:rPr>
                              <w:t xml:space="preserve"> and their related parties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0D706D" id="_x0000_t202" coordsize="21600,21600" o:spt="202" path="m,l,21600r21600,l21600,xe">
                <v:stroke joinstyle="miter"/>
                <v:path gradientshapeok="t" o:connecttype="rect"/>
              </v:shapetype>
              <v:shape id="Text Box 1" o:spid="_x0000_s1026" type="#_x0000_t202" style="position:absolute;margin-left:38.25pt;margin-top:2pt;width:372.75pt;height:81.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" fillcolor="window" strokeweight=".5pt">
                <v:textbox>
                  <w:txbxContent>
                    <w:p w14:paraId="25405A06" w14:textId="77777777" w:rsidR="00C53166" w:rsidRPr="000F1D4E" w:rsidRDefault="00C53166" w:rsidP="00C53166">
                      <w:pPr>
                        <w:rPr>
                          <w:b/>
                          <w:bCs/>
                          <w:sz w:val="28"/>
                          <w:szCs w:val="28"/>
                        </w:rPr>
                      </w:pPr>
                      <w:r>
                        <w:rPr>
                          <w:b/>
                          <w:bCs/>
                          <w:sz w:val="28"/>
                          <w:szCs w:val="28"/>
                        </w:rPr>
                        <w:t>Additional r</w:t>
                      </w:r>
                      <w:r w:rsidRPr="000F1D4E">
                        <w:rPr>
                          <w:b/>
                          <w:bCs/>
                          <w:sz w:val="28"/>
                          <w:szCs w:val="28"/>
                        </w:rPr>
                        <w:t>ecommendation 1:</w:t>
                      </w:r>
                    </w:p>
                    <w:p w14:paraId="30CA5566" w14:textId="77777777" w:rsidR="00C53166" w:rsidRPr="000F1D4E" w:rsidRDefault="00C53166" w:rsidP="00C53166">
                      <w:pPr>
                        <w:rPr>
                          <w:sz w:val="24"/>
                          <w:szCs w:val="24"/>
                        </w:rPr>
                      </w:pPr>
                      <w:r w:rsidRPr="000F1D4E">
                        <w:rPr>
                          <w:sz w:val="24"/>
                          <w:szCs w:val="24"/>
                        </w:rPr>
                        <w:t xml:space="preserve">That the ACT Government be extremely wary of any advice or representations received from the </w:t>
                      </w:r>
                      <w:r>
                        <w:rPr>
                          <w:sz w:val="24"/>
                          <w:szCs w:val="24"/>
                        </w:rPr>
                        <w:t>g</w:t>
                      </w:r>
                      <w:r w:rsidRPr="000F1D4E">
                        <w:rPr>
                          <w:sz w:val="24"/>
                          <w:szCs w:val="24"/>
                        </w:rPr>
                        <w:t>ambling lobby, including ClubsACT, the Gaming Technologies Association</w:t>
                      </w:r>
                      <w:r>
                        <w:rPr>
                          <w:sz w:val="24"/>
                          <w:szCs w:val="24"/>
                        </w:rPr>
                        <w:t>,</w:t>
                      </w:r>
                      <w:r w:rsidRPr="000F1D4E">
                        <w:rPr>
                          <w:sz w:val="24"/>
                          <w:szCs w:val="24"/>
                        </w:rPr>
                        <w:t xml:space="preserve"> and their related parties</w:t>
                      </w:r>
                      <w:r>
                        <w:rPr>
                          <w:sz w:val="24"/>
                          <w:szCs w:val="24"/>
                        </w:rPr>
                        <w:t>.</w:t>
                      </w:r>
                    </w:p>
                  </w:txbxContent>
                </v:textbox>
                <w10:wrap type="topAndBottom" anchorx="margin"/>
              </v:shape>
            </w:pict>
          </mc:Fallback>
        </mc:AlternateContent>
      </w:r>
    </w:p>
    <w:p w14:paraId="4C0088AD" w14:textId="77777777" w:rsidR="00C53166" w:rsidRPr="00C53166" w:rsidRDefault="00C53166" w:rsidP="00C53166">
      <w:pPr>
        <w:spacing w:line="259" w:lineRule="auto"/>
        <w:rPr>
          <w:rFonts w:ascii="Calibri" w:eastAsia="Calibri" w:hAnsi="Calibri" w:cs="Times New Roman"/>
          <w:b/>
          <w:bCs/>
          <w:sz w:val="28"/>
          <w:szCs w:val="28"/>
        </w:rPr>
      </w:pPr>
      <w:r w:rsidRPr="00C53166">
        <w:rPr>
          <w:rFonts w:ascii="Calibri" w:eastAsia="Calibri" w:hAnsi="Calibri" w:cs="Times New Roman"/>
          <w:b/>
          <w:bCs/>
          <w:sz w:val="28"/>
          <w:szCs w:val="28"/>
        </w:rPr>
        <w:t>Lessons from the past – the 1999 Inquiry into Gambling in the ACT</w:t>
      </w:r>
    </w:p>
    <w:p w14:paraId="4B882086"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In 1998, the Fourth Assembly established a select committee on gambling, comprised of Mr Trevor Kaine (chair; Independent (previously Liberal)), Ms Kerrie Tucker (deputy chair; Greens), Mr Dave </w:t>
      </w:r>
      <w:proofErr w:type="spellStart"/>
      <w:r w:rsidRPr="00C53166">
        <w:rPr>
          <w:rFonts w:ascii="Calibri" w:eastAsia="Calibri" w:hAnsi="Calibri" w:cs="Times New Roman"/>
          <w:sz w:val="24"/>
          <w:szCs w:val="24"/>
        </w:rPr>
        <w:t>Rugendyke</w:t>
      </w:r>
      <w:proofErr w:type="spellEnd"/>
      <w:r w:rsidRPr="00C53166">
        <w:rPr>
          <w:rFonts w:ascii="Calibri" w:eastAsia="Calibri" w:hAnsi="Calibri" w:cs="Times New Roman"/>
          <w:sz w:val="24"/>
          <w:szCs w:val="24"/>
        </w:rPr>
        <w:t xml:space="preserve"> (Independent), and the late Mr Bill Wood (Labor).</w:t>
      </w:r>
      <w:r w:rsidRPr="00C53166">
        <w:rPr>
          <w:rFonts w:ascii="Calibri" w:eastAsia="Calibri" w:hAnsi="Calibri" w:cs="Times New Roman"/>
          <w:sz w:val="24"/>
          <w:szCs w:val="24"/>
          <w:vertAlign w:val="superscript"/>
        </w:rPr>
        <w:footnoteReference w:id="176"/>
      </w:r>
      <w:r w:rsidRPr="00C53166">
        <w:rPr>
          <w:rFonts w:ascii="Calibri" w:eastAsia="Calibri" w:hAnsi="Calibri" w:cs="Times New Roman"/>
          <w:sz w:val="24"/>
          <w:szCs w:val="24"/>
        </w:rPr>
        <w:t xml:space="preserve">  The committee handed its report down on 25/3/1999 with 28 recommendations. Some of them are eerily familiar and are worth showing here.</w:t>
      </w:r>
    </w:p>
    <w:p w14:paraId="4054A00D"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“Recommendation 25: The committee recommends that existing legislation be amended to provide the Assembly the ability to reject future technological change to machines. The committee also recommends that the ACT Gambling and Racing Commission investigate with alternative poker machine providers the feasibility of providing machines to meet the ACT’s special needs.”</w:t>
      </w:r>
    </w:p>
    <w:p w14:paraId="098CF7BB"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“Recommendation 26:  The committee recommends that a centralised poker machine monitoring system replace the current arrangements.”</w:t>
      </w:r>
    </w:p>
    <w:p w14:paraId="00086EB8"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The 1999 report’s recommendation 25 had the context, on my reading, of a reflection on the incremental changes to poker machine technology that had occurred to date and without any reference to regulators or legislators, and which risked exacerbating harm through greater frictionless play.  The committee of the day was fearful that credit cards could soon be inserted into machines.  It is worth noting that this was one of five recommendations rejected by the Carnell government on the grounds of being unworkable.  Today, we would consider further advancements in cashless gaming and artificial intelligence to precipitate similar concerns.</w:t>
      </w:r>
    </w:p>
    <w:p w14:paraId="5E8C3BA5"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Recommendation 26’s context was the rollout of central monitoring systems in other jurisdictions.  It was the advice of Professor Jan McMillen from the Australian Institute of Gambling Research that “the ACT moves quickly to have centralised monitoring both for improved auditing and regulatory compliance and to achieve compatibility with </w:t>
      </w:r>
      <w:r w:rsidRPr="00C53166">
        <w:rPr>
          <w:rFonts w:ascii="Calibri" w:eastAsia="Calibri" w:hAnsi="Calibri" w:cs="Times New Roman"/>
          <w:sz w:val="24"/>
          <w:szCs w:val="24"/>
        </w:rPr>
        <w:lastRenderedPageBreak/>
        <w:t>Queensland, Victoria, South Australia (and by 2000) NSW.”</w:t>
      </w:r>
      <w:r w:rsidRPr="00C53166">
        <w:rPr>
          <w:rFonts w:ascii="Calibri" w:eastAsia="Calibri" w:hAnsi="Calibri" w:cs="Times New Roman"/>
          <w:sz w:val="24"/>
          <w:szCs w:val="24"/>
          <w:vertAlign w:val="superscript"/>
        </w:rPr>
        <w:footnoteReference w:id="177"/>
      </w:r>
      <w:r w:rsidRPr="00C53166">
        <w:rPr>
          <w:rFonts w:ascii="Calibri" w:eastAsia="Calibri" w:hAnsi="Calibri" w:cs="Times New Roman"/>
          <w:sz w:val="24"/>
          <w:szCs w:val="24"/>
        </w:rPr>
        <w:t xml:space="preserve">  The Carnell government’s response to this recommendation was “agreed in part and further consideration required”, estimating that such a system would cost $5 million and anticipating that the ACT Gambling and Racing Commission once established would thoroughly investigate the prospect.</w:t>
      </w:r>
      <w:r w:rsidRPr="00C53166">
        <w:rPr>
          <w:rFonts w:ascii="Calibri" w:eastAsia="Calibri" w:hAnsi="Calibri" w:cs="Times New Roman"/>
          <w:sz w:val="24"/>
          <w:szCs w:val="24"/>
          <w:vertAlign w:val="superscript"/>
        </w:rPr>
        <w:footnoteReference w:id="178"/>
      </w:r>
    </w:p>
    <w:p w14:paraId="44D908A0"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In 2015, the question of a central monitoring system was again revisited, with the Public Accounts Committee of the 8</w:t>
      </w:r>
      <w:r w:rsidRPr="00C53166">
        <w:rPr>
          <w:rFonts w:ascii="Calibri" w:eastAsia="Calibri" w:hAnsi="Calibri" w:cs="Times New Roman"/>
          <w:sz w:val="24"/>
          <w:szCs w:val="24"/>
          <w:vertAlign w:val="superscript"/>
        </w:rPr>
        <w:t>th</w:t>
      </w:r>
      <w:r w:rsidRPr="00C53166">
        <w:rPr>
          <w:rFonts w:ascii="Calibri" w:eastAsia="Calibri" w:hAnsi="Calibri" w:cs="Times New Roman"/>
          <w:sz w:val="24"/>
          <w:szCs w:val="24"/>
        </w:rPr>
        <w:t xml:space="preserve"> Assembly in its inquiry into elements impacting on the future of the ACT clubs sector making the following comments and recommendation:</w:t>
      </w:r>
    </w:p>
    <w:p w14:paraId="552CC7E0"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“The Committee has received evidence on a range of ways to modify, control and monitor gambling machines, in addition to existing requirements, so as to ensure that excessive or uncontrolled playing is not facilitated.</w:t>
      </w:r>
      <w:r w:rsidRPr="00C53166">
        <w:rPr>
          <w:rFonts w:ascii="Calibri" w:eastAsia="Calibri" w:hAnsi="Calibri" w:cs="Times New Roman"/>
          <w:sz w:val="24"/>
          <w:szCs w:val="24"/>
        </w:rPr>
        <w:br/>
        <w:t>In this regard, the Committee notes that rapidly changing technology is now available, which can only improve and assist this aim in the future to ensure that far more effective monitoring and policing results.</w:t>
      </w:r>
      <w:r w:rsidRPr="00C53166">
        <w:rPr>
          <w:rFonts w:ascii="Calibri" w:eastAsia="Calibri" w:hAnsi="Calibri" w:cs="Times New Roman"/>
          <w:sz w:val="24"/>
          <w:szCs w:val="24"/>
        </w:rPr>
        <w:br/>
        <w:t>…</w:t>
      </w:r>
      <w:r w:rsidRPr="00C53166">
        <w:rPr>
          <w:rFonts w:ascii="Calibri" w:eastAsia="Calibri" w:hAnsi="Calibri" w:cs="Times New Roman"/>
          <w:sz w:val="24"/>
          <w:szCs w:val="24"/>
        </w:rPr>
        <w:br/>
        <w:t>Recommendation 33:</w:t>
      </w:r>
      <w:r w:rsidRPr="00C53166">
        <w:rPr>
          <w:rFonts w:ascii="Calibri" w:eastAsia="Calibri" w:hAnsi="Calibri" w:cs="Times New Roman"/>
          <w:sz w:val="24"/>
          <w:szCs w:val="24"/>
        </w:rPr>
        <w:br/>
        <w:t>The Committee recommends that the Government investigate the feasibility of introducing a central, electronic, linked monitoring system for Electronic Gaming Machines.”</w:t>
      </w:r>
      <w:r w:rsidRPr="00C53166">
        <w:rPr>
          <w:rFonts w:ascii="Calibri" w:eastAsia="Calibri" w:hAnsi="Calibri" w:cs="Times New Roman"/>
          <w:sz w:val="24"/>
          <w:szCs w:val="24"/>
          <w:vertAlign w:val="superscript"/>
        </w:rPr>
        <w:footnoteReference w:id="179"/>
      </w:r>
    </w:p>
    <w:p w14:paraId="31FCCFD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The 2015 report’s recommendation #33 was agreed in principle by then-Minister Joy Burch on behalf of the Barr Government, noting that the Government had “already commenced preliminary investigations into the feasibility of a CMS.”  </w:t>
      </w:r>
    </w:p>
    <w:p w14:paraId="4ABE416C"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That we are once again talking about technological change and a central monitoring system is clearly no accident.  It appears to, in fact, be something that the relevant government directorates have been examining for a very long time, only to be quietly buried and re-excavated for reasons unknown to the Committee.  The difference is that this time, the technological change is less about credit cards and more about facial recognition technology with artificial intelligence, yet the apparent need for a central monitoring system remains unchanged.</w:t>
      </w:r>
    </w:p>
    <w:p w14:paraId="7FE0AFA9" w14:textId="77777777" w:rsidR="00C53166" w:rsidRPr="00C53166" w:rsidRDefault="00C53166" w:rsidP="00C53166">
      <w:pPr>
        <w:spacing w:line="259" w:lineRule="auto"/>
        <w:rPr>
          <w:rFonts w:ascii="Calibri" w:eastAsia="Calibri" w:hAnsi="Calibri" w:cs="Times New Roman"/>
          <w:b/>
          <w:bCs/>
          <w:sz w:val="32"/>
          <w:szCs w:val="32"/>
        </w:rPr>
      </w:pPr>
      <w:r w:rsidRPr="00C53166">
        <w:rPr>
          <w:rFonts w:ascii="Calibri" w:eastAsia="Calibri" w:hAnsi="Calibri" w:cs="Times New Roman"/>
          <w:b/>
          <w:bCs/>
          <w:sz w:val="32"/>
          <w:szCs w:val="32"/>
        </w:rPr>
        <w:br w:type="page"/>
      </w:r>
    </w:p>
    <w:p w14:paraId="69BFE805" w14:textId="77777777" w:rsidR="00C53166" w:rsidRPr="00C53166" w:rsidRDefault="00C53166" w:rsidP="00C53166">
      <w:pPr>
        <w:spacing w:line="259" w:lineRule="auto"/>
        <w:rPr>
          <w:rFonts w:ascii="Calibri" w:eastAsia="Calibri" w:hAnsi="Calibri" w:cs="Times New Roman"/>
          <w:b/>
          <w:bCs/>
          <w:sz w:val="32"/>
          <w:szCs w:val="32"/>
        </w:rPr>
      </w:pPr>
      <w:r w:rsidRPr="00C53166">
        <w:rPr>
          <w:rFonts w:ascii="Calibri" w:eastAsia="Calibri" w:hAnsi="Calibri" w:cs="Times New Roman"/>
          <w:b/>
          <w:bCs/>
          <w:sz w:val="32"/>
          <w:szCs w:val="32"/>
        </w:rPr>
        <w:lastRenderedPageBreak/>
        <w:t>Central Monitoring Systems</w:t>
      </w:r>
    </w:p>
    <w:p w14:paraId="0234EAF3"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The majority report has not made any recommendations on a central monitoring system (CMS), because committee members were unable to agree if it were fundamentally a good idea.  This in turn limited our ability to make much in the way of recommendations on cashless gaming, because many potential recommendations were predicated on the presence or absence of such a system.  Recommendation 3, as published in the majority report, was our best attempt at a technology-neutral consensus, but this still leaves the question of a CMS open. </w:t>
      </w:r>
    </w:p>
    <w:p w14:paraId="43262BAB"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Throughout this inquiry, the suggestion was put that implementing a CMS would bind the ACT to a future with a minimum number of machines.  Even without reference to the historic findings I identified above, this assumption was routinely dismantled by the evidence.</w:t>
      </w:r>
    </w:p>
    <w:p w14:paraId="2A660C3A"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b/>
          <w:bCs/>
          <w:sz w:val="24"/>
          <w:szCs w:val="24"/>
        </w:rPr>
        <w:t>DR PATERSON:</w:t>
      </w:r>
      <w:r w:rsidRPr="00C53166">
        <w:rPr>
          <w:rFonts w:ascii="Calibri" w:eastAsia="Calibri" w:hAnsi="Calibri" w:cs="Times New Roman"/>
          <w:sz w:val="24"/>
          <w:szCs w:val="24"/>
        </w:rPr>
        <w:t xml:space="preserve"> Ultimately, if the government did go down the path of a CMS and cashless gaming, we are potentially locking the territory into 3,500 machines indefinitely.</w:t>
      </w:r>
    </w:p>
    <w:p w14:paraId="27EFD407"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b/>
          <w:bCs/>
          <w:sz w:val="24"/>
          <w:szCs w:val="24"/>
        </w:rPr>
        <w:t>Mr Rattenbury:</w:t>
      </w:r>
      <w:r w:rsidRPr="00C53166">
        <w:rPr>
          <w:rFonts w:ascii="Calibri" w:eastAsia="Calibri" w:hAnsi="Calibri" w:cs="Times New Roman"/>
          <w:sz w:val="24"/>
          <w:szCs w:val="24"/>
        </w:rPr>
        <w:t xml:space="preserve"> No, I do not think that is the conclusion you need to draw. There is a range of ways in which you could draw up a contract. If you were to provide a centralised monitoring system, it could be for </w:t>
      </w:r>
      <w:proofErr w:type="gramStart"/>
      <w:r w:rsidRPr="00C53166">
        <w:rPr>
          <w:rFonts w:ascii="Calibri" w:eastAsia="Calibri" w:hAnsi="Calibri" w:cs="Times New Roman"/>
          <w:sz w:val="24"/>
          <w:szCs w:val="24"/>
        </w:rPr>
        <w:t>a period of time</w:t>
      </w:r>
      <w:proofErr w:type="gramEnd"/>
      <w:r w:rsidRPr="00C53166">
        <w:rPr>
          <w:rFonts w:ascii="Calibri" w:eastAsia="Calibri" w:hAnsi="Calibri" w:cs="Times New Roman"/>
          <w:sz w:val="24"/>
          <w:szCs w:val="24"/>
        </w:rPr>
        <w:t>, or it could be for a guaranteed minimum number of machines. I think there are a few different approaches that you could take.</w:t>
      </w:r>
      <w:r w:rsidRPr="00C53166">
        <w:rPr>
          <w:rFonts w:ascii="Calibri" w:eastAsia="Calibri" w:hAnsi="Calibri" w:cs="Times New Roman"/>
          <w:sz w:val="24"/>
          <w:szCs w:val="24"/>
          <w:vertAlign w:val="superscript"/>
        </w:rPr>
        <w:footnoteReference w:id="180"/>
      </w:r>
    </w:p>
    <w:p w14:paraId="36A5EAE8"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The suggestion that implementing a central monitoring system in the ACT would lock us into a future with poker machines is patently ridiculous.  We have been without one for 25 years, and yet the pokies remain entrenched in our clubs.  Despite the operation of significant revenue-diversification schemes and similar efforts, machine numbers have been relatively unchanged across the larger clubs since 2019, shortly after the implementation of machine license surrender reforms</w:t>
      </w:r>
      <w:r w:rsidRPr="00C53166">
        <w:rPr>
          <w:rFonts w:ascii="Calibri" w:eastAsia="Calibri" w:hAnsi="Calibri" w:cs="Times New Roman"/>
          <w:sz w:val="24"/>
          <w:szCs w:val="24"/>
          <w:vertAlign w:val="superscript"/>
        </w:rPr>
        <w:footnoteReference w:id="181"/>
      </w:r>
      <w:r w:rsidRPr="00C53166">
        <w:rPr>
          <w:rFonts w:ascii="Calibri" w:eastAsia="Calibri" w:hAnsi="Calibri" w:cs="Times New Roman"/>
          <w:sz w:val="24"/>
          <w:szCs w:val="24"/>
        </w:rPr>
        <w:t>.  For example, the Labor Club’s four venues continue to operate 436 machines, the same number as in mid-2019, despite the group having become a property developer and built a block of apartments in Braddon and a hotel on their Belconnen site.  Instead, it’s the smaller clubs who have done the lion’s share of reducing poker machine numbers in the intervening years.</w:t>
      </w:r>
      <w:r w:rsidRPr="00C53166">
        <w:rPr>
          <w:rFonts w:ascii="Calibri" w:eastAsia="Calibri" w:hAnsi="Calibri" w:cs="Times New Roman"/>
          <w:sz w:val="24"/>
          <w:szCs w:val="24"/>
          <w:vertAlign w:val="superscript"/>
        </w:rPr>
        <w:footnoteReference w:id="182"/>
      </w:r>
    </w:p>
    <w:p w14:paraId="1631A25F"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The gambling lobby clearly remains alive and well, very comfortable with the status quo.  </w:t>
      </w:r>
    </w:p>
    <w:p w14:paraId="092ED30F"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It’s become apparent to me that the gambling lobby has been keen to see CMS technology painted as principally a taxation tool, a regulatory compliance tool (red tape) or an anti-laundering tool because is misdirects attention away from its benefits as an anchor for harm-minimisation tools such as loss limits, and by extension curtail gambling profits more effectively than any other technology out there.  The false perception of a central </w:t>
      </w:r>
      <w:r w:rsidRPr="00C53166">
        <w:rPr>
          <w:rFonts w:ascii="Calibri" w:eastAsia="Calibri" w:hAnsi="Calibri" w:cs="Times New Roman"/>
          <w:sz w:val="24"/>
          <w:szCs w:val="24"/>
        </w:rPr>
        <w:lastRenderedPageBreak/>
        <w:t>monitoring system being in competition with harm reduction measures appears to suit the gambling lobby equally well.</w:t>
      </w:r>
    </w:p>
    <w:p w14:paraId="646390EF" w14:textId="77777777" w:rsidR="00C53166" w:rsidRPr="00C53166" w:rsidRDefault="00C53166" w:rsidP="00C53166">
      <w:pPr>
        <w:spacing w:line="259" w:lineRule="auto"/>
        <w:rPr>
          <w:rFonts w:ascii="Calibri" w:eastAsia="Calibri" w:hAnsi="Calibri" w:cs="Times New Roman"/>
          <w:sz w:val="24"/>
          <w:szCs w:val="24"/>
        </w:rPr>
      </w:pPr>
      <w:proofErr w:type="gramStart"/>
      <w:r w:rsidRPr="00C53166">
        <w:rPr>
          <w:rFonts w:ascii="Calibri" w:eastAsia="Calibri" w:hAnsi="Calibri" w:cs="Times New Roman"/>
          <w:sz w:val="24"/>
          <w:szCs w:val="24"/>
        </w:rPr>
        <w:t>In reality, these</w:t>
      </w:r>
      <w:proofErr w:type="gramEnd"/>
      <w:r w:rsidRPr="00C53166">
        <w:rPr>
          <w:rFonts w:ascii="Calibri" w:eastAsia="Calibri" w:hAnsi="Calibri" w:cs="Times New Roman"/>
          <w:sz w:val="24"/>
          <w:szCs w:val="24"/>
        </w:rPr>
        <w:t xml:space="preserve"> ideas don’t need to compete with each other.  Reducing machine numbers and minimising harm can be cooperating objectives, a point well made by Ms Carol Bennett of the Alliance for Gambling Reform:</w:t>
      </w:r>
    </w:p>
    <w:p w14:paraId="5ABBFA4A"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“I am just wondering why they are mutually exclusive, because if ever there was going to be a situation where we were not going to have poker machines in the ACT—and God forbid I cannot imagine that situation, given what I have seen with governments all around our country. The reason we are the biggest losers in the world is because we have governments that strongly support gambling in this country, well beyond any other country. </w:t>
      </w:r>
      <w:proofErr w:type="gramStart"/>
      <w:r w:rsidRPr="00C53166">
        <w:rPr>
          <w:rFonts w:ascii="Calibri" w:eastAsia="Calibri" w:hAnsi="Calibri" w:cs="Times New Roman"/>
          <w:sz w:val="24"/>
          <w:szCs w:val="24"/>
        </w:rPr>
        <w:t>So</w:t>
      </w:r>
      <w:proofErr w:type="gramEnd"/>
      <w:r w:rsidRPr="00C53166">
        <w:rPr>
          <w:rFonts w:ascii="Calibri" w:eastAsia="Calibri" w:hAnsi="Calibri" w:cs="Times New Roman"/>
          <w:sz w:val="24"/>
          <w:szCs w:val="24"/>
        </w:rPr>
        <w:t xml:space="preserve"> if that happens, that is great. But it is unlikely to—and why would it be mutually exclusive? In the meantime, we are seeing massive increases every year, year-on-year increases in losses. We are seeing enormous harms related to that. So why would we not aim for both?”</w:t>
      </w:r>
      <w:r w:rsidRPr="00C53166">
        <w:rPr>
          <w:rFonts w:ascii="Calibri" w:eastAsia="Calibri" w:hAnsi="Calibri" w:cs="Times New Roman"/>
          <w:sz w:val="24"/>
          <w:szCs w:val="24"/>
          <w:vertAlign w:val="superscript"/>
        </w:rPr>
        <w:footnoteReference w:id="183"/>
      </w:r>
    </w:p>
    <w:p w14:paraId="787DBE13"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Reducing machine numbers is simply not enough.  Absent additional, well-anchored and effective tools, gambling operators will simply find a way to consolidate their harmful practices into a smaller number of machines.</w:t>
      </w:r>
    </w:p>
    <w:p w14:paraId="0AF1CCE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To further extrapolate on Ms Bennett’s point, the biggest barrier to gambling reform is government support for the gambling industry.  By corollary, if the gambling lobby is opposing you doing something, then you are probably on the right track.  </w:t>
      </w:r>
    </w:p>
    <w:p w14:paraId="794E5FE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The gambling lobby is opposing a CMS.  They fear its potential to anchor meaningful reforms in harm-minimisation, including jurisdiction-wide loss-limits and mandatory pre-commitment tools.  But to me, unlocking the data-linking capabilities of a CMS represents one of the most exciting and promising things for harm-minimisation this century.</w:t>
      </w:r>
    </w:p>
    <w:p w14:paraId="4EC224A4"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noProof/>
          <w:sz w:val="24"/>
          <w:szCs w:val="24"/>
        </w:rPr>
        <mc:AlternateContent>
          <mc:Choice Requires="wps">
            <w:drawing>
              <wp:anchor distT="0" distB="0" distL="114300" distR="114300" simplePos="0" relativeHeight="251660288" behindDoc="0" locked="0" layoutInCell="1" allowOverlap="1" wp14:anchorId="1077A9C0" wp14:editId="59B7E0D9">
                <wp:simplePos x="0" y="0"/>
                <wp:positionH relativeFrom="margin">
                  <wp:posOffset>485775</wp:posOffset>
                </wp:positionH>
                <wp:positionV relativeFrom="paragraph">
                  <wp:posOffset>58420</wp:posOffset>
                </wp:positionV>
                <wp:extent cx="4733925" cy="1266825"/>
                <wp:effectExtent l="0" t="0" r="28575" b="28575"/>
                <wp:wrapTopAndBottom/>
                <wp:docPr id="2" name="Text Box 2"/>
                <wp:cNvGraphicFramePr/>
                <a:graphic xmlns:a="http://schemas.openxmlformats.org/drawingml/2006/main">
                  <a:graphicData uri="http://schemas.microsoft.com/office/word/2010/wordprocessingShape">
                    <wps:wsp>
                      <wps:cNvSpPr txBox="1"/>
                      <wps:spPr>
                        <a:xfrm>
                          <a:off x="0" y="0"/>
                          <a:ext cx="4733925" cy="1266825"/>
                        </a:xfrm>
                        <a:prstGeom prst="rect">
                          <a:avLst/>
                        </a:prstGeom>
                        <a:solidFill>
                          <a:sysClr val="window" lastClr="FFFFFF"/>
                        </a:solidFill>
                        <a:ln w="6350">
                          <a:solidFill>
                            <a:prstClr val="black"/>
                          </a:solidFill>
                        </a:ln>
                      </wps:spPr>
                      <wps:txbx>
                        <w:txbxContent>
                          <w:p w14:paraId="5D3AECE4" w14:textId="77777777" w:rsidR="00C53166" w:rsidRPr="000F1D4E" w:rsidRDefault="00C53166" w:rsidP="00C53166">
                            <w:pPr>
                              <w:rPr>
                                <w:b/>
                                <w:bCs/>
                                <w:sz w:val="28"/>
                                <w:szCs w:val="28"/>
                              </w:rPr>
                            </w:pPr>
                            <w:r>
                              <w:rPr>
                                <w:b/>
                                <w:bCs/>
                                <w:sz w:val="28"/>
                                <w:szCs w:val="28"/>
                              </w:rPr>
                              <w:t>Additional r</w:t>
                            </w:r>
                            <w:r w:rsidRPr="000F1D4E">
                              <w:rPr>
                                <w:b/>
                                <w:bCs/>
                                <w:sz w:val="28"/>
                                <w:szCs w:val="28"/>
                              </w:rPr>
                              <w:t xml:space="preserve">ecommendation </w:t>
                            </w:r>
                            <w:r>
                              <w:rPr>
                                <w:b/>
                                <w:bCs/>
                                <w:sz w:val="28"/>
                                <w:szCs w:val="28"/>
                              </w:rPr>
                              <w:t>2</w:t>
                            </w:r>
                            <w:r w:rsidRPr="000F1D4E">
                              <w:rPr>
                                <w:b/>
                                <w:bCs/>
                                <w:sz w:val="28"/>
                                <w:szCs w:val="28"/>
                              </w:rPr>
                              <w:t>:</w:t>
                            </w:r>
                          </w:p>
                          <w:p w14:paraId="389EC191" w14:textId="77777777" w:rsidR="00C53166" w:rsidRPr="000F1D4E" w:rsidRDefault="00C53166" w:rsidP="00C53166">
                            <w:pPr>
                              <w:rPr>
                                <w:sz w:val="24"/>
                                <w:szCs w:val="24"/>
                              </w:rPr>
                            </w:pPr>
                            <w:r w:rsidRPr="009C1567">
                              <w:rPr>
                                <w:sz w:val="24"/>
                                <w:szCs w:val="24"/>
                              </w:rPr>
                              <w:t xml:space="preserve">That the </w:t>
                            </w:r>
                            <w:r>
                              <w:rPr>
                                <w:sz w:val="24"/>
                                <w:szCs w:val="24"/>
                              </w:rPr>
                              <w:t>ACT G</w:t>
                            </w:r>
                            <w:r w:rsidRPr="009C1567">
                              <w:rPr>
                                <w:sz w:val="24"/>
                                <w:szCs w:val="24"/>
                              </w:rPr>
                              <w:t>overnment implement a Central Monitoring System of poker machines, to anchor initiatives in harm-minimisation</w:t>
                            </w:r>
                            <w:r>
                              <w:rPr>
                                <w:sz w:val="24"/>
                                <w:szCs w:val="24"/>
                              </w:rPr>
                              <w:t xml:space="preserve"> including mandatory precommitment and loss limits</w:t>
                            </w:r>
                            <w:r w:rsidRPr="009C1567">
                              <w:rPr>
                                <w:sz w:val="24"/>
                                <w:szCs w:val="24"/>
                              </w:rPr>
                              <w:t>, the prevention of money-laundering, and other effective regulation of gambling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7A9C0" id="Text Box 2" o:spid="_x0000_s1027" type="#_x0000_t202" style="position:absolute;margin-left:38.25pt;margin-top:4.6pt;width:372.75pt;height:99.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cRQgIAAJU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" fillcolor="window" strokeweight=".5pt">
                <v:textbox>
                  <w:txbxContent>
                    <w:p w14:paraId="5D3AECE4" w14:textId="77777777" w:rsidR="00C53166" w:rsidRPr="000F1D4E" w:rsidRDefault="00C53166" w:rsidP="00C53166">
                      <w:pPr>
                        <w:rPr>
                          <w:b/>
                          <w:bCs/>
                          <w:sz w:val="28"/>
                          <w:szCs w:val="28"/>
                        </w:rPr>
                      </w:pPr>
                      <w:r>
                        <w:rPr>
                          <w:b/>
                          <w:bCs/>
                          <w:sz w:val="28"/>
                          <w:szCs w:val="28"/>
                        </w:rPr>
                        <w:t>Additional r</w:t>
                      </w:r>
                      <w:r w:rsidRPr="000F1D4E">
                        <w:rPr>
                          <w:b/>
                          <w:bCs/>
                          <w:sz w:val="28"/>
                          <w:szCs w:val="28"/>
                        </w:rPr>
                        <w:t xml:space="preserve">ecommendation </w:t>
                      </w:r>
                      <w:r>
                        <w:rPr>
                          <w:b/>
                          <w:bCs/>
                          <w:sz w:val="28"/>
                          <w:szCs w:val="28"/>
                        </w:rPr>
                        <w:t>2</w:t>
                      </w:r>
                      <w:r w:rsidRPr="000F1D4E">
                        <w:rPr>
                          <w:b/>
                          <w:bCs/>
                          <w:sz w:val="28"/>
                          <w:szCs w:val="28"/>
                        </w:rPr>
                        <w:t>:</w:t>
                      </w:r>
                    </w:p>
                    <w:p w14:paraId="389EC191" w14:textId="77777777" w:rsidR="00C53166" w:rsidRPr="000F1D4E" w:rsidRDefault="00C53166" w:rsidP="00C53166">
                      <w:pPr>
                        <w:rPr>
                          <w:sz w:val="24"/>
                          <w:szCs w:val="24"/>
                        </w:rPr>
                      </w:pPr>
                      <w:r w:rsidRPr="009C1567">
                        <w:rPr>
                          <w:sz w:val="24"/>
                          <w:szCs w:val="24"/>
                        </w:rPr>
                        <w:t xml:space="preserve">That the </w:t>
                      </w:r>
                      <w:r>
                        <w:rPr>
                          <w:sz w:val="24"/>
                          <w:szCs w:val="24"/>
                        </w:rPr>
                        <w:t>ACT G</w:t>
                      </w:r>
                      <w:r w:rsidRPr="009C1567">
                        <w:rPr>
                          <w:sz w:val="24"/>
                          <w:szCs w:val="24"/>
                        </w:rPr>
                        <w:t>overnment implement a Central Monitoring System of poker machines, to anchor initiatives in harm-minimisation</w:t>
                      </w:r>
                      <w:r>
                        <w:rPr>
                          <w:sz w:val="24"/>
                          <w:szCs w:val="24"/>
                        </w:rPr>
                        <w:t xml:space="preserve"> including mandatory precommitment and loss limits</w:t>
                      </w:r>
                      <w:r w:rsidRPr="009C1567">
                        <w:rPr>
                          <w:sz w:val="24"/>
                          <w:szCs w:val="24"/>
                        </w:rPr>
                        <w:t>, the prevention of money-laundering, and other effective regulation of gambling operations.</w:t>
                      </w:r>
                    </w:p>
                  </w:txbxContent>
                </v:textbox>
                <w10:wrap type="topAndBottom" anchorx="margin"/>
              </v:shape>
            </w:pict>
          </mc:Fallback>
        </mc:AlternateContent>
      </w:r>
    </w:p>
    <w:p w14:paraId="09048E02" w14:textId="77777777" w:rsidR="00C53166" w:rsidRPr="00C53166" w:rsidRDefault="00C53166" w:rsidP="00C53166">
      <w:pPr>
        <w:spacing w:line="259" w:lineRule="auto"/>
        <w:rPr>
          <w:rFonts w:ascii="Calibri" w:eastAsia="Calibri" w:hAnsi="Calibri" w:cs="Times New Roman"/>
          <w:b/>
          <w:bCs/>
          <w:sz w:val="28"/>
          <w:szCs w:val="28"/>
        </w:rPr>
      </w:pPr>
      <w:r w:rsidRPr="00C53166">
        <w:rPr>
          <w:rFonts w:ascii="Calibri" w:eastAsia="Calibri" w:hAnsi="Calibri" w:cs="Times New Roman"/>
          <w:b/>
          <w:bCs/>
          <w:sz w:val="28"/>
          <w:szCs w:val="28"/>
        </w:rPr>
        <w:t>Facial Recognition Technology</w:t>
      </w:r>
    </w:p>
    <w:p w14:paraId="0EC8A1D2"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It is extremely tempting to presume artificial intelligence will be the solution to </w:t>
      </w:r>
      <w:proofErr w:type="gramStart"/>
      <w:r w:rsidRPr="00C53166">
        <w:rPr>
          <w:rFonts w:ascii="Calibri" w:eastAsia="Calibri" w:hAnsi="Calibri" w:cs="Times New Roman"/>
          <w:sz w:val="24"/>
          <w:szCs w:val="24"/>
        </w:rPr>
        <w:t>all of</w:t>
      </w:r>
      <w:proofErr w:type="gramEnd"/>
      <w:r w:rsidRPr="00C53166">
        <w:rPr>
          <w:rFonts w:ascii="Calibri" w:eastAsia="Calibri" w:hAnsi="Calibri" w:cs="Times New Roman"/>
          <w:sz w:val="24"/>
          <w:szCs w:val="24"/>
        </w:rPr>
        <w:t xml:space="preserve"> our problems.  However, one person’s opportunity can be another person’s tragedy.</w:t>
      </w:r>
    </w:p>
    <w:p w14:paraId="41F4A684"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Facial recognition technology has been evolving over the last decade.  If we were talking about the technology of the early-2000s, we’d be having a different kind of conversation.  Modern applications are integrated with machine learning and artificial intelligence tools to </w:t>
      </w:r>
      <w:r w:rsidRPr="00C53166">
        <w:rPr>
          <w:rFonts w:ascii="Calibri" w:eastAsia="Calibri" w:hAnsi="Calibri" w:cs="Times New Roman"/>
          <w:sz w:val="24"/>
          <w:szCs w:val="24"/>
        </w:rPr>
        <w:lastRenderedPageBreak/>
        <w:t>identify individuals, track movements and patterns of behaviour, and importantly, predict future behaviour.  This is a field with highly complex human rights implications, which regulations are struggling to keep up with.</w:t>
      </w:r>
    </w:p>
    <w:p w14:paraId="61A4FCC1"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We know that the Standing Council of Attorneys-General are closely examining a national approach to regulating the use of biometrics and related technologies, including facial recognition.</w:t>
      </w:r>
      <w:r w:rsidRPr="00C53166">
        <w:rPr>
          <w:rFonts w:ascii="Calibri" w:eastAsia="Calibri" w:hAnsi="Calibri" w:cs="Times New Roman"/>
          <w:sz w:val="24"/>
          <w:szCs w:val="24"/>
          <w:vertAlign w:val="superscript"/>
        </w:rPr>
        <w:footnoteReference w:id="184"/>
      </w:r>
      <w:r w:rsidRPr="00C53166">
        <w:rPr>
          <w:rFonts w:ascii="Calibri" w:eastAsia="Calibri" w:hAnsi="Calibri" w:cs="Times New Roman"/>
          <w:sz w:val="24"/>
          <w:szCs w:val="24"/>
        </w:rPr>
        <w:t xml:space="preserve">  This is important work, but it will take some time.</w:t>
      </w:r>
    </w:p>
    <w:p w14:paraId="11815A0C" w14:textId="77777777" w:rsidR="00C53166" w:rsidRPr="00C53166" w:rsidRDefault="00C53166" w:rsidP="00C53166">
      <w:pPr>
        <w:spacing w:line="259" w:lineRule="auto"/>
        <w:rPr>
          <w:rFonts w:ascii="Calibri" w:eastAsia="Calibri" w:hAnsi="Calibri" w:cs="Times New Roman"/>
          <w:sz w:val="24"/>
          <w:szCs w:val="24"/>
        </w:rPr>
      </w:pPr>
      <w:proofErr w:type="gramStart"/>
      <w:r w:rsidRPr="00C53166">
        <w:rPr>
          <w:rFonts w:ascii="Calibri" w:eastAsia="Calibri" w:hAnsi="Calibri" w:cs="Times New Roman"/>
          <w:sz w:val="24"/>
          <w:szCs w:val="24"/>
        </w:rPr>
        <w:t>Subsequent to</w:t>
      </w:r>
      <w:proofErr w:type="gramEnd"/>
      <w:r w:rsidRPr="00C53166">
        <w:rPr>
          <w:rFonts w:ascii="Calibri" w:eastAsia="Calibri" w:hAnsi="Calibri" w:cs="Times New Roman"/>
          <w:sz w:val="24"/>
          <w:szCs w:val="24"/>
        </w:rPr>
        <w:t xml:space="preserve"> the hearings in this inquiry, news broke of a data breach impacting identification data held on behalf of licensed venues in NSW, including two venues in the ACT.</w:t>
      </w:r>
      <w:r w:rsidRPr="00C53166">
        <w:rPr>
          <w:rFonts w:ascii="Calibri" w:eastAsia="Calibri" w:hAnsi="Calibri" w:cs="Times New Roman"/>
          <w:sz w:val="24"/>
          <w:szCs w:val="24"/>
          <w:vertAlign w:val="superscript"/>
        </w:rPr>
        <w:footnoteReference w:id="185"/>
      </w:r>
      <w:r w:rsidRPr="00C53166">
        <w:rPr>
          <w:rFonts w:ascii="Calibri" w:eastAsia="Calibri" w:hAnsi="Calibri" w:cs="Times New Roman"/>
          <w:sz w:val="24"/>
          <w:szCs w:val="24"/>
        </w:rPr>
        <w:t xml:space="preserve">  While the ACT venues in question had ceased use of the technology provider, and the implications were therefore limited for Canberrans, it was a stark reminder of how readily sensitive information can enter the black market.  In an email to individual members of the Committee from ACTCOSS, Mr Devin Bowles was keen to point out that much of the risk to Canberrans was limited because the data involved in the breach did not involve biometric data.  </w:t>
      </w:r>
    </w:p>
    <w:p w14:paraId="2A684159"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Government efforts to reduce gambling harm should stay well away from facial recognition technology. Should the Government rely on or endorse such a system, then when the next data breach occurs and people’s immutable biometric data is stolen, the finger of blame will no doubt include both the gambling venues themselves and the governments which promoted such a scheme.</w:t>
      </w:r>
      <w:r w:rsidRPr="00C53166">
        <w:rPr>
          <w:rFonts w:ascii="Calibri" w:eastAsia="Calibri" w:hAnsi="Calibri" w:cs="Times New Roman"/>
          <w:sz w:val="24"/>
          <w:szCs w:val="24"/>
          <w:vertAlign w:val="superscript"/>
        </w:rPr>
        <w:footnoteReference w:id="186"/>
      </w:r>
    </w:p>
    <w:p w14:paraId="7C9FB5A4"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Where the impact of an ID data breach can be somewhat ameliorated by replacing someone’s government-issued ID, biometric data such as facial recognition data or behavioural analysis cannot simply be replaced or changed.</w:t>
      </w:r>
    </w:p>
    <w:p w14:paraId="16084B44"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Dr Paterson also brought to the Committee’s attention an academic paper which cast doubt on the effectiveness of the South Australian trial using facial recognition technology.  It concluded that “the gambling sector needs to pay close attention to the practical outcomes arising from initial cases such as this, and resist industry pressures for the wider replication of this technology in other jurisdictions.”</w:t>
      </w:r>
      <w:r w:rsidRPr="00C53166">
        <w:rPr>
          <w:rFonts w:ascii="Calibri" w:eastAsia="Calibri" w:hAnsi="Calibri" w:cs="Times New Roman"/>
          <w:sz w:val="24"/>
          <w:szCs w:val="24"/>
          <w:vertAlign w:val="superscript"/>
        </w:rPr>
        <w:footnoteReference w:id="187"/>
      </w:r>
    </w:p>
    <w:p w14:paraId="573C3EC0"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We are operating in an economy where the competitive frontier is in data-driven marketing tools.  In an answer to a question taken on notice, ACTCOSS referred the committee to international evidence that facial recognition technology can be used to increase customer losses and time spent using poker machines – the very opposite of what our regulatory system is trying to achieve:</w:t>
      </w:r>
    </w:p>
    <w:p w14:paraId="3D403DCB" w14:textId="77777777" w:rsidR="00C53166" w:rsidRPr="00C53166" w:rsidRDefault="00C53166" w:rsidP="00C53166">
      <w:pPr>
        <w:spacing w:line="259" w:lineRule="auto"/>
        <w:ind w:left="720"/>
        <w:rPr>
          <w:rFonts w:ascii="Calibri" w:eastAsia="Calibri" w:hAnsi="Calibri" w:cs="Times New Roman"/>
          <w:sz w:val="24"/>
          <w:szCs w:val="24"/>
        </w:rPr>
      </w:pPr>
      <w:r w:rsidRPr="00C53166">
        <w:rPr>
          <w:rFonts w:ascii="Calibri" w:eastAsia="Calibri" w:hAnsi="Calibri" w:cs="Times New Roman"/>
          <w:sz w:val="24"/>
          <w:szCs w:val="24"/>
        </w:rPr>
        <w:t xml:space="preserve">There is an abundance of industry trade papers and promotional materials for facial recognition technology that makes clear the marketing and profit maximisation </w:t>
      </w:r>
      <w:r w:rsidRPr="00C53166">
        <w:rPr>
          <w:rFonts w:ascii="Calibri" w:eastAsia="Calibri" w:hAnsi="Calibri" w:cs="Times New Roman"/>
          <w:sz w:val="24"/>
          <w:szCs w:val="24"/>
        </w:rPr>
        <w:lastRenderedPageBreak/>
        <w:t>benefits such technology offers for casino and other gambling venues.  For example, in a 2020 article in the US based Global Gaming Business Magazine, facial recognition technology is extolled for its potential to facilitate marketing and player incentives and thereby maximise the volume and frequency of gambling by casino customers.</w:t>
      </w:r>
      <w:r w:rsidRPr="00C53166">
        <w:rPr>
          <w:rFonts w:ascii="Calibri" w:eastAsia="Calibri" w:hAnsi="Calibri" w:cs="Times New Roman"/>
          <w:sz w:val="24"/>
          <w:szCs w:val="24"/>
          <w:vertAlign w:val="superscript"/>
        </w:rPr>
        <w:footnoteReference w:id="188"/>
      </w:r>
    </w:p>
    <w:p w14:paraId="648F59C1"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We would be naïve to presume that Australia’s poker machine operators are ignorant to these so-called opportunities.  In the spirit of caution extolled in recommendation 25 of the 1999 inquiry, we should be curtailing our enthusiasm for this technology’s introduction into a harm-prone environment.</w:t>
      </w:r>
    </w:p>
    <w:p w14:paraId="6A73261D"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noProof/>
          <w:sz w:val="24"/>
          <w:szCs w:val="24"/>
        </w:rPr>
        <mc:AlternateContent>
          <mc:Choice Requires="wps">
            <w:drawing>
              <wp:anchor distT="0" distB="0" distL="114300" distR="114300" simplePos="0" relativeHeight="251661312" behindDoc="0" locked="0" layoutInCell="1" allowOverlap="1" wp14:anchorId="7E39C436" wp14:editId="09295497">
                <wp:simplePos x="0" y="0"/>
                <wp:positionH relativeFrom="margin">
                  <wp:posOffset>494030</wp:posOffset>
                </wp:positionH>
                <wp:positionV relativeFrom="paragraph">
                  <wp:posOffset>142240</wp:posOffset>
                </wp:positionV>
                <wp:extent cx="4733925" cy="1276350"/>
                <wp:effectExtent l="0" t="0" r="28575" b="19050"/>
                <wp:wrapTopAndBottom/>
                <wp:docPr id="5" name="Text Box 5"/>
                <wp:cNvGraphicFramePr/>
                <a:graphic xmlns:a="http://schemas.openxmlformats.org/drawingml/2006/main">
                  <a:graphicData uri="http://schemas.microsoft.com/office/word/2010/wordprocessingShape">
                    <wps:wsp>
                      <wps:cNvSpPr txBox="1"/>
                      <wps:spPr>
                        <a:xfrm>
                          <a:off x="0" y="0"/>
                          <a:ext cx="4733925" cy="1276350"/>
                        </a:xfrm>
                        <a:prstGeom prst="rect">
                          <a:avLst/>
                        </a:prstGeom>
                        <a:solidFill>
                          <a:sysClr val="window" lastClr="FFFFFF"/>
                        </a:solidFill>
                        <a:ln w="6350">
                          <a:solidFill>
                            <a:prstClr val="black"/>
                          </a:solidFill>
                        </a:ln>
                      </wps:spPr>
                      <wps:txbx>
                        <w:txbxContent>
                          <w:p w14:paraId="3D74B03E" w14:textId="77777777" w:rsidR="00C53166" w:rsidRPr="000F1D4E" w:rsidRDefault="00C53166" w:rsidP="00C53166">
                            <w:pPr>
                              <w:rPr>
                                <w:b/>
                                <w:bCs/>
                                <w:sz w:val="28"/>
                                <w:szCs w:val="28"/>
                              </w:rPr>
                            </w:pPr>
                            <w:r>
                              <w:rPr>
                                <w:b/>
                                <w:bCs/>
                                <w:sz w:val="28"/>
                                <w:szCs w:val="28"/>
                              </w:rPr>
                              <w:t>Additional r</w:t>
                            </w:r>
                            <w:r w:rsidRPr="000F1D4E">
                              <w:rPr>
                                <w:b/>
                                <w:bCs/>
                                <w:sz w:val="28"/>
                                <w:szCs w:val="28"/>
                              </w:rPr>
                              <w:t xml:space="preserve">ecommendation </w:t>
                            </w:r>
                            <w:r>
                              <w:rPr>
                                <w:b/>
                                <w:bCs/>
                                <w:sz w:val="28"/>
                                <w:szCs w:val="28"/>
                              </w:rPr>
                              <w:t>3</w:t>
                            </w:r>
                            <w:r w:rsidRPr="000F1D4E">
                              <w:rPr>
                                <w:b/>
                                <w:bCs/>
                                <w:sz w:val="28"/>
                                <w:szCs w:val="28"/>
                              </w:rPr>
                              <w:t>:</w:t>
                            </w:r>
                          </w:p>
                          <w:p w14:paraId="409A08D3" w14:textId="77777777" w:rsidR="00C53166" w:rsidRPr="000F1D4E" w:rsidRDefault="00C53166" w:rsidP="00C53166">
                            <w:pPr>
                              <w:rPr>
                                <w:sz w:val="24"/>
                                <w:szCs w:val="24"/>
                              </w:rPr>
                            </w:pPr>
                            <w:r w:rsidRPr="008C4756">
                              <w:rPr>
                                <w:sz w:val="24"/>
                                <w:szCs w:val="24"/>
                              </w:rPr>
                              <w:t>That the ACT Government place a moratorium on the use of facial recognition technology in licensed venues, until such time as the Commonwealth and/or Territory can introduce human rights-consistent regulations governing the use of this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9C436" id="Text Box 5" o:spid="_x0000_s1028" type="#_x0000_t202" style="position:absolute;margin-left:38.9pt;margin-top:11.2pt;width:372.75pt;height:10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" fillcolor="window" strokeweight=".5pt">
                <v:textbox>
                  <w:txbxContent>
                    <w:p w14:paraId="3D74B03E" w14:textId="77777777" w:rsidR="00C53166" w:rsidRPr="000F1D4E" w:rsidRDefault="00C53166" w:rsidP="00C53166">
                      <w:pPr>
                        <w:rPr>
                          <w:b/>
                          <w:bCs/>
                          <w:sz w:val="28"/>
                          <w:szCs w:val="28"/>
                        </w:rPr>
                      </w:pPr>
                      <w:r>
                        <w:rPr>
                          <w:b/>
                          <w:bCs/>
                          <w:sz w:val="28"/>
                          <w:szCs w:val="28"/>
                        </w:rPr>
                        <w:t>Additional r</w:t>
                      </w:r>
                      <w:r w:rsidRPr="000F1D4E">
                        <w:rPr>
                          <w:b/>
                          <w:bCs/>
                          <w:sz w:val="28"/>
                          <w:szCs w:val="28"/>
                        </w:rPr>
                        <w:t xml:space="preserve">ecommendation </w:t>
                      </w:r>
                      <w:r>
                        <w:rPr>
                          <w:b/>
                          <w:bCs/>
                          <w:sz w:val="28"/>
                          <w:szCs w:val="28"/>
                        </w:rPr>
                        <w:t>3</w:t>
                      </w:r>
                      <w:r w:rsidRPr="000F1D4E">
                        <w:rPr>
                          <w:b/>
                          <w:bCs/>
                          <w:sz w:val="28"/>
                          <w:szCs w:val="28"/>
                        </w:rPr>
                        <w:t>:</w:t>
                      </w:r>
                    </w:p>
                    <w:p w14:paraId="409A08D3" w14:textId="77777777" w:rsidR="00C53166" w:rsidRPr="000F1D4E" w:rsidRDefault="00C53166" w:rsidP="00C53166">
                      <w:pPr>
                        <w:rPr>
                          <w:sz w:val="24"/>
                          <w:szCs w:val="24"/>
                        </w:rPr>
                      </w:pPr>
                      <w:r w:rsidRPr="008C4756">
                        <w:rPr>
                          <w:sz w:val="24"/>
                          <w:szCs w:val="24"/>
                        </w:rPr>
                        <w:t>That the ACT Government place a moratorium on the use of facial recognition technology in licensed venues, until such time as the Commonwealth and/or Territory can introduce human rights-consistent regulations governing the use of this technology.</w:t>
                      </w:r>
                    </w:p>
                  </w:txbxContent>
                </v:textbox>
                <w10:wrap type="topAndBottom" anchorx="margin"/>
              </v:shape>
            </w:pict>
          </mc:Fallback>
        </mc:AlternateContent>
      </w:r>
    </w:p>
    <w:p w14:paraId="5E8A210B"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It therefore follows that, because facial recognition is not a quick fix for individual venues, having carded account-based systems underpinned by a CMS become </w:t>
      </w:r>
      <w:proofErr w:type="gramStart"/>
      <w:r w:rsidRPr="00C53166">
        <w:rPr>
          <w:rFonts w:ascii="Calibri" w:eastAsia="Calibri" w:hAnsi="Calibri" w:cs="Times New Roman"/>
          <w:sz w:val="24"/>
          <w:szCs w:val="24"/>
        </w:rPr>
        <w:t>all the more</w:t>
      </w:r>
      <w:proofErr w:type="gramEnd"/>
      <w:r w:rsidRPr="00C53166">
        <w:rPr>
          <w:rFonts w:ascii="Calibri" w:eastAsia="Calibri" w:hAnsi="Calibri" w:cs="Times New Roman"/>
          <w:sz w:val="24"/>
          <w:szCs w:val="24"/>
        </w:rPr>
        <w:t xml:space="preserve"> pertinent.</w:t>
      </w:r>
    </w:p>
    <w:p w14:paraId="74227C28" w14:textId="77777777" w:rsidR="00C53166" w:rsidRPr="00C53166" w:rsidRDefault="00C53166" w:rsidP="00C53166">
      <w:pPr>
        <w:spacing w:line="259" w:lineRule="auto"/>
        <w:rPr>
          <w:rFonts w:ascii="Calibri" w:eastAsia="Calibri" w:hAnsi="Calibri" w:cs="Times New Roman"/>
          <w:b/>
          <w:bCs/>
          <w:sz w:val="24"/>
          <w:szCs w:val="24"/>
        </w:rPr>
      </w:pPr>
      <w:r w:rsidRPr="00C53166">
        <w:rPr>
          <w:rFonts w:ascii="Calibri" w:eastAsia="Calibri" w:hAnsi="Calibri" w:cs="Times New Roman"/>
          <w:b/>
          <w:bCs/>
          <w:sz w:val="28"/>
          <w:szCs w:val="28"/>
        </w:rPr>
        <w:t>Final remarks</w:t>
      </w:r>
    </w:p>
    <w:p w14:paraId="6A021093"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I want to thank my fellow committee members.  While there have been plenty of disagreements throughout this inquiry, they have been on matters of substance and preferred approaches.  Both Mr Cain and Dr Paterson came to this inquiry with a love of our community organisations and a desire to see meaningful reform.</w:t>
      </w:r>
    </w:p>
    <w:p w14:paraId="6C42D5F4"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Where things have fallen apart is on the conclusions, and the interference of vested gambling interests in how we reach our conclusions.  This has been, in my view, the source of our division.  We have been goaded into thinking that only one tool can be picked up to the exclusion of the other.  We have been encouraged to be fearful of the cost of implementing change, without regard to the even bigger costs brought by the status quo.</w:t>
      </w:r>
    </w:p>
    <w:p w14:paraId="5B16E9D3"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We need to be mindful of who and what the obstruction of change is: the vested interests of the gambling lobby, who have their hooks throughout the institutions and old parties of government.  The concept of “community clubs” being entrenched in Canberra’s culture is one pertinent example of this.  Another is the Labor party’s historic reliance on pokies assets, which has both empowered it and made it wilfully averse to any reforms which might undermine its wealth.  But this </w:t>
      </w:r>
      <w:r w:rsidRPr="00C53166">
        <w:rPr>
          <w:rFonts w:ascii="Calibri" w:eastAsia="Calibri" w:hAnsi="Calibri" w:cs="Times New Roman"/>
          <w:sz w:val="24"/>
          <w:szCs w:val="24"/>
          <w:u w:val="single"/>
        </w:rPr>
        <w:t>can</w:t>
      </w:r>
      <w:r w:rsidRPr="00C53166">
        <w:rPr>
          <w:rFonts w:ascii="Calibri" w:eastAsia="Calibri" w:hAnsi="Calibri" w:cs="Times New Roman"/>
          <w:sz w:val="24"/>
          <w:szCs w:val="24"/>
        </w:rPr>
        <w:t xml:space="preserve"> change.  </w:t>
      </w:r>
    </w:p>
    <w:p w14:paraId="19152AFB"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lastRenderedPageBreak/>
        <w:t>As has been reported by the Canberra Times, the Attorney General in September 2023 took to cabinet a fully costed proposal for a universal player card developed by the Justice and Community Safety Directorate.</w:t>
      </w:r>
      <w:r w:rsidRPr="00C53166">
        <w:rPr>
          <w:rFonts w:ascii="Calibri" w:eastAsia="Calibri" w:hAnsi="Calibri" w:cs="Times New Roman"/>
          <w:sz w:val="24"/>
          <w:szCs w:val="24"/>
          <w:vertAlign w:val="superscript"/>
        </w:rPr>
        <w:footnoteReference w:id="189"/>
      </w:r>
      <w:r w:rsidRPr="00C53166">
        <w:rPr>
          <w:rFonts w:ascii="Calibri" w:eastAsia="Calibri" w:hAnsi="Calibri" w:cs="Times New Roman"/>
          <w:sz w:val="24"/>
          <w:szCs w:val="24"/>
        </w:rPr>
        <w:t xml:space="preserve">  All Labor needs to do is say ‘yes’.</w:t>
      </w:r>
    </w:p>
    <w:p w14:paraId="5C1EA52A"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 xml:space="preserve">We need to keep our eye on the true end </w:t>
      </w:r>
      <w:proofErr w:type="gramStart"/>
      <w:r w:rsidRPr="00C53166">
        <w:rPr>
          <w:rFonts w:ascii="Calibri" w:eastAsia="Calibri" w:hAnsi="Calibri" w:cs="Times New Roman"/>
          <w:sz w:val="24"/>
          <w:szCs w:val="24"/>
        </w:rPr>
        <w:t>goal, and</w:t>
      </w:r>
      <w:proofErr w:type="gramEnd"/>
      <w:r w:rsidRPr="00C53166">
        <w:rPr>
          <w:rFonts w:ascii="Calibri" w:eastAsia="Calibri" w:hAnsi="Calibri" w:cs="Times New Roman"/>
          <w:sz w:val="24"/>
          <w:szCs w:val="24"/>
        </w:rPr>
        <w:t xml:space="preserve"> keep moving towards it.</w:t>
      </w:r>
    </w:p>
    <w:p w14:paraId="1EB32F20" w14:textId="77777777" w:rsidR="00C53166" w:rsidRPr="00C53166" w:rsidRDefault="00C53166" w:rsidP="00C53166">
      <w:pPr>
        <w:spacing w:line="259" w:lineRule="auto"/>
        <w:rPr>
          <w:rFonts w:ascii="Calibri" w:eastAsia="Calibri" w:hAnsi="Calibri" w:cs="Times New Roman"/>
          <w:sz w:val="24"/>
          <w:szCs w:val="24"/>
        </w:rPr>
      </w:pPr>
    </w:p>
    <w:p w14:paraId="5B23A38F" w14:textId="7C229845" w:rsidR="00C53166" w:rsidRPr="00C53166" w:rsidRDefault="00C53166" w:rsidP="00C53166">
      <w:pPr>
        <w:spacing w:line="259" w:lineRule="auto"/>
        <w:rPr>
          <w:rFonts w:ascii="Calibri" w:eastAsia="Calibri" w:hAnsi="Calibri" w:cs="Times New Roman"/>
          <w:sz w:val="24"/>
          <w:szCs w:val="24"/>
        </w:rPr>
      </w:pPr>
    </w:p>
    <w:p w14:paraId="014682FD" w14:textId="7C203F20" w:rsidR="00C53166" w:rsidRPr="00C53166" w:rsidRDefault="00C53166" w:rsidP="00C53166">
      <w:pPr>
        <w:spacing w:line="259" w:lineRule="auto"/>
        <w:rPr>
          <w:rFonts w:ascii="Calibri" w:eastAsia="Calibri" w:hAnsi="Calibri" w:cs="Times New Roman"/>
          <w:sz w:val="24"/>
          <w:szCs w:val="24"/>
        </w:rPr>
      </w:pPr>
    </w:p>
    <w:p w14:paraId="091BD5D1" w14:textId="77777777" w:rsidR="00C53166" w:rsidRPr="00C53166" w:rsidRDefault="00C53166" w:rsidP="00C53166">
      <w:pPr>
        <w:spacing w:line="259" w:lineRule="auto"/>
        <w:rPr>
          <w:rFonts w:ascii="Calibri" w:eastAsia="Calibri" w:hAnsi="Calibri" w:cs="Times New Roman"/>
          <w:sz w:val="24"/>
          <w:szCs w:val="24"/>
        </w:rPr>
      </w:pPr>
    </w:p>
    <w:p w14:paraId="0BE6655B"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Andrew Braddock MLA</w:t>
      </w:r>
    </w:p>
    <w:p w14:paraId="20CB1C67" w14:textId="77777777" w:rsidR="00C53166" w:rsidRPr="00C53166" w:rsidRDefault="00C53166" w:rsidP="00C53166">
      <w:pPr>
        <w:spacing w:line="259" w:lineRule="auto"/>
        <w:rPr>
          <w:rFonts w:ascii="Calibri" w:eastAsia="Calibri" w:hAnsi="Calibri" w:cs="Times New Roman"/>
          <w:sz w:val="24"/>
          <w:szCs w:val="24"/>
        </w:rPr>
      </w:pPr>
      <w:r w:rsidRPr="00C53166">
        <w:rPr>
          <w:rFonts w:ascii="Calibri" w:eastAsia="Calibri" w:hAnsi="Calibri" w:cs="Times New Roman"/>
          <w:sz w:val="24"/>
          <w:szCs w:val="24"/>
        </w:rPr>
        <w:t>21/6/24</w:t>
      </w:r>
    </w:p>
    <w:p w14:paraId="4A3EF9AB" w14:textId="77777777" w:rsidR="00065581" w:rsidRPr="00065581" w:rsidRDefault="00065581" w:rsidP="00065581"/>
    <w:sectPr w:rsidR="00065581" w:rsidRPr="00065581"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12EF78-BC80-4D61-B9A5-6C3ACF61CAD5}"/>
    <w:embedBold r:id="rId2" w:fontKey="{8AB8457D-BD0A-4E23-ADC3-E45AEA5A5145}"/>
    <w:embedItalic r:id="rId3" w:fontKey="{A521CFB4-AA28-4535-AB4B-9118AA4F6620}"/>
    <w:embedBoldItalic r:id="rId4" w:fontKey="{923A67D7-EEF2-4579-B3EA-47BAFF5B33D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5C17D8F4-BBCD-4B6F-BA24-1502DC787E25}"/>
    <w:embedBold r:id="rId6" w:fontKey="{BCCDAB8D-13A9-4AD1-A06B-9AD4195F2599}"/>
  </w:font>
  <w:font w:name="Montserrat">
    <w:panose1 w:val="00000500000000000000"/>
    <w:charset w:val="00"/>
    <w:family w:val="auto"/>
    <w:pitch w:val="variable"/>
    <w:sig w:usb0="2000020F" w:usb1="00000003" w:usb2="00000000" w:usb3="00000000" w:csb0="00000197" w:csb1="00000000"/>
    <w:embedRegular r:id="rId7" w:fontKey="{E5FA6982-2C8F-4579-9246-0E75F0E08BCD}"/>
    <w:embedBold r:id="rId8" w:fontKey="{97D7CA82-688B-4D75-B202-92E542F9F8E6}"/>
  </w:font>
  <w:font w:name="Arial">
    <w:panose1 w:val="020B0604020202020204"/>
    <w:charset w:val="00"/>
    <w:family w:val="swiss"/>
    <w:pitch w:val="variable"/>
    <w:sig w:usb0="E0002EFF" w:usb1="C000785B"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embedRegular r:id="rId9" w:subsetted="1" w:fontKey="{3BD91660-2C4A-40CC-8688-2ABB9B4EBA44}"/>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8C2F0E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E4A95">
      <w:rPr>
        <w:rFonts w:ascii="Montserrat SemiBold" w:hAnsi="Montserrat SemiBold" w:cstheme="majorHAnsi"/>
        <w:b/>
        <w:bCs/>
        <w:noProof/>
        <w:color w:val="2F5496"/>
        <w:w w:val="90"/>
        <w:sz w:val="18"/>
        <w:szCs w:val="18"/>
        <w:lang w:val="en-US"/>
      </w:rPr>
      <w:t>Error! No text of specified style in document.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595AD8E"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94622">
      <w:rPr>
        <w:rFonts w:cstheme="minorHAnsi"/>
        <w:noProof/>
        <w:color w:val="404040" w:themeColor="text1" w:themeTint="BF"/>
      </w:rPr>
      <w:t>Standing Committee on Justice and Community Safety</w:t>
    </w:r>
    <w:r w:rsidR="00494622">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7E39942" w:rsidR="00836FFE" w:rsidRPr="00AB4252" w:rsidRDefault="00AB425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AB4252">
          <w:rPr>
            <w:rFonts w:cstheme="minorHAnsi"/>
            <w:color w:val="404040" w:themeColor="text1" w:themeTint="BF"/>
          </w:rPr>
          <w:t>Approved for publication</w:t>
        </w:r>
      </w:p>
    </w:sdtContent>
  </w:sdt>
  <w:p w14:paraId="602D822B" w14:textId="1B7D7A30" w:rsidR="00836FFE" w:rsidRPr="00AB4252" w:rsidRDefault="00836FFE" w:rsidP="00F101AB">
    <w:pPr>
      <w:pStyle w:val="Footer"/>
      <w:tabs>
        <w:tab w:val="clear" w:pos="4513"/>
        <w:tab w:val="clear" w:pos="9026"/>
      </w:tabs>
      <w:rPr>
        <w:rFonts w:cstheme="minorHAnsi"/>
        <w:color w:val="404040" w:themeColor="text1" w:themeTint="BF"/>
      </w:rPr>
    </w:pPr>
  </w:p>
  <w:p w14:paraId="3E01CA39" w14:textId="6BED91E7" w:rsidR="00CD05B9" w:rsidRDefault="00CD05B9" w:rsidP="00F101AB">
    <w:pPr>
      <w:pStyle w:val="Footer"/>
      <w:tabs>
        <w:tab w:val="clear" w:pos="4513"/>
        <w:tab w:val="clear" w:pos="9026"/>
      </w:tabs>
      <w:rPr>
        <w:rFonts w:cstheme="minorHAnsi"/>
        <w:color w:val="404040" w:themeColor="text1" w:themeTint="BF"/>
      </w:rPr>
    </w:pPr>
    <w:r w:rsidRPr="00AB4252">
      <w:rPr>
        <w:rFonts w:cstheme="minorHAnsi"/>
        <w:color w:val="404040" w:themeColor="text1" w:themeTint="BF"/>
      </w:rPr>
      <w:t>Report</w:t>
    </w:r>
    <w:r w:rsidR="00AB4252" w:rsidRPr="00AB4252">
      <w:rPr>
        <w:rFonts w:cstheme="minorHAnsi"/>
        <w:color w:val="404040" w:themeColor="text1" w:themeTint="BF"/>
      </w:rPr>
      <w:t xml:space="preserve"> 29</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66EB59F3" w:rsidR="00836FFE" w:rsidRPr="00C8358A" w:rsidRDefault="00494622"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B4252">
          <w:rPr>
            <w:rFonts w:cstheme="minorHAnsi"/>
            <w:color w:val="404040" w:themeColor="text1" w:themeTint="BF"/>
          </w:rPr>
          <w:t>June</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DefaultPlaceholder_-1854013438"/>
        </w:placeholder>
        <w:dropDownList>
          <w:listItem w:value="Choose an item."/>
          <w:listItem w:displayText="2023" w:value="2023"/>
          <w:listItem w:displayText="2024" w:value="2024"/>
          <w:listItem w:displayText="2025" w:value="2025"/>
        </w:dropDownList>
      </w:sdtPr>
      <w:sdtEndPr/>
      <w:sdtContent>
        <w:r w:rsidR="00BF29BA">
          <w:rPr>
            <w:rFonts w:cstheme="minorHAnsi"/>
            <w:color w:val="404040" w:themeColor="text1" w:themeTint="BF"/>
          </w:rPr>
          <w:t>2024</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28B4" w14:textId="7E25B2B7" w:rsidR="00B36B63"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00B36B63">
      <w:rPr>
        <w:rFonts w:ascii="Montserrat SemiBold" w:hAnsi="Montserrat SemiBold" w:cstheme="majorHAnsi"/>
        <w:color w:val="2F5496"/>
        <w:w w:val="90"/>
        <w:sz w:val="18"/>
        <w:szCs w:val="18"/>
      </w:rPr>
      <w:t>Inquiry into Cashless Gaming</w:t>
    </w:r>
    <w:r w:rsidR="00407196">
      <w:rPr>
        <w:rFonts w:ascii="Montserrat SemiBold" w:hAnsi="Montserrat SemiBold" w:cstheme="majorHAnsi"/>
        <w:color w:val="2F5496"/>
        <w:w w:val="90"/>
        <w:sz w:val="18"/>
        <w:szCs w:val="18"/>
      </w:rPr>
      <w:t xml:space="preserve"> in the ACT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A310" w14:textId="04963B66" w:rsidR="00603367" w:rsidRPr="009C6E7E" w:rsidRDefault="00B36B63"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t>Inquiry into Cashless Gaming</w:t>
    </w:r>
    <w:r w:rsidR="00407196">
      <w:rPr>
        <w:rFonts w:ascii="Montserrat SemiBold" w:hAnsi="Montserrat SemiBold" w:cstheme="majorHAnsi"/>
        <w:color w:val="2F5496"/>
        <w:w w:val="90"/>
        <w:sz w:val="18"/>
        <w:szCs w:val="18"/>
      </w:rPr>
      <w:t xml:space="preserve"> in the ACT</w:t>
    </w:r>
    <w:r w:rsidR="00603367"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F303333" w:rsidR="00877A94"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00845997">
      <w:rPr>
        <w:rFonts w:ascii="Montserrat SemiBold" w:hAnsi="Montserrat SemiBold" w:cstheme="majorHAnsi"/>
        <w:color w:val="2F5496"/>
        <w:w w:val="90"/>
        <w:sz w:val="18"/>
        <w:szCs w:val="18"/>
      </w:rPr>
      <w:t>Inquiry into Cashless Gaming</w:t>
    </w:r>
    <w:r w:rsidR="00407196">
      <w:rPr>
        <w:rFonts w:ascii="Montserrat SemiBold" w:hAnsi="Montserrat SemiBold" w:cstheme="majorHAnsi"/>
        <w:color w:val="2F5496"/>
        <w:w w:val="90"/>
        <w:sz w:val="18"/>
        <w:szCs w:val="18"/>
      </w:rPr>
      <w:t xml:space="preserve"> in the ACT</w:t>
    </w:r>
  </w:p>
  <w:p w14:paraId="608841BA" w14:textId="77777777" w:rsidR="00407196" w:rsidRPr="00EE5B62" w:rsidRDefault="00407196"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4D7D" w14:textId="3EC77B4F" w:rsidR="009F5A83" w:rsidRPr="007C0C91" w:rsidRDefault="00845997"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t>Inquiry into Cashless Gaming</w:t>
    </w:r>
    <w:r w:rsidR="00407196">
      <w:rPr>
        <w:rFonts w:ascii="Montserrat SemiBold" w:hAnsi="Montserrat SemiBold" w:cstheme="majorHAnsi"/>
        <w:color w:val="2F5496"/>
        <w:w w:val="90"/>
        <w:sz w:val="18"/>
        <w:szCs w:val="18"/>
      </w:rPr>
      <w:t xml:space="preserve"> in the ACT</w:t>
    </w:r>
    <w:r w:rsidR="009F5A83" w:rsidRPr="007A6EB9">
      <w:rPr>
        <w:rFonts w:ascii="Montserrat SemiBold" w:hAnsi="Montserrat SemiBold" w:cstheme="majorHAnsi"/>
        <w:color w:val="2F5496"/>
        <w:w w:val="90"/>
        <w:sz w:val="18"/>
        <w:szCs w:val="18"/>
      </w:rPr>
      <w:tab/>
    </w:r>
    <w:r w:rsidR="009F5A83" w:rsidRPr="007A6EB9">
      <w:rPr>
        <w:rFonts w:ascii="Montserrat SemiBold" w:hAnsi="Montserrat SemiBold" w:cstheme="majorHAnsi"/>
        <w:color w:val="2F5496"/>
        <w:w w:val="90"/>
        <w:sz w:val="18"/>
        <w:szCs w:val="18"/>
      </w:rPr>
      <w:fldChar w:fldCharType="begin"/>
    </w:r>
    <w:r w:rsidR="009F5A83" w:rsidRPr="007A6EB9">
      <w:rPr>
        <w:rFonts w:ascii="Montserrat SemiBold" w:hAnsi="Montserrat SemiBold" w:cstheme="majorHAnsi"/>
        <w:color w:val="2F5496"/>
        <w:w w:val="90"/>
        <w:sz w:val="18"/>
        <w:szCs w:val="18"/>
      </w:rPr>
      <w:instrText xml:space="preserve"> PAGE  \* Arabic  \* MERGEFORMAT </w:instrText>
    </w:r>
    <w:r w:rsidR="009F5A83" w:rsidRPr="007A6EB9">
      <w:rPr>
        <w:rFonts w:ascii="Montserrat SemiBold" w:hAnsi="Montserrat SemiBold" w:cstheme="majorHAnsi"/>
        <w:color w:val="2F5496"/>
        <w:w w:val="90"/>
        <w:sz w:val="18"/>
        <w:szCs w:val="18"/>
      </w:rPr>
      <w:fldChar w:fldCharType="separate"/>
    </w:r>
    <w:r w:rsidR="009F5A83" w:rsidRPr="007A6EB9">
      <w:rPr>
        <w:rFonts w:ascii="Montserrat SemiBold" w:hAnsi="Montserrat SemiBold" w:cstheme="majorHAnsi"/>
        <w:noProof/>
        <w:color w:val="2F5496"/>
        <w:w w:val="90"/>
        <w:sz w:val="18"/>
        <w:szCs w:val="18"/>
      </w:rPr>
      <w:t>5</w:t>
    </w:r>
    <w:r w:rsidR="009F5A83"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225379F1" w14:textId="77777777" w:rsidR="00AA3AF3" w:rsidRDefault="00AA3AF3" w:rsidP="00AA3AF3">
      <w:pPr>
        <w:pStyle w:val="FootnoteText"/>
      </w:pPr>
      <w:r>
        <w:rPr>
          <w:rStyle w:val="FootnoteReference"/>
        </w:rPr>
        <w:footnoteRef/>
      </w:r>
      <w:r>
        <w:t xml:space="preserve"> ACT Gambling and Racing Commission, </w:t>
      </w:r>
      <w:r w:rsidRPr="00BC2614">
        <w:rPr>
          <w:i/>
          <w:iCs/>
        </w:rPr>
        <w:t>Strategy for gambling harm prevention in the ACT: A public health approach 2019-2024</w:t>
      </w:r>
      <w:r>
        <w:t xml:space="preserve">, </w:t>
      </w:r>
      <w:hyperlink r:id="rId1" w:history="1">
        <w:r>
          <w:rPr>
            <w:rStyle w:val="Hyperlink"/>
          </w:rPr>
          <w:t>Strategy for gambling harm prevention in the ACT – A public health approach 2019-2024</w:t>
        </w:r>
      </w:hyperlink>
      <w:r>
        <w:t xml:space="preserve"> (accessed 16 April 2024).</w:t>
      </w:r>
    </w:p>
  </w:footnote>
  <w:footnote w:id="2">
    <w:p w14:paraId="7779C44D" w14:textId="77777777" w:rsidR="00AA3AF3" w:rsidRDefault="00AA3AF3" w:rsidP="00AA3AF3">
      <w:pPr>
        <w:pStyle w:val="FootnoteText"/>
      </w:pPr>
      <w:r>
        <w:rPr>
          <w:rStyle w:val="FootnoteReference"/>
        </w:rPr>
        <w:footnoteRef/>
      </w:r>
      <w:r>
        <w:t xml:space="preserve"> ACT Gambling and Racing Commission, </w:t>
      </w:r>
      <w:r w:rsidRPr="00BC2614">
        <w:rPr>
          <w:i/>
          <w:iCs/>
        </w:rPr>
        <w:t>Strategy for gambling harm prevention in the ACT: A public health approach 2019-2024</w:t>
      </w:r>
      <w:r>
        <w:t>, p 9.</w:t>
      </w:r>
    </w:p>
  </w:footnote>
  <w:footnote w:id="3">
    <w:p w14:paraId="156CAF31" w14:textId="77777777" w:rsidR="00AA3AF3" w:rsidRDefault="00AA3AF3" w:rsidP="00AA3AF3">
      <w:pPr>
        <w:pStyle w:val="FootnoteText"/>
      </w:pPr>
      <w:r>
        <w:rPr>
          <w:rStyle w:val="FootnoteReference"/>
        </w:rPr>
        <w:footnoteRef/>
      </w:r>
      <w:r>
        <w:t xml:space="preserve"> ACT Gambling and Racing Commission, </w:t>
      </w:r>
      <w:r w:rsidRPr="00BC2614">
        <w:rPr>
          <w:i/>
          <w:iCs/>
        </w:rPr>
        <w:t>Strategy for gambling harm prevention in the ACT: A public health approach 2019-2024</w:t>
      </w:r>
      <w:r>
        <w:t>, p 11.</w:t>
      </w:r>
    </w:p>
  </w:footnote>
  <w:footnote w:id="4">
    <w:p w14:paraId="0589AFF7" w14:textId="77777777" w:rsidR="00AA3AF3" w:rsidRDefault="00AA3AF3" w:rsidP="00AA3AF3">
      <w:pPr>
        <w:pStyle w:val="FootnoteText"/>
      </w:pPr>
      <w:r>
        <w:rPr>
          <w:rStyle w:val="FootnoteReference"/>
        </w:rPr>
        <w:footnoteRef/>
      </w:r>
      <w:r>
        <w:t xml:space="preserve"> ACT Government, </w:t>
      </w:r>
      <w:r w:rsidRPr="00BC2614">
        <w:rPr>
          <w:i/>
          <w:iCs/>
        </w:rPr>
        <w:t>Parliamentary and Governing Agreement</w:t>
      </w:r>
      <w:r>
        <w:t xml:space="preserve">, </w:t>
      </w:r>
      <w:hyperlink r:id="rId2" w:history="1">
        <w:r w:rsidRPr="009647D9">
          <w:rPr>
            <w:rStyle w:val="Hyperlink"/>
          </w:rPr>
          <w:t>https://www.cmtedd.act.gov.au/__data/assets/pdf_file/0003/1654077/Parliamentary-Agreement-for-the-10th-Legislative-Assembly.pdf</w:t>
        </w:r>
      </w:hyperlink>
      <w:r>
        <w:rPr>
          <w:rStyle w:val="Hyperlink"/>
        </w:rPr>
        <w:t>,</w:t>
      </w:r>
      <w:r>
        <w:t xml:space="preserve"> p 11.</w:t>
      </w:r>
    </w:p>
  </w:footnote>
  <w:footnote w:id="5">
    <w:p w14:paraId="0E303CF3" w14:textId="638996CC" w:rsidR="00AA3AF3" w:rsidRPr="003875B8" w:rsidRDefault="00AA3AF3" w:rsidP="00AA3AF3">
      <w:pPr>
        <w:pStyle w:val="FootnoteText"/>
      </w:pPr>
      <w:r>
        <w:rPr>
          <w:rStyle w:val="FootnoteReference"/>
        </w:rPr>
        <w:footnoteRef/>
      </w:r>
      <w:r>
        <w:t xml:space="preserve"> </w:t>
      </w:r>
      <w:r w:rsidRPr="003875B8">
        <w:t xml:space="preserve">ACT Gambling and Racing Commission, </w:t>
      </w:r>
      <w:r w:rsidRPr="003875B8">
        <w:rPr>
          <w:i/>
          <w:iCs/>
        </w:rPr>
        <w:t xml:space="preserve">Gaming Machine Reform Package – Trading Scheme Information provided as at 1 </w:t>
      </w:r>
      <w:r w:rsidR="003E7A29">
        <w:rPr>
          <w:i/>
          <w:iCs/>
        </w:rPr>
        <w:t>May</w:t>
      </w:r>
      <w:r w:rsidR="003E7A29" w:rsidRPr="003875B8">
        <w:rPr>
          <w:i/>
          <w:iCs/>
        </w:rPr>
        <w:t xml:space="preserve"> </w:t>
      </w:r>
      <w:r w:rsidRPr="003875B8">
        <w:rPr>
          <w:i/>
          <w:iCs/>
        </w:rPr>
        <w:t>2024,</w:t>
      </w:r>
      <w:r>
        <w:t xml:space="preserve"> </w:t>
      </w:r>
      <w:hyperlink r:id="rId3" w:history="1">
        <w:r w:rsidR="003E7A29">
          <w:rPr>
            <w:rStyle w:val="Hyperlink"/>
          </w:rPr>
          <w:t>https://www.gamblingandracing.act.gov.au/__data/assets/pdf_file/0019/2456101/Trading-Scheme-Information-as-at-01-May-2024.pdf</w:t>
        </w:r>
      </w:hyperlink>
      <w:r>
        <w:t xml:space="preserve"> </w:t>
      </w:r>
      <w:r w:rsidRPr="003875B8">
        <w:t xml:space="preserve">(accessed </w:t>
      </w:r>
      <w:r w:rsidR="003E7A29">
        <w:t>23</w:t>
      </w:r>
      <w:r w:rsidR="003E7A29" w:rsidRPr="003875B8">
        <w:t xml:space="preserve"> </w:t>
      </w:r>
      <w:r w:rsidR="003E7A29">
        <w:t>May</w:t>
      </w:r>
      <w:r w:rsidRPr="003875B8">
        <w:t xml:space="preserve"> 2024), pp 1-2.</w:t>
      </w:r>
    </w:p>
  </w:footnote>
  <w:footnote w:id="6">
    <w:p w14:paraId="6B9EDBD0" w14:textId="77777777" w:rsidR="00AA3AF3" w:rsidRDefault="00AA3AF3" w:rsidP="00AA3AF3">
      <w:pPr>
        <w:pStyle w:val="FootnoteText"/>
      </w:pPr>
      <w:r>
        <w:rPr>
          <w:rStyle w:val="FootnoteReference"/>
        </w:rPr>
        <w:footnoteRef/>
      </w:r>
      <w:r>
        <w:t xml:space="preserve"> ClubsACT, </w:t>
      </w:r>
      <w:r w:rsidRPr="00D209C1">
        <w:rPr>
          <w:i/>
          <w:iCs/>
        </w:rPr>
        <w:t>Submission 12</w:t>
      </w:r>
      <w:r>
        <w:t>, p 3.</w:t>
      </w:r>
    </w:p>
  </w:footnote>
  <w:footnote w:id="7">
    <w:p w14:paraId="4863BAD7" w14:textId="77777777" w:rsidR="00AA3AF3" w:rsidRDefault="00AA3AF3" w:rsidP="00AA3AF3">
      <w:pPr>
        <w:pStyle w:val="FootnoteText"/>
      </w:pPr>
      <w:r>
        <w:rPr>
          <w:rStyle w:val="FootnoteReference"/>
        </w:rPr>
        <w:footnoteRef/>
      </w:r>
      <w:r>
        <w:t xml:space="preserve"> Mr Shane Rattenbury MLA, Minister for Gaming, ‘</w:t>
      </w:r>
      <w:r w:rsidRPr="00925174">
        <w:rPr>
          <w:i/>
          <w:iCs/>
        </w:rPr>
        <w:t>Cutting the number of pokies with new surrender incentive’</w:t>
      </w:r>
      <w:r>
        <w:t>, Media Release, 18 March 2022.</w:t>
      </w:r>
    </w:p>
  </w:footnote>
  <w:footnote w:id="8">
    <w:p w14:paraId="3503A2BF" w14:textId="77777777" w:rsidR="00AA3AF3" w:rsidRDefault="00AA3AF3" w:rsidP="00AA3AF3">
      <w:pPr>
        <w:pStyle w:val="FootnoteText"/>
      </w:pPr>
      <w:r>
        <w:rPr>
          <w:rStyle w:val="FootnoteReference"/>
        </w:rPr>
        <w:footnoteRef/>
      </w:r>
      <w:r>
        <w:t xml:space="preserve"> Mr Shane Rattenbury MLA, Minister for Gaming, ‘</w:t>
      </w:r>
      <w:r w:rsidRPr="0001598D">
        <w:t>New law to further reduce the number of poker machines in the ACT’</w:t>
      </w:r>
      <w:r>
        <w:t xml:space="preserve"> </w:t>
      </w:r>
      <w:r w:rsidRPr="0001598D">
        <w:rPr>
          <w:i/>
          <w:iCs/>
        </w:rPr>
        <w:t>Media Release</w:t>
      </w:r>
      <w:r>
        <w:t>, 21 March 2024.</w:t>
      </w:r>
    </w:p>
  </w:footnote>
  <w:footnote w:id="9">
    <w:p w14:paraId="67874EA7" w14:textId="77777777" w:rsidR="00AA3AF3" w:rsidRDefault="00AA3AF3" w:rsidP="00AA3AF3">
      <w:pPr>
        <w:pStyle w:val="FootnoteText"/>
      </w:pPr>
      <w:r>
        <w:rPr>
          <w:rStyle w:val="FootnoteReference"/>
        </w:rPr>
        <w:footnoteRef/>
      </w:r>
      <w:r>
        <w:t xml:space="preserve"> Mr Shane Rattenbury MLA, Minister for Gaming, ‘Reducing gambling harm from poker machines’, Media Release, 29 April 2022. </w:t>
      </w:r>
    </w:p>
  </w:footnote>
  <w:footnote w:id="10">
    <w:p w14:paraId="4CE151A1" w14:textId="77777777" w:rsidR="00AA3AF3" w:rsidRDefault="00AA3AF3" w:rsidP="00AA3AF3">
      <w:pPr>
        <w:pStyle w:val="FootnoteText"/>
      </w:pPr>
      <w:r>
        <w:rPr>
          <w:rStyle w:val="FootnoteReference"/>
        </w:rPr>
        <w:footnoteRef/>
      </w:r>
      <w:r>
        <w:t xml:space="preserve"> Mr Shane Rattenbury MLA, Minister for Gaming, ‘Reducing gambling harm from poker machines’, Media Release, 29 April 2022.</w:t>
      </w:r>
    </w:p>
  </w:footnote>
  <w:footnote w:id="11">
    <w:p w14:paraId="7B057C14" w14:textId="77777777" w:rsidR="00AA3AF3" w:rsidRDefault="00AA3AF3" w:rsidP="00AA3AF3">
      <w:pPr>
        <w:pStyle w:val="FootnoteText"/>
      </w:pPr>
      <w:r>
        <w:rPr>
          <w:rStyle w:val="FootnoteReference"/>
        </w:rPr>
        <w:footnoteRef/>
      </w:r>
      <w:r>
        <w:t xml:space="preserve"> Mr Shane Rattenbury MLA, Minister for Gaming, ‘</w:t>
      </w:r>
      <w:r w:rsidRPr="0001598D">
        <w:t>New law to further reduce the number of poker machines in the ACT’</w:t>
      </w:r>
      <w:r>
        <w:t xml:space="preserve"> </w:t>
      </w:r>
      <w:r w:rsidRPr="0001598D">
        <w:rPr>
          <w:i/>
          <w:iCs/>
        </w:rPr>
        <w:t>Media Release</w:t>
      </w:r>
      <w:r>
        <w:t>, 21 March 2024.</w:t>
      </w:r>
    </w:p>
  </w:footnote>
  <w:footnote w:id="12">
    <w:p w14:paraId="1C760F5E" w14:textId="509162CF" w:rsidR="00AA3AF3" w:rsidRDefault="00AA3AF3" w:rsidP="00AA3AF3">
      <w:pPr>
        <w:pStyle w:val="FootnoteText"/>
      </w:pPr>
      <w:r>
        <w:rPr>
          <w:rStyle w:val="FootnoteReference"/>
        </w:rPr>
        <w:footnoteRef/>
      </w:r>
      <w:r>
        <w:t xml:space="preserve"> Mr Shane Rattenbury MLA, Minister for Gaming, ‘</w:t>
      </w:r>
      <w:r w:rsidR="009753F9">
        <w:t>Government tests market for ‘central monitoring system’ to reduce gambling harm</w:t>
      </w:r>
      <w:r w:rsidRPr="0001598D">
        <w:t>’</w:t>
      </w:r>
      <w:r>
        <w:t xml:space="preserve"> </w:t>
      </w:r>
      <w:r w:rsidRPr="0001598D">
        <w:rPr>
          <w:i/>
          <w:iCs/>
        </w:rPr>
        <w:t>Media Release</w:t>
      </w:r>
      <w:r>
        <w:t xml:space="preserve">, </w:t>
      </w:r>
      <w:r w:rsidR="009753F9">
        <w:t>18</w:t>
      </w:r>
      <w:r>
        <w:t xml:space="preserve"> March 2024.</w:t>
      </w:r>
    </w:p>
  </w:footnote>
  <w:footnote w:id="13">
    <w:p w14:paraId="7838459D" w14:textId="27DA295A" w:rsidR="00AA3AF3" w:rsidRDefault="00AA3AF3" w:rsidP="00AA3AF3">
      <w:pPr>
        <w:pStyle w:val="FootnoteText"/>
      </w:pPr>
      <w:r>
        <w:rPr>
          <w:rStyle w:val="FootnoteReference"/>
        </w:rPr>
        <w:footnoteRef/>
      </w:r>
      <w:r>
        <w:t xml:space="preserve"> ACT Government, </w:t>
      </w:r>
      <w:r w:rsidRPr="000A2093">
        <w:rPr>
          <w:i/>
          <w:iCs/>
        </w:rPr>
        <w:t>Submission 11</w:t>
      </w:r>
      <w:r>
        <w:t xml:space="preserve">, p </w:t>
      </w:r>
      <w:r w:rsidR="002B5B06">
        <w:t>3</w:t>
      </w:r>
      <w:r>
        <w:t>.</w:t>
      </w:r>
    </w:p>
  </w:footnote>
  <w:footnote w:id="14">
    <w:p w14:paraId="21D38848" w14:textId="48D00473" w:rsidR="00AA3AF3" w:rsidRDefault="00AA3AF3" w:rsidP="00AA3AF3">
      <w:pPr>
        <w:pStyle w:val="FootnoteText"/>
      </w:pPr>
      <w:r>
        <w:rPr>
          <w:rStyle w:val="FootnoteReference"/>
        </w:rPr>
        <w:footnoteRef/>
      </w:r>
      <w:r>
        <w:t xml:space="preserve"> ACT Government, </w:t>
      </w:r>
      <w:r w:rsidRPr="000A2093">
        <w:rPr>
          <w:i/>
          <w:iCs/>
        </w:rPr>
        <w:t>Submission 11</w:t>
      </w:r>
      <w:r>
        <w:t xml:space="preserve">, p </w:t>
      </w:r>
      <w:r w:rsidR="002B5B06">
        <w:t>3</w:t>
      </w:r>
      <w:r>
        <w:t>.</w:t>
      </w:r>
    </w:p>
  </w:footnote>
  <w:footnote w:id="15">
    <w:p w14:paraId="4B1FE987" w14:textId="77777777" w:rsidR="00AA3AF3" w:rsidRDefault="00AA3AF3" w:rsidP="00AA3AF3">
      <w:pPr>
        <w:pStyle w:val="FootnoteText"/>
      </w:pPr>
      <w:r>
        <w:rPr>
          <w:rStyle w:val="FootnoteReference"/>
        </w:rPr>
        <w:footnoteRef/>
      </w:r>
      <w:r>
        <w:t xml:space="preserve"> ACT Government, </w:t>
      </w:r>
      <w:r w:rsidRPr="000A2093">
        <w:rPr>
          <w:i/>
          <w:iCs/>
        </w:rPr>
        <w:t>Submission 11</w:t>
      </w:r>
      <w:r>
        <w:t>, p 5.</w:t>
      </w:r>
    </w:p>
  </w:footnote>
  <w:footnote w:id="16">
    <w:p w14:paraId="224EC2CD" w14:textId="77777777" w:rsidR="00AA3AF3" w:rsidRDefault="00AA3AF3" w:rsidP="00AA3AF3">
      <w:pPr>
        <w:pStyle w:val="FootnoteText"/>
      </w:pPr>
      <w:r>
        <w:rPr>
          <w:rStyle w:val="FootnoteReference"/>
        </w:rPr>
        <w:footnoteRef/>
      </w:r>
      <w:r>
        <w:t xml:space="preserve"> ACT Government, </w:t>
      </w:r>
      <w:r w:rsidRPr="000A2093">
        <w:rPr>
          <w:i/>
          <w:iCs/>
        </w:rPr>
        <w:t>Submission 11</w:t>
      </w:r>
      <w:r>
        <w:t>, p 6.</w:t>
      </w:r>
    </w:p>
  </w:footnote>
  <w:footnote w:id="17">
    <w:p w14:paraId="4293F562" w14:textId="77777777" w:rsidR="00AA3AF3" w:rsidRDefault="00AA3AF3" w:rsidP="00AA3AF3">
      <w:pPr>
        <w:pStyle w:val="FootnoteText"/>
      </w:pPr>
      <w:r>
        <w:rPr>
          <w:rStyle w:val="FootnoteReference"/>
        </w:rPr>
        <w:footnoteRef/>
      </w:r>
      <w:r>
        <w:t xml:space="preserve"> ACT Gambling and Racing Commission, Excluding from gambling, </w:t>
      </w:r>
      <w:hyperlink r:id="rId4" w:anchor="SelfExclusion" w:history="1">
        <w:r>
          <w:rPr>
            <w:rStyle w:val="Hyperlink"/>
          </w:rPr>
          <w:t>Excluding from gambling - ACT Gambling and Racing Commission</w:t>
        </w:r>
      </w:hyperlink>
      <w:r>
        <w:t xml:space="preserve"> ACT Gambling Exclusion Scheme Fact Sheet </w:t>
      </w:r>
      <w:hyperlink r:id="rId5" w:history="1">
        <w:r>
          <w:rPr>
            <w:rStyle w:val="Hyperlink"/>
          </w:rPr>
          <w:t>ACT Gambling Exclusion Scheme Fact Sheet</w:t>
        </w:r>
      </w:hyperlink>
      <w:r>
        <w:t>, (accessed 16 April 2024).</w:t>
      </w:r>
    </w:p>
  </w:footnote>
  <w:footnote w:id="18">
    <w:p w14:paraId="4139924F" w14:textId="77777777" w:rsidR="00AA3AF3" w:rsidRDefault="00AA3AF3" w:rsidP="00AA3AF3">
      <w:pPr>
        <w:pStyle w:val="FootnoteText"/>
      </w:pPr>
      <w:r>
        <w:rPr>
          <w:rStyle w:val="FootnoteReference"/>
        </w:rPr>
        <w:footnoteRef/>
      </w:r>
      <w:r>
        <w:t xml:space="preserve"> Mr Shane Rattenbury, MLA, </w:t>
      </w:r>
      <w:r w:rsidRPr="00E85406">
        <w:rPr>
          <w:i/>
          <w:iCs/>
        </w:rPr>
        <w:t>answer to QON: EGM and self-exclusion</w:t>
      </w:r>
      <w:r>
        <w:t>, 18 April 2024, p 3 (received 19 April 2024).</w:t>
      </w:r>
    </w:p>
  </w:footnote>
  <w:footnote w:id="19">
    <w:p w14:paraId="58AEB524" w14:textId="77777777" w:rsidR="00AA3AF3" w:rsidRDefault="00AA3AF3" w:rsidP="00AA3AF3">
      <w:pPr>
        <w:pStyle w:val="FootnoteText"/>
      </w:pPr>
      <w:r>
        <w:rPr>
          <w:rStyle w:val="FootnoteReference"/>
        </w:rPr>
        <w:footnoteRef/>
      </w:r>
      <w:r>
        <w:t xml:space="preserve"> ACT Gambling and Racing Commission, Diversification and Sustainability Support fund, </w:t>
      </w:r>
      <w:hyperlink r:id="rId6" w:history="1">
        <w:r>
          <w:rPr>
            <w:rStyle w:val="Hyperlink"/>
          </w:rPr>
          <w:t>Diversification and Sustainability Support Fund - ACT Gambling and Racing Commission</w:t>
        </w:r>
      </w:hyperlink>
      <w:r>
        <w:t xml:space="preserve"> (accessed 17 April 2024).</w:t>
      </w:r>
    </w:p>
  </w:footnote>
  <w:footnote w:id="20">
    <w:p w14:paraId="41681B1E" w14:textId="77777777" w:rsidR="00AA3AF3" w:rsidRDefault="00AA3AF3" w:rsidP="00AA3AF3">
      <w:pPr>
        <w:pStyle w:val="FootnoteText"/>
      </w:pPr>
      <w:r>
        <w:rPr>
          <w:rStyle w:val="FootnoteReference"/>
        </w:rPr>
        <w:footnoteRef/>
      </w:r>
      <w:r>
        <w:t xml:space="preserve"> Mr Shane Rattenbury MLA, Minister for Gaming, ‘$1.5m awarded to clubs to diversify revenue streams and promote sustainability’, </w:t>
      </w:r>
      <w:r w:rsidRPr="001F5526">
        <w:rPr>
          <w:i/>
          <w:iCs/>
        </w:rPr>
        <w:t>Media Release</w:t>
      </w:r>
      <w:r>
        <w:t>, 23 January 2024.</w:t>
      </w:r>
    </w:p>
  </w:footnote>
  <w:footnote w:id="21">
    <w:p w14:paraId="51E51D19" w14:textId="77777777" w:rsidR="00AA3AF3" w:rsidRDefault="00AA3AF3" w:rsidP="00AA3AF3">
      <w:pPr>
        <w:pStyle w:val="FootnoteText"/>
      </w:pPr>
      <w:r>
        <w:rPr>
          <w:rStyle w:val="FootnoteReference"/>
        </w:rPr>
        <w:footnoteRef/>
      </w:r>
      <w:r>
        <w:t xml:space="preserve"> ACT Gambling and Racing Commission, Gambling Help, </w:t>
      </w:r>
      <w:hyperlink r:id="rId7" w:history="1">
        <w:r>
          <w:rPr>
            <w:rStyle w:val="Hyperlink"/>
          </w:rPr>
          <w:t>Home - ACT Gambling and Racing Commission</w:t>
        </w:r>
      </w:hyperlink>
      <w:r>
        <w:t xml:space="preserve">, The experiences of gambling harm, </w:t>
      </w:r>
      <w:hyperlink r:id="rId8" w:history="1">
        <w:r>
          <w:rPr>
            <w:rStyle w:val="Hyperlink"/>
          </w:rPr>
          <w:t>The experience of gambling harm - ACT Gambling and Racing Commission</w:t>
        </w:r>
      </w:hyperlink>
      <w:r>
        <w:t xml:space="preserve">, Help in other languages, </w:t>
      </w:r>
      <w:hyperlink r:id="rId9" w:history="1">
        <w:r>
          <w:rPr>
            <w:rStyle w:val="Hyperlink"/>
          </w:rPr>
          <w:t>Help in other languages - ACT Gambling and Racing Commission</w:t>
        </w:r>
      </w:hyperlink>
      <w:r>
        <w:t xml:space="preserve">, Gambling Harm Awareness Week, </w:t>
      </w:r>
      <w:hyperlink r:id="rId10" w:history="1">
        <w:r>
          <w:rPr>
            <w:rStyle w:val="Hyperlink"/>
          </w:rPr>
          <w:t>Gambling Harm Awareness Week - ACT Gambling and Racing Commission</w:t>
        </w:r>
      </w:hyperlink>
      <w:r>
        <w:t xml:space="preserve"> (accessed 17 April 2024).</w:t>
      </w:r>
    </w:p>
  </w:footnote>
  <w:footnote w:id="22">
    <w:p w14:paraId="5D9A21B2" w14:textId="77777777" w:rsidR="00AA3AF3" w:rsidRDefault="00AA3AF3" w:rsidP="00AA3AF3">
      <w:pPr>
        <w:pStyle w:val="FootnoteText"/>
      </w:pPr>
      <w:r>
        <w:rPr>
          <w:rStyle w:val="FootnoteReference"/>
        </w:rPr>
        <w:footnoteRef/>
      </w:r>
      <w:r>
        <w:t xml:space="preserve"> ACT Gambling and Racing Commission, Training, </w:t>
      </w:r>
      <w:hyperlink r:id="rId11" w:history="1">
        <w:r>
          <w:rPr>
            <w:rStyle w:val="Hyperlink"/>
          </w:rPr>
          <w:t>Training - ACT Gambling and Racing Commission</w:t>
        </w:r>
      </w:hyperlink>
      <w:r>
        <w:t>, (accessed 17 April 2024).</w:t>
      </w:r>
    </w:p>
  </w:footnote>
  <w:footnote w:id="23">
    <w:p w14:paraId="7D0B8CCA" w14:textId="77777777" w:rsidR="00AA3AF3" w:rsidRDefault="00AA3AF3" w:rsidP="00AA3AF3">
      <w:pPr>
        <w:pStyle w:val="FootnoteText"/>
      </w:pPr>
      <w:r>
        <w:rPr>
          <w:rStyle w:val="FootnoteReference"/>
        </w:rPr>
        <w:footnoteRef/>
      </w:r>
      <w:r>
        <w:t xml:space="preserve"> ACT Gambling and Racing Commission, Gambling Harm Prevention and Mitigation Fund – Grants Program, </w:t>
      </w:r>
      <w:hyperlink r:id="rId12" w:history="1">
        <w:r>
          <w:rPr>
            <w:rStyle w:val="Hyperlink"/>
          </w:rPr>
          <w:t>Gambling Harm Prevention and Mitigation Fund - Grants Program - ACT Gambling and Racing Commission</w:t>
        </w:r>
      </w:hyperlink>
      <w:r>
        <w:t>, (accessed 17 April 2024).</w:t>
      </w:r>
    </w:p>
  </w:footnote>
  <w:footnote w:id="24">
    <w:p w14:paraId="7D4E6082" w14:textId="77777777" w:rsidR="00EA32C4" w:rsidRDefault="00EA32C4" w:rsidP="00EA32C4">
      <w:pPr>
        <w:pStyle w:val="FootnoteText"/>
      </w:pPr>
      <w:r>
        <w:rPr>
          <w:rStyle w:val="FootnoteReference"/>
        </w:rPr>
        <w:footnoteRef/>
      </w:r>
      <w:r>
        <w:t xml:space="preserve"> ACT Government, </w:t>
      </w:r>
      <w:r w:rsidRPr="003F507E">
        <w:rPr>
          <w:i/>
          <w:iCs/>
        </w:rPr>
        <w:t>Submission 11</w:t>
      </w:r>
      <w:r>
        <w:t>, p 4.</w:t>
      </w:r>
    </w:p>
  </w:footnote>
  <w:footnote w:id="25">
    <w:p w14:paraId="42D96399" w14:textId="77777777" w:rsidR="00EA32C4" w:rsidRDefault="00EA32C4" w:rsidP="00EA32C4">
      <w:pPr>
        <w:pStyle w:val="FootnoteText"/>
      </w:pPr>
      <w:r>
        <w:rPr>
          <w:rStyle w:val="FootnoteReference"/>
        </w:rPr>
        <w:footnoteRef/>
      </w:r>
      <w:r>
        <w:t xml:space="preserve"> ACT Government, </w:t>
      </w:r>
      <w:r w:rsidRPr="003F507E">
        <w:rPr>
          <w:i/>
          <w:iCs/>
        </w:rPr>
        <w:t>Submission 11</w:t>
      </w:r>
      <w:r>
        <w:t>, p 4.</w:t>
      </w:r>
    </w:p>
  </w:footnote>
  <w:footnote w:id="26">
    <w:p w14:paraId="28CEAE8A" w14:textId="61A0240D" w:rsidR="00EA32C4" w:rsidRDefault="00EA32C4" w:rsidP="00EA32C4">
      <w:pPr>
        <w:pStyle w:val="FootnoteText"/>
      </w:pPr>
      <w:r>
        <w:rPr>
          <w:rStyle w:val="FootnoteReference"/>
        </w:rPr>
        <w:footnoteRef/>
      </w:r>
      <w:r>
        <w:t xml:space="preserve"> Labor Club Group, </w:t>
      </w:r>
      <w:r w:rsidRPr="00BC1DF7">
        <w:rPr>
          <w:i/>
          <w:iCs/>
        </w:rPr>
        <w:t>Submission 15</w:t>
      </w:r>
      <w:r>
        <w:t>, p 1.</w:t>
      </w:r>
    </w:p>
  </w:footnote>
  <w:footnote w:id="27">
    <w:p w14:paraId="1C0AA253" w14:textId="6D55823C" w:rsidR="00EA32C4" w:rsidRDefault="00EA32C4" w:rsidP="00EA32C4">
      <w:pPr>
        <w:pStyle w:val="FootnoteText"/>
      </w:pPr>
      <w:r>
        <w:rPr>
          <w:rStyle w:val="FootnoteReference"/>
        </w:rPr>
        <w:footnoteRef/>
      </w:r>
      <w:r>
        <w:t xml:space="preserve"> ClubsACT, </w:t>
      </w:r>
      <w:r w:rsidRPr="00D209C1">
        <w:rPr>
          <w:i/>
          <w:iCs/>
        </w:rPr>
        <w:t>Submission 12</w:t>
      </w:r>
      <w:r>
        <w:t>, p 4.</w:t>
      </w:r>
    </w:p>
  </w:footnote>
  <w:footnote w:id="28">
    <w:p w14:paraId="5F021AD9" w14:textId="73772FC4" w:rsidR="00EA32C4" w:rsidRDefault="00EA32C4" w:rsidP="00EA32C4">
      <w:pPr>
        <w:pStyle w:val="FootnoteText"/>
      </w:pPr>
      <w:r>
        <w:rPr>
          <w:rStyle w:val="FootnoteReference"/>
        </w:rPr>
        <w:footnoteRef/>
      </w:r>
      <w:r>
        <w:t xml:space="preserve"> Mr Jinesh Patel, Chief Executive Officer, Gaming Technologies Association, </w:t>
      </w:r>
      <w:r w:rsidRPr="00302F91">
        <w:rPr>
          <w:i/>
          <w:iCs/>
        </w:rPr>
        <w:t>Committee Hansard</w:t>
      </w:r>
      <w:r>
        <w:t xml:space="preserve">, 27 March 2024, </w:t>
      </w:r>
      <w:r w:rsidR="00A67758">
        <w:t>p</w:t>
      </w:r>
      <w:r>
        <w:t xml:space="preserve"> 6.</w:t>
      </w:r>
    </w:p>
  </w:footnote>
  <w:footnote w:id="29">
    <w:p w14:paraId="4608DEA4" w14:textId="61F06186" w:rsidR="00EA32C4" w:rsidRDefault="00EA32C4" w:rsidP="00EA32C4">
      <w:pPr>
        <w:pStyle w:val="FootnoteText"/>
      </w:pPr>
      <w:r>
        <w:rPr>
          <w:rStyle w:val="FootnoteReference"/>
        </w:rPr>
        <w:footnoteRef/>
      </w:r>
      <w:r>
        <w:t xml:space="preserve"> </w:t>
      </w:r>
      <w:r w:rsidRPr="00F50462">
        <w:t xml:space="preserve">Professor Sally Gainsbury, Director, Gambling Treatment and Research Clinic, University of </w:t>
      </w:r>
      <w:r w:rsidR="00917030" w:rsidRPr="00F50462">
        <w:t>Sydney</w:t>
      </w:r>
      <w:r w:rsidR="00917030">
        <w:t>,</w:t>
      </w:r>
      <w:r>
        <w:t xml:space="preserve"> </w:t>
      </w:r>
      <w:r w:rsidRPr="00302F91">
        <w:rPr>
          <w:i/>
          <w:iCs/>
        </w:rPr>
        <w:t>Committee Hansard</w:t>
      </w:r>
      <w:r>
        <w:t xml:space="preserve">, 27 March 2024, </w:t>
      </w:r>
      <w:r w:rsidR="00917030">
        <w:t>pp</w:t>
      </w:r>
      <w:r>
        <w:t xml:space="preserve"> </w:t>
      </w:r>
      <w:r w:rsidR="00917030">
        <w:t xml:space="preserve">29, </w:t>
      </w:r>
      <w:r>
        <w:t>31.</w:t>
      </w:r>
    </w:p>
  </w:footnote>
  <w:footnote w:id="30">
    <w:p w14:paraId="5D5226E6" w14:textId="62092DD2" w:rsidR="00EA32C4" w:rsidRDefault="00EA32C4" w:rsidP="00EA32C4">
      <w:pPr>
        <w:pStyle w:val="FootnoteText"/>
      </w:pPr>
      <w:r>
        <w:rPr>
          <w:rStyle w:val="FootnoteReference"/>
        </w:rPr>
        <w:footnoteRef/>
      </w:r>
      <w:r>
        <w:t xml:space="preserve"> ClubsACT, </w:t>
      </w:r>
      <w:r w:rsidRPr="00D209C1">
        <w:rPr>
          <w:i/>
          <w:iCs/>
        </w:rPr>
        <w:t>Submission 12</w:t>
      </w:r>
      <w:r>
        <w:t xml:space="preserve">, </w:t>
      </w:r>
      <w:r w:rsidR="00CB2AEE">
        <w:t>p 6</w:t>
      </w:r>
      <w:r>
        <w:t>.</w:t>
      </w:r>
    </w:p>
  </w:footnote>
  <w:footnote w:id="31">
    <w:p w14:paraId="33AB1FEB" w14:textId="2ADB80C5" w:rsidR="00EA32C4" w:rsidRDefault="00EA32C4" w:rsidP="00EA32C4">
      <w:pPr>
        <w:pStyle w:val="FootnoteText"/>
      </w:pPr>
      <w:r>
        <w:rPr>
          <w:rStyle w:val="FootnoteReference"/>
        </w:rPr>
        <w:footnoteRef/>
      </w:r>
      <w:r>
        <w:t xml:space="preserve"> Mr Craig Shannon, Executive Officer, ClubsACT, </w:t>
      </w:r>
      <w:r w:rsidRPr="00302F91">
        <w:rPr>
          <w:i/>
          <w:iCs/>
        </w:rPr>
        <w:t>Committee Hansard</w:t>
      </w:r>
      <w:r>
        <w:t>, 27 March 2024, p 53.</w:t>
      </w:r>
    </w:p>
  </w:footnote>
  <w:footnote w:id="32">
    <w:p w14:paraId="46F45675" w14:textId="50F872FF" w:rsidR="00EA32C4" w:rsidRDefault="00EA32C4" w:rsidP="00EA32C4">
      <w:pPr>
        <w:pStyle w:val="FootnoteText"/>
      </w:pPr>
      <w:r>
        <w:rPr>
          <w:rStyle w:val="FootnoteReference"/>
        </w:rPr>
        <w:footnoteRef/>
      </w:r>
      <w:r>
        <w:t xml:space="preserve"> Mr Ronald Kent, General Manager, Tuggeranong Valley Rugby Union and Sports Club Ltd, </w:t>
      </w:r>
      <w:r w:rsidRPr="00302F91">
        <w:rPr>
          <w:i/>
          <w:iCs/>
        </w:rPr>
        <w:t>Committee Hansard</w:t>
      </w:r>
      <w:r>
        <w:t xml:space="preserve">, </w:t>
      </w:r>
      <w:r w:rsidRPr="00A67758">
        <w:t>27</w:t>
      </w:r>
      <w:r w:rsidR="00A67758">
        <w:t> </w:t>
      </w:r>
      <w:r w:rsidRPr="00A67758">
        <w:t>March</w:t>
      </w:r>
      <w:r w:rsidR="00A67758">
        <w:t> </w:t>
      </w:r>
      <w:r>
        <w:t>2024, p 54.</w:t>
      </w:r>
    </w:p>
  </w:footnote>
  <w:footnote w:id="33">
    <w:p w14:paraId="26A5A969" w14:textId="77777777" w:rsidR="00EA32C4" w:rsidRDefault="00EA32C4" w:rsidP="00EA32C4">
      <w:pPr>
        <w:pStyle w:val="FootnoteText"/>
      </w:pPr>
      <w:r>
        <w:rPr>
          <w:rStyle w:val="FootnoteReference"/>
        </w:rPr>
        <w:footnoteRef/>
      </w:r>
      <w:r>
        <w:t xml:space="preserve"> Deputy Commissioner Neil Gaughan, APM, Chief Police Officer for the ACT, </w:t>
      </w:r>
      <w:r w:rsidRPr="009E2BF4">
        <w:rPr>
          <w:i/>
          <w:iCs/>
        </w:rPr>
        <w:t>Letter</w:t>
      </w:r>
      <w:r>
        <w:t xml:space="preserve"> dated 18 December 2023.</w:t>
      </w:r>
    </w:p>
  </w:footnote>
  <w:footnote w:id="34">
    <w:p w14:paraId="3C60F1FE" w14:textId="77777777" w:rsidR="00EA32C4" w:rsidRDefault="00EA32C4" w:rsidP="00EA32C4">
      <w:pPr>
        <w:pStyle w:val="FootnoteText"/>
      </w:pPr>
      <w:r>
        <w:rPr>
          <w:rStyle w:val="FootnoteReference"/>
        </w:rPr>
        <w:footnoteRef/>
      </w:r>
      <w:r>
        <w:t xml:space="preserve"> Australian Federal Police Association, </w:t>
      </w:r>
      <w:r w:rsidRPr="00D634C2">
        <w:rPr>
          <w:i/>
          <w:iCs/>
        </w:rPr>
        <w:t>Submission 7</w:t>
      </w:r>
      <w:r>
        <w:t>, p 4.</w:t>
      </w:r>
    </w:p>
  </w:footnote>
  <w:footnote w:id="35">
    <w:p w14:paraId="6E3076BC" w14:textId="2FAD8721" w:rsidR="00EA32C4" w:rsidRDefault="00EA32C4" w:rsidP="00EA32C4">
      <w:pPr>
        <w:pStyle w:val="FootnoteText"/>
      </w:pPr>
      <w:r>
        <w:rPr>
          <w:rStyle w:val="FootnoteReference"/>
        </w:rPr>
        <w:footnoteRef/>
      </w:r>
      <w:r>
        <w:t xml:space="preserve"> Dr Bowles, Chief Executive Officer, ACT Council of Social Service, </w:t>
      </w:r>
      <w:r w:rsidRPr="00302F91">
        <w:rPr>
          <w:i/>
          <w:iCs/>
        </w:rPr>
        <w:t>Committee Hansard</w:t>
      </w:r>
      <w:r>
        <w:t xml:space="preserve">, 27 March 2024, </w:t>
      </w:r>
      <w:r w:rsidR="00A67758">
        <w:t>p</w:t>
      </w:r>
      <w:r>
        <w:t xml:space="preserve"> 42.</w:t>
      </w:r>
    </w:p>
  </w:footnote>
  <w:footnote w:id="36">
    <w:p w14:paraId="6718E922" w14:textId="77777777" w:rsidR="004E1658" w:rsidRDefault="004E1658" w:rsidP="00EA32C4">
      <w:pPr>
        <w:pStyle w:val="FootnoteText"/>
      </w:pPr>
      <w:r>
        <w:rPr>
          <w:rStyle w:val="FootnoteReference"/>
        </w:rPr>
        <w:footnoteRef/>
      </w:r>
      <w:r>
        <w:t xml:space="preserve"> Dr Bowles, Chief Executive Officer, ACT Council of Social Service, </w:t>
      </w:r>
      <w:r w:rsidRPr="00302F91">
        <w:rPr>
          <w:i/>
          <w:iCs/>
        </w:rPr>
        <w:t>Committee Hansard</w:t>
      </w:r>
      <w:r>
        <w:t>, 27 March 2024, p 46.</w:t>
      </w:r>
    </w:p>
  </w:footnote>
  <w:footnote w:id="37">
    <w:p w14:paraId="1E283DE2" w14:textId="77777777" w:rsidR="004E1658" w:rsidRDefault="004E1658" w:rsidP="004E1658">
      <w:pPr>
        <w:pStyle w:val="FootnoteText"/>
      </w:pPr>
      <w:r>
        <w:rPr>
          <w:rStyle w:val="FootnoteReference"/>
        </w:rPr>
        <w:footnoteRef/>
      </w:r>
      <w:r>
        <w:t xml:space="preserve"> Dr Bowles, Chief Executive Officer, ACT Council of Social Service, </w:t>
      </w:r>
      <w:r w:rsidRPr="00302F91">
        <w:rPr>
          <w:i/>
          <w:iCs/>
        </w:rPr>
        <w:t>Committee Hansard</w:t>
      </w:r>
      <w:r>
        <w:t>, 27 March 2024, p 46.</w:t>
      </w:r>
    </w:p>
  </w:footnote>
  <w:footnote w:id="38">
    <w:p w14:paraId="469A03BF" w14:textId="724ACE49" w:rsidR="001B4821" w:rsidRDefault="001B4821" w:rsidP="001B4821">
      <w:pPr>
        <w:pStyle w:val="FootnoteText"/>
      </w:pPr>
      <w:r>
        <w:rPr>
          <w:rStyle w:val="FootnoteReference"/>
        </w:rPr>
        <w:footnoteRef/>
      </w:r>
      <w:r>
        <w:t xml:space="preserve"> NSW Crime Commission, </w:t>
      </w:r>
      <w:r w:rsidRPr="001B4821">
        <w:rPr>
          <w:i/>
          <w:iCs/>
        </w:rPr>
        <w:t>Project Islington Inquiry into Money Laundering via Electronic Gaming Machines in Hotels and Clubs</w:t>
      </w:r>
      <w:r>
        <w:rPr>
          <w:i/>
          <w:iCs/>
        </w:rPr>
        <w:t xml:space="preserve">, </w:t>
      </w:r>
      <w:r w:rsidRPr="001B4821">
        <w:t>26 October 2022, p</w:t>
      </w:r>
      <w:r>
        <w:t xml:space="preserve"> vi. </w:t>
      </w:r>
    </w:p>
  </w:footnote>
  <w:footnote w:id="39">
    <w:p w14:paraId="6A156A43" w14:textId="1CEDE52F" w:rsidR="00EA32C4" w:rsidRDefault="00EA32C4" w:rsidP="00EA32C4">
      <w:pPr>
        <w:pStyle w:val="FootnoteText"/>
      </w:pPr>
      <w:r>
        <w:rPr>
          <w:rStyle w:val="FootnoteReference"/>
        </w:rPr>
        <w:footnoteRef/>
      </w:r>
      <w:r>
        <w:t xml:space="preserve"> ClubsACT, </w:t>
      </w:r>
      <w:r w:rsidRPr="00D209C1">
        <w:rPr>
          <w:i/>
          <w:iCs/>
        </w:rPr>
        <w:t>Submission 12</w:t>
      </w:r>
      <w:r>
        <w:t>, pp 6, 9</w:t>
      </w:r>
      <w:r w:rsidR="00BD7CD3">
        <w:t xml:space="preserve">; Labor Club Group, </w:t>
      </w:r>
      <w:r w:rsidR="00BD7CD3" w:rsidRPr="00C4564D">
        <w:rPr>
          <w:i/>
          <w:iCs/>
        </w:rPr>
        <w:t>Submission 15</w:t>
      </w:r>
      <w:r w:rsidR="00BD7CD3">
        <w:t>, p 2.</w:t>
      </w:r>
    </w:p>
  </w:footnote>
  <w:footnote w:id="40">
    <w:p w14:paraId="529A8606" w14:textId="43E2AB84" w:rsidR="00EA32C4" w:rsidRDefault="00EA32C4" w:rsidP="00EA32C4">
      <w:pPr>
        <w:pStyle w:val="FootnoteText"/>
      </w:pPr>
      <w:r>
        <w:rPr>
          <w:rStyle w:val="FootnoteReference"/>
        </w:rPr>
        <w:footnoteRef/>
      </w:r>
      <w:r>
        <w:t xml:space="preserve"> Labor Club Group, </w:t>
      </w:r>
      <w:r w:rsidRPr="00C4564D">
        <w:rPr>
          <w:i/>
          <w:iCs/>
        </w:rPr>
        <w:t>Submission 15</w:t>
      </w:r>
      <w:r>
        <w:t>, p 2.</w:t>
      </w:r>
    </w:p>
  </w:footnote>
  <w:footnote w:id="41">
    <w:p w14:paraId="0D146D6C" w14:textId="77777777" w:rsidR="00EA32C4" w:rsidRDefault="00EA32C4" w:rsidP="00EA32C4">
      <w:pPr>
        <w:pStyle w:val="FootnoteText"/>
      </w:pPr>
      <w:r w:rsidRPr="00E15B29">
        <w:rPr>
          <w:rStyle w:val="FootnoteReference"/>
        </w:rPr>
        <w:footnoteRef/>
      </w:r>
      <w:r w:rsidRPr="00E15B29">
        <w:t xml:space="preserve"> Ms Jennifer Kirkadly,</w:t>
      </w:r>
      <w:r>
        <w:t xml:space="preserve"> Salvation Army, </w:t>
      </w:r>
      <w:r w:rsidRPr="00302F91">
        <w:rPr>
          <w:i/>
          <w:iCs/>
        </w:rPr>
        <w:t>Committee Hansard</w:t>
      </w:r>
      <w:r>
        <w:t>, 27 March 2024, p 42.</w:t>
      </w:r>
    </w:p>
  </w:footnote>
  <w:footnote w:id="42">
    <w:p w14:paraId="4B81083A" w14:textId="280661EE" w:rsidR="004E508E" w:rsidRDefault="004E508E" w:rsidP="004E508E">
      <w:pPr>
        <w:pStyle w:val="FootnoteText"/>
      </w:pPr>
      <w:r>
        <w:rPr>
          <w:rStyle w:val="FootnoteReference"/>
        </w:rPr>
        <w:footnoteRef/>
      </w:r>
      <w:r>
        <w:t xml:space="preserve"> </w:t>
      </w:r>
      <w:r w:rsidRPr="00F50462">
        <w:t>Professor Sally Gainsbury, Director, Gambling Treatment and Research Clinic, University of Sydney</w:t>
      </w:r>
      <w:r>
        <w:t xml:space="preserve">, </w:t>
      </w:r>
      <w:r w:rsidRPr="00302F91">
        <w:rPr>
          <w:i/>
          <w:iCs/>
        </w:rPr>
        <w:t>Committee Hansard</w:t>
      </w:r>
      <w:r>
        <w:t xml:space="preserve">, 27 March 2024, </w:t>
      </w:r>
      <w:r w:rsidR="00A67758">
        <w:t xml:space="preserve">p </w:t>
      </w:r>
      <w:r>
        <w:t>30.</w:t>
      </w:r>
    </w:p>
  </w:footnote>
  <w:footnote w:id="43">
    <w:p w14:paraId="63B68885" w14:textId="77777777" w:rsidR="00EA32C4" w:rsidRDefault="00EA32C4" w:rsidP="00EA32C4">
      <w:pPr>
        <w:pStyle w:val="FootnoteText"/>
      </w:pPr>
      <w:r>
        <w:rPr>
          <w:rStyle w:val="FootnoteReference"/>
        </w:rPr>
        <w:footnoteRef/>
      </w:r>
      <w:r>
        <w:t xml:space="preserve"> Dr Aino Suomi, Director of the ANU Centre for Gambling Research, </w:t>
      </w:r>
      <w:r w:rsidRPr="00AB64BE">
        <w:rPr>
          <w:i/>
          <w:iCs/>
        </w:rPr>
        <w:t>Submission 10</w:t>
      </w:r>
      <w:r>
        <w:t>, p 1.</w:t>
      </w:r>
    </w:p>
  </w:footnote>
  <w:footnote w:id="44">
    <w:p w14:paraId="5D43C813" w14:textId="77777777" w:rsidR="00EA32C4" w:rsidRDefault="00EA32C4" w:rsidP="00EA32C4">
      <w:pPr>
        <w:pStyle w:val="FootnoteText"/>
      </w:pPr>
      <w:r>
        <w:rPr>
          <w:rStyle w:val="FootnoteReference"/>
        </w:rPr>
        <w:footnoteRef/>
      </w:r>
      <w:r>
        <w:t xml:space="preserve"> ACT Government, </w:t>
      </w:r>
      <w:r w:rsidRPr="00754F3B">
        <w:rPr>
          <w:i/>
          <w:iCs/>
        </w:rPr>
        <w:t>Submission 11</w:t>
      </w:r>
      <w:r>
        <w:t>, p 15.</w:t>
      </w:r>
    </w:p>
  </w:footnote>
  <w:footnote w:id="45">
    <w:p w14:paraId="1C68D8CC" w14:textId="398FC15F" w:rsidR="00E85406" w:rsidRDefault="00E85406">
      <w:pPr>
        <w:pStyle w:val="FootnoteText"/>
      </w:pPr>
      <w:r>
        <w:rPr>
          <w:rStyle w:val="FootnoteReference"/>
        </w:rPr>
        <w:footnoteRef/>
      </w:r>
      <w:r>
        <w:t xml:space="preserve"> Mr Shane Rattenbury, MLA, </w:t>
      </w:r>
      <w:r w:rsidRPr="00E85406">
        <w:rPr>
          <w:i/>
          <w:iCs/>
        </w:rPr>
        <w:t>answer to QON: EGM and self-exclusion</w:t>
      </w:r>
      <w:r>
        <w:t>, 18 April 2024, p 1 (received 19 April 2024)</w:t>
      </w:r>
    </w:p>
  </w:footnote>
  <w:footnote w:id="46">
    <w:p w14:paraId="5828D57F" w14:textId="77777777" w:rsidR="00EA32C4" w:rsidRDefault="00EA32C4" w:rsidP="00EA32C4">
      <w:pPr>
        <w:pStyle w:val="FootnoteText"/>
      </w:pPr>
      <w:r>
        <w:rPr>
          <w:rStyle w:val="FootnoteReference"/>
        </w:rPr>
        <w:footnoteRef/>
      </w:r>
      <w:r>
        <w:t xml:space="preserve"> Ms Carol Bennet, Chief Executive Officer, Alliance for Gambling Reform, </w:t>
      </w:r>
      <w:r w:rsidRPr="00302F91">
        <w:rPr>
          <w:i/>
          <w:iCs/>
        </w:rPr>
        <w:t>Committee Hansard</w:t>
      </w:r>
      <w:r>
        <w:t>, 27 March 2024, p 41.</w:t>
      </w:r>
    </w:p>
  </w:footnote>
  <w:footnote w:id="47">
    <w:p w14:paraId="3193576F" w14:textId="77777777" w:rsidR="00EA32C4" w:rsidRPr="00E15B29" w:rsidRDefault="00EA32C4" w:rsidP="00EA32C4">
      <w:pPr>
        <w:pStyle w:val="FootnoteText"/>
      </w:pPr>
      <w:r>
        <w:rPr>
          <w:rStyle w:val="FootnoteReference"/>
        </w:rPr>
        <w:footnoteRef/>
      </w:r>
      <w:r>
        <w:t xml:space="preserve"> Dr </w:t>
      </w:r>
      <w:r w:rsidRPr="00E15B29">
        <w:t xml:space="preserve">Bowles, Chief Executive Officer, ACT Council of Social Service, </w:t>
      </w:r>
      <w:r w:rsidRPr="00E15B29">
        <w:rPr>
          <w:i/>
          <w:iCs/>
        </w:rPr>
        <w:t>Committee Hansard</w:t>
      </w:r>
      <w:r w:rsidRPr="00E15B29">
        <w:t>, 27 March 2024, p 41.</w:t>
      </w:r>
    </w:p>
  </w:footnote>
  <w:footnote w:id="48">
    <w:p w14:paraId="7C8DFF2F" w14:textId="5D632CC7" w:rsidR="00EA32C4" w:rsidRDefault="00EA32C4" w:rsidP="00EA32C4">
      <w:pPr>
        <w:pStyle w:val="FootnoteText"/>
      </w:pPr>
      <w:r>
        <w:rPr>
          <w:rStyle w:val="FootnoteReference"/>
        </w:rPr>
        <w:footnoteRef/>
      </w:r>
      <w:r>
        <w:t xml:space="preserve"> Reverend Tim Costello, Chief Advocate, Alliance for Gambling Reform, </w:t>
      </w:r>
      <w:r w:rsidRPr="004A0745">
        <w:rPr>
          <w:i/>
          <w:iCs/>
        </w:rPr>
        <w:t>Committee Hansard</w:t>
      </w:r>
      <w:r>
        <w:t xml:space="preserve">, 27 March 2024, </w:t>
      </w:r>
      <w:r w:rsidR="00A67758">
        <w:t xml:space="preserve">p </w:t>
      </w:r>
      <w:r>
        <w:t>48.</w:t>
      </w:r>
    </w:p>
  </w:footnote>
  <w:footnote w:id="49">
    <w:p w14:paraId="6E83A150" w14:textId="77777777" w:rsidR="00EA32C4" w:rsidRDefault="00EA32C4" w:rsidP="00EA32C4">
      <w:pPr>
        <w:pStyle w:val="FootnoteText"/>
      </w:pPr>
      <w:r>
        <w:rPr>
          <w:rStyle w:val="FootnoteReference"/>
        </w:rPr>
        <w:footnoteRef/>
      </w:r>
      <w:r>
        <w:t xml:space="preserve"> Dr Bowles, Chief Executive Officer, ACT Council of Social Service, </w:t>
      </w:r>
      <w:r w:rsidRPr="00302F91">
        <w:rPr>
          <w:i/>
          <w:iCs/>
        </w:rPr>
        <w:t>Committee Hansard</w:t>
      </w:r>
      <w:r>
        <w:t>, 27 March 2024, p 49.</w:t>
      </w:r>
    </w:p>
  </w:footnote>
  <w:footnote w:id="50">
    <w:p w14:paraId="4AD061FD" w14:textId="77777777" w:rsidR="00EA32C4" w:rsidRDefault="00EA32C4" w:rsidP="00EA32C4">
      <w:pPr>
        <w:pStyle w:val="FootnoteText"/>
      </w:pPr>
      <w:r>
        <w:rPr>
          <w:rStyle w:val="FootnoteReference"/>
        </w:rPr>
        <w:footnoteRef/>
      </w:r>
      <w:r>
        <w:t xml:space="preserve"> ACTCOSS, </w:t>
      </w:r>
      <w:r w:rsidRPr="00174F1B">
        <w:rPr>
          <w:i/>
          <w:iCs/>
        </w:rPr>
        <w:t>Submission 9</w:t>
      </w:r>
      <w:r>
        <w:t>, pp 1-2.</w:t>
      </w:r>
    </w:p>
  </w:footnote>
  <w:footnote w:id="51">
    <w:p w14:paraId="374BFE5A" w14:textId="77777777" w:rsidR="00EA32C4" w:rsidRDefault="00EA32C4" w:rsidP="00EA32C4">
      <w:pPr>
        <w:pStyle w:val="FootnoteText"/>
      </w:pPr>
      <w:r>
        <w:rPr>
          <w:rStyle w:val="FootnoteReference"/>
        </w:rPr>
        <w:footnoteRef/>
      </w:r>
      <w:r>
        <w:t xml:space="preserve"> ACT Government, </w:t>
      </w:r>
      <w:r w:rsidRPr="000A2093">
        <w:rPr>
          <w:i/>
          <w:iCs/>
        </w:rPr>
        <w:t>Submission 11</w:t>
      </w:r>
      <w:r>
        <w:t>, p 7.</w:t>
      </w:r>
    </w:p>
  </w:footnote>
  <w:footnote w:id="52">
    <w:p w14:paraId="3A61160C" w14:textId="77777777" w:rsidR="00570363" w:rsidRDefault="00570363" w:rsidP="00570363">
      <w:pPr>
        <w:pStyle w:val="FootnoteText"/>
      </w:pPr>
      <w:r>
        <w:rPr>
          <w:rStyle w:val="FootnoteReference"/>
        </w:rPr>
        <w:footnoteRef/>
      </w:r>
      <w:r>
        <w:t xml:space="preserve"> Mr Shane Rattenbury, Minister for Gaming, </w:t>
      </w:r>
      <w:r w:rsidRPr="00302F91">
        <w:rPr>
          <w:i/>
          <w:iCs/>
        </w:rPr>
        <w:t>Committee Hansard</w:t>
      </w:r>
      <w:r>
        <w:t>, 27 March 2024, p 12.</w:t>
      </w:r>
    </w:p>
  </w:footnote>
  <w:footnote w:id="53">
    <w:p w14:paraId="79699B8F" w14:textId="68FE4839" w:rsidR="00EA32C4" w:rsidRDefault="00EA32C4" w:rsidP="00EA32C4">
      <w:pPr>
        <w:pStyle w:val="FootnoteText"/>
      </w:pPr>
      <w:r>
        <w:rPr>
          <w:rStyle w:val="FootnoteReference"/>
        </w:rPr>
        <w:footnoteRef/>
      </w:r>
      <w:r>
        <w:t xml:space="preserve"> Mr Jinesh Patel, Chief Executive Officer, Gaming Technologies Association, </w:t>
      </w:r>
      <w:r w:rsidRPr="00D2105B">
        <w:rPr>
          <w:i/>
          <w:iCs/>
        </w:rPr>
        <w:t>Committee Hansard</w:t>
      </w:r>
      <w:r>
        <w:t xml:space="preserve">, 27 March 2024, </w:t>
      </w:r>
      <w:r w:rsidR="00A67758">
        <w:t>p</w:t>
      </w:r>
      <w:r>
        <w:t xml:space="preserve"> 1.</w:t>
      </w:r>
    </w:p>
  </w:footnote>
  <w:footnote w:id="54">
    <w:p w14:paraId="6381A71F" w14:textId="041D0B0D" w:rsidR="00EA32C4" w:rsidRDefault="00EA32C4" w:rsidP="00EA32C4">
      <w:pPr>
        <w:pStyle w:val="FootnoteText"/>
      </w:pPr>
      <w:r>
        <w:rPr>
          <w:rStyle w:val="FootnoteReference"/>
        </w:rPr>
        <w:footnoteRef/>
      </w:r>
      <w:r>
        <w:t xml:space="preserve"> Mr Craig Shannon, Chief Executive Officer, ClubsACT, </w:t>
      </w:r>
      <w:r w:rsidRPr="00D2105B">
        <w:rPr>
          <w:i/>
          <w:iCs/>
        </w:rPr>
        <w:t>Committee Hansard</w:t>
      </w:r>
      <w:r>
        <w:t xml:space="preserve">, 27 March 2024, </w:t>
      </w:r>
      <w:r w:rsidR="00A67758">
        <w:t>p</w:t>
      </w:r>
      <w:r>
        <w:t xml:space="preserve"> 54.</w:t>
      </w:r>
    </w:p>
  </w:footnote>
  <w:footnote w:id="55">
    <w:p w14:paraId="7FF538EF" w14:textId="7A17884E" w:rsidR="00EA32C4" w:rsidRDefault="00EA32C4" w:rsidP="00EA32C4">
      <w:pPr>
        <w:pStyle w:val="FootnoteText"/>
      </w:pPr>
      <w:r>
        <w:rPr>
          <w:rStyle w:val="FootnoteReference"/>
        </w:rPr>
        <w:footnoteRef/>
      </w:r>
      <w:r>
        <w:t xml:space="preserve"> Mr Craig Shannon, Chief Executive Officer, ClubsACT, </w:t>
      </w:r>
      <w:r w:rsidRPr="00D2105B">
        <w:rPr>
          <w:i/>
          <w:iCs/>
        </w:rPr>
        <w:t>Committee Hansard</w:t>
      </w:r>
      <w:r>
        <w:t xml:space="preserve">, 27 March 2024, </w:t>
      </w:r>
      <w:r w:rsidR="00A67758">
        <w:t>p</w:t>
      </w:r>
      <w:r>
        <w:t xml:space="preserve"> 60.</w:t>
      </w:r>
    </w:p>
  </w:footnote>
  <w:footnote w:id="56">
    <w:p w14:paraId="7D961F82" w14:textId="4E2A19C3" w:rsidR="00EA32C4" w:rsidRDefault="00EA32C4" w:rsidP="00EA32C4">
      <w:pPr>
        <w:pStyle w:val="FootnoteText"/>
      </w:pPr>
      <w:r>
        <w:rPr>
          <w:rStyle w:val="FootnoteReference"/>
        </w:rPr>
        <w:footnoteRef/>
      </w:r>
      <w:r>
        <w:t xml:space="preserve"> Professor Sally Gainsbury, Director, Gambling Treatment and Research Clinic, University of Sydney, </w:t>
      </w:r>
      <w:r w:rsidRPr="00302F91">
        <w:rPr>
          <w:i/>
          <w:iCs/>
        </w:rPr>
        <w:t>Committee Hansard</w:t>
      </w:r>
      <w:r>
        <w:t xml:space="preserve">, 27 March 2024, </w:t>
      </w:r>
      <w:r w:rsidR="00A67758">
        <w:t>p</w:t>
      </w:r>
      <w:r>
        <w:t xml:space="preserve"> 30.</w:t>
      </w:r>
    </w:p>
  </w:footnote>
  <w:footnote w:id="57">
    <w:p w14:paraId="0343B3A5" w14:textId="76B2CB5C" w:rsidR="00EA32C4" w:rsidRDefault="00EA32C4" w:rsidP="00EA32C4">
      <w:pPr>
        <w:pStyle w:val="FootnoteText"/>
      </w:pPr>
      <w:r>
        <w:rPr>
          <w:rStyle w:val="FootnoteReference"/>
        </w:rPr>
        <w:footnoteRef/>
      </w:r>
      <w:r>
        <w:t xml:space="preserve"> Ms Suomi, Director, ANU Centre for Gambling Research, </w:t>
      </w:r>
      <w:r w:rsidRPr="00302F91">
        <w:rPr>
          <w:i/>
          <w:iCs/>
        </w:rPr>
        <w:t>Committee Hansard</w:t>
      </w:r>
      <w:r>
        <w:t xml:space="preserve">, 27 March 2024, </w:t>
      </w:r>
      <w:r w:rsidR="00A67758">
        <w:t>p</w:t>
      </w:r>
      <w:r>
        <w:t xml:space="preserve"> 31.</w:t>
      </w:r>
    </w:p>
  </w:footnote>
  <w:footnote w:id="58">
    <w:p w14:paraId="574F6654" w14:textId="77777777" w:rsidR="00EA32C4" w:rsidRDefault="00EA32C4" w:rsidP="00EA32C4">
      <w:pPr>
        <w:pStyle w:val="FootnoteText"/>
      </w:pPr>
      <w:r>
        <w:rPr>
          <w:rStyle w:val="FootnoteReference"/>
        </w:rPr>
        <w:footnoteRef/>
      </w:r>
      <w:r>
        <w:t xml:space="preserve"> ANU Centre for Gambling Research, </w:t>
      </w:r>
      <w:r w:rsidRPr="00AB64BE">
        <w:rPr>
          <w:i/>
          <w:iCs/>
        </w:rPr>
        <w:t>Submission 10</w:t>
      </w:r>
      <w:r>
        <w:t>, p 3.</w:t>
      </w:r>
    </w:p>
  </w:footnote>
  <w:footnote w:id="59">
    <w:p w14:paraId="1C1596DC" w14:textId="1DC05213" w:rsidR="00EA32C4" w:rsidRDefault="00EA32C4" w:rsidP="00EA32C4">
      <w:pPr>
        <w:pStyle w:val="FootnoteText"/>
      </w:pPr>
      <w:r>
        <w:rPr>
          <w:rStyle w:val="FootnoteReference"/>
        </w:rPr>
        <w:footnoteRef/>
      </w:r>
      <w:r>
        <w:t xml:space="preserve"> Dr Bowles, Chief Executive Officer, ACT Council of Social Service, </w:t>
      </w:r>
      <w:r w:rsidRPr="00302F91">
        <w:rPr>
          <w:i/>
          <w:iCs/>
        </w:rPr>
        <w:t>Committee Hansard</w:t>
      </w:r>
      <w:r>
        <w:t xml:space="preserve">, 27 March 2024, </w:t>
      </w:r>
      <w:r w:rsidR="00A67758">
        <w:t>p</w:t>
      </w:r>
      <w:r>
        <w:t xml:space="preserve"> 45.</w:t>
      </w:r>
    </w:p>
  </w:footnote>
  <w:footnote w:id="60">
    <w:p w14:paraId="03494773" w14:textId="454A3674" w:rsidR="00EA32C4" w:rsidRDefault="00EA32C4" w:rsidP="00EA32C4">
      <w:pPr>
        <w:pStyle w:val="FootnoteText"/>
      </w:pPr>
      <w:r>
        <w:rPr>
          <w:rStyle w:val="FootnoteReference"/>
        </w:rPr>
        <w:footnoteRef/>
      </w:r>
      <w:r>
        <w:t xml:space="preserve"> Dr Bowles, Chief Executive Officer, ACT Council of Social Service, </w:t>
      </w:r>
      <w:r w:rsidRPr="00302F91">
        <w:rPr>
          <w:i/>
          <w:iCs/>
        </w:rPr>
        <w:t>Committee Hansard</w:t>
      </w:r>
      <w:r>
        <w:t xml:space="preserve">, 27 March 2024, </w:t>
      </w:r>
      <w:r w:rsidR="00A67758">
        <w:t>p</w:t>
      </w:r>
      <w:r>
        <w:t xml:space="preserve"> 46.</w:t>
      </w:r>
    </w:p>
  </w:footnote>
  <w:footnote w:id="61">
    <w:p w14:paraId="2D46ABDE" w14:textId="6CC78737" w:rsidR="00EA32C4" w:rsidRDefault="00EA32C4" w:rsidP="00EA32C4">
      <w:pPr>
        <w:pStyle w:val="FootnoteText"/>
      </w:pPr>
      <w:r>
        <w:rPr>
          <w:rStyle w:val="FootnoteReference"/>
        </w:rPr>
        <w:footnoteRef/>
      </w:r>
      <w:r>
        <w:t xml:space="preserve"> Reverend Tim Costello, Chief Advocate, Alliance for Gambling Reform, </w:t>
      </w:r>
      <w:r w:rsidRPr="00D2105B">
        <w:rPr>
          <w:i/>
          <w:iCs/>
        </w:rPr>
        <w:t>Committee Hansard</w:t>
      </w:r>
      <w:r>
        <w:t xml:space="preserve">, 27 March 2024, </w:t>
      </w:r>
      <w:r w:rsidR="00A67758">
        <w:t>p</w:t>
      </w:r>
      <w:r>
        <w:t xml:space="preserve"> 45.</w:t>
      </w:r>
    </w:p>
  </w:footnote>
  <w:footnote w:id="62">
    <w:p w14:paraId="0B3C3A1F" w14:textId="0811704F" w:rsidR="00EA32C4" w:rsidRDefault="00EA32C4" w:rsidP="00EA32C4">
      <w:pPr>
        <w:pStyle w:val="FootnoteText"/>
      </w:pPr>
      <w:r>
        <w:rPr>
          <w:rStyle w:val="FootnoteReference"/>
        </w:rPr>
        <w:footnoteRef/>
      </w:r>
      <w:r>
        <w:t xml:space="preserve"> Reverend Tim Costello, Chief Advocate, Alliance for Gambling Reform, </w:t>
      </w:r>
      <w:r w:rsidRPr="00D2105B">
        <w:rPr>
          <w:i/>
          <w:iCs/>
        </w:rPr>
        <w:t>Committee Hansard</w:t>
      </w:r>
      <w:r>
        <w:t xml:space="preserve">, 27 March 2024, </w:t>
      </w:r>
      <w:r w:rsidR="00A67758">
        <w:t>p</w:t>
      </w:r>
      <w:r>
        <w:t xml:space="preserve"> 46.</w:t>
      </w:r>
    </w:p>
  </w:footnote>
  <w:footnote w:id="63">
    <w:p w14:paraId="177B1A5E" w14:textId="77777777" w:rsidR="00BD7CD3" w:rsidRDefault="00BD7CD3" w:rsidP="00BD7CD3">
      <w:pPr>
        <w:pStyle w:val="FootnoteText"/>
      </w:pPr>
      <w:r>
        <w:rPr>
          <w:rStyle w:val="FootnoteReference"/>
        </w:rPr>
        <w:footnoteRef/>
      </w:r>
      <w:r>
        <w:t xml:space="preserve"> Mr Jinesh Patel, Chief Executive Officer, Gaming Technologies Association, </w:t>
      </w:r>
      <w:r w:rsidRPr="00D2105B">
        <w:rPr>
          <w:i/>
          <w:iCs/>
        </w:rPr>
        <w:t>Committee Hansard</w:t>
      </w:r>
      <w:r>
        <w:t>, 27 March 2024, p 3.</w:t>
      </w:r>
    </w:p>
  </w:footnote>
  <w:footnote w:id="64">
    <w:p w14:paraId="317E7FEE" w14:textId="7EA2B0A7" w:rsidR="009D07D6" w:rsidRDefault="009D07D6">
      <w:pPr>
        <w:pStyle w:val="FootnoteText"/>
      </w:pPr>
      <w:r>
        <w:rPr>
          <w:rStyle w:val="FootnoteReference"/>
        </w:rPr>
        <w:footnoteRef/>
      </w:r>
      <w:r>
        <w:t xml:space="preserve"> Mr Shane Rattenbury, Minister for Gaming, </w:t>
      </w:r>
      <w:r w:rsidRPr="00D2105B">
        <w:rPr>
          <w:i/>
          <w:iCs/>
        </w:rPr>
        <w:t>Committee Hansard</w:t>
      </w:r>
      <w:r>
        <w:t>, 27 March 2024, p 11.</w:t>
      </w:r>
    </w:p>
  </w:footnote>
  <w:footnote w:id="65">
    <w:p w14:paraId="68AF3B06" w14:textId="1689D0E9" w:rsidR="00BD7CD3" w:rsidRDefault="00BD7CD3" w:rsidP="00BD7CD3">
      <w:pPr>
        <w:pStyle w:val="FootnoteText"/>
      </w:pPr>
      <w:r>
        <w:rPr>
          <w:rStyle w:val="FootnoteReference"/>
        </w:rPr>
        <w:footnoteRef/>
      </w:r>
      <w:r>
        <w:t xml:space="preserve"> Mr Shane Rattenbury, Minister for Gaming, </w:t>
      </w:r>
      <w:r w:rsidRPr="00D2105B">
        <w:rPr>
          <w:i/>
          <w:iCs/>
        </w:rPr>
        <w:t>Committee Hansard</w:t>
      </w:r>
      <w:r>
        <w:t xml:space="preserve">, 27 March 2024, p </w:t>
      </w:r>
      <w:r w:rsidR="009D07D6">
        <w:t>12</w:t>
      </w:r>
      <w:r>
        <w:t>.</w:t>
      </w:r>
    </w:p>
  </w:footnote>
  <w:footnote w:id="66">
    <w:p w14:paraId="25783BD5" w14:textId="77777777" w:rsidR="00BD7CD3" w:rsidRDefault="00BD7CD3" w:rsidP="00BD7CD3">
      <w:pPr>
        <w:pStyle w:val="FootnoteText"/>
      </w:pPr>
      <w:r>
        <w:rPr>
          <w:rStyle w:val="FootnoteReference"/>
        </w:rPr>
        <w:footnoteRef/>
      </w:r>
      <w:r>
        <w:t xml:space="preserve"> </w:t>
      </w:r>
      <w:r w:rsidRPr="00D2105B">
        <w:rPr>
          <w:i/>
          <w:iCs/>
        </w:rPr>
        <w:t>Committee Hansard</w:t>
      </w:r>
      <w:r>
        <w:t>, 27 March 2024, p 26.</w:t>
      </w:r>
    </w:p>
  </w:footnote>
  <w:footnote w:id="67">
    <w:p w14:paraId="247D26B1" w14:textId="77777777" w:rsidR="00E96FD6" w:rsidRDefault="00E96FD6" w:rsidP="00E96FD6">
      <w:pPr>
        <w:pStyle w:val="FootnoteText"/>
      </w:pPr>
      <w:r>
        <w:rPr>
          <w:rStyle w:val="FootnoteReference"/>
        </w:rPr>
        <w:footnoteRef/>
      </w:r>
      <w:r>
        <w:t xml:space="preserve"> Mr Shane Rattenbury, Minister for Gaming, </w:t>
      </w:r>
      <w:r w:rsidRPr="00D2105B">
        <w:rPr>
          <w:i/>
          <w:iCs/>
        </w:rPr>
        <w:t>Committee Hansard</w:t>
      </w:r>
      <w:r>
        <w:t>, 27 March 2024, p 10.</w:t>
      </w:r>
    </w:p>
  </w:footnote>
  <w:footnote w:id="68">
    <w:p w14:paraId="56CF31A9" w14:textId="77777777" w:rsidR="004D118E" w:rsidRDefault="004D118E" w:rsidP="004D118E">
      <w:pPr>
        <w:pStyle w:val="FootnoteText"/>
      </w:pPr>
      <w:r>
        <w:rPr>
          <w:rStyle w:val="FootnoteReference"/>
        </w:rPr>
        <w:footnoteRef/>
      </w:r>
      <w:r>
        <w:t xml:space="preserve"> ACT Government, </w:t>
      </w:r>
      <w:r w:rsidRPr="00FD48EE">
        <w:rPr>
          <w:i/>
          <w:iCs/>
        </w:rPr>
        <w:t>Submission 11</w:t>
      </w:r>
      <w:r>
        <w:t>, pp 8, 9, 11.</w:t>
      </w:r>
    </w:p>
  </w:footnote>
  <w:footnote w:id="69">
    <w:p w14:paraId="42273138" w14:textId="1D929739" w:rsidR="00EA32C4" w:rsidRDefault="00EA32C4" w:rsidP="00EA32C4">
      <w:pPr>
        <w:pStyle w:val="FootnoteText"/>
      </w:pPr>
      <w:r>
        <w:rPr>
          <w:rStyle w:val="FootnoteReference"/>
        </w:rPr>
        <w:footnoteRef/>
      </w:r>
      <w:r>
        <w:t xml:space="preserve"> ClubsACT, </w:t>
      </w:r>
      <w:r w:rsidRPr="00D209C1">
        <w:rPr>
          <w:i/>
          <w:iCs/>
        </w:rPr>
        <w:t>Submission 12</w:t>
      </w:r>
      <w:r>
        <w:t>, p 4.</w:t>
      </w:r>
    </w:p>
  </w:footnote>
  <w:footnote w:id="70">
    <w:p w14:paraId="74980EC7" w14:textId="1BC01F2E" w:rsidR="00EA32C4" w:rsidRDefault="00EA32C4" w:rsidP="00EA32C4">
      <w:pPr>
        <w:pStyle w:val="FootnoteText"/>
      </w:pPr>
      <w:r>
        <w:rPr>
          <w:rStyle w:val="FootnoteReference"/>
        </w:rPr>
        <w:footnoteRef/>
      </w:r>
      <w:r>
        <w:t xml:space="preserve"> ClubsACT, </w:t>
      </w:r>
      <w:r w:rsidRPr="00D209C1">
        <w:rPr>
          <w:i/>
          <w:iCs/>
        </w:rPr>
        <w:t>Submission 12</w:t>
      </w:r>
      <w:r>
        <w:t>, p 6.</w:t>
      </w:r>
    </w:p>
  </w:footnote>
  <w:footnote w:id="71">
    <w:p w14:paraId="087BD58B" w14:textId="08478BE5" w:rsidR="00EA32C4" w:rsidRDefault="00EA32C4" w:rsidP="00EA32C4">
      <w:pPr>
        <w:pStyle w:val="FootnoteText"/>
      </w:pPr>
      <w:r>
        <w:rPr>
          <w:rStyle w:val="FootnoteReference"/>
        </w:rPr>
        <w:footnoteRef/>
      </w:r>
      <w:r>
        <w:t xml:space="preserve"> Labor Club Group, </w:t>
      </w:r>
      <w:r w:rsidRPr="00336124">
        <w:rPr>
          <w:i/>
          <w:iCs/>
        </w:rPr>
        <w:t>Submission 15</w:t>
      </w:r>
      <w:r>
        <w:t>, p 2.</w:t>
      </w:r>
    </w:p>
  </w:footnote>
  <w:footnote w:id="72">
    <w:p w14:paraId="6FF3F4FD" w14:textId="77777777" w:rsidR="00EA32C4" w:rsidRDefault="00EA32C4" w:rsidP="00EA32C4">
      <w:pPr>
        <w:pStyle w:val="FootnoteText"/>
      </w:pPr>
      <w:r>
        <w:rPr>
          <w:rStyle w:val="FootnoteReference"/>
        </w:rPr>
        <w:footnoteRef/>
      </w:r>
      <w:r>
        <w:t xml:space="preserve"> ANU Centre for Gambling Research, </w:t>
      </w:r>
      <w:r w:rsidRPr="00FD48EE">
        <w:rPr>
          <w:i/>
          <w:iCs/>
        </w:rPr>
        <w:t>Submission 10</w:t>
      </w:r>
      <w:r>
        <w:t>, p 1.</w:t>
      </w:r>
    </w:p>
  </w:footnote>
  <w:footnote w:id="73">
    <w:p w14:paraId="7D0A8E8F" w14:textId="77777777" w:rsidR="00EA32C4" w:rsidRDefault="00EA32C4" w:rsidP="00EA32C4">
      <w:pPr>
        <w:pStyle w:val="FootnoteText"/>
      </w:pPr>
      <w:r>
        <w:rPr>
          <w:rStyle w:val="FootnoteReference"/>
        </w:rPr>
        <w:footnoteRef/>
      </w:r>
      <w:r>
        <w:t xml:space="preserve"> ANU Centre for Gambling Research, </w:t>
      </w:r>
      <w:r w:rsidRPr="00AB64BE">
        <w:rPr>
          <w:i/>
          <w:iCs/>
        </w:rPr>
        <w:t>Submission 10</w:t>
      </w:r>
      <w:r>
        <w:t>, pp 2-3.</w:t>
      </w:r>
    </w:p>
  </w:footnote>
  <w:footnote w:id="74">
    <w:p w14:paraId="190BFF82" w14:textId="77777777" w:rsidR="00EA32C4" w:rsidRDefault="00EA32C4" w:rsidP="00EA32C4">
      <w:pPr>
        <w:pStyle w:val="FootnoteText"/>
      </w:pPr>
      <w:r>
        <w:rPr>
          <w:rStyle w:val="FootnoteReference"/>
        </w:rPr>
        <w:footnoteRef/>
      </w:r>
      <w:r>
        <w:t xml:space="preserve"> University of Sydney, Gambling and Research Centre, </w:t>
      </w:r>
      <w:r w:rsidRPr="00957BF9">
        <w:rPr>
          <w:i/>
          <w:iCs/>
        </w:rPr>
        <w:t>Submission 3</w:t>
      </w:r>
      <w:r>
        <w:t>, p 1.</w:t>
      </w:r>
    </w:p>
  </w:footnote>
  <w:footnote w:id="75">
    <w:p w14:paraId="7C55E5EE" w14:textId="0FE4C6D8" w:rsidR="00EA32C4" w:rsidRDefault="00EA32C4" w:rsidP="00EA32C4">
      <w:pPr>
        <w:pStyle w:val="FootnoteText"/>
      </w:pPr>
      <w:r>
        <w:rPr>
          <w:rStyle w:val="FootnoteReference"/>
        </w:rPr>
        <w:footnoteRef/>
      </w:r>
      <w:r>
        <w:t xml:space="preserve"> Professor Sally Gainsbury, Director, Gambling Treatment and Research Clinic, University of Sydney, </w:t>
      </w:r>
      <w:r w:rsidRPr="00C65339">
        <w:rPr>
          <w:i/>
          <w:iCs/>
        </w:rPr>
        <w:t>Committee Hansard</w:t>
      </w:r>
      <w:r>
        <w:t xml:space="preserve">, 27 March 2024, </w:t>
      </w:r>
      <w:r w:rsidR="00A67758">
        <w:t>p</w:t>
      </w:r>
      <w:r>
        <w:t xml:space="preserve"> 31.</w:t>
      </w:r>
    </w:p>
  </w:footnote>
  <w:footnote w:id="76">
    <w:p w14:paraId="0662D526" w14:textId="56ACF887" w:rsidR="00EA32C4" w:rsidRDefault="00EA32C4" w:rsidP="00EA32C4">
      <w:pPr>
        <w:pStyle w:val="FootnoteText"/>
      </w:pPr>
      <w:r>
        <w:rPr>
          <w:rStyle w:val="FootnoteReference"/>
        </w:rPr>
        <w:footnoteRef/>
      </w:r>
      <w:r>
        <w:t xml:space="preserve"> Professor Sally Gainsbury, Director, Gambling Treatment and Research Clinic, University of Sydney, </w:t>
      </w:r>
      <w:r w:rsidRPr="00C65339">
        <w:rPr>
          <w:i/>
          <w:iCs/>
        </w:rPr>
        <w:t>Committee Hansard</w:t>
      </w:r>
      <w:r>
        <w:t xml:space="preserve">, 27 March 2024, </w:t>
      </w:r>
      <w:r w:rsidR="00A67758">
        <w:t>p</w:t>
      </w:r>
      <w:r>
        <w:t xml:space="preserve"> 32.</w:t>
      </w:r>
    </w:p>
  </w:footnote>
  <w:footnote w:id="77">
    <w:p w14:paraId="1897C5AF" w14:textId="77777777" w:rsidR="00EA32C4" w:rsidRDefault="00EA32C4" w:rsidP="00EA32C4">
      <w:pPr>
        <w:pStyle w:val="FootnoteText"/>
      </w:pPr>
      <w:r>
        <w:rPr>
          <w:rStyle w:val="FootnoteReference"/>
        </w:rPr>
        <w:footnoteRef/>
      </w:r>
      <w:r>
        <w:t xml:space="preserve"> Salvation Army</w:t>
      </w:r>
      <w:r w:rsidRPr="00B7426F">
        <w:rPr>
          <w:i/>
          <w:iCs/>
        </w:rPr>
        <w:t>, Submission 4</w:t>
      </w:r>
      <w:r>
        <w:t>, p 6.</w:t>
      </w:r>
    </w:p>
  </w:footnote>
  <w:footnote w:id="78">
    <w:p w14:paraId="11878ADE" w14:textId="77777777" w:rsidR="00EA32C4" w:rsidRDefault="00EA32C4" w:rsidP="00EA32C4">
      <w:pPr>
        <w:pStyle w:val="FootnoteText"/>
      </w:pPr>
      <w:r>
        <w:rPr>
          <w:rStyle w:val="FootnoteReference"/>
        </w:rPr>
        <w:footnoteRef/>
      </w:r>
      <w:r>
        <w:t xml:space="preserve"> Alliance for Gambling Reform, </w:t>
      </w:r>
      <w:r w:rsidRPr="00957BF9">
        <w:rPr>
          <w:i/>
          <w:iCs/>
        </w:rPr>
        <w:t>Submission 1</w:t>
      </w:r>
      <w:r>
        <w:t>, p 1.</w:t>
      </w:r>
    </w:p>
  </w:footnote>
  <w:footnote w:id="79">
    <w:p w14:paraId="17E71448" w14:textId="746E39D8" w:rsidR="00EA32C4" w:rsidRDefault="00EA32C4" w:rsidP="00EA32C4">
      <w:pPr>
        <w:pStyle w:val="FootnoteText"/>
      </w:pPr>
      <w:r>
        <w:rPr>
          <w:rStyle w:val="FootnoteReference"/>
        </w:rPr>
        <w:footnoteRef/>
      </w:r>
      <w:r>
        <w:t xml:space="preserve"> Ms Carol Bennet, Alliance for Gambling Reform, </w:t>
      </w:r>
      <w:r w:rsidRPr="00C65339">
        <w:rPr>
          <w:i/>
          <w:iCs/>
        </w:rPr>
        <w:t>Committee Hansard</w:t>
      </w:r>
      <w:r>
        <w:t xml:space="preserve">, 27 March 2024, </w:t>
      </w:r>
      <w:r w:rsidR="00A67758">
        <w:t>p</w:t>
      </w:r>
      <w:r>
        <w:t xml:space="preserve"> 41.</w:t>
      </w:r>
    </w:p>
  </w:footnote>
  <w:footnote w:id="80">
    <w:p w14:paraId="1701D963" w14:textId="77777777" w:rsidR="00EA32C4" w:rsidRDefault="00EA32C4" w:rsidP="00EA32C4">
      <w:pPr>
        <w:pStyle w:val="FootnoteText"/>
      </w:pPr>
      <w:r>
        <w:rPr>
          <w:rStyle w:val="FootnoteReference"/>
        </w:rPr>
        <w:footnoteRef/>
      </w:r>
      <w:r>
        <w:t xml:space="preserve"> Australian Federal Police Association, </w:t>
      </w:r>
      <w:r w:rsidRPr="00B7426F">
        <w:rPr>
          <w:i/>
          <w:iCs/>
        </w:rPr>
        <w:t>Submission 7</w:t>
      </w:r>
      <w:r>
        <w:t>, pp 3-4.</w:t>
      </w:r>
    </w:p>
  </w:footnote>
  <w:footnote w:id="81">
    <w:p w14:paraId="3CFD6C87" w14:textId="3478E767" w:rsidR="00EA32C4" w:rsidRDefault="00EA32C4" w:rsidP="00EA32C4">
      <w:pPr>
        <w:pStyle w:val="FootnoteText"/>
      </w:pPr>
      <w:r>
        <w:rPr>
          <w:rStyle w:val="FootnoteReference"/>
        </w:rPr>
        <w:footnoteRef/>
      </w:r>
      <w:r>
        <w:t xml:space="preserve"> ClubsACT, </w:t>
      </w:r>
      <w:r w:rsidRPr="00D209C1">
        <w:rPr>
          <w:i/>
          <w:iCs/>
        </w:rPr>
        <w:t>Submission 12</w:t>
      </w:r>
      <w:r>
        <w:t>, p 6.</w:t>
      </w:r>
    </w:p>
  </w:footnote>
  <w:footnote w:id="82">
    <w:p w14:paraId="61394E68" w14:textId="1D521D08" w:rsidR="00EA32C4" w:rsidRDefault="00EA32C4" w:rsidP="00EA32C4">
      <w:pPr>
        <w:pStyle w:val="FootnoteText"/>
      </w:pPr>
      <w:r>
        <w:rPr>
          <w:rStyle w:val="FootnoteReference"/>
        </w:rPr>
        <w:footnoteRef/>
      </w:r>
      <w:r>
        <w:t xml:space="preserve"> ClubsACT, </w:t>
      </w:r>
      <w:r w:rsidRPr="00D209C1">
        <w:rPr>
          <w:i/>
          <w:iCs/>
        </w:rPr>
        <w:t>Submission 12</w:t>
      </w:r>
      <w:r>
        <w:t>, p 8.</w:t>
      </w:r>
    </w:p>
  </w:footnote>
  <w:footnote w:id="83">
    <w:p w14:paraId="6E81E40A" w14:textId="04390D12" w:rsidR="00EA32C4" w:rsidRDefault="00EA32C4" w:rsidP="00EA32C4">
      <w:pPr>
        <w:pStyle w:val="FootnoteText"/>
      </w:pPr>
      <w:r>
        <w:rPr>
          <w:rStyle w:val="FootnoteReference"/>
        </w:rPr>
        <w:footnoteRef/>
      </w:r>
      <w:r>
        <w:t xml:space="preserve"> Mr Jinesh Patel, Chief Executive Officer, Gaming Technologies Association, </w:t>
      </w:r>
      <w:r w:rsidRPr="00C65339">
        <w:rPr>
          <w:i/>
          <w:iCs/>
        </w:rPr>
        <w:t>Committee Hansard</w:t>
      </w:r>
      <w:r>
        <w:t xml:space="preserve">, 27 March 2024, </w:t>
      </w:r>
      <w:r w:rsidR="00A67758">
        <w:t>p</w:t>
      </w:r>
      <w:r>
        <w:t xml:space="preserve"> 2.</w:t>
      </w:r>
    </w:p>
  </w:footnote>
  <w:footnote w:id="84">
    <w:p w14:paraId="047E92C4" w14:textId="77777777" w:rsidR="00E96FD6" w:rsidRDefault="00E96FD6" w:rsidP="00E96FD6">
      <w:pPr>
        <w:pStyle w:val="FootnoteText"/>
      </w:pPr>
      <w:r>
        <w:rPr>
          <w:rStyle w:val="FootnoteReference"/>
        </w:rPr>
        <w:footnoteRef/>
      </w:r>
      <w:r>
        <w:t xml:space="preserve"> Mr Craig Shannon, Executive Officer, ClubsACT, </w:t>
      </w:r>
      <w:r w:rsidRPr="00302F91">
        <w:rPr>
          <w:i/>
          <w:iCs/>
        </w:rPr>
        <w:t>Committee Hansard</w:t>
      </w:r>
      <w:r>
        <w:t>, 27 March 2024, p 57.</w:t>
      </w:r>
    </w:p>
  </w:footnote>
  <w:footnote w:id="85">
    <w:p w14:paraId="081641EE" w14:textId="77777777" w:rsidR="00EA32C4" w:rsidRDefault="00EA32C4" w:rsidP="00EA32C4">
      <w:pPr>
        <w:pStyle w:val="FootnoteText"/>
      </w:pPr>
      <w:r>
        <w:rPr>
          <w:rStyle w:val="FootnoteReference"/>
        </w:rPr>
        <w:footnoteRef/>
      </w:r>
      <w:r>
        <w:t xml:space="preserve"> ACT Government, </w:t>
      </w:r>
      <w:r w:rsidRPr="001E07FA">
        <w:rPr>
          <w:i/>
          <w:iCs/>
        </w:rPr>
        <w:t>Submission 11</w:t>
      </w:r>
      <w:r>
        <w:t>, p 11.</w:t>
      </w:r>
    </w:p>
  </w:footnote>
  <w:footnote w:id="86">
    <w:p w14:paraId="58EC0952" w14:textId="5BE2C5FA" w:rsidR="00EA32C4" w:rsidRDefault="00EA32C4" w:rsidP="00EA32C4">
      <w:pPr>
        <w:pStyle w:val="FootnoteText"/>
      </w:pPr>
      <w:r>
        <w:rPr>
          <w:rStyle w:val="FootnoteReference"/>
        </w:rPr>
        <w:footnoteRef/>
      </w:r>
      <w:r>
        <w:t xml:space="preserve"> Mr Shane Rattenbury MLA, Minister for Gaming, </w:t>
      </w:r>
      <w:r w:rsidRPr="001E07FA">
        <w:rPr>
          <w:i/>
          <w:iCs/>
        </w:rPr>
        <w:t>Committee Hansard</w:t>
      </w:r>
      <w:r>
        <w:t xml:space="preserve">, 27 March 2024, </w:t>
      </w:r>
      <w:r w:rsidR="00A67758">
        <w:t>p</w:t>
      </w:r>
      <w:r>
        <w:t xml:space="preserve"> 9.</w:t>
      </w:r>
    </w:p>
  </w:footnote>
  <w:footnote w:id="87">
    <w:p w14:paraId="722E8207" w14:textId="77777777" w:rsidR="00EA32C4" w:rsidRDefault="00EA32C4" w:rsidP="00EA32C4">
      <w:pPr>
        <w:pStyle w:val="FootnoteText"/>
      </w:pPr>
      <w:r>
        <w:rPr>
          <w:rStyle w:val="FootnoteReference"/>
        </w:rPr>
        <w:footnoteRef/>
      </w:r>
      <w:r>
        <w:t xml:space="preserve"> Australian Federal Police Association, </w:t>
      </w:r>
      <w:r w:rsidRPr="008745D2">
        <w:rPr>
          <w:i/>
          <w:iCs/>
        </w:rPr>
        <w:t>Submission 7</w:t>
      </w:r>
      <w:r>
        <w:t>, p 3.</w:t>
      </w:r>
    </w:p>
  </w:footnote>
  <w:footnote w:id="88">
    <w:p w14:paraId="7D3F2E51" w14:textId="1964F0E1" w:rsidR="00EA32C4" w:rsidRDefault="00EA32C4" w:rsidP="00EA32C4">
      <w:pPr>
        <w:pStyle w:val="FootnoteText"/>
      </w:pPr>
      <w:r>
        <w:rPr>
          <w:rStyle w:val="FootnoteReference"/>
        </w:rPr>
        <w:footnoteRef/>
      </w:r>
      <w:r>
        <w:t xml:space="preserve"> A regulatory sandbox is a framework set up by a regulator that allows businesses to test innovative products with</w:t>
      </w:r>
      <w:r w:rsidR="004D118E">
        <w:t>out</w:t>
      </w:r>
      <w:r>
        <w:t xml:space="preserve"> incurring the normal regulatory consequences under the regulator’s oversight.</w:t>
      </w:r>
    </w:p>
  </w:footnote>
  <w:footnote w:id="89">
    <w:p w14:paraId="7BE0C94A" w14:textId="77777777" w:rsidR="00EA32C4" w:rsidRDefault="00EA32C4" w:rsidP="00EA32C4">
      <w:pPr>
        <w:pStyle w:val="FootnoteText"/>
      </w:pPr>
      <w:r>
        <w:rPr>
          <w:rStyle w:val="FootnoteReference"/>
        </w:rPr>
        <w:footnoteRef/>
      </w:r>
      <w:r>
        <w:t xml:space="preserve"> Gaming Technologies Association, </w:t>
      </w:r>
      <w:r w:rsidRPr="00C4564D">
        <w:rPr>
          <w:i/>
          <w:iCs/>
        </w:rPr>
        <w:t>Submission 13</w:t>
      </w:r>
      <w:r>
        <w:t>, p 5.</w:t>
      </w:r>
    </w:p>
  </w:footnote>
  <w:footnote w:id="90">
    <w:p w14:paraId="7997236D" w14:textId="77777777" w:rsidR="00EA32C4" w:rsidRDefault="00EA32C4" w:rsidP="00EA32C4">
      <w:pPr>
        <w:pStyle w:val="FootnoteText"/>
      </w:pPr>
      <w:r>
        <w:rPr>
          <w:rStyle w:val="FootnoteReference"/>
        </w:rPr>
        <w:footnoteRef/>
      </w:r>
      <w:r>
        <w:t xml:space="preserve"> NSW Liquor &amp; Gaming, </w:t>
      </w:r>
      <w:r w:rsidRPr="004135EF">
        <w:rPr>
          <w:i/>
          <w:iCs/>
        </w:rPr>
        <w:t>Regulatory Sandbox trials</w:t>
      </w:r>
      <w:r>
        <w:t xml:space="preserve">, </w:t>
      </w:r>
      <w:hyperlink r:id="rId13" w:anchor=":~:text=Liquor%20%26%20Gaming%20NSW%20established%20the%20Regulatory%20Sandbox,has%20overseen%20two%20trials%20of%20cashless%20gaming%20technology." w:history="1">
        <w:r>
          <w:rPr>
            <w:rStyle w:val="Hyperlink"/>
          </w:rPr>
          <w:t>Regulatory Sandbox trials - Liquor &amp; Gaming NSW</w:t>
        </w:r>
      </w:hyperlink>
      <w:r>
        <w:t xml:space="preserve"> (accessed 10 April 2024)</w:t>
      </w:r>
    </w:p>
  </w:footnote>
  <w:footnote w:id="91">
    <w:p w14:paraId="3636FD11" w14:textId="77777777" w:rsidR="00EA32C4" w:rsidRDefault="00EA32C4" w:rsidP="00EA32C4">
      <w:pPr>
        <w:pStyle w:val="FootnoteText"/>
      </w:pPr>
      <w:r>
        <w:rPr>
          <w:rStyle w:val="FootnoteReference"/>
        </w:rPr>
        <w:footnoteRef/>
      </w:r>
      <w:r>
        <w:t xml:space="preserve"> NSW Liquor &amp; Gaming, Independent panel on gaming reform/NSW cashless gaming trial, </w:t>
      </w:r>
      <w:hyperlink r:id="rId14" w:history="1">
        <w:r>
          <w:rPr>
            <w:rStyle w:val="Hyperlink"/>
          </w:rPr>
          <w:t>NSW cashless gaming trial - Liquor &amp; Gaming NSW</w:t>
        </w:r>
      </w:hyperlink>
      <w:r>
        <w:t xml:space="preserve"> (accessed 10 April 2024)</w:t>
      </w:r>
    </w:p>
  </w:footnote>
  <w:footnote w:id="92">
    <w:p w14:paraId="76974160" w14:textId="77777777" w:rsidR="00EA32C4" w:rsidRDefault="00EA32C4" w:rsidP="00EA32C4">
      <w:pPr>
        <w:pStyle w:val="FootnoteText"/>
      </w:pPr>
      <w:r>
        <w:rPr>
          <w:rStyle w:val="FootnoteReference"/>
        </w:rPr>
        <w:footnoteRef/>
      </w:r>
      <w:r>
        <w:t xml:space="preserve"> ACT Government, </w:t>
      </w:r>
      <w:r w:rsidRPr="00754F3B">
        <w:rPr>
          <w:i/>
          <w:iCs/>
        </w:rPr>
        <w:t>Submission 11</w:t>
      </w:r>
      <w:r>
        <w:t>, p 2.</w:t>
      </w:r>
    </w:p>
  </w:footnote>
  <w:footnote w:id="93">
    <w:p w14:paraId="23B3F5AA" w14:textId="77777777" w:rsidR="00EA32C4" w:rsidRDefault="00EA32C4" w:rsidP="00EA32C4">
      <w:pPr>
        <w:pStyle w:val="FootnoteText"/>
      </w:pPr>
      <w:r>
        <w:rPr>
          <w:rStyle w:val="FootnoteReference"/>
        </w:rPr>
        <w:footnoteRef/>
      </w:r>
      <w:r>
        <w:t xml:space="preserve"> ACT Government, </w:t>
      </w:r>
      <w:r w:rsidRPr="00754F3B">
        <w:rPr>
          <w:i/>
          <w:iCs/>
        </w:rPr>
        <w:t>Submission 11</w:t>
      </w:r>
      <w:r>
        <w:t>, p 9.</w:t>
      </w:r>
    </w:p>
  </w:footnote>
  <w:footnote w:id="94">
    <w:p w14:paraId="66C49A45" w14:textId="77777777" w:rsidR="00862F3B" w:rsidRDefault="00862F3B" w:rsidP="00862F3B">
      <w:pPr>
        <w:pStyle w:val="FootnoteText"/>
      </w:pPr>
      <w:r>
        <w:rPr>
          <w:rStyle w:val="FootnoteReference"/>
        </w:rPr>
        <w:footnoteRef/>
      </w:r>
      <w:r>
        <w:t xml:space="preserve"> Mr Shane Rattenbury, Minister for Gaming, </w:t>
      </w:r>
      <w:r w:rsidRPr="00D2105B">
        <w:rPr>
          <w:i/>
          <w:iCs/>
        </w:rPr>
        <w:t>Committee Hansard</w:t>
      </w:r>
      <w:r>
        <w:t>, 27 March 2024, p 22, 28.</w:t>
      </w:r>
    </w:p>
  </w:footnote>
  <w:footnote w:id="95">
    <w:p w14:paraId="49E442EA" w14:textId="77777777" w:rsidR="00EA32C4" w:rsidRDefault="00EA32C4" w:rsidP="00EA32C4">
      <w:pPr>
        <w:pStyle w:val="FootnoteText"/>
      </w:pPr>
      <w:r>
        <w:rPr>
          <w:rStyle w:val="FootnoteReference"/>
        </w:rPr>
        <w:footnoteRef/>
      </w:r>
      <w:r>
        <w:t xml:space="preserve"> Mr Jeremy Rockliff, Premier of Tasmania, ‘Nation-leading card-based gaming with pre-commitment a first in Tasmania’ Media Release, 15 September 2022.</w:t>
      </w:r>
    </w:p>
  </w:footnote>
  <w:footnote w:id="96">
    <w:p w14:paraId="54E7E1C6" w14:textId="77777777" w:rsidR="00EA32C4" w:rsidRDefault="00EA32C4" w:rsidP="00EA32C4">
      <w:pPr>
        <w:pStyle w:val="FootnoteText"/>
      </w:pPr>
      <w:r>
        <w:rPr>
          <w:rStyle w:val="FootnoteReference"/>
        </w:rPr>
        <w:footnoteRef/>
      </w:r>
      <w:r>
        <w:t xml:space="preserve"> ACT Government, </w:t>
      </w:r>
      <w:r w:rsidRPr="00754F3B">
        <w:rPr>
          <w:i/>
          <w:iCs/>
        </w:rPr>
        <w:t>Submission 11</w:t>
      </w:r>
      <w:r>
        <w:t>, p 10.</w:t>
      </w:r>
    </w:p>
  </w:footnote>
  <w:footnote w:id="97">
    <w:p w14:paraId="5ECD4FCE" w14:textId="77777777" w:rsidR="00EA32C4" w:rsidRDefault="00EA32C4" w:rsidP="00EA32C4">
      <w:pPr>
        <w:pStyle w:val="FootnoteText"/>
      </w:pPr>
      <w:r>
        <w:rPr>
          <w:rStyle w:val="FootnoteReference"/>
        </w:rPr>
        <w:footnoteRef/>
      </w:r>
      <w:r>
        <w:t xml:space="preserve"> ACT Government, </w:t>
      </w:r>
      <w:r w:rsidRPr="00754F3B">
        <w:rPr>
          <w:i/>
          <w:iCs/>
        </w:rPr>
        <w:t>Submission 11</w:t>
      </w:r>
      <w:r>
        <w:t>, p 2.</w:t>
      </w:r>
    </w:p>
  </w:footnote>
  <w:footnote w:id="98">
    <w:p w14:paraId="057B7ABD" w14:textId="77777777" w:rsidR="00EA32C4" w:rsidRDefault="00EA32C4" w:rsidP="00EA32C4">
      <w:pPr>
        <w:pStyle w:val="FootnoteText"/>
      </w:pPr>
      <w:r>
        <w:rPr>
          <w:rStyle w:val="FootnoteReference"/>
        </w:rPr>
        <w:footnoteRef/>
      </w:r>
      <w:r>
        <w:t xml:space="preserve"> ACT Government, </w:t>
      </w:r>
      <w:r w:rsidRPr="00754F3B">
        <w:rPr>
          <w:i/>
          <w:iCs/>
        </w:rPr>
        <w:t>Submission 11</w:t>
      </w:r>
      <w:r>
        <w:t>, pp 10-11.</w:t>
      </w:r>
    </w:p>
  </w:footnote>
  <w:footnote w:id="99">
    <w:p w14:paraId="16949909" w14:textId="77777777" w:rsidR="00AA3AF3" w:rsidRDefault="00AA3AF3" w:rsidP="00AA3AF3">
      <w:pPr>
        <w:pStyle w:val="FootnoteText"/>
      </w:pPr>
      <w:r>
        <w:rPr>
          <w:rStyle w:val="FootnoteReference"/>
        </w:rPr>
        <w:footnoteRef/>
      </w:r>
      <w:r>
        <w:t xml:space="preserve"> Mr Shane Rattenbury MLA, Minister for Gaming, </w:t>
      </w:r>
      <w:r w:rsidRPr="001F0E42">
        <w:rPr>
          <w:i/>
          <w:iCs/>
        </w:rPr>
        <w:t>Committee Hansard</w:t>
      </w:r>
      <w:r>
        <w:t>, 27 March 2024, pp 19</w:t>
      </w:r>
      <w:r>
        <w:softHyphen/>
        <w:t>–22.</w:t>
      </w:r>
    </w:p>
  </w:footnote>
  <w:footnote w:id="100">
    <w:p w14:paraId="5DBFAAA9" w14:textId="77777777" w:rsidR="00AA3AF3" w:rsidRDefault="00AA3AF3" w:rsidP="00AA3AF3">
      <w:pPr>
        <w:pStyle w:val="FootnoteText"/>
      </w:pPr>
      <w:r>
        <w:rPr>
          <w:rStyle w:val="FootnoteReference"/>
        </w:rPr>
        <w:footnoteRef/>
      </w:r>
      <w:r>
        <w:t xml:space="preserve"> ClubsACT, </w:t>
      </w:r>
      <w:r w:rsidRPr="00D209C1">
        <w:rPr>
          <w:i/>
          <w:iCs/>
        </w:rPr>
        <w:t>Submission 12</w:t>
      </w:r>
      <w:r>
        <w:t>, pp 4-5.</w:t>
      </w:r>
    </w:p>
  </w:footnote>
  <w:footnote w:id="101">
    <w:p w14:paraId="1D02FEAC" w14:textId="77777777" w:rsidR="00AA3AF3" w:rsidRDefault="00AA3AF3" w:rsidP="00AA3AF3">
      <w:pPr>
        <w:pStyle w:val="FootnoteText"/>
      </w:pPr>
      <w:r>
        <w:rPr>
          <w:rStyle w:val="FootnoteReference"/>
        </w:rPr>
        <w:footnoteRef/>
      </w:r>
      <w:r>
        <w:t xml:space="preserve"> ClubsACT, </w:t>
      </w:r>
      <w:r w:rsidRPr="00D209C1">
        <w:rPr>
          <w:i/>
          <w:iCs/>
        </w:rPr>
        <w:t>Submission 12</w:t>
      </w:r>
      <w:r>
        <w:t>, p 5.</w:t>
      </w:r>
    </w:p>
  </w:footnote>
  <w:footnote w:id="102">
    <w:p w14:paraId="16F0C7D5" w14:textId="77777777" w:rsidR="00AA3AF3" w:rsidRDefault="00AA3AF3" w:rsidP="00AA3AF3">
      <w:pPr>
        <w:pStyle w:val="FootnoteText"/>
      </w:pPr>
      <w:r>
        <w:rPr>
          <w:rStyle w:val="FootnoteReference"/>
        </w:rPr>
        <w:footnoteRef/>
      </w:r>
      <w:r>
        <w:t xml:space="preserve"> Canberra Community Clubs, </w:t>
      </w:r>
      <w:r w:rsidRPr="0072606B">
        <w:rPr>
          <w:i/>
          <w:iCs/>
        </w:rPr>
        <w:t>Submission 6</w:t>
      </w:r>
      <w:r>
        <w:t xml:space="preserve">, p 10. </w:t>
      </w:r>
    </w:p>
  </w:footnote>
  <w:footnote w:id="103">
    <w:p w14:paraId="2E2EE476" w14:textId="77777777" w:rsidR="00AA3AF3" w:rsidRDefault="00AA3AF3" w:rsidP="00AA3AF3">
      <w:pPr>
        <w:pStyle w:val="FootnoteText"/>
      </w:pPr>
      <w:r>
        <w:rPr>
          <w:rStyle w:val="FootnoteReference"/>
        </w:rPr>
        <w:footnoteRef/>
      </w:r>
      <w:r>
        <w:t xml:space="preserve"> Mr Craig Shannon, Chief Executive Officer, ClubsACT, </w:t>
      </w:r>
      <w:r w:rsidRPr="00305DF6">
        <w:rPr>
          <w:i/>
          <w:iCs/>
        </w:rPr>
        <w:t>Committee Hansard</w:t>
      </w:r>
      <w:r>
        <w:t>, 27 March 2024, p 59.</w:t>
      </w:r>
    </w:p>
  </w:footnote>
  <w:footnote w:id="104">
    <w:p w14:paraId="57FF518A" w14:textId="77777777" w:rsidR="00AA3AF3" w:rsidRDefault="00AA3AF3" w:rsidP="00AA3AF3">
      <w:pPr>
        <w:pStyle w:val="FootnoteText"/>
      </w:pPr>
      <w:r>
        <w:rPr>
          <w:rStyle w:val="FootnoteReference"/>
        </w:rPr>
        <w:footnoteRef/>
      </w:r>
      <w:r>
        <w:t xml:space="preserve"> Associate Professor Aino Suomi, Director, ANU Centre for Gambling Research, </w:t>
      </w:r>
      <w:r w:rsidRPr="00394C22">
        <w:rPr>
          <w:i/>
          <w:iCs/>
        </w:rPr>
        <w:t>Committee Hansard</w:t>
      </w:r>
      <w:r>
        <w:t>, 27 March 2024, pp 30–31.</w:t>
      </w:r>
    </w:p>
  </w:footnote>
  <w:footnote w:id="105">
    <w:p w14:paraId="78E810B1" w14:textId="77777777" w:rsidR="00AA3AF3" w:rsidRDefault="00AA3AF3" w:rsidP="00AA3AF3">
      <w:pPr>
        <w:pStyle w:val="FootnoteText"/>
      </w:pPr>
      <w:r>
        <w:rPr>
          <w:rStyle w:val="FootnoteReference"/>
        </w:rPr>
        <w:footnoteRef/>
      </w:r>
      <w:r>
        <w:t xml:space="preserve"> The Gambling Treatment and Research Centre, </w:t>
      </w:r>
      <w:r w:rsidRPr="00D81093">
        <w:rPr>
          <w:i/>
          <w:iCs/>
        </w:rPr>
        <w:t>Submission 3</w:t>
      </w:r>
      <w:r>
        <w:t xml:space="preserve">, p 2. </w:t>
      </w:r>
    </w:p>
  </w:footnote>
  <w:footnote w:id="106">
    <w:p w14:paraId="79D55646" w14:textId="77777777" w:rsidR="00AA3AF3" w:rsidRPr="00CA4CB8" w:rsidRDefault="00AA3AF3" w:rsidP="00AA3AF3">
      <w:pPr>
        <w:pStyle w:val="FootnoteText"/>
      </w:pPr>
      <w:r>
        <w:rPr>
          <w:rStyle w:val="FootnoteReference"/>
        </w:rPr>
        <w:footnoteRef/>
      </w:r>
      <w:r>
        <w:t xml:space="preserve"> Professor Sally Gainsbury, Director, Gambling Treatment and Research Clinic, </w:t>
      </w:r>
      <w:r w:rsidRPr="005F6D6A">
        <w:rPr>
          <w:i/>
          <w:iCs/>
        </w:rPr>
        <w:t>Committee Hansard</w:t>
      </w:r>
      <w:r>
        <w:t xml:space="preserve">, 27 March 2024, </w:t>
      </w:r>
      <w:r>
        <w:br/>
        <w:t>pp 35–36.</w:t>
      </w:r>
    </w:p>
  </w:footnote>
  <w:footnote w:id="107">
    <w:p w14:paraId="085BC4ED" w14:textId="77777777" w:rsidR="00AA3AF3" w:rsidRDefault="00AA3AF3" w:rsidP="00AA3AF3">
      <w:pPr>
        <w:pStyle w:val="FootnoteText"/>
      </w:pPr>
      <w:r>
        <w:rPr>
          <w:rStyle w:val="FootnoteReference"/>
        </w:rPr>
        <w:footnoteRef/>
      </w:r>
      <w:r>
        <w:t xml:space="preserve"> Professor Sally Gainsbury, Director, Gambling Treatment and Research Clinic, </w:t>
      </w:r>
      <w:r w:rsidRPr="005F6D6A">
        <w:rPr>
          <w:i/>
          <w:iCs/>
        </w:rPr>
        <w:t>Committee Hansard</w:t>
      </w:r>
      <w:r>
        <w:t xml:space="preserve">, 27 March 2024, p 31. </w:t>
      </w:r>
    </w:p>
  </w:footnote>
  <w:footnote w:id="108">
    <w:p w14:paraId="439E7790" w14:textId="77777777" w:rsidR="00AA3AF3" w:rsidRDefault="00AA3AF3" w:rsidP="00AA3AF3">
      <w:pPr>
        <w:pStyle w:val="FootnoteText"/>
      </w:pPr>
      <w:r>
        <w:rPr>
          <w:rStyle w:val="FootnoteReference"/>
        </w:rPr>
        <w:footnoteRef/>
      </w:r>
      <w:r>
        <w:t xml:space="preserve"> Professor Sally Gainsbury, Director, Gambling Treatment and Research Clinic, </w:t>
      </w:r>
      <w:r w:rsidRPr="005F6D6A">
        <w:rPr>
          <w:i/>
          <w:iCs/>
        </w:rPr>
        <w:t>Committee Hansard</w:t>
      </w:r>
      <w:r>
        <w:t>, 27 March 2024, p 32.</w:t>
      </w:r>
    </w:p>
  </w:footnote>
  <w:footnote w:id="109">
    <w:p w14:paraId="315DA362" w14:textId="77777777" w:rsidR="00AA3AF3" w:rsidRDefault="00AA3AF3" w:rsidP="00AA3AF3">
      <w:pPr>
        <w:pStyle w:val="FootnoteText"/>
      </w:pPr>
      <w:r>
        <w:rPr>
          <w:rStyle w:val="FootnoteReference"/>
        </w:rPr>
        <w:footnoteRef/>
      </w:r>
      <w:r>
        <w:t xml:space="preserve"> ANU Centre for Gambling Research, </w:t>
      </w:r>
      <w:r w:rsidRPr="00AB64BE">
        <w:rPr>
          <w:i/>
          <w:iCs/>
        </w:rPr>
        <w:t>Submission 10</w:t>
      </w:r>
      <w:r>
        <w:t>, p 2.</w:t>
      </w:r>
    </w:p>
  </w:footnote>
  <w:footnote w:id="110">
    <w:p w14:paraId="7051B8CC" w14:textId="77777777" w:rsidR="00AA3AF3" w:rsidRDefault="00AA3AF3" w:rsidP="00AA3AF3">
      <w:pPr>
        <w:pStyle w:val="FootnoteText"/>
      </w:pPr>
      <w:r>
        <w:rPr>
          <w:rStyle w:val="FootnoteReference"/>
        </w:rPr>
        <w:footnoteRef/>
      </w:r>
      <w:r>
        <w:t xml:space="preserve"> Associate Professor Aino Suomi, Director, ANU Centre for Gambling Research, </w:t>
      </w:r>
      <w:r w:rsidRPr="00394C22">
        <w:rPr>
          <w:i/>
          <w:iCs/>
        </w:rPr>
        <w:t>Committee Hansard</w:t>
      </w:r>
      <w:r>
        <w:t>, 27 March 2024, pp 30–31.</w:t>
      </w:r>
    </w:p>
  </w:footnote>
  <w:footnote w:id="111">
    <w:p w14:paraId="0A2B4DEB" w14:textId="77777777" w:rsidR="00AA3AF3" w:rsidRDefault="00AA3AF3" w:rsidP="00AA3AF3">
      <w:pPr>
        <w:pStyle w:val="FootnoteText"/>
      </w:pPr>
      <w:r>
        <w:rPr>
          <w:rStyle w:val="FootnoteReference"/>
        </w:rPr>
        <w:footnoteRef/>
      </w:r>
      <w:r>
        <w:t xml:space="preserve"> Ms Carol Bennet, Chief Executive Officer, Alliance for Gambling Reform, </w:t>
      </w:r>
      <w:r w:rsidRPr="003F00B7">
        <w:rPr>
          <w:i/>
          <w:iCs/>
        </w:rPr>
        <w:t>Committee Hansard</w:t>
      </w:r>
      <w:r>
        <w:t>, 27 March 2024, p 43.</w:t>
      </w:r>
    </w:p>
  </w:footnote>
  <w:footnote w:id="112">
    <w:p w14:paraId="3A58E1C0" w14:textId="77777777" w:rsidR="00AA3AF3" w:rsidRDefault="00AA3AF3" w:rsidP="00AA3AF3">
      <w:pPr>
        <w:pStyle w:val="FootnoteText"/>
      </w:pPr>
      <w:r>
        <w:rPr>
          <w:rStyle w:val="FootnoteReference"/>
        </w:rPr>
        <w:footnoteRef/>
      </w:r>
      <w:r>
        <w:t xml:space="preserve"> Rev Tim Costello, Chief Advocate, Alliance for Gambling Reform, </w:t>
      </w:r>
      <w:r w:rsidRPr="005E4359">
        <w:rPr>
          <w:i/>
          <w:iCs/>
        </w:rPr>
        <w:t>Committee Hansard</w:t>
      </w:r>
      <w:r>
        <w:t xml:space="preserve">, 27 March 2024, p 44. </w:t>
      </w:r>
    </w:p>
  </w:footnote>
  <w:footnote w:id="113">
    <w:p w14:paraId="7ED9511F" w14:textId="77777777" w:rsidR="00AA3AF3" w:rsidRDefault="00AA3AF3" w:rsidP="00AA3AF3">
      <w:pPr>
        <w:pStyle w:val="FootnoteText"/>
      </w:pPr>
      <w:r>
        <w:rPr>
          <w:rStyle w:val="FootnoteReference"/>
        </w:rPr>
        <w:footnoteRef/>
      </w:r>
      <w:r>
        <w:t xml:space="preserve"> Mr Devin Bowels, Chief Executive Officer, ACTCOSS, </w:t>
      </w:r>
      <w:r w:rsidRPr="00D81093">
        <w:rPr>
          <w:i/>
          <w:iCs/>
        </w:rPr>
        <w:t>Committee Hansard</w:t>
      </w:r>
      <w:r>
        <w:t>, 27 March 2024, p 43.</w:t>
      </w:r>
    </w:p>
  </w:footnote>
  <w:footnote w:id="114">
    <w:p w14:paraId="720A1250" w14:textId="77777777" w:rsidR="00AA3AF3" w:rsidRDefault="00AA3AF3" w:rsidP="00AA3AF3">
      <w:pPr>
        <w:pStyle w:val="FootnoteText"/>
      </w:pPr>
      <w:r>
        <w:rPr>
          <w:rStyle w:val="FootnoteReference"/>
        </w:rPr>
        <w:footnoteRef/>
      </w:r>
      <w:r>
        <w:t xml:space="preserve"> ACTCOSS, </w:t>
      </w:r>
      <w:r w:rsidRPr="00174F1B">
        <w:rPr>
          <w:i/>
          <w:iCs/>
        </w:rPr>
        <w:t>Submission 9</w:t>
      </w:r>
      <w:r>
        <w:t>, p 2.</w:t>
      </w:r>
    </w:p>
  </w:footnote>
  <w:footnote w:id="115">
    <w:p w14:paraId="7D7FA3FA" w14:textId="52E5A93C" w:rsidR="00A53FDB" w:rsidRDefault="00A53FDB" w:rsidP="00A53FDB">
      <w:pPr>
        <w:pStyle w:val="FootnoteText"/>
      </w:pPr>
      <w:r>
        <w:rPr>
          <w:rStyle w:val="FootnoteReference"/>
        </w:rPr>
        <w:footnoteRef/>
      </w:r>
      <w:r>
        <w:t xml:space="preserve"> ACT Government, </w:t>
      </w:r>
      <w:r w:rsidRPr="000A2093">
        <w:rPr>
          <w:i/>
          <w:iCs/>
        </w:rPr>
        <w:t>Submission 11</w:t>
      </w:r>
      <w:r>
        <w:t>, p 2.</w:t>
      </w:r>
    </w:p>
  </w:footnote>
  <w:footnote w:id="116">
    <w:p w14:paraId="74830E58" w14:textId="77777777" w:rsidR="007830C2" w:rsidRDefault="007830C2" w:rsidP="007830C2">
      <w:pPr>
        <w:pStyle w:val="FootnoteText"/>
      </w:pPr>
      <w:r>
        <w:rPr>
          <w:rStyle w:val="FootnoteReference"/>
        </w:rPr>
        <w:footnoteRef/>
      </w:r>
      <w:r>
        <w:t xml:space="preserve"> ACT Government, </w:t>
      </w:r>
      <w:r w:rsidRPr="000A2093">
        <w:rPr>
          <w:i/>
          <w:iCs/>
        </w:rPr>
        <w:t>Submission 11</w:t>
      </w:r>
      <w:r>
        <w:t>, pp 2-3.</w:t>
      </w:r>
    </w:p>
  </w:footnote>
  <w:footnote w:id="117">
    <w:p w14:paraId="62CA4592" w14:textId="77777777" w:rsidR="007830C2" w:rsidRDefault="007830C2" w:rsidP="007830C2">
      <w:pPr>
        <w:pStyle w:val="FootnoteText"/>
      </w:pPr>
      <w:r>
        <w:rPr>
          <w:rStyle w:val="FootnoteReference"/>
        </w:rPr>
        <w:footnoteRef/>
      </w:r>
      <w:r>
        <w:t xml:space="preserve"> ACT Government, </w:t>
      </w:r>
      <w:r w:rsidRPr="000A2093">
        <w:rPr>
          <w:i/>
          <w:iCs/>
        </w:rPr>
        <w:t>Submission 11</w:t>
      </w:r>
      <w:r>
        <w:t>, pp 15-16.</w:t>
      </w:r>
    </w:p>
  </w:footnote>
  <w:footnote w:id="118">
    <w:p w14:paraId="6553FAF9" w14:textId="77777777" w:rsidR="00570363" w:rsidRDefault="00570363" w:rsidP="00570363">
      <w:pPr>
        <w:pStyle w:val="FootnoteText"/>
      </w:pPr>
      <w:r>
        <w:rPr>
          <w:rStyle w:val="FootnoteReference"/>
        </w:rPr>
        <w:footnoteRef/>
      </w:r>
      <w:r>
        <w:t xml:space="preserve"> Mr Shane Rattenbury, Minister for Gaming, </w:t>
      </w:r>
      <w:r w:rsidRPr="00D2105B">
        <w:rPr>
          <w:i/>
          <w:iCs/>
        </w:rPr>
        <w:t>Committee Hansard</w:t>
      </w:r>
      <w:r>
        <w:t>, 27 March 2024, p 9.</w:t>
      </w:r>
    </w:p>
  </w:footnote>
  <w:footnote w:id="119">
    <w:p w14:paraId="61CFFE51" w14:textId="77777777" w:rsidR="00570363" w:rsidRDefault="00570363" w:rsidP="00570363">
      <w:pPr>
        <w:pStyle w:val="FootnoteText"/>
      </w:pPr>
      <w:r>
        <w:rPr>
          <w:rStyle w:val="FootnoteReference"/>
        </w:rPr>
        <w:footnoteRef/>
      </w:r>
      <w:r>
        <w:t xml:space="preserve"> Mr Craig Shannon, Chief Executive Officer, ClubsACT, </w:t>
      </w:r>
      <w:r w:rsidRPr="00D2105B">
        <w:rPr>
          <w:i/>
          <w:iCs/>
        </w:rPr>
        <w:t>Committee Hansard</w:t>
      </w:r>
      <w:r>
        <w:t>, 27 March 2024, p 58.</w:t>
      </w:r>
    </w:p>
  </w:footnote>
  <w:footnote w:id="120">
    <w:p w14:paraId="035C5DCB" w14:textId="77777777" w:rsidR="00570363" w:rsidRDefault="00570363" w:rsidP="00570363">
      <w:pPr>
        <w:pStyle w:val="FootnoteText"/>
      </w:pPr>
      <w:r>
        <w:rPr>
          <w:rStyle w:val="FootnoteReference"/>
        </w:rPr>
        <w:footnoteRef/>
      </w:r>
      <w:r>
        <w:t xml:space="preserve"> Mr Craig Shannon, Chief Executive Officer, ClubsACT, </w:t>
      </w:r>
      <w:r w:rsidRPr="00D2105B">
        <w:rPr>
          <w:i/>
          <w:iCs/>
        </w:rPr>
        <w:t>Committee Hansard</w:t>
      </w:r>
      <w:r>
        <w:t>, 27 March 2024, p 53.</w:t>
      </w:r>
    </w:p>
  </w:footnote>
  <w:footnote w:id="121">
    <w:p w14:paraId="0986EB99" w14:textId="77777777" w:rsidR="00570363" w:rsidRDefault="00570363" w:rsidP="00570363">
      <w:pPr>
        <w:pStyle w:val="FootnoteText"/>
      </w:pPr>
      <w:r>
        <w:rPr>
          <w:rStyle w:val="FootnoteReference"/>
        </w:rPr>
        <w:footnoteRef/>
      </w:r>
      <w:r>
        <w:t xml:space="preserve"> Mr Athol Chalmers,</w:t>
      </w:r>
      <w:r w:rsidRPr="00E31A7C">
        <w:t xml:space="preserve"> </w:t>
      </w:r>
      <w:r>
        <w:t xml:space="preserve">President, Canberra Community Clubs, </w:t>
      </w:r>
      <w:r w:rsidRPr="00D2105B">
        <w:rPr>
          <w:i/>
          <w:iCs/>
        </w:rPr>
        <w:t>Committee Hansard</w:t>
      </w:r>
      <w:r>
        <w:t>, 27 March 2024, p 54.</w:t>
      </w:r>
    </w:p>
  </w:footnote>
  <w:footnote w:id="122">
    <w:p w14:paraId="1808FE90" w14:textId="77777777" w:rsidR="00570363" w:rsidRDefault="00570363" w:rsidP="00570363">
      <w:pPr>
        <w:pStyle w:val="FootnoteText"/>
      </w:pPr>
      <w:r>
        <w:rPr>
          <w:rStyle w:val="FootnoteReference"/>
        </w:rPr>
        <w:footnoteRef/>
      </w:r>
      <w:r>
        <w:t xml:space="preserve"> Mr Craig Shannon, Chief Executive Officer, ClubsACT, </w:t>
      </w:r>
      <w:r w:rsidRPr="00D2105B">
        <w:rPr>
          <w:i/>
          <w:iCs/>
        </w:rPr>
        <w:t>Committee Hansard</w:t>
      </w:r>
      <w:r>
        <w:t>, 27 March 2024, p 61.</w:t>
      </w:r>
    </w:p>
  </w:footnote>
  <w:footnote w:id="123">
    <w:p w14:paraId="5ED46F33" w14:textId="232DB693" w:rsidR="00046694" w:rsidRDefault="00046694">
      <w:pPr>
        <w:pStyle w:val="FootnoteText"/>
      </w:pPr>
      <w:r>
        <w:rPr>
          <w:rStyle w:val="FootnoteReference"/>
        </w:rPr>
        <w:footnoteRef/>
      </w:r>
      <w:r>
        <w:t xml:space="preserve"> ACT Government, </w:t>
      </w:r>
      <w:r w:rsidRPr="000A2093">
        <w:rPr>
          <w:i/>
          <w:iCs/>
        </w:rPr>
        <w:t>Submission 11</w:t>
      </w:r>
      <w:r>
        <w:t>, p 2.</w:t>
      </w:r>
    </w:p>
  </w:footnote>
  <w:footnote w:id="124">
    <w:p w14:paraId="5FF88217" w14:textId="77777777" w:rsidR="00AA3AF3" w:rsidRDefault="00AA3AF3" w:rsidP="00AA3AF3">
      <w:pPr>
        <w:pStyle w:val="FootnoteText"/>
      </w:pPr>
      <w:r>
        <w:rPr>
          <w:rStyle w:val="FootnoteReference"/>
        </w:rPr>
        <w:footnoteRef/>
      </w:r>
      <w:r>
        <w:t xml:space="preserve"> ACT Government, </w:t>
      </w:r>
      <w:r w:rsidRPr="00754F3B">
        <w:rPr>
          <w:i/>
          <w:iCs/>
        </w:rPr>
        <w:t>Submission 11</w:t>
      </w:r>
      <w:r>
        <w:t>, p 2.</w:t>
      </w:r>
    </w:p>
  </w:footnote>
  <w:footnote w:id="125">
    <w:p w14:paraId="5BA387B1" w14:textId="77777777" w:rsidR="00AA3AF3" w:rsidRDefault="00AA3AF3" w:rsidP="00AA3AF3">
      <w:pPr>
        <w:pStyle w:val="FootnoteText"/>
      </w:pPr>
      <w:r>
        <w:rPr>
          <w:rStyle w:val="FootnoteReference"/>
        </w:rPr>
        <w:footnoteRef/>
      </w:r>
      <w:r>
        <w:t xml:space="preserve"> ACT Government, </w:t>
      </w:r>
      <w:r w:rsidRPr="00BC1DF7">
        <w:rPr>
          <w:i/>
          <w:iCs/>
        </w:rPr>
        <w:t>Submission 11</w:t>
      </w:r>
      <w:r>
        <w:t>, p 8.</w:t>
      </w:r>
    </w:p>
  </w:footnote>
  <w:footnote w:id="126">
    <w:p w14:paraId="36D3EE9A" w14:textId="3A8CAC61" w:rsidR="00D24B9E" w:rsidRDefault="00D24B9E">
      <w:pPr>
        <w:pStyle w:val="FootnoteText"/>
      </w:pPr>
      <w:r>
        <w:rPr>
          <w:rStyle w:val="FootnoteReference"/>
        </w:rPr>
        <w:footnoteRef/>
      </w:r>
      <w:r>
        <w:t xml:space="preserve"> Mr Neil Spencer, Managing Director, Gaming Consultants International, </w:t>
      </w:r>
      <w:r w:rsidRPr="00D2105B">
        <w:rPr>
          <w:i/>
          <w:iCs/>
        </w:rPr>
        <w:t>Committee Hansard</w:t>
      </w:r>
      <w:r>
        <w:t xml:space="preserve">, 27 March 2024, </w:t>
      </w:r>
      <w:r w:rsidR="00A67758">
        <w:t>p</w:t>
      </w:r>
      <w:r>
        <w:t xml:space="preserve"> 55.</w:t>
      </w:r>
    </w:p>
  </w:footnote>
  <w:footnote w:id="127">
    <w:p w14:paraId="70E1C345" w14:textId="77777777" w:rsidR="00F131BF" w:rsidRDefault="00F131BF" w:rsidP="00F131BF">
      <w:pPr>
        <w:pStyle w:val="FootnoteText"/>
      </w:pPr>
      <w:r>
        <w:rPr>
          <w:rStyle w:val="FootnoteReference"/>
        </w:rPr>
        <w:footnoteRef/>
      </w:r>
      <w:r>
        <w:t xml:space="preserve"> Mr Shane Rattenbury, Minister for Gaming, </w:t>
      </w:r>
      <w:r w:rsidRPr="00D2105B">
        <w:rPr>
          <w:i/>
          <w:iCs/>
        </w:rPr>
        <w:t>Committee Hansard</w:t>
      </w:r>
      <w:r>
        <w:t>, 27 March 2024, p 19.</w:t>
      </w:r>
    </w:p>
  </w:footnote>
  <w:footnote w:id="128">
    <w:p w14:paraId="2C9F4A69" w14:textId="77777777" w:rsidR="00F131BF" w:rsidRDefault="00F131BF" w:rsidP="00F131BF">
      <w:pPr>
        <w:pStyle w:val="FootnoteText"/>
      </w:pPr>
      <w:r>
        <w:rPr>
          <w:rStyle w:val="FootnoteReference"/>
        </w:rPr>
        <w:footnoteRef/>
      </w:r>
      <w:r>
        <w:t xml:space="preserve"> ACT Government, </w:t>
      </w:r>
      <w:r w:rsidRPr="00BC1DF7">
        <w:rPr>
          <w:i/>
          <w:iCs/>
        </w:rPr>
        <w:t>Submission 11</w:t>
      </w:r>
      <w:r>
        <w:t>, p 7.</w:t>
      </w:r>
    </w:p>
  </w:footnote>
  <w:footnote w:id="129">
    <w:p w14:paraId="75F65FC7" w14:textId="77777777" w:rsidR="00F131BF" w:rsidRDefault="00F131BF" w:rsidP="00F131BF">
      <w:pPr>
        <w:pStyle w:val="FootnoteText"/>
      </w:pPr>
      <w:r>
        <w:rPr>
          <w:rStyle w:val="FootnoteReference"/>
        </w:rPr>
        <w:footnoteRef/>
      </w:r>
      <w:r>
        <w:t xml:space="preserve"> Mr Craig Shannon, Executive Officer, ClubsACT, </w:t>
      </w:r>
      <w:r w:rsidRPr="00302F91">
        <w:rPr>
          <w:i/>
          <w:iCs/>
        </w:rPr>
        <w:t>Committee Hansard</w:t>
      </w:r>
      <w:r>
        <w:t>, 27 March 2024, p 56.</w:t>
      </w:r>
    </w:p>
  </w:footnote>
  <w:footnote w:id="130">
    <w:p w14:paraId="200D2B46" w14:textId="77777777" w:rsidR="00F131BF" w:rsidRDefault="00F131BF" w:rsidP="00F131BF">
      <w:pPr>
        <w:pStyle w:val="FootnoteText"/>
      </w:pPr>
      <w:r>
        <w:rPr>
          <w:rStyle w:val="FootnoteReference"/>
        </w:rPr>
        <w:footnoteRef/>
      </w:r>
      <w:r>
        <w:t xml:space="preserve"> Mr Craig Shannon, Executive Officer, ClubsACT, </w:t>
      </w:r>
      <w:r w:rsidRPr="00302F91">
        <w:rPr>
          <w:i/>
          <w:iCs/>
        </w:rPr>
        <w:t>Committee Hansard</w:t>
      </w:r>
      <w:r>
        <w:t>, 27 March 2024, p 56.</w:t>
      </w:r>
    </w:p>
  </w:footnote>
  <w:footnote w:id="131">
    <w:p w14:paraId="6C869301" w14:textId="77777777" w:rsidR="009A7A2A" w:rsidRDefault="009A7A2A" w:rsidP="009A7A2A">
      <w:pPr>
        <w:pStyle w:val="FootnoteText"/>
      </w:pPr>
      <w:r>
        <w:rPr>
          <w:rStyle w:val="FootnoteReference"/>
        </w:rPr>
        <w:footnoteRef/>
      </w:r>
      <w:r>
        <w:t xml:space="preserve"> ACT Government, </w:t>
      </w:r>
      <w:r w:rsidRPr="00BC1DF7">
        <w:rPr>
          <w:i/>
          <w:iCs/>
        </w:rPr>
        <w:t>Submission 11</w:t>
      </w:r>
      <w:r>
        <w:t>, p 24.</w:t>
      </w:r>
    </w:p>
  </w:footnote>
  <w:footnote w:id="132">
    <w:p w14:paraId="0EEB2818" w14:textId="77777777" w:rsidR="009A7A2A" w:rsidRDefault="009A7A2A" w:rsidP="009A7A2A">
      <w:pPr>
        <w:pStyle w:val="FootnoteText"/>
      </w:pPr>
      <w:r>
        <w:rPr>
          <w:rStyle w:val="FootnoteReference"/>
        </w:rPr>
        <w:footnoteRef/>
      </w:r>
      <w:r>
        <w:t xml:space="preserve"> Gaming Technologies Association, Submission 13, p 1.</w:t>
      </w:r>
    </w:p>
  </w:footnote>
  <w:footnote w:id="133">
    <w:p w14:paraId="6E6DD35E" w14:textId="77777777" w:rsidR="009A7A2A" w:rsidRDefault="009A7A2A" w:rsidP="009A7A2A">
      <w:pPr>
        <w:pStyle w:val="FootnoteText"/>
      </w:pPr>
      <w:r>
        <w:rPr>
          <w:rStyle w:val="FootnoteReference"/>
        </w:rPr>
        <w:footnoteRef/>
      </w:r>
      <w:r>
        <w:t xml:space="preserve"> Gaming Technologies Association, </w:t>
      </w:r>
      <w:r w:rsidRPr="00C4564D">
        <w:rPr>
          <w:i/>
          <w:iCs/>
        </w:rPr>
        <w:t>Submission 13</w:t>
      </w:r>
      <w:r>
        <w:t>, p 3.</w:t>
      </w:r>
    </w:p>
  </w:footnote>
  <w:footnote w:id="134">
    <w:p w14:paraId="2832736E" w14:textId="77777777" w:rsidR="008D7ED3" w:rsidRDefault="008D7ED3" w:rsidP="008D7ED3">
      <w:pPr>
        <w:pStyle w:val="FootnoteText"/>
      </w:pPr>
      <w:r>
        <w:rPr>
          <w:rStyle w:val="FootnoteReference"/>
        </w:rPr>
        <w:footnoteRef/>
      </w:r>
      <w:r>
        <w:t xml:space="preserve"> Mr Jinesh Patel, Chief Executive Officer, Gaming Technologies Association, </w:t>
      </w:r>
      <w:r w:rsidRPr="00D2105B">
        <w:rPr>
          <w:i/>
          <w:iCs/>
        </w:rPr>
        <w:t>Committee Hansard</w:t>
      </w:r>
      <w:r>
        <w:t>, 27 March 2024, p 4.</w:t>
      </w:r>
    </w:p>
  </w:footnote>
  <w:footnote w:id="135">
    <w:p w14:paraId="3283129C" w14:textId="77777777" w:rsidR="008D7ED3" w:rsidRDefault="008D7ED3" w:rsidP="008D7ED3">
      <w:pPr>
        <w:pStyle w:val="FootnoteText"/>
      </w:pPr>
      <w:r>
        <w:rPr>
          <w:rStyle w:val="FootnoteReference"/>
        </w:rPr>
        <w:footnoteRef/>
      </w:r>
      <w:r>
        <w:t xml:space="preserve"> Mr Shane Rattenbury, Minister for Gaming, </w:t>
      </w:r>
      <w:r w:rsidRPr="00D2105B">
        <w:rPr>
          <w:i/>
          <w:iCs/>
        </w:rPr>
        <w:t>Committee Hansard</w:t>
      </w:r>
      <w:r>
        <w:t>, 27 March 2024, p 15.</w:t>
      </w:r>
    </w:p>
  </w:footnote>
  <w:footnote w:id="136">
    <w:p w14:paraId="696DC7BB" w14:textId="77777777" w:rsidR="008D7ED3" w:rsidRDefault="008D7ED3" w:rsidP="008D7ED3">
      <w:pPr>
        <w:pStyle w:val="FootnoteText"/>
      </w:pPr>
      <w:r>
        <w:rPr>
          <w:rStyle w:val="FootnoteReference"/>
        </w:rPr>
        <w:footnoteRef/>
      </w:r>
      <w:r>
        <w:t xml:space="preserve"> ClubsACT, </w:t>
      </w:r>
      <w:r w:rsidRPr="00D209C1">
        <w:rPr>
          <w:i/>
          <w:iCs/>
        </w:rPr>
        <w:t>Submission 12</w:t>
      </w:r>
      <w:r>
        <w:t>, p 4.</w:t>
      </w:r>
    </w:p>
  </w:footnote>
  <w:footnote w:id="137">
    <w:p w14:paraId="339441B4" w14:textId="77777777" w:rsidR="008D7ED3" w:rsidRDefault="008D7ED3" w:rsidP="008D7ED3">
      <w:pPr>
        <w:pStyle w:val="FootnoteText"/>
      </w:pPr>
      <w:r>
        <w:rPr>
          <w:rStyle w:val="FootnoteReference"/>
        </w:rPr>
        <w:footnoteRef/>
      </w:r>
      <w:r>
        <w:t xml:space="preserve"> Canberra Southern Cross Club, </w:t>
      </w:r>
      <w:r w:rsidRPr="00174F1B">
        <w:rPr>
          <w:i/>
          <w:iCs/>
        </w:rPr>
        <w:t>Submission 8</w:t>
      </w:r>
      <w:r>
        <w:t>, pp 1-2.</w:t>
      </w:r>
    </w:p>
  </w:footnote>
  <w:footnote w:id="138">
    <w:p w14:paraId="1BF8E32B" w14:textId="28F6588A" w:rsidR="00B14169" w:rsidRDefault="00B14169" w:rsidP="00B14169">
      <w:pPr>
        <w:pStyle w:val="FootnoteText"/>
      </w:pPr>
      <w:r>
        <w:rPr>
          <w:rStyle w:val="FootnoteReference"/>
        </w:rPr>
        <w:footnoteRef/>
      </w:r>
      <w:r>
        <w:t xml:space="preserve"> Mr Ronald Kent, General Manager, Tuggeranong Valley Rugby Union and Sports Club Ltd, </w:t>
      </w:r>
      <w:r w:rsidRPr="00D2105B">
        <w:rPr>
          <w:i/>
          <w:iCs/>
        </w:rPr>
        <w:t>Committee Hansard</w:t>
      </w:r>
      <w:r>
        <w:t xml:space="preserve">, 27 March 2024, </w:t>
      </w:r>
      <w:r w:rsidR="00A67758">
        <w:t>p</w:t>
      </w:r>
      <w:r>
        <w:t xml:space="preserve"> 63.</w:t>
      </w:r>
    </w:p>
  </w:footnote>
  <w:footnote w:id="139">
    <w:p w14:paraId="10D80CD9" w14:textId="548233FF" w:rsidR="00A6147F" w:rsidRDefault="00A6147F">
      <w:pPr>
        <w:pStyle w:val="FootnoteText"/>
      </w:pPr>
      <w:r>
        <w:rPr>
          <w:rStyle w:val="FootnoteReference"/>
        </w:rPr>
        <w:footnoteRef/>
      </w:r>
      <w:r>
        <w:t xml:space="preserve"> Mr Jinesh Patel, Chief Executive Officer, Gaming Technologies Association, </w:t>
      </w:r>
      <w:r w:rsidRPr="00A6147F">
        <w:rPr>
          <w:i/>
          <w:iCs/>
        </w:rPr>
        <w:t>Committee Hansard</w:t>
      </w:r>
      <w:r>
        <w:t xml:space="preserve">, 27 March 2024, </w:t>
      </w:r>
      <w:r w:rsidR="00A67758">
        <w:t>p</w:t>
      </w:r>
      <w:r>
        <w:t xml:space="preserve"> 6.</w:t>
      </w:r>
    </w:p>
  </w:footnote>
  <w:footnote w:id="140">
    <w:p w14:paraId="286B3D2B" w14:textId="1A067CD0" w:rsidR="00B14169" w:rsidRDefault="00B14169">
      <w:pPr>
        <w:pStyle w:val="FootnoteText"/>
      </w:pPr>
      <w:r>
        <w:rPr>
          <w:rStyle w:val="FootnoteReference"/>
        </w:rPr>
        <w:footnoteRef/>
      </w:r>
      <w:r>
        <w:t xml:space="preserve"> Mr Craig Shannon, Executive Officer, ClubsACT, </w:t>
      </w:r>
      <w:r w:rsidRPr="00302F91">
        <w:rPr>
          <w:i/>
          <w:iCs/>
        </w:rPr>
        <w:t>Committee Hansard</w:t>
      </w:r>
      <w:r>
        <w:t xml:space="preserve">, 27 March 2024, </w:t>
      </w:r>
      <w:r w:rsidR="00A67758">
        <w:t>p</w:t>
      </w:r>
      <w:r>
        <w:t xml:space="preserve"> 63.</w:t>
      </w:r>
    </w:p>
  </w:footnote>
  <w:footnote w:id="141">
    <w:p w14:paraId="2959EC8F" w14:textId="392916E7" w:rsidR="00B14169" w:rsidRDefault="00B14169" w:rsidP="00B14169">
      <w:pPr>
        <w:pStyle w:val="FootnoteText"/>
      </w:pPr>
      <w:r>
        <w:rPr>
          <w:rStyle w:val="FootnoteReference"/>
        </w:rPr>
        <w:footnoteRef/>
      </w:r>
      <w:r>
        <w:t xml:space="preserve"> Mr Jinesh Patel, Chief Executive Officer, Gaming Technologies Association, </w:t>
      </w:r>
      <w:r w:rsidRPr="00703C53">
        <w:rPr>
          <w:i/>
          <w:iCs/>
        </w:rPr>
        <w:t>Committee Hansard</w:t>
      </w:r>
      <w:r>
        <w:t xml:space="preserve">, 27 March 2024, </w:t>
      </w:r>
      <w:r w:rsidR="00A67758">
        <w:t>p</w:t>
      </w:r>
      <w:r>
        <w:t xml:space="preserve"> 6.</w:t>
      </w:r>
    </w:p>
  </w:footnote>
  <w:footnote w:id="142">
    <w:p w14:paraId="79D4FF5D" w14:textId="1D28501F" w:rsidR="00B14169" w:rsidRDefault="00B14169" w:rsidP="00B14169">
      <w:pPr>
        <w:pStyle w:val="FootnoteText"/>
      </w:pPr>
      <w:r>
        <w:rPr>
          <w:rStyle w:val="FootnoteReference"/>
        </w:rPr>
        <w:footnoteRef/>
      </w:r>
      <w:r>
        <w:t xml:space="preserve"> Mr Craig Shannon, Executive Officer, ClubsACT, </w:t>
      </w:r>
      <w:r w:rsidRPr="00302F91">
        <w:rPr>
          <w:i/>
          <w:iCs/>
        </w:rPr>
        <w:t>Committee Hansard</w:t>
      </w:r>
      <w:r>
        <w:t xml:space="preserve">, 27 March 2024, </w:t>
      </w:r>
      <w:r w:rsidR="00A67758">
        <w:t>pp</w:t>
      </w:r>
      <w:r>
        <w:t xml:space="preserve"> 62-63.</w:t>
      </w:r>
    </w:p>
  </w:footnote>
  <w:footnote w:id="143">
    <w:p w14:paraId="62143660" w14:textId="3F3E685A" w:rsidR="00283156" w:rsidRDefault="00283156">
      <w:pPr>
        <w:pStyle w:val="FootnoteText"/>
      </w:pPr>
      <w:r>
        <w:rPr>
          <w:rStyle w:val="FootnoteReference"/>
        </w:rPr>
        <w:footnoteRef/>
      </w:r>
      <w:r>
        <w:t xml:space="preserve"> Mr Shane Rattenbury, Minister for Gaming, </w:t>
      </w:r>
      <w:r w:rsidRPr="00D2105B">
        <w:rPr>
          <w:i/>
          <w:iCs/>
        </w:rPr>
        <w:t>Committee Hansard</w:t>
      </w:r>
      <w:r>
        <w:t xml:space="preserve">, 27 March 2024, </w:t>
      </w:r>
      <w:r w:rsidR="00A67758">
        <w:t>pp</w:t>
      </w:r>
      <w:r>
        <w:t xml:space="preserve"> 16-17.</w:t>
      </w:r>
    </w:p>
  </w:footnote>
  <w:footnote w:id="144">
    <w:p w14:paraId="2203EA58" w14:textId="2DDF8F38" w:rsidR="00283156" w:rsidRDefault="00283156">
      <w:pPr>
        <w:pStyle w:val="FootnoteText"/>
      </w:pPr>
      <w:r>
        <w:rPr>
          <w:rStyle w:val="FootnoteReference"/>
        </w:rPr>
        <w:footnoteRef/>
      </w:r>
      <w:r>
        <w:t xml:space="preserve"> Mr Shane Rattenbury, Minister for Gaming, </w:t>
      </w:r>
      <w:r w:rsidRPr="00D2105B">
        <w:rPr>
          <w:i/>
          <w:iCs/>
        </w:rPr>
        <w:t>Committee Hansard</w:t>
      </w:r>
      <w:r>
        <w:t xml:space="preserve">, 27 March 2024, </w:t>
      </w:r>
      <w:r w:rsidR="00A67758">
        <w:t>p</w:t>
      </w:r>
      <w:r>
        <w:t xml:space="preserve"> 24.</w:t>
      </w:r>
    </w:p>
  </w:footnote>
  <w:footnote w:id="145">
    <w:p w14:paraId="3339F70D" w14:textId="5BA3A389" w:rsidR="00302F91" w:rsidRDefault="00302F91">
      <w:pPr>
        <w:pStyle w:val="FootnoteText"/>
      </w:pPr>
      <w:r>
        <w:rPr>
          <w:rStyle w:val="FootnoteReference"/>
        </w:rPr>
        <w:footnoteRef/>
      </w:r>
      <w:r>
        <w:t xml:space="preserve"> Professor Sally Gainsbury, Director, Gambling Treatment and Research Clinic, University of Sydney, </w:t>
      </w:r>
      <w:r w:rsidRPr="00302F91">
        <w:rPr>
          <w:i/>
          <w:iCs/>
        </w:rPr>
        <w:t>Committee Hansard</w:t>
      </w:r>
      <w:r>
        <w:t xml:space="preserve">, 27 March 2024, </w:t>
      </w:r>
      <w:r w:rsidR="00A67758">
        <w:t>p</w:t>
      </w:r>
      <w:r>
        <w:t xml:space="preserve"> 37-38.</w:t>
      </w:r>
    </w:p>
  </w:footnote>
  <w:footnote w:id="146">
    <w:p w14:paraId="77CD8E43" w14:textId="4F4AB2FE" w:rsidR="004701DC" w:rsidRDefault="004701DC" w:rsidP="004701DC">
      <w:pPr>
        <w:pStyle w:val="FootnoteText"/>
      </w:pPr>
      <w:r>
        <w:rPr>
          <w:rStyle w:val="FootnoteReference"/>
        </w:rPr>
        <w:footnoteRef/>
      </w:r>
      <w:r>
        <w:t xml:space="preserve"> Ms Carol Bennett, Alliance for Gambling Reform, </w:t>
      </w:r>
      <w:r w:rsidRPr="00D2105B">
        <w:rPr>
          <w:i/>
          <w:iCs/>
        </w:rPr>
        <w:t>Committee Hansard</w:t>
      </w:r>
      <w:r>
        <w:t xml:space="preserve">, 27 March 2024, </w:t>
      </w:r>
      <w:r w:rsidR="00A67758">
        <w:t>p</w:t>
      </w:r>
      <w:r>
        <w:t xml:space="preserve"> 50.</w:t>
      </w:r>
    </w:p>
  </w:footnote>
  <w:footnote w:id="147">
    <w:p w14:paraId="1D112C57" w14:textId="406D2D6E" w:rsidR="004701DC" w:rsidRDefault="004701DC">
      <w:pPr>
        <w:pStyle w:val="FootnoteText"/>
      </w:pPr>
      <w:r>
        <w:rPr>
          <w:rStyle w:val="FootnoteReference"/>
        </w:rPr>
        <w:footnoteRef/>
      </w:r>
      <w:r>
        <w:t xml:space="preserve"> </w:t>
      </w:r>
      <w:r w:rsidR="008A308D">
        <w:t xml:space="preserve">Dr Devin Bowles, Chief Executive Officer, ACTCOSS, </w:t>
      </w:r>
      <w:r w:rsidR="008A308D" w:rsidRPr="005C1B69">
        <w:rPr>
          <w:i/>
          <w:iCs/>
        </w:rPr>
        <w:t>answer to QTON 7: Facial Recognition</w:t>
      </w:r>
      <w:r w:rsidR="008A308D">
        <w:t xml:space="preserve">, 10 April 2024, (received </w:t>
      </w:r>
      <w:r w:rsidR="003D77E5">
        <w:t>10</w:t>
      </w:r>
      <w:r w:rsidR="00A67758">
        <w:t> </w:t>
      </w:r>
      <w:r w:rsidR="003D77E5">
        <w:t>April 2024</w:t>
      </w:r>
      <w:r w:rsidR="008A308D">
        <w:t>), p 1.</w:t>
      </w:r>
    </w:p>
  </w:footnote>
  <w:footnote w:id="148">
    <w:p w14:paraId="6DC9B911" w14:textId="77777777" w:rsidR="00A502BA" w:rsidRDefault="00A502BA" w:rsidP="00A502BA">
      <w:pPr>
        <w:pStyle w:val="FootnoteText"/>
      </w:pPr>
      <w:r>
        <w:rPr>
          <w:rStyle w:val="FootnoteReference"/>
        </w:rPr>
        <w:footnoteRef/>
      </w:r>
      <w:r>
        <w:t xml:space="preserve"> Dr Bowles, Chief Executive Officer, ACT Council of Social Service, </w:t>
      </w:r>
      <w:r w:rsidRPr="00302F91">
        <w:rPr>
          <w:i/>
          <w:iCs/>
        </w:rPr>
        <w:t>Committee Hansard</w:t>
      </w:r>
      <w:r>
        <w:t>, 27 March 2024, p 50.</w:t>
      </w:r>
    </w:p>
  </w:footnote>
  <w:footnote w:id="149">
    <w:p w14:paraId="00E960BE" w14:textId="02D67DF6" w:rsidR="004135EF" w:rsidRDefault="004135EF">
      <w:pPr>
        <w:pStyle w:val="FootnoteText"/>
      </w:pPr>
      <w:r>
        <w:rPr>
          <w:rStyle w:val="FootnoteReference"/>
        </w:rPr>
        <w:footnoteRef/>
      </w:r>
      <w:r>
        <w:t xml:space="preserve"> ClubsACT, </w:t>
      </w:r>
      <w:r w:rsidRPr="004135EF">
        <w:rPr>
          <w:i/>
          <w:iCs/>
        </w:rPr>
        <w:t>Submission 12</w:t>
      </w:r>
      <w:r>
        <w:t>, p 1.</w:t>
      </w:r>
    </w:p>
  </w:footnote>
  <w:footnote w:id="150">
    <w:p w14:paraId="0D01878F" w14:textId="77777777" w:rsidR="0049117B" w:rsidRDefault="0049117B" w:rsidP="0049117B">
      <w:pPr>
        <w:pStyle w:val="FootnoteText"/>
      </w:pPr>
      <w:r>
        <w:rPr>
          <w:rStyle w:val="FootnoteReference"/>
        </w:rPr>
        <w:footnoteRef/>
      </w:r>
      <w:r>
        <w:t xml:space="preserve"> The Salvation Army, </w:t>
      </w:r>
      <w:r w:rsidRPr="00827D5C">
        <w:rPr>
          <w:i/>
          <w:iCs/>
        </w:rPr>
        <w:t>Submission 4</w:t>
      </w:r>
      <w:r>
        <w:t xml:space="preserve">, p 5. </w:t>
      </w:r>
    </w:p>
  </w:footnote>
  <w:footnote w:id="151">
    <w:p w14:paraId="0EBA2ED3" w14:textId="77777777" w:rsidR="0049117B" w:rsidRDefault="0049117B" w:rsidP="0049117B">
      <w:pPr>
        <w:pStyle w:val="FootnoteText"/>
      </w:pPr>
      <w:r>
        <w:rPr>
          <w:rStyle w:val="FootnoteReference"/>
        </w:rPr>
        <w:footnoteRef/>
      </w:r>
      <w:r>
        <w:t xml:space="preserve"> Mr Athol Chalmers, President, Canberra Community Clubs, </w:t>
      </w:r>
      <w:r w:rsidRPr="005E52DE">
        <w:rPr>
          <w:i/>
          <w:iCs/>
        </w:rPr>
        <w:t>Committee Hansard</w:t>
      </w:r>
      <w:r>
        <w:t xml:space="preserve">, 27 March 2024, p 61. </w:t>
      </w:r>
    </w:p>
  </w:footnote>
  <w:footnote w:id="152">
    <w:p w14:paraId="17A31F22" w14:textId="77777777" w:rsidR="0049117B" w:rsidRDefault="0049117B" w:rsidP="0049117B">
      <w:pPr>
        <w:pStyle w:val="FootnoteText"/>
      </w:pPr>
      <w:r>
        <w:rPr>
          <w:rStyle w:val="FootnoteReference"/>
        </w:rPr>
        <w:footnoteRef/>
      </w:r>
      <w:r>
        <w:t xml:space="preserve"> Mr Craig Shannon, Chief Executive Officer, ClubsACT, </w:t>
      </w:r>
      <w:r w:rsidRPr="00DC30D9">
        <w:rPr>
          <w:i/>
          <w:iCs/>
        </w:rPr>
        <w:t>Committee Hansard</w:t>
      </w:r>
      <w:r>
        <w:t>, 27 March 2024, p 61.</w:t>
      </w:r>
    </w:p>
  </w:footnote>
  <w:footnote w:id="153">
    <w:p w14:paraId="67EE23F4" w14:textId="77777777" w:rsidR="0049117B" w:rsidRPr="004333F2" w:rsidRDefault="0049117B" w:rsidP="0049117B">
      <w:pPr>
        <w:pStyle w:val="FootnoteText"/>
        <w:rPr>
          <w:i/>
          <w:iCs/>
        </w:rPr>
      </w:pPr>
      <w:r>
        <w:rPr>
          <w:rStyle w:val="FootnoteReference"/>
        </w:rPr>
        <w:footnoteRef/>
      </w:r>
      <w:r>
        <w:t xml:space="preserve"> </w:t>
      </w:r>
      <w:r w:rsidRPr="004333F2">
        <w:rPr>
          <w:i/>
          <w:iCs/>
        </w:rPr>
        <w:t>Environment, Planning and Sustainable Development Directorate</w:t>
      </w:r>
      <w:r>
        <w:rPr>
          <w:i/>
          <w:iCs/>
        </w:rPr>
        <w:t>.</w:t>
      </w:r>
    </w:p>
  </w:footnote>
  <w:footnote w:id="154">
    <w:p w14:paraId="35E64838" w14:textId="77777777" w:rsidR="0049117B" w:rsidRDefault="0049117B" w:rsidP="0049117B">
      <w:pPr>
        <w:pStyle w:val="FootnoteText"/>
      </w:pPr>
      <w:r>
        <w:rPr>
          <w:rStyle w:val="FootnoteReference"/>
        </w:rPr>
        <w:footnoteRef/>
      </w:r>
      <w:r>
        <w:t xml:space="preserve"> Mr Craig Shannon, Chief Executive Officer, ClubsACT, </w:t>
      </w:r>
      <w:r w:rsidRPr="00DC30D9">
        <w:rPr>
          <w:i/>
          <w:iCs/>
        </w:rPr>
        <w:t>Committee Hansard</w:t>
      </w:r>
      <w:r>
        <w:t xml:space="preserve">, 27 March 2024, p 61. </w:t>
      </w:r>
    </w:p>
  </w:footnote>
  <w:footnote w:id="155">
    <w:p w14:paraId="5E6D5A7E" w14:textId="77777777" w:rsidR="0049117B" w:rsidRDefault="0049117B" w:rsidP="0049117B">
      <w:pPr>
        <w:pStyle w:val="FootnoteText"/>
      </w:pPr>
      <w:r>
        <w:rPr>
          <w:rStyle w:val="FootnoteReference"/>
        </w:rPr>
        <w:footnoteRef/>
      </w:r>
      <w:r>
        <w:t xml:space="preserve"> </w:t>
      </w:r>
      <w:r w:rsidRPr="00DF03B5">
        <w:t xml:space="preserve">ACT Government, Parliamentary and Governing Agreement, </w:t>
      </w:r>
      <w:hyperlink r:id="rId15" w:history="1">
        <w:r w:rsidRPr="00DF03B5">
          <w:rPr>
            <w:rStyle w:val="Hyperlink"/>
          </w:rPr>
          <w:t>https://www.cmtedd.act.gov.au/__data/assets/pdf_file/0003/1654077/Parliamentary-Agreement-for-the-10th-Legislative-Assembly.pdf</w:t>
        </w:r>
      </w:hyperlink>
      <w:r>
        <w:t xml:space="preserve">, </w:t>
      </w:r>
      <w:r w:rsidRPr="00DF03B5">
        <w:t>p 11.</w:t>
      </w:r>
    </w:p>
  </w:footnote>
  <w:footnote w:id="156">
    <w:p w14:paraId="3A15C5D1" w14:textId="77777777" w:rsidR="004E456C" w:rsidRDefault="004E456C" w:rsidP="004E456C">
      <w:pPr>
        <w:pStyle w:val="FootnoteText"/>
      </w:pPr>
      <w:r>
        <w:rPr>
          <w:rStyle w:val="FootnoteReference"/>
        </w:rPr>
        <w:footnoteRef/>
      </w:r>
      <w:r>
        <w:t xml:space="preserve"> Mr Shane Rattenbury MLA, Minister for Gaming, </w:t>
      </w:r>
      <w:r>
        <w:rPr>
          <w:i/>
          <w:iCs/>
        </w:rPr>
        <w:t>Committee Hansard</w:t>
      </w:r>
      <w:r>
        <w:t>, 27 March 2024, pp 19</w:t>
      </w:r>
      <w:r>
        <w:softHyphen/>
        <w:t>–22.</w:t>
      </w:r>
    </w:p>
  </w:footnote>
  <w:footnote w:id="157">
    <w:p w14:paraId="7052B62B" w14:textId="77777777" w:rsidR="004E456C" w:rsidRDefault="004E456C" w:rsidP="004E456C">
      <w:pPr>
        <w:pStyle w:val="FootnoteText"/>
      </w:pPr>
      <w:r>
        <w:rPr>
          <w:rStyle w:val="FootnoteReference"/>
        </w:rPr>
        <w:footnoteRef/>
      </w:r>
      <w:r>
        <w:t xml:space="preserve"> </w:t>
      </w:r>
      <w:proofErr w:type="spellStart"/>
      <w:r>
        <w:t>ClubsACT</w:t>
      </w:r>
      <w:proofErr w:type="spellEnd"/>
      <w:r>
        <w:t xml:space="preserve">, </w:t>
      </w:r>
      <w:r>
        <w:rPr>
          <w:i/>
          <w:iCs/>
        </w:rPr>
        <w:t>Submission 12</w:t>
      </w:r>
      <w:r>
        <w:t>, pp 4-5.</w:t>
      </w:r>
    </w:p>
  </w:footnote>
  <w:footnote w:id="158">
    <w:p w14:paraId="30238842" w14:textId="77777777" w:rsidR="004E456C" w:rsidRDefault="004E456C" w:rsidP="004E456C">
      <w:pPr>
        <w:pStyle w:val="FootnoteText"/>
      </w:pPr>
      <w:r>
        <w:rPr>
          <w:rStyle w:val="FootnoteReference"/>
        </w:rPr>
        <w:footnoteRef/>
      </w:r>
      <w:r>
        <w:t xml:space="preserve"> </w:t>
      </w:r>
      <w:proofErr w:type="spellStart"/>
      <w:r>
        <w:t>ClubsACT</w:t>
      </w:r>
      <w:proofErr w:type="spellEnd"/>
      <w:r>
        <w:t xml:space="preserve">, </w:t>
      </w:r>
      <w:r>
        <w:rPr>
          <w:i/>
          <w:iCs/>
        </w:rPr>
        <w:t>Submission 12</w:t>
      </w:r>
      <w:r>
        <w:t>, p 5.</w:t>
      </w:r>
    </w:p>
  </w:footnote>
  <w:footnote w:id="159">
    <w:p w14:paraId="5E2F1089" w14:textId="77777777" w:rsidR="004E456C" w:rsidRDefault="004E456C" w:rsidP="004E456C">
      <w:pPr>
        <w:pStyle w:val="FootnoteText"/>
      </w:pPr>
      <w:r>
        <w:rPr>
          <w:rStyle w:val="FootnoteReference"/>
        </w:rPr>
        <w:footnoteRef/>
      </w:r>
      <w:r>
        <w:t xml:space="preserve"> Canberra Community Clubs, </w:t>
      </w:r>
      <w:r>
        <w:rPr>
          <w:i/>
          <w:iCs/>
        </w:rPr>
        <w:t>Submission 6</w:t>
      </w:r>
      <w:r>
        <w:t xml:space="preserve">, p 10. </w:t>
      </w:r>
    </w:p>
  </w:footnote>
  <w:footnote w:id="160">
    <w:p w14:paraId="4E9A3953" w14:textId="77777777" w:rsidR="004E456C" w:rsidRDefault="004E456C" w:rsidP="004E456C">
      <w:pPr>
        <w:pStyle w:val="FootnoteText"/>
      </w:pPr>
      <w:r>
        <w:rPr>
          <w:rStyle w:val="FootnoteReference"/>
        </w:rPr>
        <w:footnoteRef/>
      </w:r>
      <w:r>
        <w:t xml:space="preserve"> Mr Craig Shannon, Chief Executive Officer, </w:t>
      </w:r>
      <w:proofErr w:type="spellStart"/>
      <w:r>
        <w:t>ClubsACT</w:t>
      </w:r>
      <w:proofErr w:type="spellEnd"/>
      <w:r>
        <w:t xml:space="preserve">, </w:t>
      </w:r>
      <w:r>
        <w:rPr>
          <w:i/>
          <w:iCs/>
        </w:rPr>
        <w:t>Committee Hansard</w:t>
      </w:r>
      <w:r>
        <w:t>, 27 March 2024, p 59.</w:t>
      </w:r>
    </w:p>
  </w:footnote>
  <w:footnote w:id="161">
    <w:p w14:paraId="0D961207" w14:textId="77777777" w:rsidR="004E456C" w:rsidRDefault="004E456C" w:rsidP="004E456C">
      <w:pPr>
        <w:pStyle w:val="FootnoteText"/>
      </w:pPr>
      <w:r>
        <w:rPr>
          <w:rStyle w:val="FootnoteReference"/>
        </w:rPr>
        <w:footnoteRef/>
      </w:r>
      <w:r>
        <w:t xml:space="preserve"> Associate Professor Aino Suomi, Director, ANU Centre for Gambling Research, </w:t>
      </w:r>
      <w:r>
        <w:rPr>
          <w:i/>
          <w:iCs/>
        </w:rPr>
        <w:t>Committee Hansard</w:t>
      </w:r>
      <w:r>
        <w:t>, 27 March 2024, pp 30–31.</w:t>
      </w:r>
    </w:p>
  </w:footnote>
  <w:footnote w:id="162">
    <w:p w14:paraId="513E4719" w14:textId="77777777" w:rsidR="004E456C" w:rsidRDefault="004E456C" w:rsidP="004E456C">
      <w:pPr>
        <w:pStyle w:val="FootnoteText"/>
      </w:pPr>
      <w:r>
        <w:rPr>
          <w:rStyle w:val="FootnoteReference"/>
        </w:rPr>
        <w:footnoteRef/>
      </w:r>
      <w:r>
        <w:t xml:space="preserve"> The Gambling Treatment and Research Centre, </w:t>
      </w:r>
      <w:r>
        <w:rPr>
          <w:i/>
          <w:iCs/>
        </w:rPr>
        <w:t>Submission 3</w:t>
      </w:r>
      <w:r>
        <w:t xml:space="preserve">, p 2. </w:t>
      </w:r>
    </w:p>
  </w:footnote>
  <w:footnote w:id="163">
    <w:p w14:paraId="5D3A5888" w14:textId="77777777" w:rsidR="004E456C" w:rsidRDefault="004E456C" w:rsidP="004E456C">
      <w:pPr>
        <w:pStyle w:val="FootnoteText"/>
      </w:pPr>
      <w:r>
        <w:rPr>
          <w:rStyle w:val="FootnoteReference"/>
        </w:rPr>
        <w:footnoteRef/>
      </w:r>
      <w:r>
        <w:t xml:space="preserve"> Professor Sally Gainsbury, Director, Gambling Treatment and Research Clinic, </w:t>
      </w:r>
      <w:r>
        <w:rPr>
          <w:i/>
          <w:iCs/>
        </w:rPr>
        <w:t>Committee Hansard</w:t>
      </w:r>
      <w:r>
        <w:t xml:space="preserve">, 27 March 2024, </w:t>
      </w:r>
      <w:r>
        <w:br/>
        <w:t>pp 35–36.</w:t>
      </w:r>
    </w:p>
  </w:footnote>
  <w:footnote w:id="164">
    <w:p w14:paraId="22633A11" w14:textId="77777777" w:rsidR="004E456C" w:rsidRDefault="004E456C" w:rsidP="004E456C">
      <w:pPr>
        <w:pStyle w:val="FootnoteText"/>
      </w:pPr>
      <w:r>
        <w:rPr>
          <w:rStyle w:val="FootnoteReference"/>
        </w:rPr>
        <w:footnoteRef/>
      </w:r>
      <w:r>
        <w:t xml:space="preserve"> Professor Sally Gainsbury, Director, Gambling Treatment and Research Clinic, </w:t>
      </w:r>
      <w:r>
        <w:rPr>
          <w:i/>
          <w:iCs/>
        </w:rPr>
        <w:t>Committee Hansard</w:t>
      </w:r>
      <w:r>
        <w:t xml:space="preserve">, 27 March 2024, p 31. </w:t>
      </w:r>
    </w:p>
  </w:footnote>
  <w:footnote w:id="165">
    <w:p w14:paraId="53B75DCA" w14:textId="77777777" w:rsidR="004E456C" w:rsidRDefault="004E456C" w:rsidP="004E456C">
      <w:pPr>
        <w:pStyle w:val="FootnoteText"/>
      </w:pPr>
      <w:r>
        <w:rPr>
          <w:rStyle w:val="FootnoteReference"/>
        </w:rPr>
        <w:footnoteRef/>
      </w:r>
      <w:r>
        <w:t xml:space="preserve"> Professor Sally Gainsbury, Director, Gambling Treatment and Research Clinic, </w:t>
      </w:r>
      <w:r>
        <w:rPr>
          <w:i/>
          <w:iCs/>
        </w:rPr>
        <w:t>Committee Hansard</w:t>
      </w:r>
      <w:r>
        <w:t>, 27 March 2024, p 32.</w:t>
      </w:r>
    </w:p>
  </w:footnote>
  <w:footnote w:id="166">
    <w:p w14:paraId="3C95F064" w14:textId="77777777" w:rsidR="004E456C" w:rsidRDefault="004E456C" w:rsidP="004E456C">
      <w:pPr>
        <w:pStyle w:val="FootnoteText"/>
      </w:pPr>
      <w:r>
        <w:rPr>
          <w:rStyle w:val="FootnoteReference"/>
        </w:rPr>
        <w:footnoteRef/>
      </w:r>
      <w:r>
        <w:t xml:space="preserve"> ANU Centre for Gambling Research, </w:t>
      </w:r>
      <w:r>
        <w:rPr>
          <w:i/>
          <w:iCs/>
        </w:rPr>
        <w:t>Submission 10</w:t>
      </w:r>
      <w:r>
        <w:t>, p 2.</w:t>
      </w:r>
    </w:p>
  </w:footnote>
  <w:footnote w:id="167">
    <w:p w14:paraId="5F33F648" w14:textId="77777777" w:rsidR="004E456C" w:rsidRDefault="004E456C" w:rsidP="004E456C">
      <w:pPr>
        <w:pStyle w:val="FootnoteText"/>
      </w:pPr>
      <w:r>
        <w:rPr>
          <w:rStyle w:val="FootnoteReference"/>
        </w:rPr>
        <w:footnoteRef/>
      </w:r>
      <w:r>
        <w:t xml:space="preserve"> Associate Professor Aino Suomi, Director, ANU Centre for Gambling Research, </w:t>
      </w:r>
      <w:r>
        <w:rPr>
          <w:i/>
          <w:iCs/>
        </w:rPr>
        <w:t>Committee Hansard</w:t>
      </w:r>
      <w:r>
        <w:t>, 27 March 2024, pp 30–31.</w:t>
      </w:r>
    </w:p>
  </w:footnote>
  <w:footnote w:id="168">
    <w:p w14:paraId="677C0CB5" w14:textId="77777777" w:rsidR="004E456C" w:rsidRDefault="004E456C" w:rsidP="004E456C">
      <w:pPr>
        <w:pStyle w:val="FootnoteText"/>
      </w:pPr>
      <w:r>
        <w:rPr>
          <w:rStyle w:val="FootnoteReference"/>
        </w:rPr>
        <w:footnoteRef/>
      </w:r>
      <w:r>
        <w:t xml:space="preserve"> Ms Carol Bennet, Chief Executive Officer, Alliance for Gambling Reform, </w:t>
      </w:r>
      <w:r>
        <w:rPr>
          <w:i/>
          <w:iCs/>
        </w:rPr>
        <w:t>Committee Hansard</w:t>
      </w:r>
      <w:r>
        <w:t>, 27 March 2024, p 43.</w:t>
      </w:r>
    </w:p>
  </w:footnote>
  <w:footnote w:id="169">
    <w:p w14:paraId="1D0072D1" w14:textId="77777777" w:rsidR="004E456C" w:rsidRDefault="004E456C" w:rsidP="004E456C">
      <w:pPr>
        <w:pStyle w:val="FootnoteText"/>
      </w:pPr>
      <w:r>
        <w:rPr>
          <w:rStyle w:val="FootnoteReference"/>
        </w:rPr>
        <w:footnoteRef/>
      </w:r>
      <w:r>
        <w:t xml:space="preserve"> Rev Tim Costello, Chief Advocate, Alliance for Gambling Reform, </w:t>
      </w:r>
      <w:r>
        <w:rPr>
          <w:i/>
          <w:iCs/>
        </w:rPr>
        <w:t>Committee Hansard</w:t>
      </w:r>
      <w:r>
        <w:t xml:space="preserve">, 27 March 2024, p 44. </w:t>
      </w:r>
    </w:p>
  </w:footnote>
  <w:footnote w:id="170">
    <w:p w14:paraId="35418774" w14:textId="77777777" w:rsidR="004E456C" w:rsidRDefault="004E456C" w:rsidP="004E456C">
      <w:pPr>
        <w:pStyle w:val="FootnoteText"/>
      </w:pPr>
      <w:r>
        <w:rPr>
          <w:rStyle w:val="FootnoteReference"/>
        </w:rPr>
        <w:footnoteRef/>
      </w:r>
      <w:r>
        <w:t xml:space="preserve"> Mr Devin Bowels, Chief Executive Officer, ACTCOSS, </w:t>
      </w:r>
      <w:r>
        <w:rPr>
          <w:i/>
          <w:iCs/>
        </w:rPr>
        <w:t>Committee Hansard</w:t>
      </w:r>
      <w:r>
        <w:t>, 27 March 2024, p 43.</w:t>
      </w:r>
    </w:p>
  </w:footnote>
  <w:footnote w:id="171">
    <w:p w14:paraId="2DF64A94" w14:textId="77777777" w:rsidR="004E456C" w:rsidRDefault="004E456C" w:rsidP="004E456C">
      <w:pPr>
        <w:pStyle w:val="FootnoteText"/>
      </w:pPr>
      <w:r>
        <w:rPr>
          <w:rStyle w:val="FootnoteReference"/>
        </w:rPr>
        <w:footnoteRef/>
      </w:r>
      <w:r>
        <w:t xml:space="preserve"> ACTCOSS, </w:t>
      </w:r>
      <w:r>
        <w:rPr>
          <w:i/>
          <w:iCs/>
        </w:rPr>
        <w:t>Submission 9</w:t>
      </w:r>
      <w:r>
        <w:t>, p 2.</w:t>
      </w:r>
    </w:p>
  </w:footnote>
  <w:footnote w:id="172">
    <w:p w14:paraId="1DBDF27A" w14:textId="77777777" w:rsidR="00C53166" w:rsidRPr="0015455F" w:rsidRDefault="00C53166" w:rsidP="00C53166">
      <w:pPr>
        <w:pStyle w:val="FootnoteText"/>
      </w:pPr>
      <w:r>
        <w:rPr>
          <w:rStyle w:val="FootnoteReference"/>
        </w:rPr>
        <w:footnoteRef/>
      </w:r>
      <w:r>
        <w:t xml:space="preserve"> Known in the legislation as ‘electronic gaming machines’, noting that the term ‘gambling’ would be more apt.</w:t>
      </w:r>
    </w:p>
  </w:footnote>
  <w:footnote w:id="173">
    <w:p w14:paraId="1B0BE1D4" w14:textId="77777777" w:rsidR="00C53166" w:rsidRDefault="00C53166" w:rsidP="00C53166">
      <w:pPr>
        <w:pStyle w:val="FootnoteText"/>
      </w:pPr>
      <w:r>
        <w:rPr>
          <w:rStyle w:val="FootnoteReference"/>
        </w:rPr>
        <w:footnoteRef/>
      </w:r>
      <w:r>
        <w:t xml:space="preserve"> Committee Hansard, 27</w:t>
      </w:r>
      <w:r w:rsidRPr="00242DF1">
        <w:rPr>
          <w:vertAlign w:val="superscript"/>
        </w:rPr>
        <w:t>th</w:t>
      </w:r>
      <w:r>
        <w:t xml:space="preserve"> March 2024, pp40-41</w:t>
      </w:r>
    </w:p>
  </w:footnote>
  <w:footnote w:id="174">
    <w:p w14:paraId="31E33BA3" w14:textId="77777777" w:rsidR="00C53166" w:rsidRDefault="00C53166" w:rsidP="00C53166">
      <w:pPr>
        <w:pStyle w:val="FootnoteText"/>
      </w:pPr>
      <w:r>
        <w:rPr>
          <w:rStyle w:val="FootnoteReference"/>
        </w:rPr>
        <w:footnoteRef/>
      </w:r>
      <w:r>
        <w:t xml:space="preserve"> Committee Hansard, 27</w:t>
      </w:r>
      <w:r w:rsidRPr="00242DF1">
        <w:rPr>
          <w:vertAlign w:val="superscript"/>
        </w:rPr>
        <w:t>th</w:t>
      </w:r>
      <w:r>
        <w:t xml:space="preserve"> March 2024, p46</w:t>
      </w:r>
    </w:p>
  </w:footnote>
  <w:footnote w:id="175">
    <w:p w14:paraId="7573A9D6" w14:textId="77777777" w:rsidR="00C53166" w:rsidRDefault="00C53166" w:rsidP="00C53166">
      <w:pPr>
        <w:pStyle w:val="FootnoteText"/>
      </w:pPr>
      <w:r>
        <w:rPr>
          <w:rStyle w:val="FootnoteReference"/>
        </w:rPr>
        <w:footnoteRef/>
      </w:r>
      <w:r>
        <w:t xml:space="preserve"> Under Australian systems, being ‘not-for-profit’ is about how you reinvest your profits, such that you do not return a dividend to shareholders.  It does not preclude an organisation from making a profit and using the proceeds for building political influence.</w:t>
      </w:r>
    </w:p>
  </w:footnote>
  <w:footnote w:id="176">
    <w:p w14:paraId="71477DD6" w14:textId="77777777" w:rsidR="00C53166" w:rsidRDefault="00C53166" w:rsidP="00C53166">
      <w:pPr>
        <w:pStyle w:val="FootnoteText"/>
      </w:pPr>
      <w:r>
        <w:rPr>
          <w:rStyle w:val="FootnoteReference"/>
        </w:rPr>
        <w:footnoteRef/>
      </w:r>
      <w:r>
        <w:t xml:space="preserve"> See </w:t>
      </w:r>
      <w:hyperlink r:id="rId16" w:history="1">
        <w:r w:rsidRPr="00E4630B">
          <w:rPr>
            <w:rStyle w:val="Hyperlink"/>
          </w:rPr>
          <w:t>https://www.parliament.act.gov.au/parliamentary-business/in-committees/previous-assemblies/Select-Committees-Fourth-Assembly/Select-Committee-on-Gambling</w:t>
        </w:r>
      </w:hyperlink>
      <w:r>
        <w:t xml:space="preserve">   </w:t>
      </w:r>
    </w:p>
  </w:footnote>
  <w:footnote w:id="177">
    <w:p w14:paraId="5EB367C3" w14:textId="77777777" w:rsidR="00C53166" w:rsidRDefault="00C53166" w:rsidP="00C53166">
      <w:pPr>
        <w:pStyle w:val="FootnoteText"/>
      </w:pPr>
      <w:r>
        <w:rPr>
          <w:rStyle w:val="FootnoteReference"/>
        </w:rPr>
        <w:footnoteRef/>
      </w:r>
      <w:r>
        <w:t xml:space="preserve"> This is drawn from the committee report.  Unfortunately, the original exhibit of Professor McMillen’s letter to the committee has been lost to past archiving disposal practices, although I want to thank the Office of Legislative Assembly for their efforts to nonetheless try and locate the letter in a variety of locations.</w:t>
      </w:r>
    </w:p>
  </w:footnote>
  <w:footnote w:id="178">
    <w:p w14:paraId="23A088C5" w14:textId="77777777" w:rsidR="00C53166" w:rsidRDefault="00C53166" w:rsidP="00C53166">
      <w:pPr>
        <w:pStyle w:val="FootnoteText"/>
      </w:pPr>
      <w:r>
        <w:rPr>
          <w:rStyle w:val="FootnoteReference"/>
        </w:rPr>
        <w:footnoteRef/>
      </w:r>
      <w:r>
        <w:t xml:space="preserve"> Government response to the final report of the Select Committee on Gambling, 1999, p18.</w:t>
      </w:r>
      <w:r>
        <w:br/>
        <w:t>NB: Record made available by LA Minutes of Proceedings – the Braddock office is happy to share on request.</w:t>
      </w:r>
    </w:p>
  </w:footnote>
  <w:footnote w:id="179">
    <w:p w14:paraId="60ABBABE" w14:textId="77777777" w:rsidR="00C53166" w:rsidRDefault="00C53166" w:rsidP="00C53166">
      <w:pPr>
        <w:pStyle w:val="FootnoteText"/>
      </w:pPr>
      <w:r>
        <w:rPr>
          <w:rStyle w:val="FootnoteReference"/>
        </w:rPr>
        <w:footnoteRef/>
      </w:r>
      <w:r>
        <w:t xml:space="preserve"> </w:t>
      </w:r>
      <w:hyperlink r:id="rId17" w:history="1">
        <w:r w:rsidRPr="00ED3E1F">
          <w:rPr>
            <w:rStyle w:val="Hyperlink"/>
          </w:rPr>
          <w:t>https://www.parliament.act.gov.au/parliamentary-business/in-committees/previous-assemblies/standing-committees-eighth-assembly/Public-Accounts/inquiry-into-elements-impacting-on-the-future-of-the-act?inquiry=710257</w:t>
        </w:r>
      </w:hyperlink>
      <w:r>
        <w:t xml:space="preserve"> See committee report, pp111-112</w:t>
      </w:r>
    </w:p>
  </w:footnote>
  <w:footnote w:id="180">
    <w:p w14:paraId="3727E84F" w14:textId="77777777" w:rsidR="00C53166" w:rsidRDefault="00C53166" w:rsidP="00C53166">
      <w:pPr>
        <w:pStyle w:val="FootnoteText"/>
      </w:pPr>
      <w:r>
        <w:rPr>
          <w:rStyle w:val="FootnoteReference"/>
        </w:rPr>
        <w:footnoteRef/>
      </w:r>
      <w:r>
        <w:t xml:space="preserve"> Committee Hansard, 27</w:t>
      </w:r>
      <w:r w:rsidRPr="00242DF1">
        <w:rPr>
          <w:vertAlign w:val="superscript"/>
        </w:rPr>
        <w:t>th</w:t>
      </w:r>
      <w:r>
        <w:t xml:space="preserve"> March 2024, p26</w:t>
      </w:r>
    </w:p>
  </w:footnote>
  <w:footnote w:id="181">
    <w:p w14:paraId="1107FE03" w14:textId="77777777" w:rsidR="00C53166" w:rsidRPr="00676CD0" w:rsidRDefault="00C53166" w:rsidP="00C53166">
      <w:pPr>
        <w:pStyle w:val="FootnoteText"/>
      </w:pPr>
      <w:r>
        <w:rPr>
          <w:rStyle w:val="FootnoteReference"/>
        </w:rPr>
        <w:footnoteRef/>
      </w:r>
      <w:r>
        <w:t xml:space="preserve"> As per the </w:t>
      </w:r>
      <w:r>
        <w:rPr>
          <w:i/>
          <w:iCs/>
        </w:rPr>
        <w:t>Gaming Legislation Amendment Act 2018</w:t>
      </w:r>
      <w:r>
        <w:t>.</w:t>
      </w:r>
    </w:p>
  </w:footnote>
  <w:footnote w:id="182">
    <w:p w14:paraId="7AA86E5C" w14:textId="77777777" w:rsidR="00C53166" w:rsidRDefault="00C53166" w:rsidP="00C53166">
      <w:pPr>
        <w:pStyle w:val="FootnoteText"/>
      </w:pPr>
      <w:r>
        <w:rPr>
          <w:rStyle w:val="FootnoteReference"/>
        </w:rPr>
        <w:footnoteRef/>
      </w:r>
      <w:r>
        <w:t xml:space="preserve"> See monthly trading scheme statistics at </w:t>
      </w:r>
      <w:hyperlink r:id="rId18" w:history="1">
        <w:r w:rsidRPr="00241C73">
          <w:rPr>
            <w:rStyle w:val="Hyperlink"/>
          </w:rPr>
          <w:t>https://www.gamblingandracing.act.gov.au/publications</w:t>
        </w:r>
      </w:hyperlink>
      <w:r>
        <w:t xml:space="preserve"> </w:t>
      </w:r>
    </w:p>
  </w:footnote>
  <w:footnote w:id="183">
    <w:p w14:paraId="2A9EC53F" w14:textId="77777777" w:rsidR="00C53166" w:rsidRDefault="00C53166" w:rsidP="00C53166">
      <w:pPr>
        <w:pStyle w:val="FootnoteText"/>
      </w:pPr>
      <w:r>
        <w:rPr>
          <w:rStyle w:val="FootnoteReference"/>
        </w:rPr>
        <w:footnoteRef/>
      </w:r>
      <w:r>
        <w:t xml:space="preserve"> Committee Hansard, 27</w:t>
      </w:r>
      <w:r w:rsidRPr="00242DF1">
        <w:rPr>
          <w:vertAlign w:val="superscript"/>
        </w:rPr>
        <w:t>th</w:t>
      </w:r>
      <w:r>
        <w:t xml:space="preserve"> March 2024, p47</w:t>
      </w:r>
    </w:p>
  </w:footnote>
  <w:footnote w:id="184">
    <w:p w14:paraId="2801C540" w14:textId="77777777" w:rsidR="00C53166" w:rsidRDefault="00C53166" w:rsidP="00C53166">
      <w:pPr>
        <w:pStyle w:val="FootnoteText"/>
      </w:pPr>
      <w:r>
        <w:rPr>
          <w:rStyle w:val="FootnoteReference"/>
        </w:rPr>
        <w:footnoteRef/>
      </w:r>
      <w:r>
        <w:t xml:space="preserve"> See </w:t>
      </w:r>
      <w:hyperlink r:id="rId19" w:history="1">
        <w:r w:rsidRPr="0099757D">
          <w:rPr>
            <w:rStyle w:val="Hyperlink"/>
          </w:rPr>
          <w:t>https://www.ag.gov.au/sites/default/files/2024-02/scag-communique-february-2024.pdf</w:t>
        </w:r>
      </w:hyperlink>
      <w:r>
        <w:t xml:space="preserve"> </w:t>
      </w:r>
    </w:p>
  </w:footnote>
  <w:footnote w:id="185">
    <w:p w14:paraId="66F8E70A" w14:textId="77777777" w:rsidR="00C53166" w:rsidRDefault="00C53166" w:rsidP="00C53166">
      <w:pPr>
        <w:pStyle w:val="FootnoteText"/>
      </w:pPr>
      <w:r>
        <w:rPr>
          <w:rStyle w:val="FootnoteReference"/>
        </w:rPr>
        <w:footnoteRef/>
      </w:r>
      <w:r>
        <w:t xml:space="preserve"> See for example </w:t>
      </w:r>
      <w:hyperlink r:id="rId20" w:history="1">
        <w:r w:rsidRPr="002159CF">
          <w:rPr>
            <w:rStyle w:val="Hyperlink"/>
          </w:rPr>
          <w:t>https://the-riotact.com/canberra-club-members-believed-to-be-spared-worst-of-possible-identity-theft/766910</w:t>
        </w:r>
      </w:hyperlink>
      <w:r>
        <w:t xml:space="preserve"> </w:t>
      </w:r>
    </w:p>
  </w:footnote>
  <w:footnote w:id="186">
    <w:p w14:paraId="75C44CB6" w14:textId="77777777" w:rsidR="00C53166" w:rsidRDefault="00C53166" w:rsidP="00C53166">
      <w:pPr>
        <w:pStyle w:val="FootnoteText"/>
      </w:pPr>
      <w:r>
        <w:rPr>
          <w:rStyle w:val="FootnoteReference"/>
        </w:rPr>
        <w:footnoteRef/>
      </w:r>
      <w:r>
        <w:t xml:space="preserve"> Email correspondence from Devin Bowles to Andrew Braddock, 6/5/2024.</w:t>
      </w:r>
    </w:p>
  </w:footnote>
  <w:footnote w:id="187">
    <w:p w14:paraId="06BFD968" w14:textId="77777777" w:rsidR="00C53166" w:rsidRDefault="00C53166" w:rsidP="00C53166">
      <w:pPr>
        <w:pStyle w:val="FootnoteText"/>
      </w:pPr>
      <w:r>
        <w:rPr>
          <w:rStyle w:val="FootnoteReference"/>
        </w:rPr>
        <w:footnoteRef/>
      </w:r>
      <w:r>
        <w:t xml:space="preserve"> Selwyn </w:t>
      </w:r>
      <w:r>
        <w:rPr>
          <w:i/>
          <w:iCs/>
        </w:rPr>
        <w:t>et al</w:t>
      </w:r>
      <w:r>
        <w:t xml:space="preserve"> 2024, </w:t>
      </w:r>
      <w:r w:rsidRPr="005F036C">
        <w:rPr>
          <w:i/>
          <w:iCs/>
        </w:rPr>
        <w:t>Facing up to Problem Gambling: Tracing the Emergence of Facial Recognition Technology as a means of Enforcing Voluntary Self-Exclusion</w:t>
      </w:r>
      <w:r>
        <w:t xml:space="preserve">. Journal of Gambling Studies, 9/5/2024.  </w:t>
      </w:r>
      <w:hyperlink r:id="rId21" w:history="1">
        <w:r w:rsidRPr="002159CF">
          <w:rPr>
            <w:rStyle w:val="Hyperlink"/>
          </w:rPr>
          <w:t>https://link.springer.com/article/10.1007/s10899-024-10308-4</w:t>
        </w:r>
      </w:hyperlink>
      <w:r>
        <w:t xml:space="preserve">  </w:t>
      </w:r>
    </w:p>
  </w:footnote>
  <w:footnote w:id="188">
    <w:p w14:paraId="090424DB" w14:textId="77777777" w:rsidR="00C53166" w:rsidRDefault="00C53166" w:rsidP="00C53166">
      <w:pPr>
        <w:pStyle w:val="FootnoteText"/>
      </w:pPr>
      <w:r>
        <w:rPr>
          <w:rStyle w:val="FootnoteReference"/>
        </w:rPr>
        <w:footnoteRef/>
      </w:r>
      <w:r>
        <w:t xml:space="preserve"> QTON 007  </w:t>
      </w:r>
      <w:hyperlink r:id="rId22" w:history="1">
        <w:r w:rsidRPr="002159CF">
          <w:rPr>
            <w:rStyle w:val="Hyperlink"/>
          </w:rPr>
          <w:t>https://www.parliament.act.gov.au/__data/assets/pdf_file/0003/2436258/JACS-QTON-007-ACTCOSS-Facial-recognition-Braddock.pdf</w:t>
        </w:r>
      </w:hyperlink>
      <w:r>
        <w:t xml:space="preserve"> </w:t>
      </w:r>
    </w:p>
  </w:footnote>
  <w:footnote w:id="189">
    <w:p w14:paraId="7F069044" w14:textId="77777777" w:rsidR="00C53166" w:rsidRDefault="00C53166" w:rsidP="00C53166">
      <w:pPr>
        <w:pStyle w:val="FootnoteText"/>
      </w:pPr>
      <w:r>
        <w:rPr>
          <w:rStyle w:val="FootnoteReference"/>
        </w:rPr>
        <w:footnoteRef/>
      </w:r>
      <w:r>
        <w:t xml:space="preserve"> </w:t>
      </w:r>
      <w:hyperlink r:id="rId23" w:history="1">
        <w:r w:rsidRPr="001E1A1A">
          <w:rPr>
            <w:rStyle w:val="Hyperlink"/>
          </w:rPr>
          <w:t>https://www.canberratimes.com.au/story/8660729/labor-poker-machine-policy-lacks-key-harm-reduction-tools-greens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ED3CD4BC"/>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bullet"/>
      <w:pStyle w:val="ListNumber3"/>
      <w:lvlText w:val=""/>
      <w:lvlJc w:val="left"/>
      <w:pPr>
        <w:ind w:left="1211" w:hanging="360"/>
      </w:pPr>
      <w:rPr>
        <w:rFonts w:ascii="Symbol" w:hAnsi="Symbol"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72A779D"/>
    <w:multiLevelType w:val="hybridMultilevel"/>
    <w:tmpl w:val="09A8E6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C24A1"/>
    <w:multiLevelType w:val="hybridMultilevel"/>
    <w:tmpl w:val="B8566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AE35AC"/>
    <w:multiLevelType w:val="hybridMultilevel"/>
    <w:tmpl w:val="7A127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301649"/>
    <w:multiLevelType w:val="hybridMultilevel"/>
    <w:tmpl w:val="6D18B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A64293"/>
    <w:multiLevelType w:val="hybridMultilevel"/>
    <w:tmpl w:val="3FC0F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283E7E"/>
    <w:multiLevelType w:val="hybridMultilevel"/>
    <w:tmpl w:val="5A501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836B90"/>
    <w:multiLevelType w:val="hybridMultilevel"/>
    <w:tmpl w:val="A912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6026D4"/>
    <w:multiLevelType w:val="hybridMultilevel"/>
    <w:tmpl w:val="97EA9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BC62A6"/>
    <w:multiLevelType w:val="multilevel"/>
    <w:tmpl w:val="B4349E5C"/>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21"/>
  </w:num>
  <w:num w:numId="12" w16cid:durableId="1055083277">
    <w:abstractNumId w:val="13"/>
  </w:num>
  <w:num w:numId="13" w16cid:durableId="1782914385">
    <w:abstractNumId w:val="26"/>
  </w:num>
  <w:num w:numId="14" w16cid:durableId="1239973112">
    <w:abstractNumId w:val="12"/>
  </w:num>
  <w:num w:numId="15" w16cid:durableId="1843743432">
    <w:abstractNumId w:val="29"/>
  </w:num>
  <w:num w:numId="16" w16cid:durableId="2116971440">
    <w:abstractNumId w:val="10"/>
  </w:num>
  <w:num w:numId="17" w16cid:durableId="1893229063">
    <w:abstractNumId w:val="20"/>
  </w:num>
  <w:num w:numId="18" w16cid:durableId="1059088669">
    <w:abstractNumId w:val="24"/>
  </w:num>
  <w:num w:numId="19" w16cid:durableId="13159911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5"/>
  </w:num>
  <w:num w:numId="21" w16cid:durableId="1399326623">
    <w:abstractNumId w:val="17"/>
  </w:num>
  <w:num w:numId="22" w16cid:durableId="1262448621">
    <w:abstractNumId w:val="18"/>
  </w:num>
  <w:num w:numId="23" w16cid:durableId="555750365">
    <w:abstractNumId w:val="23"/>
  </w:num>
  <w:num w:numId="24" w16cid:durableId="1283225273">
    <w:abstractNumId w:val="19"/>
  </w:num>
  <w:num w:numId="25" w16cid:durableId="610167354">
    <w:abstractNumId w:val="28"/>
  </w:num>
  <w:num w:numId="26" w16cid:durableId="972831083">
    <w:abstractNumId w:val="10"/>
  </w:num>
  <w:num w:numId="27" w16cid:durableId="331298975">
    <w:abstractNumId w:val="10"/>
  </w:num>
  <w:num w:numId="28" w16cid:durableId="1527869517">
    <w:abstractNumId w:val="10"/>
  </w:num>
  <w:num w:numId="29" w16cid:durableId="1703826802">
    <w:abstractNumId w:val="26"/>
  </w:num>
  <w:num w:numId="30" w16cid:durableId="1861315883">
    <w:abstractNumId w:val="10"/>
  </w:num>
  <w:num w:numId="31" w16cid:durableId="1077167277">
    <w:abstractNumId w:val="30"/>
  </w:num>
  <w:num w:numId="32" w16cid:durableId="742799115">
    <w:abstractNumId w:val="10"/>
  </w:num>
  <w:num w:numId="33" w16cid:durableId="2011523322">
    <w:abstractNumId w:val="15"/>
  </w:num>
  <w:num w:numId="34" w16cid:durableId="1396274915">
    <w:abstractNumId w:val="27"/>
  </w:num>
  <w:num w:numId="35" w16cid:durableId="347223670">
    <w:abstractNumId w:val="26"/>
  </w:num>
  <w:num w:numId="36" w16cid:durableId="563881180">
    <w:abstractNumId w:val="22"/>
  </w:num>
  <w:num w:numId="37" w16cid:durableId="1895845519">
    <w:abstractNumId w:val="26"/>
  </w:num>
  <w:num w:numId="38" w16cid:durableId="1619679859">
    <w:abstractNumId w:val="26"/>
  </w:num>
  <w:num w:numId="39" w16cid:durableId="441071590">
    <w:abstractNumId w:val="16"/>
  </w:num>
  <w:num w:numId="40" w16cid:durableId="571935544">
    <w:abstractNumId w:val="10"/>
  </w:num>
  <w:num w:numId="41" w16cid:durableId="1825244412">
    <w:abstractNumId w:val="10"/>
  </w:num>
  <w:num w:numId="42" w16cid:durableId="90856834">
    <w:abstractNumId w:val="14"/>
  </w:num>
  <w:num w:numId="43" w16cid:durableId="292056905">
    <w:abstractNumId w:val="11"/>
  </w:num>
  <w:num w:numId="44" w16cid:durableId="3987508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598D"/>
    <w:rsid w:val="00024F1A"/>
    <w:rsid w:val="00030FBC"/>
    <w:rsid w:val="00034056"/>
    <w:rsid w:val="000463A1"/>
    <w:rsid w:val="00046694"/>
    <w:rsid w:val="00047DD3"/>
    <w:rsid w:val="00050372"/>
    <w:rsid w:val="00056153"/>
    <w:rsid w:val="00065581"/>
    <w:rsid w:val="00066208"/>
    <w:rsid w:val="0006752F"/>
    <w:rsid w:val="00070E76"/>
    <w:rsid w:val="000926FF"/>
    <w:rsid w:val="000A2093"/>
    <w:rsid w:val="000A4B52"/>
    <w:rsid w:val="000A5577"/>
    <w:rsid w:val="000A57E1"/>
    <w:rsid w:val="000B1332"/>
    <w:rsid w:val="000D6381"/>
    <w:rsid w:val="000D6988"/>
    <w:rsid w:val="00114008"/>
    <w:rsid w:val="00120353"/>
    <w:rsid w:val="00123781"/>
    <w:rsid w:val="00130F73"/>
    <w:rsid w:val="0014714E"/>
    <w:rsid w:val="00150531"/>
    <w:rsid w:val="0015126C"/>
    <w:rsid w:val="0015177D"/>
    <w:rsid w:val="00151C2E"/>
    <w:rsid w:val="00156E52"/>
    <w:rsid w:val="001738A0"/>
    <w:rsid w:val="00174580"/>
    <w:rsid w:val="00174F1B"/>
    <w:rsid w:val="0018105F"/>
    <w:rsid w:val="001825E5"/>
    <w:rsid w:val="001829F6"/>
    <w:rsid w:val="00187D91"/>
    <w:rsid w:val="0019518F"/>
    <w:rsid w:val="0019545D"/>
    <w:rsid w:val="001A16D0"/>
    <w:rsid w:val="001A2EDD"/>
    <w:rsid w:val="001A3F3B"/>
    <w:rsid w:val="001B13A0"/>
    <w:rsid w:val="001B2622"/>
    <w:rsid w:val="001B2BE5"/>
    <w:rsid w:val="001B3C02"/>
    <w:rsid w:val="001B4821"/>
    <w:rsid w:val="001C4BE3"/>
    <w:rsid w:val="001C7708"/>
    <w:rsid w:val="001D10CD"/>
    <w:rsid w:val="001D22FC"/>
    <w:rsid w:val="001E0390"/>
    <w:rsid w:val="001E07FA"/>
    <w:rsid w:val="001E5EB6"/>
    <w:rsid w:val="001F30D0"/>
    <w:rsid w:val="001F5526"/>
    <w:rsid w:val="00205761"/>
    <w:rsid w:val="002101BE"/>
    <w:rsid w:val="00216BB7"/>
    <w:rsid w:val="00226C33"/>
    <w:rsid w:val="002319E8"/>
    <w:rsid w:val="00247A37"/>
    <w:rsid w:val="00255007"/>
    <w:rsid w:val="002665F4"/>
    <w:rsid w:val="00266BE5"/>
    <w:rsid w:val="00281C83"/>
    <w:rsid w:val="00283156"/>
    <w:rsid w:val="002861BB"/>
    <w:rsid w:val="002933CD"/>
    <w:rsid w:val="002A33D1"/>
    <w:rsid w:val="002A6A10"/>
    <w:rsid w:val="002B5B06"/>
    <w:rsid w:val="002B7218"/>
    <w:rsid w:val="002C4E7E"/>
    <w:rsid w:val="002D2F42"/>
    <w:rsid w:val="002E3E2A"/>
    <w:rsid w:val="002F4DA1"/>
    <w:rsid w:val="002F7BB3"/>
    <w:rsid w:val="00302F91"/>
    <w:rsid w:val="0031628A"/>
    <w:rsid w:val="00336124"/>
    <w:rsid w:val="003416E2"/>
    <w:rsid w:val="00344DF6"/>
    <w:rsid w:val="003500C6"/>
    <w:rsid w:val="00362801"/>
    <w:rsid w:val="0036420E"/>
    <w:rsid w:val="003655CA"/>
    <w:rsid w:val="0036775A"/>
    <w:rsid w:val="00370A95"/>
    <w:rsid w:val="003875B8"/>
    <w:rsid w:val="00387938"/>
    <w:rsid w:val="003926BD"/>
    <w:rsid w:val="003A4C1E"/>
    <w:rsid w:val="003B0AC3"/>
    <w:rsid w:val="003C3CF9"/>
    <w:rsid w:val="003C76F0"/>
    <w:rsid w:val="003D1730"/>
    <w:rsid w:val="003D3C3B"/>
    <w:rsid w:val="003D69C2"/>
    <w:rsid w:val="003D77E5"/>
    <w:rsid w:val="003E2744"/>
    <w:rsid w:val="003E7A29"/>
    <w:rsid w:val="003F507E"/>
    <w:rsid w:val="00402758"/>
    <w:rsid w:val="00404635"/>
    <w:rsid w:val="004046FC"/>
    <w:rsid w:val="00407196"/>
    <w:rsid w:val="004135EF"/>
    <w:rsid w:val="004245CD"/>
    <w:rsid w:val="004275F6"/>
    <w:rsid w:val="00437AB0"/>
    <w:rsid w:val="00443FE2"/>
    <w:rsid w:val="004508F1"/>
    <w:rsid w:val="00456DCF"/>
    <w:rsid w:val="0045759B"/>
    <w:rsid w:val="004608D6"/>
    <w:rsid w:val="00460AFC"/>
    <w:rsid w:val="0046189E"/>
    <w:rsid w:val="00467425"/>
    <w:rsid w:val="004701DC"/>
    <w:rsid w:val="00471E8B"/>
    <w:rsid w:val="004830DF"/>
    <w:rsid w:val="00483210"/>
    <w:rsid w:val="0049117B"/>
    <w:rsid w:val="00494622"/>
    <w:rsid w:val="004976C3"/>
    <w:rsid w:val="004A0745"/>
    <w:rsid w:val="004A3B24"/>
    <w:rsid w:val="004B37BC"/>
    <w:rsid w:val="004D118E"/>
    <w:rsid w:val="004E1658"/>
    <w:rsid w:val="004E456C"/>
    <w:rsid w:val="004E508E"/>
    <w:rsid w:val="004E5149"/>
    <w:rsid w:val="004F2D0B"/>
    <w:rsid w:val="004F4BCC"/>
    <w:rsid w:val="00510D89"/>
    <w:rsid w:val="00515B8A"/>
    <w:rsid w:val="0051686C"/>
    <w:rsid w:val="0051712D"/>
    <w:rsid w:val="00525ED8"/>
    <w:rsid w:val="0053776A"/>
    <w:rsid w:val="00543280"/>
    <w:rsid w:val="00564CD8"/>
    <w:rsid w:val="00570363"/>
    <w:rsid w:val="005722A6"/>
    <w:rsid w:val="00574884"/>
    <w:rsid w:val="005859C3"/>
    <w:rsid w:val="005874B2"/>
    <w:rsid w:val="00592400"/>
    <w:rsid w:val="005A0E75"/>
    <w:rsid w:val="005B3FA6"/>
    <w:rsid w:val="005B61A8"/>
    <w:rsid w:val="005C1B69"/>
    <w:rsid w:val="005C28BD"/>
    <w:rsid w:val="005C4F2A"/>
    <w:rsid w:val="005D0221"/>
    <w:rsid w:val="005D0971"/>
    <w:rsid w:val="005D1067"/>
    <w:rsid w:val="005D7746"/>
    <w:rsid w:val="006001DC"/>
    <w:rsid w:val="00603039"/>
    <w:rsid w:val="00603367"/>
    <w:rsid w:val="006043AE"/>
    <w:rsid w:val="0060768A"/>
    <w:rsid w:val="00623507"/>
    <w:rsid w:val="00624316"/>
    <w:rsid w:val="006323F8"/>
    <w:rsid w:val="00646AFC"/>
    <w:rsid w:val="00647E8B"/>
    <w:rsid w:val="006500D6"/>
    <w:rsid w:val="00654BF5"/>
    <w:rsid w:val="006645D4"/>
    <w:rsid w:val="006718E3"/>
    <w:rsid w:val="0068014A"/>
    <w:rsid w:val="006803E2"/>
    <w:rsid w:val="0069416F"/>
    <w:rsid w:val="00694E8E"/>
    <w:rsid w:val="00696112"/>
    <w:rsid w:val="006A7A61"/>
    <w:rsid w:val="006B07E7"/>
    <w:rsid w:val="006B28A8"/>
    <w:rsid w:val="006C1911"/>
    <w:rsid w:val="006C194B"/>
    <w:rsid w:val="006D1243"/>
    <w:rsid w:val="006E6ABB"/>
    <w:rsid w:val="006F04A2"/>
    <w:rsid w:val="006F3FC7"/>
    <w:rsid w:val="00700A3A"/>
    <w:rsid w:val="007012A3"/>
    <w:rsid w:val="00703C53"/>
    <w:rsid w:val="00706B6C"/>
    <w:rsid w:val="00710227"/>
    <w:rsid w:val="007114B9"/>
    <w:rsid w:val="00724F0D"/>
    <w:rsid w:val="00727F06"/>
    <w:rsid w:val="0073114B"/>
    <w:rsid w:val="0074595F"/>
    <w:rsid w:val="007469DE"/>
    <w:rsid w:val="0075417C"/>
    <w:rsid w:val="00754F3B"/>
    <w:rsid w:val="00757C24"/>
    <w:rsid w:val="007637D4"/>
    <w:rsid w:val="0076565C"/>
    <w:rsid w:val="00771E21"/>
    <w:rsid w:val="00777CC8"/>
    <w:rsid w:val="0078151A"/>
    <w:rsid w:val="007830C2"/>
    <w:rsid w:val="00783B5C"/>
    <w:rsid w:val="00792238"/>
    <w:rsid w:val="00792CC2"/>
    <w:rsid w:val="00794644"/>
    <w:rsid w:val="007A1D4F"/>
    <w:rsid w:val="007A6EB9"/>
    <w:rsid w:val="007A7A8B"/>
    <w:rsid w:val="007B1B0A"/>
    <w:rsid w:val="007B2747"/>
    <w:rsid w:val="007C062A"/>
    <w:rsid w:val="007C0C91"/>
    <w:rsid w:val="007C0E05"/>
    <w:rsid w:val="007C1747"/>
    <w:rsid w:val="007C371D"/>
    <w:rsid w:val="007C3F24"/>
    <w:rsid w:val="007C503A"/>
    <w:rsid w:val="007D5F0D"/>
    <w:rsid w:val="007F0956"/>
    <w:rsid w:val="007F244C"/>
    <w:rsid w:val="007F3C75"/>
    <w:rsid w:val="007F4C62"/>
    <w:rsid w:val="008013F1"/>
    <w:rsid w:val="00804756"/>
    <w:rsid w:val="008245BB"/>
    <w:rsid w:val="008272FB"/>
    <w:rsid w:val="00834DD2"/>
    <w:rsid w:val="00836FFE"/>
    <w:rsid w:val="008379EB"/>
    <w:rsid w:val="00845997"/>
    <w:rsid w:val="00846C27"/>
    <w:rsid w:val="00850BB2"/>
    <w:rsid w:val="00862F3B"/>
    <w:rsid w:val="0086394E"/>
    <w:rsid w:val="0086589B"/>
    <w:rsid w:val="00870AE1"/>
    <w:rsid w:val="008745D2"/>
    <w:rsid w:val="00877A94"/>
    <w:rsid w:val="0088059E"/>
    <w:rsid w:val="008857F1"/>
    <w:rsid w:val="0089338E"/>
    <w:rsid w:val="008A308D"/>
    <w:rsid w:val="008A6130"/>
    <w:rsid w:val="008B350E"/>
    <w:rsid w:val="008C1048"/>
    <w:rsid w:val="008C2228"/>
    <w:rsid w:val="008D72C9"/>
    <w:rsid w:val="008D7ED3"/>
    <w:rsid w:val="008E7446"/>
    <w:rsid w:val="008E750D"/>
    <w:rsid w:val="008F0463"/>
    <w:rsid w:val="008F4F78"/>
    <w:rsid w:val="009045C9"/>
    <w:rsid w:val="00917030"/>
    <w:rsid w:val="00917B49"/>
    <w:rsid w:val="009203AC"/>
    <w:rsid w:val="00921CF0"/>
    <w:rsid w:val="00925174"/>
    <w:rsid w:val="009276CD"/>
    <w:rsid w:val="00935DB5"/>
    <w:rsid w:val="00941D98"/>
    <w:rsid w:val="00943136"/>
    <w:rsid w:val="00947355"/>
    <w:rsid w:val="00950F1C"/>
    <w:rsid w:val="00957BF9"/>
    <w:rsid w:val="009661FD"/>
    <w:rsid w:val="009750C1"/>
    <w:rsid w:val="009753F9"/>
    <w:rsid w:val="00976637"/>
    <w:rsid w:val="00980E98"/>
    <w:rsid w:val="0098373B"/>
    <w:rsid w:val="0099716A"/>
    <w:rsid w:val="009A2EDC"/>
    <w:rsid w:val="009A6786"/>
    <w:rsid w:val="009A7A2A"/>
    <w:rsid w:val="009B1910"/>
    <w:rsid w:val="009B397D"/>
    <w:rsid w:val="009B4EFF"/>
    <w:rsid w:val="009B5462"/>
    <w:rsid w:val="009C2830"/>
    <w:rsid w:val="009C6E7E"/>
    <w:rsid w:val="009C6EF4"/>
    <w:rsid w:val="009C70F7"/>
    <w:rsid w:val="009D07D6"/>
    <w:rsid w:val="009E2BF4"/>
    <w:rsid w:val="009E46B1"/>
    <w:rsid w:val="009F00E8"/>
    <w:rsid w:val="009F1983"/>
    <w:rsid w:val="009F40CC"/>
    <w:rsid w:val="009F5A83"/>
    <w:rsid w:val="00A070D4"/>
    <w:rsid w:val="00A11B61"/>
    <w:rsid w:val="00A146A0"/>
    <w:rsid w:val="00A167AC"/>
    <w:rsid w:val="00A21C1C"/>
    <w:rsid w:val="00A23A3E"/>
    <w:rsid w:val="00A24D7F"/>
    <w:rsid w:val="00A502BA"/>
    <w:rsid w:val="00A53FDB"/>
    <w:rsid w:val="00A5475C"/>
    <w:rsid w:val="00A6147F"/>
    <w:rsid w:val="00A67677"/>
    <w:rsid w:val="00A67758"/>
    <w:rsid w:val="00A71EFF"/>
    <w:rsid w:val="00A7385A"/>
    <w:rsid w:val="00A93346"/>
    <w:rsid w:val="00AA1CAC"/>
    <w:rsid w:val="00AA3A42"/>
    <w:rsid w:val="00AA3AF3"/>
    <w:rsid w:val="00AA594B"/>
    <w:rsid w:val="00AA719E"/>
    <w:rsid w:val="00AB4252"/>
    <w:rsid w:val="00AB4627"/>
    <w:rsid w:val="00AB64BE"/>
    <w:rsid w:val="00AC6161"/>
    <w:rsid w:val="00AE3B01"/>
    <w:rsid w:val="00AE587D"/>
    <w:rsid w:val="00AE6E38"/>
    <w:rsid w:val="00B053AB"/>
    <w:rsid w:val="00B14169"/>
    <w:rsid w:val="00B20664"/>
    <w:rsid w:val="00B21A37"/>
    <w:rsid w:val="00B24E23"/>
    <w:rsid w:val="00B343A8"/>
    <w:rsid w:val="00B36B63"/>
    <w:rsid w:val="00B5012A"/>
    <w:rsid w:val="00B55998"/>
    <w:rsid w:val="00B55D4E"/>
    <w:rsid w:val="00B567A6"/>
    <w:rsid w:val="00B57CAD"/>
    <w:rsid w:val="00B65E54"/>
    <w:rsid w:val="00B7426F"/>
    <w:rsid w:val="00B7541C"/>
    <w:rsid w:val="00B83D67"/>
    <w:rsid w:val="00B949D1"/>
    <w:rsid w:val="00BB3A05"/>
    <w:rsid w:val="00BB44FF"/>
    <w:rsid w:val="00BC0651"/>
    <w:rsid w:val="00BC0EF0"/>
    <w:rsid w:val="00BC1DF7"/>
    <w:rsid w:val="00BC2614"/>
    <w:rsid w:val="00BC35B6"/>
    <w:rsid w:val="00BD1876"/>
    <w:rsid w:val="00BD1A07"/>
    <w:rsid w:val="00BD5761"/>
    <w:rsid w:val="00BD7CD3"/>
    <w:rsid w:val="00BE074E"/>
    <w:rsid w:val="00BE0AB2"/>
    <w:rsid w:val="00BE2017"/>
    <w:rsid w:val="00BF29BA"/>
    <w:rsid w:val="00BF3F0A"/>
    <w:rsid w:val="00C01B93"/>
    <w:rsid w:val="00C02510"/>
    <w:rsid w:val="00C02CA6"/>
    <w:rsid w:val="00C16DCB"/>
    <w:rsid w:val="00C21E49"/>
    <w:rsid w:val="00C277AA"/>
    <w:rsid w:val="00C31E7B"/>
    <w:rsid w:val="00C33979"/>
    <w:rsid w:val="00C4564D"/>
    <w:rsid w:val="00C53166"/>
    <w:rsid w:val="00C54F77"/>
    <w:rsid w:val="00C61493"/>
    <w:rsid w:val="00C61A86"/>
    <w:rsid w:val="00C65339"/>
    <w:rsid w:val="00C71A50"/>
    <w:rsid w:val="00C8358A"/>
    <w:rsid w:val="00C837A0"/>
    <w:rsid w:val="00C90D42"/>
    <w:rsid w:val="00C924CE"/>
    <w:rsid w:val="00CA3DCB"/>
    <w:rsid w:val="00CA66DC"/>
    <w:rsid w:val="00CB2AEE"/>
    <w:rsid w:val="00CC3612"/>
    <w:rsid w:val="00CC4BE7"/>
    <w:rsid w:val="00CD05B9"/>
    <w:rsid w:val="00CD73BC"/>
    <w:rsid w:val="00CF5982"/>
    <w:rsid w:val="00CF75A5"/>
    <w:rsid w:val="00D01ADC"/>
    <w:rsid w:val="00D209C1"/>
    <w:rsid w:val="00D2105B"/>
    <w:rsid w:val="00D2237C"/>
    <w:rsid w:val="00D23E3A"/>
    <w:rsid w:val="00D24B9E"/>
    <w:rsid w:val="00D376C4"/>
    <w:rsid w:val="00D41D0D"/>
    <w:rsid w:val="00D42B03"/>
    <w:rsid w:val="00D50DEA"/>
    <w:rsid w:val="00D6191A"/>
    <w:rsid w:val="00D634C2"/>
    <w:rsid w:val="00D7159D"/>
    <w:rsid w:val="00D90ED8"/>
    <w:rsid w:val="00D91E35"/>
    <w:rsid w:val="00D97152"/>
    <w:rsid w:val="00DA7289"/>
    <w:rsid w:val="00DC30DF"/>
    <w:rsid w:val="00DD0188"/>
    <w:rsid w:val="00DE56A4"/>
    <w:rsid w:val="00DF5879"/>
    <w:rsid w:val="00DF5E5F"/>
    <w:rsid w:val="00E00C87"/>
    <w:rsid w:val="00E06460"/>
    <w:rsid w:val="00E12092"/>
    <w:rsid w:val="00E12DD3"/>
    <w:rsid w:val="00E15B29"/>
    <w:rsid w:val="00E20388"/>
    <w:rsid w:val="00E20929"/>
    <w:rsid w:val="00E2280D"/>
    <w:rsid w:val="00E26635"/>
    <w:rsid w:val="00E30B82"/>
    <w:rsid w:val="00E3162C"/>
    <w:rsid w:val="00E31A7C"/>
    <w:rsid w:val="00E469D2"/>
    <w:rsid w:val="00E64191"/>
    <w:rsid w:val="00E6630F"/>
    <w:rsid w:val="00E82666"/>
    <w:rsid w:val="00E833AA"/>
    <w:rsid w:val="00E84638"/>
    <w:rsid w:val="00E85406"/>
    <w:rsid w:val="00E879B9"/>
    <w:rsid w:val="00E93618"/>
    <w:rsid w:val="00E94FCD"/>
    <w:rsid w:val="00E96FD6"/>
    <w:rsid w:val="00E97974"/>
    <w:rsid w:val="00EA257D"/>
    <w:rsid w:val="00EA32C4"/>
    <w:rsid w:val="00EA3FCE"/>
    <w:rsid w:val="00EA7D92"/>
    <w:rsid w:val="00EB00DE"/>
    <w:rsid w:val="00EB01FD"/>
    <w:rsid w:val="00EB3179"/>
    <w:rsid w:val="00EC2A27"/>
    <w:rsid w:val="00ED3906"/>
    <w:rsid w:val="00EE44F1"/>
    <w:rsid w:val="00EE4A95"/>
    <w:rsid w:val="00EE5AEE"/>
    <w:rsid w:val="00EE5B62"/>
    <w:rsid w:val="00EF64D1"/>
    <w:rsid w:val="00F0105C"/>
    <w:rsid w:val="00F101AB"/>
    <w:rsid w:val="00F102BB"/>
    <w:rsid w:val="00F131BF"/>
    <w:rsid w:val="00F2069E"/>
    <w:rsid w:val="00F2692E"/>
    <w:rsid w:val="00F33E81"/>
    <w:rsid w:val="00F40EAC"/>
    <w:rsid w:val="00F4685A"/>
    <w:rsid w:val="00F50462"/>
    <w:rsid w:val="00F64542"/>
    <w:rsid w:val="00F70B8B"/>
    <w:rsid w:val="00F746ED"/>
    <w:rsid w:val="00F7656C"/>
    <w:rsid w:val="00F81849"/>
    <w:rsid w:val="00F873F4"/>
    <w:rsid w:val="00F900CF"/>
    <w:rsid w:val="00F9280D"/>
    <w:rsid w:val="00F93995"/>
    <w:rsid w:val="00FA2226"/>
    <w:rsid w:val="00FA6764"/>
    <w:rsid w:val="00FB36CC"/>
    <w:rsid w:val="00FD48EE"/>
    <w:rsid w:val="00FE1710"/>
    <w:rsid w:val="00FE4993"/>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3"/>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570363"/>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570363"/>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570363"/>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E00C87"/>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customStyle="1" w:styleId="Bodycopy">
    <w:name w:val="Body copy"/>
    <w:link w:val="BodycopyChar"/>
    <w:qFormat/>
    <w:rsid w:val="002F7BB3"/>
    <w:pPr>
      <w:keepNext/>
      <w:widowControl w:val="0"/>
      <w:spacing w:before="200" w:after="200" w:line="300" w:lineRule="exact"/>
    </w:pPr>
    <w:rPr>
      <w:rFonts w:ascii="Calibri" w:hAnsi="Calibri" w:cstheme="minorHAnsi"/>
      <w:bCs/>
      <w:smallCaps/>
      <w:color w:val="000000"/>
      <w:spacing w:val="-3"/>
      <w:szCs w:val="20"/>
      <w:lang w:eastAsia="en-AU"/>
    </w:rPr>
  </w:style>
  <w:style w:type="character" w:customStyle="1" w:styleId="BodycopyChar">
    <w:name w:val="Body copy Char"/>
    <w:basedOn w:val="DefaultParagraphFont"/>
    <w:link w:val="Bodycopy"/>
    <w:locked/>
    <w:rsid w:val="002F7BB3"/>
    <w:rPr>
      <w:rFonts w:ascii="Calibri" w:hAnsi="Calibri" w:cstheme="minorHAnsi"/>
      <w:bCs/>
      <w:smallCaps/>
      <w:color w:val="000000"/>
      <w:spacing w:val="-3"/>
      <w:szCs w:val="20"/>
      <w:lang w:eastAsia="en-AU"/>
    </w:rPr>
  </w:style>
  <w:style w:type="paragraph" w:customStyle="1" w:styleId="adef">
    <w:name w:val="adef"/>
    <w:basedOn w:val="Normal"/>
    <w:rsid w:val="00941D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bolditals">
    <w:name w:val="charbolditals"/>
    <w:basedOn w:val="DefaultParagraphFont"/>
    <w:rsid w:val="00941D98"/>
  </w:style>
  <w:style w:type="paragraph" w:customStyle="1" w:styleId="adefpara">
    <w:name w:val="adefpara"/>
    <w:basedOn w:val="Normal"/>
    <w:rsid w:val="00941D9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efsubpara">
    <w:name w:val="adefsubpara"/>
    <w:basedOn w:val="Normal"/>
    <w:rsid w:val="00941D9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ubsubpara">
    <w:name w:val="asubsubpara"/>
    <w:basedOn w:val="Normal"/>
    <w:rsid w:val="00941D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14008"/>
    <w:rPr>
      <w:i/>
      <w:iCs/>
    </w:rPr>
  </w:style>
  <w:style w:type="paragraph" w:customStyle="1" w:styleId="pf0">
    <w:name w:val="pf0"/>
    <w:basedOn w:val="Normal"/>
    <w:rsid w:val="001E5EB6"/>
    <w:pPr>
      <w:spacing w:before="100" w:beforeAutospacing="1" w:after="100" w:afterAutospacing="1" w:line="240" w:lineRule="auto"/>
      <w:ind w:left="840"/>
    </w:pPr>
    <w:rPr>
      <w:rFonts w:ascii="Times New Roman" w:eastAsia="Times New Roman" w:hAnsi="Times New Roman" w:cs="Times New Roman"/>
      <w:sz w:val="24"/>
      <w:szCs w:val="24"/>
      <w:lang w:eastAsia="en-AU"/>
    </w:rPr>
  </w:style>
  <w:style w:type="character" w:customStyle="1" w:styleId="cf01">
    <w:name w:val="cf01"/>
    <w:basedOn w:val="DefaultParagraphFont"/>
    <w:rsid w:val="001E5EB6"/>
    <w:rPr>
      <w:rFonts w:ascii="Segoe UI" w:hAnsi="Segoe UI" w:cs="Segoe UI" w:hint="default"/>
      <w:sz w:val="18"/>
      <w:szCs w:val="18"/>
      <w:shd w:val="clear" w:color="auto" w:fill="FFFF00"/>
    </w:rPr>
  </w:style>
  <w:style w:type="character" w:customStyle="1" w:styleId="cf11">
    <w:name w:val="cf11"/>
    <w:basedOn w:val="DefaultParagraphFont"/>
    <w:rsid w:val="001E5EB6"/>
    <w:rPr>
      <w:rFonts w:ascii="Segoe UI" w:hAnsi="Segoe UI" w:cs="Segoe UI" w:hint="default"/>
      <w:sz w:val="18"/>
      <w:szCs w:val="18"/>
    </w:rPr>
  </w:style>
  <w:style w:type="paragraph" w:styleId="Revision">
    <w:name w:val="Revision"/>
    <w:hidden/>
    <w:uiPriority w:val="99"/>
    <w:semiHidden/>
    <w:rsid w:val="00E469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1503">
      <w:bodyDiv w:val="1"/>
      <w:marLeft w:val="0"/>
      <w:marRight w:val="0"/>
      <w:marTop w:val="0"/>
      <w:marBottom w:val="0"/>
      <w:divBdr>
        <w:top w:val="none" w:sz="0" w:space="0" w:color="auto"/>
        <w:left w:val="none" w:sz="0" w:space="0" w:color="auto"/>
        <w:bottom w:val="none" w:sz="0" w:space="0" w:color="auto"/>
        <w:right w:val="none" w:sz="0" w:space="0" w:color="auto"/>
      </w:divBdr>
    </w:div>
    <w:div w:id="897326976">
      <w:bodyDiv w:val="1"/>
      <w:marLeft w:val="0"/>
      <w:marRight w:val="0"/>
      <w:marTop w:val="0"/>
      <w:marBottom w:val="0"/>
      <w:divBdr>
        <w:top w:val="none" w:sz="0" w:space="0" w:color="auto"/>
        <w:left w:val="none" w:sz="0" w:space="0" w:color="auto"/>
        <w:bottom w:val="none" w:sz="0" w:space="0" w:color="auto"/>
        <w:right w:val="none" w:sz="0" w:space="0" w:color="auto"/>
      </w:divBdr>
    </w:div>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377316385">
      <w:bodyDiv w:val="1"/>
      <w:marLeft w:val="0"/>
      <w:marRight w:val="0"/>
      <w:marTop w:val="0"/>
      <w:marBottom w:val="0"/>
      <w:divBdr>
        <w:top w:val="none" w:sz="0" w:space="0" w:color="auto"/>
        <w:left w:val="none" w:sz="0" w:space="0" w:color="auto"/>
        <w:bottom w:val="none" w:sz="0" w:space="0" w:color="auto"/>
        <w:right w:val="none" w:sz="0" w:space="0" w:color="auto"/>
      </w:divBdr>
    </w:div>
    <w:div w:id="1397700112">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63203512">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parliamentary-business/in-committees/committees/jcs" TargetMode="Externa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lifeline.org.au" TargetMode="External"/><Relationship Id="rId2" Type="http://schemas.openxmlformats.org/officeDocument/2006/relationships/customXml" Target="../customXml/item1.xml"/><Relationship Id="rId16" Type="http://schemas.openxmlformats.org/officeDocument/2006/relationships/hyperlink" Target="https://www.dss.gov.au/our-responsibilities/communities-and-vulnerable-people/programs-services/commonwealth-financial-counselling-cfc" TargetMode="External"/><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amblinghelponline.org.au/"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committees/jc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amblingandracing.act.gov.au/understanding-gambling-harm/the-experience-of-gambling-harm" TargetMode="External"/><Relationship Id="rId13" Type="http://schemas.openxmlformats.org/officeDocument/2006/relationships/hyperlink" Target="https://www.liquorandgaming.nsw.gov.au/operating-a-business/gaming-licences/regulatory-sandbox-trials" TargetMode="External"/><Relationship Id="rId18" Type="http://schemas.openxmlformats.org/officeDocument/2006/relationships/hyperlink" Target="https://www.gamblingandracing.act.gov.au/publications" TargetMode="External"/><Relationship Id="rId3" Type="http://schemas.openxmlformats.org/officeDocument/2006/relationships/hyperlink" Target="https://www.gamblingandracing.act.gov.au/__data/assets/pdf_file/0019/2456101/Trading-Scheme-Information-as-at-01-May-2024.pdf" TargetMode="External"/><Relationship Id="rId21" Type="http://schemas.openxmlformats.org/officeDocument/2006/relationships/hyperlink" Target="https://link.springer.com/article/10.1007/s10899-024-10308-4" TargetMode="External"/><Relationship Id="rId7" Type="http://schemas.openxmlformats.org/officeDocument/2006/relationships/hyperlink" Target="https://www.gamblingandracing.act.gov.au/" TargetMode="External"/><Relationship Id="rId12" Type="http://schemas.openxmlformats.org/officeDocument/2006/relationships/hyperlink" Target="https://www.gamblingandracing.act.gov.au/funding/gambling-harm-prevention-and-mitigation-fund" TargetMode="External"/><Relationship Id="rId17" Type="http://schemas.openxmlformats.org/officeDocument/2006/relationships/hyperlink" Target="https://www.parliament.act.gov.au/parliamentary-business/in-committees/previous-assemblies/standing-committees-eighth-assembly/Public-Accounts/inquiry-into-elements-impacting-on-the-future-of-the-act?inquiry=710257" TargetMode="External"/><Relationship Id="rId2" Type="http://schemas.openxmlformats.org/officeDocument/2006/relationships/hyperlink" Target="https://www.cmtedd.act.gov.au/__data/assets/pdf_file/0003/1654077/Parliamentary-Agreement-for-the-10th-Legislative-Assembly.pdf" TargetMode="External"/><Relationship Id="rId16" Type="http://schemas.openxmlformats.org/officeDocument/2006/relationships/hyperlink" Target="https://www.parliament.act.gov.au/parliamentary-business/in-committees/previous-assemblies/Select-Committees-Fourth-Assembly/Select-Committee-on-Gambling" TargetMode="External"/><Relationship Id="rId20" Type="http://schemas.openxmlformats.org/officeDocument/2006/relationships/hyperlink" Target="https://the-riotact.com/canberra-club-members-believed-to-be-spared-worst-of-possible-identity-theft/766910" TargetMode="External"/><Relationship Id="rId1" Type="http://schemas.openxmlformats.org/officeDocument/2006/relationships/hyperlink" Target="https://www.gamblingandracing.act.gov.au/__data/assets/pdf_file/0009/1436580/Strategy-for-gambling-harm-prevention.pdf" TargetMode="External"/><Relationship Id="rId6" Type="http://schemas.openxmlformats.org/officeDocument/2006/relationships/hyperlink" Target="https://www.gamblingandracing.act.gov.au/funding/diversification-and-sustainability-support-fund?SQ_DESIGN_NAME=spf2&amp;SQ_ACTION=set_design_name" TargetMode="External"/><Relationship Id="rId11" Type="http://schemas.openxmlformats.org/officeDocument/2006/relationships/hyperlink" Target="https://www.gamblingandracing.act.gov.au/industry/reducing-and-preventing-harm/training" TargetMode="External"/><Relationship Id="rId5" Type="http://schemas.openxmlformats.org/officeDocument/2006/relationships/hyperlink" Target="https://www.gamblingandracing.act.gov.au/__data/assets/pdf_file/0006/744630/ACT-Gambling-Exclusion-Scheme-Fact-Sheet.pdf" TargetMode="External"/><Relationship Id="rId15" Type="http://schemas.openxmlformats.org/officeDocument/2006/relationships/hyperlink" Target="https://www.cmtedd.act.gov.au/__data/assets/pdf_file/0003/1654077/Parliamentary-Agreement-for-the-10th-Legislative-Assembly.pdf" TargetMode="External"/><Relationship Id="rId23" Type="http://schemas.openxmlformats.org/officeDocument/2006/relationships/hyperlink" Target="https://www.canberratimes.com.au/story/8660729/labor-poker-machine-policy-lacks-key-harm-reduction-tools-greens" TargetMode="External"/><Relationship Id="rId10" Type="http://schemas.openxmlformats.org/officeDocument/2006/relationships/hyperlink" Target="https://www.gamblingandracing.act.gov.au/gambling-harm-awareness-week" TargetMode="External"/><Relationship Id="rId19" Type="http://schemas.openxmlformats.org/officeDocument/2006/relationships/hyperlink" Target="https://www.ag.gov.au/sites/default/files/2024-02/scag-communique-february-2024.pdf" TargetMode="External"/><Relationship Id="rId4" Type="http://schemas.openxmlformats.org/officeDocument/2006/relationships/hyperlink" Target="https://www.gamblingandracing.act.gov.au/gambling-help/exclusion-support" TargetMode="External"/><Relationship Id="rId9" Type="http://schemas.openxmlformats.org/officeDocument/2006/relationships/hyperlink" Target="https://www.gamblingandracing.act.gov.au/gambling-help/help-in-other-languages" TargetMode="External"/><Relationship Id="rId14" Type="http://schemas.openxmlformats.org/officeDocument/2006/relationships/hyperlink" Target="https://www.liquorandgaming.nsw.gov.au/community-and-stakeholders/independent-panel-on-gaming-reform/cashless-gaming-trial" TargetMode="External"/><Relationship Id="rId22" Type="http://schemas.openxmlformats.org/officeDocument/2006/relationships/hyperlink" Target="https://www.parliament.act.gov.au/__data/assets/pdf_file/0003/2436258/JACS-QTON-007-ACTCOSS-Facial-recognition-Braddoc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243739" w:rsidP="00243739">
          <w:pPr>
            <w:pStyle w:val="CD44A8AEC3884C72AFC3583AFCA9AAC43"/>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243739" w:rsidP="00243739">
          <w:pPr>
            <w:pStyle w:val="8905C70B835B4AB69E525AF2146B972C3"/>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DefaultPlaceholder_-1854013438"/>
        <w:category>
          <w:name w:val="General"/>
          <w:gallery w:val="placeholder"/>
        </w:category>
        <w:types>
          <w:type w:val="bbPlcHdr"/>
        </w:types>
        <w:behaviors>
          <w:behavior w:val="content"/>
        </w:behaviors>
        <w:guid w:val="{1C6A304F-0ED5-40B7-AA69-C556F13E9462}"/>
      </w:docPartPr>
      <w:docPartBody>
        <w:p w:rsidR="002565F5" w:rsidRDefault="002565F5">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73E9"/>
    <w:rsid w:val="00034990"/>
    <w:rsid w:val="00063688"/>
    <w:rsid w:val="00074C48"/>
    <w:rsid w:val="001964B1"/>
    <w:rsid w:val="002370C7"/>
    <w:rsid w:val="00243739"/>
    <w:rsid w:val="0025495B"/>
    <w:rsid w:val="002565F5"/>
    <w:rsid w:val="002C1D8E"/>
    <w:rsid w:val="002D43CF"/>
    <w:rsid w:val="003218B3"/>
    <w:rsid w:val="00321FA9"/>
    <w:rsid w:val="00395878"/>
    <w:rsid w:val="00465034"/>
    <w:rsid w:val="004B4463"/>
    <w:rsid w:val="004E4506"/>
    <w:rsid w:val="00517B7F"/>
    <w:rsid w:val="0055128B"/>
    <w:rsid w:val="00582F66"/>
    <w:rsid w:val="00594788"/>
    <w:rsid w:val="006F1656"/>
    <w:rsid w:val="006F3983"/>
    <w:rsid w:val="007147ED"/>
    <w:rsid w:val="00716213"/>
    <w:rsid w:val="00730F43"/>
    <w:rsid w:val="00831F1D"/>
    <w:rsid w:val="008E3B29"/>
    <w:rsid w:val="00970294"/>
    <w:rsid w:val="009F53B9"/>
    <w:rsid w:val="009F5F77"/>
    <w:rsid w:val="00AC0560"/>
    <w:rsid w:val="00BC5886"/>
    <w:rsid w:val="00C576F3"/>
    <w:rsid w:val="00CB6155"/>
    <w:rsid w:val="00D3583C"/>
    <w:rsid w:val="00E01BCC"/>
    <w:rsid w:val="00E75710"/>
    <w:rsid w:val="00E9479A"/>
    <w:rsid w:val="00E94814"/>
    <w:rsid w:val="00EA7CBA"/>
    <w:rsid w:val="00EB4AD4"/>
    <w:rsid w:val="00F337FC"/>
    <w:rsid w:val="00F4175F"/>
    <w:rsid w:val="00F76AA3"/>
    <w:rsid w:val="00FB0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5F5"/>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3">
    <w:name w:val="CD44A8AEC3884C72AFC3583AFCA9AAC43"/>
    <w:rsid w:val="00243739"/>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3">
    <w:name w:val="8905C70B835B4AB69E525AF2146B972C3"/>
    <w:rsid w:val="00243739"/>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55</Pages>
  <Words>14497</Words>
  <Characters>77861</Characters>
  <Application>Microsoft Office Word</Application>
  <DocSecurity>0</DocSecurity>
  <Lines>1540</Lines>
  <Paragraphs>666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92047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de Kleuver, Kathleen</cp:lastModifiedBy>
  <cp:revision>11</cp:revision>
  <cp:lastPrinted>2024-06-25T00:06:00Z</cp:lastPrinted>
  <dcterms:created xsi:type="dcterms:W3CDTF">2024-06-11T22:43:00Z</dcterms:created>
  <dcterms:modified xsi:type="dcterms:W3CDTF">2024-06-25T00:11:00Z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2023-10-11T06:13:09Z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fdc80dfa-72cb-43b6-931f-9b4710b3c518</vt:lpwstr>
  </property>
  <property fmtid="{D5CDD505-2E9C-101B-9397-08002B2CF9AE}" pid="8" name="MSIP_Label_69af8531-eb46-4968-8cb3-105d2f5ea87e_ContentBits">
    <vt:lpwstr>0</vt:lpwstr>
  </property>
</Properties>
</file>