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E284F" w14:textId="4888A7EB" w:rsidR="008D27AA" w:rsidRPr="00DE4306" w:rsidRDefault="008D27AA" w:rsidP="003601F1">
      <w:pPr>
        <w:jc w:val="center"/>
        <w:rPr>
          <w:b/>
          <w:bCs/>
        </w:rPr>
      </w:pPr>
      <w:r w:rsidRPr="00DE4306">
        <w:rPr>
          <w:b/>
          <w:bCs/>
        </w:rPr>
        <w:t>2024</w:t>
      </w:r>
    </w:p>
    <w:p w14:paraId="0E288F79" w14:textId="77777777" w:rsidR="008D27AA" w:rsidRPr="00DE4306" w:rsidRDefault="008D27AA" w:rsidP="003601F1">
      <w:pPr>
        <w:jc w:val="center"/>
        <w:rPr>
          <w:b/>
          <w:bCs/>
        </w:rPr>
      </w:pPr>
    </w:p>
    <w:p w14:paraId="4A3D31C7" w14:textId="1D6600C9" w:rsidR="008D27AA" w:rsidRPr="00DE4306" w:rsidRDefault="008D27AA" w:rsidP="003601F1">
      <w:pPr>
        <w:jc w:val="center"/>
        <w:rPr>
          <w:b/>
          <w:bCs/>
        </w:rPr>
      </w:pPr>
      <w:r w:rsidRPr="00DE4306">
        <w:rPr>
          <w:b/>
          <w:bCs/>
        </w:rPr>
        <w:t>LEGISTLATIVE ASSEMBLY FOR THE AUSTRALIAN CAPITAL TERRITORY</w:t>
      </w:r>
    </w:p>
    <w:p w14:paraId="01096EBA" w14:textId="77777777" w:rsidR="00C64C66" w:rsidRPr="00DE4306" w:rsidRDefault="00C64C66" w:rsidP="003601F1">
      <w:pPr>
        <w:jc w:val="center"/>
        <w:rPr>
          <w:b/>
          <w:bCs/>
        </w:rPr>
      </w:pPr>
    </w:p>
    <w:p w14:paraId="36473E8B" w14:textId="77777777" w:rsidR="00CC6257" w:rsidRPr="00DE4306" w:rsidRDefault="00CC6257" w:rsidP="003601F1">
      <w:pPr>
        <w:jc w:val="center"/>
        <w:rPr>
          <w:b/>
          <w:bCs/>
        </w:rPr>
      </w:pPr>
    </w:p>
    <w:p w14:paraId="4DD5DC07" w14:textId="77777777" w:rsidR="00BB5627" w:rsidRPr="00DE4306" w:rsidRDefault="00BB5627" w:rsidP="003601F1">
      <w:pPr>
        <w:jc w:val="center"/>
        <w:rPr>
          <w:b/>
          <w:bCs/>
        </w:rPr>
      </w:pPr>
    </w:p>
    <w:p w14:paraId="23E6C82C" w14:textId="77777777" w:rsidR="00BB5627" w:rsidRPr="00DE4306" w:rsidRDefault="00BB5627" w:rsidP="003601F1">
      <w:pPr>
        <w:jc w:val="center"/>
        <w:rPr>
          <w:b/>
          <w:bCs/>
        </w:rPr>
      </w:pPr>
    </w:p>
    <w:p w14:paraId="1A796C62" w14:textId="77777777" w:rsidR="00BB5627" w:rsidRPr="00DE4306" w:rsidRDefault="00BB5627" w:rsidP="003601F1">
      <w:pPr>
        <w:jc w:val="center"/>
        <w:rPr>
          <w:b/>
          <w:bCs/>
        </w:rPr>
      </w:pPr>
    </w:p>
    <w:p w14:paraId="088A1790" w14:textId="26B83CCA" w:rsidR="00A31984" w:rsidRPr="00DE4306" w:rsidRDefault="003601F1" w:rsidP="003601F1">
      <w:pPr>
        <w:jc w:val="center"/>
        <w:rPr>
          <w:b/>
          <w:bCs/>
        </w:rPr>
      </w:pPr>
      <w:r w:rsidRPr="00DE4306">
        <w:rPr>
          <w:b/>
          <w:bCs/>
        </w:rPr>
        <w:t>EXPLANATORY STATEMENT</w:t>
      </w:r>
      <w:r w:rsidR="00C64C66" w:rsidRPr="00DE4306">
        <w:rPr>
          <w:b/>
          <w:bCs/>
        </w:rPr>
        <w:t xml:space="preserve"> OF AMENDMENTS</w:t>
      </w:r>
    </w:p>
    <w:p w14:paraId="55D238EF" w14:textId="5EB0A0C8" w:rsidR="003601F1" w:rsidRPr="00DE4306" w:rsidRDefault="003601F1" w:rsidP="003601F1">
      <w:pPr>
        <w:jc w:val="center"/>
        <w:rPr>
          <w:b/>
          <w:bCs/>
        </w:rPr>
      </w:pPr>
      <w:r w:rsidRPr="00DE4306">
        <w:rPr>
          <w:b/>
          <w:bCs/>
        </w:rPr>
        <w:t xml:space="preserve">HUMAN RIGHTS (HEALTHY ENVIRONMENT) AMENDMENT BILL </w:t>
      </w:r>
      <w:r w:rsidR="0012285C" w:rsidRPr="00DE4306">
        <w:rPr>
          <w:b/>
          <w:bCs/>
        </w:rPr>
        <w:t>2023</w:t>
      </w:r>
    </w:p>
    <w:p w14:paraId="73A20410" w14:textId="406EE99B" w:rsidR="0012285C" w:rsidRPr="00DE4306" w:rsidRDefault="0012285C" w:rsidP="003601F1">
      <w:pPr>
        <w:jc w:val="center"/>
        <w:rPr>
          <w:b/>
          <w:bCs/>
        </w:rPr>
      </w:pPr>
      <w:r w:rsidRPr="00DE4306">
        <w:rPr>
          <w:b/>
          <w:bCs/>
        </w:rPr>
        <w:t>AMENDMENTS TO BE MOVED BY ANDREW BRADDOCK MLA</w:t>
      </w:r>
    </w:p>
    <w:p w14:paraId="230EAF2B" w14:textId="77777777" w:rsidR="0012285C" w:rsidRDefault="0012285C" w:rsidP="0012285C"/>
    <w:p w14:paraId="6FC2AEB2" w14:textId="77777777" w:rsidR="00CC6257" w:rsidRDefault="00CC6257" w:rsidP="0012285C"/>
    <w:p w14:paraId="093EF77D" w14:textId="77777777" w:rsidR="00BB5627" w:rsidRDefault="00BB5627" w:rsidP="0012285C"/>
    <w:p w14:paraId="29C3E39A" w14:textId="77777777" w:rsidR="00BB5627" w:rsidRDefault="00BB5627" w:rsidP="0012285C"/>
    <w:p w14:paraId="0F8E69F1" w14:textId="77777777" w:rsidR="00BB5627" w:rsidRDefault="00BB5627" w:rsidP="0012285C"/>
    <w:p w14:paraId="38B8D7AF" w14:textId="707612FD" w:rsidR="0012285C" w:rsidRDefault="008F7A42" w:rsidP="0012285C">
      <w:r>
        <w:t xml:space="preserve">This explanatory statement related to amendments </w:t>
      </w:r>
      <w:r w:rsidR="00F0075D">
        <w:t xml:space="preserve">(the Amendments) </w:t>
      </w:r>
      <w:r>
        <w:t>to the Human Rights (Healthy Environment) Amendment Bill 2023</w:t>
      </w:r>
      <w:r w:rsidR="00B81254">
        <w:t xml:space="preserve"> (the Bill) presented to the Legislative Assembly for the Australian Capital Territory (ACT)</w:t>
      </w:r>
      <w:r w:rsidR="004F67CF">
        <w:t xml:space="preserve"> to amend the Human Rights Act 2004 (the Act)</w:t>
      </w:r>
      <w:r w:rsidR="00B81254">
        <w:t>.  It has been prepared in order to assist the reader of the Bill and to help inform debate on it</w:t>
      </w:r>
      <w:r w:rsidR="00CC6257">
        <w:t>.  It does not form a part of the bill and has not been endorsed by the assembly.</w:t>
      </w:r>
    </w:p>
    <w:p w14:paraId="4B4333F3" w14:textId="29161A73" w:rsidR="00BB5627" w:rsidRDefault="00BB5627" w:rsidP="0012285C"/>
    <w:p w14:paraId="60C8E31A" w14:textId="77777777" w:rsidR="000F560A" w:rsidRDefault="000F560A" w:rsidP="0012285C"/>
    <w:p w14:paraId="18EC2845" w14:textId="77777777" w:rsidR="000F560A" w:rsidRDefault="000F560A" w:rsidP="0012285C"/>
    <w:p w14:paraId="7B8AD680" w14:textId="77777777" w:rsidR="00BB5627" w:rsidRDefault="00BB5627" w:rsidP="0012285C"/>
    <w:p w14:paraId="106D49F8" w14:textId="77777777" w:rsidR="004A5F57" w:rsidRDefault="004A5F57" w:rsidP="00CC6257">
      <w:pPr>
        <w:jc w:val="right"/>
      </w:pPr>
    </w:p>
    <w:p w14:paraId="75CF342D" w14:textId="5D7B4F65" w:rsidR="004A5F57" w:rsidRDefault="00CC6257" w:rsidP="004A5F57">
      <w:pPr>
        <w:jc w:val="right"/>
      </w:pPr>
      <w:r>
        <w:t>Signed:</w:t>
      </w:r>
      <w:r w:rsidR="004A5F57">
        <w:t xml:space="preserve"> </w:t>
      </w:r>
      <w:r w:rsidR="00BB5627">
        <w:t>___________</w:t>
      </w:r>
      <w:r w:rsidR="004A5F57">
        <w:t>______________________</w:t>
      </w:r>
    </w:p>
    <w:p w14:paraId="5CAA10E0" w14:textId="548462CD" w:rsidR="004A5F57" w:rsidRDefault="004A5F57" w:rsidP="004A5F57">
      <w:pPr>
        <w:jc w:val="right"/>
      </w:pPr>
      <w:r>
        <w:t>Andrew Braddock MLA</w:t>
      </w:r>
    </w:p>
    <w:p w14:paraId="23C6D648" w14:textId="77777777" w:rsidR="004A5F57" w:rsidRDefault="004A5F57" w:rsidP="004A5F57">
      <w:pPr>
        <w:jc w:val="right"/>
      </w:pPr>
    </w:p>
    <w:p w14:paraId="018A6BA6" w14:textId="5506CBBA" w:rsidR="004A5F57" w:rsidRDefault="004A5F57" w:rsidP="004A5F57">
      <w:pPr>
        <w:jc w:val="right"/>
      </w:pPr>
      <w:r>
        <w:t>____  / ____  / 2024</w:t>
      </w:r>
    </w:p>
    <w:p w14:paraId="7B78D315" w14:textId="1853EB5B" w:rsidR="00BB5627" w:rsidRDefault="00BB5627">
      <w:r>
        <w:br w:type="page"/>
      </w:r>
    </w:p>
    <w:p w14:paraId="6678C977" w14:textId="38284858" w:rsidR="004A5F57" w:rsidRPr="00B307C3" w:rsidRDefault="00B307C3" w:rsidP="00BB5627">
      <w:pPr>
        <w:rPr>
          <w:b/>
          <w:bCs/>
        </w:rPr>
      </w:pPr>
      <w:r>
        <w:rPr>
          <w:b/>
          <w:bCs/>
        </w:rPr>
        <w:lastRenderedPageBreak/>
        <w:t>Overview of the Amendments.</w:t>
      </w:r>
    </w:p>
    <w:p w14:paraId="3D484DCF" w14:textId="1B301968" w:rsidR="00910AAA" w:rsidRDefault="00A45D1B" w:rsidP="00BB5627">
      <w:r>
        <w:t>These amendments shorten the time frames for statutory review of the Act, and place a sunset on the non-justiciability clause</w:t>
      </w:r>
      <w:r w:rsidR="00453394">
        <w:t>s, thereby creating a presumption of future justiciability and requiring the Assembly to make a positive decision</w:t>
      </w:r>
      <w:r w:rsidR="00B253AF">
        <w:t xml:space="preserve"> should it in future wish to proceed differently.</w:t>
      </w:r>
    </w:p>
    <w:p w14:paraId="6C2946A9" w14:textId="5BEA7E86" w:rsidR="00910AAA" w:rsidRPr="005B56FF" w:rsidRDefault="005B56FF" w:rsidP="00BB5627">
      <w:pPr>
        <w:rPr>
          <w:b/>
          <w:bCs/>
        </w:rPr>
      </w:pPr>
      <w:r>
        <w:rPr>
          <w:b/>
          <w:bCs/>
        </w:rPr>
        <w:t>Background on past expansions of Human Rights</w:t>
      </w:r>
    </w:p>
    <w:p w14:paraId="196AC220" w14:textId="5BF09031" w:rsidR="00EB305D" w:rsidRDefault="00EB305D" w:rsidP="00BB5627">
      <w:r>
        <w:t xml:space="preserve">The Act was </w:t>
      </w:r>
      <w:r w:rsidR="00A81B4A">
        <w:t>notified</w:t>
      </w:r>
      <w:r>
        <w:t xml:space="preserve"> in 2004. </w:t>
      </w:r>
      <w:r w:rsidR="00870687">
        <w:t xml:space="preserve">At the time, the Act considered only civil and political rights derived from the </w:t>
      </w:r>
      <w:r w:rsidR="00DA62EA">
        <w:t>International Covenant on Civil and Political Rights (ICCPR).</w:t>
      </w:r>
    </w:p>
    <w:p w14:paraId="43DD25EB" w14:textId="719CF4A6" w:rsidR="00910AAA" w:rsidRDefault="00690C29" w:rsidP="00BB5627">
      <w:r>
        <w:t>In 2012, the Act was amended with effect from the 1</w:t>
      </w:r>
      <w:r w:rsidRPr="00690C29">
        <w:rPr>
          <w:vertAlign w:val="superscript"/>
        </w:rPr>
        <w:t>st</w:t>
      </w:r>
      <w:r>
        <w:t xml:space="preserve"> of January 2013</w:t>
      </w:r>
      <w:r w:rsidR="00B31399">
        <w:t xml:space="preserve"> to incorporate a new category of human rights </w:t>
      </w:r>
      <w:r w:rsidR="008C6417">
        <w:t>–</w:t>
      </w:r>
      <w:r w:rsidR="00B31399">
        <w:t xml:space="preserve"> </w:t>
      </w:r>
      <w:r w:rsidR="008C6417">
        <w:t>economic, social and cultural rights, sourced from the International Covenant on Economic, Social and Cultural Rights</w:t>
      </w:r>
      <w:r w:rsidR="00143CA3">
        <w:t xml:space="preserve"> (ICESCR)</w:t>
      </w:r>
      <w:r w:rsidR="008C6417">
        <w:t>.</w:t>
      </w:r>
      <w:r w:rsidR="00013F1A">
        <w:t xml:space="preserve">  The first of these rights, incorporated at the time</w:t>
      </w:r>
      <w:r w:rsidR="00143CA3">
        <w:t xml:space="preserve"> with the introduction of Schedule 2</w:t>
      </w:r>
      <w:r w:rsidR="00013F1A">
        <w:t xml:space="preserve">, was the right to education </w:t>
      </w:r>
      <w:r w:rsidR="008D3AE5">
        <w:t xml:space="preserve">from article 13 of the ICESCR.  Included in the </w:t>
      </w:r>
      <w:r w:rsidR="0092172E" w:rsidRPr="007833AC">
        <w:t>2012 A</w:t>
      </w:r>
      <w:r w:rsidR="008D3AE5" w:rsidRPr="007833AC">
        <w:t>ct</w:t>
      </w:r>
      <w:r w:rsidR="007833AC">
        <w:rPr>
          <w:rStyle w:val="FootnoteReference"/>
        </w:rPr>
        <w:footnoteReference w:id="2"/>
      </w:r>
      <w:r w:rsidR="008D3AE5">
        <w:t xml:space="preserve"> were </w:t>
      </w:r>
      <w:r w:rsidR="003C6024">
        <w:t>the following provisions:</w:t>
      </w:r>
    </w:p>
    <w:p w14:paraId="3001B97D" w14:textId="5C6389B1" w:rsidR="003C6024" w:rsidRDefault="003C6024" w:rsidP="003C6024">
      <w:pPr>
        <w:numPr>
          <w:ilvl w:val="0"/>
          <w:numId w:val="1"/>
        </w:numPr>
      </w:pPr>
      <w:r>
        <w:t>Preclusion of economic social and cultural rights</w:t>
      </w:r>
      <w:r w:rsidR="00D34CE6">
        <w:t>, meaning the new right to education,</w:t>
      </w:r>
      <w:r>
        <w:t xml:space="preserve"> </w:t>
      </w:r>
      <w:r w:rsidR="00BA23D4">
        <w:t xml:space="preserve">from </w:t>
      </w:r>
      <w:r w:rsidR="0092172E">
        <w:t>the obligations of public authorities to act consistently with human rights</w:t>
      </w:r>
      <w:r w:rsidR="00D34CE6">
        <w:t>.</w:t>
      </w:r>
      <w:r w:rsidR="00A663C1">
        <w:t xml:space="preserve">  </w:t>
      </w:r>
      <w:r w:rsidR="00827A0F">
        <w:t>This had the same practical effect as the provisions proposed in section 7 of the Bill.</w:t>
      </w:r>
    </w:p>
    <w:p w14:paraId="5D5FD1C8" w14:textId="1194A198" w:rsidR="00CD66CB" w:rsidRDefault="00211CCF" w:rsidP="003C6024">
      <w:pPr>
        <w:numPr>
          <w:ilvl w:val="0"/>
          <w:numId w:val="1"/>
        </w:numPr>
      </w:pPr>
      <w:r>
        <w:t xml:space="preserve">Requiring a review of </w:t>
      </w:r>
      <w:r w:rsidR="00563C9F">
        <w:t>the new right</w:t>
      </w:r>
      <w:r w:rsidR="00BE340F">
        <w:t xml:space="preserve">, including whether the other economic, social and cultural rights should be included in the Act, </w:t>
      </w:r>
      <w:r w:rsidR="005F10DD">
        <w:t>whether part 5A should apply to economic</w:t>
      </w:r>
      <w:r w:rsidR="00337D1E">
        <w:t>, social and cultural rights, and whether these rights should be subject to progressive realisation.</w:t>
      </w:r>
    </w:p>
    <w:p w14:paraId="0E6C8C4B" w14:textId="18280C56" w:rsidR="00037507" w:rsidRDefault="00037507" w:rsidP="00037507">
      <w:pPr>
        <w:numPr>
          <w:ilvl w:val="1"/>
          <w:numId w:val="1"/>
        </w:numPr>
      </w:pPr>
      <w:r>
        <w:t xml:space="preserve">This would have the same practical effect </w:t>
      </w:r>
      <w:r w:rsidR="00302EF1">
        <w:t xml:space="preserve">to review the Act for justiciability </w:t>
      </w:r>
      <w:r>
        <w:t xml:space="preserve">as </w:t>
      </w:r>
      <w:r w:rsidR="00302EF1">
        <w:t>in section 8 of the Bill; however</w:t>
      </w:r>
    </w:p>
    <w:p w14:paraId="3DFF37C1" w14:textId="70974742" w:rsidR="00302EF1" w:rsidRDefault="00134D16" w:rsidP="00037507">
      <w:pPr>
        <w:numPr>
          <w:ilvl w:val="1"/>
          <w:numId w:val="1"/>
        </w:numPr>
      </w:pPr>
      <w:r>
        <w:t>The review was required to be tabled in the Assembly no later than 1 January 2015, precisely two years after the 2012 Act’s commencement</w:t>
      </w:r>
      <w:r w:rsidR="00744B1C">
        <w:t>, as distinct from the five years proposed in the Bill.</w:t>
      </w:r>
    </w:p>
    <w:p w14:paraId="46AFB288" w14:textId="005CC6A2" w:rsidR="00B372B0" w:rsidRDefault="00B372B0" w:rsidP="009E19B9">
      <w:r>
        <w:t xml:space="preserve">The non-justiciability provisions referred to above would be later omitted </w:t>
      </w:r>
      <w:r w:rsidR="0005732A">
        <w:t xml:space="preserve">in a </w:t>
      </w:r>
      <w:r w:rsidR="0005732A" w:rsidRPr="007833AC">
        <w:t>2016 Act</w:t>
      </w:r>
      <w:r w:rsidR="000C0253">
        <w:rPr>
          <w:rStyle w:val="FootnoteReference"/>
        </w:rPr>
        <w:footnoteReference w:id="3"/>
      </w:r>
      <w:r w:rsidR="0005732A">
        <w:t xml:space="preserve">, </w:t>
      </w:r>
      <w:r w:rsidR="005C5C69">
        <w:t xml:space="preserve">which also added </w:t>
      </w:r>
      <w:r w:rsidR="00880DA4">
        <w:t>cultural and other rights of Aboriginal and Torres Strait Islander people into the provisions of section 27 of the Human Rights Act.</w:t>
      </w:r>
      <w:r w:rsidR="000E2061">
        <w:t xml:space="preserve">  This means that, in effect, it was just over three years between the introduction of the right to education and its justiciability in </w:t>
      </w:r>
      <w:r w:rsidR="00012995">
        <w:t>l</w:t>
      </w:r>
      <w:r w:rsidR="000E2061">
        <w:t>aw.</w:t>
      </w:r>
    </w:p>
    <w:p w14:paraId="767A2816" w14:textId="4E1BE923" w:rsidR="009E19B9" w:rsidRDefault="00012995" w:rsidP="009E19B9">
      <w:r>
        <w:t xml:space="preserve">By contrast, </w:t>
      </w:r>
      <w:r w:rsidR="00BB52D5">
        <w:t>the cultural rights of First Nations people referred to above became justiciable immediately.  T</w:t>
      </w:r>
      <w:r w:rsidR="009E19B9">
        <w:t>he right to work and other work-related rights would be added</w:t>
      </w:r>
      <w:r w:rsidR="00AB7154">
        <w:t xml:space="preserve"> to the list of economic, social and cultural rights</w:t>
      </w:r>
      <w:r w:rsidR="009E19B9">
        <w:t xml:space="preserve"> in </w:t>
      </w:r>
      <w:r w:rsidR="00CD66CB">
        <w:t xml:space="preserve">a </w:t>
      </w:r>
      <w:r w:rsidR="00CD66CB" w:rsidRPr="000C0253">
        <w:t>2019 Act</w:t>
      </w:r>
      <w:r w:rsidR="000C0253">
        <w:rPr>
          <w:rStyle w:val="FootnoteReference"/>
        </w:rPr>
        <w:footnoteReference w:id="4"/>
      </w:r>
      <w:r w:rsidR="00F5398A">
        <w:t>, and was</w:t>
      </w:r>
      <w:r w:rsidR="00596CA0">
        <w:t xml:space="preserve"> also</w:t>
      </w:r>
      <w:r w:rsidR="00F5398A">
        <w:t xml:space="preserve"> immediately justiciable</w:t>
      </w:r>
      <w:r w:rsidR="00941FB4">
        <w:t>.</w:t>
      </w:r>
    </w:p>
    <w:p w14:paraId="7E4A6406" w14:textId="5B3F8329" w:rsidR="001307B8" w:rsidRDefault="002F7019" w:rsidP="009E19B9">
      <w:pPr>
        <w:rPr>
          <w:b/>
          <w:bCs/>
        </w:rPr>
      </w:pPr>
      <w:r>
        <w:rPr>
          <w:b/>
          <w:bCs/>
        </w:rPr>
        <w:t>Precedent and consistency</w:t>
      </w:r>
    </w:p>
    <w:p w14:paraId="5B56D889" w14:textId="66EE99D9" w:rsidR="00B3178C" w:rsidRDefault="00FF337D" w:rsidP="009E19B9">
      <w:r>
        <w:t>Interpretation of the above p</w:t>
      </w:r>
      <w:r w:rsidR="00B3178C">
        <w:t>recedent</w:t>
      </w:r>
      <w:r>
        <w:t>s</w:t>
      </w:r>
      <w:r w:rsidR="00B3178C">
        <w:t xml:space="preserve"> indicates that where a new category of human rights </w:t>
      </w:r>
      <w:r w:rsidR="00596CA0">
        <w:t>is</w:t>
      </w:r>
      <w:r w:rsidR="00B3178C">
        <w:t xml:space="preserve"> introduced, it </w:t>
      </w:r>
      <w:r w:rsidR="00550A62">
        <w:t>is reasonable</w:t>
      </w:r>
      <w:r w:rsidR="00B3178C">
        <w:t xml:space="preserve"> to presume that a period of non-justiciability is appropriate to allow the courts and other government organisations </w:t>
      </w:r>
      <w:r>
        <w:t xml:space="preserve">to prepare for the </w:t>
      </w:r>
      <w:r w:rsidR="00550A62">
        <w:t xml:space="preserve">new category of rights.  Whereas, where an existing category of </w:t>
      </w:r>
      <w:r w:rsidR="004E161A">
        <w:t>human rights is expanded upon, it should be safe to allow immediate justiciability of that right.</w:t>
      </w:r>
    </w:p>
    <w:p w14:paraId="0D01094D" w14:textId="70207467" w:rsidR="002F7019" w:rsidRDefault="00DE1F49" w:rsidP="009E19B9">
      <w:r>
        <w:lastRenderedPageBreak/>
        <w:t xml:space="preserve">While the right to a healthy environment </w:t>
      </w:r>
      <w:r w:rsidR="004E161A">
        <w:t xml:space="preserve">is not </w:t>
      </w:r>
      <w:r w:rsidR="001B0904">
        <w:t>strictly</w:t>
      </w:r>
      <w:r w:rsidR="004E161A">
        <w:t xml:space="preserve"> </w:t>
      </w:r>
      <w:r w:rsidR="001B0904">
        <w:t xml:space="preserve">an economic, social or cultural right, it does draw </w:t>
      </w:r>
      <w:r w:rsidR="00A03667">
        <w:t>upon some similar principles.</w:t>
      </w:r>
      <w:r w:rsidR="00861DDD">
        <w:t xml:space="preserve">  This is recognised in the Bill</w:t>
      </w:r>
      <w:r w:rsidR="00B91C12">
        <w:t>, which</w:t>
      </w:r>
      <w:r w:rsidR="003756AF">
        <w:t xml:space="preserve"> expands the Territory’s definition of economic, social and cultural rights beyond that of the ICESCR to also include </w:t>
      </w:r>
      <w:r w:rsidR="001C3989">
        <w:t xml:space="preserve">resolution of </w:t>
      </w:r>
      <w:r w:rsidR="003756AF">
        <w:t xml:space="preserve">the </w:t>
      </w:r>
      <w:r w:rsidR="001C3989" w:rsidRPr="001C3989">
        <w:t xml:space="preserve">United Nations General Assembly, </w:t>
      </w:r>
      <w:r w:rsidR="001C3989" w:rsidRPr="008E236B">
        <w:rPr>
          <w:i/>
          <w:iCs/>
        </w:rPr>
        <w:t>The human right to a clean, healthy and sustainable environment</w:t>
      </w:r>
      <w:r w:rsidR="001C3989" w:rsidRPr="001C3989">
        <w:t>, A/RES/76/300 (28 July 2022)</w:t>
      </w:r>
      <w:r w:rsidR="008E236B">
        <w:t>.</w:t>
      </w:r>
    </w:p>
    <w:p w14:paraId="2660FF5B" w14:textId="467EE8BF" w:rsidR="00D46586" w:rsidRDefault="00D46586" w:rsidP="009E19B9">
      <w:r>
        <w:t xml:space="preserve">In its </w:t>
      </w:r>
      <w:r w:rsidRPr="000C0253">
        <w:t>submission</w:t>
      </w:r>
      <w:r w:rsidR="00DD0FF8">
        <w:t xml:space="preserve"> </w:t>
      </w:r>
      <w:r>
        <w:t xml:space="preserve">to the </w:t>
      </w:r>
      <w:r w:rsidR="00C64AC8">
        <w:t xml:space="preserve">JACS Committee’s inquiry into the Bill, the Environmental Defender’s Office </w:t>
      </w:r>
      <w:r w:rsidR="00D519EC">
        <w:t xml:space="preserve">(EDO) </w:t>
      </w:r>
      <w:r w:rsidR="00C64AC8">
        <w:t xml:space="preserve">recommended that </w:t>
      </w:r>
      <w:r w:rsidR="00F31665">
        <w:t xml:space="preserve">the Notes to Part 3A of the Act should </w:t>
      </w:r>
      <w:r w:rsidR="000B7A4A">
        <w:t>also</w:t>
      </w:r>
      <w:r w:rsidR="00D54C15">
        <w:t xml:space="preserve"> </w:t>
      </w:r>
      <w:r w:rsidR="00F31665">
        <w:t xml:space="preserve">refer to </w:t>
      </w:r>
      <w:r w:rsidR="000B7A4A">
        <w:t xml:space="preserve">the </w:t>
      </w:r>
      <w:r w:rsidR="00841B29">
        <w:t>I</w:t>
      </w:r>
      <w:r w:rsidR="00D54C15">
        <w:t>CCPR</w:t>
      </w:r>
      <w:r w:rsidR="006646A8">
        <w:t xml:space="preserve"> and that references to progressive realisation should be removed</w:t>
      </w:r>
      <w:r w:rsidR="00DD0FF8">
        <w:t xml:space="preserve"> accordingly as such rights should be immediately realisable</w:t>
      </w:r>
      <w:r w:rsidR="000B7A4A">
        <w:t>.</w:t>
      </w:r>
      <w:r w:rsidR="008F1D5B">
        <w:rPr>
          <w:rStyle w:val="FootnoteReference"/>
        </w:rPr>
        <w:footnoteReference w:id="5"/>
      </w:r>
      <w:r w:rsidR="00A53D44">
        <w:t xml:space="preserve">  Adopting such a recommendation could require further consequential amendments to the Act</w:t>
      </w:r>
      <w:r w:rsidR="00537DBA">
        <w:t xml:space="preserve">, and is </w:t>
      </w:r>
      <w:r w:rsidR="00841B29">
        <w:t xml:space="preserve">therefore </w:t>
      </w:r>
      <w:r w:rsidR="00537DBA">
        <w:t>beyond the scope of the Amendments</w:t>
      </w:r>
      <w:r w:rsidR="00F0075D">
        <w:t>, which are targeted to achieving straightforward and practical improvements to the bill</w:t>
      </w:r>
      <w:r w:rsidR="00537DBA">
        <w:t>.</w:t>
      </w:r>
      <w:r w:rsidR="008329BC">
        <w:t xml:space="preserve">  </w:t>
      </w:r>
      <w:r w:rsidR="001233FB">
        <w:t>For this rea</w:t>
      </w:r>
      <w:r w:rsidR="001233FB" w:rsidRPr="00627FA2">
        <w:t xml:space="preserve">son, the Amendments </w:t>
      </w:r>
      <w:r w:rsidR="00627FA2" w:rsidRPr="00627FA2">
        <w:t>ensure</w:t>
      </w:r>
      <w:r w:rsidR="001233FB" w:rsidRPr="00627FA2">
        <w:t xml:space="preserve"> </w:t>
      </w:r>
      <w:r w:rsidR="008329BC" w:rsidRPr="00627FA2">
        <w:t xml:space="preserve">that a re-examination of how the Right to a Healthy Environment is categorised and defined </w:t>
      </w:r>
      <w:r w:rsidR="00627FA2" w:rsidRPr="00627FA2">
        <w:t>shall</w:t>
      </w:r>
      <w:r w:rsidR="0077221D" w:rsidRPr="00627FA2">
        <w:t xml:space="preserve"> be a relevant consideration in the scheduled statutory review</w:t>
      </w:r>
      <w:r w:rsidR="00493680">
        <w:t xml:space="preserve"> by virtue of placing the entirety of the Bill into </w:t>
      </w:r>
      <w:r w:rsidR="004722EE">
        <w:t xml:space="preserve">the </w:t>
      </w:r>
      <w:r w:rsidR="00493680">
        <w:t xml:space="preserve">scope of the </w:t>
      </w:r>
      <w:r w:rsidR="004722EE">
        <w:t xml:space="preserve">statutory </w:t>
      </w:r>
      <w:r w:rsidR="00493680">
        <w:t>review.</w:t>
      </w:r>
    </w:p>
    <w:p w14:paraId="02BD371A" w14:textId="4DF18A6A" w:rsidR="002A2142" w:rsidRDefault="00F2431E" w:rsidP="002A2142">
      <w:r>
        <w:t xml:space="preserve">The Amendments </w:t>
      </w:r>
      <w:r w:rsidR="00C03A94">
        <w:t>provides</w:t>
      </w:r>
      <w:r w:rsidR="00AF62BB">
        <w:t xml:space="preserve"> legislative certainty</w:t>
      </w:r>
      <w:r w:rsidR="0077325F">
        <w:t xml:space="preserve"> to the community</w:t>
      </w:r>
      <w:r w:rsidR="00C03A94">
        <w:t xml:space="preserve"> by scheduling </w:t>
      </w:r>
      <w:r w:rsidR="002A2142">
        <w:t xml:space="preserve">the non-justiciability provisions to sunset </w:t>
      </w:r>
      <w:r w:rsidR="002A2142" w:rsidRPr="00112360">
        <w:t>three</w:t>
      </w:r>
      <w:r w:rsidR="002A2142">
        <w:t xml:space="preserve"> years after commencement</w:t>
      </w:r>
      <w:r w:rsidR="00BB6579">
        <w:t xml:space="preserve">.  This period of time </w:t>
      </w:r>
      <w:r w:rsidR="00C03A94">
        <w:t>enable</w:t>
      </w:r>
      <w:r w:rsidR="00BB6579">
        <w:t>s</w:t>
      </w:r>
      <w:r w:rsidR="00C03A94">
        <w:t xml:space="preserve"> the supporting mechanisms to be established</w:t>
      </w:r>
      <w:r w:rsidR="00BB6579">
        <w:t xml:space="preserve"> and</w:t>
      </w:r>
      <w:r w:rsidR="0072240C">
        <w:t xml:space="preserve"> align</w:t>
      </w:r>
      <w:r w:rsidR="005E4E2E">
        <w:t>s</w:t>
      </w:r>
      <w:r w:rsidR="0072240C">
        <w:t xml:space="preserve"> </w:t>
      </w:r>
      <w:r w:rsidR="008C6544">
        <w:t xml:space="preserve">with the </w:t>
      </w:r>
      <w:r w:rsidR="0072240C">
        <w:t>past precedent</w:t>
      </w:r>
      <w:r w:rsidR="005E4E2E">
        <w:t xml:space="preserve"> </w:t>
      </w:r>
      <w:r w:rsidR="008821C3">
        <w:t>of the time elapsed to reach justiciability on</w:t>
      </w:r>
      <w:r w:rsidR="005E4E2E">
        <w:t xml:space="preserve"> the Right to Education</w:t>
      </w:r>
      <w:r w:rsidR="0072240C">
        <w:t xml:space="preserve">.  </w:t>
      </w:r>
    </w:p>
    <w:p w14:paraId="158AA9D1" w14:textId="2B8E23A7" w:rsidR="004519AE" w:rsidRDefault="00C90528" w:rsidP="009E19B9">
      <w:r>
        <w:t xml:space="preserve">Under the </w:t>
      </w:r>
      <w:r w:rsidR="008821C3">
        <w:t>A</w:t>
      </w:r>
      <w:r>
        <w:t xml:space="preserve">mendments, </w:t>
      </w:r>
      <w:r w:rsidR="004D16A8">
        <w:t xml:space="preserve">future justiciability of the Right to a Healthy Environment is thereby presumed to occur rather than not occur, and the review will empower the Assembly to act on any </w:t>
      </w:r>
      <w:r w:rsidR="00941DEF">
        <w:t>recommendation</w:t>
      </w:r>
      <w:r w:rsidR="004D16A8">
        <w:t xml:space="preserve"> that it should not proceed</w:t>
      </w:r>
      <w:r w:rsidR="00941DEF">
        <w:t xml:space="preserve"> or proceed in an amended form, rather than </w:t>
      </w:r>
      <w:r w:rsidR="00501274">
        <w:t xml:space="preserve">asking the Assembly to in the future consider </w:t>
      </w:r>
      <w:r w:rsidR="007B287F">
        <w:t xml:space="preserve">from first principles </w:t>
      </w:r>
      <w:r w:rsidR="00501274">
        <w:t>whether justiciability should occur</w:t>
      </w:r>
      <w:r w:rsidR="007B287F">
        <w:t xml:space="preserve"> at all</w:t>
      </w:r>
      <w:r w:rsidR="00501274">
        <w:t>.</w:t>
      </w:r>
      <w:r w:rsidR="007B287F">
        <w:t xml:space="preserve">  This guarantees that the Right to a Healthy Environment will become enforceable, subject to any active and </w:t>
      </w:r>
      <w:r w:rsidR="00EB7145">
        <w:t>positive</w:t>
      </w:r>
      <w:r w:rsidR="007B287F">
        <w:t xml:space="preserve"> decisions that the Government of the Day may make concerning the Human Rights Act.</w:t>
      </w:r>
      <w:r w:rsidR="00EB7145">
        <w:t xml:space="preserve">  </w:t>
      </w:r>
    </w:p>
    <w:p w14:paraId="15176CA5" w14:textId="03C4E4D1" w:rsidR="004519AE" w:rsidRDefault="004519AE" w:rsidP="004519AE">
      <w:r>
        <w:t>Th</w:t>
      </w:r>
      <w:r w:rsidR="00C22448">
        <w:t>e</w:t>
      </w:r>
      <w:r w:rsidR="009C21B9">
        <w:t xml:space="preserve"> Amendment</w:t>
      </w:r>
      <w:r w:rsidR="00C22448">
        <w:t>s</w:t>
      </w:r>
      <w:r w:rsidR="009C21B9">
        <w:t xml:space="preserve"> shortens</w:t>
      </w:r>
      <w:r>
        <w:t xml:space="preserve"> the time frame for conduct of the review from five years to </w:t>
      </w:r>
      <w:r w:rsidR="00112360">
        <w:t xml:space="preserve">no later than </w:t>
      </w:r>
      <w:r w:rsidR="00AC5F42" w:rsidRPr="00112360">
        <w:t>three</w:t>
      </w:r>
      <w:r w:rsidR="00AC5F42">
        <w:t xml:space="preserve"> </w:t>
      </w:r>
      <w:r>
        <w:t>years after commencement</w:t>
      </w:r>
      <w:r w:rsidR="00112360">
        <w:t xml:space="preserve"> – that is, </w:t>
      </w:r>
      <w:r w:rsidR="006D6E67">
        <w:t>no later than the time when the non-justiciability clauses are to be scheduled to sunset</w:t>
      </w:r>
      <w:r w:rsidR="00AC5F42">
        <w:t xml:space="preserve">. </w:t>
      </w:r>
      <w:r w:rsidR="006D6E67">
        <w:t xml:space="preserve"> </w:t>
      </w:r>
      <w:r w:rsidR="00AC5F42">
        <w:t xml:space="preserve">This </w:t>
      </w:r>
      <w:r w:rsidR="00575D35">
        <w:t>reflects that the ACT will be the first jurisdiction in Australia to legislate this right</w:t>
      </w:r>
      <w:r w:rsidR="00552197">
        <w:t xml:space="preserve">, </w:t>
      </w:r>
      <w:r w:rsidR="00974E7D">
        <w:t xml:space="preserve">and </w:t>
      </w:r>
      <w:r w:rsidR="00D81A55">
        <w:t>it will be within the Government’s ability to bring the review forward should it wish to</w:t>
      </w:r>
      <w:r w:rsidR="00C5746A">
        <w:t xml:space="preserve"> use this to</w:t>
      </w:r>
      <w:r w:rsidR="00D81A55">
        <w:t xml:space="preserve"> justify any </w:t>
      </w:r>
      <w:r w:rsidR="00C5746A">
        <w:t>further changes</w:t>
      </w:r>
      <w:r w:rsidR="00D81A55">
        <w:t xml:space="preserve"> </w:t>
      </w:r>
      <w:r w:rsidR="006B4925">
        <w:t xml:space="preserve">ahead of </w:t>
      </w:r>
      <w:r w:rsidR="00D81A55">
        <w:t>ju</w:t>
      </w:r>
      <w:r w:rsidR="006B4925">
        <w:t>sticiability</w:t>
      </w:r>
      <w:r w:rsidR="00C5746A">
        <w:t xml:space="preserve"> commencing</w:t>
      </w:r>
      <w:r w:rsidR="006B4925">
        <w:t>.</w:t>
      </w:r>
    </w:p>
    <w:p w14:paraId="687DE008" w14:textId="3073FEEE" w:rsidR="00FE6713" w:rsidRDefault="00FE6713" w:rsidP="009E19B9">
      <w:r>
        <w:rPr>
          <w:b/>
          <w:bCs/>
        </w:rPr>
        <w:t>Human Rights Compatibility</w:t>
      </w:r>
    </w:p>
    <w:p w14:paraId="5D844DAE" w14:textId="029E84D4" w:rsidR="00FE6713" w:rsidRDefault="002963B5" w:rsidP="009E19B9">
      <w:r>
        <w:t>Both the Act and the Amendments advance the Right to a Healthy Environment.</w:t>
      </w:r>
      <w:r w:rsidR="00961F9B">
        <w:t xml:space="preserve">  </w:t>
      </w:r>
      <w:r w:rsidR="00D5010F">
        <w:t xml:space="preserve">This is a fundamental and significant advancement of human rights.  </w:t>
      </w:r>
      <w:r w:rsidR="00961F9B">
        <w:t xml:space="preserve">Please refer to the explanatory statement </w:t>
      </w:r>
      <w:r w:rsidR="00372FC3">
        <w:t>to</w:t>
      </w:r>
      <w:r w:rsidR="00961F9B">
        <w:t xml:space="preserve"> the Bill</w:t>
      </w:r>
      <w:r w:rsidR="00372FC3">
        <w:t xml:space="preserve"> for further information</w:t>
      </w:r>
      <w:r w:rsidR="00961F9B">
        <w:t>.</w:t>
      </w:r>
    </w:p>
    <w:p w14:paraId="7384C65C" w14:textId="03DD5720" w:rsidR="000A22D1" w:rsidRDefault="000A22D1" w:rsidP="009E19B9">
      <w:r>
        <w:t xml:space="preserve">The </w:t>
      </w:r>
      <w:r w:rsidR="00336F46">
        <w:t>A</w:t>
      </w:r>
      <w:r>
        <w:t>mendments also reduce the limitations on other rights</w:t>
      </w:r>
      <w:r w:rsidR="00372FC3">
        <w:t xml:space="preserve"> that are not discussed in the explanatory statement to the Bill.</w:t>
      </w:r>
      <w:r w:rsidR="00B957FC">
        <w:t xml:space="preserve">  Specifically, the right to recognition and equality before the law</w:t>
      </w:r>
      <w:r w:rsidR="00FF6409">
        <w:t xml:space="preserve"> </w:t>
      </w:r>
      <w:r w:rsidR="000E22F7">
        <w:t xml:space="preserve">in section 8 of the Act emphasises that everyone has the right to equal and effective protection against discrimination on any ground.  This right </w:t>
      </w:r>
      <w:r w:rsidR="00FF6409">
        <w:t xml:space="preserve">is </w:t>
      </w:r>
      <w:r w:rsidR="000E22F7">
        <w:t>limited</w:t>
      </w:r>
      <w:r w:rsidR="00FF6409">
        <w:t xml:space="preserve"> by the non-justiciability provisions in the Bill</w:t>
      </w:r>
      <w:r w:rsidR="00261DD2">
        <w:t xml:space="preserve">, which </w:t>
      </w:r>
      <w:r w:rsidR="008A725E">
        <w:t>prevents people from accessing the legal avenues available to them for other rights under the Act</w:t>
      </w:r>
      <w:r w:rsidR="001E3EE1">
        <w:t xml:space="preserve">.  </w:t>
      </w:r>
      <w:r w:rsidR="000E22F7">
        <w:t>The amendments plan for a future where this limitation is removed</w:t>
      </w:r>
      <w:r w:rsidR="00D5010F">
        <w:t>, enhancing human rights compatibility</w:t>
      </w:r>
      <w:r w:rsidR="00305BB7">
        <w:t xml:space="preserve"> in the long term</w:t>
      </w:r>
      <w:r w:rsidR="000E22F7">
        <w:t>.</w:t>
      </w:r>
    </w:p>
    <w:p w14:paraId="2AC0A1ED" w14:textId="00AB221D" w:rsidR="002457EA" w:rsidRPr="008A4DFF" w:rsidRDefault="008A4DFF" w:rsidP="009E19B9">
      <w:pPr>
        <w:rPr>
          <w:b/>
          <w:bCs/>
        </w:rPr>
      </w:pPr>
      <w:r w:rsidRPr="008A4DFF">
        <w:rPr>
          <w:b/>
          <w:bCs/>
        </w:rPr>
        <w:t>Consultation</w:t>
      </w:r>
    </w:p>
    <w:p w14:paraId="64456F01" w14:textId="4C6DAFF5" w:rsidR="006C1171" w:rsidRDefault="008A4DFF">
      <w:r>
        <w:t xml:space="preserve">In addition to </w:t>
      </w:r>
      <w:r w:rsidR="00115A42">
        <w:t>consultation undertaken associated with</w:t>
      </w:r>
      <w:r>
        <w:t xml:space="preserve"> the JACS inquiry </w:t>
      </w:r>
      <w:r w:rsidR="00115A42">
        <w:t>in</w:t>
      </w:r>
      <w:r>
        <w:t xml:space="preserve">to the </w:t>
      </w:r>
      <w:r w:rsidR="00115A42">
        <w:t>Bill, additional consultation has occurred with the Environmental Defender’s Office</w:t>
      </w:r>
      <w:r w:rsidR="00B30747">
        <w:t xml:space="preserve"> and Green Law</w:t>
      </w:r>
      <w:r w:rsidR="00115A42">
        <w:t>.</w:t>
      </w:r>
      <w:r w:rsidR="00B30747">
        <w:t xml:space="preserve">  These organisations have argued for immediate justiciability.  The amendments have been designed to strike a balance between </w:t>
      </w:r>
      <w:r w:rsidR="00700F7F">
        <w:t xml:space="preserve">a clear and justified interest in ensuring the right to a healthy environment is immediately </w:t>
      </w:r>
      <w:r w:rsidR="006F0DFE">
        <w:t>enforceable and the need for government processes to plan for and accommodate the reform.</w:t>
      </w:r>
    </w:p>
    <w:p w14:paraId="676EC153" w14:textId="77777777" w:rsidR="00B30747" w:rsidRDefault="00B30747">
      <w:pPr>
        <w:rPr>
          <w:b/>
          <w:bCs/>
        </w:rPr>
      </w:pPr>
    </w:p>
    <w:p w14:paraId="7F48FA1A" w14:textId="4107D364" w:rsidR="00B22E09" w:rsidRDefault="002457EA" w:rsidP="009E19B9">
      <w:pPr>
        <w:rPr>
          <w:b/>
          <w:bCs/>
        </w:rPr>
      </w:pPr>
      <w:r>
        <w:rPr>
          <w:b/>
          <w:bCs/>
        </w:rPr>
        <w:t>CLAUSE NOTES</w:t>
      </w:r>
    </w:p>
    <w:p w14:paraId="58256BF2" w14:textId="604A6F21" w:rsidR="00B22E09" w:rsidRDefault="00FE465C" w:rsidP="009E19B9">
      <w:pPr>
        <w:rPr>
          <w:b/>
          <w:bCs/>
        </w:rPr>
      </w:pPr>
      <w:r>
        <w:rPr>
          <w:b/>
          <w:bCs/>
        </w:rPr>
        <w:t>Clause 1</w:t>
      </w:r>
      <w:r w:rsidR="002457EA">
        <w:rPr>
          <w:b/>
          <w:bCs/>
        </w:rPr>
        <w:t xml:space="preserve"> – Replacement </w:t>
      </w:r>
      <w:r w:rsidR="00D4744F">
        <w:rPr>
          <w:b/>
          <w:bCs/>
        </w:rPr>
        <w:t xml:space="preserve">for </w:t>
      </w:r>
      <w:r w:rsidR="00EF5840">
        <w:rPr>
          <w:b/>
          <w:bCs/>
        </w:rPr>
        <w:t>Clause 7 on non-justiciability</w:t>
      </w:r>
    </w:p>
    <w:p w14:paraId="5C27D4A7" w14:textId="151A7E4E" w:rsidR="00D4744F" w:rsidRDefault="00D4744F" w:rsidP="009E19B9">
      <w:r>
        <w:t xml:space="preserve">This constructs </w:t>
      </w:r>
      <w:r w:rsidR="009E172F">
        <w:t xml:space="preserve">a new section 40CA which has the same practical effect as </w:t>
      </w:r>
      <w:r>
        <w:t xml:space="preserve">the </w:t>
      </w:r>
      <w:r w:rsidR="009E172F">
        <w:t xml:space="preserve">Bill’s </w:t>
      </w:r>
      <w:r>
        <w:t>proposed new section</w:t>
      </w:r>
      <w:r w:rsidR="00112F21">
        <w:t>s 40C(5A) and (5B)</w:t>
      </w:r>
      <w:r w:rsidR="00FE20B1">
        <w:t>, except that it will also</w:t>
      </w:r>
      <w:r w:rsidR="00DE4AAF">
        <w:t xml:space="preserve"> insert a sunset on the non-justiciability provisions, scheduled for </w:t>
      </w:r>
      <w:r w:rsidR="00A32976" w:rsidRPr="00D919FF">
        <w:t>three</w:t>
      </w:r>
      <w:r w:rsidR="00A32976">
        <w:t xml:space="preserve"> years after commencement.</w:t>
      </w:r>
    </w:p>
    <w:p w14:paraId="7F2F135D" w14:textId="05FA9E96" w:rsidR="00AC5091" w:rsidRDefault="00AC5091" w:rsidP="009E19B9">
      <w:pPr>
        <w:rPr>
          <w:b/>
          <w:bCs/>
        </w:rPr>
      </w:pPr>
      <w:r>
        <w:rPr>
          <w:b/>
          <w:bCs/>
        </w:rPr>
        <w:t xml:space="preserve">Clause 2 </w:t>
      </w:r>
      <w:r w:rsidR="0095280E">
        <w:rPr>
          <w:b/>
          <w:bCs/>
        </w:rPr>
        <w:t>–</w:t>
      </w:r>
      <w:r>
        <w:rPr>
          <w:b/>
          <w:bCs/>
        </w:rPr>
        <w:t xml:space="preserve"> </w:t>
      </w:r>
      <w:r w:rsidR="0095280E">
        <w:rPr>
          <w:b/>
          <w:bCs/>
        </w:rPr>
        <w:t>Replacement for Clause 8 on statutory review</w:t>
      </w:r>
    </w:p>
    <w:p w14:paraId="1D9A930A" w14:textId="77777777" w:rsidR="00362081" w:rsidRDefault="0095280E" w:rsidP="009E19B9">
      <w:r>
        <w:t>This has the same practical effect as the Bill’s clause 8, except that</w:t>
      </w:r>
      <w:r w:rsidR="00362081">
        <w:t>:</w:t>
      </w:r>
    </w:p>
    <w:p w14:paraId="4BBC3FBE" w14:textId="6F5A4D83" w:rsidR="00362081" w:rsidRDefault="004C0E73" w:rsidP="00362081">
      <w:pPr>
        <w:numPr>
          <w:ilvl w:val="0"/>
          <w:numId w:val="2"/>
        </w:numPr>
      </w:pPr>
      <w:r>
        <w:t>T</w:t>
      </w:r>
      <w:r w:rsidR="00C42D46">
        <w:t xml:space="preserve">he </w:t>
      </w:r>
      <w:r w:rsidR="00F5080C">
        <w:t xml:space="preserve">statutory review will now consider all elements of the </w:t>
      </w:r>
      <w:r w:rsidR="00C013DA">
        <w:t>Bill</w:t>
      </w:r>
      <w:r w:rsidR="0043451F">
        <w:t xml:space="preserve">, inclusive of matters concerning the </w:t>
      </w:r>
      <w:r w:rsidR="005B6BE8">
        <w:t>source</w:t>
      </w:r>
      <w:r w:rsidR="0043451F">
        <w:t xml:space="preserve"> and categorisation of the Right to a Healthy Environment, rather than </w:t>
      </w:r>
      <w:r w:rsidR="005B6BE8">
        <w:t xml:space="preserve">only </w:t>
      </w:r>
      <w:r w:rsidR="0057338D">
        <w:t>the matters contained in sections 6 and 7 of the Bill</w:t>
      </w:r>
      <w:r w:rsidR="00362081">
        <w:t>;</w:t>
      </w:r>
    </w:p>
    <w:p w14:paraId="3CF49F74" w14:textId="470FF001" w:rsidR="00C06DC2" w:rsidRDefault="00362081" w:rsidP="00362081">
      <w:pPr>
        <w:numPr>
          <w:ilvl w:val="0"/>
          <w:numId w:val="2"/>
        </w:numPr>
      </w:pPr>
      <w:r>
        <w:t>t</w:t>
      </w:r>
      <w:r w:rsidR="005E5BA0">
        <w:t xml:space="preserve">he statutory review must be tabled </w:t>
      </w:r>
      <w:r w:rsidR="00AF571C">
        <w:t xml:space="preserve">in the Assembly </w:t>
      </w:r>
      <w:r w:rsidR="00D919FF">
        <w:t xml:space="preserve">no later than </w:t>
      </w:r>
      <w:r w:rsidR="00974E7D">
        <w:t xml:space="preserve">three </w:t>
      </w:r>
      <w:r w:rsidR="00211025">
        <w:t>years after commencement</w:t>
      </w:r>
      <w:r w:rsidR="00935EEC">
        <w:t>,</w:t>
      </w:r>
      <w:r w:rsidR="00211025">
        <w:t xml:space="preserve"> rather than </w:t>
      </w:r>
      <w:r w:rsidR="00AF571C">
        <w:t xml:space="preserve">after </w:t>
      </w:r>
      <w:r w:rsidR="00211025">
        <w:t>five years after commencement</w:t>
      </w:r>
      <w:r>
        <w:t xml:space="preserve">; </w:t>
      </w:r>
    </w:p>
    <w:p w14:paraId="70CA6F32" w14:textId="7517F7A8" w:rsidR="00362081" w:rsidRPr="0095280E" w:rsidRDefault="00362081" w:rsidP="00362081">
      <w:pPr>
        <w:numPr>
          <w:ilvl w:val="0"/>
          <w:numId w:val="2"/>
        </w:numPr>
      </w:pPr>
      <w:r>
        <w:t xml:space="preserve">the section will accordingly expire </w:t>
      </w:r>
      <w:r w:rsidR="00D919FF">
        <w:t>four</w:t>
      </w:r>
      <w:r>
        <w:t xml:space="preserve"> years after commencement rather than </w:t>
      </w:r>
      <w:r w:rsidR="00B76179">
        <w:t>six years after commencement.</w:t>
      </w:r>
    </w:p>
    <w:sectPr w:rsidR="00362081" w:rsidRPr="009528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195A9" w14:textId="77777777" w:rsidR="00883E3B" w:rsidRDefault="00883E3B" w:rsidP="000C0253">
      <w:pPr>
        <w:spacing w:after="0" w:line="240" w:lineRule="auto"/>
      </w:pPr>
      <w:r>
        <w:separator/>
      </w:r>
    </w:p>
  </w:endnote>
  <w:endnote w:type="continuationSeparator" w:id="0">
    <w:p w14:paraId="21A94EDB" w14:textId="77777777" w:rsidR="00883E3B" w:rsidRDefault="00883E3B" w:rsidP="000C0253">
      <w:pPr>
        <w:spacing w:after="0" w:line="240" w:lineRule="auto"/>
      </w:pPr>
      <w:r>
        <w:continuationSeparator/>
      </w:r>
    </w:p>
  </w:endnote>
  <w:endnote w:type="continuationNotice" w:id="1">
    <w:p w14:paraId="5F18490E" w14:textId="77777777" w:rsidR="00883E3B" w:rsidRDefault="00883E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E37D0" w14:textId="77777777" w:rsidR="00883E3B" w:rsidRDefault="00883E3B" w:rsidP="000C0253">
      <w:pPr>
        <w:spacing w:after="0" w:line="240" w:lineRule="auto"/>
      </w:pPr>
      <w:r>
        <w:separator/>
      </w:r>
    </w:p>
  </w:footnote>
  <w:footnote w:type="continuationSeparator" w:id="0">
    <w:p w14:paraId="291C0B2E" w14:textId="77777777" w:rsidR="00883E3B" w:rsidRDefault="00883E3B" w:rsidP="000C0253">
      <w:pPr>
        <w:spacing w:after="0" w:line="240" w:lineRule="auto"/>
      </w:pPr>
      <w:r>
        <w:continuationSeparator/>
      </w:r>
    </w:p>
  </w:footnote>
  <w:footnote w:type="continuationNotice" w:id="1">
    <w:p w14:paraId="0C0245CD" w14:textId="77777777" w:rsidR="00883E3B" w:rsidRDefault="00883E3B">
      <w:pPr>
        <w:spacing w:after="0" w:line="240" w:lineRule="auto"/>
      </w:pPr>
    </w:p>
  </w:footnote>
  <w:footnote w:id="2">
    <w:p w14:paraId="1379BF91" w14:textId="547FA40F" w:rsidR="007833AC" w:rsidRDefault="007833A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EF0879">
          <w:rPr>
            <w:rStyle w:val="Hyperlink"/>
          </w:rPr>
          <w:t>https://www.legislation.act.gov.au/a/2012-41/</w:t>
        </w:r>
      </w:hyperlink>
      <w:r>
        <w:t xml:space="preserve"> </w:t>
      </w:r>
    </w:p>
  </w:footnote>
  <w:footnote w:id="3">
    <w:p w14:paraId="0E423014" w14:textId="578A7059" w:rsidR="000C0253" w:rsidRDefault="000C025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EF0879">
          <w:rPr>
            <w:rStyle w:val="Hyperlink"/>
          </w:rPr>
          <w:t>https://www.legislation.act.gov.au/a/2016-5/default.asp</w:t>
        </w:r>
      </w:hyperlink>
      <w:r>
        <w:t xml:space="preserve"> </w:t>
      </w:r>
    </w:p>
  </w:footnote>
  <w:footnote w:id="4">
    <w:p w14:paraId="2999B8CB" w14:textId="5760893E" w:rsidR="000C0253" w:rsidRDefault="000C025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EF0879">
          <w:rPr>
            <w:rStyle w:val="Hyperlink"/>
          </w:rPr>
          <w:t>https://www.legislation.act.gov.au/b/db_61325/</w:t>
        </w:r>
      </w:hyperlink>
      <w:r>
        <w:t xml:space="preserve"> </w:t>
      </w:r>
    </w:p>
  </w:footnote>
  <w:footnote w:id="5">
    <w:p w14:paraId="2586C7A9" w14:textId="77777777" w:rsidR="008F1D5B" w:rsidRDefault="008F1D5B" w:rsidP="008F1D5B">
      <w:pPr>
        <w:pStyle w:val="FootnoteText"/>
      </w:pPr>
      <w:r>
        <w:rPr>
          <w:rStyle w:val="FootnoteReference"/>
        </w:rPr>
        <w:footnoteRef/>
      </w:r>
      <w:r>
        <w:t xml:space="preserve"> See </w:t>
      </w:r>
      <w:hyperlink r:id="rId4" w:history="1">
        <w:r w:rsidRPr="00EF0879">
          <w:rPr>
            <w:rStyle w:val="Hyperlink"/>
          </w:rPr>
          <w:t>https://www.parliament.act.gov.au/__data/assets/pdf_file/0007/2357485/Submission-012-Environmental-Defenders-Office.pdf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85C0B"/>
    <w:multiLevelType w:val="hybridMultilevel"/>
    <w:tmpl w:val="C6B0D102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9C2050A"/>
    <w:multiLevelType w:val="hybridMultilevel"/>
    <w:tmpl w:val="21CCFC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380553">
    <w:abstractNumId w:val="1"/>
  </w:num>
  <w:num w:numId="2" w16cid:durableId="328485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formsDesign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6E"/>
    <w:rsid w:val="00012995"/>
    <w:rsid w:val="00013F1A"/>
    <w:rsid w:val="00037507"/>
    <w:rsid w:val="000418AF"/>
    <w:rsid w:val="0005732A"/>
    <w:rsid w:val="0008370D"/>
    <w:rsid w:val="000A22D1"/>
    <w:rsid w:val="000B7A4A"/>
    <w:rsid w:val="000C0253"/>
    <w:rsid w:val="000D07C7"/>
    <w:rsid w:val="000E2061"/>
    <w:rsid w:val="000E22F7"/>
    <w:rsid w:val="000F560A"/>
    <w:rsid w:val="00112360"/>
    <w:rsid w:val="00112F21"/>
    <w:rsid w:val="00115A42"/>
    <w:rsid w:val="0012285C"/>
    <w:rsid w:val="001233FB"/>
    <w:rsid w:val="001307B8"/>
    <w:rsid w:val="00134D16"/>
    <w:rsid w:val="00143CA3"/>
    <w:rsid w:val="001923C5"/>
    <w:rsid w:val="001969EE"/>
    <w:rsid w:val="001B0904"/>
    <w:rsid w:val="001B5C49"/>
    <w:rsid w:val="001C3989"/>
    <w:rsid w:val="001E3A79"/>
    <w:rsid w:val="001E3EE1"/>
    <w:rsid w:val="00211025"/>
    <w:rsid w:val="00211CCF"/>
    <w:rsid w:val="002457EA"/>
    <w:rsid w:val="00261DD2"/>
    <w:rsid w:val="00274EEA"/>
    <w:rsid w:val="002765B7"/>
    <w:rsid w:val="002963B5"/>
    <w:rsid w:val="002A06AE"/>
    <w:rsid w:val="002A2142"/>
    <w:rsid w:val="002A6717"/>
    <w:rsid w:val="002F7019"/>
    <w:rsid w:val="00302EF1"/>
    <w:rsid w:val="00305BB7"/>
    <w:rsid w:val="0033542C"/>
    <w:rsid w:val="00336F46"/>
    <w:rsid w:val="00337D1E"/>
    <w:rsid w:val="003601F1"/>
    <w:rsid w:val="00362081"/>
    <w:rsid w:val="00372FC3"/>
    <w:rsid w:val="003756AF"/>
    <w:rsid w:val="003A6C85"/>
    <w:rsid w:val="003C6024"/>
    <w:rsid w:val="0043451F"/>
    <w:rsid w:val="004519AE"/>
    <w:rsid w:val="00453394"/>
    <w:rsid w:val="00455514"/>
    <w:rsid w:val="004722EE"/>
    <w:rsid w:val="00493680"/>
    <w:rsid w:val="004A5F57"/>
    <w:rsid w:val="004C0E73"/>
    <w:rsid w:val="004D16A8"/>
    <w:rsid w:val="004E161A"/>
    <w:rsid w:val="004F67CF"/>
    <w:rsid w:val="00501274"/>
    <w:rsid w:val="00531A09"/>
    <w:rsid w:val="00537DBA"/>
    <w:rsid w:val="00550A62"/>
    <w:rsid w:val="00552197"/>
    <w:rsid w:val="00563C9F"/>
    <w:rsid w:val="0057338D"/>
    <w:rsid w:val="00575D35"/>
    <w:rsid w:val="005908E6"/>
    <w:rsid w:val="00596CA0"/>
    <w:rsid w:val="005B56FF"/>
    <w:rsid w:val="005B6BE8"/>
    <w:rsid w:val="005C5C69"/>
    <w:rsid w:val="005C5D55"/>
    <w:rsid w:val="005E4E2E"/>
    <w:rsid w:val="005E5BA0"/>
    <w:rsid w:val="005F10DD"/>
    <w:rsid w:val="00606BD2"/>
    <w:rsid w:val="006175BF"/>
    <w:rsid w:val="00627FA2"/>
    <w:rsid w:val="006646A8"/>
    <w:rsid w:val="00690C29"/>
    <w:rsid w:val="006B4925"/>
    <w:rsid w:val="006C1171"/>
    <w:rsid w:val="006C59F7"/>
    <w:rsid w:val="006D6E67"/>
    <w:rsid w:val="006E3CE9"/>
    <w:rsid w:val="006F0DFE"/>
    <w:rsid w:val="00700F7F"/>
    <w:rsid w:val="0072240C"/>
    <w:rsid w:val="00744B1C"/>
    <w:rsid w:val="0077221D"/>
    <w:rsid w:val="0077325F"/>
    <w:rsid w:val="00782E7D"/>
    <w:rsid w:val="007833AC"/>
    <w:rsid w:val="00795045"/>
    <w:rsid w:val="007B08CB"/>
    <w:rsid w:val="007B287F"/>
    <w:rsid w:val="007F75F1"/>
    <w:rsid w:val="00827A0F"/>
    <w:rsid w:val="008329BC"/>
    <w:rsid w:val="00841B29"/>
    <w:rsid w:val="00861DDD"/>
    <w:rsid w:val="00870687"/>
    <w:rsid w:val="00880DA4"/>
    <w:rsid w:val="008821C3"/>
    <w:rsid w:val="00883E3B"/>
    <w:rsid w:val="008A4DFF"/>
    <w:rsid w:val="008A725E"/>
    <w:rsid w:val="008B55A1"/>
    <w:rsid w:val="008C6417"/>
    <w:rsid w:val="008C6544"/>
    <w:rsid w:val="008D27AA"/>
    <w:rsid w:val="008D3AE5"/>
    <w:rsid w:val="008E236B"/>
    <w:rsid w:val="008F1D5B"/>
    <w:rsid w:val="008F7A42"/>
    <w:rsid w:val="00910AAA"/>
    <w:rsid w:val="0092172E"/>
    <w:rsid w:val="00935EEC"/>
    <w:rsid w:val="00941DEF"/>
    <w:rsid w:val="00941FB4"/>
    <w:rsid w:val="0095280E"/>
    <w:rsid w:val="009615DE"/>
    <w:rsid w:val="00961F9B"/>
    <w:rsid w:val="00974E7D"/>
    <w:rsid w:val="009C21B9"/>
    <w:rsid w:val="009E172F"/>
    <w:rsid w:val="009E19B9"/>
    <w:rsid w:val="00A03667"/>
    <w:rsid w:val="00A31984"/>
    <w:rsid w:val="00A32976"/>
    <w:rsid w:val="00A45D1B"/>
    <w:rsid w:val="00A53D44"/>
    <w:rsid w:val="00A53D61"/>
    <w:rsid w:val="00A663C1"/>
    <w:rsid w:val="00A7338D"/>
    <w:rsid w:val="00A81454"/>
    <w:rsid w:val="00A81B4A"/>
    <w:rsid w:val="00AB7154"/>
    <w:rsid w:val="00AC5091"/>
    <w:rsid w:val="00AC5F42"/>
    <w:rsid w:val="00AF571C"/>
    <w:rsid w:val="00AF62BB"/>
    <w:rsid w:val="00B22E09"/>
    <w:rsid w:val="00B253AF"/>
    <w:rsid w:val="00B30747"/>
    <w:rsid w:val="00B307C3"/>
    <w:rsid w:val="00B31399"/>
    <w:rsid w:val="00B3178C"/>
    <w:rsid w:val="00B372B0"/>
    <w:rsid w:val="00B76179"/>
    <w:rsid w:val="00B81254"/>
    <w:rsid w:val="00B91C12"/>
    <w:rsid w:val="00B957FC"/>
    <w:rsid w:val="00BA23D4"/>
    <w:rsid w:val="00BB0D02"/>
    <w:rsid w:val="00BB52D5"/>
    <w:rsid w:val="00BB5627"/>
    <w:rsid w:val="00BB6579"/>
    <w:rsid w:val="00BC22D8"/>
    <w:rsid w:val="00BE340F"/>
    <w:rsid w:val="00BE3B08"/>
    <w:rsid w:val="00C013DA"/>
    <w:rsid w:val="00C03A94"/>
    <w:rsid w:val="00C06DC2"/>
    <w:rsid w:val="00C22448"/>
    <w:rsid w:val="00C35EAB"/>
    <w:rsid w:val="00C42D46"/>
    <w:rsid w:val="00C5746A"/>
    <w:rsid w:val="00C64AC8"/>
    <w:rsid w:val="00C64C66"/>
    <w:rsid w:val="00C90528"/>
    <w:rsid w:val="00CC07A0"/>
    <w:rsid w:val="00CC126E"/>
    <w:rsid w:val="00CC6257"/>
    <w:rsid w:val="00CD3762"/>
    <w:rsid w:val="00CD66CB"/>
    <w:rsid w:val="00D1275F"/>
    <w:rsid w:val="00D1484A"/>
    <w:rsid w:val="00D34CE6"/>
    <w:rsid w:val="00D46586"/>
    <w:rsid w:val="00D4744F"/>
    <w:rsid w:val="00D5010F"/>
    <w:rsid w:val="00D519EC"/>
    <w:rsid w:val="00D54C15"/>
    <w:rsid w:val="00D81A55"/>
    <w:rsid w:val="00D919FF"/>
    <w:rsid w:val="00DA62EA"/>
    <w:rsid w:val="00DD0FF8"/>
    <w:rsid w:val="00DE1F49"/>
    <w:rsid w:val="00DE4306"/>
    <w:rsid w:val="00DE4AAF"/>
    <w:rsid w:val="00E12AA3"/>
    <w:rsid w:val="00E40610"/>
    <w:rsid w:val="00E73CF1"/>
    <w:rsid w:val="00EB305D"/>
    <w:rsid w:val="00EB7145"/>
    <w:rsid w:val="00EC74A1"/>
    <w:rsid w:val="00EF5840"/>
    <w:rsid w:val="00F0075D"/>
    <w:rsid w:val="00F2431E"/>
    <w:rsid w:val="00F31665"/>
    <w:rsid w:val="00F5080C"/>
    <w:rsid w:val="00F5398A"/>
    <w:rsid w:val="00F54605"/>
    <w:rsid w:val="00F642F8"/>
    <w:rsid w:val="00F66F5F"/>
    <w:rsid w:val="00FB3DE2"/>
    <w:rsid w:val="00FB7BF9"/>
    <w:rsid w:val="00FC513E"/>
    <w:rsid w:val="00FE18DA"/>
    <w:rsid w:val="00FE20B1"/>
    <w:rsid w:val="00FE465C"/>
    <w:rsid w:val="00FE6713"/>
    <w:rsid w:val="00FF337D"/>
    <w:rsid w:val="00FF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9BC78E"/>
  <w15:chartTrackingRefBased/>
  <w15:docId w15:val="{41BF018C-83FA-4536-A06F-7801C716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07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07C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02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02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0253"/>
    <w:rPr>
      <w:vertAlign w:val="superscript"/>
    </w:rPr>
  </w:style>
  <w:style w:type="paragraph" w:styleId="Revision">
    <w:name w:val="Revision"/>
    <w:hidden/>
    <w:uiPriority w:val="99"/>
    <w:semiHidden/>
    <w:rsid w:val="003A6C8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7B0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08CB"/>
  </w:style>
  <w:style w:type="paragraph" w:styleId="Footer">
    <w:name w:val="footer"/>
    <w:basedOn w:val="Normal"/>
    <w:link w:val="FooterChar"/>
    <w:uiPriority w:val="99"/>
    <w:semiHidden/>
    <w:unhideWhenUsed/>
    <w:rsid w:val="007B0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0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egislation.act.gov.au/b/db_61325/" TargetMode="External"/><Relationship Id="rId2" Type="http://schemas.openxmlformats.org/officeDocument/2006/relationships/hyperlink" Target="https://www.legislation.act.gov.au/a/2016-5/default.asp" TargetMode="External"/><Relationship Id="rId1" Type="http://schemas.openxmlformats.org/officeDocument/2006/relationships/hyperlink" Target="https://www.legislation.act.gov.au/a/2012-41/" TargetMode="External"/><Relationship Id="rId4" Type="http://schemas.openxmlformats.org/officeDocument/2006/relationships/hyperlink" Target="https://www.parliament.act.gov.au/__data/assets/pdf_file/0007/2357485/Submission-012-Environmental-Defenders-Offic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50AB19D8A2541A827C2ACB192F326" ma:contentTypeVersion="18" ma:contentTypeDescription="Create a new document." ma:contentTypeScope="" ma:versionID="57a30c2f835ddf02382a4107e4550e65">
  <xsd:schema xmlns:xsd="http://www.w3.org/2001/XMLSchema" xmlns:xs="http://www.w3.org/2001/XMLSchema" xmlns:p="http://schemas.microsoft.com/office/2006/metadata/properties" xmlns:ns2="d477c74b-77b5-4c97-882d-eead2a707f23" xmlns:ns3="616ae013-c81a-4123-829f-3af5763c278b" targetNamespace="http://schemas.microsoft.com/office/2006/metadata/properties" ma:root="true" ma:fieldsID="ef28443cf7107644ecffd4b3e848f3b5" ns2:_="" ns3:_="">
    <xsd:import namespace="d477c74b-77b5-4c97-882d-eead2a707f23"/>
    <xsd:import namespace="616ae013-c81a-4123-829f-3af5763c2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7c74b-77b5-4c97-882d-eead2a707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ae013-c81a-4123-829f-3af5763c278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14cb1a5-55c0-4e5f-b536-3ecc419bdcde}" ma:internalName="TaxCatchAll" ma:showField="CatchAllData" ma:web="616ae013-c81a-4123-829f-3af5763c27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77c74b-77b5-4c97-882d-eead2a707f23">
      <Terms xmlns="http://schemas.microsoft.com/office/infopath/2007/PartnerControls"/>
    </lcf76f155ced4ddcb4097134ff3c332f>
    <TaxCatchAll xmlns="616ae013-c81a-4123-829f-3af5763c278b" xsi:nil="true"/>
  </documentManagement>
</p:properties>
</file>

<file path=customXml/itemProps1.xml><?xml version="1.0" encoding="utf-8"?>
<ds:datastoreItem xmlns:ds="http://schemas.openxmlformats.org/officeDocument/2006/customXml" ds:itemID="{3F78499D-F65F-4B4F-A31A-5CBE6347AF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25CA65-442F-4E21-BB79-FC2D1ED1A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7c74b-77b5-4c97-882d-eead2a707f23"/>
    <ds:schemaRef ds:uri="616ae013-c81a-4123-829f-3af5763c2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3FB04B-3A33-4667-841F-16F4B3D6BC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7436C6-690A-482E-A365-96C80C375A78}">
  <ds:schemaRefs>
    <ds:schemaRef ds:uri="http://schemas.microsoft.com/office/2006/metadata/properties"/>
    <ds:schemaRef ds:uri="http://schemas.microsoft.com/office/infopath/2007/PartnerControls"/>
    <ds:schemaRef ds:uri="d477c74b-77b5-4c97-882d-eead2a707f23"/>
    <ds:schemaRef ds:uri="616ae013-c81a-4123-829f-3af5763c27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Liersch, Tim</dc:creator>
  <cp:keywords/>
  <dc:description/>
  <cp:lastModifiedBy>Scott, Frieda</cp:lastModifiedBy>
  <cp:revision>31</cp:revision>
  <dcterms:created xsi:type="dcterms:W3CDTF">2024-02-26T22:58:00Z</dcterms:created>
  <dcterms:modified xsi:type="dcterms:W3CDTF">2024-03-06T07:16:00Z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0x01010016F50AB19D8A2541A827C2ACB192F326</vt:lpwstr>
  </property>
  <property fmtid="{D5CDD505-2E9C-101B-9397-08002B2CF9AE}" pid="3" name="MediaServiceImageTags">
    <vt:lpwstr/>
  </property>
  <property fmtid="{D5CDD505-2E9C-101B-9397-08002B2CF9AE}" pid="4" name="MSIP_Label_69af8531-eb46-4968-8cb3-105d2f5ea87e_Enabled">
    <vt:lpwstr>true</vt:lpwstr>
  </property>
  <property fmtid="{D5CDD505-2E9C-101B-9397-08002B2CF9AE}" pid="5" name="MSIP_Label_69af8531-eb46-4968-8cb3-105d2f5ea87e_SetDate">
    <vt:lpwstr>2024-03-06T07:16:50Z</vt:lpwstr>
  </property>
  <property fmtid="{D5CDD505-2E9C-101B-9397-08002B2CF9AE}" pid="6" name="MSIP_Label_69af8531-eb46-4968-8cb3-105d2f5ea87e_Method">
    <vt:lpwstr>Standard</vt:lpwstr>
  </property>
  <property fmtid="{D5CDD505-2E9C-101B-9397-08002B2CF9AE}" pid="7" name="MSIP_Label_69af8531-eb46-4968-8cb3-105d2f5ea87e_Name">
    <vt:lpwstr>Official - No Marking</vt:lpwstr>
  </property>
  <property fmtid="{D5CDD505-2E9C-101B-9397-08002B2CF9AE}" pid="8" name="MSIP_Label_69af8531-eb46-4968-8cb3-105d2f5ea87e_SiteId">
    <vt:lpwstr>b46c1908-0334-4236-b978-585ee88e4199</vt:lpwstr>
  </property>
  <property fmtid="{D5CDD505-2E9C-101B-9397-08002B2CF9AE}" pid="9" name="MSIP_Label_69af8531-eb46-4968-8cb3-105d2f5ea87e_ActionId">
    <vt:lpwstr>396eb290-1071-4306-8b46-8aec8a307405</vt:lpwstr>
  </property>
  <property fmtid="{D5CDD505-2E9C-101B-9397-08002B2CF9AE}" pid="10" name="MSIP_Label_69af8531-eb46-4968-8cb3-105d2f5ea87e_ContentBits">
    <vt:lpwstr>0</vt:lpwstr>
  </property>
</Properties>
</file>