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7614" w14:textId="77777777" w:rsidR="00725519" w:rsidRDefault="00F14007" w:rsidP="0036465B">
      <w:pPr>
        <w:tabs>
          <w:tab w:val="left" w:pos="3240"/>
        </w:tabs>
        <w:spacing w:after="0" w:line="240" w:lineRule="auto"/>
        <w:rPr>
          <w:rFonts w:asciiTheme="minorHAnsi" w:hAnsiTheme="minorHAnsi" w:cstheme="minorHAnsi"/>
          <w:b/>
          <w:bCs/>
          <w:sz w:val="24"/>
          <w:szCs w:val="24"/>
        </w:rPr>
      </w:pPr>
      <w:r w:rsidRPr="00C05754">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5A6C65ED" wp14:editId="0B8F1DA0">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15E3C"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C65ED"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07915E3C"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v:textbox>
                <w10:wrap anchorx="page" anchory="page"/>
              </v:shape>
            </w:pict>
          </mc:Fallback>
        </mc:AlternateContent>
      </w:r>
      <w:r w:rsidR="002B69D5">
        <w:rPr>
          <w:rFonts w:asciiTheme="minorHAnsi" w:hAnsiTheme="minorHAnsi" w:cstheme="minorHAnsi"/>
          <w:b/>
          <w:bCs/>
          <w:sz w:val="24"/>
          <w:szCs w:val="24"/>
        </w:rPr>
        <w:t>ANNEXURE 1</w:t>
      </w:r>
    </w:p>
    <w:p w14:paraId="0DECA799" w14:textId="77777777" w:rsidR="002B69D5" w:rsidRPr="00DA6141" w:rsidRDefault="002B69D5" w:rsidP="002B69D5">
      <w:pPr>
        <w:spacing w:before="240"/>
        <w:ind w:right="-198"/>
        <w:rPr>
          <w:rFonts w:ascii="Arial" w:hAnsi="Arial" w:cs="Arial"/>
        </w:rPr>
      </w:pPr>
      <w:r w:rsidRPr="00DA6141">
        <w:rPr>
          <w:rFonts w:ascii="Arial" w:hAnsi="Arial" w:cs="Arial"/>
        </w:rPr>
        <w:t xml:space="preserve">The Guidelines may limit several rights under the </w:t>
      </w:r>
      <w:r w:rsidRPr="00DA6141">
        <w:rPr>
          <w:rFonts w:ascii="Arial" w:hAnsi="Arial" w:cs="Arial"/>
          <w:i/>
          <w:iCs/>
        </w:rPr>
        <w:t xml:space="preserve">Human Rights Act 2004 </w:t>
      </w:r>
      <w:r w:rsidRPr="00DA6141">
        <w:rPr>
          <w:rFonts w:ascii="Arial" w:hAnsi="Arial" w:cs="Arial"/>
        </w:rPr>
        <w:t xml:space="preserve">(HR Act), being rights to protection of the family and children (HR Act section 11), equality before the law (HR Act section 8), and privacy (HR Act section 12). The Guidelines were introduced to serve two parallel important and legitimate purposes: keeping children and young people both safe from harm and connected to their families and communities. Each potential limitation on human rights pursues one of these legitimate purposes and is balanced proportionately with the importance of these purposes.   </w:t>
      </w:r>
    </w:p>
    <w:p w14:paraId="4AE65340" w14:textId="77777777" w:rsidR="002B69D5" w:rsidRPr="00DA6141" w:rsidRDefault="002B69D5" w:rsidP="002B69D5">
      <w:pPr>
        <w:pStyle w:val="pf0"/>
        <w:rPr>
          <w:rFonts w:ascii="Arial" w:hAnsi="Arial" w:cs="Arial"/>
          <w:sz w:val="22"/>
          <w:szCs w:val="22"/>
          <w:u w:val="single"/>
        </w:rPr>
      </w:pPr>
      <w:r w:rsidRPr="00DA6141">
        <w:rPr>
          <w:rFonts w:ascii="Arial" w:hAnsi="Arial" w:cs="Arial"/>
          <w:sz w:val="22"/>
          <w:szCs w:val="22"/>
          <w:u w:val="single"/>
        </w:rPr>
        <w:t>Right to protection of children (HR Act section 11(2))</w:t>
      </w:r>
    </w:p>
    <w:p w14:paraId="0114A0B6" w14:textId="77777777" w:rsidR="002B69D5" w:rsidRPr="00DA6141" w:rsidRDefault="002B69D5" w:rsidP="002B69D5">
      <w:pPr>
        <w:pStyle w:val="pf0"/>
        <w:rPr>
          <w:rFonts w:ascii="Arial" w:hAnsi="Arial" w:cs="Arial"/>
          <w:sz w:val="22"/>
          <w:szCs w:val="22"/>
        </w:rPr>
      </w:pPr>
      <w:r w:rsidRPr="00DA6141">
        <w:rPr>
          <w:rFonts w:ascii="Arial" w:hAnsi="Arial" w:cs="Arial"/>
          <w:sz w:val="22"/>
          <w:szCs w:val="22"/>
        </w:rPr>
        <w:t xml:space="preserve">By enabling the exception to the ordinary WWVP requirement for approval as a </w:t>
      </w:r>
      <w:proofErr w:type="spellStart"/>
      <w:r w:rsidRPr="00DA6141">
        <w:rPr>
          <w:rFonts w:ascii="Arial" w:hAnsi="Arial" w:cs="Arial"/>
          <w:sz w:val="22"/>
          <w:szCs w:val="22"/>
        </w:rPr>
        <w:t>carer</w:t>
      </w:r>
      <w:proofErr w:type="spellEnd"/>
      <w:r w:rsidRPr="00DA6141">
        <w:rPr>
          <w:rFonts w:ascii="Arial" w:hAnsi="Arial" w:cs="Arial"/>
          <w:sz w:val="22"/>
          <w:szCs w:val="22"/>
        </w:rPr>
        <w:t xml:space="preserve">, the Guidelines have the potential to impact the right to special protection for children under section 11(2) of the HR Act. </w:t>
      </w:r>
    </w:p>
    <w:p w14:paraId="0F660D28" w14:textId="77777777" w:rsidR="002B69D5" w:rsidRPr="00DA6141" w:rsidRDefault="002B69D5" w:rsidP="002B69D5">
      <w:pPr>
        <w:pStyle w:val="pf0"/>
        <w:rPr>
          <w:rFonts w:ascii="Arial" w:hAnsi="Arial" w:cs="Arial"/>
          <w:sz w:val="22"/>
          <w:szCs w:val="22"/>
        </w:rPr>
      </w:pPr>
      <w:r w:rsidRPr="00DA6141">
        <w:rPr>
          <w:rFonts w:ascii="Arial" w:hAnsi="Arial" w:cs="Arial"/>
          <w:sz w:val="22"/>
          <w:szCs w:val="22"/>
        </w:rPr>
        <w:t xml:space="preserve">However, this limitation pursues the legitimate purpose of keeping children and young people connected to their families and communities by providing pathways for families to stay together, acknowledging that cultural and familial knowledge and connection may make a person more suitable to care for a child than measures of suitability which are less specific to an individual child. Additionally, the alternative approval process detailed in the Guidelines includes a robust set of criteria that prioritises ensuring safety in care environments. Noting this and the importance of the legitimate purpose the limitation pursues, this limitation is proportionate and justified. </w:t>
      </w:r>
    </w:p>
    <w:p w14:paraId="5913835C" w14:textId="77777777" w:rsidR="002B69D5" w:rsidRPr="00DA6141" w:rsidRDefault="002B69D5" w:rsidP="002B69D5">
      <w:pPr>
        <w:pStyle w:val="pf0"/>
        <w:rPr>
          <w:rFonts w:ascii="Arial" w:hAnsi="Arial" w:cs="Arial"/>
          <w:sz w:val="22"/>
          <w:szCs w:val="22"/>
          <w:u w:val="single"/>
        </w:rPr>
      </w:pPr>
      <w:r w:rsidRPr="00DA6141">
        <w:rPr>
          <w:rFonts w:ascii="Arial" w:hAnsi="Arial" w:cs="Arial"/>
          <w:sz w:val="22"/>
          <w:szCs w:val="22"/>
          <w:u w:val="single"/>
        </w:rPr>
        <w:t>Right to protection of family (HR Act section 11(1))</w:t>
      </w:r>
    </w:p>
    <w:p w14:paraId="5CA33EDE" w14:textId="77777777" w:rsidR="002B69D5" w:rsidRPr="00DA6141" w:rsidRDefault="002B69D5" w:rsidP="002B69D5">
      <w:pPr>
        <w:spacing w:before="240"/>
        <w:ind w:right="-198"/>
        <w:rPr>
          <w:rFonts w:ascii="Arial" w:hAnsi="Arial" w:cs="Arial"/>
        </w:rPr>
      </w:pPr>
      <w:r w:rsidRPr="00DA6141">
        <w:rPr>
          <w:rFonts w:ascii="Arial" w:hAnsi="Arial" w:cs="Arial"/>
        </w:rPr>
        <w:t xml:space="preserve">The Guidelines may indirectly limit the right to protection of family under section 11 of the HR Act by forming part of the broader ACT care and protection system, which enables the director-general to place children and young people in out-of-home care. This limits the ability of parents and families to make decisions about, spend time with, and otherwise be involved in the lives of their children. </w:t>
      </w:r>
    </w:p>
    <w:p w14:paraId="7DAFB618" w14:textId="77777777" w:rsidR="002B69D5" w:rsidRPr="00DA6141" w:rsidRDefault="002B69D5" w:rsidP="002B69D5">
      <w:pPr>
        <w:spacing w:before="240"/>
        <w:ind w:right="-198"/>
        <w:rPr>
          <w:rFonts w:ascii="Arial" w:hAnsi="Arial" w:cs="Arial"/>
        </w:rPr>
      </w:pPr>
      <w:r w:rsidRPr="00DA6141">
        <w:rPr>
          <w:rFonts w:ascii="Arial" w:hAnsi="Arial" w:cs="Arial"/>
        </w:rPr>
        <w:t>However, this limitation pursues the legitimate purpose of keeping children and young people safe from harm: supporting the child protection system by regulating the approval process of carers through the Guidelines ensures children and young people are placed into safe homes where they will be cared for and protected from harm. Noting the importance of this legitimate purpose and that the Guidelines also seek to keep children and young people connected to their families and communities through implementing an alternative carer approval process for potential carers who face barriers obtain WWVP registrations, this limitation is proportionate and justified.</w:t>
      </w:r>
    </w:p>
    <w:p w14:paraId="58E9A2B0" w14:textId="77777777" w:rsidR="002B69D5" w:rsidRPr="00DA6141" w:rsidRDefault="002B69D5" w:rsidP="002B69D5">
      <w:pPr>
        <w:spacing w:before="240"/>
        <w:ind w:right="-198"/>
        <w:rPr>
          <w:rFonts w:ascii="Arial" w:hAnsi="Arial" w:cs="Arial"/>
          <w:u w:val="single"/>
        </w:rPr>
      </w:pPr>
      <w:r w:rsidRPr="00DA6141">
        <w:rPr>
          <w:rFonts w:ascii="Arial" w:hAnsi="Arial" w:cs="Arial"/>
          <w:u w:val="single"/>
        </w:rPr>
        <w:t>Right to privacy (HR Act section 12(a)</w:t>
      </w:r>
    </w:p>
    <w:p w14:paraId="16133067" w14:textId="77777777" w:rsidR="002B69D5" w:rsidRPr="00DA6141" w:rsidRDefault="002B69D5" w:rsidP="002B69D5">
      <w:pPr>
        <w:spacing w:before="240"/>
        <w:ind w:right="-198"/>
        <w:rPr>
          <w:rFonts w:ascii="Arial" w:hAnsi="Arial" w:cs="Arial"/>
        </w:rPr>
      </w:pPr>
      <w:r w:rsidRPr="00DA6141">
        <w:rPr>
          <w:rFonts w:ascii="Arial" w:hAnsi="Arial" w:cs="Arial"/>
        </w:rPr>
        <w:t xml:space="preserve">The Guidelines may limit rights to privacy under section 12(a) of the HR Act given the material that can be gathered and considered by decision-makers is extensive and can be considered on an ongoing basis following a person’s approval as a </w:t>
      </w:r>
      <w:proofErr w:type="spellStart"/>
      <w:r w:rsidRPr="00DA6141">
        <w:rPr>
          <w:rFonts w:ascii="Arial" w:hAnsi="Arial" w:cs="Arial"/>
        </w:rPr>
        <w:t>carer</w:t>
      </w:r>
      <w:proofErr w:type="spellEnd"/>
      <w:r w:rsidRPr="00DA6141">
        <w:rPr>
          <w:rFonts w:ascii="Arial" w:hAnsi="Arial" w:cs="Arial"/>
        </w:rPr>
        <w:t xml:space="preserve">. This information includes national criminal and police histories (including spent offences and information beyond convictions), child protection information (including historic information), and information about other adults in the household. The Guidelines also provide for ongoing monitoring post-approval. Accordingly, the right to privacy is potentially limited by these processes. </w:t>
      </w:r>
    </w:p>
    <w:p w14:paraId="7934998F" w14:textId="77777777" w:rsidR="002B69D5" w:rsidRPr="00DA6141" w:rsidRDefault="002B69D5" w:rsidP="002B69D5">
      <w:pPr>
        <w:spacing w:before="240"/>
        <w:ind w:right="-198"/>
        <w:rPr>
          <w:rFonts w:ascii="Arial" w:hAnsi="Arial" w:cs="Arial"/>
          <w:color w:val="000000"/>
          <w:shd w:val="clear" w:color="auto" w:fill="FFFFFF"/>
        </w:rPr>
      </w:pPr>
      <w:r w:rsidRPr="00DA6141">
        <w:rPr>
          <w:rFonts w:ascii="Arial" w:hAnsi="Arial" w:cs="Arial"/>
        </w:rPr>
        <w:t xml:space="preserve">However, this limitation pursues the legitimate purpose of keeping children and young people safe from harm as a thorough risk assessment is required to ensure this alternative process results in safe foster and kinship placements for children and young people. Noting the importance of this legitimate purpose and that alternative less restrictive measures – such as only reviewing point-in-time information – would </w:t>
      </w:r>
      <w:r w:rsidRPr="00DA6141">
        <w:rPr>
          <w:rFonts w:ascii="Arial" w:hAnsi="Arial" w:cs="Arial"/>
          <w:color w:val="000000"/>
          <w:shd w:val="clear" w:color="auto" w:fill="FFFFFF"/>
        </w:rPr>
        <w:lastRenderedPageBreak/>
        <w:t xml:space="preserve">not be effective in conducting effective holistic risk assessments, this limitation is proportionate to the legitimate purpose and justified. </w:t>
      </w:r>
    </w:p>
    <w:p w14:paraId="71F4015A" w14:textId="77777777" w:rsidR="002B69D5" w:rsidRPr="00DA6141" w:rsidRDefault="002B69D5" w:rsidP="002B69D5">
      <w:pPr>
        <w:pStyle w:val="bodytext0"/>
        <w:shd w:val="clear" w:color="auto" w:fill="FFFFFF"/>
        <w:spacing w:before="200" w:beforeAutospacing="0" w:after="0" w:afterAutospacing="0"/>
        <w:rPr>
          <w:rFonts w:ascii="Arial" w:hAnsi="Arial" w:cs="Arial"/>
          <w:sz w:val="22"/>
          <w:szCs w:val="22"/>
          <w:u w:val="single"/>
        </w:rPr>
      </w:pPr>
      <w:r w:rsidRPr="00DA6141">
        <w:rPr>
          <w:rFonts w:ascii="Arial" w:hAnsi="Arial" w:cs="Arial"/>
          <w:sz w:val="22"/>
          <w:szCs w:val="22"/>
          <w:u w:val="single"/>
        </w:rPr>
        <w:t>Right to equality before the law (HR Act section 8)</w:t>
      </w:r>
    </w:p>
    <w:p w14:paraId="38E4C405" w14:textId="77777777" w:rsidR="002B69D5" w:rsidRPr="00DA6141" w:rsidRDefault="002B69D5" w:rsidP="002B69D5">
      <w:pPr>
        <w:pStyle w:val="bodytext0"/>
        <w:shd w:val="clear" w:color="auto" w:fill="FFFFFF"/>
        <w:spacing w:before="200" w:beforeAutospacing="0" w:after="0" w:afterAutospacing="0"/>
        <w:rPr>
          <w:rFonts w:ascii="Arial" w:hAnsi="Arial" w:cs="Arial"/>
          <w:color w:val="000000"/>
          <w:sz w:val="22"/>
          <w:szCs w:val="22"/>
        </w:rPr>
      </w:pPr>
      <w:r w:rsidRPr="00DA6141">
        <w:rPr>
          <w:rFonts w:ascii="Arial" w:hAnsi="Arial" w:cs="Arial"/>
          <w:sz w:val="22"/>
          <w:szCs w:val="22"/>
        </w:rPr>
        <w:t xml:space="preserve">Under the Guidelines, the director-general’s </w:t>
      </w:r>
      <w:r w:rsidRPr="00DA6141">
        <w:rPr>
          <w:rFonts w:ascii="Arial" w:hAnsi="Arial" w:cs="Arial"/>
          <w:color w:val="000000"/>
          <w:sz w:val="22"/>
          <w:szCs w:val="22"/>
        </w:rPr>
        <w:t xml:space="preserve">ability to refuse to approve an applicant as a carer </w:t>
      </w:r>
      <w:proofErr w:type="gramStart"/>
      <w:r w:rsidRPr="00DA6141">
        <w:rPr>
          <w:rFonts w:ascii="Arial" w:hAnsi="Arial" w:cs="Arial"/>
          <w:color w:val="000000"/>
          <w:sz w:val="22"/>
          <w:szCs w:val="22"/>
        </w:rPr>
        <w:t>on the basis of</w:t>
      </w:r>
      <w:proofErr w:type="gramEnd"/>
      <w:r w:rsidRPr="00DA6141">
        <w:rPr>
          <w:rFonts w:ascii="Arial" w:hAnsi="Arial" w:cs="Arial"/>
          <w:color w:val="000000"/>
          <w:sz w:val="22"/>
          <w:szCs w:val="22"/>
        </w:rPr>
        <w:t xml:space="preserve"> an expanded criminal history check, including spent convictions, potentially limits the right to equality before the law under section 8 of the HR Act. This limitation pursues the legitimate purpose of keeping children and young people safe from harm by ensuring that offences relating to a person’s ability to care for and protect a child or young person in their care are considered before they are approved as a </w:t>
      </w:r>
      <w:proofErr w:type="spellStart"/>
      <w:r w:rsidRPr="00DA6141">
        <w:rPr>
          <w:rFonts w:ascii="Arial" w:hAnsi="Arial" w:cs="Arial"/>
          <w:color w:val="000000"/>
          <w:sz w:val="22"/>
          <w:szCs w:val="22"/>
        </w:rPr>
        <w:t>carer</w:t>
      </w:r>
      <w:proofErr w:type="spellEnd"/>
      <w:r w:rsidRPr="00DA6141">
        <w:rPr>
          <w:rFonts w:ascii="Arial" w:hAnsi="Arial" w:cs="Arial"/>
          <w:color w:val="000000"/>
          <w:sz w:val="22"/>
          <w:szCs w:val="22"/>
        </w:rPr>
        <w:t>. Noting the importance of ensuring child safety and that decision-makers must only consider the applicant’s criminal history in relation to</w:t>
      </w:r>
      <w:r w:rsidRPr="00DA6141">
        <w:rPr>
          <w:rFonts w:ascii="Arial" w:hAnsi="Arial" w:cs="Arial"/>
          <w:i/>
          <w:iCs/>
          <w:color w:val="000000"/>
          <w:sz w:val="22"/>
          <w:szCs w:val="22"/>
        </w:rPr>
        <w:t xml:space="preserve"> </w:t>
      </w:r>
      <w:r w:rsidRPr="00DA6141">
        <w:rPr>
          <w:rFonts w:ascii="Arial" w:hAnsi="Arial" w:cs="Arial"/>
          <w:color w:val="000000"/>
          <w:sz w:val="22"/>
          <w:szCs w:val="22"/>
        </w:rPr>
        <w:t>relevant offences, such as offences involving children, violent offences or sex offences, this limitation is proportionate to the legitimate purpose and justified.</w:t>
      </w:r>
    </w:p>
    <w:p w14:paraId="3B40C411" w14:textId="77777777" w:rsidR="002B69D5" w:rsidRPr="00DA6141" w:rsidRDefault="002B69D5" w:rsidP="002B69D5">
      <w:pPr>
        <w:pStyle w:val="bodytext0"/>
        <w:shd w:val="clear" w:color="auto" w:fill="FFFFFF"/>
        <w:spacing w:before="200" w:beforeAutospacing="0" w:after="0" w:afterAutospacing="0"/>
        <w:rPr>
          <w:rFonts w:ascii="Arial" w:hAnsi="Arial" w:cs="Arial"/>
          <w:sz w:val="22"/>
          <w:szCs w:val="22"/>
        </w:rPr>
      </w:pPr>
      <w:r w:rsidRPr="00DA6141">
        <w:rPr>
          <w:rFonts w:ascii="Arial" w:hAnsi="Arial" w:cs="Arial"/>
          <w:color w:val="000000"/>
          <w:sz w:val="22"/>
          <w:szCs w:val="22"/>
        </w:rPr>
        <w:t>A decision by the Director-General to refuse to approve a person as a foster or kinship carer is a reviewable decision under section 839 of the CYP Act.</w:t>
      </w:r>
    </w:p>
    <w:p w14:paraId="3EAE8842" w14:textId="77777777" w:rsidR="002B69D5" w:rsidRPr="00DA6141" w:rsidRDefault="002B69D5" w:rsidP="002B69D5">
      <w:pPr>
        <w:spacing w:before="240"/>
        <w:ind w:right="-198"/>
        <w:rPr>
          <w:rFonts w:ascii="Arial" w:hAnsi="Arial" w:cs="Arial"/>
          <w:b/>
          <w:bCs/>
          <w:color w:val="000000"/>
          <w:shd w:val="clear" w:color="auto" w:fill="FFFFFF"/>
        </w:rPr>
      </w:pPr>
      <w:r w:rsidRPr="00DA6141">
        <w:rPr>
          <w:rFonts w:ascii="Arial" w:hAnsi="Arial" w:cs="Arial"/>
        </w:rPr>
        <w:t xml:space="preserve">The potential human rights limitations are required to support the legitimate purposes of keeping children and young people both safe from harm and connected to their families and communities. The limitations are proportionate to the need to realise these legitimate purposes and less restrictive means are not reasonably available to achieve the purposes. </w:t>
      </w:r>
    </w:p>
    <w:p w14:paraId="48AE1BC6" w14:textId="77777777" w:rsidR="002B69D5" w:rsidRPr="00C05754" w:rsidRDefault="002B69D5" w:rsidP="0036465B">
      <w:pPr>
        <w:tabs>
          <w:tab w:val="left" w:pos="3240"/>
        </w:tabs>
        <w:spacing w:after="0" w:line="240" w:lineRule="auto"/>
        <w:rPr>
          <w:rFonts w:asciiTheme="minorHAnsi" w:hAnsiTheme="minorHAnsi" w:cstheme="minorHAnsi"/>
          <w:sz w:val="24"/>
          <w:szCs w:val="24"/>
        </w:rPr>
      </w:pPr>
    </w:p>
    <w:sectPr w:rsidR="002B69D5" w:rsidRPr="00C05754" w:rsidSect="0036465B">
      <w:headerReference w:type="first" r:id="rId10"/>
      <w:footerReference w:type="first" r:id="rId11"/>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42DB" w14:textId="77777777" w:rsidR="0021588C" w:rsidRDefault="0021588C" w:rsidP="00AD7D31">
      <w:pPr>
        <w:spacing w:after="0" w:line="240" w:lineRule="auto"/>
      </w:pPr>
      <w:r>
        <w:separator/>
      </w:r>
    </w:p>
  </w:endnote>
  <w:endnote w:type="continuationSeparator" w:id="0">
    <w:p w14:paraId="5248DC05" w14:textId="77777777" w:rsidR="0021588C" w:rsidRDefault="0021588C"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E8AD" w14:textId="2CCEC376" w:rsidR="00804EA0" w:rsidRDefault="00804EA0" w:rsidP="00804EA0">
    <w:pPr>
      <w:pStyle w:val="Footer"/>
      <w:jc w:val="center"/>
    </w:pPr>
  </w:p>
  <w:p w14:paraId="6E29BED5"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4584" w14:textId="77777777" w:rsidR="0021588C" w:rsidRDefault="0021588C" w:rsidP="00AD7D31">
      <w:pPr>
        <w:spacing w:after="0" w:line="240" w:lineRule="auto"/>
      </w:pPr>
      <w:r>
        <w:separator/>
      </w:r>
    </w:p>
  </w:footnote>
  <w:footnote w:type="continuationSeparator" w:id="0">
    <w:p w14:paraId="69E16E07" w14:textId="77777777" w:rsidR="0021588C" w:rsidRDefault="0021588C"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0E39" w14:textId="7B2A9CD0" w:rsidR="00A6097C" w:rsidRPr="00A548A3" w:rsidRDefault="00A6097C" w:rsidP="00A6097C">
    <w:pPr>
      <w:pStyle w:val="Portfolio"/>
      <w:spacing w:after="80" w:line="240" w:lineRule="exact"/>
      <w:ind w:right="-626"/>
      <w:rPr>
        <w:rFonts w:ascii="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8C"/>
    <w:rsid w:val="00003B4A"/>
    <w:rsid w:val="000125FC"/>
    <w:rsid w:val="00026BD3"/>
    <w:rsid w:val="00027AFE"/>
    <w:rsid w:val="0006371F"/>
    <w:rsid w:val="000C331E"/>
    <w:rsid w:val="000C55C1"/>
    <w:rsid w:val="000E438E"/>
    <w:rsid w:val="000F4EB5"/>
    <w:rsid w:val="00131016"/>
    <w:rsid w:val="001450DC"/>
    <w:rsid w:val="0014627A"/>
    <w:rsid w:val="001804F3"/>
    <w:rsid w:val="001851B2"/>
    <w:rsid w:val="00195EAD"/>
    <w:rsid w:val="00196DAE"/>
    <w:rsid w:val="001A469C"/>
    <w:rsid w:val="001D7389"/>
    <w:rsid w:val="0021588C"/>
    <w:rsid w:val="002363D0"/>
    <w:rsid w:val="00240F3E"/>
    <w:rsid w:val="002450E9"/>
    <w:rsid w:val="002B69D5"/>
    <w:rsid w:val="002D4441"/>
    <w:rsid w:val="002E1D40"/>
    <w:rsid w:val="00313E4A"/>
    <w:rsid w:val="0035080B"/>
    <w:rsid w:val="0036465B"/>
    <w:rsid w:val="003667AF"/>
    <w:rsid w:val="003E4068"/>
    <w:rsid w:val="0041104E"/>
    <w:rsid w:val="004517FA"/>
    <w:rsid w:val="00462A2C"/>
    <w:rsid w:val="005013F3"/>
    <w:rsid w:val="005351C5"/>
    <w:rsid w:val="0055749D"/>
    <w:rsid w:val="005757E0"/>
    <w:rsid w:val="005857A5"/>
    <w:rsid w:val="005946AE"/>
    <w:rsid w:val="005C4787"/>
    <w:rsid w:val="005E7DE1"/>
    <w:rsid w:val="0061634E"/>
    <w:rsid w:val="0064748B"/>
    <w:rsid w:val="00655CD8"/>
    <w:rsid w:val="00696899"/>
    <w:rsid w:val="006A1B70"/>
    <w:rsid w:val="006C6335"/>
    <w:rsid w:val="006F4E04"/>
    <w:rsid w:val="00712BA7"/>
    <w:rsid w:val="00725519"/>
    <w:rsid w:val="007357B9"/>
    <w:rsid w:val="00742013"/>
    <w:rsid w:val="00751F7B"/>
    <w:rsid w:val="00764418"/>
    <w:rsid w:val="00780CDC"/>
    <w:rsid w:val="00795E1D"/>
    <w:rsid w:val="007B465C"/>
    <w:rsid w:val="007D7FAC"/>
    <w:rsid w:val="007F5BA8"/>
    <w:rsid w:val="00804EA0"/>
    <w:rsid w:val="00806ACB"/>
    <w:rsid w:val="00834846"/>
    <w:rsid w:val="00855531"/>
    <w:rsid w:val="008670B1"/>
    <w:rsid w:val="008A04F4"/>
    <w:rsid w:val="008C5119"/>
    <w:rsid w:val="008D15E5"/>
    <w:rsid w:val="008D37E0"/>
    <w:rsid w:val="00905F4F"/>
    <w:rsid w:val="00912782"/>
    <w:rsid w:val="00975222"/>
    <w:rsid w:val="009B6D21"/>
    <w:rsid w:val="009C2877"/>
    <w:rsid w:val="009F62D6"/>
    <w:rsid w:val="00A031A0"/>
    <w:rsid w:val="00A2718B"/>
    <w:rsid w:val="00A548A3"/>
    <w:rsid w:val="00A6097C"/>
    <w:rsid w:val="00A919EF"/>
    <w:rsid w:val="00AA0FA7"/>
    <w:rsid w:val="00AC7C98"/>
    <w:rsid w:val="00AD7D31"/>
    <w:rsid w:val="00AF08DA"/>
    <w:rsid w:val="00AF2B15"/>
    <w:rsid w:val="00B33A5C"/>
    <w:rsid w:val="00B85096"/>
    <w:rsid w:val="00B91F55"/>
    <w:rsid w:val="00C04DFF"/>
    <w:rsid w:val="00C0509D"/>
    <w:rsid w:val="00C05754"/>
    <w:rsid w:val="00C22431"/>
    <w:rsid w:val="00CA0045"/>
    <w:rsid w:val="00CA4B9B"/>
    <w:rsid w:val="00D04899"/>
    <w:rsid w:val="00D1436C"/>
    <w:rsid w:val="00D87D95"/>
    <w:rsid w:val="00DA6141"/>
    <w:rsid w:val="00DD766A"/>
    <w:rsid w:val="00E04FD9"/>
    <w:rsid w:val="00E06613"/>
    <w:rsid w:val="00E80BC3"/>
    <w:rsid w:val="00E977E5"/>
    <w:rsid w:val="00EA7B1C"/>
    <w:rsid w:val="00EB388C"/>
    <w:rsid w:val="00EC3FCF"/>
    <w:rsid w:val="00ED5634"/>
    <w:rsid w:val="00ED7C29"/>
    <w:rsid w:val="00EE1095"/>
    <w:rsid w:val="00EE6CA3"/>
    <w:rsid w:val="00EF0A8B"/>
    <w:rsid w:val="00F14007"/>
    <w:rsid w:val="00F50739"/>
    <w:rsid w:val="00F812F2"/>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6381"/>
  <w15:chartTrackingRefBased/>
  <w15:docId w15:val="{8FC9AC99-90EC-45D9-9A8B-A3CE90FF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customStyle="1" w:styleId="bodytext0">
    <w:name w:val="bodytext"/>
    <w:basedOn w:val="Normal"/>
    <w:rsid w:val="002B69D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f0">
    <w:name w:val="pf0"/>
    <w:basedOn w:val="Normal"/>
    <w:rsid w:val="002B69D5"/>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C0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py%20perry-evans\Downloads\RachelStephenSmith-Letterhead%20(1).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29B6F-C77E-41AC-ADE2-2A1134BA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schemas.microsoft.com/office/2006/metadata/properties"/>
    <ds:schemaRef ds:uri="http://purl.org/dc/terms/"/>
    <ds:schemaRef ds:uri="http://schemas.microsoft.com/office/2006/documentManagement/types"/>
    <ds:schemaRef ds:uri="f6c841be-bb08-4901-87b0-0033aa80d2c6"/>
    <ds:schemaRef ds:uri="4d47241e-7224-40da-83d9-1113ff4a4334"/>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RachelStephenSmith-Letterhead (1)</Template>
  <TotalTime>2</TotalTime>
  <Pages>2</Pages>
  <Words>821</Words>
  <Characters>4475</Characters>
  <Application>Microsoft Office Word</Application>
  <DocSecurity>0</DocSecurity>
  <Lines>120</Lines>
  <Paragraphs>80</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Perry-Evans, Poppy</dc:creator>
  <cp:keywords/>
  <dc:description/>
  <cp:lastModifiedBy>Stapleton, Kara</cp:lastModifiedBy>
  <cp:revision>2</cp:revision>
  <cp:lastPrinted>2018-08-24T07:17:00Z</cp:lastPrinted>
  <dcterms:created xsi:type="dcterms:W3CDTF">2024-01-23T05:44:00Z</dcterms:created>
  <dcterms:modified xsi:type="dcterms:W3CDTF">2024-01-23T05:44:00Z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2023-02-24T01:05:28Z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7e5e427f-2100-4d77-a7d3-d0ebd551f1d0</vt:lpwstr>
  </property>
  <property fmtid="{D5CDD505-2E9C-101B-9397-08002B2CF9AE}" pid="10" name="MSIP_Label_69af8531-eb46-4968-8cb3-105d2f5ea87e_ContentBits">
    <vt:lpwstr>0</vt:lpwstr>
  </property>
</Properties>
</file>