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4368A4BB" w:rsidR="00C02510" w:rsidRPr="00C8358A" w:rsidRDefault="00C02510" w:rsidP="00C8358A">
      <w:pPr>
        <w:pStyle w:val="Cover-Committeename"/>
        <w:ind w:left="1701"/>
      </w:pPr>
      <w:bookmarkStart w:id="0" w:name="_Toc79133346"/>
      <w:r w:rsidRPr="00C8358A">
        <w:t xml:space="preserve">Standing Committee on </w:t>
      </w:r>
      <w:r w:rsidR="009E48EF">
        <w:t xml:space="preserve">Public Accounts </w:t>
      </w:r>
    </w:p>
    <w:p w14:paraId="6F1D36AD" w14:textId="3D7CBA49" w:rsidR="00A23A3E" w:rsidRDefault="00C02510"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C8358A">
        <w:t>Inquiry into</w:t>
      </w:r>
      <w:r w:rsidR="008916CA">
        <w:t xml:space="preserve"> </w:t>
      </w:r>
      <w:r w:rsidR="0008012A">
        <w:t xml:space="preserve">responses to </w:t>
      </w:r>
      <w:r w:rsidR="008916CA">
        <w:t xml:space="preserve">Auditor-General </w:t>
      </w:r>
      <w:r w:rsidR="0008012A">
        <w:t>recommendations for reports</w:t>
      </w:r>
      <w:r w:rsidR="008916CA">
        <w:t xml:space="preserve"> 5/2017, 7/2019 and 6/2020</w:t>
      </w:r>
    </w:p>
    <w:p w14:paraId="348D1164" w14:textId="51C4E29E" w:rsidR="00A23A3E" w:rsidRDefault="00123781" w:rsidP="000B25EC">
      <w:pPr>
        <w:pStyle w:val="Heading1nonumber"/>
      </w:pPr>
      <w:bookmarkStart w:id="1" w:name="_Toc144474962"/>
      <w:r>
        <w:lastRenderedPageBreak/>
        <w:t>About the</w:t>
      </w:r>
      <w:r w:rsidR="00A23A3E">
        <w:t xml:space="preserve"> committee</w:t>
      </w:r>
      <w:bookmarkEnd w:id="1"/>
    </w:p>
    <w:p w14:paraId="5F0FD841" w14:textId="4E43C4A1" w:rsidR="00123781" w:rsidRDefault="00D23E3A" w:rsidP="00496A46">
      <w:pPr>
        <w:pStyle w:val="Heading2"/>
      </w:pPr>
      <w:bookmarkStart w:id="2" w:name="_Toc144474963"/>
      <w:r>
        <w:t>Establishing resolution</w:t>
      </w:r>
      <w:bookmarkEnd w:id="2"/>
    </w:p>
    <w:p w14:paraId="12BE434B" w14:textId="5B0FB36F" w:rsidR="00024F1A" w:rsidRDefault="00123781" w:rsidP="00123781">
      <w:r>
        <w:t>The Assembly establ</w:t>
      </w:r>
      <w:r w:rsidR="008F18EC">
        <w:t xml:space="preserve">ished the Standing Committee on Public Accounts </w:t>
      </w:r>
      <w:r>
        <w:t xml:space="preserve">on 2 December 2020. </w:t>
      </w:r>
    </w:p>
    <w:p w14:paraId="64CBB1EF" w14:textId="16E5E6F7" w:rsidR="005D0971" w:rsidRDefault="00024F1A" w:rsidP="005D0971">
      <w:pPr>
        <w:spacing w:after="120"/>
      </w:pPr>
      <w:r>
        <w:t>The Committee is responsible for the following areas</w:t>
      </w:r>
      <w:r w:rsidR="005D0971">
        <w:t>:</w:t>
      </w:r>
    </w:p>
    <w:p w14:paraId="3C519F49" w14:textId="0BB311F0" w:rsidR="005D0971" w:rsidRDefault="008F18EC" w:rsidP="005D0971">
      <w:pPr>
        <w:pStyle w:val="ListParagraph"/>
        <w:numPr>
          <w:ilvl w:val="0"/>
          <w:numId w:val="14"/>
        </w:numPr>
      </w:pPr>
      <w:r>
        <w:t>ACT Auditor-General</w:t>
      </w:r>
    </w:p>
    <w:p w14:paraId="471D20E2" w14:textId="0AFF3F4D" w:rsidR="006718E3" w:rsidRDefault="008F18EC" w:rsidP="006718E3">
      <w:pPr>
        <w:pStyle w:val="ListParagraph"/>
        <w:numPr>
          <w:ilvl w:val="0"/>
          <w:numId w:val="14"/>
        </w:numPr>
      </w:pPr>
      <w:r>
        <w:t>Office of the Legislative Assembly</w:t>
      </w:r>
    </w:p>
    <w:p w14:paraId="619204DA" w14:textId="5756A09F" w:rsidR="006718E3" w:rsidRDefault="008F18EC" w:rsidP="006718E3">
      <w:pPr>
        <w:pStyle w:val="ListParagraph"/>
        <w:numPr>
          <w:ilvl w:val="0"/>
          <w:numId w:val="14"/>
        </w:numPr>
      </w:pPr>
      <w:r>
        <w:t>Accounts of the receipts and expenditure of the ACT and its authorities</w:t>
      </w:r>
    </w:p>
    <w:p w14:paraId="2896FBC0" w14:textId="605BEF6B" w:rsidR="006718E3" w:rsidRPr="008F18EC" w:rsidRDefault="008F18EC" w:rsidP="006718E3">
      <w:pPr>
        <w:pStyle w:val="ListParagraph"/>
        <w:numPr>
          <w:ilvl w:val="0"/>
          <w:numId w:val="14"/>
        </w:numPr>
        <w:rPr>
          <w:color w:val="FF0000"/>
        </w:rPr>
      </w:pPr>
      <w:r>
        <w:t>All reports of the Auditor-General which have been presented to the Assembly</w:t>
      </w:r>
    </w:p>
    <w:p w14:paraId="41FCBE7A" w14:textId="2A80870B" w:rsidR="008F18EC" w:rsidRPr="007A7A8B" w:rsidRDefault="008F18EC" w:rsidP="006718E3">
      <w:pPr>
        <w:pStyle w:val="ListParagraph"/>
        <w:numPr>
          <w:ilvl w:val="0"/>
          <w:numId w:val="14"/>
        </w:numPr>
        <w:rPr>
          <w:color w:val="FF0000"/>
        </w:rPr>
      </w:pPr>
      <w:r>
        <w:t>Treasury including taxation and revenue</w:t>
      </w:r>
    </w:p>
    <w:p w14:paraId="459E064D" w14:textId="50C07B8B" w:rsidR="007A7A8B" w:rsidRPr="009E48EF" w:rsidRDefault="007A7A8B" w:rsidP="007A7A8B">
      <w:pPr>
        <w:spacing w:before="120"/>
        <w:rPr>
          <w:rStyle w:val="Hyperlink"/>
        </w:rPr>
      </w:pPr>
      <w:r>
        <w:t xml:space="preserve">You can read the full establishing resolution </w:t>
      </w:r>
      <w:r w:rsidR="009E48EF">
        <w:fldChar w:fldCharType="begin"/>
      </w:r>
      <w:r w:rsidR="009E48EF">
        <w:instrText xml:space="preserve"> HYPERLINK "https://www.parliament.act.gov.au/__data/assets/pdf_file/0009/1980873/Resolution-of-establishment-for-the-committee.pdf" </w:instrText>
      </w:r>
      <w:r w:rsidR="009E48EF">
        <w:fldChar w:fldCharType="separate"/>
      </w:r>
      <w:r w:rsidRPr="009E48EF">
        <w:rPr>
          <w:rStyle w:val="Hyperlink"/>
        </w:rPr>
        <w:t>on our website.</w:t>
      </w:r>
    </w:p>
    <w:p w14:paraId="595A8310" w14:textId="5505FB95" w:rsidR="00A23A3E" w:rsidRDefault="009E48EF" w:rsidP="00496A46">
      <w:pPr>
        <w:pStyle w:val="Heading2"/>
      </w:pPr>
      <w:r>
        <w:rPr>
          <w:rFonts w:asciiTheme="minorHAnsi" w:eastAsiaTheme="minorHAnsi" w:hAnsiTheme="minorHAnsi" w:cstheme="minorBidi"/>
          <w:color w:val="auto"/>
          <w:w w:val="100"/>
          <w:kern w:val="0"/>
          <w:sz w:val="22"/>
          <w:szCs w:val="22"/>
        </w:rPr>
        <w:fldChar w:fldCharType="end"/>
      </w:r>
      <w:bookmarkStart w:id="3" w:name="_Toc144474964"/>
      <w:r w:rsidR="00A23A3E">
        <w:t>Committee members</w:t>
      </w:r>
      <w:bookmarkEnd w:id="3"/>
    </w:p>
    <w:p w14:paraId="260B7CE2" w14:textId="6BB1A75A" w:rsidR="00A23A3E" w:rsidRDefault="00060B5F" w:rsidP="00A23A3E">
      <w:pPr>
        <w:pStyle w:val="List"/>
      </w:pPr>
      <w:r>
        <w:t>Mrs Elizabeth Kikkert</w:t>
      </w:r>
      <w:r w:rsidR="00A23A3E">
        <w:t xml:space="preserve"> MLA, Chair</w:t>
      </w:r>
    </w:p>
    <w:p w14:paraId="365287C2" w14:textId="7F4C72C7" w:rsidR="00A23A3E" w:rsidRDefault="00060B5F" w:rsidP="00A23A3E">
      <w:pPr>
        <w:pStyle w:val="List"/>
      </w:pPr>
      <w:r>
        <w:t>Mr Michael Pettersson</w:t>
      </w:r>
      <w:r w:rsidR="00A23A3E">
        <w:t xml:space="preserve"> MLA, Deputy Chair</w:t>
      </w:r>
    </w:p>
    <w:p w14:paraId="0F3B365B" w14:textId="4B4D0339" w:rsidR="00A23A3E" w:rsidRDefault="00060B5F" w:rsidP="00A23A3E">
      <w:pPr>
        <w:pStyle w:val="List"/>
      </w:pPr>
      <w:r>
        <w:t>Mr Andrew Braddock</w:t>
      </w:r>
      <w:r w:rsidR="00A23A3E">
        <w:t xml:space="preserve"> MLA</w:t>
      </w:r>
    </w:p>
    <w:p w14:paraId="4764FEB1" w14:textId="764355CB" w:rsidR="00A23A3E" w:rsidRDefault="00A23A3E" w:rsidP="00496A46">
      <w:pPr>
        <w:pStyle w:val="Heading2"/>
      </w:pPr>
      <w:bookmarkStart w:id="4" w:name="_Toc144474965"/>
      <w:r>
        <w:t>Secretariat</w:t>
      </w:r>
      <w:bookmarkEnd w:id="4"/>
    </w:p>
    <w:p w14:paraId="75E4C002" w14:textId="7FCB4225" w:rsidR="00A23A3E" w:rsidRPr="00A23A3E" w:rsidRDefault="003F1844" w:rsidP="00A23A3E">
      <w:pPr>
        <w:pStyle w:val="List"/>
      </w:pPr>
      <w:r>
        <w:t>Ms Sophie Milne</w:t>
      </w:r>
      <w:r w:rsidR="00A23A3E" w:rsidRPr="00A23A3E">
        <w:t>, Committee Secretary</w:t>
      </w:r>
    </w:p>
    <w:p w14:paraId="60E943B6" w14:textId="5F9C7C53" w:rsidR="00A23A3E" w:rsidRDefault="00E1230E" w:rsidP="00A23A3E">
      <w:pPr>
        <w:pStyle w:val="List"/>
      </w:pPr>
      <w:r>
        <w:t xml:space="preserve">Mr </w:t>
      </w:r>
      <w:r w:rsidR="003F1844">
        <w:t>Consul O’Reilly</w:t>
      </w:r>
      <w:r w:rsidR="00A23A3E" w:rsidRPr="00A23A3E">
        <w:t xml:space="preserve">, </w:t>
      </w:r>
      <w:r w:rsidR="003F1844">
        <w:t>Assistant Committee Secretary</w:t>
      </w:r>
      <w:r w:rsidR="00AD0D9B">
        <w:t xml:space="preserve"> (until 7 August 2023)</w:t>
      </w:r>
    </w:p>
    <w:p w14:paraId="212517ED" w14:textId="19F703B4" w:rsidR="00273180" w:rsidRPr="00A23A3E" w:rsidRDefault="00532275" w:rsidP="00273180">
      <w:pPr>
        <w:pStyle w:val="List"/>
      </w:pPr>
      <w:r>
        <w:t xml:space="preserve">Ms </w:t>
      </w:r>
      <w:r w:rsidR="00273180">
        <w:t>Kate Mickelson, Assistant Secretary (from 14 August 2023)</w:t>
      </w:r>
    </w:p>
    <w:p w14:paraId="2713B5CB" w14:textId="6C22B7E5" w:rsidR="00273180" w:rsidRDefault="00532275" w:rsidP="00273180">
      <w:pPr>
        <w:pStyle w:val="List"/>
      </w:pPr>
      <w:r>
        <w:t xml:space="preserve">Ms </w:t>
      </w:r>
      <w:r w:rsidR="00273180">
        <w:t>Batool Abbas</w:t>
      </w:r>
      <w:r w:rsidR="00273180" w:rsidRPr="00A23A3E">
        <w:t>, Administrative Assistant</w:t>
      </w:r>
    </w:p>
    <w:p w14:paraId="3A31E64B" w14:textId="395F5541" w:rsidR="00273180" w:rsidRDefault="00532275" w:rsidP="00273180">
      <w:pPr>
        <w:pStyle w:val="List"/>
      </w:pPr>
      <w:r>
        <w:t xml:space="preserve">Ms </w:t>
      </w:r>
      <w:r w:rsidR="00273180">
        <w:t>Emma Warren, Graduate Administrative Assistant (until 18 August 2023)</w:t>
      </w:r>
    </w:p>
    <w:p w14:paraId="5BE4FC1F" w14:textId="77777777" w:rsidR="00A23A3E" w:rsidRDefault="00A23A3E" w:rsidP="00496A46">
      <w:pPr>
        <w:pStyle w:val="Heading2"/>
      </w:pPr>
      <w:bookmarkStart w:id="5" w:name="_Toc144474966"/>
      <w:r>
        <w:t>Contact us</w:t>
      </w:r>
      <w:bookmarkEnd w:id="5"/>
    </w:p>
    <w:p w14:paraId="309C2876" w14:textId="48F182F7" w:rsidR="001D22FC" w:rsidRDefault="00A23A3E" w:rsidP="001D22FC">
      <w:pPr>
        <w:ind w:left="1134" w:hanging="1134"/>
      </w:pPr>
      <w:r>
        <w:rPr>
          <w:b/>
          <w:bCs/>
        </w:rPr>
        <w:t>Mail</w:t>
      </w:r>
      <w:r>
        <w:tab/>
      </w:r>
      <w:r w:rsidR="009E48EF">
        <w:t xml:space="preserve">Standing Committee on Public Accounts </w:t>
      </w:r>
      <w:r w:rsidR="001D22FC">
        <w:br/>
        <w:t>Legislative Assembly for the Australian Capital Territory</w:t>
      </w:r>
      <w:r w:rsidR="001D22FC">
        <w:br/>
        <w:t>GPO Box 1020</w:t>
      </w:r>
      <w:r w:rsidR="001D22FC">
        <w:br/>
        <w:t>CANBERRA ACT 2601</w:t>
      </w:r>
    </w:p>
    <w:p w14:paraId="664A1C88" w14:textId="21326161" w:rsidR="001D22FC" w:rsidRDefault="001D22FC" w:rsidP="001D22FC">
      <w:pPr>
        <w:ind w:left="1134" w:hanging="1134"/>
      </w:pPr>
      <w:r>
        <w:rPr>
          <w:b/>
          <w:bCs/>
        </w:rPr>
        <w:t>Phone</w:t>
      </w:r>
      <w:r>
        <w:rPr>
          <w:b/>
          <w:bCs/>
        </w:rPr>
        <w:tab/>
      </w:r>
      <w:r>
        <w:t xml:space="preserve">(02) </w:t>
      </w:r>
      <w:r w:rsidRPr="008E750D">
        <w:t>620</w:t>
      </w:r>
      <w:r w:rsidR="005F2074">
        <w:t>5 0435</w:t>
      </w:r>
    </w:p>
    <w:p w14:paraId="3A6B4157" w14:textId="3DE010D9" w:rsidR="001D22FC" w:rsidRDefault="001D22FC" w:rsidP="001D22FC">
      <w:pPr>
        <w:ind w:left="1134" w:hanging="1134"/>
      </w:pPr>
      <w:r>
        <w:rPr>
          <w:b/>
          <w:bCs/>
        </w:rPr>
        <w:t>Email</w:t>
      </w:r>
      <w:r>
        <w:tab/>
      </w:r>
      <w:r w:rsidR="005F2074">
        <w:t>LACommitteePA@parliament.act.gov.au</w:t>
      </w:r>
      <w:r w:rsidR="008E750D">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10F497B3" w:rsidR="00ED3906" w:rsidRDefault="006718E3" w:rsidP="00496A46">
      <w:pPr>
        <w:pStyle w:val="Heading2"/>
      </w:pPr>
      <w:bookmarkStart w:id="6" w:name="_Toc144474967"/>
      <w:r>
        <w:lastRenderedPageBreak/>
        <w:t>About this inquiry</w:t>
      </w:r>
      <w:bookmarkEnd w:id="6"/>
    </w:p>
    <w:p w14:paraId="698A399D" w14:textId="53596945" w:rsidR="00344B40" w:rsidRDefault="00344B40" w:rsidP="002935A7">
      <w:pPr>
        <w:spacing w:after="0"/>
      </w:pPr>
      <w:r>
        <w:t xml:space="preserve">Under Standing Order 216, standing committees can self-initiate an inquiry into any subject area it is given responsibility for by the establishing resolution. </w:t>
      </w:r>
      <w:r w:rsidR="002935A7">
        <w:t>The</w:t>
      </w:r>
      <w:r>
        <w:t xml:space="preserve"> Standing Committee on Public Accounts </w:t>
      </w:r>
      <w:r w:rsidR="002935A7">
        <w:t>(</w:t>
      </w:r>
      <w:r w:rsidR="00532275">
        <w:t>the</w:t>
      </w:r>
      <w:r w:rsidR="002935A7">
        <w:t xml:space="preserve"> Committee) </w:t>
      </w:r>
      <w:r>
        <w:t xml:space="preserve">resolved to conduct an inquiry into </w:t>
      </w:r>
      <w:r w:rsidR="00DD200E">
        <w:t xml:space="preserve">the Government’s </w:t>
      </w:r>
      <w:r>
        <w:t xml:space="preserve">responses to </w:t>
      </w:r>
      <w:r w:rsidR="0050493C">
        <w:t xml:space="preserve">the ACT </w:t>
      </w:r>
      <w:r>
        <w:t>Auditor-General</w:t>
      </w:r>
      <w:r w:rsidR="0050493C">
        <w:t>’s</w:t>
      </w:r>
      <w:r>
        <w:t xml:space="preserve"> recommendation</w:t>
      </w:r>
      <w:r w:rsidR="00AC2472">
        <w:t>s</w:t>
      </w:r>
      <w:r>
        <w:t xml:space="preserve"> </w:t>
      </w:r>
      <w:r w:rsidR="00AC2472">
        <w:t xml:space="preserve">in </w:t>
      </w:r>
      <w:r>
        <w:t>reports 5/2017, 7/2019 and 6/</w:t>
      </w:r>
      <w:r w:rsidRPr="009128FC">
        <w:t>2020</w:t>
      </w:r>
      <w:r w:rsidR="00DD200E">
        <w:t>.</w:t>
      </w:r>
      <w:r w:rsidR="002935A7">
        <w:t xml:space="preserve"> </w:t>
      </w:r>
      <w:r>
        <w:t xml:space="preserve">The </w:t>
      </w:r>
      <w:r w:rsidR="002935A7">
        <w:t>C</w:t>
      </w:r>
      <w:r>
        <w:t xml:space="preserve">ommittee informed the Assembly of its intention to conduct this </w:t>
      </w:r>
      <w:r w:rsidRPr="00004B7B">
        <w:t xml:space="preserve">inquiry on </w:t>
      </w:r>
      <w:r w:rsidR="007C06C4" w:rsidRPr="00004B7B">
        <w:t>26 October 2022</w:t>
      </w:r>
      <w:r w:rsidRPr="00004B7B">
        <w:t>.</w:t>
      </w:r>
    </w:p>
    <w:p w14:paraId="04DB7A92" w14:textId="77777777" w:rsidR="00BB2DBE" w:rsidRPr="00721848" w:rsidRDefault="00BB2DBE" w:rsidP="00496A46">
      <w:pPr>
        <w:pStyle w:val="Heading2"/>
      </w:pPr>
      <w:bookmarkStart w:id="7" w:name="_Toc144474968"/>
      <w:r w:rsidRPr="00EC765B">
        <w:t>Terms of Reference</w:t>
      </w:r>
      <w:bookmarkEnd w:id="7"/>
      <w:r w:rsidRPr="00EC765B">
        <w:t xml:space="preserve"> </w:t>
      </w:r>
    </w:p>
    <w:p w14:paraId="13959101" w14:textId="6A96FF0F" w:rsidR="00BB2DBE" w:rsidRPr="000C5C17" w:rsidRDefault="00BB2DBE" w:rsidP="00BB2DBE">
      <w:pPr>
        <w:spacing w:before="240" w:after="240" w:line="276" w:lineRule="auto"/>
        <w:rPr>
          <w:rFonts w:eastAsia="Calibri" w:cstheme="minorHAnsi"/>
          <w:lang w:eastAsia="en-AU"/>
        </w:rPr>
      </w:pPr>
      <w:r w:rsidRPr="000C5C17">
        <w:rPr>
          <w:rFonts w:cstheme="minorHAnsi"/>
        </w:rPr>
        <w:t xml:space="preserve">The Standing Committee on </w:t>
      </w:r>
      <w:r>
        <w:rPr>
          <w:rFonts w:cstheme="minorHAnsi"/>
        </w:rPr>
        <w:t>Public Accounts</w:t>
      </w:r>
      <w:r w:rsidRPr="000C5C17">
        <w:rPr>
          <w:rFonts w:cstheme="minorHAnsi"/>
        </w:rPr>
        <w:t xml:space="preserve"> will inquire into and report on matters relating to </w:t>
      </w:r>
      <w:r>
        <w:rPr>
          <w:rFonts w:cstheme="minorHAnsi"/>
        </w:rPr>
        <w:t>the Government response</w:t>
      </w:r>
      <w:r w:rsidR="0050493C">
        <w:rPr>
          <w:rFonts w:cstheme="minorHAnsi"/>
        </w:rPr>
        <w:t>s</w:t>
      </w:r>
      <w:r>
        <w:rPr>
          <w:rFonts w:cstheme="minorHAnsi"/>
        </w:rPr>
        <w:t xml:space="preserve"> to performance audit recommendations made in </w:t>
      </w:r>
      <w:r w:rsidR="00427CEF">
        <w:rPr>
          <w:rFonts w:cstheme="minorHAnsi"/>
        </w:rPr>
        <w:t xml:space="preserve">the </w:t>
      </w:r>
      <w:r>
        <w:rPr>
          <w:rFonts w:cstheme="minorHAnsi"/>
        </w:rPr>
        <w:t>Auditor-General report</w:t>
      </w:r>
      <w:r w:rsidR="00427CEF">
        <w:rPr>
          <w:rFonts w:cstheme="minorHAnsi"/>
        </w:rPr>
        <w:t>s</w:t>
      </w:r>
      <w:r w:rsidRPr="000C5C17">
        <w:rPr>
          <w:rFonts w:eastAsia="Calibri" w:cstheme="minorHAnsi"/>
          <w:lang w:eastAsia="en-AU"/>
        </w:rPr>
        <w:t>:</w:t>
      </w:r>
    </w:p>
    <w:p w14:paraId="6BE89440" w14:textId="2F819194" w:rsidR="00BB2DBE" w:rsidRPr="007D372A" w:rsidRDefault="00BB2DBE" w:rsidP="00BB2DBE">
      <w:pPr>
        <w:pStyle w:val="Bodycopybulletlevel1"/>
        <w:numPr>
          <w:ilvl w:val="0"/>
          <w:numId w:val="20"/>
        </w:numPr>
        <w:spacing w:before="288" w:after="288"/>
      </w:pPr>
      <w:bookmarkStart w:id="8" w:name="_Hlk114048319"/>
      <w:r>
        <w:t>No</w:t>
      </w:r>
      <w:r w:rsidRPr="007D372A">
        <w:t xml:space="preserve"> 5/2017</w:t>
      </w:r>
      <w:r w:rsidRPr="007D372A">
        <w:rPr>
          <w:rFonts w:ascii="Calibri" w:hAnsi="Calibri" w:cs="Calibri"/>
        </w:rPr>
        <w:t xml:space="preserve"> – </w:t>
      </w:r>
      <w:r w:rsidRPr="007D372A">
        <w:t>Maintenance of selected road infrastructure assets</w:t>
      </w:r>
      <w:r w:rsidR="00532275">
        <w:t>;</w:t>
      </w:r>
      <w:r w:rsidRPr="007D372A">
        <w:t xml:space="preserve"> </w:t>
      </w:r>
    </w:p>
    <w:p w14:paraId="548C40A1" w14:textId="582DF314" w:rsidR="00BB2DBE" w:rsidRPr="007D372A" w:rsidRDefault="00BB2DBE" w:rsidP="00BB2DBE">
      <w:pPr>
        <w:pStyle w:val="Bodycopybulletlevel1"/>
        <w:numPr>
          <w:ilvl w:val="0"/>
          <w:numId w:val="20"/>
        </w:numPr>
        <w:spacing w:before="288" w:after="288"/>
        <w:rPr>
          <w:rFonts w:ascii="Calibri" w:hAnsi="Calibri" w:cs="Calibri"/>
        </w:rPr>
      </w:pPr>
      <w:r>
        <w:rPr>
          <w:rFonts w:ascii="Calibri" w:hAnsi="Calibri" w:cs="Calibri"/>
        </w:rPr>
        <w:t>No</w:t>
      </w:r>
      <w:r w:rsidRPr="007D372A">
        <w:rPr>
          <w:rFonts w:ascii="Calibri" w:hAnsi="Calibri" w:cs="Calibri"/>
        </w:rPr>
        <w:t xml:space="preserve"> 7/2019 – Referral processes for the support of vulnerable children</w:t>
      </w:r>
      <w:r w:rsidR="00532275">
        <w:rPr>
          <w:rFonts w:ascii="Calibri" w:hAnsi="Calibri" w:cs="Calibri"/>
        </w:rPr>
        <w:t>;</w:t>
      </w:r>
      <w:r w:rsidRPr="007D372A">
        <w:rPr>
          <w:rFonts w:ascii="Calibri" w:hAnsi="Calibri" w:cs="Calibri"/>
        </w:rPr>
        <w:t xml:space="preserve"> </w:t>
      </w:r>
    </w:p>
    <w:p w14:paraId="23983130" w14:textId="77777777" w:rsidR="00BB2DBE" w:rsidRPr="00C94887" w:rsidRDefault="00BB2DBE" w:rsidP="00BB2DBE">
      <w:pPr>
        <w:pStyle w:val="Bodycopybulletlevel1"/>
        <w:numPr>
          <w:ilvl w:val="0"/>
          <w:numId w:val="20"/>
        </w:numPr>
        <w:spacing w:before="288" w:after="288"/>
        <w:rPr>
          <w:rFonts w:ascii="Calibri-Bold" w:hAnsi="Calibri-Bold" w:cs="Calibri-Bold"/>
        </w:rPr>
      </w:pPr>
      <w:r>
        <w:rPr>
          <w:rFonts w:ascii="Calibri" w:hAnsi="Calibri" w:cs="Calibri"/>
        </w:rPr>
        <w:t>No</w:t>
      </w:r>
      <w:r w:rsidRPr="007D372A">
        <w:rPr>
          <w:rFonts w:ascii="Calibri" w:hAnsi="Calibri" w:cs="Calibri"/>
        </w:rPr>
        <w:t xml:space="preserve"> 6/2020 – Transfer of workers’ compensation arrangements from Comcare</w:t>
      </w:r>
      <w:r>
        <w:rPr>
          <w:rFonts w:ascii="Calibri" w:hAnsi="Calibri" w:cs="Calibri"/>
        </w:rPr>
        <w:t>; and</w:t>
      </w:r>
    </w:p>
    <w:p w14:paraId="20A3C9F8" w14:textId="77777777" w:rsidR="00BB2DBE" w:rsidRPr="00D5515F" w:rsidRDefault="00BB2DBE" w:rsidP="00BB2DBE">
      <w:pPr>
        <w:pStyle w:val="ListParagraph"/>
        <w:numPr>
          <w:ilvl w:val="0"/>
          <w:numId w:val="20"/>
        </w:numPr>
        <w:spacing w:after="200" w:line="276" w:lineRule="auto"/>
        <w:rPr>
          <w:rFonts w:ascii="Calibri" w:eastAsia="Calibri" w:hAnsi="Calibri"/>
        </w:rPr>
      </w:pPr>
      <w:r w:rsidRPr="00D5515F">
        <w:rPr>
          <w:rFonts w:ascii="Calibri" w:eastAsia="Calibri" w:hAnsi="Calibri"/>
        </w:rPr>
        <w:t>any other related matter.</w:t>
      </w:r>
    </w:p>
    <w:bookmarkEnd w:id="8"/>
    <w:p w14:paraId="69B9A2DD" w14:textId="6E526788"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7D8BD5E" w14:textId="7045427B" w:rsidR="00B65EC8" w:rsidRDefault="008A6130" w:rsidP="00C53744">
          <w:pPr>
            <w:pStyle w:val="TOC1"/>
            <w:rPr>
              <w:rFonts w:asciiTheme="minorHAnsi" w:eastAsiaTheme="minorEastAsia" w:hAnsiTheme="minorHAnsi"/>
              <w:color w:val="auto"/>
              <w:w w:val="100"/>
              <w:sz w:val="22"/>
              <w:lang w:eastAsia="en-AU"/>
            </w:rPr>
          </w:pPr>
          <w:r>
            <w:fldChar w:fldCharType="begin"/>
          </w:r>
          <w:r>
            <w:instrText xml:space="preserve"> TOC \o "1-3" \h \z \u </w:instrText>
          </w:r>
          <w:r>
            <w:fldChar w:fldCharType="separate"/>
          </w:r>
          <w:hyperlink w:anchor="_Toc144474962" w:history="1">
            <w:r w:rsidR="00B65EC8" w:rsidRPr="003E009A">
              <w:rPr>
                <w:rStyle w:val="Hyperlink"/>
              </w:rPr>
              <w:t>About the committee</w:t>
            </w:r>
            <w:r w:rsidR="00B65EC8">
              <w:rPr>
                <w:webHidden/>
              </w:rPr>
              <w:tab/>
            </w:r>
            <w:r w:rsidR="00B65EC8">
              <w:rPr>
                <w:webHidden/>
              </w:rPr>
              <w:fldChar w:fldCharType="begin"/>
            </w:r>
            <w:r w:rsidR="00B65EC8">
              <w:rPr>
                <w:webHidden/>
              </w:rPr>
              <w:instrText xml:space="preserve"> PAGEREF _Toc144474962 \h </w:instrText>
            </w:r>
            <w:r w:rsidR="00B65EC8">
              <w:rPr>
                <w:webHidden/>
              </w:rPr>
            </w:r>
            <w:r w:rsidR="00B65EC8">
              <w:rPr>
                <w:webHidden/>
              </w:rPr>
              <w:fldChar w:fldCharType="separate"/>
            </w:r>
            <w:r w:rsidR="008D4DBA">
              <w:rPr>
                <w:webHidden/>
              </w:rPr>
              <w:t>i</w:t>
            </w:r>
            <w:r w:rsidR="00B65EC8">
              <w:rPr>
                <w:webHidden/>
              </w:rPr>
              <w:fldChar w:fldCharType="end"/>
            </w:r>
          </w:hyperlink>
        </w:p>
        <w:p w14:paraId="70E57B03" w14:textId="31E852CF" w:rsidR="00B65EC8" w:rsidRDefault="00390032" w:rsidP="00C53744">
          <w:pPr>
            <w:pStyle w:val="TOC2"/>
            <w:rPr>
              <w:rFonts w:eastAsiaTheme="minorEastAsia"/>
              <w:lang w:eastAsia="en-AU"/>
            </w:rPr>
          </w:pPr>
          <w:hyperlink w:anchor="_Toc144474963" w:history="1">
            <w:r w:rsidR="00B65EC8" w:rsidRPr="003E009A">
              <w:rPr>
                <w:rStyle w:val="Hyperlink"/>
              </w:rPr>
              <w:t>Establishing resolution</w:t>
            </w:r>
            <w:r w:rsidR="00B65EC8">
              <w:rPr>
                <w:webHidden/>
              </w:rPr>
              <w:tab/>
            </w:r>
            <w:r w:rsidR="00B65EC8">
              <w:rPr>
                <w:webHidden/>
              </w:rPr>
              <w:fldChar w:fldCharType="begin"/>
            </w:r>
            <w:r w:rsidR="00B65EC8">
              <w:rPr>
                <w:webHidden/>
              </w:rPr>
              <w:instrText xml:space="preserve"> PAGEREF _Toc144474963 \h </w:instrText>
            </w:r>
            <w:r w:rsidR="00B65EC8">
              <w:rPr>
                <w:webHidden/>
              </w:rPr>
            </w:r>
            <w:r w:rsidR="00B65EC8">
              <w:rPr>
                <w:webHidden/>
              </w:rPr>
              <w:fldChar w:fldCharType="separate"/>
            </w:r>
            <w:r w:rsidR="008D4DBA">
              <w:rPr>
                <w:webHidden/>
              </w:rPr>
              <w:t>i</w:t>
            </w:r>
            <w:r w:rsidR="00B65EC8">
              <w:rPr>
                <w:webHidden/>
              </w:rPr>
              <w:fldChar w:fldCharType="end"/>
            </w:r>
          </w:hyperlink>
        </w:p>
        <w:p w14:paraId="2EAD2750" w14:textId="5FA8CF31" w:rsidR="00B65EC8" w:rsidRDefault="00390032" w:rsidP="00C53744">
          <w:pPr>
            <w:pStyle w:val="TOC2"/>
            <w:rPr>
              <w:rFonts w:eastAsiaTheme="minorEastAsia"/>
              <w:lang w:eastAsia="en-AU"/>
            </w:rPr>
          </w:pPr>
          <w:hyperlink w:anchor="_Toc144474964" w:history="1">
            <w:r w:rsidR="00B65EC8" w:rsidRPr="003E009A">
              <w:rPr>
                <w:rStyle w:val="Hyperlink"/>
              </w:rPr>
              <w:t>Committee members</w:t>
            </w:r>
            <w:r w:rsidR="00B65EC8">
              <w:rPr>
                <w:webHidden/>
              </w:rPr>
              <w:tab/>
            </w:r>
            <w:r w:rsidR="00B65EC8">
              <w:rPr>
                <w:webHidden/>
              </w:rPr>
              <w:fldChar w:fldCharType="begin"/>
            </w:r>
            <w:r w:rsidR="00B65EC8">
              <w:rPr>
                <w:webHidden/>
              </w:rPr>
              <w:instrText xml:space="preserve"> PAGEREF _Toc144474964 \h </w:instrText>
            </w:r>
            <w:r w:rsidR="00B65EC8">
              <w:rPr>
                <w:webHidden/>
              </w:rPr>
            </w:r>
            <w:r w:rsidR="00B65EC8">
              <w:rPr>
                <w:webHidden/>
              </w:rPr>
              <w:fldChar w:fldCharType="separate"/>
            </w:r>
            <w:r w:rsidR="008D4DBA">
              <w:rPr>
                <w:webHidden/>
              </w:rPr>
              <w:t>i</w:t>
            </w:r>
            <w:r w:rsidR="00B65EC8">
              <w:rPr>
                <w:webHidden/>
              </w:rPr>
              <w:fldChar w:fldCharType="end"/>
            </w:r>
          </w:hyperlink>
        </w:p>
        <w:p w14:paraId="43CA0067" w14:textId="1E9493F3" w:rsidR="00B65EC8" w:rsidRDefault="00390032" w:rsidP="00C53744">
          <w:pPr>
            <w:pStyle w:val="TOC2"/>
            <w:rPr>
              <w:rFonts w:eastAsiaTheme="minorEastAsia"/>
              <w:lang w:eastAsia="en-AU"/>
            </w:rPr>
          </w:pPr>
          <w:hyperlink w:anchor="_Toc144474965" w:history="1">
            <w:r w:rsidR="00B65EC8" w:rsidRPr="003E009A">
              <w:rPr>
                <w:rStyle w:val="Hyperlink"/>
              </w:rPr>
              <w:t>Secretariat</w:t>
            </w:r>
            <w:r w:rsidR="00B65EC8">
              <w:rPr>
                <w:webHidden/>
              </w:rPr>
              <w:tab/>
            </w:r>
            <w:r w:rsidR="00B65EC8">
              <w:rPr>
                <w:webHidden/>
              </w:rPr>
              <w:fldChar w:fldCharType="begin"/>
            </w:r>
            <w:r w:rsidR="00B65EC8">
              <w:rPr>
                <w:webHidden/>
              </w:rPr>
              <w:instrText xml:space="preserve"> PAGEREF _Toc144474965 \h </w:instrText>
            </w:r>
            <w:r w:rsidR="00B65EC8">
              <w:rPr>
                <w:webHidden/>
              </w:rPr>
            </w:r>
            <w:r w:rsidR="00B65EC8">
              <w:rPr>
                <w:webHidden/>
              </w:rPr>
              <w:fldChar w:fldCharType="separate"/>
            </w:r>
            <w:r w:rsidR="008D4DBA">
              <w:rPr>
                <w:webHidden/>
              </w:rPr>
              <w:t>i</w:t>
            </w:r>
            <w:r w:rsidR="00B65EC8">
              <w:rPr>
                <w:webHidden/>
              </w:rPr>
              <w:fldChar w:fldCharType="end"/>
            </w:r>
          </w:hyperlink>
        </w:p>
        <w:p w14:paraId="377E4F2D" w14:textId="29D92B1E" w:rsidR="00B65EC8" w:rsidRDefault="00390032" w:rsidP="00C53744">
          <w:pPr>
            <w:pStyle w:val="TOC2"/>
            <w:rPr>
              <w:rFonts w:eastAsiaTheme="minorEastAsia"/>
              <w:lang w:eastAsia="en-AU"/>
            </w:rPr>
          </w:pPr>
          <w:hyperlink w:anchor="_Toc144474966" w:history="1">
            <w:r w:rsidR="00B65EC8" w:rsidRPr="003E009A">
              <w:rPr>
                <w:rStyle w:val="Hyperlink"/>
              </w:rPr>
              <w:t>Contact us</w:t>
            </w:r>
            <w:r w:rsidR="00B65EC8">
              <w:rPr>
                <w:webHidden/>
              </w:rPr>
              <w:tab/>
            </w:r>
            <w:r w:rsidR="00B65EC8">
              <w:rPr>
                <w:webHidden/>
              </w:rPr>
              <w:fldChar w:fldCharType="begin"/>
            </w:r>
            <w:r w:rsidR="00B65EC8">
              <w:rPr>
                <w:webHidden/>
              </w:rPr>
              <w:instrText xml:space="preserve"> PAGEREF _Toc144474966 \h </w:instrText>
            </w:r>
            <w:r w:rsidR="00B65EC8">
              <w:rPr>
                <w:webHidden/>
              </w:rPr>
            </w:r>
            <w:r w:rsidR="00B65EC8">
              <w:rPr>
                <w:webHidden/>
              </w:rPr>
              <w:fldChar w:fldCharType="separate"/>
            </w:r>
            <w:r w:rsidR="008D4DBA">
              <w:rPr>
                <w:webHidden/>
              </w:rPr>
              <w:t>i</w:t>
            </w:r>
            <w:r w:rsidR="00B65EC8">
              <w:rPr>
                <w:webHidden/>
              </w:rPr>
              <w:fldChar w:fldCharType="end"/>
            </w:r>
          </w:hyperlink>
        </w:p>
        <w:p w14:paraId="03B05070" w14:textId="480747FF" w:rsidR="00B65EC8" w:rsidRDefault="00390032" w:rsidP="00C53744">
          <w:pPr>
            <w:pStyle w:val="TOC2"/>
            <w:rPr>
              <w:rFonts w:eastAsiaTheme="minorEastAsia"/>
              <w:lang w:eastAsia="en-AU"/>
            </w:rPr>
          </w:pPr>
          <w:hyperlink w:anchor="_Toc144474967" w:history="1">
            <w:r w:rsidR="00B65EC8" w:rsidRPr="003E009A">
              <w:rPr>
                <w:rStyle w:val="Hyperlink"/>
              </w:rPr>
              <w:t>About this inquiry</w:t>
            </w:r>
            <w:r w:rsidR="00B65EC8">
              <w:rPr>
                <w:webHidden/>
              </w:rPr>
              <w:tab/>
            </w:r>
            <w:r w:rsidR="00B65EC8">
              <w:rPr>
                <w:webHidden/>
              </w:rPr>
              <w:fldChar w:fldCharType="begin"/>
            </w:r>
            <w:r w:rsidR="00B65EC8">
              <w:rPr>
                <w:webHidden/>
              </w:rPr>
              <w:instrText xml:space="preserve"> PAGEREF _Toc144474967 \h </w:instrText>
            </w:r>
            <w:r w:rsidR="00B65EC8">
              <w:rPr>
                <w:webHidden/>
              </w:rPr>
            </w:r>
            <w:r w:rsidR="00B65EC8">
              <w:rPr>
                <w:webHidden/>
              </w:rPr>
              <w:fldChar w:fldCharType="separate"/>
            </w:r>
            <w:r w:rsidR="008D4DBA">
              <w:rPr>
                <w:webHidden/>
              </w:rPr>
              <w:t>ii</w:t>
            </w:r>
            <w:r w:rsidR="00B65EC8">
              <w:rPr>
                <w:webHidden/>
              </w:rPr>
              <w:fldChar w:fldCharType="end"/>
            </w:r>
          </w:hyperlink>
        </w:p>
        <w:p w14:paraId="1E0A790F" w14:textId="783EBCB4" w:rsidR="00B65EC8" w:rsidRDefault="00390032" w:rsidP="00C53744">
          <w:pPr>
            <w:pStyle w:val="TOC2"/>
            <w:rPr>
              <w:rFonts w:eastAsiaTheme="minorEastAsia"/>
              <w:lang w:eastAsia="en-AU"/>
            </w:rPr>
          </w:pPr>
          <w:hyperlink w:anchor="_Toc144474968" w:history="1">
            <w:r w:rsidR="00B65EC8" w:rsidRPr="003E009A">
              <w:rPr>
                <w:rStyle w:val="Hyperlink"/>
              </w:rPr>
              <w:t>Terms of Reference</w:t>
            </w:r>
            <w:r w:rsidR="00B65EC8">
              <w:rPr>
                <w:webHidden/>
              </w:rPr>
              <w:tab/>
            </w:r>
            <w:r w:rsidR="00B65EC8">
              <w:rPr>
                <w:webHidden/>
              </w:rPr>
              <w:fldChar w:fldCharType="begin"/>
            </w:r>
            <w:r w:rsidR="00B65EC8">
              <w:rPr>
                <w:webHidden/>
              </w:rPr>
              <w:instrText xml:space="preserve"> PAGEREF _Toc144474968 \h </w:instrText>
            </w:r>
            <w:r w:rsidR="00B65EC8">
              <w:rPr>
                <w:webHidden/>
              </w:rPr>
            </w:r>
            <w:r w:rsidR="00B65EC8">
              <w:rPr>
                <w:webHidden/>
              </w:rPr>
              <w:fldChar w:fldCharType="separate"/>
            </w:r>
            <w:r w:rsidR="008D4DBA">
              <w:rPr>
                <w:webHidden/>
              </w:rPr>
              <w:t>ii</w:t>
            </w:r>
            <w:r w:rsidR="00B65EC8">
              <w:rPr>
                <w:webHidden/>
              </w:rPr>
              <w:fldChar w:fldCharType="end"/>
            </w:r>
          </w:hyperlink>
        </w:p>
        <w:p w14:paraId="12D2F9E9" w14:textId="646D983E" w:rsidR="00B65EC8" w:rsidRDefault="00390032" w:rsidP="00C53744">
          <w:pPr>
            <w:pStyle w:val="TOC1"/>
            <w:rPr>
              <w:rFonts w:asciiTheme="minorHAnsi" w:eastAsiaTheme="minorEastAsia" w:hAnsiTheme="minorHAnsi"/>
              <w:color w:val="auto"/>
              <w:w w:val="100"/>
              <w:sz w:val="22"/>
              <w:lang w:eastAsia="en-AU"/>
            </w:rPr>
          </w:pPr>
          <w:hyperlink w:anchor="_Toc144474969" w:history="1">
            <w:r w:rsidR="00B65EC8" w:rsidRPr="003E009A">
              <w:rPr>
                <w:rStyle w:val="Hyperlink"/>
              </w:rPr>
              <w:t>Acronyms</w:t>
            </w:r>
            <w:r w:rsidR="00B65EC8">
              <w:rPr>
                <w:webHidden/>
              </w:rPr>
              <w:tab/>
            </w:r>
            <w:r w:rsidR="00B65EC8">
              <w:rPr>
                <w:webHidden/>
              </w:rPr>
              <w:fldChar w:fldCharType="begin"/>
            </w:r>
            <w:r w:rsidR="00B65EC8">
              <w:rPr>
                <w:webHidden/>
              </w:rPr>
              <w:instrText xml:space="preserve"> PAGEREF _Toc144474969 \h </w:instrText>
            </w:r>
            <w:r w:rsidR="00B65EC8">
              <w:rPr>
                <w:webHidden/>
              </w:rPr>
            </w:r>
            <w:r w:rsidR="00B65EC8">
              <w:rPr>
                <w:webHidden/>
              </w:rPr>
              <w:fldChar w:fldCharType="separate"/>
            </w:r>
            <w:r w:rsidR="008D4DBA">
              <w:rPr>
                <w:webHidden/>
              </w:rPr>
              <w:t>iv</w:t>
            </w:r>
            <w:r w:rsidR="00B65EC8">
              <w:rPr>
                <w:webHidden/>
              </w:rPr>
              <w:fldChar w:fldCharType="end"/>
            </w:r>
          </w:hyperlink>
        </w:p>
        <w:p w14:paraId="42CA21BB" w14:textId="6C00910F" w:rsidR="00B65EC8" w:rsidRDefault="00390032" w:rsidP="00C53744">
          <w:pPr>
            <w:pStyle w:val="TOC1"/>
            <w:rPr>
              <w:rFonts w:asciiTheme="minorHAnsi" w:eastAsiaTheme="minorEastAsia" w:hAnsiTheme="minorHAnsi"/>
              <w:color w:val="auto"/>
              <w:w w:val="100"/>
              <w:sz w:val="22"/>
              <w:lang w:eastAsia="en-AU"/>
            </w:rPr>
          </w:pPr>
          <w:hyperlink w:anchor="_Toc144474970" w:history="1">
            <w:r w:rsidR="00B65EC8" w:rsidRPr="003E009A">
              <w:rPr>
                <w:rStyle w:val="Hyperlink"/>
              </w:rPr>
              <w:t>Recommendations</w:t>
            </w:r>
            <w:r w:rsidR="00B65EC8">
              <w:rPr>
                <w:webHidden/>
              </w:rPr>
              <w:tab/>
            </w:r>
            <w:r w:rsidR="00B65EC8">
              <w:rPr>
                <w:webHidden/>
              </w:rPr>
              <w:fldChar w:fldCharType="begin"/>
            </w:r>
            <w:r w:rsidR="00B65EC8">
              <w:rPr>
                <w:webHidden/>
              </w:rPr>
              <w:instrText xml:space="preserve"> PAGEREF _Toc144474970 \h </w:instrText>
            </w:r>
            <w:r w:rsidR="00B65EC8">
              <w:rPr>
                <w:webHidden/>
              </w:rPr>
            </w:r>
            <w:r w:rsidR="00B65EC8">
              <w:rPr>
                <w:webHidden/>
              </w:rPr>
              <w:fldChar w:fldCharType="separate"/>
            </w:r>
            <w:r w:rsidR="008D4DBA">
              <w:rPr>
                <w:webHidden/>
              </w:rPr>
              <w:t>vi</w:t>
            </w:r>
            <w:r w:rsidR="00B65EC8">
              <w:rPr>
                <w:webHidden/>
              </w:rPr>
              <w:fldChar w:fldCharType="end"/>
            </w:r>
          </w:hyperlink>
        </w:p>
        <w:p w14:paraId="5F7CE4B7" w14:textId="1883001C" w:rsidR="00B65EC8" w:rsidRDefault="00390032" w:rsidP="00C53744">
          <w:pPr>
            <w:pStyle w:val="TOC1"/>
            <w:rPr>
              <w:rFonts w:asciiTheme="minorHAnsi" w:eastAsiaTheme="minorEastAsia" w:hAnsiTheme="minorHAnsi"/>
              <w:color w:val="auto"/>
              <w:w w:val="100"/>
              <w:sz w:val="22"/>
              <w:lang w:eastAsia="en-AU"/>
            </w:rPr>
          </w:pPr>
          <w:hyperlink w:anchor="_Toc144474971" w:history="1">
            <w:r w:rsidR="00B65EC8" w:rsidRPr="003E009A">
              <w:rPr>
                <w:rStyle w:val="Hyperlink"/>
              </w:rPr>
              <w:t>1.</w:t>
            </w:r>
            <w:r w:rsidR="00B65EC8">
              <w:rPr>
                <w:rFonts w:asciiTheme="minorHAnsi" w:eastAsiaTheme="minorEastAsia" w:hAnsiTheme="minorHAnsi"/>
                <w:color w:val="auto"/>
                <w:w w:val="100"/>
                <w:sz w:val="22"/>
                <w:lang w:eastAsia="en-AU"/>
              </w:rPr>
              <w:tab/>
            </w:r>
            <w:r w:rsidR="00B65EC8" w:rsidRPr="003E009A">
              <w:rPr>
                <w:rStyle w:val="Hyperlink"/>
              </w:rPr>
              <w:t>Introduction</w:t>
            </w:r>
            <w:r w:rsidR="00B65EC8">
              <w:rPr>
                <w:webHidden/>
              </w:rPr>
              <w:tab/>
            </w:r>
            <w:r w:rsidR="00B65EC8">
              <w:rPr>
                <w:webHidden/>
              </w:rPr>
              <w:fldChar w:fldCharType="begin"/>
            </w:r>
            <w:r w:rsidR="00B65EC8">
              <w:rPr>
                <w:webHidden/>
              </w:rPr>
              <w:instrText xml:space="preserve"> PAGEREF _Toc144474971 \h </w:instrText>
            </w:r>
            <w:r w:rsidR="00B65EC8">
              <w:rPr>
                <w:webHidden/>
              </w:rPr>
            </w:r>
            <w:r w:rsidR="00B65EC8">
              <w:rPr>
                <w:webHidden/>
              </w:rPr>
              <w:fldChar w:fldCharType="separate"/>
            </w:r>
            <w:r w:rsidR="008D4DBA">
              <w:rPr>
                <w:webHidden/>
              </w:rPr>
              <w:t>1</w:t>
            </w:r>
            <w:r w:rsidR="00B65EC8">
              <w:rPr>
                <w:webHidden/>
              </w:rPr>
              <w:fldChar w:fldCharType="end"/>
            </w:r>
          </w:hyperlink>
        </w:p>
        <w:p w14:paraId="555F1BE4" w14:textId="6C88B047" w:rsidR="00B65EC8" w:rsidRDefault="00390032" w:rsidP="00C53744">
          <w:pPr>
            <w:pStyle w:val="TOC1"/>
            <w:rPr>
              <w:rFonts w:asciiTheme="minorHAnsi" w:eastAsiaTheme="minorEastAsia" w:hAnsiTheme="minorHAnsi"/>
              <w:color w:val="auto"/>
              <w:w w:val="100"/>
              <w:sz w:val="22"/>
              <w:lang w:eastAsia="en-AU"/>
            </w:rPr>
          </w:pPr>
          <w:hyperlink w:anchor="_Toc144474972" w:history="1">
            <w:r w:rsidR="00B65EC8" w:rsidRPr="003E009A">
              <w:rPr>
                <w:rStyle w:val="Hyperlink"/>
              </w:rPr>
              <w:t>2.</w:t>
            </w:r>
            <w:r w:rsidR="00B65EC8">
              <w:rPr>
                <w:rFonts w:asciiTheme="minorHAnsi" w:eastAsiaTheme="minorEastAsia" w:hAnsiTheme="minorHAnsi"/>
                <w:color w:val="auto"/>
                <w:w w:val="100"/>
                <w:sz w:val="22"/>
                <w:lang w:eastAsia="en-AU"/>
              </w:rPr>
              <w:tab/>
            </w:r>
            <w:r w:rsidR="00B65EC8" w:rsidRPr="003E009A">
              <w:rPr>
                <w:rStyle w:val="Hyperlink"/>
              </w:rPr>
              <w:t>Audit Report No. 5/2017: Maintenance of Selected Road Infrastructure Asset</w:t>
            </w:r>
            <w:r w:rsidR="00B65EC8">
              <w:rPr>
                <w:webHidden/>
              </w:rPr>
              <w:tab/>
            </w:r>
            <w:r w:rsidR="00B65EC8">
              <w:rPr>
                <w:webHidden/>
              </w:rPr>
              <w:fldChar w:fldCharType="begin"/>
            </w:r>
            <w:r w:rsidR="00B65EC8">
              <w:rPr>
                <w:webHidden/>
              </w:rPr>
              <w:instrText xml:space="preserve"> PAGEREF _Toc144474972 \h </w:instrText>
            </w:r>
            <w:r w:rsidR="00B65EC8">
              <w:rPr>
                <w:webHidden/>
              </w:rPr>
            </w:r>
            <w:r w:rsidR="00B65EC8">
              <w:rPr>
                <w:webHidden/>
              </w:rPr>
              <w:fldChar w:fldCharType="separate"/>
            </w:r>
            <w:r w:rsidR="008D4DBA">
              <w:rPr>
                <w:webHidden/>
              </w:rPr>
              <w:t>2</w:t>
            </w:r>
            <w:r w:rsidR="00B65EC8">
              <w:rPr>
                <w:webHidden/>
              </w:rPr>
              <w:fldChar w:fldCharType="end"/>
            </w:r>
          </w:hyperlink>
        </w:p>
        <w:p w14:paraId="3CBDEABF" w14:textId="6590F724" w:rsidR="00B65EC8" w:rsidRDefault="00390032" w:rsidP="00C53744">
          <w:pPr>
            <w:pStyle w:val="TOC2"/>
            <w:rPr>
              <w:rFonts w:eastAsiaTheme="minorEastAsia"/>
              <w:lang w:eastAsia="en-AU"/>
            </w:rPr>
          </w:pPr>
          <w:hyperlink w:anchor="_Toc144474973" w:history="1">
            <w:r w:rsidR="00B65EC8" w:rsidRPr="003E009A">
              <w:rPr>
                <w:rStyle w:val="Hyperlink"/>
              </w:rPr>
              <w:t>Government Response - 2017</w:t>
            </w:r>
            <w:r w:rsidR="00B65EC8">
              <w:rPr>
                <w:webHidden/>
              </w:rPr>
              <w:tab/>
            </w:r>
            <w:r w:rsidR="00B65EC8">
              <w:rPr>
                <w:webHidden/>
              </w:rPr>
              <w:fldChar w:fldCharType="begin"/>
            </w:r>
            <w:r w:rsidR="00B65EC8">
              <w:rPr>
                <w:webHidden/>
              </w:rPr>
              <w:instrText xml:space="preserve"> PAGEREF _Toc144474973 \h </w:instrText>
            </w:r>
            <w:r w:rsidR="00B65EC8">
              <w:rPr>
                <w:webHidden/>
              </w:rPr>
            </w:r>
            <w:r w:rsidR="00B65EC8">
              <w:rPr>
                <w:webHidden/>
              </w:rPr>
              <w:fldChar w:fldCharType="separate"/>
            </w:r>
            <w:r w:rsidR="008D4DBA">
              <w:rPr>
                <w:webHidden/>
              </w:rPr>
              <w:t>2</w:t>
            </w:r>
            <w:r w:rsidR="00B65EC8">
              <w:rPr>
                <w:webHidden/>
              </w:rPr>
              <w:fldChar w:fldCharType="end"/>
            </w:r>
          </w:hyperlink>
        </w:p>
        <w:p w14:paraId="5CE370F6" w14:textId="37BAF54E" w:rsidR="00B65EC8" w:rsidRDefault="00390032" w:rsidP="00C53744">
          <w:pPr>
            <w:pStyle w:val="TOC2"/>
            <w:rPr>
              <w:rFonts w:eastAsiaTheme="minorEastAsia"/>
              <w:lang w:eastAsia="en-AU"/>
            </w:rPr>
          </w:pPr>
          <w:hyperlink w:anchor="_Toc144474974" w:history="1">
            <w:r w:rsidR="00B65EC8" w:rsidRPr="003E009A">
              <w:rPr>
                <w:rStyle w:val="Hyperlink"/>
              </w:rPr>
              <w:t>Status update - 2022</w:t>
            </w:r>
            <w:r w:rsidR="00B65EC8">
              <w:rPr>
                <w:webHidden/>
              </w:rPr>
              <w:tab/>
            </w:r>
            <w:r w:rsidR="00B65EC8">
              <w:rPr>
                <w:webHidden/>
              </w:rPr>
              <w:fldChar w:fldCharType="begin"/>
            </w:r>
            <w:r w:rsidR="00B65EC8">
              <w:rPr>
                <w:webHidden/>
              </w:rPr>
              <w:instrText xml:space="preserve"> PAGEREF _Toc144474974 \h </w:instrText>
            </w:r>
            <w:r w:rsidR="00B65EC8">
              <w:rPr>
                <w:webHidden/>
              </w:rPr>
            </w:r>
            <w:r w:rsidR="00B65EC8">
              <w:rPr>
                <w:webHidden/>
              </w:rPr>
              <w:fldChar w:fldCharType="separate"/>
            </w:r>
            <w:r w:rsidR="008D4DBA">
              <w:rPr>
                <w:webHidden/>
              </w:rPr>
              <w:t>3</w:t>
            </w:r>
            <w:r w:rsidR="00B65EC8">
              <w:rPr>
                <w:webHidden/>
              </w:rPr>
              <w:fldChar w:fldCharType="end"/>
            </w:r>
          </w:hyperlink>
        </w:p>
        <w:p w14:paraId="1C716376" w14:textId="2C026510" w:rsidR="00B65EC8" w:rsidRDefault="00390032" w:rsidP="00C53744">
          <w:pPr>
            <w:pStyle w:val="TOC1"/>
            <w:rPr>
              <w:rFonts w:asciiTheme="minorHAnsi" w:eastAsiaTheme="minorEastAsia" w:hAnsiTheme="minorHAnsi"/>
              <w:color w:val="auto"/>
              <w:w w:val="100"/>
              <w:sz w:val="22"/>
              <w:lang w:eastAsia="en-AU"/>
            </w:rPr>
          </w:pPr>
          <w:hyperlink w:anchor="_Toc144474975" w:history="1">
            <w:r w:rsidR="00B65EC8" w:rsidRPr="003E009A">
              <w:rPr>
                <w:rStyle w:val="Hyperlink"/>
              </w:rPr>
              <w:t>3.</w:t>
            </w:r>
            <w:r w:rsidR="00B65EC8">
              <w:rPr>
                <w:rFonts w:asciiTheme="minorHAnsi" w:eastAsiaTheme="minorEastAsia" w:hAnsiTheme="minorHAnsi"/>
                <w:color w:val="auto"/>
                <w:w w:val="100"/>
                <w:sz w:val="22"/>
                <w:lang w:eastAsia="en-AU"/>
              </w:rPr>
              <w:tab/>
            </w:r>
            <w:r w:rsidR="00B65EC8" w:rsidRPr="003E009A">
              <w:rPr>
                <w:rStyle w:val="Hyperlink"/>
              </w:rPr>
              <w:t>Audit Report No. 7/2019: Referral processes for the support of vulnerable children</w:t>
            </w:r>
            <w:r w:rsidR="00B65EC8">
              <w:rPr>
                <w:webHidden/>
              </w:rPr>
              <w:tab/>
            </w:r>
            <w:r w:rsidR="00B65EC8">
              <w:rPr>
                <w:webHidden/>
              </w:rPr>
              <w:fldChar w:fldCharType="begin"/>
            </w:r>
            <w:r w:rsidR="00B65EC8">
              <w:rPr>
                <w:webHidden/>
              </w:rPr>
              <w:instrText xml:space="preserve"> PAGEREF _Toc144474975 \h </w:instrText>
            </w:r>
            <w:r w:rsidR="00B65EC8">
              <w:rPr>
                <w:webHidden/>
              </w:rPr>
            </w:r>
            <w:r w:rsidR="00B65EC8">
              <w:rPr>
                <w:webHidden/>
              </w:rPr>
              <w:fldChar w:fldCharType="separate"/>
            </w:r>
            <w:r w:rsidR="008D4DBA">
              <w:rPr>
                <w:webHidden/>
              </w:rPr>
              <w:t>5</w:t>
            </w:r>
            <w:r w:rsidR="00B65EC8">
              <w:rPr>
                <w:webHidden/>
              </w:rPr>
              <w:fldChar w:fldCharType="end"/>
            </w:r>
          </w:hyperlink>
        </w:p>
        <w:p w14:paraId="45017464" w14:textId="5EDB3B17" w:rsidR="00B65EC8" w:rsidRDefault="00390032" w:rsidP="00C53744">
          <w:pPr>
            <w:pStyle w:val="TOC2"/>
            <w:rPr>
              <w:rFonts w:eastAsiaTheme="minorEastAsia"/>
              <w:lang w:eastAsia="en-AU"/>
            </w:rPr>
          </w:pPr>
          <w:hyperlink w:anchor="_Toc144474976" w:history="1">
            <w:r w:rsidR="00B65EC8" w:rsidRPr="003E009A">
              <w:rPr>
                <w:rStyle w:val="Hyperlink"/>
              </w:rPr>
              <w:t>Government response - 2019</w:t>
            </w:r>
            <w:r w:rsidR="00B65EC8">
              <w:rPr>
                <w:webHidden/>
              </w:rPr>
              <w:tab/>
            </w:r>
            <w:r w:rsidR="00B65EC8">
              <w:rPr>
                <w:webHidden/>
              </w:rPr>
              <w:fldChar w:fldCharType="begin"/>
            </w:r>
            <w:r w:rsidR="00B65EC8">
              <w:rPr>
                <w:webHidden/>
              </w:rPr>
              <w:instrText xml:space="preserve"> PAGEREF _Toc144474976 \h </w:instrText>
            </w:r>
            <w:r w:rsidR="00B65EC8">
              <w:rPr>
                <w:webHidden/>
              </w:rPr>
            </w:r>
            <w:r w:rsidR="00B65EC8">
              <w:rPr>
                <w:webHidden/>
              </w:rPr>
              <w:fldChar w:fldCharType="separate"/>
            </w:r>
            <w:r w:rsidR="008D4DBA">
              <w:rPr>
                <w:webHidden/>
              </w:rPr>
              <w:t>6</w:t>
            </w:r>
            <w:r w:rsidR="00B65EC8">
              <w:rPr>
                <w:webHidden/>
              </w:rPr>
              <w:fldChar w:fldCharType="end"/>
            </w:r>
          </w:hyperlink>
        </w:p>
        <w:p w14:paraId="63DB07F4" w14:textId="3839D955" w:rsidR="00B65EC8" w:rsidRDefault="00390032" w:rsidP="00C53744">
          <w:pPr>
            <w:pStyle w:val="TOC2"/>
            <w:rPr>
              <w:rFonts w:eastAsiaTheme="minorEastAsia"/>
              <w:lang w:eastAsia="en-AU"/>
            </w:rPr>
          </w:pPr>
          <w:hyperlink w:anchor="_Toc144474977" w:history="1">
            <w:r w:rsidR="00B65EC8" w:rsidRPr="003E009A">
              <w:rPr>
                <w:rStyle w:val="Hyperlink"/>
              </w:rPr>
              <w:t>Status update – November 2022</w:t>
            </w:r>
            <w:r w:rsidR="00B65EC8">
              <w:rPr>
                <w:webHidden/>
              </w:rPr>
              <w:tab/>
            </w:r>
            <w:r w:rsidR="00B65EC8">
              <w:rPr>
                <w:webHidden/>
              </w:rPr>
              <w:fldChar w:fldCharType="begin"/>
            </w:r>
            <w:r w:rsidR="00B65EC8">
              <w:rPr>
                <w:webHidden/>
              </w:rPr>
              <w:instrText xml:space="preserve"> PAGEREF _Toc144474977 \h </w:instrText>
            </w:r>
            <w:r w:rsidR="00B65EC8">
              <w:rPr>
                <w:webHidden/>
              </w:rPr>
            </w:r>
            <w:r w:rsidR="00B65EC8">
              <w:rPr>
                <w:webHidden/>
              </w:rPr>
              <w:fldChar w:fldCharType="separate"/>
            </w:r>
            <w:r w:rsidR="008D4DBA">
              <w:rPr>
                <w:webHidden/>
              </w:rPr>
              <w:t>7</w:t>
            </w:r>
            <w:r w:rsidR="00B65EC8">
              <w:rPr>
                <w:webHidden/>
              </w:rPr>
              <w:fldChar w:fldCharType="end"/>
            </w:r>
          </w:hyperlink>
        </w:p>
        <w:p w14:paraId="64CCFD7F" w14:textId="0066CE62" w:rsidR="00B65EC8" w:rsidRDefault="00390032">
          <w:pPr>
            <w:pStyle w:val="TOC3"/>
            <w:rPr>
              <w:rFonts w:eastAsiaTheme="minorEastAsia"/>
              <w:lang w:eastAsia="en-AU"/>
            </w:rPr>
          </w:pPr>
          <w:hyperlink w:anchor="_Toc144474978" w:history="1">
            <w:r w:rsidR="00B65EC8" w:rsidRPr="003E009A">
              <w:rPr>
                <w:rStyle w:val="Hyperlink"/>
              </w:rPr>
              <w:t>Uptake of MACH services</w:t>
            </w:r>
            <w:r w:rsidR="00B65EC8">
              <w:rPr>
                <w:webHidden/>
              </w:rPr>
              <w:tab/>
            </w:r>
            <w:r w:rsidR="00B65EC8">
              <w:rPr>
                <w:webHidden/>
              </w:rPr>
              <w:fldChar w:fldCharType="begin"/>
            </w:r>
            <w:r w:rsidR="00B65EC8">
              <w:rPr>
                <w:webHidden/>
              </w:rPr>
              <w:instrText xml:space="preserve"> PAGEREF _Toc144474978 \h </w:instrText>
            </w:r>
            <w:r w:rsidR="00B65EC8">
              <w:rPr>
                <w:webHidden/>
              </w:rPr>
            </w:r>
            <w:r w:rsidR="00B65EC8">
              <w:rPr>
                <w:webHidden/>
              </w:rPr>
              <w:fldChar w:fldCharType="separate"/>
            </w:r>
            <w:r w:rsidR="008D4DBA">
              <w:rPr>
                <w:webHidden/>
              </w:rPr>
              <w:t>7</w:t>
            </w:r>
            <w:r w:rsidR="00B65EC8">
              <w:rPr>
                <w:webHidden/>
              </w:rPr>
              <w:fldChar w:fldCharType="end"/>
            </w:r>
          </w:hyperlink>
        </w:p>
        <w:p w14:paraId="2725D385" w14:textId="6D93C529" w:rsidR="00B65EC8" w:rsidRDefault="00390032">
          <w:pPr>
            <w:pStyle w:val="TOC3"/>
            <w:rPr>
              <w:rFonts w:eastAsiaTheme="minorEastAsia"/>
              <w:lang w:eastAsia="en-AU"/>
            </w:rPr>
          </w:pPr>
          <w:hyperlink w:anchor="_Toc144474979" w:history="1">
            <w:r w:rsidR="00B65EC8" w:rsidRPr="003E009A">
              <w:rPr>
                <w:rStyle w:val="Hyperlink"/>
              </w:rPr>
              <w:t>Health and developmental checks</w:t>
            </w:r>
            <w:r w:rsidR="00B65EC8">
              <w:rPr>
                <w:webHidden/>
              </w:rPr>
              <w:tab/>
            </w:r>
            <w:r w:rsidR="00B65EC8">
              <w:rPr>
                <w:webHidden/>
              </w:rPr>
              <w:fldChar w:fldCharType="begin"/>
            </w:r>
            <w:r w:rsidR="00B65EC8">
              <w:rPr>
                <w:webHidden/>
              </w:rPr>
              <w:instrText xml:space="preserve"> PAGEREF _Toc144474979 \h </w:instrText>
            </w:r>
            <w:r w:rsidR="00B65EC8">
              <w:rPr>
                <w:webHidden/>
              </w:rPr>
            </w:r>
            <w:r w:rsidR="00B65EC8">
              <w:rPr>
                <w:webHidden/>
              </w:rPr>
              <w:fldChar w:fldCharType="separate"/>
            </w:r>
            <w:r w:rsidR="008D4DBA">
              <w:rPr>
                <w:webHidden/>
              </w:rPr>
              <w:t>8</w:t>
            </w:r>
            <w:r w:rsidR="00B65EC8">
              <w:rPr>
                <w:webHidden/>
              </w:rPr>
              <w:fldChar w:fldCharType="end"/>
            </w:r>
          </w:hyperlink>
        </w:p>
        <w:p w14:paraId="71305BBF" w14:textId="635B4E83" w:rsidR="00B65EC8" w:rsidRDefault="00390032">
          <w:pPr>
            <w:pStyle w:val="TOC3"/>
            <w:rPr>
              <w:rFonts w:eastAsiaTheme="minorEastAsia"/>
              <w:lang w:eastAsia="en-AU"/>
            </w:rPr>
          </w:pPr>
          <w:hyperlink w:anchor="_Toc144474980" w:history="1">
            <w:r w:rsidR="00B65EC8" w:rsidRPr="003E009A">
              <w:rPr>
                <w:rStyle w:val="Hyperlink"/>
              </w:rPr>
              <w:t>Administrative guidance</w:t>
            </w:r>
            <w:r w:rsidR="00B65EC8">
              <w:rPr>
                <w:webHidden/>
              </w:rPr>
              <w:tab/>
            </w:r>
            <w:r w:rsidR="00B65EC8">
              <w:rPr>
                <w:webHidden/>
              </w:rPr>
              <w:fldChar w:fldCharType="begin"/>
            </w:r>
            <w:r w:rsidR="00B65EC8">
              <w:rPr>
                <w:webHidden/>
              </w:rPr>
              <w:instrText xml:space="preserve"> PAGEREF _Toc144474980 \h </w:instrText>
            </w:r>
            <w:r w:rsidR="00B65EC8">
              <w:rPr>
                <w:webHidden/>
              </w:rPr>
            </w:r>
            <w:r w:rsidR="00B65EC8">
              <w:rPr>
                <w:webHidden/>
              </w:rPr>
              <w:fldChar w:fldCharType="separate"/>
            </w:r>
            <w:r w:rsidR="008D4DBA">
              <w:rPr>
                <w:webHidden/>
              </w:rPr>
              <w:t>9</w:t>
            </w:r>
            <w:r w:rsidR="00B65EC8">
              <w:rPr>
                <w:webHidden/>
              </w:rPr>
              <w:fldChar w:fldCharType="end"/>
            </w:r>
          </w:hyperlink>
        </w:p>
        <w:p w14:paraId="673CA4B2" w14:textId="65751A80" w:rsidR="00B65EC8" w:rsidRDefault="00390032" w:rsidP="00C53744">
          <w:pPr>
            <w:pStyle w:val="TOC1"/>
            <w:rPr>
              <w:rFonts w:asciiTheme="minorHAnsi" w:eastAsiaTheme="minorEastAsia" w:hAnsiTheme="minorHAnsi"/>
              <w:color w:val="auto"/>
              <w:w w:val="100"/>
              <w:sz w:val="22"/>
              <w:lang w:eastAsia="en-AU"/>
            </w:rPr>
          </w:pPr>
          <w:hyperlink w:anchor="_Toc144474981" w:history="1">
            <w:r w:rsidR="00B65EC8" w:rsidRPr="003E009A">
              <w:rPr>
                <w:rStyle w:val="Hyperlink"/>
              </w:rPr>
              <w:t>4.</w:t>
            </w:r>
            <w:r w:rsidR="00B65EC8">
              <w:rPr>
                <w:rFonts w:asciiTheme="minorHAnsi" w:eastAsiaTheme="minorEastAsia" w:hAnsiTheme="minorHAnsi"/>
                <w:color w:val="auto"/>
                <w:w w:val="100"/>
                <w:sz w:val="22"/>
                <w:lang w:eastAsia="en-AU"/>
              </w:rPr>
              <w:tab/>
            </w:r>
            <w:r w:rsidR="00B65EC8" w:rsidRPr="003E009A">
              <w:rPr>
                <w:rStyle w:val="Hyperlink"/>
              </w:rPr>
              <w:t>Audit Report No. 6/2020: Transfer of workers’ compensation arrangements from Comcare</w:t>
            </w:r>
            <w:r w:rsidR="00B65EC8">
              <w:rPr>
                <w:webHidden/>
              </w:rPr>
              <w:tab/>
            </w:r>
            <w:r w:rsidR="00B65EC8">
              <w:rPr>
                <w:webHidden/>
              </w:rPr>
              <w:fldChar w:fldCharType="begin"/>
            </w:r>
            <w:r w:rsidR="00B65EC8">
              <w:rPr>
                <w:webHidden/>
              </w:rPr>
              <w:instrText xml:space="preserve"> PAGEREF _Toc144474981 \h </w:instrText>
            </w:r>
            <w:r w:rsidR="00B65EC8">
              <w:rPr>
                <w:webHidden/>
              </w:rPr>
            </w:r>
            <w:r w:rsidR="00B65EC8">
              <w:rPr>
                <w:webHidden/>
              </w:rPr>
              <w:fldChar w:fldCharType="separate"/>
            </w:r>
            <w:r w:rsidR="008D4DBA">
              <w:rPr>
                <w:webHidden/>
              </w:rPr>
              <w:t>11</w:t>
            </w:r>
            <w:r w:rsidR="00B65EC8">
              <w:rPr>
                <w:webHidden/>
              </w:rPr>
              <w:fldChar w:fldCharType="end"/>
            </w:r>
          </w:hyperlink>
        </w:p>
        <w:p w14:paraId="1C8739AD" w14:textId="3F2092F4" w:rsidR="00B65EC8" w:rsidRDefault="00390032" w:rsidP="00C53744">
          <w:pPr>
            <w:pStyle w:val="TOC2"/>
            <w:rPr>
              <w:rFonts w:eastAsiaTheme="minorEastAsia"/>
              <w:lang w:eastAsia="en-AU"/>
            </w:rPr>
          </w:pPr>
          <w:hyperlink w:anchor="_Toc144474982" w:history="1">
            <w:r w:rsidR="00B65EC8" w:rsidRPr="003E009A">
              <w:rPr>
                <w:rStyle w:val="Hyperlink"/>
              </w:rPr>
              <w:t>Background</w:t>
            </w:r>
            <w:r w:rsidR="00B65EC8">
              <w:rPr>
                <w:webHidden/>
              </w:rPr>
              <w:tab/>
            </w:r>
            <w:r w:rsidR="00B65EC8">
              <w:rPr>
                <w:webHidden/>
              </w:rPr>
              <w:fldChar w:fldCharType="begin"/>
            </w:r>
            <w:r w:rsidR="00B65EC8">
              <w:rPr>
                <w:webHidden/>
              </w:rPr>
              <w:instrText xml:space="preserve"> PAGEREF _Toc144474982 \h </w:instrText>
            </w:r>
            <w:r w:rsidR="00B65EC8">
              <w:rPr>
                <w:webHidden/>
              </w:rPr>
            </w:r>
            <w:r w:rsidR="00B65EC8">
              <w:rPr>
                <w:webHidden/>
              </w:rPr>
              <w:fldChar w:fldCharType="separate"/>
            </w:r>
            <w:r w:rsidR="008D4DBA">
              <w:rPr>
                <w:webHidden/>
              </w:rPr>
              <w:t>11</w:t>
            </w:r>
            <w:r w:rsidR="00B65EC8">
              <w:rPr>
                <w:webHidden/>
              </w:rPr>
              <w:fldChar w:fldCharType="end"/>
            </w:r>
          </w:hyperlink>
        </w:p>
        <w:p w14:paraId="0ABC62BD" w14:textId="5987E2BF" w:rsidR="00B65EC8" w:rsidRDefault="00390032" w:rsidP="00C53744">
          <w:pPr>
            <w:pStyle w:val="TOC2"/>
            <w:rPr>
              <w:rFonts w:eastAsiaTheme="minorEastAsia"/>
              <w:lang w:eastAsia="en-AU"/>
            </w:rPr>
          </w:pPr>
          <w:hyperlink w:anchor="_Toc144474983" w:history="1">
            <w:r w:rsidR="00B65EC8" w:rsidRPr="003E009A">
              <w:rPr>
                <w:rStyle w:val="Hyperlink"/>
              </w:rPr>
              <w:t>The audit</w:t>
            </w:r>
            <w:r w:rsidR="00B65EC8">
              <w:rPr>
                <w:webHidden/>
              </w:rPr>
              <w:tab/>
            </w:r>
            <w:r w:rsidR="00B65EC8">
              <w:rPr>
                <w:webHidden/>
              </w:rPr>
              <w:fldChar w:fldCharType="begin"/>
            </w:r>
            <w:r w:rsidR="00B65EC8">
              <w:rPr>
                <w:webHidden/>
              </w:rPr>
              <w:instrText xml:space="preserve"> PAGEREF _Toc144474983 \h </w:instrText>
            </w:r>
            <w:r w:rsidR="00B65EC8">
              <w:rPr>
                <w:webHidden/>
              </w:rPr>
            </w:r>
            <w:r w:rsidR="00B65EC8">
              <w:rPr>
                <w:webHidden/>
              </w:rPr>
              <w:fldChar w:fldCharType="separate"/>
            </w:r>
            <w:r w:rsidR="008D4DBA">
              <w:rPr>
                <w:webHidden/>
              </w:rPr>
              <w:t>12</w:t>
            </w:r>
            <w:r w:rsidR="00B65EC8">
              <w:rPr>
                <w:webHidden/>
              </w:rPr>
              <w:fldChar w:fldCharType="end"/>
            </w:r>
          </w:hyperlink>
        </w:p>
        <w:p w14:paraId="7824ABAC" w14:textId="5DFCFA5A" w:rsidR="00B65EC8" w:rsidRDefault="00390032" w:rsidP="00C53744">
          <w:pPr>
            <w:pStyle w:val="TOC2"/>
            <w:rPr>
              <w:rFonts w:eastAsiaTheme="minorEastAsia"/>
              <w:lang w:eastAsia="en-AU"/>
            </w:rPr>
          </w:pPr>
          <w:hyperlink w:anchor="_Toc144474984" w:history="1">
            <w:r w:rsidR="00B65EC8" w:rsidRPr="003E009A">
              <w:rPr>
                <w:rStyle w:val="Hyperlink"/>
              </w:rPr>
              <w:t>Government response to the audit</w:t>
            </w:r>
            <w:r w:rsidR="00B65EC8">
              <w:rPr>
                <w:webHidden/>
              </w:rPr>
              <w:tab/>
            </w:r>
            <w:r w:rsidR="00B65EC8">
              <w:rPr>
                <w:webHidden/>
              </w:rPr>
              <w:fldChar w:fldCharType="begin"/>
            </w:r>
            <w:r w:rsidR="00B65EC8">
              <w:rPr>
                <w:webHidden/>
              </w:rPr>
              <w:instrText xml:space="preserve"> PAGEREF _Toc144474984 \h </w:instrText>
            </w:r>
            <w:r w:rsidR="00B65EC8">
              <w:rPr>
                <w:webHidden/>
              </w:rPr>
            </w:r>
            <w:r w:rsidR="00B65EC8">
              <w:rPr>
                <w:webHidden/>
              </w:rPr>
              <w:fldChar w:fldCharType="separate"/>
            </w:r>
            <w:r w:rsidR="008D4DBA">
              <w:rPr>
                <w:webHidden/>
              </w:rPr>
              <w:t>13</w:t>
            </w:r>
            <w:r w:rsidR="00B65EC8">
              <w:rPr>
                <w:webHidden/>
              </w:rPr>
              <w:fldChar w:fldCharType="end"/>
            </w:r>
          </w:hyperlink>
        </w:p>
        <w:p w14:paraId="31DADC79" w14:textId="73D6B3DC" w:rsidR="00B65EC8" w:rsidRDefault="00390032" w:rsidP="00C53744">
          <w:pPr>
            <w:pStyle w:val="TOC2"/>
            <w:rPr>
              <w:rFonts w:eastAsiaTheme="minorEastAsia"/>
              <w:lang w:eastAsia="en-AU"/>
            </w:rPr>
          </w:pPr>
          <w:hyperlink w:anchor="_Toc144474985" w:history="1">
            <w:r w:rsidR="00B65EC8" w:rsidRPr="003E009A">
              <w:rPr>
                <w:rStyle w:val="Hyperlink"/>
              </w:rPr>
              <w:t>2021 Committee inquiry</w:t>
            </w:r>
            <w:r w:rsidR="00B65EC8">
              <w:rPr>
                <w:webHidden/>
              </w:rPr>
              <w:tab/>
            </w:r>
            <w:r w:rsidR="00B65EC8">
              <w:rPr>
                <w:webHidden/>
              </w:rPr>
              <w:fldChar w:fldCharType="begin"/>
            </w:r>
            <w:r w:rsidR="00B65EC8">
              <w:rPr>
                <w:webHidden/>
              </w:rPr>
              <w:instrText xml:space="preserve"> PAGEREF _Toc144474985 \h </w:instrText>
            </w:r>
            <w:r w:rsidR="00B65EC8">
              <w:rPr>
                <w:webHidden/>
              </w:rPr>
            </w:r>
            <w:r w:rsidR="00B65EC8">
              <w:rPr>
                <w:webHidden/>
              </w:rPr>
              <w:fldChar w:fldCharType="separate"/>
            </w:r>
            <w:r w:rsidR="008D4DBA">
              <w:rPr>
                <w:webHidden/>
              </w:rPr>
              <w:t>13</w:t>
            </w:r>
            <w:r w:rsidR="00B65EC8">
              <w:rPr>
                <w:webHidden/>
              </w:rPr>
              <w:fldChar w:fldCharType="end"/>
            </w:r>
          </w:hyperlink>
        </w:p>
        <w:p w14:paraId="3448D284" w14:textId="4EA1F3B7" w:rsidR="00B65EC8" w:rsidRDefault="00390032" w:rsidP="00C53744">
          <w:pPr>
            <w:pStyle w:val="TOC2"/>
            <w:rPr>
              <w:rFonts w:eastAsiaTheme="minorEastAsia"/>
              <w:lang w:eastAsia="en-AU"/>
            </w:rPr>
          </w:pPr>
          <w:hyperlink w:anchor="_Toc144474986" w:history="1">
            <w:r w:rsidR="00B65EC8" w:rsidRPr="003E009A">
              <w:rPr>
                <w:rStyle w:val="Hyperlink"/>
              </w:rPr>
              <w:t>Current Inquiry</w:t>
            </w:r>
            <w:r w:rsidR="00B65EC8">
              <w:rPr>
                <w:webHidden/>
              </w:rPr>
              <w:tab/>
            </w:r>
            <w:r w:rsidR="00B65EC8">
              <w:rPr>
                <w:webHidden/>
              </w:rPr>
              <w:fldChar w:fldCharType="begin"/>
            </w:r>
            <w:r w:rsidR="00B65EC8">
              <w:rPr>
                <w:webHidden/>
              </w:rPr>
              <w:instrText xml:space="preserve"> PAGEREF _Toc144474986 \h </w:instrText>
            </w:r>
            <w:r w:rsidR="00B65EC8">
              <w:rPr>
                <w:webHidden/>
              </w:rPr>
            </w:r>
            <w:r w:rsidR="00B65EC8">
              <w:rPr>
                <w:webHidden/>
              </w:rPr>
              <w:fldChar w:fldCharType="separate"/>
            </w:r>
            <w:r w:rsidR="008D4DBA">
              <w:rPr>
                <w:webHidden/>
              </w:rPr>
              <w:t>14</w:t>
            </w:r>
            <w:r w:rsidR="00B65EC8">
              <w:rPr>
                <w:webHidden/>
              </w:rPr>
              <w:fldChar w:fldCharType="end"/>
            </w:r>
          </w:hyperlink>
        </w:p>
        <w:p w14:paraId="68C0F382" w14:textId="0FBB5CCC" w:rsidR="00B65EC8" w:rsidRDefault="00390032" w:rsidP="00C53744">
          <w:pPr>
            <w:pStyle w:val="TOC1"/>
            <w:rPr>
              <w:rFonts w:asciiTheme="minorHAnsi" w:eastAsiaTheme="minorEastAsia" w:hAnsiTheme="minorHAnsi"/>
              <w:color w:val="auto"/>
              <w:w w:val="100"/>
              <w:sz w:val="22"/>
              <w:lang w:eastAsia="en-AU"/>
            </w:rPr>
          </w:pPr>
          <w:hyperlink w:anchor="_Toc144474987" w:history="1">
            <w:r w:rsidR="00B65EC8" w:rsidRPr="003E009A">
              <w:rPr>
                <w:rStyle w:val="Hyperlink"/>
              </w:rPr>
              <w:t>5.</w:t>
            </w:r>
            <w:r w:rsidR="00B65EC8">
              <w:rPr>
                <w:rFonts w:asciiTheme="minorHAnsi" w:eastAsiaTheme="minorEastAsia" w:hAnsiTheme="minorHAnsi"/>
                <w:color w:val="auto"/>
                <w:w w:val="100"/>
                <w:sz w:val="22"/>
                <w:lang w:eastAsia="en-AU"/>
              </w:rPr>
              <w:tab/>
            </w:r>
            <w:r w:rsidR="00B65EC8" w:rsidRPr="003E009A">
              <w:rPr>
                <w:rStyle w:val="Hyperlink"/>
              </w:rPr>
              <w:t>Conclusion</w:t>
            </w:r>
            <w:r w:rsidR="00B65EC8">
              <w:rPr>
                <w:webHidden/>
              </w:rPr>
              <w:tab/>
            </w:r>
            <w:r w:rsidR="00B65EC8">
              <w:rPr>
                <w:webHidden/>
              </w:rPr>
              <w:fldChar w:fldCharType="begin"/>
            </w:r>
            <w:r w:rsidR="00B65EC8">
              <w:rPr>
                <w:webHidden/>
              </w:rPr>
              <w:instrText xml:space="preserve"> PAGEREF _Toc144474987 \h </w:instrText>
            </w:r>
            <w:r w:rsidR="00B65EC8">
              <w:rPr>
                <w:webHidden/>
              </w:rPr>
            </w:r>
            <w:r w:rsidR="00B65EC8">
              <w:rPr>
                <w:webHidden/>
              </w:rPr>
              <w:fldChar w:fldCharType="separate"/>
            </w:r>
            <w:r w:rsidR="008D4DBA">
              <w:rPr>
                <w:webHidden/>
              </w:rPr>
              <w:t>15</w:t>
            </w:r>
            <w:r w:rsidR="00B65EC8">
              <w:rPr>
                <w:webHidden/>
              </w:rPr>
              <w:fldChar w:fldCharType="end"/>
            </w:r>
          </w:hyperlink>
        </w:p>
        <w:p w14:paraId="4D4AAF19" w14:textId="3906634F" w:rsidR="00B65EC8" w:rsidRDefault="00390032" w:rsidP="00C53744">
          <w:pPr>
            <w:pStyle w:val="TOC1"/>
            <w:rPr>
              <w:rFonts w:asciiTheme="minorHAnsi" w:eastAsiaTheme="minorEastAsia" w:hAnsiTheme="minorHAnsi"/>
              <w:color w:val="auto"/>
              <w:w w:val="100"/>
              <w:sz w:val="22"/>
              <w:lang w:eastAsia="en-AU"/>
            </w:rPr>
          </w:pPr>
          <w:hyperlink w:anchor="_Toc144474988" w:history="1">
            <w:r w:rsidR="00B65EC8" w:rsidRPr="003E009A">
              <w:rPr>
                <w:rStyle w:val="Hyperlink"/>
              </w:rPr>
              <w:t>Appendix A: Submissions</w:t>
            </w:r>
            <w:r w:rsidR="00B65EC8">
              <w:rPr>
                <w:webHidden/>
              </w:rPr>
              <w:tab/>
            </w:r>
            <w:r w:rsidR="00B65EC8">
              <w:rPr>
                <w:webHidden/>
              </w:rPr>
              <w:fldChar w:fldCharType="begin"/>
            </w:r>
            <w:r w:rsidR="00B65EC8">
              <w:rPr>
                <w:webHidden/>
              </w:rPr>
              <w:instrText xml:space="preserve"> PAGEREF _Toc144474988 \h </w:instrText>
            </w:r>
            <w:r w:rsidR="00B65EC8">
              <w:rPr>
                <w:webHidden/>
              </w:rPr>
            </w:r>
            <w:r w:rsidR="00B65EC8">
              <w:rPr>
                <w:webHidden/>
              </w:rPr>
              <w:fldChar w:fldCharType="separate"/>
            </w:r>
            <w:r w:rsidR="008D4DBA">
              <w:rPr>
                <w:webHidden/>
              </w:rPr>
              <w:t>16</w:t>
            </w:r>
            <w:r w:rsidR="00B65EC8">
              <w:rPr>
                <w:webHidden/>
              </w:rPr>
              <w:fldChar w:fldCharType="end"/>
            </w:r>
          </w:hyperlink>
        </w:p>
        <w:p w14:paraId="1E1CDF38" w14:textId="452C2900" w:rsidR="008A6130" w:rsidRDefault="008A6130" w:rsidP="003C3CF9">
          <w:r>
            <w:rPr>
              <w:b/>
              <w:bCs/>
              <w:noProof/>
            </w:rPr>
            <w:fldChar w:fldCharType="end"/>
          </w:r>
        </w:p>
      </w:sdtContent>
    </w:sdt>
    <w:p w14:paraId="1484D337" w14:textId="4965D020" w:rsidR="00BB2DBE" w:rsidRDefault="00BB2DBE" w:rsidP="000B25EC">
      <w:pPr>
        <w:pStyle w:val="Heading1nonumber"/>
      </w:pPr>
      <w:bookmarkStart w:id="9" w:name="_Toc128494029"/>
      <w:bookmarkStart w:id="10" w:name="_Toc135387351"/>
      <w:bookmarkStart w:id="11" w:name="_Toc144474969"/>
      <w:bookmarkStart w:id="12" w:name="_Toc79133347"/>
      <w:bookmarkStart w:id="13" w:name="_Hlk79475490"/>
      <w:r>
        <w:lastRenderedPageBreak/>
        <w:t>Acronyms</w:t>
      </w:r>
      <w:bookmarkEnd w:id="9"/>
      <w:bookmarkEnd w:id="10"/>
      <w:bookmarkEnd w:id="11"/>
      <w:r w:rsidR="00B65EC8">
        <w:t xml:space="preserve"> and abbreviations</w:t>
      </w:r>
    </w:p>
    <w:tbl>
      <w:tblPr>
        <w:tblStyle w:val="Assemblystyletable"/>
        <w:tblW w:w="0" w:type="auto"/>
        <w:tblLook w:val="04A0" w:firstRow="1" w:lastRow="0" w:firstColumn="1" w:lastColumn="0" w:noHBand="0" w:noVBand="1"/>
      </w:tblPr>
      <w:tblGrid>
        <w:gridCol w:w="1843"/>
        <w:gridCol w:w="7183"/>
      </w:tblGrid>
      <w:tr w:rsidR="00BB2DBE" w14:paraId="7AFC93AF" w14:textId="77777777" w:rsidTr="00AF4B7D">
        <w:trPr>
          <w:cnfStyle w:val="100000000000" w:firstRow="1" w:lastRow="0" w:firstColumn="0" w:lastColumn="0" w:oddVBand="0" w:evenVBand="0" w:oddHBand="0" w:evenHBand="0" w:firstRowFirstColumn="0" w:firstRowLastColumn="0" w:lastRowFirstColumn="0" w:lastRowLastColumn="0"/>
        </w:trPr>
        <w:tc>
          <w:tcPr>
            <w:tcW w:w="1843" w:type="dxa"/>
          </w:tcPr>
          <w:p w14:paraId="46A7B288" w14:textId="77777777" w:rsidR="00BB2DBE" w:rsidRDefault="00BB2DBE" w:rsidP="00AF4B7D">
            <w:pPr>
              <w:pStyle w:val="Tableheading"/>
            </w:pPr>
            <w:r>
              <w:t>Acronym</w:t>
            </w:r>
          </w:p>
        </w:tc>
        <w:tc>
          <w:tcPr>
            <w:tcW w:w="7183" w:type="dxa"/>
          </w:tcPr>
          <w:p w14:paraId="2A78E52C" w14:textId="77777777" w:rsidR="00BB2DBE" w:rsidRDefault="00BB2DBE" w:rsidP="00AF4B7D">
            <w:pPr>
              <w:pStyle w:val="Tableheading"/>
            </w:pPr>
            <w:r>
              <w:t>Long form</w:t>
            </w:r>
          </w:p>
        </w:tc>
      </w:tr>
      <w:tr w:rsidR="00B65EC8" w14:paraId="73A9A19A" w14:textId="77777777" w:rsidTr="00AF4B7D">
        <w:trPr>
          <w:cnfStyle w:val="000000100000" w:firstRow="0" w:lastRow="0" w:firstColumn="0" w:lastColumn="0" w:oddVBand="0" w:evenVBand="0" w:oddHBand="1" w:evenHBand="0" w:firstRowFirstColumn="0" w:firstRowLastColumn="0" w:lastRowFirstColumn="0" w:lastRowLastColumn="0"/>
        </w:trPr>
        <w:tc>
          <w:tcPr>
            <w:tcW w:w="1843" w:type="dxa"/>
          </w:tcPr>
          <w:p w14:paraId="56ED57A6" w14:textId="5DBF2E32" w:rsidR="00B65EC8" w:rsidRDefault="00B65EC8" w:rsidP="00AF4B7D">
            <w:pPr>
              <w:pStyle w:val="Tablebody"/>
            </w:pPr>
            <w:r>
              <w:t>ACT</w:t>
            </w:r>
          </w:p>
        </w:tc>
        <w:tc>
          <w:tcPr>
            <w:tcW w:w="7183" w:type="dxa"/>
          </w:tcPr>
          <w:p w14:paraId="6A48531E" w14:textId="7FC5769C" w:rsidR="00B65EC8" w:rsidRDefault="00B65EC8" w:rsidP="00AF4B7D">
            <w:pPr>
              <w:pStyle w:val="Tablebody"/>
            </w:pPr>
            <w:r>
              <w:t>Australian Capital Territory</w:t>
            </w:r>
          </w:p>
        </w:tc>
      </w:tr>
      <w:tr w:rsidR="00895311" w14:paraId="0F356A7F" w14:textId="77777777" w:rsidTr="00AF4B7D">
        <w:trPr>
          <w:cnfStyle w:val="000000010000" w:firstRow="0" w:lastRow="0" w:firstColumn="0" w:lastColumn="0" w:oddVBand="0" w:evenVBand="0" w:oddHBand="0" w:evenHBand="1" w:firstRowFirstColumn="0" w:firstRowLastColumn="0" w:lastRowFirstColumn="0" w:lastRowLastColumn="0"/>
        </w:trPr>
        <w:tc>
          <w:tcPr>
            <w:tcW w:w="1843" w:type="dxa"/>
          </w:tcPr>
          <w:p w14:paraId="0822755E" w14:textId="3713D999" w:rsidR="00895311" w:rsidRDefault="00895311" w:rsidP="00AF4B7D">
            <w:pPr>
              <w:pStyle w:val="Tablebody"/>
            </w:pPr>
            <w:r>
              <w:t>Auditor-General</w:t>
            </w:r>
          </w:p>
        </w:tc>
        <w:tc>
          <w:tcPr>
            <w:tcW w:w="7183" w:type="dxa"/>
          </w:tcPr>
          <w:p w14:paraId="2CFD5F15" w14:textId="2DF3DC77" w:rsidR="00895311" w:rsidRPr="007C5493" w:rsidRDefault="00895311" w:rsidP="00AF4B7D">
            <w:pPr>
              <w:pStyle w:val="Tablebody"/>
            </w:pPr>
            <w:r>
              <w:t>The A</w:t>
            </w:r>
            <w:r w:rsidR="00F93F81">
              <w:t>CT</w:t>
            </w:r>
            <w:r>
              <w:t xml:space="preserve"> Auditor-General </w:t>
            </w:r>
          </w:p>
        </w:tc>
      </w:tr>
      <w:tr w:rsidR="004676E7" w14:paraId="48C75F4C" w14:textId="77777777" w:rsidTr="00AF4B7D">
        <w:trPr>
          <w:cnfStyle w:val="000000100000" w:firstRow="0" w:lastRow="0" w:firstColumn="0" w:lastColumn="0" w:oddVBand="0" w:evenVBand="0" w:oddHBand="1" w:evenHBand="0" w:firstRowFirstColumn="0" w:firstRowLastColumn="0" w:lastRowFirstColumn="0" w:lastRowLastColumn="0"/>
        </w:trPr>
        <w:tc>
          <w:tcPr>
            <w:tcW w:w="1843" w:type="dxa"/>
          </w:tcPr>
          <w:p w14:paraId="5E633918" w14:textId="38A2C695" w:rsidR="004676E7" w:rsidRDefault="004676E7" w:rsidP="00AF4B7D">
            <w:pPr>
              <w:pStyle w:val="Tablebody"/>
            </w:pPr>
            <w:r w:rsidRPr="0038378C">
              <w:t>CMTEDD</w:t>
            </w:r>
          </w:p>
        </w:tc>
        <w:tc>
          <w:tcPr>
            <w:tcW w:w="7183" w:type="dxa"/>
          </w:tcPr>
          <w:p w14:paraId="1F9240A9" w14:textId="318B20B6" w:rsidR="004676E7" w:rsidRDefault="004676E7" w:rsidP="00AF4B7D">
            <w:pPr>
              <w:pStyle w:val="Tablebody"/>
            </w:pPr>
            <w:r>
              <w:t>Chief Minister, Treasury</w:t>
            </w:r>
            <w:r w:rsidR="002E0C66">
              <w:t xml:space="preserve"> and Economic Development Directorate</w:t>
            </w:r>
          </w:p>
        </w:tc>
      </w:tr>
      <w:tr w:rsidR="00B65EC8" w14:paraId="089AD3A1" w14:textId="77777777" w:rsidTr="00AF4B7D">
        <w:trPr>
          <w:cnfStyle w:val="000000010000" w:firstRow="0" w:lastRow="0" w:firstColumn="0" w:lastColumn="0" w:oddVBand="0" w:evenVBand="0" w:oddHBand="0" w:evenHBand="1" w:firstRowFirstColumn="0" w:firstRowLastColumn="0" w:lastRowFirstColumn="0" w:lastRowLastColumn="0"/>
        </w:trPr>
        <w:tc>
          <w:tcPr>
            <w:tcW w:w="1843" w:type="dxa"/>
          </w:tcPr>
          <w:p w14:paraId="709BDE45" w14:textId="4B8BCAE7" w:rsidR="00B65EC8" w:rsidRPr="0038378C" w:rsidRDefault="00B65EC8" w:rsidP="00AF4B7D">
            <w:pPr>
              <w:pStyle w:val="Tablebody"/>
            </w:pPr>
            <w:r>
              <w:t>The Committee</w:t>
            </w:r>
          </w:p>
        </w:tc>
        <w:tc>
          <w:tcPr>
            <w:tcW w:w="7183" w:type="dxa"/>
          </w:tcPr>
          <w:p w14:paraId="26AAFC39" w14:textId="17E07171" w:rsidR="00B65EC8" w:rsidRDefault="00B65EC8" w:rsidP="00AF4B7D">
            <w:pPr>
              <w:pStyle w:val="Tablebody"/>
            </w:pPr>
            <w:r>
              <w:t>Standing Committee on Public Accounts</w:t>
            </w:r>
          </w:p>
        </w:tc>
      </w:tr>
      <w:tr w:rsidR="00606A13" w14:paraId="029F4581" w14:textId="77777777" w:rsidTr="00AF4B7D">
        <w:trPr>
          <w:cnfStyle w:val="000000100000" w:firstRow="0" w:lastRow="0" w:firstColumn="0" w:lastColumn="0" w:oddVBand="0" w:evenVBand="0" w:oddHBand="1" w:evenHBand="0" w:firstRowFirstColumn="0" w:firstRowLastColumn="0" w:lastRowFirstColumn="0" w:lastRowLastColumn="0"/>
        </w:trPr>
        <w:tc>
          <w:tcPr>
            <w:tcW w:w="1843" w:type="dxa"/>
          </w:tcPr>
          <w:p w14:paraId="756230BA" w14:textId="74D6C8AC" w:rsidR="00606A13" w:rsidRDefault="00606A13" w:rsidP="00AF4B7D">
            <w:pPr>
              <w:pStyle w:val="Tablebody"/>
            </w:pPr>
            <w:r>
              <w:t>DHR</w:t>
            </w:r>
          </w:p>
        </w:tc>
        <w:tc>
          <w:tcPr>
            <w:tcW w:w="7183" w:type="dxa"/>
          </w:tcPr>
          <w:p w14:paraId="52F4564A" w14:textId="42E39668" w:rsidR="00606A13" w:rsidRPr="007C5493" w:rsidRDefault="00606A13" w:rsidP="00AF4B7D">
            <w:pPr>
              <w:pStyle w:val="Tablebody"/>
            </w:pPr>
            <w:r w:rsidRPr="007C5493">
              <w:t>Digital Health Record</w:t>
            </w:r>
          </w:p>
        </w:tc>
      </w:tr>
      <w:tr w:rsidR="001C024B" w14:paraId="3B65901B" w14:textId="77777777" w:rsidTr="00AF4B7D">
        <w:trPr>
          <w:cnfStyle w:val="000000010000" w:firstRow="0" w:lastRow="0" w:firstColumn="0" w:lastColumn="0" w:oddVBand="0" w:evenVBand="0" w:oddHBand="0" w:evenHBand="1" w:firstRowFirstColumn="0" w:firstRowLastColumn="0" w:lastRowFirstColumn="0" w:lastRowLastColumn="0"/>
        </w:trPr>
        <w:tc>
          <w:tcPr>
            <w:tcW w:w="1843" w:type="dxa"/>
          </w:tcPr>
          <w:p w14:paraId="11CA35B7" w14:textId="50EBF549" w:rsidR="001C024B" w:rsidRDefault="001C024B" w:rsidP="00AF4B7D">
            <w:pPr>
              <w:pStyle w:val="Tablebody"/>
            </w:pPr>
            <w:r>
              <w:t>GP</w:t>
            </w:r>
          </w:p>
        </w:tc>
        <w:tc>
          <w:tcPr>
            <w:tcW w:w="7183" w:type="dxa"/>
          </w:tcPr>
          <w:p w14:paraId="157B6F32" w14:textId="051C4CEF" w:rsidR="001C024B" w:rsidRPr="007C5493" w:rsidRDefault="001C024B" w:rsidP="00AF4B7D">
            <w:pPr>
              <w:pStyle w:val="Tablebody"/>
            </w:pPr>
            <w:r>
              <w:t>General practitioner</w:t>
            </w:r>
          </w:p>
        </w:tc>
      </w:tr>
      <w:tr w:rsidR="000663A1" w14:paraId="156B86DD" w14:textId="77777777" w:rsidTr="00AF4B7D">
        <w:trPr>
          <w:cnfStyle w:val="000000100000" w:firstRow="0" w:lastRow="0" w:firstColumn="0" w:lastColumn="0" w:oddVBand="0" w:evenVBand="0" w:oddHBand="1" w:evenHBand="0" w:firstRowFirstColumn="0" w:firstRowLastColumn="0" w:lastRowFirstColumn="0" w:lastRowLastColumn="0"/>
        </w:trPr>
        <w:tc>
          <w:tcPr>
            <w:tcW w:w="1843" w:type="dxa"/>
          </w:tcPr>
          <w:p w14:paraId="7F4BE0B8" w14:textId="5A17AE8E" w:rsidR="000663A1" w:rsidRDefault="000663A1" w:rsidP="00AF4B7D">
            <w:pPr>
              <w:pStyle w:val="Tablebody"/>
            </w:pPr>
            <w:r>
              <w:t>km</w:t>
            </w:r>
          </w:p>
        </w:tc>
        <w:tc>
          <w:tcPr>
            <w:tcW w:w="7183" w:type="dxa"/>
          </w:tcPr>
          <w:p w14:paraId="1CF8F213" w14:textId="4E5721FD" w:rsidR="000663A1" w:rsidRPr="007C5493" w:rsidRDefault="000663A1" w:rsidP="00AF4B7D">
            <w:pPr>
              <w:pStyle w:val="Tablebody"/>
            </w:pPr>
            <w:r>
              <w:t>Kilometre(s)</w:t>
            </w:r>
          </w:p>
        </w:tc>
      </w:tr>
      <w:tr w:rsidR="00C977DC" w14:paraId="7562A076" w14:textId="77777777" w:rsidTr="00AF4B7D">
        <w:trPr>
          <w:cnfStyle w:val="000000010000" w:firstRow="0" w:lastRow="0" w:firstColumn="0" w:lastColumn="0" w:oddVBand="0" w:evenVBand="0" w:oddHBand="0" w:evenHBand="1" w:firstRowFirstColumn="0" w:firstRowLastColumn="0" w:lastRowFirstColumn="0" w:lastRowLastColumn="0"/>
        </w:trPr>
        <w:tc>
          <w:tcPr>
            <w:tcW w:w="1843" w:type="dxa"/>
          </w:tcPr>
          <w:p w14:paraId="02FF36E2" w14:textId="679E7373" w:rsidR="00C977DC" w:rsidRDefault="00C977DC" w:rsidP="00AF4B7D">
            <w:pPr>
              <w:pStyle w:val="Tablebody"/>
            </w:pPr>
            <w:r>
              <w:t>M</w:t>
            </w:r>
            <w:r w:rsidR="005D2316">
              <w:t>O</w:t>
            </w:r>
            <w:r>
              <w:t>C</w:t>
            </w:r>
          </w:p>
        </w:tc>
        <w:tc>
          <w:tcPr>
            <w:tcW w:w="7183" w:type="dxa"/>
          </w:tcPr>
          <w:p w14:paraId="13E939FF" w14:textId="6ED3A99E" w:rsidR="00C977DC" w:rsidRDefault="00C977DC" w:rsidP="00AF4B7D">
            <w:pPr>
              <w:pStyle w:val="Tablebody"/>
            </w:pPr>
            <w:r>
              <w:t>Model of Care</w:t>
            </w:r>
          </w:p>
        </w:tc>
      </w:tr>
      <w:tr w:rsidR="00EA5E42" w14:paraId="35373B5E" w14:textId="77777777" w:rsidTr="00AF4B7D">
        <w:trPr>
          <w:cnfStyle w:val="000000100000" w:firstRow="0" w:lastRow="0" w:firstColumn="0" w:lastColumn="0" w:oddVBand="0" w:evenVBand="0" w:oddHBand="1" w:evenHBand="0" w:firstRowFirstColumn="0" w:firstRowLastColumn="0" w:lastRowFirstColumn="0" w:lastRowLastColumn="0"/>
        </w:trPr>
        <w:tc>
          <w:tcPr>
            <w:tcW w:w="1843" w:type="dxa"/>
          </w:tcPr>
          <w:p w14:paraId="1B854233" w14:textId="649318BB" w:rsidR="00EA5E42" w:rsidRDefault="00EA5E42" w:rsidP="00AF4B7D">
            <w:pPr>
              <w:pStyle w:val="Tablebody"/>
            </w:pPr>
            <w:r>
              <w:t>MACH</w:t>
            </w:r>
          </w:p>
        </w:tc>
        <w:tc>
          <w:tcPr>
            <w:tcW w:w="7183" w:type="dxa"/>
          </w:tcPr>
          <w:p w14:paraId="62496868" w14:textId="67179592" w:rsidR="00EA5E42" w:rsidRDefault="00EA5E42" w:rsidP="00AF4B7D">
            <w:pPr>
              <w:pStyle w:val="Tablebody"/>
            </w:pPr>
            <w:r>
              <w:t>Maternal and Child Health service</w:t>
            </w:r>
          </w:p>
        </w:tc>
      </w:tr>
      <w:tr w:rsidR="00B65EC8" w14:paraId="648B97CA" w14:textId="77777777" w:rsidTr="00AF4B7D">
        <w:trPr>
          <w:cnfStyle w:val="000000010000" w:firstRow="0" w:lastRow="0" w:firstColumn="0" w:lastColumn="0" w:oddVBand="0" w:evenVBand="0" w:oddHBand="0" w:evenHBand="1" w:firstRowFirstColumn="0" w:firstRowLastColumn="0" w:lastRowFirstColumn="0" w:lastRowLastColumn="0"/>
        </w:trPr>
        <w:tc>
          <w:tcPr>
            <w:tcW w:w="1843" w:type="dxa"/>
          </w:tcPr>
          <w:p w14:paraId="17E556D7" w14:textId="1F2C6530" w:rsidR="00B65EC8" w:rsidRDefault="00B65EC8" w:rsidP="00AF4B7D">
            <w:pPr>
              <w:pStyle w:val="Tablebody"/>
            </w:pPr>
            <w:r>
              <w:t>MLA</w:t>
            </w:r>
          </w:p>
        </w:tc>
        <w:tc>
          <w:tcPr>
            <w:tcW w:w="7183" w:type="dxa"/>
          </w:tcPr>
          <w:p w14:paraId="54413498" w14:textId="13AE8158" w:rsidR="00B65EC8" w:rsidRDefault="00B65EC8" w:rsidP="00AF4B7D">
            <w:pPr>
              <w:pStyle w:val="Tablebody"/>
            </w:pPr>
            <w:r>
              <w:t>Member of the Legislative Assembly</w:t>
            </w:r>
          </w:p>
        </w:tc>
      </w:tr>
      <w:tr w:rsidR="00BB2DBE" w14:paraId="1A02F8C4" w14:textId="77777777" w:rsidTr="00AF4B7D">
        <w:trPr>
          <w:cnfStyle w:val="000000100000" w:firstRow="0" w:lastRow="0" w:firstColumn="0" w:lastColumn="0" w:oddVBand="0" w:evenVBand="0" w:oddHBand="1" w:evenHBand="0" w:firstRowFirstColumn="0" w:firstRowLastColumn="0" w:lastRowFirstColumn="0" w:lastRowLastColumn="0"/>
        </w:trPr>
        <w:tc>
          <w:tcPr>
            <w:tcW w:w="1843" w:type="dxa"/>
          </w:tcPr>
          <w:p w14:paraId="46BAA473" w14:textId="615C7491" w:rsidR="00BB2DBE" w:rsidRDefault="00E35401" w:rsidP="00AF4B7D">
            <w:pPr>
              <w:pStyle w:val="Tablebody"/>
            </w:pPr>
            <w:r>
              <w:t>PSWCF Act</w:t>
            </w:r>
          </w:p>
        </w:tc>
        <w:tc>
          <w:tcPr>
            <w:tcW w:w="7183" w:type="dxa"/>
          </w:tcPr>
          <w:p w14:paraId="01439DA2" w14:textId="5C9D7A1C" w:rsidR="00BB2DBE" w:rsidRDefault="00E35401" w:rsidP="00AF4B7D">
            <w:pPr>
              <w:pStyle w:val="Tablebody"/>
            </w:pPr>
            <w:r w:rsidRPr="00111E1F">
              <w:rPr>
                <w:i/>
                <w:iCs/>
              </w:rPr>
              <w:t>Public Sector Workers Compensation Fund Act 2018</w:t>
            </w:r>
          </w:p>
        </w:tc>
      </w:tr>
      <w:tr w:rsidR="00737214" w14:paraId="0A7C79CF" w14:textId="77777777" w:rsidTr="00AF4B7D">
        <w:trPr>
          <w:cnfStyle w:val="000000010000" w:firstRow="0" w:lastRow="0" w:firstColumn="0" w:lastColumn="0" w:oddVBand="0" w:evenVBand="0" w:oddHBand="0" w:evenHBand="1" w:firstRowFirstColumn="0" w:firstRowLastColumn="0" w:lastRowFirstColumn="0" w:lastRowLastColumn="0"/>
        </w:trPr>
        <w:tc>
          <w:tcPr>
            <w:tcW w:w="1843" w:type="dxa"/>
          </w:tcPr>
          <w:p w14:paraId="4C5916F8" w14:textId="041E088E" w:rsidR="00737214" w:rsidRDefault="00737214" w:rsidP="00AF4B7D">
            <w:pPr>
              <w:pStyle w:val="Tablebody"/>
            </w:pPr>
            <w:r>
              <w:t>PSWC Fund</w:t>
            </w:r>
          </w:p>
        </w:tc>
        <w:tc>
          <w:tcPr>
            <w:tcW w:w="7183" w:type="dxa"/>
          </w:tcPr>
          <w:p w14:paraId="10D3053C" w14:textId="5033E483" w:rsidR="00737214" w:rsidRPr="00111E1F" w:rsidRDefault="00737214" w:rsidP="00AF4B7D">
            <w:pPr>
              <w:pStyle w:val="Tablebody"/>
              <w:rPr>
                <w:i/>
                <w:iCs/>
              </w:rPr>
            </w:pPr>
            <w:r>
              <w:t>Public Sector Workers Compensation Fund</w:t>
            </w:r>
          </w:p>
        </w:tc>
      </w:tr>
      <w:tr w:rsidR="00B95E7D" w14:paraId="3DD0C7C4" w14:textId="77777777" w:rsidTr="00AF4B7D">
        <w:trPr>
          <w:cnfStyle w:val="000000100000" w:firstRow="0" w:lastRow="0" w:firstColumn="0" w:lastColumn="0" w:oddVBand="0" w:evenVBand="0" w:oddHBand="1" w:evenHBand="0" w:firstRowFirstColumn="0" w:firstRowLastColumn="0" w:lastRowFirstColumn="0" w:lastRowLastColumn="0"/>
        </w:trPr>
        <w:tc>
          <w:tcPr>
            <w:tcW w:w="1843" w:type="dxa"/>
          </w:tcPr>
          <w:p w14:paraId="07AA3C84" w14:textId="1F17C6CE" w:rsidR="00B95E7D" w:rsidRDefault="00B95E7D" w:rsidP="00AF4B7D">
            <w:pPr>
              <w:pStyle w:val="Tablebody"/>
            </w:pPr>
            <w:r>
              <w:t>SRC Act</w:t>
            </w:r>
          </w:p>
        </w:tc>
        <w:tc>
          <w:tcPr>
            <w:tcW w:w="7183" w:type="dxa"/>
          </w:tcPr>
          <w:p w14:paraId="28E03EAA" w14:textId="0EF5C7C7" w:rsidR="00B95E7D" w:rsidRDefault="00B95E7D" w:rsidP="00AF4B7D">
            <w:pPr>
              <w:pStyle w:val="Tablebody"/>
            </w:pPr>
            <w:r>
              <w:rPr>
                <w:i/>
                <w:iCs/>
                <w:szCs w:val="22"/>
              </w:rPr>
              <w:t xml:space="preserve">Safety, Rehabilitation and Compensation Act 1988 </w:t>
            </w:r>
            <w:r w:rsidRPr="007E3BF3">
              <w:rPr>
                <w:szCs w:val="22"/>
              </w:rPr>
              <w:t>(Cth)</w:t>
            </w:r>
          </w:p>
        </w:tc>
      </w:tr>
      <w:tr w:rsidR="00795A99" w14:paraId="4C6E4D47" w14:textId="77777777" w:rsidTr="00AF4B7D">
        <w:trPr>
          <w:cnfStyle w:val="000000010000" w:firstRow="0" w:lastRow="0" w:firstColumn="0" w:lastColumn="0" w:oddVBand="0" w:evenVBand="0" w:oddHBand="0" w:evenHBand="1" w:firstRowFirstColumn="0" w:firstRowLastColumn="0" w:lastRowFirstColumn="0" w:lastRowLastColumn="0"/>
        </w:trPr>
        <w:tc>
          <w:tcPr>
            <w:tcW w:w="1843" w:type="dxa"/>
          </w:tcPr>
          <w:p w14:paraId="3255980F" w14:textId="34A27A6D" w:rsidR="00795A99" w:rsidRDefault="00795A99" w:rsidP="00AF4B7D">
            <w:pPr>
              <w:pStyle w:val="Tablebody"/>
            </w:pPr>
            <w:r>
              <w:t>TCCS</w:t>
            </w:r>
          </w:p>
        </w:tc>
        <w:tc>
          <w:tcPr>
            <w:tcW w:w="7183" w:type="dxa"/>
          </w:tcPr>
          <w:p w14:paraId="18B75616" w14:textId="7928EC9B" w:rsidR="00795A99" w:rsidRDefault="00795A99" w:rsidP="00AF4B7D">
            <w:pPr>
              <w:pStyle w:val="Tablebody"/>
            </w:pPr>
            <w:r>
              <w:rPr>
                <w:rFonts w:ascii="Calibri" w:hAnsi="Calibri" w:cs="Calibri"/>
              </w:rPr>
              <w:t>Transport Canberra and City Services Directorate</w:t>
            </w:r>
          </w:p>
        </w:tc>
      </w:tr>
    </w:tbl>
    <w:p w14:paraId="3D31C645" w14:textId="2228EE0E" w:rsidR="009F5A83" w:rsidRDefault="009F5A83">
      <w:pPr>
        <w:spacing w:line="259" w:lineRule="auto"/>
        <w:rPr>
          <w:rFonts w:ascii="Montserrat" w:eastAsiaTheme="majorEastAsia" w:hAnsi="Montserrat" w:cstheme="majorBidi"/>
          <w:b/>
          <w:color w:val="1A234C"/>
          <w:w w:val="90"/>
          <w:kern w:val="2"/>
          <w:sz w:val="36"/>
          <w:szCs w:val="32"/>
        </w:rPr>
      </w:pPr>
    </w:p>
    <w:p w14:paraId="1741621C" w14:textId="18D78B57" w:rsidR="00BB2DBE" w:rsidRDefault="00BB2DBE">
      <w:pPr>
        <w:spacing w:line="259" w:lineRule="auto"/>
        <w:rPr>
          <w:rFonts w:ascii="Montserrat" w:eastAsiaTheme="majorEastAsia" w:hAnsi="Montserrat" w:cstheme="majorBidi"/>
          <w:b/>
          <w:color w:val="1A234C"/>
          <w:w w:val="90"/>
          <w:kern w:val="2"/>
          <w:sz w:val="36"/>
          <w:szCs w:val="32"/>
        </w:rPr>
      </w:pPr>
    </w:p>
    <w:p w14:paraId="200948AC" w14:textId="6F01C6E0" w:rsidR="00BB2DBE" w:rsidRDefault="00BB2DBE">
      <w:pPr>
        <w:spacing w:line="259" w:lineRule="auto"/>
        <w:rPr>
          <w:rFonts w:ascii="Montserrat" w:eastAsiaTheme="majorEastAsia" w:hAnsi="Montserrat" w:cstheme="majorBidi"/>
          <w:b/>
          <w:color w:val="1A234C"/>
          <w:w w:val="90"/>
          <w:kern w:val="2"/>
          <w:sz w:val="36"/>
          <w:szCs w:val="32"/>
        </w:rPr>
      </w:pPr>
    </w:p>
    <w:p w14:paraId="32377C48" w14:textId="5801E5D5" w:rsidR="00BB2DBE" w:rsidRDefault="00BB2DBE">
      <w:pPr>
        <w:spacing w:line="259" w:lineRule="auto"/>
        <w:rPr>
          <w:rFonts w:ascii="Montserrat" w:eastAsiaTheme="majorEastAsia" w:hAnsi="Montserrat" w:cstheme="majorBidi"/>
          <w:b/>
          <w:color w:val="1A234C"/>
          <w:w w:val="90"/>
          <w:kern w:val="2"/>
          <w:sz w:val="36"/>
          <w:szCs w:val="32"/>
        </w:rPr>
      </w:pPr>
    </w:p>
    <w:p w14:paraId="5BDB074D" w14:textId="0E04FF8D" w:rsidR="00BB2DBE" w:rsidRDefault="00BB2DBE">
      <w:pPr>
        <w:spacing w:line="259" w:lineRule="auto"/>
        <w:rPr>
          <w:rFonts w:ascii="Montserrat" w:eastAsiaTheme="majorEastAsia" w:hAnsi="Montserrat" w:cstheme="majorBidi"/>
          <w:b/>
          <w:color w:val="1A234C"/>
          <w:w w:val="90"/>
          <w:kern w:val="2"/>
          <w:sz w:val="36"/>
          <w:szCs w:val="32"/>
        </w:rPr>
      </w:pPr>
    </w:p>
    <w:p w14:paraId="70CC8482" w14:textId="11DEF8C5" w:rsidR="00BB2DBE" w:rsidRDefault="00BB2DBE">
      <w:pPr>
        <w:spacing w:line="259" w:lineRule="auto"/>
        <w:rPr>
          <w:rFonts w:ascii="Montserrat" w:eastAsiaTheme="majorEastAsia" w:hAnsi="Montserrat" w:cstheme="majorBidi"/>
          <w:b/>
          <w:color w:val="1A234C"/>
          <w:w w:val="90"/>
          <w:kern w:val="2"/>
          <w:sz w:val="36"/>
          <w:szCs w:val="32"/>
        </w:rPr>
      </w:pPr>
    </w:p>
    <w:p w14:paraId="31FA5445" w14:textId="21D28997" w:rsidR="00BB2DBE" w:rsidRDefault="00BB2DBE">
      <w:pPr>
        <w:spacing w:line="259" w:lineRule="auto"/>
        <w:rPr>
          <w:rFonts w:ascii="Montserrat" w:eastAsiaTheme="majorEastAsia" w:hAnsi="Montserrat" w:cstheme="majorBidi"/>
          <w:b/>
          <w:color w:val="1A234C"/>
          <w:w w:val="90"/>
          <w:kern w:val="2"/>
          <w:sz w:val="36"/>
          <w:szCs w:val="32"/>
        </w:rPr>
      </w:pPr>
    </w:p>
    <w:p w14:paraId="24F52F36" w14:textId="7B4F906A" w:rsidR="00BB2DBE" w:rsidRDefault="00BB2DBE">
      <w:pPr>
        <w:spacing w:line="259" w:lineRule="auto"/>
        <w:rPr>
          <w:rFonts w:ascii="Montserrat" w:eastAsiaTheme="majorEastAsia" w:hAnsi="Montserrat" w:cstheme="majorBidi"/>
          <w:b/>
          <w:color w:val="1A234C"/>
          <w:w w:val="90"/>
          <w:kern w:val="2"/>
          <w:sz w:val="36"/>
          <w:szCs w:val="32"/>
        </w:rPr>
      </w:pPr>
    </w:p>
    <w:p w14:paraId="36642214" w14:textId="039E9EB2" w:rsidR="00BB2DBE" w:rsidRDefault="00BB2DBE">
      <w:pPr>
        <w:spacing w:line="259" w:lineRule="auto"/>
        <w:rPr>
          <w:rFonts w:ascii="Montserrat" w:eastAsiaTheme="majorEastAsia" w:hAnsi="Montserrat" w:cstheme="majorBidi"/>
          <w:b/>
          <w:color w:val="1A234C"/>
          <w:w w:val="90"/>
          <w:kern w:val="2"/>
          <w:sz w:val="36"/>
          <w:szCs w:val="32"/>
        </w:rPr>
      </w:pPr>
    </w:p>
    <w:p w14:paraId="773ABBCC" w14:textId="0BF91B98" w:rsidR="00BB2DBE" w:rsidRDefault="00BB2DBE">
      <w:pPr>
        <w:spacing w:line="259" w:lineRule="auto"/>
        <w:rPr>
          <w:rFonts w:ascii="Montserrat" w:eastAsiaTheme="majorEastAsia" w:hAnsi="Montserrat" w:cstheme="majorBidi"/>
          <w:b/>
          <w:color w:val="1A234C"/>
          <w:w w:val="90"/>
          <w:kern w:val="2"/>
          <w:sz w:val="36"/>
          <w:szCs w:val="32"/>
        </w:rPr>
      </w:pPr>
    </w:p>
    <w:p w14:paraId="6EA44A71" w14:textId="504A4D8D" w:rsidR="00BB2DBE" w:rsidRDefault="00BB2DBE">
      <w:pPr>
        <w:spacing w:line="259" w:lineRule="auto"/>
        <w:rPr>
          <w:rFonts w:ascii="Montserrat" w:eastAsiaTheme="majorEastAsia" w:hAnsi="Montserrat" w:cstheme="majorBidi"/>
          <w:b/>
          <w:color w:val="1A234C"/>
          <w:w w:val="90"/>
          <w:kern w:val="2"/>
          <w:sz w:val="36"/>
          <w:szCs w:val="32"/>
        </w:rPr>
      </w:pPr>
    </w:p>
    <w:p w14:paraId="4D8DF5B6" w14:textId="5F16D23D" w:rsidR="00BB2DBE" w:rsidRDefault="00BB2DBE">
      <w:pPr>
        <w:spacing w:line="259" w:lineRule="auto"/>
        <w:rPr>
          <w:rFonts w:ascii="Montserrat" w:eastAsiaTheme="majorEastAsia" w:hAnsi="Montserrat" w:cstheme="majorBidi"/>
          <w:b/>
          <w:color w:val="1A234C"/>
          <w:w w:val="90"/>
          <w:kern w:val="2"/>
          <w:sz w:val="36"/>
          <w:szCs w:val="32"/>
        </w:rPr>
      </w:pPr>
    </w:p>
    <w:p w14:paraId="098C6A78" w14:textId="045282BD" w:rsidR="00BB2DBE" w:rsidRDefault="00BB2DBE">
      <w:pPr>
        <w:spacing w:line="259" w:lineRule="auto"/>
        <w:rPr>
          <w:rFonts w:ascii="Montserrat" w:eastAsiaTheme="majorEastAsia" w:hAnsi="Montserrat" w:cstheme="majorBidi"/>
          <w:b/>
          <w:color w:val="1A234C"/>
          <w:w w:val="90"/>
          <w:kern w:val="2"/>
          <w:sz w:val="36"/>
          <w:szCs w:val="32"/>
        </w:rPr>
      </w:pPr>
    </w:p>
    <w:p w14:paraId="6C6E4FF2" w14:textId="126C6975" w:rsidR="00BB2DBE" w:rsidRDefault="00BB2DBE">
      <w:pPr>
        <w:spacing w:line="259" w:lineRule="auto"/>
        <w:rPr>
          <w:rFonts w:ascii="Montserrat" w:eastAsiaTheme="majorEastAsia" w:hAnsi="Montserrat" w:cstheme="majorBidi"/>
          <w:b/>
          <w:color w:val="1A234C"/>
          <w:w w:val="90"/>
          <w:kern w:val="2"/>
          <w:sz w:val="36"/>
          <w:szCs w:val="32"/>
        </w:rPr>
      </w:pPr>
    </w:p>
    <w:p w14:paraId="4044F508" w14:textId="7F3D2188" w:rsidR="007A6EB9" w:rsidRDefault="008D72C9" w:rsidP="000B25EC">
      <w:pPr>
        <w:pStyle w:val="Heading1nonumber"/>
      </w:pPr>
      <w:bookmarkStart w:id="14" w:name="_Toc144474970"/>
      <w:r>
        <w:lastRenderedPageBreak/>
        <w:t>R</w:t>
      </w:r>
      <w:r w:rsidR="007A6EB9" w:rsidRPr="0006752F">
        <w:t>ecommendations</w:t>
      </w:r>
      <w:bookmarkEnd w:id="14"/>
    </w:p>
    <w:p w14:paraId="57407775" w14:textId="6F678439" w:rsidR="007C7077" w:rsidRDefault="006A7A61" w:rsidP="00C53744">
      <w:pPr>
        <w:pStyle w:val="TOC1"/>
        <w:rPr>
          <w:rFonts w:asciiTheme="minorHAnsi" w:eastAsiaTheme="minorEastAsia" w:hAnsiTheme="minorHAnsi"/>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48010703" w:history="1">
        <w:r w:rsidR="007C7077" w:rsidRPr="00690391">
          <w:rPr>
            <w:rStyle w:val="Hyperlink"/>
          </w:rPr>
          <w:t>Recommendation 1</w:t>
        </w:r>
      </w:hyperlink>
    </w:p>
    <w:p w14:paraId="5F33AE6D" w14:textId="00E1145F" w:rsidR="007C7077" w:rsidRDefault="00390032" w:rsidP="00C53744">
      <w:pPr>
        <w:pStyle w:val="TOC2"/>
        <w:rPr>
          <w:rFonts w:eastAsiaTheme="minorEastAsia"/>
          <w:kern w:val="2"/>
          <w:lang w:eastAsia="en-AU"/>
          <w14:ligatures w14:val="standardContextual"/>
        </w:rPr>
      </w:pPr>
      <w:hyperlink w:anchor="_Toc148010704" w:history="1">
        <w:r w:rsidR="007C7077" w:rsidRPr="00690391">
          <w:rPr>
            <w:rStyle w:val="Hyperlink"/>
          </w:rPr>
          <w:t>The Committee recommends that the ACT Government provide a report on its use of sustainable materials in road or path construction to the Assembly before the end of the financial year.</w:t>
        </w:r>
      </w:hyperlink>
    </w:p>
    <w:p w14:paraId="5CB76D27" w14:textId="396E5F8E" w:rsidR="007C7077" w:rsidRDefault="00390032" w:rsidP="00C53744">
      <w:pPr>
        <w:pStyle w:val="TOC1"/>
        <w:rPr>
          <w:rFonts w:asciiTheme="minorHAnsi" w:eastAsiaTheme="minorEastAsia" w:hAnsiTheme="minorHAnsi"/>
          <w:color w:val="auto"/>
          <w:w w:val="100"/>
          <w:kern w:val="2"/>
          <w:sz w:val="22"/>
          <w:lang w:eastAsia="en-AU"/>
          <w14:ligatures w14:val="standardContextual"/>
        </w:rPr>
      </w:pPr>
      <w:hyperlink w:anchor="_Toc148010705" w:history="1">
        <w:r w:rsidR="007C7077" w:rsidRPr="00690391">
          <w:rPr>
            <w:rStyle w:val="Hyperlink"/>
          </w:rPr>
          <w:t>Recommendation 2</w:t>
        </w:r>
      </w:hyperlink>
    </w:p>
    <w:p w14:paraId="03E35E0B" w14:textId="78778655" w:rsidR="007C7077" w:rsidRDefault="00390032" w:rsidP="00C53744">
      <w:pPr>
        <w:pStyle w:val="TOC2"/>
        <w:rPr>
          <w:rFonts w:eastAsiaTheme="minorEastAsia"/>
          <w:kern w:val="2"/>
          <w:lang w:eastAsia="en-AU"/>
          <w14:ligatures w14:val="standardContextual"/>
        </w:rPr>
      </w:pPr>
      <w:hyperlink w:anchor="_Toc148010706" w:history="1">
        <w:r w:rsidR="007C7077" w:rsidRPr="00690391">
          <w:rPr>
            <w:rStyle w:val="Hyperlink"/>
          </w:rPr>
          <w:t xml:space="preserve">The Committee recommends that the ACT Government </w:t>
        </w:r>
        <w:r w:rsidR="007C7077" w:rsidRPr="00690391">
          <w:rPr>
            <w:rStyle w:val="Hyperlink"/>
            <w:bCs/>
          </w:rPr>
          <w:t>continue to collect and analyse data on instances and reasons for non-take up of first home visits and health and development checks, and report on these to the Assembly before the end of the financial year.</w:t>
        </w:r>
      </w:hyperlink>
    </w:p>
    <w:p w14:paraId="449B7C8D" w14:textId="11DC4636" w:rsidR="007C7077" w:rsidRDefault="00390032" w:rsidP="00C53744">
      <w:pPr>
        <w:pStyle w:val="TOC1"/>
        <w:rPr>
          <w:rFonts w:asciiTheme="minorHAnsi" w:eastAsiaTheme="minorEastAsia" w:hAnsiTheme="minorHAnsi"/>
          <w:color w:val="auto"/>
          <w:w w:val="100"/>
          <w:kern w:val="2"/>
          <w:sz w:val="22"/>
          <w:lang w:eastAsia="en-AU"/>
          <w14:ligatures w14:val="standardContextual"/>
        </w:rPr>
      </w:pPr>
      <w:hyperlink w:anchor="_Toc148010707" w:history="1">
        <w:r w:rsidR="007C7077" w:rsidRPr="00690391">
          <w:rPr>
            <w:rStyle w:val="Hyperlink"/>
          </w:rPr>
          <w:t>Recommendation 3</w:t>
        </w:r>
      </w:hyperlink>
    </w:p>
    <w:p w14:paraId="1C05FBAD" w14:textId="68893211" w:rsidR="007C7077" w:rsidRDefault="00390032" w:rsidP="00C53744">
      <w:pPr>
        <w:pStyle w:val="TOC2"/>
        <w:rPr>
          <w:rFonts w:eastAsiaTheme="minorEastAsia"/>
          <w:kern w:val="2"/>
          <w:lang w:eastAsia="en-AU"/>
          <w14:ligatures w14:val="standardContextual"/>
        </w:rPr>
      </w:pPr>
      <w:hyperlink w:anchor="_Toc148010708" w:history="1">
        <w:r w:rsidR="007C7077" w:rsidRPr="00690391">
          <w:rPr>
            <w:rStyle w:val="Hyperlink"/>
          </w:rPr>
          <w:t xml:space="preserve">The Committee recommends that the ACT Government liaise with the </w:t>
        </w:r>
        <w:r w:rsidR="007C7077" w:rsidRPr="00690391">
          <w:rPr>
            <w:rStyle w:val="Hyperlink"/>
            <w:bCs/>
          </w:rPr>
          <w:t>Australian Digital Health Agency to consider ways to improve privately practising midwives’ access to Digital Health Records</w:t>
        </w:r>
        <w:r w:rsidR="007C7077" w:rsidRPr="00690391">
          <w:rPr>
            <w:rStyle w:val="Hyperlink"/>
          </w:rPr>
          <w:t>.</w:t>
        </w:r>
      </w:hyperlink>
    </w:p>
    <w:p w14:paraId="2C94D625" w14:textId="69BB5DF4" w:rsidR="007C7077" w:rsidRDefault="00390032" w:rsidP="00C53744">
      <w:pPr>
        <w:pStyle w:val="TOC1"/>
        <w:rPr>
          <w:rFonts w:asciiTheme="minorHAnsi" w:eastAsiaTheme="minorEastAsia" w:hAnsiTheme="minorHAnsi"/>
          <w:color w:val="auto"/>
          <w:w w:val="100"/>
          <w:kern w:val="2"/>
          <w:sz w:val="22"/>
          <w:lang w:eastAsia="en-AU"/>
          <w14:ligatures w14:val="standardContextual"/>
        </w:rPr>
      </w:pPr>
      <w:hyperlink w:anchor="_Toc148010709" w:history="1">
        <w:r w:rsidR="007C7077" w:rsidRPr="00690391">
          <w:rPr>
            <w:rStyle w:val="Hyperlink"/>
          </w:rPr>
          <w:t>Recommendation 4</w:t>
        </w:r>
      </w:hyperlink>
    </w:p>
    <w:p w14:paraId="64E8090E" w14:textId="0D9C3B76" w:rsidR="007C7077" w:rsidRDefault="00390032" w:rsidP="00C53744">
      <w:pPr>
        <w:pStyle w:val="TOC2"/>
        <w:rPr>
          <w:rFonts w:eastAsiaTheme="minorEastAsia"/>
          <w:kern w:val="2"/>
          <w:lang w:eastAsia="en-AU"/>
          <w14:ligatures w14:val="standardContextual"/>
        </w:rPr>
      </w:pPr>
      <w:hyperlink w:anchor="_Toc148010710" w:history="1">
        <w:r w:rsidR="007C7077" w:rsidRPr="00690391">
          <w:rPr>
            <w:rStyle w:val="Hyperlink"/>
            <w:bCs/>
          </w:rPr>
          <w:t>The Committee recommends that the ACT Government report to the Assembly on the pilot program of running MACH clinics alongside immunisation clinics before the end of the financial year</w:t>
        </w:r>
        <w:r w:rsidR="007C7077" w:rsidRPr="00690391">
          <w:rPr>
            <w:rStyle w:val="Hyperlink"/>
          </w:rPr>
          <w:t>.</w:t>
        </w:r>
      </w:hyperlink>
    </w:p>
    <w:p w14:paraId="34B04018" w14:textId="048427A9" w:rsidR="007C7077" w:rsidRDefault="00390032" w:rsidP="00C53744">
      <w:pPr>
        <w:pStyle w:val="TOC1"/>
        <w:rPr>
          <w:rFonts w:asciiTheme="minorHAnsi" w:eastAsiaTheme="minorEastAsia" w:hAnsiTheme="minorHAnsi"/>
          <w:color w:val="auto"/>
          <w:w w:val="100"/>
          <w:kern w:val="2"/>
          <w:sz w:val="22"/>
          <w:lang w:eastAsia="en-AU"/>
          <w14:ligatures w14:val="standardContextual"/>
        </w:rPr>
      </w:pPr>
      <w:hyperlink w:anchor="_Toc148010711" w:history="1">
        <w:r w:rsidR="007C7077" w:rsidRPr="00690391">
          <w:rPr>
            <w:rStyle w:val="Hyperlink"/>
          </w:rPr>
          <w:t>Recommendation 5</w:t>
        </w:r>
      </w:hyperlink>
    </w:p>
    <w:p w14:paraId="6897A2AC" w14:textId="5383FD44" w:rsidR="007C7077" w:rsidRDefault="00390032" w:rsidP="00C53744">
      <w:pPr>
        <w:pStyle w:val="TOC2"/>
        <w:rPr>
          <w:rFonts w:eastAsiaTheme="minorEastAsia"/>
          <w:kern w:val="2"/>
          <w:lang w:eastAsia="en-AU"/>
          <w14:ligatures w14:val="standardContextual"/>
        </w:rPr>
      </w:pPr>
      <w:hyperlink w:anchor="_Toc148010712" w:history="1">
        <w:r w:rsidR="007C7077" w:rsidRPr="00690391">
          <w:rPr>
            <w:rStyle w:val="Hyperlink"/>
          </w:rPr>
          <w:t>The Committee recommends that the ACT Government publish the Model of Care for the MACH nurses and midwives by the end of calendar year 2023.</w:t>
        </w:r>
      </w:hyperlink>
    </w:p>
    <w:p w14:paraId="34234833" w14:textId="7878A7E6"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default" r:id="rId15"/>
          <w:pgSz w:w="11906" w:h="16838"/>
          <w:pgMar w:top="1440" w:right="1440" w:bottom="1440" w:left="1440" w:header="708" w:footer="708" w:gutter="0"/>
          <w:pgNumType w:fmt="lowerRoman" w:start="1"/>
          <w:cols w:space="708"/>
          <w:docGrid w:linePitch="360"/>
        </w:sectPr>
      </w:pPr>
    </w:p>
    <w:p w14:paraId="71B6F9B4" w14:textId="2D308182" w:rsidR="00BB2DBE" w:rsidRDefault="00317A49" w:rsidP="00BB2DBE">
      <w:pPr>
        <w:pStyle w:val="Heading1"/>
      </w:pPr>
      <w:bookmarkStart w:id="15" w:name="_Toc135387353"/>
      <w:bookmarkStart w:id="16" w:name="_Toc144474971"/>
      <w:bookmarkEnd w:id="12"/>
      <w:bookmarkEnd w:id="13"/>
      <w:r>
        <w:lastRenderedPageBreak/>
        <w:t>I</w:t>
      </w:r>
      <w:r w:rsidR="00BB2DBE">
        <w:t>ntroduction</w:t>
      </w:r>
      <w:bookmarkEnd w:id="15"/>
      <w:bookmarkEnd w:id="16"/>
    </w:p>
    <w:p w14:paraId="5B89A2FA" w14:textId="6460605F" w:rsidR="002119B6" w:rsidRPr="00A4093F" w:rsidRDefault="002119B6" w:rsidP="002119B6">
      <w:pPr>
        <w:pStyle w:val="ListNumber2"/>
        <w:rPr>
          <w:bCs w:val="0"/>
        </w:rPr>
      </w:pPr>
      <w:r w:rsidRPr="00955F94">
        <w:t xml:space="preserve">Reports of the </w:t>
      </w:r>
      <w:r w:rsidR="00895311" w:rsidRPr="00955F94">
        <w:t xml:space="preserve">ACT </w:t>
      </w:r>
      <w:r w:rsidRPr="00955F94">
        <w:t xml:space="preserve">Auditor-General </w:t>
      </w:r>
      <w:r w:rsidR="00895311" w:rsidRPr="00955F94">
        <w:t xml:space="preserve">(Auditor-General) </w:t>
      </w:r>
      <w:r w:rsidRPr="00955F94">
        <w:t xml:space="preserve">form a significant part of </w:t>
      </w:r>
      <w:r w:rsidR="00911F9A" w:rsidRPr="00955F94">
        <w:t xml:space="preserve">the </w:t>
      </w:r>
      <w:r w:rsidR="003A50CF" w:rsidRPr="00955F94">
        <w:t xml:space="preserve">work of </w:t>
      </w:r>
      <w:r w:rsidRPr="00955F94">
        <w:t xml:space="preserve">the Standing Committee on Public </w:t>
      </w:r>
      <w:r w:rsidR="009D6B2B">
        <w:t>A</w:t>
      </w:r>
      <w:r w:rsidRPr="00955F94">
        <w:t>ccounts (the Committee</w:t>
      </w:r>
      <w:r w:rsidR="003A50CF" w:rsidRPr="00955F94">
        <w:t>)</w:t>
      </w:r>
      <w:r w:rsidRPr="00955F94">
        <w:t>. The Committee</w:t>
      </w:r>
      <w:r w:rsidR="002B49BA" w:rsidRPr="00955F94">
        <w:t xml:space="preserve"> plays</w:t>
      </w:r>
      <w:r w:rsidRPr="00955F94">
        <w:t xml:space="preserve"> an important role </w:t>
      </w:r>
      <w:r w:rsidR="00B97ED3" w:rsidRPr="00955F94">
        <w:t xml:space="preserve">to the Assembly </w:t>
      </w:r>
      <w:r w:rsidR="00F33BFA" w:rsidRPr="00955F94">
        <w:t>through</w:t>
      </w:r>
      <w:r w:rsidR="00B97ED3" w:rsidRPr="00955F94">
        <w:t xml:space="preserve"> the provision of further</w:t>
      </w:r>
      <w:r w:rsidR="00895311" w:rsidRPr="00955F94">
        <w:t xml:space="preserve"> </w:t>
      </w:r>
      <w:r w:rsidR="00911F9A" w:rsidRPr="00955F94">
        <w:t xml:space="preserve">independent </w:t>
      </w:r>
      <w:r w:rsidR="00B97ED3" w:rsidRPr="00955F94">
        <w:t xml:space="preserve">advice </w:t>
      </w:r>
      <w:r w:rsidRPr="00955F94">
        <w:t xml:space="preserve">on </w:t>
      </w:r>
      <w:r w:rsidR="00B97ED3" w:rsidRPr="00955F94">
        <w:t>certain</w:t>
      </w:r>
      <w:r w:rsidRPr="00955F94">
        <w:t xml:space="preserve"> reports of the Auditor-General</w:t>
      </w:r>
      <w:r w:rsidR="001C147D" w:rsidRPr="00955F94">
        <w:t xml:space="preserve"> </w:t>
      </w:r>
      <w:r w:rsidR="00895311" w:rsidRPr="00955F94">
        <w:t>(</w:t>
      </w:r>
      <w:r w:rsidR="00B97ED3" w:rsidRPr="00955F94">
        <w:t xml:space="preserve">which are also prepared and submitted </w:t>
      </w:r>
      <w:r w:rsidR="001C147D" w:rsidRPr="00955F94">
        <w:t>on behalf of the Assembly</w:t>
      </w:r>
      <w:r w:rsidR="00B97ED3" w:rsidRPr="00955F94">
        <w:t>)</w:t>
      </w:r>
      <w:r w:rsidRPr="00955F94">
        <w:t>.</w:t>
      </w:r>
      <w:r w:rsidR="000874EB">
        <w:rPr>
          <w:rStyle w:val="FootnoteReference"/>
        </w:rPr>
        <w:footnoteReference w:id="1"/>
      </w:r>
    </w:p>
    <w:p w14:paraId="6A10A803" w14:textId="224CAB64" w:rsidR="00895311" w:rsidRPr="00895311" w:rsidRDefault="00A4093F" w:rsidP="00A4093F">
      <w:pPr>
        <w:pStyle w:val="ListNumber2"/>
        <w:rPr>
          <w:bCs w:val="0"/>
        </w:rPr>
      </w:pPr>
      <w:r>
        <w:rPr>
          <w:bCs w:val="0"/>
        </w:rPr>
        <w:t>Th</w:t>
      </w:r>
      <w:r w:rsidR="002119B6">
        <w:rPr>
          <w:bCs w:val="0"/>
        </w:rPr>
        <w:t>is</w:t>
      </w:r>
      <w:r>
        <w:t xml:space="preserve"> </w:t>
      </w:r>
      <w:r w:rsidR="00777F74">
        <w:t xml:space="preserve">Committee </w:t>
      </w:r>
      <w:r>
        <w:t>inquiry</w:t>
      </w:r>
      <w:r w:rsidR="00C20738">
        <w:t xml:space="preserve"> report</w:t>
      </w:r>
      <w:r>
        <w:t xml:space="preserve"> </w:t>
      </w:r>
      <w:r w:rsidR="00955F94">
        <w:t xml:space="preserve">is </w:t>
      </w:r>
      <w:r>
        <w:t>titled</w:t>
      </w:r>
      <w:r w:rsidR="003A50CF">
        <w:t>:</w:t>
      </w:r>
      <w:r>
        <w:t xml:space="preserve"> </w:t>
      </w:r>
      <w:r w:rsidRPr="007C5493">
        <w:rPr>
          <w:i/>
          <w:iCs/>
        </w:rPr>
        <w:t>Inquiry into responses to Auditor-General recommendations for reports 5/2017, 7/2019 and 6/2020</w:t>
      </w:r>
      <w:r w:rsidR="002119B6">
        <w:t xml:space="preserve">, </w:t>
      </w:r>
      <w:r w:rsidR="00777F74">
        <w:t>conside</w:t>
      </w:r>
      <w:r w:rsidR="00673650">
        <w:t>r</w:t>
      </w:r>
      <w:r w:rsidR="0050493C">
        <w:t>s</w:t>
      </w:r>
      <w:r w:rsidR="002119B6">
        <w:t xml:space="preserve"> </w:t>
      </w:r>
      <w:r w:rsidR="00AB633F">
        <w:t>the</w:t>
      </w:r>
      <w:r w:rsidR="00C20738">
        <w:t xml:space="preserve"> </w:t>
      </w:r>
      <w:r w:rsidR="003A50CF">
        <w:t>Government</w:t>
      </w:r>
      <w:r w:rsidR="00C20738">
        <w:t xml:space="preserve"> responses</w:t>
      </w:r>
      <w:r w:rsidR="00AB633F" w:rsidRPr="00AB633F">
        <w:t xml:space="preserve"> </w:t>
      </w:r>
      <w:r w:rsidR="007F2AF1">
        <w:t>to the</w:t>
      </w:r>
      <w:r w:rsidR="0050493C">
        <w:t xml:space="preserve"> recommendations contained within</w:t>
      </w:r>
      <w:r w:rsidR="00AB633F">
        <w:t xml:space="preserve"> each report</w:t>
      </w:r>
      <w:r w:rsidR="00673650">
        <w:t>.</w:t>
      </w:r>
    </w:p>
    <w:p w14:paraId="06E70F2F" w14:textId="66F5BB6C" w:rsidR="002569FB" w:rsidRDefault="0052291E" w:rsidP="005473EE">
      <w:pPr>
        <w:pStyle w:val="ListNumber2"/>
        <w:rPr>
          <w:bCs w:val="0"/>
        </w:rPr>
      </w:pPr>
      <w:r>
        <w:rPr>
          <w:szCs w:val="22"/>
        </w:rPr>
        <w:t xml:space="preserve">Committee </w:t>
      </w:r>
      <w:r w:rsidR="00D00D37">
        <w:rPr>
          <w:bCs w:val="0"/>
        </w:rPr>
        <w:t>held</w:t>
      </w:r>
      <w:r w:rsidR="007F2AF1">
        <w:rPr>
          <w:bCs w:val="0"/>
        </w:rPr>
        <w:t xml:space="preserve"> this inquiry</w:t>
      </w:r>
      <w:r w:rsidR="005473EE">
        <w:rPr>
          <w:bCs w:val="0"/>
        </w:rPr>
        <w:t xml:space="preserve"> </w:t>
      </w:r>
      <w:r w:rsidR="00685BAC" w:rsidRPr="005473EE">
        <w:rPr>
          <w:bCs w:val="0"/>
        </w:rPr>
        <w:t>‘on the papers’</w:t>
      </w:r>
      <w:r w:rsidR="007F2AF1">
        <w:rPr>
          <w:bCs w:val="0"/>
        </w:rPr>
        <w:t>, that is, without a public hearing</w:t>
      </w:r>
      <w:r w:rsidR="001C147D" w:rsidRPr="005473EE">
        <w:rPr>
          <w:bCs w:val="0"/>
        </w:rPr>
        <w:t xml:space="preserve">. </w:t>
      </w:r>
    </w:p>
    <w:p w14:paraId="52C7A7D8" w14:textId="605DFA3F" w:rsidR="00685BAC" w:rsidRDefault="00606A13" w:rsidP="00986062">
      <w:pPr>
        <w:pStyle w:val="ListNumber2"/>
        <w:rPr>
          <w:bCs w:val="0"/>
        </w:rPr>
      </w:pPr>
      <w:r>
        <w:rPr>
          <w:bCs w:val="0"/>
        </w:rPr>
        <w:t>The</w:t>
      </w:r>
      <w:r w:rsidR="0085374D">
        <w:rPr>
          <w:bCs w:val="0"/>
        </w:rPr>
        <w:t xml:space="preserve"> Auditor-General’s</w:t>
      </w:r>
      <w:r w:rsidR="00A607BB" w:rsidRPr="007C5493">
        <w:rPr>
          <w:bCs w:val="0"/>
          <w:i/>
          <w:iCs/>
        </w:rPr>
        <w:t xml:space="preserve"> Report No. 5/2017:</w:t>
      </w:r>
      <w:r w:rsidRPr="007C5493">
        <w:rPr>
          <w:bCs w:val="0"/>
          <w:i/>
          <w:iCs/>
        </w:rPr>
        <w:t xml:space="preserve"> </w:t>
      </w:r>
      <w:r w:rsidR="00A607BB" w:rsidRPr="007C5493">
        <w:rPr>
          <w:bCs w:val="0"/>
          <w:i/>
          <w:iCs/>
        </w:rPr>
        <w:t>Maintenance of Selected Road Infrastructure Assets</w:t>
      </w:r>
      <w:r w:rsidR="00A607BB">
        <w:rPr>
          <w:bCs w:val="0"/>
        </w:rPr>
        <w:t xml:space="preserve"> </w:t>
      </w:r>
      <w:r>
        <w:rPr>
          <w:bCs w:val="0"/>
        </w:rPr>
        <w:t>was released on 9 June 2017</w:t>
      </w:r>
      <w:r w:rsidR="00AF2CD3">
        <w:rPr>
          <w:bCs w:val="0"/>
        </w:rPr>
        <w:t xml:space="preserve">. </w:t>
      </w:r>
      <w:r w:rsidR="003C67FB">
        <w:rPr>
          <w:bCs w:val="0"/>
        </w:rPr>
        <w:t xml:space="preserve">At that time, the </w:t>
      </w:r>
      <w:r w:rsidR="003A50CF">
        <w:rPr>
          <w:bCs w:val="0"/>
        </w:rPr>
        <w:t>then (</w:t>
      </w:r>
      <w:r w:rsidR="0085374D">
        <w:rPr>
          <w:bCs w:val="0"/>
        </w:rPr>
        <w:t>N</w:t>
      </w:r>
      <w:r w:rsidR="003A50CF">
        <w:rPr>
          <w:bCs w:val="0"/>
        </w:rPr>
        <w:t xml:space="preserve">inth Assembly) </w:t>
      </w:r>
      <w:r w:rsidR="003C67FB">
        <w:rPr>
          <w:bCs w:val="0"/>
        </w:rPr>
        <w:t xml:space="preserve">Standing Committee on Public Accounts </w:t>
      </w:r>
      <w:r w:rsidR="00853293">
        <w:rPr>
          <w:bCs w:val="0"/>
        </w:rPr>
        <w:t xml:space="preserve">resolved </w:t>
      </w:r>
      <w:r w:rsidR="00F7317A">
        <w:rPr>
          <w:bCs w:val="0"/>
        </w:rPr>
        <w:t xml:space="preserve">not </w:t>
      </w:r>
      <w:r w:rsidR="00853293">
        <w:rPr>
          <w:bCs w:val="0"/>
        </w:rPr>
        <w:t>to conduct an inquiry and advised the Assembly of this on 20 March 2018.</w:t>
      </w:r>
      <w:r w:rsidR="00853293">
        <w:rPr>
          <w:rStyle w:val="FootnoteReference"/>
          <w:bCs w:val="0"/>
        </w:rPr>
        <w:footnoteReference w:id="2"/>
      </w:r>
    </w:p>
    <w:p w14:paraId="4CEE8A74" w14:textId="53EEEDDA" w:rsidR="0058747F" w:rsidRPr="006A6C19" w:rsidRDefault="0058747F" w:rsidP="0058747F">
      <w:pPr>
        <w:pStyle w:val="ListNumber2"/>
      </w:pPr>
      <w:r w:rsidRPr="0058747F">
        <w:rPr>
          <w:bCs w:val="0"/>
          <w:i/>
          <w:iCs/>
        </w:rPr>
        <w:t>Report No. 7/2019:</w:t>
      </w:r>
      <w:r>
        <w:rPr>
          <w:bCs w:val="0"/>
        </w:rPr>
        <w:t xml:space="preserve"> </w:t>
      </w:r>
      <w:r w:rsidRPr="000D3AB8">
        <w:rPr>
          <w:bCs w:val="0"/>
          <w:i/>
          <w:iCs/>
        </w:rPr>
        <w:t>Referral processes for the Support of Vulnerable Children</w:t>
      </w:r>
      <w:r>
        <w:rPr>
          <w:bCs w:val="0"/>
        </w:rPr>
        <w:t xml:space="preserve"> was released on 27 June 2019.</w:t>
      </w:r>
      <w:r>
        <w:rPr>
          <w:rStyle w:val="FootnoteReference"/>
          <w:bCs w:val="0"/>
        </w:rPr>
        <w:footnoteReference w:id="3"/>
      </w:r>
      <w:r>
        <w:rPr>
          <w:bCs w:val="0"/>
        </w:rPr>
        <w:t xml:space="preserve"> The then (</w:t>
      </w:r>
      <w:r w:rsidR="0085374D">
        <w:rPr>
          <w:bCs w:val="0"/>
        </w:rPr>
        <w:t>N</w:t>
      </w:r>
      <w:r>
        <w:rPr>
          <w:bCs w:val="0"/>
        </w:rPr>
        <w:t>inth Assembly) Standing Committee on Public Accounts resolved not to undertake an inquiry into this Auditor-General’s report. The Government response to this report was tabled in the Assembly on 24 October 2019.</w:t>
      </w:r>
      <w:r>
        <w:rPr>
          <w:rStyle w:val="FootnoteReference"/>
          <w:bCs w:val="0"/>
        </w:rPr>
        <w:footnoteReference w:id="4"/>
      </w:r>
    </w:p>
    <w:p w14:paraId="3F948619" w14:textId="622AB254" w:rsidR="00685BAC" w:rsidRPr="00A67199" w:rsidRDefault="00685BAC" w:rsidP="007F5F77">
      <w:pPr>
        <w:pStyle w:val="ListNumber2"/>
        <w:rPr>
          <w:szCs w:val="22"/>
        </w:rPr>
      </w:pPr>
      <w:r w:rsidRPr="00A67199">
        <w:rPr>
          <w:i/>
          <w:iCs/>
          <w:szCs w:val="22"/>
        </w:rPr>
        <w:t>Report No. 6/2020: Transfer of Workers’ Compensation Arrangements from Comcare</w:t>
      </w:r>
      <w:r w:rsidR="00D60E93" w:rsidRPr="00A67199">
        <w:rPr>
          <w:szCs w:val="22"/>
        </w:rPr>
        <w:t xml:space="preserve"> was </w:t>
      </w:r>
      <w:r w:rsidR="003B57B9">
        <w:rPr>
          <w:szCs w:val="22"/>
        </w:rPr>
        <w:t>tabled on 2 July 2020</w:t>
      </w:r>
      <w:r w:rsidR="00D60E93" w:rsidRPr="00A67199">
        <w:rPr>
          <w:szCs w:val="22"/>
        </w:rPr>
        <w:t>.</w:t>
      </w:r>
      <w:r w:rsidR="00A67199" w:rsidRPr="00A67199">
        <w:rPr>
          <w:rStyle w:val="FootnoteReference"/>
          <w:szCs w:val="22"/>
        </w:rPr>
        <w:footnoteReference w:id="5"/>
      </w:r>
      <w:r w:rsidR="00D60E93" w:rsidRPr="00A67199">
        <w:rPr>
          <w:szCs w:val="22"/>
        </w:rPr>
        <w:t xml:space="preserve"> </w:t>
      </w:r>
      <w:r w:rsidR="00BF016A">
        <w:rPr>
          <w:szCs w:val="22"/>
        </w:rPr>
        <w:t>T</w:t>
      </w:r>
      <w:r w:rsidR="00D60E93" w:rsidRPr="00A67199">
        <w:rPr>
          <w:szCs w:val="22"/>
        </w:rPr>
        <w:t xml:space="preserve">he Committee </w:t>
      </w:r>
      <w:r w:rsidR="006C0596">
        <w:rPr>
          <w:szCs w:val="22"/>
        </w:rPr>
        <w:t xml:space="preserve">resolved </w:t>
      </w:r>
      <w:r w:rsidR="00A72DDF">
        <w:rPr>
          <w:szCs w:val="22"/>
        </w:rPr>
        <w:t>to conduct an</w:t>
      </w:r>
      <w:r w:rsidR="00D60E93" w:rsidRPr="00A67199">
        <w:rPr>
          <w:szCs w:val="22"/>
        </w:rPr>
        <w:t xml:space="preserve"> inquiry </w:t>
      </w:r>
      <w:r w:rsidR="00714CF7">
        <w:rPr>
          <w:szCs w:val="22"/>
        </w:rPr>
        <w:t>into the report</w:t>
      </w:r>
      <w:r w:rsidR="00BF016A">
        <w:rPr>
          <w:szCs w:val="22"/>
        </w:rPr>
        <w:t xml:space="preserve"> on</w:t>
      </w:r>
      <w:r w:rsidR="00D60E93" w:rsidRPr="00A67199">
        <w:rPr>
          <w:szCs w:val="22"/>
        </w:rPr>
        <w:t xml:space="preserve"> 5</w:t>
      </w:r>
      <w:r w:rsidR="00A4093F">
        <w:rPr>
          <w:szCs w:val="22"/>
        </w:rPr>
        <w:t> </w:t>
      </w:r>
      <w:r w:rsidR="00D60E93" w:rsidRPr="00A67199">
        <w:rPr>
          <w:szCs w:val="22"/>
        </w:rPr>
        <w:t>May 2021</w:t>
      </w:r>
      <w:r w:rsidR="008575E1">
        <w:rPr>
          <w:szCs w:val="22"/>
        </w:rPr>
        <w:t>.</w:t>
      </w:r>
      <w:r w:rsidR="006C0596">
        <w:rPr>
          <w:rStyle w:val="FootnoteReference"/>
          <w:szCs w:val="22"/>
        </w:rPr>
        <w:footnoteReference w:id="6"/>
      </w:r>
      <w:r w:rsidR="008575E1">
        <w:rPr>
          <w:szCs w:val="22"/>
        </w:rPr>
        <w:t xml:space="preserve"> </w:t>
      </w:r>
      <w:r w:rsidR="00BF016A">
        <w:rPr>
          <w:szCs w:val="22"/>
        </w:rPr>
        <w:t>A</w:t>
      </w:r>
      <w:r w:rsidR="00BF016A" w:rsidRPr="00A67199">
        <w:rPr>
          <w:bCs w:val="0"/>
          <w:szCs w:val="22"/>
        </w:rPr>
        <w:t xml:space="preserve">t </w:t>
      </w:r>
      <w:r w:rsidR="00BF016A">
        <w:rPr>
          <w:bCs w:val="0"/>
          <w:szCs w:val="22"/>
        </w:rPr>
        <w:t>a public hearing</w:t>
      </w:r>
      <w:r w:rsidR="00BF016A" w:rsidRPr="00A67199">
        <w:rPr>
          <w:bCs w:val="0"/>
          <w:szCs w:val="22"/>
        </w:rPr>
        <w:t xml:space="preserve"> </w:t>
      </w:r>
      <w:r w:rsidR="00BF016A">
        <w:t>on 16 June 2021, the Committee heard evidence from the then Minister for Industrial Relations and Workplace Safety, senior officials of the Chief Minister, Treasury, and Economic Development Directorate (CMTEDD), the Auditor</w:t>
      </w:r>
      <w:r w:rsidR="00F131E8">
        <w:noBreakHyphen/>
      </w:r>
      <w:r w:rsidR="00BF016A">
        <w:t>General, and his staff</w:t>
      </w:r>
      <w:r w:rsidR="00BF016A" w:rsidRPr="00A67199">
        <w:rPr>
          <w:szCs w:val="22"/>
        </w:rPr>
        <w:t>.</w:t>
      </w:r>
      <w:r w:rsidR="00BF016A">
        <w:rPr>
          <w:rStyle w:val="FootnoteReference"/>
          <w:szCs w:val="22"/>
        </w:rPr>
        <w:footnoteReference w:id="7"/>
      </w:r>
      <w:r w:rsidR="00BF016A">
        <w:rPr>
          <w:szCs w:val="22"/>
        </w:rPr>
        <w:t xml:space="preserve"> </w:t>
      </w:r>
      <w:r w:rsidR="008575E1">
        <w:rPr>
          <w:szCs w:val="22"/>
        </w:rPr>
        <w:t>O</w:t>
      </w:r>
      <w:r w:rsidR="00E92EF9" w:rsidRPr="00A67199">
        <w:rPr>
          <w:szCs w:val="22"/>
        </w:rPr>
        <w:t>n 8 February 2022</w:t>
      </w:r>
      <w:r w:rsidR="008575E1">
        <w:rPr>
          <w:szCs w:val="22"/>
        </w:rPr>
        <w:t>,</w:t>
      </w:r>
      <w:r w:rsidR="00E92EF9" w:rsidRPr="00A67199">
        <w:rPr>
          <w:szCs w:val="22"/>
        </w:rPr>
        <w:t xml:space="preserve"> </w:t>
      </w:r>
      <w:r w:rsidR="00D931C0" w:rsidRPr="00A67199">
        <w:rPr>
          <w:szCs w:val="22"/>
        </w:rPr>
        <w:t>the Committee tabled its</w:t>
      </w:r>
      <w:r w:rsidR="0058747F">
        <w:rPr>
          <w:szCs w:val="22"/>
        </w:rPr>
        <w:t xml:space="preserve"> report </w:t>
      </w:r>
      <w:r w:rsidR="00D60E93" w:rsidRPr="00A67199">
        <w:rPr>
          <w:szCs w:val="22"/>
        </w:rPr>
        <w:t xml:space="preserve">on </w:t>
      </w:r>
      <w:r w:rsidR="0058747F">
        <w:rPr>
          <w:szCs w:val="22"/>
        </w:rPr>
        <w:t>the</w:t>
      </w:r>
      <w:r w:rsidR="00D60E93" w:rsidRPr="00A67199">
        <w:rPr>
          <w:szCs w:val="22"/>
        </w:rPr>
        <w:t xml:space="preserve"> </w:t>
      </w:r>
      <w:r w:rsidR="00D60E93" w:rsidRPr="00A67199">
        <w:rPr>
          <w:i/>
          <w:iCs/>
          <w:szCs w:val="22"/>
        </w:rPr>
        <w:t>Inquiry into Auditor-General's Report: 6/2020 – Transfer of workers' compensation arrangements from Comcare</w:t>
      </w:r>
      <w:r w:rsidR="00C95A12" w:rsidRPr="00A67199">
        <w:rPr>
          <w:szCs w:val="22"/>
        </w:rPr>
        <w:t>.</w:t>
      </w:r>
    </w:p>
    <w:p w14:paraId="7B48D1EE" w14:textId="50F94082" w:rsidR="00A607BB" w:rsidRPr="008F39C7" w:rsidRDefault="00107A2B" w:rsidP="00414E1F">
      <w:pPr>
        <w:pStyle w:val="Heading1"/>
        <w:pageBreakBefore/>
        <w:rPr>
          <w:bCs/>
        </w:rPr>
      </w:pPr>
      <w:bookmarkStart w:id="17" w:name="_Toc144474972"/>
      <w:r>
        <w:lastRenderedPageBreak/>
        <w:t>Audit Report No. 5/2017</w:t>
      </w:r>
      <w:r w:rsidR="00A3496C">
        <w:t xml:space="preserve">: </w:t>
      </w:r>
      <w:r>
        <w:rPr>
          <w:bCs/>
        </w:rPr>
        <w:t>Maintenance of Selected Road Infrastructure Asset</w:t>
      </w:r>
      <w:bookmarkEnd w:id="17"/>
    </w:p>
    <w:p w14:paraId="0B196B84" w14:textId="0A84104D" w:rsidR="00724D41" w:rsidRPr="009C211E" w:rsidRDefault="00724D41" w:rsidP="00724D41">
      <w:pPr>
        <w:pStyle w:val="ListNumber2"/>
      </w:pPr>
      <w:r>
        <w:t>T</w:t>
      </w:r>
      <w:r w:rsidRPr="009C211E">
        <w:t>he Auditor-General</w:t>
      </w:r>
      <w:r>
        <w:t>’s</w:t>
      </w:r>
      <w:r w:rsidRPr="009C211E">
        <w:t xml:space="preserve"> </w:t>
      </w:r>
      <w:r w:rsidR="00462806">
        <w:t xml:space="preserve">Performance Audit </w:t>
      </w:r>
      <w:r w:rsidRPr="000D031E">
        <w:rPr>
          <w:bCs w:val="0"/>
        </w:rPr>
        <w:t>Report No. 5/2017:</w:t>
      </w:r>
      <w:r w:rsidRPr="007C5493">
        <w:rPr>
          <w:bCs w:val="0"/>
          <w:i/>
          <w:iCs/>
        </w:rPr>
        <w:t xml:space="preserve"> </w:t>
      </w:r>
      <w:r w:rsidRPr="00FE2D5D">
        <w:rPr>
          <w:i/>
          <w:iCs/>
        </w:rPr>
        <w:t>Maintenance of Selected Road Infrastructure Assets</w:t>
      </w:r>
      <w:r>
        <w:rPr>
          <w:i/>
          <w:iCs/>
        </w:rPr>
        <w:t xml:space="preserve"> </w:t>
      </w:r>
      <w:r w:rsidRPr="00F94D12">
        <w:t>was released on 9 June 2017</w:t>
      </w:r>
      <w:r>
        <w:rPr>
          <w:i/>
          <w:iCs/>
        </w:rPr>
        <w:t>.</w:t>
      </w:r>
      <w:r>
        <w:rPr>
          <w:rStyle w:val="FootnoteReference"/>
        </w:rPr>
        <w:footnoteReference w:id="8"/>
      </w:r>
    </w:p>
    <w:p w14:paraId="57EDF3E9" w14:textId="754A1CE5" w:rsidR="00171E59" w:rsidRPr="008F39C7" w:rsidRDefault="00171E59" w:rsidP="00AD12CF">
      <w:pPr>
        <w:pStyle w:val="ListNumber2"/>
      </w:pPr>
      <w:r w:rsidRPr="00A01410">
        <w:t>Road infrastructure assets include</w:t>
      </w:r>
      <w:r w:rsidR="00795A99" w:rsidRPr="00A01410">
        <w:t xml:space="preserve"> assets such as</w:t>
      </w:r>
      <w:r w:rsidRPr="00A01410">
        <w:t xml:space="preserve"> road pavements, streetlights, traffic signals and community paths (pathways and cycle lanes).</w:t>
      </w:r>
      <w:r w:rsidRPr="00A01410">
        <w:rPr>
          <w:rStyle w:val="FootnoteReference"/>
        </w:rPr>
        <w:footnoteReference w:id="9"/>
      </w:r>
      <w:r w:rsidRPr="00B61AFD">
        <w:rPr>
          <w:vertAlign w:val="superscript"/>
        </w:rPr>
        <w:t xml:space="preserve"> </w:t>
      </w:r>
      <w:r w:rsidRPr="00B61AFD">
        <w:rPr>
          <w:rFonts w:ascii="Calibri" w:hAnsi="Calibri" w:cs="Calibri"/>
        </w:rPr>
        <w:t>Roads ACT, a business unit within the Transport Canberra and City Services Directorate (TCCS), is responsible for planning, managing</w:t>
      </w:r>
      <w:r w:rsidR="00F131E8">
        <w:rPr>
          <w:rFonts w:ascii="Calibri" w:hAnsi="Calibri" w:cs="Calibri"/>
        </w:rPr>
        <w:t>,</w:t>
      </w:r>
      <w:r w:rsidRPr="00B61AFD">
        <w:rPr>
          <w:rFonts w:ascii="Calibri" w:hAnsi="Calibri" w:cs="Calibri"/>
        </w:rPr>
        <w:t xml:space="preserve"> and maintaining the</w:t>
      </w:r>
      <w:r w:rsidR="000663A1" w:rsidRPr="00B61AFD">
        <w:rPr>
          <w:rFonts w:ascii="Calibri" w:hAnsi="Calibri" w:cs="Calibri"/>
        </w:rPr>
        <w:t>se</w:t>
      </w:r>
      <w:r w:rsidRPr="00B61AFD">
        <w:rPr>
          <w:rFonts w:ascii="Calibri" w:hAnsi="Calibri" w:cs="Calibri"/>
        </w:rPr>
        <w:t xml:space="preserve"> road infrastructure assets.</w:t>
      </w:r>
      <w:r w:rsidRPr="00B61AFD">
        <w:rPr>
          <w:rStyle w:val="FootnoteReference"/>
          <w:rFonts w:ascii="Calibri" w:hAnsi="Calibri" w:cs="Calibri"/>
        </w:rPr>
        <w:t xml:space="preserve"> </w:t>
      </w:r>
      <w:r>
        <w:rPr>
          <w:rStyle w:val="FootnoteReference"/>
          <w:rFonts w:ascii="Calibri" w:hAnsi="Calibri" w:cs="Calibri"/>
        </w:rPr>
        <w:footnoteReference w:id="10"/>
      </w:r>
    </w:p>
    <w:p w14:paraId="2036E689" w14:textId="77162123" w:rsidR="00724D41" w:rsidRPr="00C856AF" w:rsidRDefault="00724D41" w:rsidP="00724D41">
      <w:pPr>
        <w:pStyle w:val="ListNumber2"/>
      </w:pPr>
      <w:r w:rsidRPr="00C856AF">
        <w:t>Roads ACT is responsible for managing and maintaining:</w:t>
      </w:r>
    </w:p>
    <w:p w14:paraId="7536D42F" w14:textId="77777777" w:rsidR="00724D41" w:rsidRPr="00D16A7B" w:rsidRDefault="00724D41" w:rsidP="00724D41">
      <w:pPr>
        <w:pStyle w:val="ListBullet2"/>
      </w:pPr>
      <w:r w:rsidRPr="00D16A7B">
        <w:t xml:space="preserve">3,100 </w:t>
      </w:r>
      <w:r>
        <w:t>kilometres (</w:t>
      </w:r>
      <w:r w:rsidRPr="00D16A7B">
        <w:t>km</w:t>
      </w:r>
      <w:r>
        <w:t>)</w:t>
      </w:r>
      <w:r w:rsidRPr="00D16A7B">
        <w:t xml:space="preserve"> of roads (equivalent to 6,700 lane km);</w:t>
      </w:r>
    </w:p>
    <w:p w14:paraId="5376F4AD" w14:textId="77777777" w:rsidR="00724D41" w:rsidRPr="00D16A7B" w:rsidRDefault="00724D41" w:rsidP="00724D41">
      <w:pPr>
        <w:pStyle w:val="ListBullet2"/>
      </w:pPr>
      <w:r w:rsidRPr="00D16A7B">
        <w:t>2,533 km of community paths in 106 suburbs, consisting of 2</w:t>
      </w:r>
      <w:r>
        <w:t>,</w:t>
      </w:r>
      <w:r w:rsidRPr="00D16A7B">
        <w:t>190 km of footpaths and 343 km of off‐road cycle paths;</w:t>
      </w:r>
    </w:p>
    <w:p w14:paraId="15957661" w14:textId="77777777" w:rsidR="00724D41" w:rsidRPr="00D16A7B" w:rsidRDefault="00724D41" w:rsidP="00724D41">
      <w:pPr>
        <w:pStyle w:val="ListBullet2"/>
      </w:pPr>
      <w:r w:rsidRPr="00D16A7B">
        <w:t>approximately 79,000 streetlights; and</w:t>
      </w:r>
    </w:p>
    <w:p w14:paraId="21EB1F70" w14:textId="7D4BF8AF" w:rsidR="00724D41" w:rsidRPr="00D16A7B" w:rsidRDefault="00724D41" w:rsidP="00724D41">
      <w:pPr>
        <w:pStyle w:val="ListBullet2"/>
      </w:pPr>
      <w:r w:rsidRPr="00D16A7B">
        <w:t>316 traffic signals and 48 signalised pedestrian crossings.</w:t>
      </w:r>
      <w:r>
        <w:rPr>
          <w:rStyle w:val="FootnoteReference"/>
        </w:rPr>
        <w:footnoteReference w:id="11"/>
      </w:r>
    </w:p>
    <w:p w14:paraId="09EC247B" w14:textId="6ED62AE9" w:rsidR="00B43EBB" w:rsidRDefault="00171E59" w:rsidP="00957465">
      <w:pPr>
        <w:pStyle w:val="ListNumber2"/>
      </w:pPr>
      <w:r>
        <w:t xml:space="preserve">The </w:t>
      </w:r>
      <w:r w:rsidR="00B43EBB">
        <w:t>audit examined the maintenance of road infrastructure assets and considered planning, implementation, evaluation, and governance relating to these assets.</w:t>
      </w:r>
      <w:r w:rsidR="00B43EBB">
        <w:rPr>
          <w:rStyle w:val="FootnoteReference"/>
        </w:rPr>
        <w:footnoteReference w:id="12"/>
      </w:r>
    </w:p>
    <w:p w14:paraId="57BF8BF9" w14:textId="48A8F567" w:rsidR="00724D41" w:rsidRPr="00C21332" w:rsidRDefault="00702736" w:rsidP="00702736">
      <w:pPr>
        <w:pStyle w:val="ListNumber2"/>
        <w:rPr>
          <w:sz w:val="23"/>
          <w:szCs w:val="23"/>
        </w:rPr>
      </w:pPr>
      <w:r w:rsidRPr="00702736">
        <w:rPr>
          <w:szCs w:val="22"/>
        </w:rPr>
        <w:t xml:space="preserve">The </w:t>
      </w:r>
      <w:r w:rsidR="00724D41">
        <w:rPr>
          <w:szCs w:val="22"/>
        </w:rPr>
        <w:t xml:space="preserve">audit </w:t>
      </w:r>
      <w:r w:rsidRPr="00702736">
        <w:rPr>
          <w:szCs w:val="22"/>
        </w:rPr>
        <w:t xml:space="preserve">report made 20 recommendations, </w:t>
      </w:r>
      <w:r w:rsidR="00724D41">
        <w:rPr>
          <w:szCs w:val="22"/>
        </w:rPr>
        <w:t xml:space="preserve">addressing issues including risk management, improvements to reporting, environmental management and operational plans, data and records management, feedback to customers, maintenance </w:t>
      </w:r>
      <w:r w:rsidR="00C21332">
        <w:rPr>
          <w:szCs w:val="22"/>
        </w:rPr>
        <w:t xml:space="preserve">programs and </w:t>
      </w:r>
      <w:r w:rsidR="00724D41">
        <w:rPr>
          <w:szCs w:val="22"/>
        </w:rPr>
        <w:t>backlog</w:t>
      </w:r>
      <w:r w:rsidR="00C21332">
        <w:rPr>
          <w:szCs w:val="22"/>
        </w:rPr>
        <w:t xml:space="preserve"> management and traffic signal maintenance and performance.</w:t>
      </w:r>
      <w:r w:rsidR="00C21332">
        <w:rPr>
          <w:rStyle w:val="FootnoteReference"/>
          <w:szCs w:val="22"/>
        </w:rPr>
        <w:footnoteReference w:id="13"/>
      </w:r>
    </w:p>
    <w:p w14:paraId="2F28D601" w14:textId="117C9E60" w:rsidR="003A130C" w:rsidRPr="001E5F4A" w:rsidRDefault="003A130C" w:rsidP="00496A46">
      <w:pPr>
        <w:pStyle w:val="Heading2"/>
      </w:pPr>
      <w:bookmarkStart w:id="18" w:name="_Toc144474973"/>
      <w:r w:rsidRPr="001E5F4A">
        <w:t xml:space="preserve">Government </w:t>
      </w:r>
      <w:r>
        <w:t>Response</w:t>
      </w:r>
      <w:r w:rsidRPr="001E5F4A">
        <w:t xml:space="preserve"> </w:t>
      </w:r>
      <w:r w:rsidR="00C21332">
        <w:t>- 2017</w:t>
      </w:r>
      <w:bookmarkEnd w:id="18"/>
    </w:p>
    <w:p w14:paraId="319C6322" w14:textId="426B4758" w:rsidR="003A130C" w:rsidRDefault="00BB433D" w:rsidP="003A130C">
      <w:pPr>
        <w:pStyle w:val="ListNumber2"/>
      </w:pPr>
      <w:r>
        <w:t>T</w:t>
      </w:r>
      <w:r w:rsidR="003A130C">
        <w:t xml:space="preserve">he ACT Government response to </w:t>
      </w:r>
      <w:r w:rsidR="00C21332" w:rsidRPr="007C5493">
        <w:rPr>
          <w:bCs w:val="0"/>
          <w:i/>
          <w:iCs/>
        </w:rPr>
        <w:t xml:space="preserve">Report No. 5/2017: </w:t>
      </w:r>
      <w:r w:rsidR="00C21332" w:rsidRPr="00FE2D5D">
        <w:rPr>
          <w:i/>
          <w:iCs/>
        </w:rPr>
        <w:t>Maintenance of Selected Road Infrastructure Assets</w:t>
      </w:r>
      <w:r w:rsidR="00C21332">
        <w:rPr>
          <w:i/>
          <w:iCs/>
        </w:rPr>
        <w:t xml:space="preserve"> </w:t>
      </w:r>
      <w:r w:rsidR="003A130C">
        <w:t>was presented to the Assembly on 24 October 2017.</w:t>
      </w:r>
      <w:r w:rsidR="003A130C">
        <w:rPr>
          <w:rStyle w:val="FootnoteReference"/>
        </w:rPr>
        <w:footnoteReference w:id="14"/>
      </w:r>
    </w:p>
    <w:p w14:paraId="1CF22210" w14:textId="0EEE8B94" w:rsidR="00354E4C" w:rsidRDefault="00F62F57" w:rsidP="00C32644">
      <w:pPr>
        <w:pStyle w:val="ListNumber2"/>
      </w:pPr>
      <w:r>
        <w:t>T</w:t>
      </w:r>
      <w:r w:rsidR="00354E4C">
        <w:t xml:space="preserve">he ACT Government agreed </w:t>
      </w:r>
      <w:r w:rsidR="009C211E">
        <w:t xml:space="preserve">to </w:t>
      </w:r>
      <w:r w:rsidR="004D3E43">
        <w:t xml:space="preserve">18 of </w:t>
      </w:r>
      <w:r>
        <w:t>the recommendations made in the audit report, and agreed in principle to the remaining two</w:t>
      </w:r>
      <w:r w:rsidR="00BE6DED">
        <w:t>: Recommendation 11, that Roads ACT should develop a long-term strategy for reducing the road maintenance backlog; and Recommendation 12, that Roads ACT should develop and implement programs to repair and inspect community paths</w:t>
      </w:r>
      <w:r>
        <w:t>.</w:t>
      </w:r>
      <w:r w:rsidR="00354E4C">
        <w:rPr>
          <w:rStyle w:val="FootnoteReference"/>
        </w:rPr>
        <w:footnoteReference w:id="15"/>
      </w:r>
    </w:p>
    <w:p w14:paraId="6AECC84E" w14:textId="56278E9C" w:rsidR="00E256D6" w:rsidRDefault="00390252" w:rsidP="00C32644">
      <w:pPr>
        <w:pStyle w:val="ListNumber2"/>
      </w:pPr>
      <w:r>
        <w:lastRenderedPageBreak/>
        <w:t xml:space="preserve">In reference to Recommendation 11, the ACT Government said that </w:t>
      </w:r>
      <w:r w:rsidR="00E256D6">
        <w:t>the backlog referred to ‘</w:t>
      </w:r>
      <w:r w:rsidR="00E256D6" w:rsidRPr="00E256D6">
        <w:t>the gap between the resurfacing targets and amount of resurfacing achieved</w:t>
      </w:r>
      <w:r w:rsidR="00E256D6">
        <w:t>’, which did not result in a list of roads awaiting resurfacing to be ‘rolled over’. The entire road network was re-evaluated each year and a resurfacing program developed ‘</w:t>
      </w:r>
      <w:r w:rsidR="00E256D6" w:rsidRPr="00E256D6">
        <w:t>to optimise the effect of the planned expenditure on the network as a whole</w:t>
      </w:r>
      <w:r w:rsidR="00E256D6">
        <w:t>’. Resurfacing targets had been achieved since 2015–2016.</w:t>
      </w:r>
      <w:r w:rsidR="00E256D6">
        <w:rPr>
          <w:rStyle w:val="FootnoteReference"/>
        </w:rPr>
        <w:footnoteReference w:id="16"/>
      </w:r>
    </w:p>
    <w:p w14:paraId="4696D35C" w14:textId="34F0E29C" w:rsidR="00E256D6" w:rsidRDefault="00D72B38" w:rsidP="00C32644">
      <w:pPr>
        <w:pStyle w:val="ListNumber2"/>
      </w:pPr>
      <w:r>
        <w:t>The ACT Government response also stated that a long-term strategy for a sustainable road maintenance program was included in the Roads ACT Strategic Asset Management Plan and was reviewed each year.</w:t>
      </w:r>
      <w:r>
        <w:rPr>
          <w:rStyle w:val="FootnoteReference"/>
        </w:rPr>
        <w:footnoteReference w:id="17"/>
      </w:r>
    </w:p>
    <w:p w14:paraId="00A120EE" w14:textId="1893291D" w:rsidR="00E256D6" w:rsidRPr="00E256D6" w:rsidRDefault="00D72B38" w:rsidP="00C32644">
      <w:pPr>
        <w:pStyle w:val="ListNumber2"/>
        <w:rPr>
          <w:rStyle w:val="FootnoteReference"/>
          <w:vertAlign w:val="baseline"/>
        </w:rPr>
      </w:pPr>
      <w:r>
        <w:t xml:space="preserve">In reference to Recommendation 12, the ACT Government noted that Roads ACT was reviewing the path inspection and maintenance strategy. It intended to adopt different approaches for concrete and asphalt paths, with more frequent inspections and a preventative maintenance program to be put in place for asphalt paths. The inspection program for concrete paths was to be ‘expanded’, with hazards to be addressed </w:t>
      </w:r>
      <w:r w:rsidR="00BE0545">
        <w:t>within timeframes specified in the Operational Plan. A revised Operational Plan was to be implemented in 2018–2019.</w:t>
      </w:r>
      <w:r w:rsidR="00BE0545">
        <w:rPr>
          <w:rStyle w:val="FootnoteReference"/>
        </w:rPr>
        <w:footnoteReference w:id="18"/>
      </w:r>
    </w:p>
    <w:p w14:paraId="5DE6C05F" w14:textId="4C72F757" w:rsidR="00226D7C" w:rsidRDefault="00A34CE2" w:rsidP="00496A46">
      <w:pPr>
        <w:pStyle w:val="Heading2"/>
      </w:pPr>
      <w:bookmarkStart w:id="19" w:name="_Toc144474974"/>
      <w:r>
        <w:t>Status update - 2022</w:t>
      </w:r>
      <w:bookmarkEnd w:id="19"/>
    </w:p>
    <w:p w14:paraId="754700C3" w14:textId="4E0AB4DA" w:rsidR="000A7D66" w:rsidRDefault="000A7D66" w:rsidP="00F42828">
      <w:pPr>
        <w:pStyle w:val="ListNumber2"/>
      </w:pPr>
      <w:r>
        <w:t>In its submission, the ACT Government provided an update on actions taken to implement the Auditor-General’s recommendations, dated 8 December 2022.</w:t>
      </w:r>
      <w:r>
        <w:rPr>
          <w:rStyle w:val="FootnoteReference"/>
        </w:rPr>
        <w:footnoteReference w:id="19"/>
      </w:r>
    </w:p>
    <w:p w14:paraId="722A882B" w14:textId="23A402CC" w:rsidR="0050338E" w:rsidRDefault="0050338E" w:rsidP="0050338E">
      <w:pPr>
        <w:pStyle w:val="ListNumber2"/>
      </w:pPr>
      <w:r>
        <w:t>The ACT Government noted that ‘robust corporate governance arrangements’ operated within TCCS to ensure monitoring and implementation of audit recommendations. New Strategic and Accountability indicators had been put in place relating to pavement condition, resurfacing targets and coverage, and customer satisfaction for community path maintenance.</w:t>
      </w:r>
      <w:r>
        <w:rPr>
          <w:rStyle w:val="FootnoteReference"/>
        </w:rPr>
        <w:footnoteReference w:id="20"/>
      </w:r>
    </w:p>
    <w:p w14:paraId="15FF9DA3" w14:textId="0CD269F1" w:rsidR="0050338E" w:rsidRDefault="0050338E" w:rsidP="00F42828">
      <w:pPr>
        <w:pStyle w:val="ListNumber2"/>
      </w:pPr>
      <w:r>
        <w:t>In relation to strategic asset maintenance planning, the ACT Government noted that the Roads ACT Strategic Asset Management Plan had been updated in 2018 and that TCCS had implemented a new Asset Information Management System.</w:t>
      </w:r>
      <w:r>
        <w:rPr>
          <w:rStyle w:val="FootnoteReference"/>
        </w:rPr>
        <w:footnoteReference w:id="21"/>
      </w:r>
    </w:p>
    <w:p w14:paraId="7F36ECBB" w14:textId="5F08B7FA" w:rsidR="0050338E" w:rsidRDefault="0050338E" w:rsidP="00F42828">
      <w:pPr>
        <w:pStyle w:val="ListNumber2"/>
      </w:pPr>
      <w:r>
        <w:t>The Government Response provided updates against each recommendation, showing progress or completion and adoption as ‘business as usual’.</w:t>
      </w:r>
      <w:r>
        <w:rPr>
          <w:rStyle w:val="FootnoteReference"/>
        </w:rPr>
        <w:footnoteReference w:id="22"/>
      </w:r>
    </w:p>
    <w:p w14:paraId="37E81961" w14:textId="5D616F7F" w:rsidR="00401CDF" w:rsidRDefault="00401CDF" w:rsidP="00264C46">
      <w:pPr>
        <w:pStyle w:val="Heading4"/>
      </w:pPr>
      <w:r>
        <w:lastRenderedPageBreak/>
        <w:t>Committee comment</w:t>
      </w:r>
    </w:p>
    <w:p w14:paraId="239F8F23" w14:textId="77701E15" w:rsidR="00F42828" w:rsidRDefault="00F42828" w:rsidP="00F42828">
      <w:pPr>
        <w:pStyle w:val="ListNumber2"/>
      </w:pPr>
      <w:r>
        <w:t>The Committee is pleased to note the significant progress which has been made in implementing the Auditor-General’s recommendations, many of which have now been incorporated into ‘business as usual’ policies by Roads ACT.</w:t>
      </w:r>
    </w:p>
    <w:p w14:paraId="392CA6C8" w14:textId="53265D19" w:rsidR="00F42828" w:rsidRDefault="006E09A1" w:rsidP="00F42828">
      <w:pPr>
        <w:pStyle w:val="ListNumber2"/>
      </w:pPr>
      <w:r>
        <w:t>Noting that the ACT Government submission stated that Roads ACT was trialling the use of sustainable materials in concrete paths, the Committee considers that the ACT Government should report on the outcomes of this trial.</w:t>
      </w:r>
      <w:r w:rsidR="00F42828">
        <w:rPr>
          <w:rStyle w:val="FootnoteReference"/>
        </w:rPr>
        <w:footnoteReference w:id="23"/>
      </w:r>
    </w:p>
    <w:tbl>
      <w:tblPr>
        <w:tblW w:w="0" w:type="auto"/>
        <w:tblCellSpacing w:w="105" w:type="dxa"/>
        <w:tblInd w:w="851" w:type="dxa"/>
        <w:tblCellMar>
          <w:left w:w="0" w:type="dxa"/>
          <w:right w:w="0" w:type="dxa"/>
        </w:tblCellMar>
        <w:tblLook w:val="04A0" w:firstRow="1" w:lastRow="0" w:firstColumn="1" w:lastColumn="0" w:noHBand="0" w:noVBand="1"/>
      </w:tblPr>
      <w:tblGrid>
        <w:gridCol w:w="8175"/>
      </w:tblGrid>
      <w:tr w:rsidR="007F63A1" w14:paraId="0D509D06" w14:textId="77777777" w:rsidTr="00D13890">
        <w:trPr>
          <w:cantSplit/>
          <w:tblCellSpacing w:w="105" w:type="dxa"/>
        </w:trPr>
        <w:tc>
          <w:tcPr>
            <w:tcW w:w="7755" w:type="dxa"/>
            <w:shd w:val="clear" w:color="auto" w:fill="D5DEF0"/>
            <w:tcMar>
              <w:top w:w="0" w:type="dxa"/>
              <w:left w:w="108" w:type="dxa"/>
              <w:bottom w:w="0" w:type="dxa"/>
              <w:right w:w="108" w:type="dxa"/>
            </w:tcMar>
            <w:vAlign w:val="center"/>
            <w:hideMark/>
          </w:tcPr>
          <w:p w14:paraId="1E9CAA49" w14:textId="77777777" w:rsidR="009420D4" w:rsidRDefault="009420D4" w:rsidP="009420D4">
            <w:pPr>
              <w:pStyle w:val="Recommendationheading"/>
            </w:pPr>
            <w:bookmarkStart w:id="20" w:name="_Toc80261301"/>
            <w:bookmarkStart w:id="21" w:name="_Toc148010703"/>
            <w:r>
              <w:t xml:space="preserve">Recommendation </w:t>
            </w:r>
            <w:r>
              <w:fldChar w:fldCharType="begin"/>
            </w:r>
            <w:r>
              <w:instrText xml:space="preserve"> AUTONUMLGL \* Arabic\e </w:instrText>
            </w:r>
            <w:r>
              <w:fldChar w:fldCharType="end"/>
            </w:r>
            <w:bookmarkEnd w:id="20"/>
            <w:bookmarkEnd w:id="21"/>
          </w:p>
          <w:p w14:paraId="4E6B816A" w14:textId="594680A3" w:rsidR="007F63A1" w:rsidRPr="00E2166B" w:rsidRDefault="00390032" w:rsidP="00E2166B">
            <w:pPr>
              <w:pStyle w:val="Recommendationbody"/>
            </w:pPr>
            <w:hyperlink w:anchor="_Toc144715357" w:history="1">
              <w:bookmarkStart w:id="22" w:name="_Toc148010704"/>
              <w:r w:rsidR="00E2166B" w:rsidRPr="00C53744">
                <w:rPr>
                  <w:rStyle w:val="Hyperlink"/>
                  <w:color w:val="auto"/>
                  <w:u w:val="none"/>
                </w:rPr>
                <w:t>The Committee recommends that the ACT Government provide a report on its use of sustainable materials in road or path construction to the Assembly before the end of the financial year.</w:t>
              </w:r>
              <w:bookmarkEnd w:id="22"/>
            </w:hyperlink>
          </w:p>
        </w:tc>
      </w:tr>
    </w:tbl>
    <w:p w14:paraId="562D9863" w14:textId="2854D8CF" w:rsidR="000F7B02" w:rsidRDefault="00C8255C" w:rsidP="000D71D2">
      <w:pPr>
        <w:pStyle w:val="Heading1"/>
        <w:pageBreakBefore/>
      </w:pPr>
      <w:bookmarkStart w:id="23" w:name="_Toc144474975"/>
      <w:r>
        <w:lastRenderedPageBreak/>
        <w:t>Audit Report No</w:t>
      </w:r>
      <w:r w:rsidR="0031241B">
        <w:t>.</w:t>
      </w:r>
      <w:r w:rsidR="000D71D2">
        <w:t xml:space="preserve"> </w:t>
      </w:r>
      <w:r w:rsidR="00A3496C">
        <w:t>7/2019: Referral processes for the support of vulnerable children</w:t>
      </w:r>
      <w:bookmarkEnd w:id="23"/>
    </w:p>
    <w:p w14:paraId="1EC37C0F" w14:textId="051840BE" w:rsidR="00E01358" w:rsidRPr="00A170B9" w:rsidRDefault="009757D3" w:rsidP="00A170B9">
      <w:pPr>
        <w:pStyle w:val="ListNumber2"/>
      </w:pPr>
      <w:r w:rsidRPr="00A170B9">
        <w:t xml:space="preserve">The Auditor-General’s </w:t>
      </w:r>
      <w:r w:rsidR="00462806">
        <w:t xml:space="preserve">Performance Audit </w:t>
      </w:r>
      <w:r w:rsidR="00D5786F">
        <w:t>R</w:t>
      </w:r>
      <w:r w:rsidRPr="00A170B9">
        <w:t>eport No.</w:t>
      </w:r>
      <w:r w:rsidR="0031241B">
        <w:t xml:space="preserve"> </w:t>
      </w:r>
      <w:r w:rsidRPr="00A170B9">
        <w:t xml:space="preserve">7/2019: </w:t>
      </w:r>
      <w:r w:rsidRPr="0031241B">
        <w:rPr>
          <w:i/>
          <w:iCs/>
        </w:rPr>
        <w:t>Referral processes for the support of vulnerable children</w:t>
      </w:r>
      <w:r w:rsidRPr="00A170B9">
        <w:t xml:space="preserve"> was released on 27 June 2019.</w:t>
      </w:r>
      <w:r w:rsidR="00CC42BB" w:rsidRPr="00CC42BB">
        <w:rPr>
          <w:rStyle w:val="FootnoteReference"/>
        </w:rPr>
        <w:footnoteReference w:id="24"/>
      </w:r>
      <w:r w:rsidR="004304AA" w:rsidRPr="00A170B9">
        <w:t xml:space="preserve"> The report focuse</w:t>
      </w:r>
      <w:r w:rsidR="00E01358" w:rsidRPr="00A170B9">
        <w:t>d</w:t>
      </w:r>
      <w:r w:rsidR="004304AA" w:rsidRPr="00A170B9">
        <w:t xml:space="preserve"> on universal early family support services, noting the importance of experiences in children between the ages of birth and five years</w:t>
      </w:r>
      <w:r w:rsidR="00692D5C" w:rsidRPr="00A170B9">
        <w:t xml:space="preserve"> in shaping their health, wellbeing</w:t>
      </w:r>
      <w:r w:rsidR="00006AB6">
        <w:t>,</w:t>
      </w:r>
      <w:r w:rsidR="00692D5C" w:rsidRPr="00A170B9">
        <w:t xml:space="preserve"> and development</w:t>
      </w:r>
      <w:r w:rsidR="004304AA" w:rsidRPr="00A170B9">
        <w:t>.</w:t>
      </w:r>
      <w:r w:rsidR="00E01358" w:rsidRPr="00A170B9">
        <w:rPr>
          <w:rStyle w:val="FootnoteReference"/>
        </w:rPr>
        <w:footnoteReference w:id="25"/>
      </w:r>
      <w:r w:rsidR="008556C8" w:rsidRPr="00A170B9">
        <w:rPr>
          <w:vertAlign w:val="superscript"/>
        </w:rPr>
        <w:t xml:space="preserve"> </w:t>
      </w:r>
    </w:p>
    <w:p w14:paraId="0758780E" w14:textId="1DCD89F7" w:rsidR="00D5786F" w:rsidRDefault="00D5786F" w:rsidP="00A170B9">
      <w:pPr>
        <w:pStyle w:val="ListNumber2"/>
      </w:pPr>
      <w:r>
        <w:t>The report examined the Maternal and Child Health Service (MACH), Child and Family Centres, and the Child Development Service, the referrals made by these agencies, and monitoring and reporting of services for vulnerable children and families.</w:t>
      </w:r>
      <w:r>
        <w:rPr>
          <w:rStyle w:val="FootnoteReference"/>
        </w:rPr>
        <w:footnoteReference w:id="26"/>
      </w:r>
    </w:p>
    <w:p w14:paraId="6880C9DC" w14:textId="0142E1EE" w:rsidR="00CE4E33" w:rsidRPr="00A170B9" w:rsidRDefault="00A3286B" w:rsidP="00A170B9">
      <w:pPr>
        <w:pStyle w:val="ListNumber2"/>
      </w:pPr>
      <w:r>
        <w:t>The</w:t>
      </w:r>
      <w:r w:rsidR="00CE4E33" w:rsidRPr="00A170B9">
        <w:t xml:space="preserve"> report</w:t>
      </w:r>
      <w:r>
        <w:t xml:space="preserve"> concluded that</w:t>
      </w:r>
      <w:r w:rsidR="00CE4E33" w:rsidRPr="00A170B9">
        <w:t xml:space="preserve"> universal early family support services such as </w:t>
      </w:r>
      <w:r w:rsidR="00D5786F">
        <w:t>those examined</w:t>
      </w:r>
      <w:r w:rsidR="00CE4E33" w:rsidRPr="00A170B9">
        <w:t xml:space="preserve"> provide</w:t>
      </w:r>
      <w:r>
        <w:t>d</w:t>
      </w:r>
      <w:r w:rsidR="00CE4E33" w:rsidRPr="00A170B9">
        <w:t xml:space="preserve"> an opportunity for ACT Government agencies</w:t>
      </w:r>
      <w:r w:rsidR="009919F3" w:rsidRPr="00A170B9">
        <w:t xml:space="preserve"> and staff</w:t>
      </w:r>
      <w:r w:rsidR="00CE4E33" w:rsidRPr="00A170B9">
        <w:t xml:space="preserve"> to identify potentially vulnerable children and their families</w:t>
      </w:r>
      <w:r w:rsidR="002D413A">
        <w:t xml:space="preserve"> </w:t>
      </w:r>
      <w:r>
        <w:t>and their support requirements. The report noted that</w:t>
      </w:r>
      <w:r w:rsidR="002D413A">
        <w:t xml:space="preserve"> </w:t>
      </w:r>
      <w:r w:rsidR="00BC48AE">
        <w:t>MACH</w:t>
      </w:r>
      <w:r w:rsidR="00A5133B" w:rsidRPr="00A170B9">
        <w:t xml:space="preserve"> in particular offer</w:t>
      </w:r>
      <w:r>
        <w:t>ed</w:t>
      </w:r>
      <w:r w:rsidR="00A5133B" w:rsidRPr="00A170B9">
        <w:t xml:space="preserve"> </w:t>
      </w:r>
      <w:r>
        <w:t>‘</w:t>
      </w:r>
      <w:r w:rsidR="00A5133B" w:rsidRPr="00A170B9">
        <w:t>one of the best and most accessible universal contact points for families during pregnancy and birth</w:t>
      </w:r>
      <w:r>
        <w:t>’</w:t>
      </w:r>
      <w:r w:rsidR="00CE4E33" w:rsidRPr="00A170B9">
        <w:t>.</w:t>
      </w:r>
      <w:r w:rsidR="00CE4E33" w:rsidRPr="00A170B9">
        <w:rPr>
          <w:rStyle w:val="FootnoteReference"/>
        </w:rPr>
        <w:footnoteReference w:id="27"/>
      </w:r>
    </w:p>
    <w:p w14:paraId="40AA272D" w14:textId="57CE1965" w:rsidR="00AF1865" w:rsidRDefault="00D75D78" w:rsidP="00606586">
      <w:pPr>
        <w:pStyle w:val="ListNumber2"/>
      </w:pPr>
      <w:r>
        <w:t xml:space="preserve">The report </w:t>
      </w:r>
      <w:r w:rsidR="00D5786F">
        <w:t>observed</w:t>
      </w:r>
      <w:r>
        <w:t xml:space="preserve"> that </w:t>
      </w:r>
      <w:r w:rsidR="00223C11">
        <w:t>MACH nurses were highly experienced in providing health care to mothers and children</w:t>
      </w:r>
      <w:r w:rsidR="00006AB6">
        <w:t>,</w:t>
      </w:r>
      <w:r w:rsidR="00223C11">
        <w:t xml:space="preserve"> </w:t>
      </w:r>
      <w:r w:rsidR="00006AB6">
        <w:t xml:space="preserve">in </w:t>
      </w:r>
      <w:r w:rsidR="00223C11">
        <w:t>identifying their needs and vulnerabilities</w:t>
      </w:r>
      <w:r w:rsidR="00006AB6">
        <w:t>,</w:t>
      </w:r>
      <w:r w:rsidR="00223C11">
        <w:t xml:space="preserve"> and </w:t>
      </w:r>
      <w:r w:rsidR="00006AB6">
        <w:t xml:space="preserve">which </w:t>
      </w:r>
      <w:r w:rsidR="00223C11">
        <w:t xml:space="preserve">programs and services </w:t>
      </w:r>
      <w:r w:rsidR="00006AB6">
        <w:t>could</w:t>
      </w:r>
      <w:r w:rsidR="00223C11">
        <w:t xml:space="preserve"> address these.</w:t>
      </w:r>
      <w:r w:rsidR="00223C11">
        <w:rPr>
          <w:rStyle w:val="FootnoteReference"/>
        </w:rPr>
        <w:footnoteReference w:id="28"/>
      </w:r>
      <w:r w:rsidR="00223C11">
        <w:t xml:space="preserve"> MACH sought to provide a</w:t>
      </w:r>
      <w:r>
        <w:t xml:space="preserve"> voluntary</w:t>
      </w:r>
      <w:r w:rsidR="00223C11">
        <w:t xml:space="preserve"> </w:t>
      </w:r>
      <w:r>
        <w:t>‘</w:t>
      </w:r>
      <w:r w:rsidR="00223C11">
        <w:t>universal home visit’ to all children born and residing in the ACT</w:t>
      </w:r>
      <w:r>
        <w:t xml:space="preserve"> between one and four weeks after birth</w:t>
      </w:r>
      <w:r w:rsidR="00223C11">
        <w:t xml:space="preserve">. However, </w:t>
      </w:r>
      <w:r w:rsidR="00BC48AE">
        <w:t xml:space="preserve">10 </w:t>
      </w:r>
      <w:r w:rsidR="006A424F">
        <w:t xml:space="preserve">percent of children </w:t>
      </w:r>
      <w:r>
        <w:t xml:space="preserve">born </w:t>
      </w:r>
      <w:r w:rsidR="006A424F">
        <w:t xml:space="preserve">in the ACT </w:t>
      </w:r>
      <w:r>
        <w:t>in 2018 had</w:t>
      </w:r>
      <w:r w:rsidR="00BC48AE">
        <w:t xml:space="preserve"> </w:t>
      </w:r>
      <w:r w:rsidR="006A424F">
        <w:t xml:space="preserve">not </w:t>
      </w:r>
      <w:r>
        <w:t>attended</w:t>
      </w:r>
      <w:r w:rsidR="00BC48AE">
        <w:t xml:space="preserve"> </w:t>
      </w:r>
      <w:r w:rsidR="006A424F">
        <w:t xml:space="preserve">a universal home visit from </w:t>
      </w:r>
      <w:r w:rsidR="00BC48AE">
        <w:t>MACH</w:t>
      </w:r>
      <w:r w:rsidR="00D5786F">
        <w:t>, which represented a ‘missed opportunity’ for beneficial engagement by and with ACT Government agencies</w:t>
      </w:r>
      <w:r w:rsidR="006A424F">
        <w:t>.</w:t>
      </w:r>
      <w:r w:rsidR="006A424F">
        <w:rPr>
          <w:rStyle w:val="FootnoteReference"/>
        </w:rPr>
        <w:footnoteReference w:id="29"/>
      </w:r>
      <w:r w:rsidR="008A7CBA" w:rsidRPr="008A7CBA">
        <w:t xml:space="preserve"> </w:t>
      </w:r>
    </w:p>
    <w:p w14:paraId="2FBA6F77" w14:textId="00C1E208" w:rsidR="00796512" w:rsidRDefault="00796512" w:rsidP="00FC2351">
      <w:pPr>
        <w:pStyle w:val="ListNumber2"/>
      </w:pPr>
      <w:bookmarkStart w:id="24" w:name="_Toc135387354"/>
      <w:r>
        <w:t xml:space="preserve">The report </w:t>
      </w:r>
      <w:r w:rsidR="00D5786F">
        <w:t xml:space="preserve">also </w:t>
      </w:r>
      <w:r>
        <w:t xml:space="preserve">concluded that </w:t>
      </w:r>
      <w:r w:rsidR="00D5786F">
        <w:t>the</w:t>
      </w:r>
      <w:r>
        <w:t xml:space="preserve"> </w:t>
      </w:r>
      <w:r w:rsidR="00D5786F">
        <w:t>examined</w:t>
      </w:r>
      <w:r w:rsidR="00C47525">
        <w:t xml:space="preserve"> services</w:t>
      </w:r>
      <w:r w:rsidR="00D5786F">
        <w:t xml:space="preserve"> </w:t>
      </w:r>
      <w:r>
        <w:t>provided a range of services and supports for vulnerable children and families once engagement was established, and that the services had linkages with</w:t>
      </w:r>
      <w:r w:rsidR="002D413A">
        <w:t>,</w:t>
      </w:r>
      <w:r>
        <w:t xml:space="preserve"> and made referrals to</w:t>
      </w:r>
      <w:r w:rsidR="002D413A">
        <w:t>,</w:t>
      </w:r>
      <w:r>
        <w:t xml:space="preserve"> a range of other prog</w:t>
      </w:r>
      <w:r w:rsidR="00D5786F">
        <w:t>r</w:t>
      </w:r>
      <w:r>
        <w:t xml:space="preserve">ams and services both within the ACT Government and offered by external providers. The report suggested that stronger and more comprehensive administrative and procedural guidance </w:t>
      </w:r>
      <w:r w:rsidR="002D413A">
        <w:t>for staff would be beneficial, particularly with respect to processes for referrals to other programs.</w:t>
      </w:r>
      <w:r w:rsidR="002D413A">
        <w:rPr>
          <w:rStyle w:val="FootnoteReference"/>
        </w:rPr>
        <w:footnoteReference w:id="30"/>
      </w:r>
    </w:p>
    <w:p w14:paraId="23BAE447" w14:textId="2B27FAFE" w:rsidR="00FC2351" w:rsidRDefault="008B08BC" w:rsidP="00FC2351">
      <w:pPr>
        <w:pStyle w:val="ListNumber2"/>
      </w:pPr>
      <w:r>
        <w:t xml:space="preserve">The report further concluded that public reporting and accountability for service delivery to vulnerable children and their families could be improved, noting that neither Canberra Health Services nor the Community Services Directorate had Strategic Indicators or </w:t>
      </w:r>
      <w:r>
        <w:lastRenderedPageBreak/>
        <w:t>Accountability Indicators in place to provide meaningful information on the effectiveness of the programs and services offered.</w:t>
      </w:r>
      <w:r>
        <w:rPr>
          <w:rStyle w:val="FootnoteReference"/>
        </w:rPr>
        <w:footnoteReference w:id="31"/>
      </w:r>
    </w:p>
    <w:p w14:paraId="37D4A316" w14:textId="782300D7" w:rsidR="005E5B1A" w:rsidRDefault="005E5B1A" w:rsidP="00FC2351">
      <w:pPr>
        <w:pStyle w:val="ListNumber2"/>
      </w:pPr>
      <w:r>
        <w:t>The report made six recommendations covering universal first home visits, health and development checks, administrative guidance, service planning and an accountability framework.</w:t>
      </w:r>
      <w:r>
        <w:rPr>
          <w:rStyle w:val="FootnoteReference"/>
        </w:rPr>
        <w:footnoteReference w:id="32"/>
      </w:r>
    </w:p>
    <w:p w14:paraId="66F686E3" w14:textId="6019C839" w:rsidR="006E2CEB" w:rsidRDefault="00431A20" w:rsidP="00496A46">
      <w:pPr>
        <w:pStyle w:val="Heading2"/>
      </w:pPr>
      <w:bookmarkStart w:id="25" w:name="_Toc144474976"/>
      <w:bookmarkEnd w:id="24"/>
      <w:r>
        <w:t>Government response</w:t>
      </w:r>
      <w:r w:rsidR="006F431A">
        <w:t xml:space="preserve"> - 2019</w:t>
      </w:r>
      <w:bookmarkEnd w:id="25"/>
    </w:p>
    <w:p w14:paraId="1543BCD2" w14:textId="30C76CBD" w:rsidR="0031241B" w:rsidRPr="00A607BB" w:rsidRDefault="0031241B" w:rsidP="0031241B">
      <w:pPr>
        <w:pStyle w:val="ListNumber2"/>
      </w:pPr>
      <w:r>
        <w:t xml:space="preserve">The </w:t>
      </w:r>
      <w:r w:rsidR="00423743">
        <w:t xml:space="preserve">ACT </w:t>
      </w:r>
      <w:r>
        <w:t>Government released its response to the Auditor-General’s report on 24 October 2019.</w:t>
      </w:r>
      <w:r>
        <w:rPr>
          <w:rStyle w:val="FootnoteReference"/>
        </w:rPr>
        <w:footnoteReference w:id="33"/>
      </w:r>
    </w:p>
    <w:p w14:paraId="384AE18F" w14:textId="77777777" w:rsidR="00423743" w:rsidRDefault="00AC683D" w:rsidP="00AC683D">
      <w:pPr>
        <w:pStyle w:val="ListNumber2"/>
      </w:pPr>
      <w:r w:rsidRPr="006E1799">
        <w:t xml:space="preserve">The </w:t>
      </w:r>
      <w:r w:rsidR="00423743">
        <w:t>response</w:t>
      </w:r>
      <w:r w:rsidRPr="006E1799">
        <w:t xml:space="preserve"> note</w:t>
      </w:r>
      <w:r w:rsidR="00C667ED">
        <w:t>d</w:t>
      </w:r>
      <w:r w:rsidRPr="006E1799">
        <w:t xml:space="preserve"> th</w:t>
      </w:r>
      <w:r w:rsidR="00423743">
        <w:t>at</w:t>
      </w:r>
      <w:r w:rsidRPr="006E1799">
        <w:t xml:space="preserve"> MACH ha</w:t>
      </w:r>
      <w:r w:rsidR="00C667ED">
        <w:t>d</w:t>
      </w:r>
      <w:r w:rsidRPr="006E1799">
        <w:t xml:space="preserve"> </w:t>
      </w:r>
      <w:r w:rsidR="00423743">
        <w:t>undergone</w:t>
      </w:r>
      <w:r w:rsidRPr="006E1799">
        <w:t xml:space="preserve"> </w:t>
      </w:r>
      <w:r w:rsidR="00423743">
        <w:t>‘</w:t>
      </w:r>
      <w:r w:rsidRPr="006E1799">
        <w:t>significant</w:t>
      </w:r>
      <w:r w:rsidR="00423743">
        <w:t>’</w:t>
      </w:r>
      <w:r w:rsidRPr="006E1799">
        <w:t xml:space="preserve"> review and re-design since the </w:t>
      </w:r>
      <w:r w:rsidR="00423743">
        <w:t>a</w:t>
      </w:r>
      <w:r w:rsidRPr="006E1799">
        <w:t>udit</w:t>
      </w:r>
      <w:r w:rsidR="00423743">
        <w:t xml:space="preserve">, </w:t>
      </w:r>
      <w:r w:rsidRPr="006E1799">
        <w:t>including</w:t>
      </w:r>
      <w:r w:rsidR="00423743">
        <w:t xml:space="preserve"> a</w:t>
      </w:r>
      <w:r w:rsidRPr="006E1799">
        <w:t xml:space="preserve"> restructuring of </w:t>
      </w:r>
      <w:r w:rsidR="00423743">
        <w:t>its s</w:t>
      </w:r>
      <w:r w:rsidRPr="006E1799">
        <w:t>ervice model</w:t>
      </w:r>
      <w:r w:rsidR="00423743">
        <w:t>, a workforce strategy and ‘relocation of clinical services to meet community need’.</w:t>
      </w:r>
      <w:r w:rsidR="00423743">
        <w:rPr>
          <w:rStyle w:val="FootnoteReference"/>
        </w:rPr>
        <w:footnoteReference w:id="34"/>
      </w:r>
    </w:p>
    <w:p w14:paraId="2B698AFA" w14:textId="2B30D705" w:rsidR="00AC683D" w:rsidRPr="00DD3880" w:rsidRDefault="00423743" w:rsidP="00AC683D">
      <w:pPr>
        <w:pStyle w:val="ListNumber2"/>
      </w:pPr>
      <w:r>
        <w:t>The response further noted that the ACT Government had launched an E</w:t>
      </w:r>
      <w:r w:rsidR="00AC683D" w:rsidRPr="006E1799">
        <w:t>arly Family Support Initiative</w:t>
      </w:r>
      <w:r>
        <w:t>, ‘</w:t>
      </w:r>
      <w:r w:rsidR="00AC683D" w:rsidRPr="006E1799">
        <w:t>to review and respond to identified gaps in services for families experiencing vulnerabilities</w:t>
      </w:r>
      <w:r>
        <w:t>’ while recognising that</w:t>
      </w:r>
      <w:r w:rsidR="00AC683D" w:rsidRPr="006E1799">
        <w:t xml:space="preserve"> </w:t>
      </w:r>
      <w:r>
        <w:t>there can be no compulsion to access such support services.</w:t>
      </w:r>
      <w:r w:rsidR="00AC683D">
        <w:rPr>
          <w:rStyle w:val="FootnoteReference"/>
          <w:sz w:val="23"/>
          <w:szCs w:val="23"/>
        </w:rPr>
        <w:footnoteReference w:id="35"/>
      </w:r>
    </w:p>
    <w:p w14:paraId="27F31B1E" w14:textId="4B0102A1" w:rsidR="00922BE6" w:rsidRDefault="00423743" w:rsidP="006E2CEB">
      <w:pPr>
        <w:pStyle w:val="ListNumber2"/>
      </w:pPr>
      <w:r>
        <w:t xml:space="preserve">The ACT Government agreed to five of the </w:t>
      </w:r>
      <w:r w:rsidR="0041138F">
        <w:t xml:space="preserve">Auditor-General’s </w:t>
      </w:r>
      <w:r>
        <w:t>recommendations</w:t>
      </w:r>
      <w:r w:rsidR="00462A3E">
        <w:t>. It agreed to one recommendation in principle:</w:t>
      </w:r>
      <w:r w:rsidR="00922BE6">
        <w:rPr>
          <w:rStyle w:val="FootnoteReference"/>
        </w:rPr>
        <w:footnoteReference w:id="36"/>
      </w:r>
      <w:r w:rsidR="00462A3E">
        <w:t xml:space="preserve"> </w:t>
      </w:r>
    </w:p>
    <w:p w14:paraId="351C4648" w14:textId="7E7C9325" w:rsidR="00922BE6" w:rsidRPr="00922BE6" w:rsidRDefault="00922BE6" w:rsidP="00922BE6">
      <w:pPr>
        <w:pStyle w:val="Quote"/>
        <w:rPr>
          <w:b/>
          <w:bCs/>
        </w:rPr>
      </w:pPr>
      <w:r w:rsidRPr="00922BE6">
        <w:rPr>
          <w:b/>
          <w:bCs/>
        </w:rPr>
        <w:t>Recommendation 5 - Strengthening Service Planning</w:t>
      </w:r>
    </w:p>
    <w:p w14:paraId="5B20E200" w14:textId="516F47A4" w:rsidR="00922BE6" w:rsidRDefault="00922BE6" w:rsidP="00922BE6">
      <w:pPr>
        <w:pStyle w:val="Quote"/>
      </w:pPr>
      <w:r>
        <w:t>In order to improve program management and service delivery, and the collection of data and needs analysis information that informs strategic and systemic planning, the Canberra Health Services and the Community Services Directorate should regularly report on:</w:t>
      </w:r>
    </w:p>
    <w:p w14:paraId="178B091F" w14:textId="77777777" w:rsidR="00922BE6" w:rsidRDefault="00922BE6" w:rsidP="00922BE6">
      <w:pPr>
        <w:pStyle w:val="Quote"/>
      </w:pPr>
      <w:r>
        <w:t>a) identifying gaps in service pathways for clients and how these are being addressed;</w:t>
      </w:r>
    </w:p>
    <w:p w14:paraId="5E7A34A1" w14:textId="2DCEB52E" w:rsidR="00922BE6" w:rsidRDefault="00922BE6" w:rsidP="00922BE6">
      <w:pPr>
        <w:pStyle w:val="Quote"/>
      </w:pPr>
      <w:r>
        <w:t>b) unmet need, where there is limited service capacity to provide timely responses to children and their families; and</w:t>
      </w:r>
    </w:p>
    <w:p w14:paraId="2B40A7E9" w14:textId="52CA0211" w:rsidR="00922BE6" w:rsidRPr="00922BE6" w:rsidRDefault="00922BE6" w:rsidP="00922BE6">
      <w:pPr>
        <w:pStyle w:val="Quote"/>
        <w:rPr>
          <w:rFonts w:cstheme="minorHAnsi"/>
        </w:rPr>
      </w:pPr>
      <w:r>
        <w:lastRenderedPageBreak/>
        <w:t>c) any emerging trends in referral patterns which may indicate changes to need, and/or which could be indicate of areas where additional early support capacity would be beneficial.</w:t>
      </w:r>
      <w:r>
        <w:rPr>
          <w:rStyle w:val="FootnoteReference"/>
        </w:rPr>
        <w:footnoteReference w:id="37"/>
      </w:r>
    </w:p>
    <w:p w14:paraId="0BC1E20A" w14:textId="7D4A4246" w:rsidR="000E08F2" w:rsidRPr="006E2CEB" w:rsidRDefault="00922BE6" w:rsidP="00922BE6">
      <w:pPr>
        <w:pStyle w:val="ListNumber2"/>
      </w:pPr>
      <w:r>
        <w:t xml:space="preserve">In response to this recommendation, </w:t>
      </w:r>
      <w:r w:rsidR="0041138F">
        <w:t xml:space="preserve">the </w:t>
      </w:r>
      <w:r w:rsidR="00C667ED">
        <w:t xml:space="preserve">ACT </w:t>
      </w:r>
      <w:r w:rsidR="0041138F">
        <w:t xml:space="preserve">Government </w:t>
      </w:r>
      <w:r>
        <w:t>said that while it supported the policy intent, it also had to consider ‘important contextual information and resourcing constraints’ in ensuring effective and targeted service delivery to vulnerable children and families.</w:t>
      </w:r>
      <w:r w:rsidR="004B49AC">
        <w:rPr>
          <w:rStyle w:val="FootnoteReference"/>
        </w:rPr>
        <w:footnoteReference w:id="38"/>
      </w:r>
      <w:r w:rsidR="009A3E34">
        <w:t xml:space="preserve"> The response noted that a Memorandum of Understanding between Canberra Health Services and Child and Family Centres provided a mechanism to facilitate ‘regular strategic planning between the two agencies’ and that regular meetings between senior executives and local area managers would assist in reporting on these issues.</w:t>
      </w:r>
      <w:r w:rsidR="00B649AF">
        <w:rPr>
          <w:rStyle w:val="FootnoteReference"/>
        </w:rPr>
        <w:footnoteReference w:id="39"/>
      </w:r>
    </w:p>
    <w:p w14:paraId="5089D99B" w14:textId="493BFCAC" w:rsidR="00BB2DBE" w:rsidRDefault="006F431A" w:rsidP="00496A46">
      <w:pPr>
        <w:pStyle w:val="Heading2"/>
      </w:pPr>
      <w:bookmarkStart w:id="26" w:name="_Toc144474977"/>
      <w:r>
        <w:t>Status update – November 2022</w:t>
      </w:r>
      <w:bookmarkEnd w:id="26"/>
    </w:p>
    <w:p w14:paraId="6931F35C" w14:textId="6F55ABD0" w:rsidR="00B23DD1" w:rsidRDefault="00FF221E" w:rsidP="00B4387D">
      <w:pPr>
        <w:pStyle w:val="ListNumber2"/>
      </w:pPr>
      <w:r>
        <w:t xml:space="preserve">In its submission, the ACT Government provided </w:t>
      </w:r>
      <w:r w:rsidR="00C977DC" w:rsidRPr="003C799B">
        <w:t xml:space="preserve">status updates </w:t>
      </w:r>
      <w:r>
        <w:t>on each of the Auditor</w:t>
      </w:r>
      <w:r w:rsidR="00CC045F">
        <w:noBreakHyphen/>
      </w:r>
      <w:r>
        <w:t xml:space="preserve">General’s recommendations, </w:t>
      </w:r>
      <w:r w:rsidR="00C977DC" w:rsidRPr="003C799B">
        <w:t>as of 18 November 2022.</w:t>
      </w:r>
      <w:r w:rsidR="00FD4539">
        <w:rPr>
          <w:rStyle w:val="FootnoteReference"/>
        </w:rPr>
        <w:footnoteReference w:id="40"/>
      </w:r>
      <w:r w:rsidR="00C977DC" w:rsidRPr="003C799B">
        <w:t xml:space="preserve"> </w:t>
      </w:r>
    </w:p>
    <w:p w14:paraId="3FB5EF59" w14:textId="6E6F3F09" w:rsidR="00F07A95" w:rsidRDefault="00F07A95" w:rsidP="00F07A95">
      <w:pPr>
        <w:pStyle w:val="Heading3"/>
      </w:pPr>
      <w:bookmarkStart w:id="27" w:name="_Toc144474978"/>
      <w:r>
        <w:t>Uptake of MACH services</w:t>
      </w:r>
      <w:bookmarkEnd w:id="27"/>
    </w:p>
    <w:p w14:paraId="35E1D0EC" w14:textId="48C4B173" w:rsidR="00F07A95" w:rsidRDefault="00B23DD1" w:rsidP="00B4387D">
      <w:pPr>
        <w:pStyle w:val="ListNumber2"/>
      </w:pPr>
      <w:r w:rsidRPr="00F82C63">
        <w:t>In response to the Auditor-General’s first recommendation, regarding improving the take</w:t>
      </w:r>
      <w:r w:rsidR="00CC045F">
        <w:noBreakHyphen/>
      </w:r>
      <w:r w:rsidRPr="00F82C63">
        <w:t xml:space="preserve">up of universal home visits, </w:t>
      </w:r>
      <w:r w:rsidR="00F07A95">
        <w:t>the ACT Government noted that action had commenced. MACH prioritised initial home visits and kept data on the reasons such visits were declined. The most common reasons for a home visit not being taken up were:</w:t>
      </w:r>
    </w:p>
    <w:p w14:paraId="5E00408F" w14:textId="016B6283" w:rsidR="00F07A95" w:rsidRDefault="00CC045F" w:rsidP="00F07A95">
      <w:pPr>
        <w:pStyle w:val="ListBullet"/>
        <w:ind w:left="1276"/>
      </w:pPr>
      <w:r>
        <w:t>n</w:t>
      </w:r>
      <w:r w:rsidR="00F07A95">
        <w:t>on-eligibility;</w:t>
      </w:r>
    </w:p>
    <w:p w14:paraId="2B667C21" w14:textId="709890B1" w:rsidR="00F07A95" w:rsidRDefault="00CC045F" w:rsidP="00F07A95">
      <w:pPr>
        <w:pStyle w:val="ListBullet"/>
        <w:ind w:left="1276"/>
      </w:pPr>
      <w:r>
        <w:t>n</w:t>
      </w:r>
      <w:r w:rsidR="00F07A95">
        <w:t>ot wishing to pay for the service;</w:t>
      </w:r>
    </w:p>
    <w:p w14:paraId="1F42F1CC" w14:textId="4BEF0C35" w:rsidR="00F07A95" w:rsidRDefault="00CC045F" w:rsidP="00F07A95">
      <w:pPr>
        <w:pStyle w:val="ListBullet"/>
        <w:ind w:left="1276"/>
      </w:pPr>
      <w:r>
        <w:t>p</w:t>
      </w:r>
      <w:r w:rsidR="00F07A95">
        <w:t>referring to see a General Practitioner (GP); and</w:t>
      </w:r>
    </w:p>
    <w:p w14:paraId="3FDB1AA3" w14:textId="29BEBA3E" w:rsidR="00F07A95" w:rsidRDefault="00F07A95" w:rsidP="00F07A95">
      <w:pPr>
        <w:pStyle w:val="ListBullet"/>
        <w:ind w:left="1276"/>
      </w:pPr>
      <w:r>
        <w:t xml:space="preserve"> </w:t>
      </w:r>
      <w:r w:rsidR="00CC045F">
        <w:t>c</w:t>
      </w:r>
      <w:r>
        <w:t>lient being uncontactable.</w:t>
      </w:r>
      <w:r>
        <w:rPr>
          <w:rStyle w:val="FootnoteReference"/>
        </w:rPr>
        <w:footnoteReference w:id="41"/>
      </w:r>
    </w:p>
    <w:p w14:paraId="2D32B168" w14:textId="5A1680B0" w:rsidR="00F07A95" w:rsidRDefault="001C024B" w:rsidP="00B4387D">
      <w:pPr>
        <w:pStyle w:val="ListNumber2"/>
      </w:pPr>
      <w:r>
        <w:t>The ACT Government further noted that, in the case where a home visit was declined or the environment was unsafe for a nurse to visit, a clinic appointment was offered instead.</w:t>
      </w:r>
      <w:r>
        <w:rPr>
          <w:rStyle w:val="FootnoteReference"/>
        </w:rPr>
        <w:footnoteReference w:id="42"/>
      </w:r>
    </w:p>
    <w:p w14:paraId="2C53B821" w14:textId="36548F54" w:rsidR="001C024B" w:rsidRDefault="001C024B" w:rsidP="001C024B">
      <w:pPr>
        <w:pStyle w:val="Heading4"/>
      </w:pPr>
      <w:r>
        <w:t>Committee comment</w:t>
      </w:r>
    </w:p>
    <w:p w14:paraId="1D75BB64" w14:textId="77777777" w:rsidR="000F649B" w:rsidRDefault="000F649B" w:rsidP="000F649B">
      <w:pPr>
        <w:pStyle w:val="ListNumber2"/>
      </w:pPr>
      <w:r>
        <w:t xml:space="preserve">The Committee acknowledges the predominantly positive findings contained within the Auditor-General’s report regarding the universal family support inter-agency and service linkages and collaboration with respect to services offered. </w:t>
      </w:r>
    </w:p>
    <w:p w14:paraId="16DEBC92" w14:textId="793B59CF" w:rsidR="001C024B" w:rsidRPr="00C237EB" w:rsidRDefault="000F649B" w:rsidP="00C237EB">
      <w:pPr>
        <w:pStyle w:val="ListNumber2"/>
      </w:pPr>
      <w:r>
        <w:lastRenderedPageBreak/>
        <w:t>The Committee considers that an examination of the data collected on non-uptake of MACH services may provide insight into improving engagement and better outcomes for vulnerable children and their families.</w:t>
      </w:r>
    </w:p>
    <w:tbl>
      <w:tblPr>
        <w:tblW w:w="0" w:type="auto"/>
        <w:tblCellSpacing w:w="105" w:type="dxa"/>
        <w:tblInd w:w="851" w:type="dxa"/>
        <w:tblCellMar>
          <w:left w:w="0" w:type="dxa"/>
          <w:right w:w="0" w:type="dxa"/>
        </w:tblCellMar>
        <w:tblLook w:val="04A0" w:firstRow="1" w:lastRow="0" w:firstColumn="1" w:lastColumn="0" w:noHBand="0" w:noVBand="1"/>
      </w:tblPr>
      <w:tblGrid>
        <w:gridCol w:w="8175"/>
      </w:tblGrid>
      <w:tr w:rsidR="001C024B" w:rsidRPr="00F335A9" w14:paraId="21E78EC3" w14:textId="77777777" w:rsidTr="00275A60">
        <w:trPr>
          <w:tblCellSpacing w:w="105" w:type="dxa"/>
        </w:trPr>
        <w:tc>
          <w:tcPr>
            <w:tcW w:w="7755" w:type="dxa"/>
            <w:shd w:val="clear" w:color="auto" w:fill="D5DEF0"/>
            <w:tcMar>
              <w:top w:w="0" w:type="dxa"/>
              <w:left w:w="108" w:type="dxa"/>
              <w:bottom w:w="0" w:type="dxa"/>
              <w:right w:w="108" w:type="dxa"/>
            </w:tcMar>
            <w:vAlign w:val="center"/>
            <w:hideMark/>
          </w:tcPr>
          <w:p w14:paraId="7C71BC25" w14:textId="77777777" w:rsidR="001C024B" w:rsidRPr="00967223" w:rsidRDefault="001C024B" w:rsidP="00275A60">
            <w:pPr>
              <w:pStyle w:val="Recommendationheading"/>
            </w:pPr>
            <w:bookmarkStart w:id="28" w:name="_Toc148010705"/>
            <w:r w:rsidRPr="00967223">
              <w:t xml:space="preserve">Recommendation </w:t>
            </w:r>
            <w:r w:rsidRPr="00967223">
              <w:fldChar w:fldCharType="begin"/>
            </w:r>
            <w:r w:rsidRPr="00967223">
              <w:instrText xml:space="preserve"> AUTONUMLGL \* Arabic\e </w:instrText>
            </w:r>
            <w:r w:rsidRPr="00967223">
              <w:fldChar w:fldCharType="end"/>
            </w:r>
            <w:bookmarkEnd w:id="28"/>
          </w:p>
          <w:p w14:paraId="324BD2ED" w14:textId="12C80371" w:rsidR="001C024B" w:rsidRPr="00F335A9" w:rsidRDefault="001C024B" w:rsidP="00275A60">
            <w:pPr>
              <w:pStyle w:val="Recommendationbody"/>
            </w:pPr>
            <w:bookmarkStart w:id="29" w:name="_Toc148010706"/>
            <w:r>
              <w:rPr>
                <w:color w:val="000000"/>
              </w:rPr>
              <w:t xml:space="preserve">The Committee recommends that the ACT Government </w:t>
            </w:r>
            <w:r>
              <w:rPr>
                <w:bCs/>
              </w:rPr>
              <w:t xml:space="preserve">continue to collect and </w:t>
            </w:r>
            <w:r w:rsidRPr="003F0646">
              <w:rPr>
                <w:bCs/>
              </w:rPr>
              <w:t xml:space="preserve">analyse data on instances and reasons for non-take up of </w:t>
            </w:r>
            <w:r w:rsidR="003F0646" w:rsidRPr="003F0646">
              <w:rPr>
                <w:bCs/>
              </w:rPr>
              <w:t xml:space="preserve">first home visits and </w:t>
            </w:r>
            <w:r w:rsidRPr="003F0646">
              <w:rPr>
                <w:bCs/>
              </w:rPr>
              <w:t>health and development checks, and report on these to the Assembly before the end of the financial year.</w:t>
            </w:r>
            <w:bookmarkEnd w:id="29"/>
          </w:p>
        </w:tc>
      </w:tr>
    </w:tbl>
    <w:p w14:paraId="645E8694" w14:textId="66E1E8A0" w:rsidR="00B23DD1" w:rsidRDefault="000F649B" w:rsidP="008A27A9">
      <w:pPr>
        <w:pStyle w:val="ListNumber2"/>
      </w:pPr>
      <w:r>
        <w:t xml:space="preserve">In its submission, </w:t>
      </w:r>
      <w:r w:rsidR="00B23DD1" w:rsidRPr="00F82C63">
        <w:t xml:space="preserve">the ACT Government </w:t>
      </w:r>
      <w:r>
        <w:t xml:space="preserve">also </w:t>
      </w:r>
      <w:r w:rsidR="00B23DD1" w:rsidRPr="00F82C63">
        <w:t>note</w:t>
      </w:r>
      <w:r w:rsidR="00F82C63">
        <w:t>d that the Digital Health Record (DHR) had been established in November 2022 to facilitate information sharing, communication and referrals across public maternity and community health services. However, the DHR did not provide access to midwives in private practice.</w:t>
      </w:r>
      <w:r w:rsidR="00F82C63">
        <w:rPr>
          <w:rStyle w:val="FootnoteReference"/>
        </w:rPr>
        <w:footnoteReference w:id="43"/>
      </w:r>
    </w:p>
    <w:p w14:paraId="37314EC7" w14:textId="2D28C96D" w:rsidR="00F82C63" w:rsidRDefault="00F82C63" w:rsidP="00F82C63">
      <w:pPr>
        <w:pStyle w:val="Heading4"/>
      </w:pPr>
      <w:r>
        <w:t>Committee comment</w:t>
      </w:r>
    </w:p>
    <w:p w14:paraId="25E218C2" w14:textId="5A811A0D" w:rsidR="00F82C63" w:rsidRDefault="00F82C63" w:rsidP="00F82C63">
      <w:pPr>
        <w:pStyle w:val="ListNumber2"/>
      </w:pPr>
      <w:r>
        <w:t xml:space="preserve">The Committee considers that </w:t>
      </w:r>
      <w:r w:rsidR="00F07A95">
        <w:t>engagement with MACH and uptake of services offered may be further improved by ext</w:t>
      </w:r>
      <w:r>
        <w:t xml:space="preserve">ending access to the DHR </w:t>
      </w:r>
      <w:r w:rsidR="00F07A95">
        <w:t>to private practitioners</w:t>
      </w:r>
      <w:r>
        <w:t>.</w:t>
      </w:r>
    </w:p>
    <w:tbl>
      <w:tblPr>
        <w:tblW w:w="0" w:type="auto"/>
        <w:tblCellSpacing w:w="105" w:type="dxa"/>
        <w:tblInd w:w="851" w:type="dxa"/>
        <w:tblCellMar>
          <w:left w:w="0" w:type="dxa"/>
          <w:right w:w="0" w:type="dxa"/>
        </w:tblCellMar>
        <w:tblLook w:val="04A0" w:firstRow="1" w:lastRow="0" w:firstColumn="1" w:lastColumn="0" w:noHBand="0" w:noVBand="1"/>
      </w:tblPr>
      <w:tblGrid>
        <w:gridCol w:w="8175"/>
      </w:tblGrid>
      <w:tr w:rsidR="00F82C63" w:rsidRPr="00F335A9" w14:paraId="5A6790DD" w14:textId="77777777" w:rsidTr="00275A60">
        <w:trPr>
          <w:tblCellSpacing w:w="105" w:type="dxa"/>
        </w:trPr>
        <w:tc>
          <w:tcPr>
            <w:tcW w:w="7755" w:type="dxa"/>
            <w:shd w:val="clear" w:color="auto" w:fill="D5DEF0"/>
            <w:tcMar>
              <w:top w:w="0" w:type="dxa"/>
              <w:left w:w="108" w:type="dxa"/>
              <w:bottom w:w="0" w:type="dxa"/>
              <w:right w:w="108" w:type="dxa"/>
            </w:tcMar>
            <w:vAlign w:val="center"/>
            <w:hideMark/>
          </w:tcPr>
          <w:p w14:paraId="6DDC9720" w14:textId="77777777" w:rsidR="00F82C63" w:rsidRPr="00967223" w:rsidRDefault="00F82C63" w:rsidP="00275A60">
            <w:pPr>
              <w:pStyle w:val="Recommendationheading"/>
            </w:pPr>
            <w:bookmarkStart w:id="30" w:name="_Toc148010707"/>
            <w:r w:rsidRPr="00967223">
              <w:t xml:space="preserve">Recommendation </w:t>
            </w:r>
            <w:r w:rsidRPr="00967223">
              <w:fldChar w:fldCharType="begin"/>
            </w:r>
            <w:r w:rsidRPr="00967223">
              <w:instrText xml:space="preserve"> AUTONUMLGL \* Arabic\e </w:instrText>
            </w:r>
            <w:r w:rsidRPr="00967223">
              <w:fldChar w:fldCharType="end"/>
            </w:r>
            <w:bookmarkEnd w:id="30"/>
          </w:p>
          <w:p w14:paraId="429E9FDC" w14:textId="04839C33" w:rsidR="00F82C63" w:rsidRPr="00C53744" w:rsidRDefault="00390032" w:rsidP="00C47525">
            <w:pPr>
              <w:pStyle w:val="Recommendationbody"/>
              <w:rPr>
                <w:rFonts w:eastAsiaTheme="minorEastAsia"/>
                <w:lang w:eastAsia="en-AU"/>
              </w:rPr>
            </w:pPr>
            <w:hyperlink w:anchor="_Toc144715361" w:history="1">
              <w:bookmarkStart w:id="31" w:name="_Toc148010708"/>
              <w:r w:rsidR="00C47525" w:rsidRPr="00C53744">
                <w:rPr>
                  <w:rStyle w:val="Hyperlink"/>
                  <w:color w:val="auto"/>
                  <w:u w:val="none"/>
                </w:rPr>
                <w:t xml:space="preserve">The Committee recommends that the ACT Government liaise with the </w:t>
              </w:r>
              <w:r w:rsidR="00C47525" w:rsidRPr="00C53744">
                <w:rPr>
                  <w:rStyle w:val="Hyperlink"/>
                  <w:bCs/>
                  <w:color w:val="auto"/>
                  <w:u w:val="none"/>
                </w:rPr>
                <w:t>Australian Digital Health Agency to consider ways to improve privately practising midwives’ access to Digital Health Records</w:t>
              </w:r>
              <w:r w:rsidR="00C47525" w:rsidRPr="00C53744">
                <w:rPr>
                  <w:rStyle w:val="Hyperlink"/>
                  <w:color w:val="auto"/>
                  <w:u w:val="none"/>
                </w:rPr>
                <w:t>.</w:t>
              </w:r>
              <w:bookmarkEnd w:id="31"/>
            </w:hyperlink>
          </w:p>
        </w:tc>
      </w:tr>
    </w:tbl>
    <w:p w14:paraId="10C4223B" w14:textId="669F74E5" w:rsidR="00F82C63" w:rsidRPr="00F82C63" w:rsidRDefault="00F07A95" w:rsidP="00F07A95">
      <w:pPr>
        <w:pStyle w:val="Heading3"/>
      </w:pPr>
      <w:bookmarkStart w:id="32" w:name="_Toc144474979"/>
      <w:r>
        <w:t>Health and developmental checks</w:t>
      </w:r>
      <w:bookmarkEnd w:id="32"/>
    </w:p>
    <w:p w14:paraId="546BE0B9" w14:textId="05240E8F" w:rsidR="00B23DD1" w:rsidRDefault="000F649B" w:rsidP="00B4387D">
      <w:pPr>
        <w:pStyle w:val="ListNumber2"/>
      </w:pPr>
      <w:r w:rsidRPr="00F82C63">
        <w:t xml:space="preserve">In response to the Auditor-General’s </w:t>
      </w:r>
      <w:r>
        <w:t>second</w:t>
      </w:r>
      <w:r w:rsidRPr="00F82C63">
        <w:t xml:space="preserve"> recommendation, regarding </w:t>
      </w:r>
      <w:r>
        <w:t>identification of opportunities to improve</w:t>
      </w:r>
      <w:r w:rsidRPr="00F82C63">
        <w:t xml:space="preserve"> the take-up of </w:t>
      </w:r>
      <w:r>
        <w:t>health and development checks offered by MACH</w:t>
      </w:r>
      <w:r w:rsidRPr="00F82C63">
        <w:t xml:space="preserve">, </w:t>
      </w:r>
      <w:r>
        <w:t>the ACT Government noted that action had commenced.</w:t>
      </w:r>
      <w:r>
        <w:rPr>
          <w:rStyle w:val="FootnoteReference"/>
        </w:rPr>
        <w:footnoteReference w:id="44"/>
      </w:r>
    </w:p>
    <w:p w14:paraId="04594B8E" w14:textId="10CE431E" w:rsidR="005D5156" w:rsidRDefault="005D5156" w:rsidP="00B4387D">
      <w:pPr>
        <w:pStyle w:val="ListNumber2"/>
      </w:pPr>
      <w:r>
        <w:t>In its submission, the ACT Government reported that MACH had established the Early Pregnancy and Parenting Support line in response to the initial COVID-19 lockdown. This line had been ‘effecting in providing timely support for parenting concerns’ and allowed MACH nurses to make face-to-face clinic bookings for families where there were developmental concerns.</w:t>
      </w:r>
      <w:r>
        <w:rPr>
          <w:rStyle w:val="FootnoteReference"/>
        </w:rPr>
        <w:footnoteReference w:id="45"/>
      </w:r>
    </w:p>
    <w:p w14:paraId="53F19AAF" w14:textId="7EB900D1" w:rsidR="005D5156" w:rsidRDefault="005D5156" w:rsidP="00B87547">
      <w:pPr>
        <w:pStyle w:val="ListNumber2"/>
      </w:pPr>
      <w:r>
        <w:t xml:space="preserve">Further, in response to anecdotal evidence of ‘increased complexity in social determinants of health’ reported by MACH nurses regarding families seen in clinics, a ‘Quality Improvement’ project had begun in 2022 to explore the potential benefits and opportunities offered by running MACH clinics alongside immunisation clinics. The intent of </w:t>
      </w:r>
      <w:r>
        <w:lastRenderedPageBreak/>
        <w:t>the project was to ‘increase the presence’ of MACH and provide ‘opportunistic’ support for all families including vulnerable families who accessed the immunisation service. The ACT Government stated that a pilot program was to commence in February 2023.</w:t>
      </w:r>
    </w:p>
    <w:p w14:paraId="45A312D1" w14:textId="267A611E" w:rsidR="00F07A95" w:rsidRDefault="00F07A95" w:rsidP="005D5156">
      <w:pPr>
        <w:pStyle w:val="Heading4"/>
      </w:pPr>
      <w:r>
        <w:t>Comm</w:t>
      </w:r>
      <w:r w:rsidR="005D5156">
        <w:t>ittee comm</w:t>
      </w:r>
      <w:r>
        <w:t>ent</w:t>
      </w:r>
    </w:p>
    <w:p w14:paraId="3FEC7332" w14:textId="44F58FED" w:rsidR="005D5156" w:rsidRDefault="005D5156" w:rsidP="00B4387D">
      <w:pPr>
        <w:pStyle w:val="ListNumber2"/>
      </w:pPr>
      <w:r>
        <w:t>The Committee considers that</w:t>
      </w:r>
      <w:r w:rsidR="00F46D24">
        <w:t>, given the high coverage of childhood immunisation in the ACT,</w:t>
      </w:r>
      <w:r w:rsidR="00F46D24">
        <w:rPr>
          <w:rStyle w:val="FootnoteReference"/>
        </w:rPr>
        <w:footnoteReference w:id="46"/>
      </w:r>
      <w:r>
        <w:t xml:space="preserve"> </w:t>
      </w:r>
      <w:r w:rsidR="00D278A6">
        <w:t>a presence in immunisation clinics</w:t>
      </w:r>
      <w:r w:rsidR="00632DBA">
        <w:t xml:space="preserve"> offers a significant opportunity for </w:t>
      </w:r>
      <w:r w:rsidR="00D278A6">
        <w:t>increased</w:t>
      </w:r>
      <w:r w:rsidR="00632DBA">
        <w:t xml:space="preserve"> engagement by families with MACH</w:t>
      </w:r>
      <w:r w:rsidR="005D2316">
        <w:t>. The Committee welcomes this</w:t>
      </w:r>
      <w:r w:rsidR="00503AC9">
        <w:t xml:space="preserve"> initiative</w:t>
      </w:r>
      <w:r w:rsidR="005D2316">
        <w:t>.</w:t>
      </w:r>
    </w:p>
    <w:tbl>
      <w:tblPr>
        <w:tblW w:w="0" w:type="auto"/>
        <w:tblCellSpacing w:w="105" w:type="dxa"/>
        <w:tblInd w:w="851" w:type="dxa"/>
        <w:tblCellMar>
          <w:left w:w="0" w:type="dxa"/>
          <w:right w:w="0" w:type="dxa"/>
        </w:tblCellMar>
        <w:tblLook w:val="04A0" w:firstRow="1" w:lastRow="0" w:firstColumn="1" w:lastColumn="0" w:noHBand="0" w:noVBand="1"/>
      </w:tblPr>
      <w:tblGrid>
        <w:gridCol w:w="8175"/>
      </w:tblGrid>
      <w:tr w:rsidR="005D5156" w:rsidRPr="00F335A9" w14:paraId="448B5AED" w14:textId="77777777" w:rsidTr="00275A60">
        <w:trPr>
          <w:cantSplit/>
          <w:tblCellSpacing w:w="105" w:type="dxa"/>
        </w:trPr>
        <w:tc>
          <w:tcPr>
            <w:tcW w:w="7755" w:type="dxa"/>
            <w:shd w:val="clear" w:color="auto" w:fill="D5DEF0"/>
            <w:tcMar>
              <w:top w:w="0" w:type="dxa"/>
              <w:left w:w="108" w:type="dxa"/>
              <w:bottom w:w="0" w:type="dxa"/>
              <w:right w:w="108" w:type="dxa"/>
            </w:tcMar>
            <w:vAlign w:val="center"/>
            <w:hideMark/>
          </w:tcPr>
          <w:p w14:paraId="5765EC42" w14:textId="77777777" w:rsidR="005D5156" w:rsidRPr="00967223" w:rsidRDefault="005D5156" w:rsidP="00275A60">
            <w:pPr>
              <w:pStyle w:val="Recommendationheading"/>
            </w:pPr>
            <w:bookmarkStart w:id="33" w:name="_Toc148010709"/>
            <w:r w:rsidRPr="00967223">
              <w:t xml:space="preserve">Recommendation </w:t>
            </w:r>
            <w:r w:rsidRPr="00967223">
              <w:fldChar w:fldCharType="begin"/>
            </w:r>
            <w:r w:rsidRPr="00967223">
              <w:instrText xml:space="preserve"> AUTONUMLGL \* Arabic\e </w:instrText>
            </w:r>
            <w:r w:rsidRPr="00967223">
              <w:fldChar w:fldCharType="end"/>
            </w:r>
            <w:bookmarkEnd w:id="33"/>
          </w:p>
          <w:p w14:paraId="7C257877" w14:textId="77777777" w:rsidR="005D5156" w:rsidRPr="00F335A9" w:rsidRDefault="005D5156" w:rsidP="00275A60">
            <w:pPr>
              <w:pStyle w:val="Recommendationbody"/>
            </w:pPr>
            <w:bookmarkStart w:id="34" w:name="_Toc148010710"/>
            <w:r>
              <w:rPr>
                <w:bCs/>
              </w:rPr>
              <w:t>The Committee recommends that the ACT Government report to the Assembly on the pilot program of running MACH clinics alongside immunisation clinics before the end of the financial year</w:t>
            </w:r>
            <w:r>
              <w:rPr>
                <w:color w:val="000000"/>
              </w:rPr>
              <w:t>.</w:t>
            </w:r>
            <w:bookmarkEnd w:id="34"/>
          </w:p>
        </w:tc>
      </w:tr>
    </w:tbl>
    <w:p w14:paraId="79A3B43B" w14:textId="6DF138AC" w:rsidR="00F07A95" w:rsidRDefault="00F07A95" w:rsidP="00F07A95">
      <w:pPr>
        <w:pStyle w:val="Heading3"/>
      </w:pPr>
      <w:bookmarkStart w:id="35" w:name="_Toc144474980"/>
      <w:r>
        <w:t>Administrative guidance</w:t>
      </w:r>
      <w:bookmarkEnd w:id="35"/>
    </w:p>
    <w:p w14:paraId="0E0724AE" w14:textId="77777777" w:rsidR="0056664B" w:rsidRDefault="0056664B" w:rsidP="00B4387D">
      <w:pPr>
        <w:pStyle w:val="ListNumber2"/>
      </w:pPr>
      <w:r w:rsidRPr="00F82C63">
        <w:t xml:space="preserve">In response to the Auditor-General’s </w:t>
      </w:r>
      <w:r>
        <w:t>third</w:t>
      </w:r>
      <w:r w:rsidRPr="00F82C63">
        <w:t xml:space="preserve"> recommendation, regarding </w:t>
      </w:r>
      <w:r>
        <w:t>development of administrative and procedural guidance for MACH on referral to programs and services, the ACT Government noted that action had commenced but been delayed.</w:t>
      </w:r>
      <w:r>
        <w:rPr>
          <w:rStyle w:val="FootnoteReference"/>
        </w:rPr>
        <w:footnoteReference w:id="47"/>
      </w:r>
    </w:p>
    <w:p w14:paraId="640828DB" w14:textId="2D3FA076" w:rsidR="005D2316" w:rsidRDefault="005D2316" w:rsidP="00B4387D">
      <w:pPr>
        <w:pStyle w:val="ListNumber2"/>
      </w:pPr>
      <w:r>
        <w:t>In its submission, the ACT Government noted that MACH operated according to a Model of Care (MOC) which outlined communication and referral protocols. MACH nurses and midwives used professional judgement and clinical assessment to identify vulnerable children and families, and a ‘dedicated framework and service delivery model’ in the MOC allowed them to offer short-term early intervention to mitigate vulnerabilities including barriers to accessing services.</w:t>
      </w:r>
      <w:r>
        <w:rPr>
          <w:rStyle w:val="FootnoteReference"/>
        </w:rPr>
        <w:footnoteReference w:id="48"/>
      </w:r>
    </w:p>
    <w:p w14:paraId="27FDDAD7" w14:textId="2D518B86" w:rsidR="005D2316" w:rsidRDefault="005D2316" w:rsidP="00B4387D">
      <w:pPr>
        <w:pStyle w:val="ListNumber2"/>
      </w:pPr>
      <w:r>
        <w:t>However, work to review the MOC and improve communications protocols and referral follow-up had been delayed by the impact of the health service response to COVID-19.</w:t>
      </w:r>
      <w:r>
        <w:rPr>
          <w:rStyle w:val="FootnoteReference"/>
        </w:rPr>
        <w:footnoteReference w:id="49"/>
      </w:r>
    </w:p>
    <w:p w14:paraId="0F117406" w14:textId="787E3A9C" w:rsidR="00F07A95" w:rsidRDefault="005D2316" w:rsidP="005D2316">
      <w:pPr>
        <w:pStyle w:val="Heading4"/>
      </w:pPr>
      <w:r>
        <w:t xml:space="preserve"> Committee c</w:t>
      </w:r>
      <w:r w:rsidR="00F07A95">
        <w:t xml:space="preserve">omment </w:t>
      </w:r>
    </w:p>
    <w:p w14:paraId="07E95036" w14:textId="5595F875" w:rsidR="00F07A95" w:rsidRDefault="005D2316" w:rsidP="00B4387D">
      <w:pPr>
        <w:pStyle w:val="ListNumber2"/>
      </w:pPr>
      <w:r>
        <w:t>The Committee is of the view that improving administrative and procedural guidance for MACH nurses and midwives to assist them with referral of vulnerable clients to other services would improve outcomes for their clients.</w:t>
      </w:r>
      <w:r w:rsidR="00503AC9">
        <w:t xml:space="preserve"> The Committee considers that the review of communications protocols and follow-up for referrals should be completed to ensure that best practice is followed as part of business as usual in the MACH.</w:t>
      </w:r>
    </w:p>
    <w:tbl>
      <w:tblPr>
        <w:tblW w:w="0" w:type="auto"/>
        <w:tblCellSpacing w:w="105" w:type="dxa"/>
        <w:tblInd w:w="851" w:type="dxa"/>
        <w:tblCellMar>
          <w:left w:w="0" w:type="dxa"/>
          <w:right w:w="0" w:type="dxa"/>
        </w:tblCellMar>
        <w:tblLook w:val="04A0" w:firstRow="1" w:lastRow="0" w:firstColumn="1" w:lastColumn="0" w:noHBand="0" w:noVBand="1"/>
      </w:tblPr>
      <w:tblGrid>
        <w:gridCol w:w="8175"/>
      </w:tblGrid>
      <w:tr w:rsidR="004C6489" w:rsidRPr="00F335A9" w14:paraId="658F492C" w14:textId="77777777" w:rsidTr="00361A35">
        <w:trPr>
          <w:cantSplit/>
          <w:tblCellSpacing w:w="105" w:type="dxa"/>
        </w:trPr>
        <w:tc>
          <w:tcPr>
            <w:tcW w:w="7755" w:type="dxa"/>
            <w:shd w:val="clear" w:color="auto" w:fill="D5DEF0"/>
            <w:tcMar>
              <w:top w:w="0" w:type="dxa"/>
              <w:left w:w="108" w:type="dxa"/>
              <w:bottom w:w="0" w:type="dxa"/>
              <w:right w:w="108" w:type="dxa"/>
            </w:tcMar>
            <w:vAlign w:val="center"/>
            <w:hideMark/>
          </w:tcPr>
          <w:p w14:paraId="39100509" w14:textId="699608BB" w:rsidR="004C6489" w:rsidRPr="00967223" w:rsidRDefault="00B23DD1" w:rsidP="00275A60">
            <w:pPr>
              <w:pStyle w:val="Recommendationheading"/>
            </w:pPr>
            <w:r>
              <w:lastRenderedPageBreak/>
              <w:t xml:space="preserve"> </w:t>
            </w:r>
            <w:bookmarkStart w:id="36" w:name="_Toc148010711"/>
            <w:r w:rsidR="004C6489" w:rsidRPr="00967223">
              <w:t xml:space="preserve">Recommendation </w:t>
            </w:r>
            <w:r w:rsidR="004C6489" w:rsidRPr="00967223">
              <w:fldChar w:fldCharType="begin"/>
            </w:r>
            <w:r w:rsidR="004C6489" w:rsidRPr="00967223">
              <w:instrText xml:space="preserve"> AUTONUMLGL \* Arabic\e </w:instrText>
            </w:r>
            <w:r w:rsidR="004C6489" w:rsidRPr="00967223">
              <w:fldChar w:fldCharType="end"/>
            </w:r>
            <w:bookmarkEnd w:id="36"/>
          </w:p>
          <w:p w14:paraId="369DFA12" w14:textId="77777777" w:rsidR="004C6489" w:rsidRPr="007E36EF" w:rsidRDefault="004C6489" w:rsidP="00275A60">
            <w:pPr>
              <w:pStyle w:val="Recommendationbody"/>
            </w:pPr>
            <w:bookmarkStart w:id="37" w:name="_Toc148010712"/>
            <w:r>
              <w:t>The Committee recommends that the ACT Government publish the Model of Care for the MACH nurses and midwives by the end of calendar year 2023.</w:t>
            </w:r>
            <w:bookmarkEnd w:id="37"/>
          </w:p>
        </w:tc>
      </w:tr>
    </w:tbl>
    <w:p w14:paraId="4607D37E" w14:textId="77777777" w:rsidR="003E7841" w:rsidRPr="005B3A73" w:rsidRDefault="003E7841" w:rsidP="003E7841">
      <w:pPr>
        <w:pStyle w:val="Heading1"/>
        <w:pageBreakBefore/>
        <w:rPr>
          <w:szCs w:val="20"/>
        </w:rPr>
      </w:pPr>
      <w:bookmarkStart w:id="38" w:name="_Toc144474981"/>
      <w:bookmarkStart w:id="39" w:name="_Toc135387356"/>
      <w:r>
        <w:lastRenderedPageBreak/>
        <w:t>Audit Report No. 6/2020: Transfer of workers’ compensation arrangements from Comcare</w:t>
      </w:r>
      <w:bookmarkEnd w:id="38"/>
    </w:p>
    <w:p w14:paraId="254B3507" w14:textId="3917ECAA" w:rsidR="000D031E" w:rsidRPr="008E0DD1" w:rsidRDefault="000D031E" w:rsidP="000D031E">
      <w:pPr>
        <w:pStyle w:val="ListNumber2"/>
        <w:rPr>
          <w:szCs w:val="22"/>
        </w:rPr>
      </w:pPr>
      <w:r>
        <w:t xml:space="preserve">The Auditor-General’s </w:t>
      </w:r>
      <w:r w:rsidR="00462806">
        <w:t xml:space="preserve">Performance Audit </w:t>
      </w:r>
      <w:r w:rsidRPr="000D031E">
        <w:rPr>
          <w:szCs w:val="22"/>
        </w:rPr>
        <w:t>Report No. 6/2020:</w:t>
      </w:r>
      <w:r w:rsidRPr="00A67199">
        <w:rPr>
          <w:i/>
          <w:iCs/>
          <w:szCs w:val="22"/>
        </w:rPr>
        <w:t xml:space="preserve"> </w:t>
      </w:r>
      <w:r w:rsidRPr="0056393F">
        <w:rPr>
          <w:i/>
          <w:iCs/>
        </w:rPr>
        <w:t>Transfer of workers’ compensation arrangements from Comcare</w:t>
      </w:r>
      <w:r>
        <w:rPr>
          <w:i/>
          <w:iCs/>
        </w:rPr>
        <w:t>,</w:t>
      </w:r>
      <w:r>
        <w:t xml:space="preserve"> was </w:t>
      </w:r>
      <w:r w:rsidR="00462806">
        <w:t>released</w:t>
      </w:r>
      <w:r>
        <w:t xml:space="preserve"> on </w:t>
      </w:r>
      <w:r w:rsidR="00462806">
        <w:t xml:space="preserve">30 June </w:t>
      </w:r>
      <w:r>
        <w:t>2020.</w:t>
      </w:r>
      <w:r>
        <w:rPr>
          <w:rStyle w:val="FootnoteReference"/>
        </w:rPr>
        <w:footnoteReference w:id="50"/>
      </w:r>
      <w:r>
        <w:t xml:space="preserve">  </w:t>
      </w:r>
    </w:p>
    <w:p w14:paraId="65DF05DB" w14:textId="1C2968DD" w:rsidR="008E0DD1" w:rsidRPr="00642A6B" w:rsidRDefault="008E0DD1" w:rsidP="008E0DD1">
      <w:pPr>
        <w:pStyle w:val="Heading2"/>
        <w:rPr>
          <w:szCs w:val="22"/>
        </w:rPr>
      </w:pPr>
      <w:bookmarkStart w:id="40" w:name="_Toc144474982"/>
      <w:r>
        <w:t>Background</w:t>
      </w:r>
      <w:bookmarkEnd w:id="40"/>
    </w:p>
    <w:p w14:paraId="35496982" w14:textId="7F5F7B3E" w:rsidR="003E7841" w:rsidRPr="000F7B02" w:rsidRDefault="003E7841" w:rsidP="003E7841">
      <w:pPr>
        <w:pStyle w:val="ListNumber2"/>
      </w:pPr>
      <w:r>
        <w:rPr>
          <w:szCs w:val="22"/>
        </w:rPr>
        <w:t xml:space="preserve">The </w:t>
      </w:r>
      <w:r>
        <w:rPr>
          <w:i/>
          <w:iCs/>
          <w:szCs w:val="22"/>
        </w:rPr>
        <w:t xml:space="preserve">Safety, Rehabilitation and Compensation Act 1988 </w:t>
      </w:r>
      <w:r w:rsidRPr="007E3BF3">
        <w:rPr>
          <w:szCs w:val="22"/>
        </w:rPr>
        <w:t>(Cth)</w:t>
      </w:r>
      <w:r w:rsidR="00B95E7D">
        <w:rPr>
          <w:szCs w:val="22"/>
        </w:rPr>
        <w:t xml:space="preserve"> (the SRC Act)</w:t>
      </w:r>
      <w:r>
        <w:rPr>
          <w:i/>
          <w:iCs/>
          <w:szCs w:val="22"/>
        </w:rPr>
        <w:t xml:space="preserve"> </w:t>
      </w:r>
      <w:r>
        <w:rPr>
          <w:szCs w:val="22"/>
        </w:rPr>
        <w:t>establishe</w:t>
      </w:r>
      <w:r w:rsidR="00B724B4">
        <w:rPr>
          <w:szCs w:val="22"/>
        </w:rPr>
        <w:t>d</w:t>
      </w:r>
      <w:r>
        <w:rPr>
          <w:szCs w:val="22"/>
        </w:rPr>
        <w:t xml:space="preserve"> a national workers’ compensation scheme (the Comcare scheme). The Comcare scheme covers Commonwealth and ACT public servants and employees of some national companies.</w:t>
      </w:r>
      <w:r>
        <w:rPr>
          <w:rStyle w:val="FootnoteReference"/>
          <w:szCs w:val="22"/>
        </w:rPr>
        <w:footnoteReference w:id="51"/>
      </w:r>
    </w:p>
    <w:p w14:paraId="5C6166CF" w14:textId="7C37727B" w:rsidR="003E7841" w:rsidRDefault="003E7841" w:rsidP="003E7841">
      <w:pPr>
        <w:pStyle w:val="ListNumber2"/>
      </w:pPr>
      <w:r>
        <w:t xml:space="preserve">The Comcare scheme comprises two types of </w:t>
      </w:r>
      <w:r w:rsidR="0052548F">
        <w:t>employers</w:t>
      </w:r>
      <w:r>
        <w:t>:</w:t>
      </w:r>
      <w:r w:rsidRPr="00107A2B">
        <w:rPr>
          <w:rStyle w:val="FootnoteReference"/>
        </w:rPr>
        <w:t xml:space="preserve"> </w:t>
      </w:r>
      <w:r>
        <w:rPr>
          <w:rStyle w:val="FootnoteReference"/>
        </w:rPr>
        <w:footnoteReference w:id="52"/>
      </w:r>
      <w:r w:rsidRPr="00A11713">
        <w:t xml:space="preserve"> </w:t>
      </w:r>
    </w:p>
    <w:p w14:paraId="1FB1F116" w14:textId="77777777" w:rsidR="003E7841" w:rsidRDefault="003E7841" w:rsidP="003E7841">
      <w:pPr>
        <w:pStyle w:val="ListNumber2"/>
        <w:numPr>
          <w:ilvl w:val="0"/>
          <w:numId w:val="27"/>
        </w:numPr>
        <w:rPr>
          <w:szCs w:val="22"/>
        </w:rPr>
      </w:pPr>
      <w:r w:rsidRPr="00A11713">
        <w:rPr>
          <w:szCs w:val="22"/>
        </w:rPr>
        <w:t xml:space="preserve">premium payers, such as Australian Public Service agencies (and the ACT Government prior to self-insurance), </w:t>
      </w:r>
      <w:r>
        <w:rPr>
          <w:szCs w:val="22"/>
        </w:rPr>
        <w:t>who</w:t>
      </w:r>
      <w:r w:rsidRPr="00A11713">
        <w:rPr>
          <w:szCs w:val="22"/>
        </w:rPr>
        <w:t xml:space="preserve"> pay an insurance premium to Comcare in exchange for its underwriting and management of claims; and </w:t>
      </w:r>
    </w:p>
    <w:p w14:paraId="087AA353" w14:textId="77777777" w:rsidR="003E7841" w:rsidRPr="00A11713" w:rsidRDefault="003E7841" w:rsidP="003E7841">
      <w:pPr>
        <w:pStyle w:val="ListNumber2"/>
        <w:numPr>
          <w:ilvl w:val="0"/>
          <w:numId w:val="27"/>
        </w:numPr>
        <w:rPr>
          <w:szCs w:val="22"/>
        </w:rPr>
      </w:pPr>
      <w:r w:rsidRPr="00A11713">
        <w:rPr>
          <w:szCs w:val="22"/>
        </w:rPr>
        <w:t xml:space="preserve">self-insurers, </w:t>
      </w:r>
      <w:r>
        <w:rPr>
          <w:szCs w:val="22"/>
        </w:rPr>
        <w:t>who</w:t>
      </w:r>
      <w:r w:rsidRPr="00A11713">
        <w:rPr>
          <w:szCs w:val="22"/>
        </w:rPr>
        <w:t xml:space="preserve"> are licenced to underwrite and manage their own claims, in accordance with the Comcare scheme benefit design and with regulatory oversight by Comcare. </w:t>
      </w:r>
    </w:p>
    <w:p w14:paraId="3434AD99" w14:textId="72637E4B" w:rsidR="00B724B4" w:rsidRDefault="003E7841" w:rsidP="003E7841">
      <w:pPr>
        <w:pStyle w:val="ListNumber2"/>
      </w:pPr>
      <w:r>
        <w:t>I</w:t>
      </w:r>
      <w:r w:rsidRPr="00F335A9">
        <w:t>n 2018</w:t>
      </w:r>
      <w:r>
        <w:t>,</w:t>
      </w:r>
      <w:r w:rsidRPr="00F335A9">
        <w:t xml:space="preserve"> the </w:t>
      </w:r>
      <w:r>
        <w:t>ACT Government</w:t>
      </w:r>
      <w:r w:rsidRPr="00F335A9">
        <w:t xml:space="preserve"> applied for, and was granted, a workers’ compensation self-insurance licence</w:t>
      </w:r>
      <w:r w:rsidR="008E0DD1">
        <w:t xml:space="preserve"> </w:t>
      </w:r>
      <w:r>
        <w:t xml:space="preserve">under </w:t>
      </w:r>
      <w:r w:rsidRPr="00F335A9">
        <w:t>the</w:t>
      </w:r>
      <w:r w:rsidR="00B95E7D">
        <w:rPr>
          <w:szCs w:val="22"/>
        </w:rPr>
        <w:t xml:space="preserve"> SRC Act</w:t>
      </w:r>
      <w:r w:rsidRPr="009E2D28">
        <w:t>.</w:t>
      </w:r>
      <w:r>
        <w:t xml:space="preserve"> </w:t>
      </w:r>
      <w:r w:rsidR="00B724B4">
        <w:t>The audit report noted that:</w:t>
      </w:r>
    </w:p>
    <w:p w14:paraId="63D861D2" w14:textId="7C7F217D" w:rsidR="003E7841" w:rsidRDefault="003E7841" w:rsidP="00B724B4">
      <w:pPr>
        <w:pStyle w:val="Quote"/>
      </w:pPr>
      <w:r w:rsidRPr="0036375B">
        <w:t>A Notice of Grant of Licence was signed by the Chairperson of the Safety, Rehabilitation and Compensation Commission on 5</w:t>
      </w:r>
      <w:r>
        <w:t> </w:t>
      </w:r>
      <w:r w:rsidRPr="0036375B">
        <w:t>December</w:t>
      </w:r>
      <w:r>
        <w:t> </w:t>
      </w:r>
      <w:r w:rsidRPr="0036375B">
        <w:t>2018</w:t>
      </w:r>
      <w:r>
        <w:t>,</w:t>
      </w:r>
      <w:r w:rsidRPr="0036375B">
        <w:t xml:space="preserve"> for the period commencing 1</w:t>
      </w:r>
      <w:r>
        <w:t> </w:t>
      </w:r>
      <w:r w:rsidRPr="0036375B">
        <w:t>March</w:t>
      </w:r>
      <w:r>
        <w:t> </w:t>
      </w:r>
      <w:r w:rsidRPr="0036375B">
        <w:t>2019 and ending 28</w:t>
      </w:r>
      <w:r>
        <w:t> </w:t>
      </w:r>
      <w:r w:rsidRPr="0036375B">
        <w:t>February</w:t>
      </w:r>
      <w:r>
        <w:t> </w:t>
      </w:r>
      <w:r w:rsidRPr="0036375B">
        <w:t>2027</w:t>
      </w:r>
      <w:r>
        <w:t>.</w:t>
      </w:r>
      <w:r>
        <w:rPr>
          <w:rStyle w:val="FootnoteReference"/>
        </w:rPr>
        <w:footnoteReference w:id="53"/>
      </w:r>
    </w:p>
    <w:p w14:paraId="7F2D97BE" w14:textId="72794E48" w:rsidR="003E7841" w:rsidRDefault="003E7841" w:rsidP="003E7841">
      <w:pPr>
        <w:pStyle w:val="ListNumber2"/>
      </w:pPr>
      <w:r>
        <w:t xml:space="preserve">In addition, the </w:t>
      </w:r>
      <w:r w:rsidRPr="00111E1F">
        <w:rPr>
          <w:i/>
          <w:iCs/>
        </w:rPr>
        <w:t>Public Sector Workers Compensation Fund Act 2018</w:t>
      </w:r>
      <w:r>
        <w:t xml:space="preserve"> (the PSWCF Act) </w:t>
      </w:r>
      <w:r w:rsidR="00B724B4">
        <w:t xml:space="preserve">was passed to </w:t>
      </w:r>
      <w:r>
        <w:t>establish financial and prudential governance in relation to the Territory’s obligations as a self-insured licensee under the</w:t>
      </w:r>
      <w:r w:rsidR="00B95E7D">
        <w:t xml:space="preserve"> SRC Act</w:t>
      </w:r>
      <w:r w:rsidRPr="007D4DE5">
        <w:rPr>
          <w:szCs w:val="22"/>
        </w:rPr>
        <w:t>.</w:t>
      </w:r>
      <w:r w:rsidRPr="007D4DE5">
        <w:rPr>
          <w:rStyle w:val="FootnoteReference"/>
          <w:szCs w:val="22"/>
        </w:rPr>
        <w:footnoteReference w:id="54"/>
      </w:r>
      <w:r w:rsidRPr="004D3821">
        <w:t xml:space="preserve"> </w:t>
      </w:r>
      <w:r w:rsidRPr="00F335A9">
        <w:t xml:space="preserve">Prior to this, ACT </w:t>
      </w:r>
      <w:r>
        <w:t>p</w:t>
      </w:r>
      <w:r w:rsidRPr="00F335A9">
        <w:t xml:space="preserve">ublic </w:t>
      </w:r>
      <w:r>
        <w:t>s</w:t>
      </w:r>
      <w:r w:rsidRPr="00F335A9">
        <w:t>ervice workers’ compensation had been insured under the Commonwealth workers’ compensation scheme through Comcare</w:t>
      </w:r>
      <w:r>
        <w:t>.</w:t>
      </w:r>
      <w:r>
        <w:rPr>
          <w:rStyle w:val="FootnoteReference"/>
        </w:rPr>
        <w:footnoteReference w:id="55"/>
      </w:r>
    </w:p>
    <w:p w14:paraId="132347CA" w14:textId="3A4E8D26" w:rsidR="003E7841" w:rsidRDefault="0087413A" w:rsidP="00A81D34">
      <w:pPr>
        <w:pStyle w:val="ListNumber2"/>
      </w:pPr>
      <w:r>
        <w:t xml:space="preserve">In its </w:t>
      </w:r>
      <w:r w:rsidRPr="00674CB9">
        <w:rPr>
          <w:i/>
          <w:iCs/>
        </w:rPr>
        <w:t>Annual Report 2020-2021</w:t>
      </w:r>
      <w:r>
        <w:t xml:space="preserve">, the Chief Minister, Treasury and Economic Development Directorate (CMTEDD) noted that the </w:t>
      </w:r>
      <w:r w:rsidR="003E7841">
        <w:t xml:space="preserve">Public Sector Workers Compensation Fund </w:t>
      </w:r>
      <w:r w:rsidR="003E7841" w:rsidRPr="004D3821">
        <w:t>(</w:t>
      </w:r>
      <w:r w:rsidR="003E7841">
        <w:t xml:space="preserve">the </w:t>
      </w:r>
      <w:r w:rsidR="003E7841" w:rsidRPr="004D3821">
        <w:t>PSWC Fund)</w:t>
      </w:r>
      <w:r w:rsidR="003E7841">
        <w:t xml:space="preserve"> was established under </w:t>
      </w:r>
      <w:r w:rsidR="003E7841" w:rsidRPr="0087413A">
        <w:t xml:space="preserve">the </w:t>
      </w:r>
      <w:r w:rsidRPr="0087413A">
        <w:t>PSWCF Act</w:t>
      </w:r>
      <w:r w:rsidR="003E7841">
        <w:t xml:space="preserve"> and </w:t>
      </w:r>
      <w:r>
        <w:t xml:space="preserve">began operation in March 2019, </w:t>
      </w:r>
      <w:r>
        <w:lastRenderedPageBreak/>
        <w:t>and that the PSWC Fund was administered by the Public Sector Workers Compensation Commissioner</w:t>
      </w:r>
      <w:r>
        <w:rPr>
          <w:rStyle w:val="FootnoteReference"/>
        </w:rPr>
        <w:t xml:space="preserve"> </w:t>
      </w:r>
      <w:r>
        <w:t>.</w:t>
      </w:r>
      <w:r w:rsidR="003E7841">
        <w:rPr>
          <w:rStyle w:val="FootnoteReference"/>
        </w:rPr>
        <w:footnoteReference w:id="56"/>
      </w:r>
    </w:p>
    <w:p w14:paraId="3E4398F7" w14:textId="3331A906" w:rsidR="003E7841" w:rsidRDefault="00161457" w:rsidP="003E7841">
      <w:pPr>
        <w:pStyle w:val="ListNumber2"/>
      </w:pPr>
      <w:r>
        <w:t xml:space="preserve">The audit report noted that a services agreement between the ACT Government and </w:t>
      </w:r>
      <w:r w:rsidR="003E7841">
        <w:t>Employers Mutual Limited (EML)</w:t>
      </w:r>
      <w:r>
        <w:t xml:space="preserve"> was executed in October 2018</w:t>
      </w:r>
      <w:r w:rsidR="003E7841">
        <w:t xml:space="preserve">. The </w:t>
      </w:r>
      <w:r>
        <w:t>ag</w:t>
      </w:r>
      <w:r w:rsidR="003E7841">
        <w:t xml:space="preserve">reement </w:t>
      </w:r>
      <w:r w:rsidR="00674CB9">
        <w:t>engaged</w:t>
      </w:r>
      <w:r w:rsidR="003E7841">
        <w:t xml:space="preserve"> EML to provide claims administration services</w:t>
      </w:r>
      <w:r w:rsidR="00674CB9">
        <w:t xml:space="preserve"> until February 2023</w:t>
      </w:r>
      <w:r w:rsidR="003E7841">
        <w:t>.</w:t>
      </w:r>
      <w:r w:rsidR="003E7841">
        <w:rPr>
          <w:rStyle w:val="FootnoteReference"/>
        </w:rPr>
        <w:footnoteReference w:id="57"/>
      </w:r>
    </w:p>
    <w:p w14:paraId="42501100" w14:textId="1C53F265" w:rsidR="003E7841" w:rsidRDefault="00674CB9" w:rsidP="003E7841">
      <w:pPr>
        <w:pStyle w:val="ListNumber2"/>
      </w:pPr>
      <w:r>
        <w:t>The audit report further noted that,</w:t>
      </w:r>
      <w:r w:rsidR="004F2D8B">
        <w:t xml:space="preserve"> </w:t>
      </w:r>
      <w:r>
        <w:t>i</w:t>
      </w:r>
      <w:r w:rsidR="003E7841" w:rsidRPr="00F335A9">
        <w:t xml:space="preserve">n becoming a self-insured licensee, the </w:t>
      </w:r>
      <w:r w:rsidR="003E7841">
        <w:t xml:space="preserve">ACT Government </w:t>
      </w:r>
      <w:r w:rsidR="004F2D8B">
        <w:t xml:space="preserve">had </w:t>
      </w:r>
      <w:r w:rsidR="003E7841">
        <w:t>acquired</w:t>
      </w:r>
      <w:r w:rsidR="003E7841" w:rsidRPr="00F335A9">
        <w:t xml:space="preserve"> the contractual rights and obligations, </w:t>
      </w:r>
      <w:r>
        <w:t>and</w:t>
      </w:r>
      <w:r w:rsidR="003E7841" w:rsidRPr="00F335A9">
        <w:t xml:space="preserve"> the financial liabilities and assets, relating to ACT Public Service workers’ compensation claims from Comcare.</w:t>
      </w:r>
      <w:r w:rsidR="003E7841">
        <w:rPr>
          <w:rStyle w:val="FootnoteReference"/>
        </w:rPr>
        <w:footnoteReference w:id="58"/>
      </w:r>
    </w:p>
    <w:p w14:paraId="31C90B2D" w14:textId="77777777" w:rsidR="003E7841" w:rsidRPr="00606586" w:rsidRDefault="003E7841" w:rsidP="003E7841">
      <w:pPr>
        <w:pStyle w:val="Heading2"/>
      </w:pPr>
      <w:bookmarkStart w:id="41" w:name="_Toc144474983"/>
      <w:r>
        <w:t>The audit</w:t>
      </w:r>
      <w:bookmarkEnd w:id="41"/>
    </w:p>
    <w:p w14:paraId="08BE9B16" w14:textId="36581E16" w:rsidR="003E7841" w:rsidRPr="00C67E1C" w:rsidRDefault="003E7841" w:rsidP="003E7841">
      <w:pPr>
        <w:pStyle w:val="ListNumber2"/>
      </w:pPr>
      <w:r>
        <w:t xml:space="preserve">The audit considered </w:t>
      </w:r>
      <w:r w:rsidRPr="0036375B">
        <w:rPr>
          <w:szCs w:val="22"/>
        </w:rPr>
        <w:t xml:space="preserve">the activities of </w:t>
      </w:r>
      <w:r>
        <w:rPr>
          <w:szCs w:val="22"/>
        </w:rPr>
        <w:t>CMTEDD</w:t>
      </w:r>
      <w:r w:rsidRPr="0036375B">
        <w:rPr>
          <w:szCs w:val="22"/>
        </w:rPr>
        <w:t xml:space="preserve"> in relation to the preparation for, and management of, the transition to being a self-insured licensee under </w:t>
      </w:r>
      <w:r w:rsidRPr="00674CB9">
        <w:rPr>
          <w:szCs w:val="22"/>
        </w:rPr>
        <w:t xml:space="preserve">the </w:t>
      </w:r>
      <w:r w:rsidR="00674CB9" w:rsidRPr="00674CB9">
        <w:rPr>
          <w:szCs w:val="22"/>
        </w:rPr>
        <w:t>SRC Act</w:t>
      </w:r>
      <w:r w:rsidR="00674CB9">
        <w:rPr>
          <w:szCs w:val="22"/>
        </w:rPr>
        <w:t>, including</w:t>
      </w:r>
      <w:r w:rsidRPr="0036375B">
        <w:rPr>
          <w:szCs w:val="22"/>
        </w:rPr>
        <w:t xml:space="preserve"> activities for the establishment of the ACT </w:t>
      </w:r>
      <w:r>
        <w:t>PSWC Fund.</w:t>
      </w:r>
      <w:r>
        <w:rPr>
          <w:rStyle w:val="FootnoteReference"/>
          <w:szCs w:val="22"/>
        </w:rPr>
        <w:footnoteReference w:id="59"/>
      </w:r>
    </w:p>
    <w:p w14:paraId="13505763" w14:textId="27C1D08B" w:rsidR="003E7841" w:rsidRPr="00C67E1C" w:rsidRDefault="003E7841" w:rsidP="003E7841">
      <w:pPr>
        <w:pStyle w:val="ListNumber2"/>
      </w:pPr>
      <w:r w:rsidRPr="00C67E1C">
        <w:t xml:space="preserve">Noting that the </w:t>
      </w:r>
      <w:r>
        <w:t>PSWC</w:t>
      </w:r>
      <w:r w:rsidRPr="00C67E1C">
        <w:t xml:space="preserve"> Fund ha</w:t>
      </w:r>
      <w:r>
        <w:t>d</w:t>
      </w:r>
      <w:r w:rsidRPr="00C67E1C">
        <w:t xml:space="preserve"> been subject to reviews and other assurance processes as required for the </w:t>
      </w:r>
      <w:r>
        <w:t>ACT Government</w:t>
      </w:r>
      <w:r w:rsidRPr="00C67E1C">
        <w:t xml:space="preserve"> to become a self-insurer, the </w:t>
      </w:r>
      <w:r>
        <w:t>a</w:t>
      </w:r>
      <w:r w:rsidRPr="00C67E1C">
        <w:t xml:space="preserve">udit </w:t>
      </w:r>
      <w:r w:rsidR="00674CB9">
        <w:t>included</w:t>
      </w:r>
      <w:r w:rsidRPr="00C67E1C">
        <w:t xml:space="preserve"> consideration of the: </w:t>
      </w:r>
    </w:p>
    <w:p w14:paraId="0C3533E1" w14:textId="77777777" w:rsidR="003E7841" w:rsidRDefault="003E7841" w:rsidP="00674CB9">
      <w:pPr>
        <w:pStyle w:val="Quote"/>
        <w:numPr>
          <w:ilvl w:val="0"/>
          <w:numId w:val="37"/>
        </w:numPr>
      </w:pPr>
      <w:r>
        <w:t xml:space="preserve">due diligence processes associated with the transfer of existing workers’ compensation assets and liabilities from Comcare; and </w:t>
      </w:r>
    </w:p>
    <w:p w14:paraId="7013FA14" w14:textId="77777777" w:rsidR="003E7841" w:rsidRPr="00C67E1C" w:rsidRDefault="003E7841" w:rsidP="00674CB9">
      <w:pPr>
        <w:pStyle w:val="Quote"/>
        <w:numPr>
          <w:ilvl w:val="0"/>
          <w:numId w:val="37"/>
        </w:numPr>
      </w:pPr>
      <w:r>
        <w:t>governance and administrative arrangements for the management of ACT Public Service workers’ compensation arrangements.</w:t>
      </w:r>
      <w:r>
        <w:rPr>
          <w:rStyle w:val="FootnoteReference"/>
        </w:rPr>
        <w:footnoteReference w:id="60"/>
      </w:r>
      <w:r>
        <w:t xml:space="preserve"> </w:t>
      </w:r>
    </w:p>
    <w:p w14:paraId="56A5151F" w14:textId="32327737" w:rsidR="004F2D8B" w:rsidRDefault="003E7841" w:rsidP="003E7841">
      <w:pPr>
        <w:pStyle w:val="ListNumber2"/>
        <w:rPr>
          <w:szCs w:val="22"/>
        </w:rPr>
      </w:pPr>
      <w:r>
        <w:rPr>
          <w:szCs w:val="22"/>
        </w:rPr>
        <w:t xml:space="preserve">The audit report </w:t>
      </w:r>
      <w:r w:rsidR="009C51CE">
        <w:rPr>
          <w:szCs w:val="22"/>
        </w:rPr>
        <w:t>made</w:t>
      </w:r>
      <w:r>
        <w:rPr>
          <w:szCs w:val="22"/>
        </w:rPr>
        <w:t xml:space="preserve"> no </w:t>
      </w:r>
      <w:r w:rsidR="004F2D8B">
        <w:rPr>
          <w:szCs w:val="22"/>
        </w:rPr>
        <w:t>recommendations but</w:t>
      </w:r>
      <w:r w:rsidR="009C51CE">
        <w:rPr>
          <w:szCs w:val="22"/>
        </w:rPr>
        <w:t xml:space="preserve"> </w:t>
      </w:r>
      <w:r w:rsidR="004F2D8B">
        <w:rPr>
          <w:szCs w:val="22"/>
        </w:rPr>
        <w:t xml:space="preserve">listed </w:t>
      </w:r>
      <w:r>
        <w:rPr>
          <w:szCs w:val="22"/>
        </w:rPr>
        <w:t>key findings</w:t>
      </w:r>
      <w:r w:rsidR="009C51CE">
        <w:rPr>
          <w:szCs w:val="22"/>
        </w:rPr>
        <w:t xml:space="preserve"> under the headings of ‘assessment of liabilities and assets’, ‘transfer of claims data’ and ‘governance and administrative arrangements</w:t>
      </w:r>
      <w:r>
        <w:rPr>
          <w:szCs w:val="22"/>
        </w:rPr>
        <w:t>.</w:t>
      </w:r>
      <w:r w:rsidR="00324B1E">
        <w:rPr>
          <w:szCs w:val="22"/>
        </w:rPr>
        <w:t>’</w:t>
      </w:r>
      <w:r w:rsidR="009C51CE">
        <w:rPr>
          <w:rStyle w:val="FootnoteReference"/>
          <w:szCs w:val="22"/>
        </w:rPr>
        <w:footnoteReference w:id="61"/>
      </w:r>
      <w:r>
        <w:rPr>
          <w:szCs w:val="22"/>
        </w:rPr>
        <w:t xml:space="preserve"> </w:t>
      </w:r>
    </w:p>
    <w:p w14:paraId="0ED2507A" w14:textId="5215070F" w:rsidR="004F2D8B" w:rsidRDefault="004F2D8B" w:rsidP="003E7841">
      <w:pPr>
        <w:pStyle w:val="ListNumber2"/>
        <w:rPr>
          <w:szCs w:val="22"/>
        </w:rPr>
      </w:pPr>
      <w:r>
        <w:rPr>
          <w:szCs w:val="22"/>
        </w:rPr>
        <w:t xml:space="preserve">In relation to assessment of liabilities and assets, the report </w:t>
      </w:r>
      <w:r w:rsidR="003E7841" w:rsidRPr="00954F80">
        <w:rPr>
          <w:szCs w:val="22"/>
        </w:rPr>
        <w:t>concluded that</w:t>
      </w:r>
      <w:r>
        <w:rPr>
          <w:szCs w:val="22"/>
        </w:rPr>
        <w:t xml:space="preserve">, while the rights and obligations of being a self-insured licensee had been transferred to the Territory, Comcare had not yet transferred the funds to cover compensation liabilities, and that the Territory and Comcare had not agreed on the amount of funds to be transferred. This meant that the Territory did not have sufficient funds in the PSWC Fund. The report noted </w:t>
      </w:r>
      <w:r>
        <w:rPr>
          <w:szCs w:val="22"/>
        </w:rPr>
        <w:lastRenderedPageBreak/>
        <w:t>that the ‘continuing uncertainty’ regarding the transfer of funds presented a financial risk to the Territory.</w:t>
      </w:r>
      <w:r>
        <w:rPr>
          <w:rStyle w:val="FootnoteReference"/>
          <w:szCs w:val="22"/>
        </w:rPr>
        <w:footnoteReference w:id="62"/>
      </w:r>
    </w:p>
    <w:p w14:paraId="0BBCB4A0" w14:textId="58F4C257" w:rsidR="004F2D8B" w:rsidRDefault="004F2D8B" w:rsidP="003E7841">
      <w:pPr>
        <w:pStyle w:val="ListNumber2"/>
        <w:rPr>
          <w:szCs w:val="22"/>
        </w:rPr>
      </w:pPr>
      <w:r>
        <w:rPr>
          <w:szCs w:val="22"/>
        </w:rPr>
        <w:t xml:space="preserve">With respect to the transfer of claims data, the report concluded that </w:t>
      </w:r>
      <w:r w:rsidR="0023098E">
        <w:rPr>
          <w:szCs w:val="22"/>
        </w:rPr>
        <w:t>CMTEDD had co</w:t>
      </w:r>
      <w:r w:rsidR="00324B1E">
        <w:rPr>
          <w:szCs w:val="22"/>
        </w:rPr>
        <w:noBreakHyphen/>
      </w:r>
      <w:r w:rsidR="0023098E">
        <w:rPr>
          <w:szCs w:val="22"/>
        </w:rPr>
        <w:t>operated with Comcare and EML to implement ‘</w:t>
      </w:r>
      <w:r w:rsidR="0023098E" w:rsidRPr="0023098E">
        <w:rPr>
          <w:szCs w:val="22"/>
        </w:rPr>
        <w:t>effective governance arrangements for the Territory’s transition to self-insurance</w:t>
      </w:r>
      <w:r w:rsidR="0023098E">
        <w:rPr>
          <w:szCs w:val="22"/>
        </w:rPr>
        <w:t>’. However, while claims data had been securely transferred from Comcare, there was ‘minimal assurance’ that the data was accurate and that client information was correctly matched with claims data.</w:t>
      </w:r>
      <w:r w:rsidR="0023098E">
        <w:rPr>
          <w:rStyle w:val="FootnoteReference"/>
          <w:szCs w:val="22"/>
        </w:rPr>
        <w:footnoteReference w:id="63"/>
      </w:r>
    </w:p>
    <w:p w14:paraId="6DE68858" w14:textId="2194D13B" w:rsidR="0023098E" w:rsidRDefault="0023098E" w:rsidP="003E7841">
      <w:pPr>
        <w:pStyle w:val="ListNumber2"/>
        <w:rPr>
          <w:szCs w:val="22"/>
        </w:rPr>
      </w:pPr>
      <w:r>
        <w:rPr>
          <w:szCs w:val="22"/>
        </w:rPr>
        <w:t>Finally, in reference to governance and administrative arrangements, the report concluded that CMTEDD had developed effective arrangements for the management and oversight of the PSWC Fund and compliance with requirements under the SRC Act.</w:t>
      </w:r>
      <w:r>
        <w:rPr>
          <w:rStyle w:val="FootnoteReference"/>
          <w:szCs w:val="22"/>
        </w:rPr>
        <w:footnoteReference w:id="64"/>
      </w:r>
    </w:p>
    <w:p w14:paraId="7F490733" w14:textId="77777777" w:rsidR="003E7841" w:rsidRDefault="003E7841" w:rsidP="003E7841">
      <w:pPr>
        <w:pStyle w:val="Heading2"/>
      </w:pPr>
      <w:bookmarkStart w:id="42" w:name="_Toc144474984"/>
      <w:r>
        <w:t>Government response to the audit</w:t>
      </w:r>
      <w:bookmarkEnd w:id="42"/>
    </w:p>
    <w:p w14:paraId="2FA634C0" w14:textId="77777777" w:rsidR="003E7841" w:rsidRDefault="003E7841" w:rsidP="003E7841">
      <w:pPr>
        <w:pStyle w:val="ListNumber2"/>
      </w:pPr>
      <w:r>
        <w:t>The Minister for Employment and Workplace Safety responded to the Auditor-General’s report on 24 August 2020, and said:</w:t>
      </w:r>
    </w:p>
    <w:p w14:paraId="16428218" w14:textId="77777777" w:rsidR="003E7841" w:rsidRDefault="003E7841" w:rsidP="003E7841">
      <w:pPr>
        <w:pStyle w:val="Quote"/>
      </w:pPr>
      <w:r>
        <w:t>While it is acknowledged that the transfer of assets relating to existing liabilities of the Territory prior to 1 March 2019 remains outstanding and the risks identified in the performance report are noted, it is also necessary to ensure due diligence is undertaken to determine the assets payable to the Territory. Until these assets are paid by Comcare, there are a number of safeguards in place that will ensure the Territory continues to have sufficient funds to meet our liabilities as a self</w:t>
      </w:r>
      <w:r>
        <w:noBreakHyphen/>
        <w:t>insurer to our injured workers.</w:t>
      </w:r>
      <w:r>
        <w:rPr>
          <w:rStyle w:val="FootnoteReference"/>
        </w:rPr>
        <w:footnoteReference w:id="65"/>
      </w:r>
    </w:p>
    <w:p w14:paraId="10858C1E" w14:textId="4291360B" w:rsidR="003E7841" w:rsidRDefault="003E7841" w:rsidP="003E7841">
      <w:pPr>
        <w:pStyle w:val="Heading2"/>
      </w:pPr>
      <w:bookmarkStart w:id="43" w:name="_Toc144474985"/>
      <w:r>
        <w:t xml:space="preserve">2021 Committee </w:t>
      </w:r>
      <w:r w:rsidR="007B477A">
        <w:t>inquiry</w:t>
      </w:r>
      <w:bookmarkEnd w:id="43"/>
    </w:p>
    <w:p w14:paraId="6E5D139E" w14:textId="77777777" w:rsidR="003E7841" w:rsidRPr="005B3244" w:rsidRDefault="003E7841" w:rsidP="003E7841">
      <w:pPr>
        <w:pStyle w:val="ListNumber2"/>
        <w:rPr>
          <w:szCs w:val="22"/>
        </w:rPr>
      </w:pPr>
      <w:r w:rsidRPr="005B3244">
        <w:rPr>
          <w:szCs w:val="22"/>
        </w:rPr>
        <w:t>On 11 May 2021</w:t>
      </w:r>
      <w:r>
        <w:rPr>
          <w:szCs w:val="22"/>
        </w:rPr>
        <w:t>,</w:t>
      </w:r>
      <w:r w:rsidRPr="005B3244">
        <w:rPr>
          <w:szCs w:val="22"/>
        </w:rPr>
        <w:t xml:space="preserve"> the Committee </w:t>
      </w:r>
      <w:r>
        <w:rPr>
          <w:szCs w:val="22"/>
        </w:rPr>
        <w:t>notified</w:t>
      </w:r>
      <w:r w:rsidRPr="005B3244">
        <w:rPr>
          <w:szCs w:val="22"/>
        </w:rPr>
        <w:t xml:space="preserve"> the Assembly </w:t>
      </w:r>
      <w:r>
        <w:rPr>
          <w:szCs w:val="22"/>
        </w:rPr>
        <w:t xml:space="preserve">that </w:t>
      </w:r>
      <w:r w:rsidRPr="005B3244">
        <w:rPr>
          <w:szCs w:val="22"/>
        </w:rPr>
        <w:t xml:space="preserve">it would be undertaking </w:t>
      </w:r>
      <w:r>
        <w:rPr>
          <w:szCs w:val="22"/>
        </w:rPr>
        <w:t>an</w:t>
      </w:r>
      <w:r w:rsidRPr="005B3244">
        <w:rPr>
          <w:szCs w:val="22"/>
        </w:rPr>
        <w:t xml:space="preserve"> inquiry into the </w:t>
      </w:r>
      <w:r>
        <w:rPr>
          <w:szCs w:val="22"/>
        </w:rPr>
        <w:t>a</w:t>
      </w:r>
      <w:r w:rsidRPr="005B3244">
        <w:rPr>
          <w:szCs w:val="22"/>
        </w:rPr>
        <w:t xml:space="preserve">udit </w:t>
      </w:r>
      <w:r>
        <w:rPr>
          <w:szCs w:val="22"/>
        </w:rPr>
        <w:t>r</w:t>
      </w:r>
      <w:r w:rsidRPr="005B3244">
        <w:rPr>
          <w:szCs w:val="22"/>
        </w:rPr>
        <w:t>eport</w:t>
      </w:r>
      <w:r>
        <w:rPr>
          <w:szCs w:val="22"/>
        </w:rPr>
        <w:t>.</w:t>
      </w:r>
      <w:r>
        <w:rPr>
          <w:rStyle w:val="FootnoteReference"/>
          <w:szCs w:val="22"/>
        </w:rPr>
        <w:footnoteReference w:id="66"/>
      </w:r>
    </w:p>
    <w:p w14:paraId="03C6817F" w14:textId="1063F9A6" w:rsidR="003E7841" w:rsidRDefault="003E7841" w:rsidP="003E7841">
      <w:pPr>
        <w:pStyle w:val="ListNumber2"/>
        <w:rPr>
          <w:szCs w:val="22"/>
        </w:rPr>
      </w:pPr>
      <w:r>
        <w:rPr>
          <w:szCs w:val="22"/>
        </w:rPr>
        <w:t xml:space="preserve">The Committee received a briefing from the Auditor-General and </w:t>
      </w:r>
      <w:r w:rsidR="00C562AA">
        <w:rPr>
          <w:szCs w:val="22"/>
        </w:rPr>
        <w:t xml:space="preserve">also </w:t>
      </w:r>
      <w:r>
        <w:rPr>
          <w:szCs w:val="22"/>
        </w:rPr>
        <w:t xml:space="preserve">heard evidence from </w:t>
      </w:r>
      <w:r w:rsidRPr="005B3244">
        <w:rPr>
          <w:szCs w:val="22"/>
        </w:rPr>
        <w:t>the Minister for Industrial Relations and Workplace Safety</w:t>
      </w:r>
      <w:r>
        <w:rPr>
          <w:szCs w:val="22"/>
        </w:rPr>
        <w:t xml:space="preserve"> and </w:t>
      </w:r>
      <w:r w:rsidRPr="005B3244">
        <w:rPr>
          <w:szCs w:val="22"/>
        </w:rPr>
        <w:t>CMTEDD</w:t>
      </w:r>
      <w:r>
        <w:rPr>
          <w:szCs w:val="22"/>
        </w:rPr>
        <w:t>.</w:t>
      </w:r>
      <w:r>
        <w:rPr>
          <w:rStyle w:val="FootnoteReference"/>
          <w:szCs w:val="22"/>
        </w:rPr>
        <w:footnoteReference w:id="67"/>
      </w:r>
    </w:p>
    <w:p w14:paraId="7162AA98" w14:textId="77777777" w:rsidR="003E7841" w:rsidRDefault="003E7841" w:rsidP="003E7841">
      <w:pPr>
        <w:pStyle w:val="ListNumber2"/>
        <w:rPr>
          <w:szCs w:val="22"/>
        </w:rPr>
      </w:pPr>
      <w:r w:rsidRPr="005B3244">
        <w:rPr>
          <w:szCs w:val="22"/>
        </w:rPr>
        <w:t>The Committee made one recommendation, that</w:t>
      </w:r>
      <w:r>
        <w:rPr>
          <w:szCs w:val="22"/>
        </w:rPr>
        <w:t>:</w:t>
      </w:r>
    </w:p>
    <w:p w14:paraId="713771AB" w14:textId="77777777" w:rsidR="003E7841" w:rsidRPr="0043676A" w:rsidRDefault="003E7841" w:rsidP="003E7841">
      <w:pPr>
        <w:pStyle w:val="Quote"/>
        <w:rPr>
          <w:szCs w:val="22"/>
        </w:rPr>
      </w:pPr>
      <w:r>
        <w:lastRenderedPageBreak/>
        <w:t xml:space="preserve">… </w:t>
      </w:r>
      <w:r w:rsidRPr="00BC3558">
        <w:t>the ACT Government finalise negotiations with Comcare and ensure the transfer of assets from Comcare is received by no later than the end of this financial year</w:t>
      </w:r>
      <w:r>
        <w:t xml:space="preserve"> (meaning by 30 June 2022)</w:t>
      </w:r>
      <w:r w:rsidRPr="00BC3558">
        <w:t>.</w:t>
      </w:r>
      <w:r>
        <w:rPr>
          <w:rStyle w:val="FootnoteReference"/>
        </w:rPr>
        <w:footnoteReference w:id="68"/>
      </w:r>
      <w:r w:rsidRPr="00BC3558">
        <w:t xml:space="preserve"> </w:t>
      </w:r>
    </w:p>
    <w:p w14:paraId="7B873F8C" w14:textId="2B66CD72" w:rsidR="007B477A" w:rsidRPr="007B477A" w:rsidRDefault="007B477A" w:rsidP="003E7841">
      <w:pPr>
        <w:pStyle w:val="ListNumber2"/>
      </w:pPr>
      <w:r w:rsidRPr="007B477A">
        <w:t xml:space="preserve">CMTEDD’s </w:t>
      </w:r>
      <w:r w:rsidRPr="007B477A">
        <w:rPr>
          <w:i/>
          <w:iCs/>
        </w:rPr>
        <w:t>Annual Report 2021–2022</w:t>
      </w:r>
      <w:r w:rsidRPr="007B477A">
        <w:t xml:space="preserve"> noted that Comcare made two payments to the PSWC Fund in March 2019, refunding premiums paid for March to June 2019 and making an initial payment of $55 million against Comcare’s liability transferred to the Territory. The Annual Report 2021–2022 further noted that Comcare transferred funds to the Territory on 30 November 2021 including $328 million (excluding GST) ‘relating to amounts receivable from 1 March 2019’ and $12.4 million (excluding GST) in interest on this amount.</w:t>
      </w:r>
      <w:r w:rsidRPr="007B477A">
        <w:rPr>
          <w:rStyle w:val="FootnoteReference"/>
        </w:rPr>
        <w:footnoteReference w:id="69"/>
      </w:r>
    </w:p>
    <w:p w14:paraId="2A2D2E11" w14:textId="189C9743" w:rsidR="003E7841" w:rsidRDefault="007B477A" w:rsidP="00421312">
      <w:pPr>
        <w:pStyle w:val="ListNumber2"/>
      </w:pPr>
      <w:r>
        <w:t xml:space="preserve">In its response to the </w:t>
      </w:r>
      <w:r w:rsidR="003E7841">
        <w:t>Committee’s inquiry report</w:t>
      </w:r>
      <w:r>
        <w:t>, tabled</w:t>
      </w:r>
      <w:r w:rsidR="003E7841">
        <w:t xml:space="preserve"> on 24 March 2022</w:t>
      </w:r>
      <w:r>
        <w:t>, the ACT Government noted that this final payment had been made, saying that this ‘brought the project to establish the workers’ compensation self-insurer to a close’</w:t>
      </w:r>
      <w:r w:rsidR="003E7841">
        <w:t>.</w:t>
      </w:r>
      <w:r>
        <w:t xml:space="preserve"> The Government Response noted </w:t>
      </w:r>
      <w:r w:rsidR="00470369">
        <w:t>an ongoing</w:t>
      </w:r>
      <w:r>
        <w:t xml:space="preserve"> Government commitment </w:t>
      </w:r>
      <w:r w:rsidR="00470369">
        <w:t>to improvement of services for ill and injured workers.</w:t>
      </w:r>
      <w:r w:rsidR="003E7841">
        <w:rPr>
          <w:rStyle w:val="FootnoteReference"/>
        </w:rPr>
        <w:footnoteReference w:id="70"/>
      </w:r>
    </w:p>
    <w:p w14:paraId="010AF038" w14:textId="77777777" w:rsidR="003E7841" w:rsidRDefault="003E7841" w:rsidP="003E7841">
      <w:pPr>
        <w:pStyle w:val="Heading2"/>
      </w:pPr>
      <w:bookmarkStart w:id="44" w:name="_Toc144474986"/>
      <w:r>
        <w:t>Current Inquiry</w:t>
      </w:r>
      <w:bookmarkEnd w:id="44"/>
    </w:p>
    <w:p w14:paraId="1BAE413A" w14:textId="6594EFDA" w:rsidR="003E7841" w:rsidRDefault="00470369" w:rsidP="003E7841">
      <w:pPr>
        <w:pStyle w:val="ListNumber2"/>
      </w:pPr>
      <w:r>
        <w:t xml:space="preserve">The Committee informed the Assembly of its intention to conduct this </w:t>
      </w:r>
      <w:r w:rsidRPr="00004B7B">
        <w:t>inquiry on 26</w:t>
      </w:r>
      <w:r w:rsidR="00324B1E">
        <w:t> </w:t>
      </w:r>
      <w:r w:rsidRPr="00004B7B">
        <w:t>October 2022</w:t>
      </w:r>
      <w:r w:rsidR="003E7841">
        <w:t>.</w:t>
      </w:r>
    </w:p>
    <w:p w14:paraId="07092059" w14:textId="74D72331" w:rsidR="003E7841" w:rsidRDefault="003E7841" w:rsidP="003E7841">
      <w:pPr>
        <w:pStyle w:val="ListNumber2"/>
      </w:pPr>
      <w:r>
        <w:t>On 26 April 2023, the Committee received a private briefing from M</w:t>
      </w:r>
      <w:r w:rsidR="00470369">
        <w:t>r Mick</w:t>
      </w:r>
      <w:r>
        <w:t xml:space="preserve"> Gentleman </w:t>
      </w:r>
      <w:r w:rsidR="00470369">
        <w:t xml:space="preserve">MLA </w:t>
      </w:r>
      <w:r>
        <w:t>in his capacity as Minister for Industrial Relations and Workplace Safety. The Minister</w:t>
      </w:r>
      <w:r w:rsidR="00470369">
        <w:t xml:space="preserve"> and his officials</w:t>
      </w:r>
      <w:r>
        <w:t xml:space="preserve"> updated the Committee on the progress of the ACT’s workers compensation arrangements since March 2022, on the performance of Employers Mutual Limited as a service provider, and </w:t>
      </w:r>
      <w:r w:rsidR="00470369">
        <w:t xml:space="preserve">on the performance of </w:t>
      </w:r>
      <w:r>
        <w:t xml:space="preserve">the PSWC Fund against Comcare’s </w:t>
      </w:r>
      <w:r w:rsidR="00470369">
        <w:t>key performance indicators</w:t>
      </w:r>
      <w:r>
        <w:t xml:space="preserve"> and license compliance requirements.</w:t>
      </w:r>
    </w:p>
    <w:p w14:paraId="042A9FE2" w14:textId="77777777" w:rsidR="003E7841" w:rsidRDefault="003E7841" w:rsidP="00470369">
      <w:pPr>
        <w:pStyle w:val="Heading4"/>
      </w:pPr>
      <w:r>
        <w:t>Committee Comment</w:t>
      </w:r>
    </w:p>
    <w:p w14:paraId="72445D01" w14:textId="77777777" w:rsidR="003E7841" w:rsidRDefault="003E7841" w:rsidP="003E7841">
      <w:pPr>
        <w:pStyle w:val="ListNumber2"/>
      </w:pPr>
      <w:r>
        <w:t>The Committee makes no further recommendations in relation to the transfer of workers’ compensation arrangements from Comcare.</w:t>
      </w:r>
    </w:p>
    <w:p w14:paraId="33CCCA54" w14:textId="77777777" w:rsidR="00BB2DBE" w:rsidRDefault="00BB2DBE" w:rsidP="000B25EC">
      <w:pPr>
        <w:pStyle w:val="ListNumber"/>
        <w:pageBreakBefore/>
      </w:pPr>
      <w:bookmarkStart w:id="45" w:name="_Toc144474987"/>
      <w:r>
        <w:lastRenderedPageBreak/>
        <w:t>Conclusion</w:t>
      </w:r>
      <w:bookmarkEnd w:id="39"/>
      <w:bookmarkEnd w:id="45"/>
      <w:r>
        <w:t xml:space="preserve"> </w:t>
      </w:r>
    </w:p>
    <w:p w14:paraId="527ADA85" w14:textId="717F08A1" w:rsidR="00BB2DBE" w:rsidRDefault="008C3E5F" w:rsidP="00A96C5E">
      <w:pPr>
        <w:pStyle w:val="ListNumber2"/>
      </w:pPr>
      <w:r>
        <w:t>The Committee finds that significant progress has been made on each of the recommendations and findings contained within the three Auditor-General reports that the Government responses to form the basis of this inquiry.</w:t>
      </w:r>
    </w:p>
    <w:p w14:paraId="000487B0" w14:textId="16B36661" w:rsidR="0052125C" w:rsidRDefault="0052125C" w:rsidP="0052125C">
      <w:pPr>
        <w:pStyle w:val="ListNumber2"/>
      </w:pPr>
      <w:r>
        <w:t xml:space="preserve">The Committee makes </w:t>
      </w:r>
      <w:r w:rsidR="00A96C5E">
        <w:t>five</w:t>
      </w:r>
      <w:r>
        <w:t xml:space="preserve"> recommendations in this report.</w:t>
      </w:r>
    </w:p>
    <w:p w14:paraId="1EE8C433" w14:textId="184EA417" w:rsidR="0052125C" w:rsidRPr="0052125C" w:rsidRDefault="0052125C" w:rsidP="0052125C">
      <w:pPr>
        <w:pStyle w:val="ListContinue"/>
        <w:spacing w:before="1320"/>
        <w:ind w:left="284"/>
      </w:pPr>
      <w:r>
        <w:t xml:space="preserve">Ms </w:t>
      </w:r>
      <w:r w:rsidR="00552008">
        <w:t>Elizabeth Kikkert</w:t>
      </w:r>
      <w:r>
        <w:t xml:space="preserve"> MLA</w:t>
      </w:r>
      <w:r>
        <w:br/>
        <w:t>Chair</w:t>
      </w:r>
      <w:r>
        <w:br/>
        <w:t xml:space="preserve">   </w:t>
      </w:r>
      <w:r w:rsidR="00552008">
        <w:t>October</w:t>
      </w:r>
      <w:r>
        <w:t xml:space="preserve"> 2023</w:t>
      </w:r>
    </w:p>
    <w:p w14:paraId="7FBC4993" w14:textId="3881EDC4" w:rsidR="00BB2DBE" w:rsidRDefault="00BB2DBE" w:rsidP="00BB2DBE"/>
    <w:p w14:paraId="6B8B45C0" w14:textId="7CFDAF93" w:rsidR="00BB2DBE" w:rsidRDefault="00BB2DBE" w:rsidP="00BB2DBE"/>
    <w:p w14:paraId="2B45A22D" w14:textId="0B08500E" w:rsidR="00917819" w:rsidRDefault="00917819" w:rsidP="00BB2DBE"/>
    <w:p w14:paraId="58F3E0FB" w14:textId="73B3D906" w:rsidR="00917819" w:rsidRDefault="00917819" w:rsidP="00BB2DBE"/>
    <w:p w14:paraId="5599BFF4" w14:textId="161BFEC2" w:rsidR="00917819" w:rsidRDefault="00917819" w:rsidP="00BB2DBE"/>
    <w:p w14:paraId="4B091A30" w14:textId="77777777" w:rsidR="00917819" w:rsidRDefault="00917819" w:rsidP="00BB2DBE"/>
    <w:p w14:paraId="67960E4A" w14:textId="537B1223" w:rsidR="001825E5" w:rsidRDefault="00EB3179" w:rsidP="000B25EC">
      <w:pPr>
        <w:pStyle w:val="Heading1nonumber"/>
      </w:pPr>
      <w:bookmarkStart w:id="46" w:name="_Toc144474988"/>
      <w:r>
        <w:lastRenderedPageBreak/>
        <w:t xml:space="preserve">Appendix A: </w:t>
      </w:r>
      <w:r w:rsidR="00BB2DBE">
        <w:t>Submissions</w:t>
      </w:r>
      <w:bookmarkEnd w:id="46"/>
    </w:p>
    <w:tbl>
      <w:tblPr>
        <w:tblStyle w:val="Assemblystyletable"/>
        <w:tblW w:w="0" w:type="auto"/>
        <w:tblLook w:val="04A0" w:firstRow="1" w:lastRow="0" w:firstColumn="1" w:lastColumn="0" w:noHBand="0" w:noVBand="1"/>
      </w:tblPr>
      <w:tblGrid>
        <w:gridCol w:w="2229"/>
        <w:gridCol w:w="3867"/>
        <w:gridCol w:w="1417"/>
        <w:gridCol w:w="1406"/>
      </w:tblGrid>
      <w:tr w:rsidR="00917819" w14:paraId="6C49A254" w14:textId="77777777" w:rsidTr="0035702E">
        <w:trPr>
          <w:cnfStyle w:val="100000000000" w:firstRow="1" w:lastRow="0" w:firstColumn="0" w:lastColumn="0" w:oddVBand="0" w:evenVBand="0" w:oddHBand="0" w:evenHBand="0" w:firstRowFirstColumn="0" w:firstRowLastColumn="0" w:lastRowFirstColumn="0" w:lastRowLastColumn="0"/>
          <w:trHeight w:val="423"/>
        </w:trPr>
        <w:tc>
          <w:tcPr>
            <w:tcW w:w="2229" w:type="dxa"/>
          </w:tcPr>
          <w:p w14:paraId="6419024A" w14:textId="7196EC87" w:rsidR="00917819" w:rsidRDefault="0035702E" w:rsidP="00AF4B7D">
            <w:pPr>
              <w:pStyle w:val="Tableheading"/>
            </w:pPr>
            <w:r>
              <w:t>No.</w:t>
            </w:r>
          </w:p>
        </w:tc>
        <w:tc>
          <w:tcPr>
            <w:tcW w:w="3867" w:type="dxa"/>
          </w:tcPr>
          <w:p w14:paraId="2E79C8B2" w14:textId="2CE75FAF" w:rsidR="00917819" w:rsidRDefault="0035702E" w:rsidP="00AF4B7D">
            <w:pPr>
              <w:pStyle w:val="Tableheading"/>
            </w:pPr>
            <w:r>
              <w:t>Submission by</w:t>
            </w:r>
          </w:p>
        </w:tc>
        <w:tc>
          <w:tcPr>
            <w:tcW w:w="1417" w:type="dxa"/>
          </w:tcPr>
          <w:p w14:paraId="11151927" w14:textId="4410E7A0" w:rsidR="00917819" w:rsidRDefault="0035702E" w:rsidP="00AF4B7D">
            <w:pPr>
              <w:pStyle w:val="Tableheading"/>
            </w:pPr>
            <w:r>
              <w:t xml:space="preserve">Received </w:t>
            </w:r>
          </w:p>
        </w:tc>
        <w:tc>
          <w:tcPr>
            <w:tcW w:w="1406" w:type="dxa"/>
          </w:tcPr>
          <w:p w14:paraId="7172A164" w14:textId="06F71DDC" w:rsidR="00917819" w:rsidRDefault="0035702E" w:rsidP="00AF4B7D">
            <w:pPr>
              <w:pStyle w:val="Tableheading"/>
            </w:pPr>
            <w:r>
              <w:t>Published</w:t>
            </w:r>
          </w:p>
        </w:tc>
      </w:tr>
      <w:tr w:rsidR="00917819" w:rsidRPr="001C7708" w14:paraId="307C60A3" w14:textId="77777777" w:rsidTr="0035702E">
        <w:trPr>
          <w:cnfStyle w:val="000000100000" w:firstRow="0" w:lastRow="0" w:firstColumn="0" w:lastColumn="0" w:oddVBand="0" w:evenVBand="0" w:oddHBand="1" w:evenHBand="0" w:firstRowFirstColumn="0" w:firstRowLastColumn="0" w:lastRowFirstColumn="0" w:lastRowLastColumn="0"/>
          <w:trHeight w:val="431"/>
        </w:trPr>
        <w:tc>
          <w:tcPr>
            <w:tcW w:w="2229" w:type="dxa"/>
            <w:vAlign w:val="top"/>
          </w:tcPr>
          <w:p w14:paraId="5FE568D9" w14:textId="6C6F13FE" w:rsidR="00917819" w:rsidRDefault="00917819" w:rsidP="00AF4B7D">
            <w:pPr>
              <w:pStyle w:val="Tablebody"/>
            </w:pPr>
            <w:r>
              <w:t>1</w:t>
            </w:r>
          </w:p>
        </w:tc>
        <w:tc>
          <w:tcPr>
            <w:tcW w:w="3867" w:type="dxa"/>
            <w:vAlign w:val="top"/>
          </w:tcPr>
          <w:p w14:paraId="7EF4423E" w14:textId="099E7445" w:rsidR="00917819" w:rsidRDefault="0035702E" w:rsidP="00AF4B7D">
            <w:pPr>
              <w:pStyle w:val="Tablebody"/>
            </w:pPr>
            <w:r>
              <w:t>ACT Government</w:t>
            </w:r>
          </w:p>
        </w:tc>
        <w:tc>
          <w:tcPr>
            <w:tcW w:w="1417" w:type="dxa"/>
            <w:vAlign w:val="top"/>
          </w:tcPr>
          <w:p w14:paraId="7B9E3690" w14:textId="34462A99" w:rsidR="00917819" w:rsidRDefault="00F461DB" w:rsidP="00AF4B7D">
            <w:pPr>
              <w:pStyle w:val="Tablebody"/>
            </w:pPr>
            <w:r>
              <w:t>08</w:t>
            </w:r>
            <w:r w:rsidR="0035702E">
              <w:t>/12/2022</w:t>
            </w:r>
          </w:p>
        </w:tc>
        <w:tc>
          <w:tcPr>
            <w:tcW w:w="1406" w:type="dxa"/>
            <w:vAlign w:val="top"/>
          </w:tcPr>
          <w:p w14:paraId="7FA01DD5" w14:textId="1893D9A8" w:rsidR="00917819" w:rsidRDefault="0035702E" w:rsidP="00AF4B7D">
            <w:pPr>
              <w:pStyle w:val="Tablebody"/>
            </w:pPr>
            <w:r>
              <w:t>15/12/2022</w:t>
            </w:r>
          </w:p>
        </w:tc>
      </w:tr>
      <w:tr w:rsidR="00917819" w14:paraId="6A4D762F" w14:textId="77777777" w:rsidTr="0035702E">
        <w:trPr>
          <w:cnfStyle w:val="000000010000" w:firstRow="0" w:lastRow="0" w:firstColumn="0" w:lastColumn="0" w:oddVBand="0" w:evenVBand="0" w:oddHBand="0" w:evenHBand="1" w:firstRowFirstColumn="0" w:firstRowLastColumn="0" w:lastRowFirstColumn="0" w:lastRowLastColumn="0"/>
          <w:trHeight w:val="423"/>
        </w:trPr>
        <w:tc>
          <w:tcPr>
            <w:tcW w:w="2229" w:type="dxa"/>
            <w:vAlign w:val="top"/>
          </w:tcPr>
          <w:p w14:paraId="2E9429FA" w14:textId="1A21A82D" w:rsidR="00917819" w:rsidRDefault="00917819" w:rsidP="00AF4B7D">
            <w:pPr>
              <w:pStyle w:val="Tablebody"/>
            </w:pPr>
            <w:r>
              <w:t>2</w:t>
            </w:r>
          </w:p>
        </w:tc>
        <w:tc>
          <w:tcPr>
            <w:tcW w:w="3867" w:type="dxa"/>
            <w:vAlign w:val="top"/>
          </w:tcPr>
          <w:p w14:paraId="051B30B8" w14:textId="0AD5E458" w:rsidR="00917819" w:rsidRDefault="0035702E" w:rsidP="00AF4B7D">
            <w:pPr>
              <w:pStyle w:val="Tablebody"/>
            </w:pPr>
            <w:r>
              <w:t>ACT Government</w:t>
            </w:r>
          </w:p>
        </w:tc>
        <w:tc>
          <w:tcPr>
            <w:tcW w:w="1417" w:type="dxa"/>
            <w:vAlign w:val="top"/>
          </w:tcPr>
          <w:p w14:paraId="7F28AE99" w14:textId="75786D35" w:rsidR="00917819" w:rsidRDefault="00C85A30" w:rsidP="00AF4B7D">
            <w:pPr>
              <w:pStyle w:val="Tablebody"/>
            </w:pPr>
            <w:r>
              <w:t>15</w:t>
            </w:r>
            <w:r w:rsidR="0035702E">
              <w:t>/12/2022</w:t>
            </w:r>
          </w:p>
        </w:tc>
        <w:tc>
          <w:tcPr>
            <w:tcW w:w="1406" w:type="dxa"/>
            <w:vAlign w:val="top"/>
          </w:tcPr>
          <w:p w14:paraId="56BF26C8" w14:textId="2ECE399D" w:rsidR="00917819" w:rsidRDefault="0035702E" w:rsidP="00AF4B7D">
            <w:pPr>
              <w:pStyle w:val="Tablebody"/>
            </w:pPr>
            <w:r>
              <w:t>15/12/2022</w:t>
            </w:r>
          </w:p>
        </w:tc>
      </w:tr>
    </w:tbl>
    <w:p w14:paraId="3373B80F" w14:textId="6B447D29" w:rsidR="00917819" w:rsidRDefault="00917819" w:rsidP="00917819"/>
    <w:p w14:paraId="119E3489" w14:textId="17D6F4FB" w:rsidR="00917819" w:rsidRPr="00917819" w:rsidRDefault="00917819" w:rsidP="00917819"/>
    <w:p w14:paraId="679974F4" w14:textId="77E89690" w:rsidR="00EB3179" w:rsidRPr="00EB3179" w:rsidRDefault="00EB3179" w:rsidP="00EB3179"/>
    <w:sectPr w:rsidR="00EB3179" w:rsidRPr="00EB3179" w:rsidSect="00603367">
      <w:footerReference w:type="even" r:id="rId16"/>
      <w:footerReference w:type="default" r:id="rId1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AEC7A5F-873C-4CE2-A089-428F8F7D56C5}"/>
    <w:embedBold r:id="rId2" w:fontKey="{6D19F04F-B666-46D2-A139-DB7548D0F099}"/>
    <w:embedItalic r:id="rId3" w:fontKey="{98637A67-793F-4880-9E11-B0B9E674B899}"/>
    <w:embedBoldItalic r:id="rId4" w:fontKey="{77B1EEDA-CDF0-4FA4-AB6D-392C268508B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792E6B3B-5EEA-4780-A36C-C6B885E7896D}"/>
  </w:font>
  <w:font w:name="Montserrat">
    <w:panose1 w:val="00000500000000000000"/>
    <w:charset w:val="00"/>
    <w:family w:val="auto"/>
    <w:pitch w:val="variable"/>
    <w:sig w:usb0="2000020F" w:usb1="00000003" w:usb2="00000000" w:usb3="00000000" w:csb0="00000197" w:csb1="00000000"/>
    <w:embedRegular r:id="rId6" w:fontKey="{D1C1CD24-3797-4194-8D8A-542666771EF5}"/>
    <w:embedBold r:id="rId7" w:fontKey="{2AA88390-A134-4750-B4DC-EF0727D226B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C6ADD486-B91E-4AB1-8BD3-8CFB58F2ED37}"/>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6241AE01"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390032">
      <w:rPr>
        <w:rFonts w:ascii="Montserrat SemiBold" w:hAnsi="Montserrat SemiBold" w:cstheme="majorHAnsi"/>
        <w:noProof/>
        <w:color w:val="2F5496"/>
        <w:w w:val="90"/>
        <w:sz w:val="18"/>
        <w:szCs w:val="18"/>
      </w:rPr>
      <w:t>Inquiry into responses to Auditor-General recommendations for reports 5/2017, 7/2019 and 6/2020</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82C62FC"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D4DBA">
      <w:rPr>
        <w:rFonts w:ascii="Montserrat SemiBold" w:hAnsi="Montserrat SemiBold" w:cstheme="majorHAnsi"/>
        <w:noProof/>
        <w:color w:val="2F5496"/>
        <w:w w:val="90"/>
        <w:sz w:val="18"/>
        <w:szCs w:val="18"/>
      </w:rPr>
      <w:t>Inquiry into responses to Auditor-General recommendations for reports 5/2017, 7/2019 and 6/2020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9C4A3DF" w:rsidR="00836FFE" w:rsidRDefault="008916CA"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Standing Committee on Public Accounts</w:t>
    </w:r>
  </w:p>
  <w:p w14:paraId="67CF88BC" w14:textId="77777777" w:rsidR="008916CA" w:rsidRPr="00C8358A" w:rsidRDefault="008916CA" w:rsidP="00F101AB">
    <w:pPr>
      <w:pStyle w:val="Footer"/>
      <w:tabs>
        <w:tab w:val="clear" w:pos="4513"/>
        <w:tab w:val="clear" w:pos="9026"/>
      </w:tabs>
      <w:rPr>
        <w:rFonts w:cstheme="minorHAnsi"/>
        <w:color w:val="404040" w:themeColor="text1" w:themeTint="BF"/>
      </w:rPr>
    </w:pP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D9D9E51" w:rsidR="00836FFE" w:rsidRPr="00C8358A" w:rsidRDefault="009C38AF"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15D7850A" w14:textId="216A75D4" w:rsidR="00B92D00" w:rsidRDefault="00B92D00"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Report 19</w:t>
    </w:r>
  </w:p>
  <w:p w14:paraId="388934F0" w14:textId="398A9D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8937BC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390032">
      <w:rPr>
        <w:rFonts w:cstheme="minorHAnsi"/>
        <w:noProof/>
        <w:color w:val="404040" w:themeColor="text1" w:themeTint="BF"/>
      </w:rPr>
      <w:t>October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21C60618"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90032">
      <w:rPr>
        <w:rFonts w:ascii="Montserrat SemiBold" w:hAnsi="Montserrat SemiBold" w:cstheme="majorHAnsi"/>
        <w:noProof/>
        <w:color w:val="2F5496"/>
        <w:w w:val="90"/>
        <w:sz w:val="18"/>
        <w:szCs w:val="18"/>
      </w:rPr>
      <w:t>Inquiry into responses to Auditor-General recommendations for reports 5/2017, 7/2019 and 6/2020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1C48D10"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90032">
      <w:rPr>
        <w:rFonts w:ascii="Montserrat SemiBold" w:hAnsi="Montserrat SemiBold" w:cstheme="majorHAnsi"/>
        <w:noProof/>
        <w:color w:val="2F5496"/>
        <w:w w:val="90"/>
        <w:sz w:val="18"/>
        <w:szCs w:val="18"/>
      </w:rPr>
      <w:t>Inquiry into responses to Auditor-General recommendations for reports 5/2017, 7/2019 and 6/2020</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502AB42"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90032">
      <w:rPr>
        <w:rFonts w:ascii="Montserrat SemiBold" w:hAnsi="Montserrat SemiBold" w:cstheme="majorHAnsi"/>
        <w:noProof/>
        <w:color w:val="2F5496"/>
        <w:w w:val="90"/>
        <w:sz w:val="18"/>
        <w:szCs w:val="18"/>
      </w:rPr>
      <w:t>Inquiry into responses to Auditor-General recommendations for reports 5/2017, 7/2019 and 6/2020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101387AB" w14:textId="3A1B5D7E" w:rsidR="000874EB" w:rsidRPr="00ED3181" w:rsidRDefault="000874EB">
      <w:pPr>
        <w:pStyle w:val="FootnoteText"/>
        <w:rPr>
          <w:sz w:val="18"/>
          <w:szCs w:val="18"/>
        </w:rPr>
      </w:pPr>
      <w:r w:rsidRPr="00ED3181">
        <w:rPr>
          <w:rStyle w:val="FootnoteReference"/>
          <w:sz w:val="18"/>
          <w:szCs w:val="18"/>
        </w:rPr>
        <w:footnoteRef/>
      </w:r>
      <w:r w:rsidRPr="00ED3181">
        <w:rPr>
          <w:sz w:val="18"/>
          <w:szCs w:val="18"/>
        </w:rPr>
        <w:t xml:space="preserve"> </w:t>
      </w:r>
      <w:r w:rsidR="008904D1" w:rsidRPr="00ED3181">
        <w:rPr>
          <w:sz w:val="18"/>
          <w:szCs w:val="18"/>
        </w:rPr>
        <w:t xml:space="preserve">Standing Committee on Public Accounts, </w:t>
      </w:r>
      <w:r w:rsidR="008904D1" w:rsidRPr="00ED3181">
        <w:rPr>
          <w:i/>
          <w:iCs/>
          <w:sz w:val="18"/>
          <w:szCs w:val="18"/>
        </w:rPr>
        <w:t>Inquiry into Auditor-General’s Report No. 6 of 2020: Transfer of Worker’s Compensation Arrangements from Comcare</w:t>
      </w:r>
      <w:r w:rsidR="008904D1" w:rsidRPr="00ED3181">
        <w:rPr>
          <w:sz w:val="18"/>
          <w:szCs w:val="18"/>
        </w:rPr>
        <w:t>,</w:t>
      </w:r>
      <w:r w:rsidR="009E4398" w:rsidRPr="00ED3181">
        <w:rPr>
          <w:i/>
          <w:iCs/>
          <w:sz w:val="18"/>
          <w:szCs w:val="18"/>
        </w:rPr>
        <w:t xml:space="preserve"> </w:t>
      </w:r>
      <w:r w:rsidR="008904D1">
        <w:rPr>
          <w:sz w:val="18"/>
          <w:szCs w:val="18"/>
        </w:rPr>
        <w:t>p</w:t>
      </w:r>
      <w:r w:rsidR="009E4398" w:rsidRPr="00ED3181">
        <w:rPr>
          <w:sz w:val="18"/>
          <w:szCs w:val="18"/>
        </w:rPr>
        <w:t xml:space="preserve"> 1.</w:t>
      </w:r>
    </w:p>
  </w:footnote>
  <w:footnote w:id="2">
    <w:p w14:paraId="66B40766" w14:textId="51975928" w:rsidR="00573988" w:rsidRPr="00ED3181" w:rsidRDefault="00853293">
      <w:pPr>
        <w:pStyle w:val="FootnoteText"/>
        <w:rPr>
          <w:sz w:val="18"/>
          <w:szCs w:val="18"/>
        </w:rPr>
      </w:pPr>
      <w:r w:rsidRPr="00ED3181">
        <w:rPr>
          <w:rStyle w:val="FootnoteReference"/>
          <w:sz w:val="18"/>
          <w:szCs w:val="18"/>
        </w:rPr>
        <w:footnoteRef/>
      </w:r>
      <w:r w:rsidRPr="00ED3181">
        <w:rPr>
          <w:sz w:val="18"/>
          <w:szCs w:val="18"/>
        </w:rPr>
        <w:t xml:space="preserve"> </w:t>
      </w:r>
      <w:r w:rsidR="00714CF7" w:rsidRPr="00ED3181">
        <w:rPr>
          <w:sz w:val="18"/>
          <w:szCs w:val="18"/>
        </w:rPr>
        <w:t xml:space="preserve">ACT Legislative Assembly, </w:t>
      </w:r>
      <w:r w:rsidR="00714CF7" w:rsidRPr="00ED3181">
        <w:rPr>
          <w:i/>
          <w:iCs/>
          <w:sz w:val="18"/>
          <w:szCs w:val="18"/>
        </w:rPr>
        <w:t>Minutes of Proceedings</w:t>
      </w:r>
      <w:r w:rsidR="00714CF7" w:rsidRPr="00ED3181">
        <w:rPr>
          <w:sz w:val="18"/>
          <w:szCs w:val="18"/>
        </w:rPr>
        <w:t xml:space="preserve">, No </w:t>
      </w:r>
      <w:r w:rsidR="00573988" w:rsidRPr="00ED3181">
        <w:rPr>
          <w:sz w:val="18"/>
          <w:szCs w:val="18"/>
        </w:rPr>
        <w:t>50, Tuesday 20 March 2018, p 721.</w:t>
      </w:r>
      <w:r w:rsidR="00D168AC" w:rsidRPr="00ED3181">
        <w:rPr>
          <w:sz w:val="18"/>
          <w:szCs w:val="18"/>
        </w:rPr>
        <w:t xml:space="preserve"> </w:t>
      </w:r>
    </w:p>
  </w:footnote>
  <w:footnote w:id="3">
    <w:p w14:paraId="76425788" w14:textId="0CCEDF95" w:rsidR="0058747F" w:rsidRPr="00ED3181" w:rsidRDefault="0058747F" w:rsidP="0058747F">
      <w:pPr>
        <w:pStyle w:val="FootnoteText"/>
        <w:rPr>
          <w:sz w:val="18"/>
          <w:szCs w:val="18"/>
        </w:rPr>
      </w:pPr>
      <w:r w:rsidRPr="00ED3181">
        <w:rPr>
          <w:rStyle w:val="FootnoteReference"/>
          <w:sz w:val="18"/>
          <w:szCs w:val="18"/>
        </w:rPr>
        <w:footnoteRef/>
      </w:r>
      <w:r w:rsidRPr="00ED3181">
        <w:rPr>
          <w:sz w:val="18"/>
          <w:szCs w:val="18"/>
        </w:rPr>
        <w:t xml:space="preserve"> ACT Audit Office</w:t>
      </w:r>
      <w:r w:rsidR="00F002E3" w:rsidRPr="00ED3181">
        <w:rPr>
          <w:sz w:val="18"/>
          <w:szCs w:val="18"/>
        </w:rPr>
        <w:t>, ‘Referral processes for the support of vulnerable children’,</w:t>
      </w:r>
      <w:r w:rsidRPr="00ED3181">
        <w:rPr>
          <w:sz w:val="18"/>
          <w:szCs w:val="18"/>
        </w:rPr>
        <w:t xml:space="preserve"> </w:t>
      </w:r>
      <w:r w:rsidRPr="00ED3181">
        <w:rPr>
          <w:i/>
          <w:iCs/>
          <w:sz w:val="18"/>
          <w:szCs w:val="18"/>
        </w:rPr>
        <w:t>Media Release</w:t>
      </w:r>
      <w:r w:rsidRPr="00ED3181">
        <w:rPr>
          <w:sz w:val="18"/>
          <w:szCs w:val="18"/>
        </w:rPr>
        <w:t>, 27 June 2019.</w:t>
      </w:r>
    </w:p>
  </w:footnote>
  <w:footnote w:id="4">
    <w:p w14:paraId="6A2502FA" w14:textId="37C5DE00" w:rsidR="0058747F" w:rsidRPr="00ED3181" w:rsidRDefault="0058747F" w:rsidP="0058747F">
      <w:pPr>
        <w:pStyle w:val="FootnoteText"/>
        <w:rPr>
          <w:sz w:val="18"/>
          <w:szCs w:val="18"/>
        </w:rPr>
      </w:pPr>
      <w:r w:rsidRPr="00ED3181">
        <w:rPr>
          <w:rStyle w:val="FootnoteReference"/>
          <w:sz w:val="18"/>
          <w:szCs w:val="18"/>
        </w:rPr>
        <w:footnoteRef/>
      </w:r>
      <w:r w:rsidRPr="00ED3181">
        <w:rPr>
          <w:sz w:val="18"/>
          <w:szCs w:val="18"/>
        </w:rPr>
        <w:t xml:space="preserve"> </w:t>
      </w:r>
      <w:r w:rsidR="00F002E3" w:rsidRPr="00ED3181">
        <w:rPr>
          <w:sz w:val="18"/>
          <w:szCs w:val="18"/>
        </w:rPr>
        <w:t xml:space="preserve">ACT Legislative Assembly, </w:t>
      </w:r>
      <w:r w:rsidR="00F002E3" w:rsidRPr="00ED3181">
        <w:rPr>
          <w:i/>
          <w:iCs/>
          <w:sz w:val="18"/>
          <w:szCs w:val="18"/>
        </w:rPr>
        <w:t>Minutes of Proceedings</w:t>
      </w:r>
      <w:r w:rsidR="00F002E3" w:rsidRPr="00ED3181">
        <w:rPr>
          <w:sz w:val="18"/>
          <w:szCs w:val="18"/>
        </w:rPr>
        <w:t>, No 119, 24 October 2019, p 1765.</w:t>
      </w:r>
    </w:p>
  </w:footnote>
  <w:footnote w:id="5">
    <w:p w14:paraId="41F3C9B3" w14:textId="0D47D081" w:rsidR="00A67199" w:rsidRPr="00ED3181" w:rsidRDefault="00A67199">
      <w:pPr>
        <w:pStyle w:val="FootnoteText"/>
        <w:rPr>
          <w:sz w:val="18"/>
          <w:szCs w:val="18"/>
        </w:rPr>
      </w:pPr>
      <w:r w:rsidRPr="00ED3181">
        <w:rPr>
          <w:rStyle w:val="FootnoteReference"/>
          <w:sz w:val="18"/>
          <w:szCs w:val="18"/>
        </w:rPr>
        <w:footnoteRef/>
      </w:r>
      <w:r w:rsidRPr="00ED3181">
        <w:rPr>
          <w:sz w:val="18"/>
          <w:szCs w:val="18"/>
        </w:rPr>
        <w:t xml:space="preserve"> </w:t>
      </w:r>
      <w:r w:rsidR="00CA62D8" w:rsidRPr="00ED3181">
        <w:rPr>
          <w:sz w:val="18"/>
          <w:szCs w:val="18"/>
        </w:rPr>
        <w:t xml:space="preserve">ACT Legislative Assembly, </w:t>
      </w:r>
      <w:r w:rsidR="00CA62D8" w:rsidRPr="00ED3181">
        <w:rPr>
          <w:i/>
          <w:iCs/>
          <w:sz w:val="18"/>
          <w:szCs w:val="18"/>
        </w:rPr>
        <w:t>Minutes of Proceedings</w:t>
      </w:r>
      <w:r w:rsidR="00CA62D8" w:rsidRPr="00ED3181">
        <w:rPr>
          <w:sz w:val="18"/>
          <w:szCs w:val="18"/>
        </w:rPr>
        <w:t xml:space="preserve">, </w:t>
      </w:r>
      <w:r w:rsidR="00760484" w:rsidRPr="00ED3181">
        <w:rPr>
          <w:sz w:val="18"/>
          <w:szCs w:val="18"/>
        </w:rPr>
        <w:t xml:space="preserve">No 134, 2 July 2020, </w:t>
      </w:r>
      <w:r w:rsidR="005F5642">
        <w:rPr>
          <w:sz w:val="18"/>
          <w:szCs w:val="18"/>
        </w:rPr>
        <w:t>p 2019.</w:t>
      </w:r>
    </w:p>
  </w:footnote>
  <w:footnote w:id="6">
    <w:p w14:paraId="4B203D89" w14:textId="575FBB42" w:rsidR="006C0596" w:rsidRPr="00ED3181" w:rsidRDefault="006C0596">
      <w:pPr>
        <w:pStyle w:val="FootnoteText"/>
        <w:rPr>
          <w:sz w:val="18"/>
          <w:szCs w:val="18"/>
        </w:rPr>
      </w:pPr>
      <w:r w:rsidRPr="00ED3181">
        <w:rPr>
          <w:rStyle w:val="FootnoteReference"/>
          <w:sz w:val="18"/>
          <w:szCs w:val="18"/>
        </w:rPr>
        <w:footnoteRef/>
      </w:r>
      <w:r w:rsidRPr="00ED3181">
        <w:rPr>
          <w:sz w:val="18"/>
          <w:szCs w:val="18"/>
        </w:rPr>
        <w:t xml:space="preserve"> </w:t>
      </w:r>
      <w:r w:rsidR="008904D1" w:rsidRPr="00ED3181">
        <w:rPr>
          <w:sz w:val="18"/>
          <w:szCs w:val="18"/>
        </w:rPr>
        <w:t xml:space="preserve">Standing Committee on Public Accounts, </w:t>
      </w:r>
      <w:r w:rsidR="008904D1" w:rsidRPr="00ED3181">
        <w:rPr>
          <w:i/>
          <w:iCs/>
          <w:sz w:val="18"/>
          <w:szCs w:val="18"/>
        </w:rPr>
        <w:t>Inquiry into Auditor-General’s Report No. 6 of 2020: Transfer of Worker</w:t>
      </w:r>
      <w:r w:rsidR="00972BF0">
        <w:rPr>
          <w:i/>
          <w:iCs/>
          <w:sz w:val="18"/>
          <w:szCs w:val="18"/>
        </w:rPr>
        <w:t>s’</w:t>
      </w:r>
      <w:r w:rsidR="008904D1" w:rsidRPr="00ED3181">
        <w:rPr>
          <w:i/>
          <w:iCs/>
          <w:sz w:val="18"/>
          <w:szCs w:val="18"/>
        </w:rPr>
        <w:t xml:space="preserve"> Compensation Arrangements from Comcare</w:t>
      </w:r>
      <w:r w:rsidR="008904D1" w:rsidRPr="00ED3181">
        <w:rPr>
          <w:sz w:val="18"/>
          <w:szCs w:val="18"/>
        </w:rPr>
        <w:t xml:space="preserve">, </w:t>
      </w:r>
      <w:r w:rsidRPr="00ED3181">
        <w:rPr>
          <w:sz w:val="18"/>
          <w:szCs w:val="18"/>
        </w:rPr>
        <w:t>p 2.</w:t>
      </w:r>
    </w:p>
  </w:footnote>
  <w:footnote w:id="7">
    <w:p w14:paraId="25B0B75A" w14:textId="4137702F" w:rsidR="00BF016A" w:rsidRPr="00AE400C" w:rsidRDefault="00BF016A" w:rsidP="00BF016A">
      <w:pPr>
        <w:pStyle w:val="FootnoteText"/>
      </w:pPr>
      <w:r w:rsidRPr="00ED3181">
        <w:rPr>
          <w:rStyle w:val="FootnoteReference"/>
          <w:sz w:val="18"/>
          <w:szCs w:val="18"/>
        </w:rPr>
        <w:footnoteRef/>
      </w:r>
      <w:r w:rsidRPr="00ED3181">
        <w:rPr>
          <w:sz w:val="18"/>
          <w:szCs w:val="18"/>
        </w:rPr>
        <w:t xml:space="preserve"> </w:t>
      </w:r>
      <w:r w:rsidR="00ED3181" w:rsidRPr="00ED3181">
        <w:rPr>
          <w:sz w:val="18"/>
          <w:szCs w:val="18"/>
        </w:rPr>
        <w:t xml:space="preserve">Standing Committee on Public Accounts, </w:t>
      </w:r>
      <w:r w:rsidR="00ED3181" w:rsidRPr="00ED3181">
        <w:rPr>
          <w:i/>
          <w:iCs/>
          <w:sz w:val="18"/>
          <w:szCs w:val="18"/>
        </w:rPr>
        <w:t>Inquiry into Auditor-General’s Report No. 6 of 2020: Transfer of Worker</w:t>
      </w:r>
      <w:r w:rsidR="00972BF0">
        <w:rPr>
          <w:i/>
          <w:iCs/>
          <w:sz w:val="18"/>
          <w:szCs w:val="18"/>
        </w:rPr>
        <w:t xml:space="preserve">s’ </w:t>
      </w:r>
      <w:r w:rsidR="00ED3181" w:rsidRPr="00ED3181">
        <w:rPr>
          <w:i/>
          <w:iCs/>
          <w:sz w:val="18"/>
          <w:szCs w:val="18"/>
        </w:rPr>
        <w:t>Compensation Arrangements from Comcare</w:t>
      </w:r>
      <w:r w:rsidR="00ED3181" w:rsidRPr="00ED3181">
        <w:rPr>
          <w:sz w:val="18"/>
          <w:szCs w:val="18"/>
        </w:rPr>
        <w:t>, February 2022.</w:t>
      </w:r>
    </w:p>
  </w:footnote>
  <w:footnote w:id="8">
    <w:p w14:paraId="693E55A2" w14:textId="7F8E6C2E" w:rsidR="00724D41" w:rsidRPr="00B65EC8" w:rsidRDefault="00724D41" w:rsidP="00724D41">
      <w:pPr>
        <w:pStyle w:val="FootnoteText"/>
        <w:rPr>
          <w:rFonts w:cstheme="minorHAnsi"/>
          <w:sz w:val="18"/>
          <w:szCs w:val="18"/>
        </w:rPr>
      </w:pPr>
      <w:r w:rsidRPr="00B65EC8">
        <w:rPr>
          <w:rStyle w:val="FootnoteReference"/>
          <w:rFonts w:cstheme="minorHAnsi"/>
          <w:sz w:val="18"/>
          <w:szCs w:val="18"/>
        </w:rPr>
        <w:footnoteRef/>
      </w:r>
      <w:r w:rsidRPr="00B65EC8">
        <w:rPr>
          <w:rFonts w:cstheme="minorHAnsi"/>
          <w:sz w:val="18"/>
          <w:szCs w:val="18"/>
        </w:rPr>
        <w:t xml:space="preserve"> ACT Auditor-General, </w:t>
      </w:r>
      <w:r w:rsidRPr="00B65EC8">
        <w:rPr>
          <w:rFonts w:cstheme="minorHAnsi"/>
          <w:i/>
          <w:iCs/>
          <w:sz w:val="18"/>
          <w:szCs w:val="18"/>
        </w:rPr>
        <w:t>Report No. 5/2017: Maintenance of Selected Road Infrastructure Assets</w:t>
      </w:r>
      <w:r w:rsidRPr="00B65EC8">
        <w:rPr>
          <w:rFonts w:cstheme="minorHAnsi"/>
          <w:sz w:val="18"/>
          <w:szCs w:val="18"/>
        </w:rPr>
        <w:t xml:space="preserve">, June 2017, </w:t>
      </w:r>
      <w:r w:rsidR="007705BB" w:rsidRPr="00B65EC8">
        <w:rPr>
          <w:rFonts w:cstheme="minorHAnsi"/>
          <w:sz w:val="18"/>
          <w:szCs w:val="18"/>
        </w:rPr>
        <w:t>Letter of Transmission</w:t>
      </w:r>
      <w:r w:rsidRPr="00B65EC8">
        <w:rPr>
          <w:rFonts w:cstheme="minorHAnsi"/>
          <w:sz w:val="18"/>
          <w:szCs w:val="18"/>
        </w:rPr>
        <w:t>.</w:t>
      </w:r>
    </w:p>
  </w:footnote>
  <w:footnote w:id="9">
    <w:p w14:paraId="5AD37898" w14:textId="084D2229" w:rsidR="00171E59" w:rsidRPr="00B65EC8" w:rsidRDefault="00171E59" w:rsidP="00171E59">
      <w:pPr>
        <w:pStyle w:val="FootnoteText"/>
        <w:rPr>
          <w:rFonts w:cstheme="minorHAnsi"/>
          <w:sz w:val="18"/>
          <w:szCs w:val="18"/>
        </w:rPr>
      </w:pPr>
      <w:r w:rsidRPr="00B65EC8">
        <w:rPr>
          <w:rStyle w:val="FootnoteReference"/>
          <w:rFonts w:cstheme="minorHAnsi"/>
          <w:sz w:val="18"/>
          <w:szCs w:val="18"/>
        </w:rPr>
        <w:footnoteRef/>
      </w:r>
      <w:r w:rsidRPr="00B65EC8">
        <w:rPr>
          <w:rFonts w:cstheme="minorHAnsi"/>
          <w:sz w:val="18"/>
          <w:szCs w:val="18"/>
        </w:rPr>
        <w:t xml:space="preserve"> </w:t>
      </w:r>
      <w:r w:rsidR="00FE6D88" w:rsidRPr="00B65EC8">
        <w:rPr>
          <w:rFonts w:cstheme="minorHAnsi"/>
          <w:sz w:val="18"/>
          <w:szCs w:val="18"/>
        </w:rPr>
        <w:t xml:space="preserve">ACT Auditor-General, </w:t>
      </w:r>
      <w:r w:rsidR="009C211E" w:rsidRPr="00B65EC8">
        <w:rPr>
          <w:rFonts w:cstheme="minorHAnsi"/>
          <w:i/>
          <w:iCs/>
          <w:sz w:val="18"/>
          <w:szCs w:val="18"/>
        </w:rPr>
        <w:t>ACT A</w:t>
      </w:r>
      <w:r w:rsidRPr="00B65EC8">
        <w:rPr>
          <w:rFonts w:cstheme="minorHAnsi"/>
          <w:i/>
          <w:iCs/>
          <w:sz w:val="18"/>
          <w:szCs w:val="18"/>
        </w:rPr>
        <w:t>uditor-General’s Report No. 5</w:t>
      </w:r>
      <w:r w:rsidR="00B43EBB" w:rsidRPr="00B65EC8">
        <w:rPr>
          <w:rFonts w:cstheme="minorHAnsi"/>
          <w:i/>
          <w:iCs/>
          <w:sz w:val="18"/>
          <w:szCs w:val="18"/>
        </w:rPr>
        <w:t>/</w:t>
      </w:r>
      <w:r w:rsidRPr="00B65EC8">
        <w:rPr>
          <w:rFonts w:cstheme="minorHAnsi"/>
          <w:i/>
          <w:iCs/>
          <w:sz w:val="18"/>
          <w:szCs w:val="18"/>
        </w:rPr>
        <w:t>2017: Maintenance of Selected Road Infrastructure Assets</w:t>
      </w:r>
      <w:r w:rsidRPr="00B65EC8">
        <w:rPr>
          <w:rFonts w:cstheme="minorHAnsi"/>
          <w:sz w:val="18"/>
          <w:szCs w:val="18"/>
        </w:rPr>
        <w:t xml:space="preserve">, </w:t>
      </w:r>
      <w:r w:rsidR="00B61AFD" w:rsidRPr="00B65EC8">
        <w:rPr>
          <w:rFonts w:cstheme="minorHAnsi"/>
          <w:sz w:val="18"/>
          <w:szCs w:val="18"/>
        </w:rPr>
        <w:t xml:space="preserve">June 2017, </w:t>
      </w:r>
      <w:r w:rsidRPr="00B65EC8">
        <w:rPr>
          <w:rFonts w:cstheme="minorHAnsi"/>
          <w:sz w:val="18"/>
          <w:szCs w:val="18"/>
        </w:rPr>
        <w:t>p</w:t>
      </w:r>
      <w:r w:rsidR="00972BF0" w:rsidRPr="00B65EC8">
        <w:rPr>
          <w:rFonts w:cstheme="minorHAnsi"/>
          <w:sz w:val="18"/>
          <w:szCs w:val="18"/>
        </w:rPr>
        <w:t> </w:t>
      </w:r>
      <w:r w:rsidRPr="00B65EC8">
        <w:rPr>
          <w:rFonts w:cstheme="minorHAnsi"/>
          <w:sz w:val="18"/>
          <w:szCs w:val="18"/>
        </w:rPr>
        <w:t>20.</w:t>
      </w:r>
    </w:p>
  </w:footnote>
  <w:footnote w:id="10">
    <w:p w14:paraId="5EB30BB5" w14:textId="6DCCE4E6" w:rsidR="00171E59" w:rsidRPr="00B65EC8" w:rsidRDefault="00171E59" w:rsidP="00171E59">
      <w:pPr>
        <w:pStyle w:val="FootnoteText"/>
        <w:rPr>
          <w:rFonts w:cstheme="minorHAnsi"/>
          <w:sz w:val="18"/>
          <w:szCs w:val="18"/>
        </w:rPr>
      </w:pPr>
      <w:r w:rsidRPr="00B65EC8">
        <w:rPr>
          <w:rStyle w:val="FootnoteReference"/>
          <w:rFonts w:cstheme="minorHAnsi"/>
          <w:sz w:val="18"/>
          <w:szCs w:val="18"/>
        </w:rPr>
        <w:footnoteRef/>
      </w:r>
      <w:r w:rsidRPr="00B65EC8">
        <w:rPr>
          <w:rFonts w:cstheme="minorHAnsi"/>
          <w:sz w:val="18"/>
          <w:szCs w:val="18"/>
        </w:rPr>
        <w:t xml:space="preserve"> </w:t>
      </w:r>
      <w:r w:rsidR="00FE6D88" w:rsidRPr="00B65EC8">
        <w:rPr>
          <w:rFonts w:cstheme="minorHAnsi"/>
          <w:sz w:val="18"/>
          <w:szCs w:val="18"/>
        </w:rPr>
        <w:t xml:space="preserve">ACT Auditor-General, </w:t>
      </w:r>
      <w:r w:rsidR="009C211E" w:rsidRPr="00B65EC8">
        <w:rPr>
          <w:rFonts w:cstheme="minorHAnsi"/>
          <w:i/>
          <w:iCs/>
          <w:sz w:val="18"/>
          <w:szCs w:val="18"/>
        </w:rPr>
        <w:t>Report No. 5</w:t>
      </w:r>
      <w:r w:rsidR="00B43EBB" w:rsidRPr="00B65EC8">
        <w:rPr>
          <w:rFonts w:cstheme="minorHAnsi"/>
          <w:i/>
          <w:iCs/>
          <w:sz w:val="18"/>
          <w:szCs w:val="18"/>
        </w:rPr>
        <w:t>/</w:t>
      </w:r>
      <w:r w:rsidR="009C211E" w:rsidRPr="00B65EC8">
        <w:rPr>
          <w:rFonts w:cstheme="minorHAnsi"/>
          <w:i/>
          <w:iCs/>
          <w:sz w:val="18"/>
          <w:szCs w:val="18"/>
        </w:rPr>
        <w:t>2017</w:t>
      </w:r>
      <w:r w:rsidR="00B61AFD" w:rsidRPr="00B65EC8">
        <w:rPr>
          <w:rFonts w:cstheme="minorHAnsi"/>
          <w:i/>
          <w:iCs/>
          <w:sz w:val="18"/>
          <w:szCs w:val="18"/>
        </w:rPr>
        <w:t>: Maintenance of Selected Road Infrastructure Assets</w:t>
      </w:r>
      <w:r w:rsidR="00B61AFD" w:rsidRPr="00B65EC8">
        <w:rPr>
          <w:rFonts w:cstheme="minorHAnsi"/>
          <w:sz w:val="18"/>
          <w:szCs w:val="18"/>
        </w:rPr>
        <w:t>, June 2017</w:t>
      </w:r>
      <w:r w:rsidR="009C211E" w:rsidRPr="00B65EC8">
        <w:rPr>
          <w:rFonts w:cstheme="minorHAnsi"/>
          <w:sz w:val="18"/>
          <w:szCs w:val="18"/>
        </w:rPr>
        <w:t>, p 17.</w:t>
      </w:r>
    </w:p>
  </w:footnote>
  <w:footnote w:id="11">
    <w:p w14:paraId="3AD339DE" w14:textId="169F42CE" w:rsidR="00724D41" w:rsidRPr="00B65EC8" w:rsidRDefault="00724D41" w:rsidP="00724D41">
      <w:pPr>
        <w:pStyle w:val="FootnoteText"/>
        <w:rPr>
          <w:rFonts w:cstheme="minorHAnsi"/>
          <w:sz w:val="18"/>
          <w:szCs w:val="18"/>
        </w:rPr>
      </w:pPr>
      <w:r w:rsidRPr="00B65EC8">
        <w:rPr>
          <w:rStyle w:val="FootnoteReference"/>
          <w:rFonts w:cstheme="minorHAnsi"/>
          <w:sz w:val="18"/>
          <w:szCs w:val="18"/>
        </w:rPr>
        <w:footnoteRef/>
      </w:r>
      <w:r w:rsidRPr="00B65EC8">
        <w:rPr>
          <w:rFonts w:cstheme="minorHAnsi"/>
          <w:sz w:val="18"/>
          <w:szCs w:val="18"/>
        </w:rPr>
        <w:t xml:space="preserve"> ACT Auditor-General, </w:t>
      </w:r>
      <w:r w:rsidRPr="00B65EC8">
        <w:rPr>
          <w:rFonts w:cstheme="minorHAnsi"/>
          <w:i/>
          <w:iCs/>
          <w:sz w:val="18"/>
          <w:szCs w:val="18"/>
        </w:rPr>
        <w:t>Report No. 5/2017: Maintenance of Selected Road Infrastructure Assets</w:t>
      </w:r>
      <w:r w:rsidRPr="00B65EC8">
        <w:rPr>
          <w:rFonts w:cstheme="minorHAnsi"/>
          <w:sz w:val="18"/>
          <w:szCs w:val="18"/>
        </w:rPr>
        <w:t>, June 2017, p 19.</w:t>
      </w:r>
    </w:p>
  </w:footnote>
  <w:footnote w:id="12">
    <w:p w14:paraId="2939164C" w14:textId="12776E77" w:rsidR="00B43EBB" w:rsidRPr="00B65EC8" w:rsidRDefault="00B43EBB">
      <w:pPr>
        <w:pStyle w:val="FootnoteText"/>
        <w:rPr>
          <w:sz w:val="18"/>
          <w:szCs w:val="18"/>
        </w:rPr>
      </w:pPr>
      <w:r w:rsidRPr="00B65EC8">
        <w:rPr>
          <w:rStyle w:val="FootnoteReference"/>
          <w:sz w:val="18"/>
          <w:szCs w:val="18"/>
        </w:rPr>
        <w:footnoteRef/>
      </w:r>
      <w:r w:rsidRPr="00B65EC8">
        <w:rPr>
          <w:sz w:val="18"/>
          <w:szCs w:val="18"/>
        </w:rPr>
        <w:t xml:space="preserve"> </w:t>
      </w:r>
      <w:r w:rsidRPr="00B65EC8">
        <w:rPr>
          <w:rFonts w:cstheme="minorHAnsi"/>
          <w:sz w:val="18"/>
          <w:szCs w:val="18"/>
        </w:rPr>
        <w:t xml:space="preserve">ACT Auditor-General, </w:t>
      </w:r>
      <w:r w:rsidRPr="00B65EC8">
        <w:rPr>
          <w:rFonts w:cstheme="minorHAnsi"/>
          <w:i/>
          <w:iCs/>
          <w:sz w:val="18"/>
          <w:szCs w:val="18"/>
        </w:rPr>
        <w:t>Report No. 5/2017: Maintenance of Selected Road Infrastructure Assets</w:t>
      </w:r>
      <w:r w:rsidRPr="00B65EC8">
        <w:rPr>
          <w:rFonts w:cstheme="minorHAnsi"/>
          <w:sz w:val="18"/>
          <w:szCs w:val="18"/>
        </w:rPr>
        <w:t xml:space="preserve">, June 2017, pp 20, 23. </w:t>
      </w:r>
    </w:p>
  </w:footnote>
  <w:footnote w:id="13">
    <w:p w14:paraId="4B9E8C0B" w14:textId="1B87FC4B" w:rsidR="00C21332" w:rsidRPr="00B65EC8" w:rsidRDefault="00C21332">
      <w:pPr>
        <w:pStyle w:val="FootnoteText"/>
        <w:rPr>
          <w:sz w:val="18"/>
          <w:szCs w:val="18"/>
        </w:rPr>
      </w:pPr>
      <w:r w:rsidRPr="00B65EC8">
        <w:rPr>
          <w:rStyle w:val="FootnoteReference"/>
          <w:sz w:val="18"/>
          <w:szCs w:val="18"/>
        </w:rPr>
        <w:footnoteRef/>
      </w:r>
      <w:r w:rsidRPr="00B65EC8">
        <w:rPr>
          <w:sz w:val="18"/>
          <w:szCs w:val="18"/>
        </w:rPr>
        <w:t xml:space="preserve"> </w:t>
      </w:r>
      <w:r w:rsidRPr="00B65EC8">
        <w:rPr>
          <w:rFonts w:cstheme="minorHAnsi"/>
          <w:sz w:val="18"/>
          <w:szCs w:val="18"/>
        </w:rPr>
        <w:t xml:space="preserve">ACT Auditor-General, </w:t>
      </w:r>
      <w:r w:rsidRPr="00B65EC8">
        <w:rPr>
          <w:rFonts w:cstheme="minorHAnsi"/>
          <w:i/>
          <w:iCs/>
          <w:sz w:val="18"/>
          <w:szCs w:val="18"/>
        </w:rPr>
        <w:t>Report No. 5/2017: Maintenance of Selected Road Infrastructure Assets</w:t>
      </w:r>
      <w:r w:rsidRPr="00B65EC8">
        <w:rPr>
          <w:rFonts w:cstheme="minorHAnsi"/>
          <w:sz w:val="18"/>
          <w:szCs w:val="18"/>
        </w:rPr>
        <w:t>, June 2017, pp 12–16.</w:t>
      </w:r>
    </w:p>
  </w:footnote>
  <w:footnote w:id="14">
    <w:p w14:paraId="53EF48C0" w14:textId="56C73CD0" w:rsidR="003A130C" w:rsidRPr="00B65EC8" w:rsidRDefault="003A130C">
      <w:pPr>
        <w:pStyle w:val="FootnoteText"/>
        <w:rPr>
          <w:sz w:val="18"/>
          <w:szCs w:val="18"/>
        </w:rPr>
      </w:pPr>
      <w:r w:rsidRPr="00B65EC8">
        <w:rPr>
          <w:rStyle w:val="FootnoteReference"/>
          <w:sz w:val="18"/>
          <w:szCs w:val="18"/>
        </w:rPr>
        <w:footnoteRef/>
      </w:r>
      <w:r w:rsidRPr="00B65EC8">
        <w:rPr>
          <w:sz w:val="18"/>
          <w:szCs w:val="18"/>
        </w:rPr>
        <w:t xml:space="preserve"> </w:t>
      </w:r>
      <w:r w:rsidR="001E5E20" w:rsidRPr="00B65EC8">
        <w:rPr>
          <w:sz w:val="18"/>
          <w:szCs w:val="18"/>
        </w:rPr>
        <w:t xml:space="preserve">ACT Legislative Assembly, </w:t>
      </w:r>
      <w:r w:rsidR="001E5E20" w:rsidRPr="00B65EC8">
        <w:rPr>
          <w:i/>
          <w:iCs/>
          <w:sz w:val="18"/>
          <w:szCs w:val="18"/>
        </w:rPr>
        <w:t>Minutes of Proceedings</w:t>
      </w:r>
      <w:r w:rsidR="00C21332" w:rsidRPr="00B65EC8">
        <w:rPr>
          <w:i/>
          <w:iCs/>
          <w:sz w:val="18"/>
          <w:szCs w:val="18"/>
        </w:rPr>
        <w:t>—Ninth Assembly</w:t>
      </w:r>
      <w:r w:rsidR="001E5E20" w:rsidRPr="00B65EC8">
        <w:rPr>
          <w:i/>
          <w:iCs/>
          <w:sz w:val="18"/>
          <w:szCs w:val="18"/>
        </w:rPr>
        <w:t xml:space="preserve"> No 35</w:t>
      </w:r>
      <w:r w:rsidR="001E5E20" w:rsidRPr="00B65EC8">
        <w:rPr>
          <w:sz w:val="18"/>
          <w:szCs w:val="18"/>
        </w:rPr>
        <w:t>, 24 October 2017, p 456.</w:t>
      </w:r>
    </w:p>
  </w:footnote>
  <w:footnote w:id="15">
    <w:p w14:paraId="7EC0AE2F" w14:textId="5DD16BDD" w:rsidR="00354E4C" w:rsidRPr="00B65EC8" w:rsidRDefault="00354E4C">
      <w:pPr>
        <w:pStyle w:val="FootnoteText"/>
        <w:rPr>
          <w:sz w:val="18"/>
          <w:szCs w:val="18"/>
        </w:rPr>
      </w:pPr>
      <w:r w:rsidRPr="00B65EC8">
        <w:rPr>
          <w:rStyle w:val="FootnoteReference"/>
          <w:sz w:val="18"/>
          <w:szCs w:val="18"/>
        </w:rPr>
        <w:footnoteRef/>
      </w:r>
      <w:r w:rsidRPr="00B65EC8">
        <w:rPr>
          <w:sz w:val="18"/>
          <w:szCs w:val="18"/>
        </w:rPr>
        <w:t xml:space="preserve"> </w:t>
      </w:r>
      <w:r w:rsidR="00AD1251" w:rsidRPr="00B65EC8">
        <w:rPr>
          <w:sz w:val="18"/>
          <w:szCs w:val="18"/>
        </w:rPr>
        <w:t xml:space="preserve">ACT Government, </w:t>
      </w:r>
      <w:r w:rsidR="00AD1251" w:rsidRPr="00B65EC8">
        <w:rPr>
          <w:i/>
          <w:iCs/>
          <w:sz w:val="18"/>
          <w:szCs w:val="18"/>
        </w:rPr>
        <w:t>Government Response–Auditor-General’s Report No. 5 of 2017</w:t>
      </w:r>
      <w:r w:rsidR="00F62F57" w:rsidRPr="00B65EC8">
        <w:rPr>
          <w:i/>
          <w:iCs/>
          <w:sz w:val="18"/>
          <w:szCs w:val="18"/>
        </w:rPr>
        <w:t>:</w:t>
      </w:r>
      <w:r w:rsidR="00F62F57" w:rsidRPr="00B65EC8">
        <w:rPr>
          <w:rFonts w:cstheme="minorHAnsi"/>
          <w:i/>
          <w:iCs/>
          <w:sz w:val="18"/>
          <w:szCs w:val="18"/>
        </w:rPr>
        <w:t xml:space="preserve"> Maintenance of Selected Road Infrastructure Assets,</w:t>
      </w:r>
      <w:r w:rsidR="00AD1251" w:rsidRPr="00B65EC8">
        <w:rPr>
          <w:sz w:val="18"/>
          <w:szCs w:val="18"/>
        </w:rPr>
        <w:t xml:space="preserve"> </w:t>
      </w:r>
      <w:r w:rsidR="00F62F57" w:rsidRPr="00B65EC8">
        <w:rPr>
          <w:sz w:val="18"/>
          <w:szCs w:val="18"/>
        </w:rPr>
        <w:t xml:space="preserve">October 2017, </w:t>
      </w:r>
      <w:r w:rsidRPr="00B65EC8">
        <w:rPr>
          <w:sz w:val="18"/>
          <w:szCs w:val="18"/>
        </w:rPr>
        <w:t xml:space="preserve">pp </w:t>
      </w:r>
      <w:r w:rsidR="00501EC4" w:rsidRPr="00B65EC8">
        <w:rPr>
          <w:sz w:val="18"/>
          <w:szCs w:val="18"/>
        </w:rPr>
        <w:t>5-14</w:t>
      </w:r>
      <w:r w:rsidRPr="00B65EC8">
        <w:rPr>
          <w:sz w:val="18"/>
          <w:szCs w:val="18"/>
        </w:rPr>
        <w:t>.</w:t>
      </w:r>
    </w:p>
  </w:footnote>
  <w:footnote w:id="16">
    <w:p w14:paraId="3D5D44A8" w14:textId="7ACF061B" w:rsidR="00E256D6" w:rsidRPr="00B65EC8" w:rsidRDefault="00E256D6">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Government Response–Auditor-General’s Report No. 5 of 2017:</w:t>
      </w:r>
      <w:r w:rsidRPr="00B65EC8">
        <w:rPr>
          <w:rFonts w:cstheme="minorHAnsi"/>
          <w:i/>
          <w:iCs/>
          <w:sz w:val="18"/>
          <w:szCs w:val="18"/>
        </w:rPr>
        <w:t xml:space="preserve"> Maintenance of Selected Road Infrastructure Assets,</w:t>
      </w:r>
      <w:r w:rsidRPr="00B65EC8">
        <w:rPr>
          <w:sz w:val="18"/>
          <w:szCs w:val="18"/>
        </w:rPr>
        <w:t xml:space="preserve"> October 2017, p 9.</w:t>
      </w:r>
    </w:p>
  </w:footnote>
  <w:footnote w:id="17">
    <w:p w14:paraId="1291A351" w14:textId="4DA5F7E0" w:rsidR="00D72B38" w:rsidRPr="00B65EC8" w:rsidRDefault="00D72B38">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Government Response–Auditor-General’s Report No. 5 of 2017:</w:t>
      </w:r>
      <w:r w:rsidRPr="00B65EC8">
        <w:rPr>
          <w:rFonts w:cstheme="minorHAnsi"/>
          <w:i/>
          <w:iCs/>
          <w:sz w:val="18"/>
          <w:szCs w:val="18"/>
        </w:rPr>
        <w:t xml:space="preserve"> Maintenance of Selected Road Infrastructure Assets,</w:t>
      </w:r>
      <w:r w:rsidRPr="00B65EC8">
        <w:rPr>
          <w:sz w:val="18"/>
          <w:szCs w:val="18"/>
        </w:rPr>
        <w:t xml:space="preserve"> October 2017, p 9</w:t>
      </w:r>
      <w:r w:rsidR="00BE0545" w:rsidRPr="00B65EC8">
        <w:rPr>
          <w:sz w:val="18"/>
          <w:szCs w:val="18"/>
        </w:rPr>
        <w:t>.</w:t>
      </w:r>
    </w:p>
  </w:footnote>
  <w:footnote w:id="18">
    <w:p w14:paraId="3B023287" w14:textId="447D68BA" w:rsidR="00BE0545" w:rsidRPr="00B65EC8" w:rsidRDefault="00BE0545">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Government Response–Auditor-General’s Report No. 5 of 2017:</w:t>
      </w:r>
      <w:r w:rsidRPr="00B65EC8">
        <w:rPr>
          <w:rFonts w:cstheme="minorHAnsi"/>
          <w:i/>
          <w:iCs/>
          <w:sz w:val="18"/>
          <w:szCs w:val="18"/>
        </w:rPr>
        <w:t xml:space="preserve"> Maintenance of Selected Road Infrastructure Assets,</w:t>
      </w:r>
      <w:r w:rsidRPr="00B65EC8">
        <w:rPr>
          <w:sz w:val="18"/>
          <w:szCs w:val="18"/>
        </w:rPr>
        <w:t xml:space="preserve"> October 2017, p 10.</w:t>
      </w:r>
    </w:p>
  </w:footnote>
  <w:footnote w:id="19">
    <w:p w14:paraId="0BC8F956" w14:textId="633CBDAE" w:rsidR="000A7D66" w:rsidRPr="00B65EC8" w:rsidRDefault="000A7D66">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1</w:t>
      </w:r>
      <w:r w:rsidRPr="00B65EC8">
        <w:rPr>
          <w:sz w:val="18"/>
          <w:szCs w:val="18"/>
        </w:rPr>
        <w:t>.</w:t>
      </w:r>
    </w:p>
  </w:footnote>
  <w:footnote w:id="20">
    <w:p w14:paraId="14D57E1C" w14:textId="2CB46F00" w:rsidR="0050338E" w:rsidRPr="00B65EC8" w:rsidRDefault="0050338E" w:rsidP="0050338E">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1</w:t>
      </w:r>
      <w:r w:rsidRPr="00B65EC8">
        <w:rPr>
          <w:sz w:val="18"/>
          <w:szCs w:val="18"/>
        </w:rPr>
        <w:t>, pp 1–2</w:t>
      </w:r>
      <w:r w:rsidRPr="00B65EC8">
        <w:rPr>
          <w:i/>
          <w:iCs/>
          <w:sz w:val="18"/>
          <w:szCs w:val="18"/>
        </w:rPr>
        <w:t>.</w:t>
      </w:r>
    </w:p>
  </w:footnote>
  <w:footnote w:id="21">
    <w:p w14:paraId="16545C9C" w14:textId="65B65654" w:rsidR="0050338E" w:rsidRPr="00B65EC8" w:rsidRDefault="0050338E">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1</w:t>
      </w:r>
      <w:r w:rsidRPr="00B65EC8">
        <w:rPr>
          <w:sz w:val="18"/>
          <w:szCs w:val="18"/>
        </w:rPr>
        <w:t>, p 2.</w:t>
      </w:r>
    </w:p>
  </w:footnote>
  <w:footnote w:id="22">
    <w:p w14:paraId="6C86DACB" w14:textId="2E626867" w:rsidR="0050338E" w:rsidRPr="00B65EC8" w:rsidRDefault="0050338E">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1</w:t>
      </w:r>
      <w:r w:rsidRPr="00B65EC8">
        <w:rPr>
          <w:sz w:val="18"/>
          <w:szCs w:val="18"/>
        </w:rPr>
        <w:t>, pp 4–17.</w:t>
      </w:r>
    </w:p>
  </w:footnote>
  <w:footnote w:id="23">
    <w:p w14:paraId="244545D6" w14:textId="3E722074" w:rsidR="00F42828" w:rsidRDefault="00F42828">
      <w:pPr>
        <w:pStyle w:val="FootnoteText"/>
      </w:pPr>
      <w:r w:rsidRPr="006F3BDA">
        <w:rPr>
          <w:rStyle w:val="FootnoteReference"/>
          <w:rFonts w:ascii="Calibri" w:hAnsi="Calibri" w:cs="Calibri"/>
          <w:sz w:val="18"/>
          <w:szCs w:val="18"/>
        </w:rPr>
        <w:footnoteRef/>
      </w:r>
      <w:r w:rsidRPr="006F3BDA">
        <w:rPr>
          <w:rFonts w:ascii="Calibri" w:hAnsi="Calibri" w:cs="Calibri"/>
          <w:sz w:val="18"/>
          <w:szCs w:val="18"/>
        </w:rPr>
        <w:t xml:space="preserve"> ACT Government, </w:t>
      </w:r>
      <w:r w:rsidRPr="006F3BDA">
        <w:rPr>
          <w:rFonts w:ascii="Calibri" w:hAnsi="Calibri" w:cs="Calibri"/>
          <w:i/>
          <w:iCs/>
          <w:sz w:val="18"/>
          <w:szCs w:val="18"/>
        </w:rPr>
        <w:t>Submission 1</w:t>
      </w:r>
      <w:r w:rsidRPr="006F3BDA">
        <w:rPr>
          <w:rFonts w:ascii="Calibri" w:hAnsi="Calibri" w:cs="Calibri"/>
          <w:sz w:val="18"/>
          <w:szCs w:val="18"/>
        </w:rPr>
        <w:t>, p 1</w:t>
      </w:r>
      <w:r w:rsidR="00264C46">
        <w:rPr>
          <w:rFonts w:ascii="Calibri" w:hAnsi="Calibri" w:cs="Calibri"/>
          <w:sz w:val="18"/>
          <w:szCs w:val="18"/>
        </w:rPr>
        <w:t>3</w:t>
      </w:r>
      <w:r w:rsidRPr="006F3BDA">
        <w:rPr>
          <w:rFonts w:ascii="Calibri" w:hAnsi="Calibri" w:cs="Calibri"/>
          <w:sz w:val="18"/>
          <w:szCs w:val="18"/>
        </w:rPr>
        <w:t>.</w:t>
      </w:r>
    </w:p>
  </w:footnote>
  <w:footnote w:id="24">
    <w:p w14:paraId="56162CC0" w14:textId="04A122D8" w:rsidR="00CC42BB" w:rsidRPr="00B65EC8" w:rsidRDefault="00CC42BB" w:rsidP="00CC42BB">
      <w:pPr>
        <w:pStyle w:val="FootnoteText"/>
        <w:rPr>
          <w:sz w:val="18"/>
          <w:szCs w:val="18"/>
        </w:rPr>
      </w:pPr>
      <w:r w:rsidRPr="00B65EC8">
        <w:rPr>
          <w:rStyle w:val="FootnoteReference"/>
          <w:sz w:val="18"/>
          <w:szCs w:val="18"/>
        </w:rPr>
        <w:footnoteRef/>
      </w:r>
      <w:r w:rsidRPr="00B65EC8">
        <w:rPr>
          <w:sz w:val="18"/>
          <w:szCs w:val="18"/>
        </w:rPr>
        <w:t xml:space="preserve"> </w:t>
      </w:r>
      <w:r w:rsidR="00BF4140" w:rsidRPr="00B65EC8">
        <w:rPr>
          <w:sz w:val="18"/>
          <w:szCs w:val="18"/>
        </w:rPr>
        <w:t xml:space="preserve">ACT Auditor-General, </w:t>
      </w:r>
      <w:r w:rsidR="00AD58E1" w:rsidRPr="00B65EC8">
        <w:rPr>
          <w:sz w:val="18"/>
          <w:szCs w:val="18"/>
        </w:rPr>
        <w:t>‘</w:t>
      </w:r>
      <w:r w:rsidRPr="00B65EC8">
        <w:rPr>
          <w:sz w:val="18"/>
          <w:szCs w:val="18"/>
        </w:rPr>
        <w:t>Referral processes for the support of vulnerable children</w:t>
      </w:r>
      <w:r w:rsidR="00AD58E1" w:rsidRPr="00B65EC8">
        <w:rPr>
          <w:sz w:val="18"/>
          <w:szCs w:val="18"/>
        </w:rPr>
        <w:t>’,</w:t>
      </w:r>
      <w:r w:rsidR="00AD58E1" w:rsidRPr="00B65EC8">
        <w:rPr>
          <w:i/>
          <w:iCs/>
          <w:sz w:val="18"/>
          <w:szCs w:val="18"/>
        </w:rPr>
        <w:t xml:space="preserve"> Media Release</w:t>
      </w:r>
      <w:r w:rsidR="00AD58E1" w:rsidRPr="00B65EC8">
        <w:rPr>
          <w:sz w:val="18"/>
          <w:szCs w:val="18"/>
        </w:rPr>
        <w:t>, 27 June 2019.</w:t>
      </w:r>
    </w:p>
  </w:footnote>
  <w:footnote w:id="25">
    <w:p w14:paraId="04012FA2" w14:textId="7F96F3E7" w:rsidR="00E01358" w:rsidRPr="00B65EC8" w:rsidRDefault="00E01358">
      <w:pPr>
        <w:pStyle w:val="FootnoteText"/>
        <w:rPr>
          <w:sz w:val="18"/>
          <w:szCs w:val="18"/>
        </w:rPr>
      </w:pPr>
      <w:r w:rsidRPr="00B65EC8">
        <w:rPr>
          <w:rStyle w:val="FootnoteReference"/>
          <w:sz w:val="18"/>
          <w:szCs w:val="18"/>
        </w:rPr>
        <w:footnoteRef/>
      </w:r>
      <w:r w:rsidRPr="00B65EC8">
        <w:rPr>
          <w:sz w:val="18"/>
          <w:szCs w:val="18"/>
        </w:rPr>
        <w:t xml:space="preserve"> </w:t>
      </w:r>
      <w:r w:rsidR="004A641E" w:rsidRPr="00B65EC8">
        <w:rPr>
          <w:sz w:val="18"/>
          <w:szCs w:val="18"/>
        </w:rPr>
        <w:t xml:space="preserve">ACT Auditor General, </w:t>
      </w:r>
      <w:r w:rsidR="004A641E" w:rsidRPr="00B65EC8">
        <w:rPr>
          <w:i/>
          <w:iCs/>
          <w:sz w:val="18"/>
          <w:szCs w:val="18"/>
        </w:rPr>
        <w:t>Report No. 7/2019:</w:t>
      </w:r>
      <w:r w:rsidR="004A641E" w:rsidRPr="00B65EC8">
        <w:rPr>
          <w:sz w:val="18"/>
          <w:szCs w:val="18"/>
        </w:rPr>
        <w:t xml:space="preserve"> </w:t>
      </w:r>
      <w:r w:rsidR="004A641E" w:rsidRPr="00B65EC8">
        <w:rPr>
          <w:i/>
          <w:iCs/>
          <w:sz w:val="18"/>
          <w:szCs w:val="18"/>
        </w:rPr>
        <w:t>Referral processes for the support of vulnerable children</w:t>
      </w:r>
      <w:r w:rsidR="004A641E" w:rsidRPr="00B65EC8">
        <w:rPr>
          <w:sz w:val="18"/>
          <w:szCs w:val="18"/>
        </w:rPr>
        <w:t xml:space="preserve">, </w:t>
      </w:r>
      <w:r w:rsidR="00A3286B" w:rsidRPr="00B65EC8">
        <w:rPr>
          <w:sz w:val="18"/>
          <w:szCs w:val="18"/>
        </w:rPr>
        <w:t xml:space="preserve">27 June 2019, </w:t>
      </w:r>
      <w:r w:rsidRPr="00B65EC8">
        <w:rPr>
          <w:sz w:val="18"/>
          <w:szCs w:val="18"/>
        </w:rPr>
        <w:t>p 13.</w:t>
      </w:r>
    </w:p>
  </w:footnote>
  <w:footnote w:id="26">
    <w:p w14:paraId="71329AA0" w14:textId="1D24EAFE" w:rsidR="00D5786F" w:rsidRPr="00B65EC8" w:rsidRDefault="00D5786F">
      <w:pPr>
        <w:pStyle w:val="FootnoteText"/>
        <w:rPr>
          <w:sz w:val="18"/>
          <w:szCs w:val="18"/>
        </w:rPr>
      </w:pPr>
      <w:r w:rsidRPr="00B65EC8">
        <w:rPr>
          <w:rStyle w:val="FootnoteReference"/>
          <w:sz w:val="18"/>
          <w:szCs w:val="18"/>
        </w:rPr>
        <w:footnoteRef/>
      </w:r>
      <w:r w:rsidRPr="00B65EC8">
        <w:rPr>
          <w:sz w:val="18"/>
          <w:szCs w:val="18"/>
        </w:rPr>
        <w:t xml:space="preserve"> ACT Auditor General, </w:t>
      </w:r>
      <w:r w:rsidRPr="00B65EC8">
        <w:rPr>
          <w:i/>
          <w:iCs/>
          <w:sz w:val="18"/>
          <w:szCs w:val="18"/>
        </w:rPr>
        <w:t>Report No. 7/2019:</w:t>
      </w:r>
      <w:r w:rsidRPr="00B65EC8">
        <w:rPr>
          <w:sz w:val="18"/>
          <w:szCs w:val="18"/>
        </w:rPr>
        <w:t xml:space="preserve"> </w:t>
      </w:r>
      <w:r w:rsidRPr="00B65EC8">
        <w:rPr>
          <w:i/>
          <w:iCs/>
          <w:sz w:val="18"/>
          <w:szCs w:val="18"/>
        </w:rPr>
        <w:t>Referral processes for the support of vulnerable children</w:t>
      </w:r>
      <w:r w:rsidRPr="00B65EC8">
        <w:rPr>
          <w:sz w:val="18"/>
          <w:szCs w:val="18"/>
        </w:rPr>
        <w:t>, 27 June 2019, pp 1–2.</w:t>
      </w:r>
    </w:p>
  </w:footnote>
  <w:footnote w:id="27">
    <w:p w14:paraId="242A8D06" w14:textId="72D9E9EA" w:rsidR="00CE4E33" w:rsidRPr="00B65EC8" w:rsidRDefault="00CE4E33">
      <w:pPr>
        <w:pStyle w:val="FootnoteText"/>
        <w:rPr>
          <w:sz w:val="18"/>
          <w:szCs w:val="18"/>
        </w:rPr>
      </w:pPr>
      <w:r w:rsidRPr="00B65EC8">
        <w:rPr>
          <w:rStyle w:val="FootnoteReference"/>
          <w:sz w:val="18"/>
          <w:szCs w:val="18"/>
        </w:rPr>
        <w:footnoteRef/>
      </w:r>
      <w:r w:rsidRPr="00B65EC8">
        <w:rPr>
          <w:sz w:val="18"/>
          <w:szCs w:val="18"/>
        </w:rPr>
        <w:t xml:space="preserve"> </w:t>
      </w:r>
      <w:r w:rsidR="004A641E" w:rsidRPr="00B65EC8">
        <w:rPr>
          <w:sz w:val="18"/>
          <w:szCs w:val="18"/>
        </w:rPr>
        <w:t xml:space="preserve">ACT Auditor General, </w:t>
      </w:r>
      <w:r w:rsidR="004A641E" w:rsidRPr="00B65EC8">
        <w:rPr>
          <w:i/>
          <w:iCs/>
          <w:sz w:val="18"/>
          <w:szCs w:val="18"/>
        </w:rPr>
        <w:t>Report No. 7/2019</w:t>
      </w:r>
      <w:r w:rsidR="00A3286B" w:rsidRPr="00B65EC8">
        <w:rPr>
          <w:i/>
          <w:iCs/>
          <w:sz w:val="18"/>
          <w:szCs w:val="18"/>
        </w:rPr>
        <w:t>: Referral processes for the support of vulnerable children</w:t>
      </w:r>
      <w:r w:rsidR="00A3286B" w:rsidRPr="00B65EC8">
        <w:rPr>
          <w:sz w:val="18"/>
          <w:szCs w:val="18"/>
        </w:rPr>
        <w:t>, 27 June 2019</w:t>
      </w:r>
      <w:r w:rsidR="004A641E" w:rsidRPr="00B65EC8">
        <w:rPr>
          <w:sz w:val="18"/>
          <w:szCs w:val="18"/>
        </w:rPr>
        <w:t>, p</w:t>
      </w:r>
      <w:r w:rsidRPr="00B65EC8">
        <w:rPr>
          <w:sz w:val="18"/>
          <w:szCs w:val="18"/>
        </w:rPr>
        <w:t xml:space="preserve"> 1.</w:t>
      </w:r>
    </w:p>
  </w:footnote>
  <w:footnote w:id="28">
    <w:p w14:paraId="36BD4A58" w14:textId="3C08A052" w:rsidR="00223C11" w:rsidRPr="00B65EC8" w:rsidRDefault="00223C11">
      <w:pPr>
        <w:pStyle w:val="FootnoteText"/>
        <w:rPr>
          <w:sz w:val="18"/>
          <w:szCs w:val="18"/>
        </w:rPr>
      </w:pPr>
      <w:r w:rsidRPr="00B65EC8">
        <w:rPr>
          <w:rStyle w:val="FootnoteReference"/>
          <w:sz w:val="18"/>
          <w:szCs w:val="18"/>
        </w:rPr>
        <w:footnoteRef/>
      </w:r>
      <w:r w:rsidRPr="00B65EC8">
        <w:rPr>
          <w:sz w:val="18"/>
          <w:szCs w:val="18"/>
        </w:rPr>
        <w:t xml:space="preserve"> ACT Auditor General, </w:t>
      </w:r>
      <w:r w:rsidRPr="00B65EC8">
        <w:rPr>
          <w:i/>
          <w:iCs/>
          <w:sz w:val="18"/>
          <w:szCs w:val="18"/>
        </w:rPr>
        <w:t>Report No. 7/2019: Referral processes for the support of vulnerable children</w:t>
      </w:r>
      <w:r w:rsidRPr="00B65EC8">
        <w:rPr>
          <w:sz w:val="18"/>
          <w:szCs w:val="18"/>
        </w:rPr>
        <w:t>, 27 June 2019, p 1.</w:t>
      </w:r>
    </w:p>
  </w:footnote>
  <w:footnote w:id="29">
    <w:p w14:paraId="4538BFB3" w14:textId="48F527BA" w:rsidR="006A424F" w:rsidRPr="00B65EC8" w:rsidRDefault="006A424F">
      <w:pPr>
        <w:pStyle w:val="FootnoteText"/>
        <w:rPr>
          <w:sz w:val="18"/>
          <w:szCs w:val="18"/>
        </w:rPr>
      </w:pPr>
      <w:r w:rsidRPr="00B65EC8">
        <w:rPr>
          <w:rStyle w:val="FootnoteReference"/>
          <w:sz w:val="18"/>
          <w:szCs w:val="18"/>
        </w:rPr>
        <w:footnoteRef/>
      </w:r>
      <w:r w:rsidRPr="00B65EC8">
        <w:rPr>
          <w:sz w:val="18"/>
          <w:szCs w:val="18"/>
        </w:rPr>
        <w:t xml:space="preserve"> </w:t>
      </w:r>
      <w:r w:rsidR="004A641E" w:rsidRPr="00B65EC8">
        <w:rPr>
          <w:sz w:val="18"/>
          <w:szCs w:val="18"/>
        </w:rPr>
        <w:t xml:space="preserve">ACT Auditor General, </w:t>
      </w:r>
      <w:r w:rsidR="004A641E" w:rsidRPr="00B65EC8">
        <w:rPr>
          <w:i/>
          <w:iCs/>
          <w:sz w:val="18"/>
          <w:szCs w:val="18"/>
        </w:rPr>
        <w:t>Report No. 7/2019</w:t>
      </w:r>
      <w:r w:rsidR="00A3286B" w:rsidRPr="00B65EC8">
        <w:rPr>
          <w:i/>
          <w:iCs/>
          <w:sz w:val="18"/>
          <w:szCs w:val="18"/>
        </w:rPr>
        <w:t>: Referral processes for the support of vulnerable children</w:t>
      </w:r>
      <w:r w:rsidR="00A3286B" w:rsidRPr="00B65EC8">
        <w:rPr>
          <w:sz w:val="18"/>
          <w:szCs w:val="18"/>
        </w:rPr>
        <w:t>, 27 June 2019</w:t>
      </w:r>
      <w:r w:rsidR="004A641E" w:rsidRPr="00B65EC8">
        <w:rPr>
          <w:sz w:val="18"/>
          <w:szCs w:val="18"/>
        </w:rPr>
        <w:t xml:space="preserve">, </w:t>
      </w:r>
      <w:r w:rsidR="00D75D78" w:rsidRPr="00B65EC8">
        <w:rPr>
          <w:sz w:val="18"/>
          <w:szCs w:val="18"/>
        </w:rPr>
        <w:t>pp</w:t>
      </w:r>
      <w:r w:rsidR="00C77E84">
        <w:rPr>
          <w:sz w:val="18"/>
          <w:szCs w:val="18"/>
        </w:rPr>
        <w:noBreakHyphen/>
      </w:r>
      <w:r w:rsidR="00D75D78" w:rsidRPr="00B65EC8">
        <w:rPr>
          <w:sz w:val="18"/>
          <w:szCs w:val="18"/>
        </w:rPr>
        <w:t>35</w:t>
      </w:r>
      <w:r w:rsidR="00C77E84">
        <w:rPr>
          <w:sz w:val="18"/>
          <w:szCs w:val="18"/>
        </w:rPr>
        <w:noBreakHyphen/>
      </w:r>
      <w:r w:rsidR="00D75D78" w:rsidRPr="00B65EC8">
        <w:rPr>
          <w:sz w:val="18"/>
          <w:szCs w:val="18"/>
        </w:rPr>
        <w:t>36</w:t>
      </w:r>
      <w:r w:rsidRPr="00B65EC8">
        <w:rPr>
          <w:sz w:val="18"/>
          <w:szCs w:val="18"/>
        </w:rPr>
        <w:t>.</w:t>
      </w:r>
    </w:p>
  </w:footnote>
  <w:footnote w:id="30">
    <w:p w14:paraId="73BA0AA5" w14:textId="618C619D" w:rsidR="002D413A" w:rsidRPr="00B65EC8" w:rsidRDefault="002D413A">
      <w:pPr>
        <w:pStyle w:val="FootnoteText"/>
        <w:rPr>
          <w:sz w:val="18"/>
          <w:szCs w:val="18"/>
        </w:rPr>
      </w:pPr>
      <w:r w:rsidRPr="00B65EC8">
        <w:rPr>
          <w:rStyle w:val="FootnoteReference"/>
          <w:sz w:val="18"/>
          <w:szCs w:val="18"/>
        </w:rPr>
        <w:footnoteRef/>
      </w:r>
      <w:r w:rsidRPr="00B65EC8">
        <w:rPr>
          <w:sz w:val="18"/>
          <w:szCs w:val="18"/>
        </w:rPr>
        <w:t xml:space="preserve"> ACT Auditor General, </w:t>
      </w:r>
      <w:r w:rsidRPr="00B65EC8">
        <w:rPr>
          <w:i/>
          <w:iCs/>
          <w:sz w:val="18"/>
          <w:szCs w:val="18"/>
        </w:rPr>
        <w:t>Report No. 7/2019: Referral processes for the support of vulnerable children</w:t>
      </w:r>
      <w:r w:rsidRPr="00B65EC8">
        <w:rPr>
          <w:sz w:val="18"/>
          <w:szCs w:val="18"/>
        </w:rPr>
        <w:t>, 27 June 2019, p 63.</w:t>
      </w:r>
    </w:p>
  </w:footnote>
  <w:footnote w:id="31">
    <w:p w14:paraId="32F9D098" w14:textId="18F0C242" w:rsidR="008B08BC" w:rsidRPr="00CC045F" w:rsidRDefault="008B08BC" w:rsidP="008B08BC">
      <w:pPr>
        <w:pStyle w:val="FootnoteText"/>
        <w:ind w:left="0" w:firstLine="0"/>
        <w:rPr>
          <w:sz w:val="18"/>
          <w:szCs w:val="18"/>
        </w:rPr>
      </w:pPr>
      <w:r w:rsidRPr="00CC045F">
        <w:rPr>
          <w:rStyle w:val="FootnoteReference"/>
          <w:sz w:val="18"/>
          <w:szCs w:val="18"/>
        </w:rPr>
        <w:footnoteRef/>
      </w:r>
      <w:r w:rsidRPr="00CC045F">
        <w:rPr>
          <w:sz w:val="18"/>
          <w:szCs w:val="18"/>
        </w:rPr>
        <w:t xml:space="preserve">ACT Auditor General, </w:t>
      </w:r>
      <w:r w:rsidRPr="00CC045F">
        <w:rPr>
          <w:i/>
          <w:iCs/>
          <w:sz w:val="18"/>
          <w:szCs w:val="18"/>
        </w:rPr>
        <w:t>Report No.</w:t>
      </w:r>
      <w:r w:rsidR="009A3E34" w:rsidRPr="00CC045F">
        <w:rPr>
          <w:i/>
          <w:iCs/>
          <w:sz w:val="18"/>
          <w:szCs w:val="18"/>
        </w:rPr>
        <w:t xml:space="preserve"> </w:t>
      </w:r>
      <w:r w:rsidRPr="00CC045F">
        <w:rPr>
          <w:i/>
          <w:iCs/>
          <w:sz w:val="18"/>
          <w:szCs w:val="18"/>
        </w:rPr>
        <w:t>7/2019: Referral processes for the support of vulnerable children</w:t>
      </w:r>
      <w:r w:rsidRPr="00CC045F">
        <w:rPr>
          <w:sz w:val="18"/>
          <w:szCs w:val="18"/>
        </w:rPr>
        <w:t>, 27 June 2019, p 89.</w:t>
      </w:r>
    </w:p>
  </w:footnote>
  <w:footnote w:id="32">
    <w:p w14:paraId="71E42473" w14:textId="35F384E6" w:rsidR="005E5B1A" w:rsidRPr="00CC045F" w:rsidRDefault="005E5B1A">
      <w:pPr>
        <w:pStyle w:val="FootnoteText"/>
        <w:rPr>
          <w:sz w:val="18"/>
          <w:szCs w:val="18"/>
        </w:rPr>
      </w:pPr>
      <w:r w:rsidRPr="00CC045F">
        <w:rPr>
          <w:rStyle w:val="FootnoteReference"/>
          <w:sz w:val="18"/>
          <w:szCs w:val="18"/>
        </w:rPr>
        <w:footnoteRef/>
      </w:r>
      <w:r w:rsidRPr="00CC045F">
        <w:rPr>
          <w:sz w:val="18"/>
          <w:szCs w:val="18"/>
        </w:rPr>
        <w:t xml:space="preserve"> ACT Auditor General, </w:t>
      </w:r>
      <w:r w:rsidRPr="00CC045F">
        <w:rPr>
          <w:i/>
          <w:iCs/>
          <w:sz w:val="18"/>
          <w:szCs w:val="18"/>
        </w:rPr>
        <w:t>Report No.</w:t>
      </w:r>
      <w:r w:rsidR="009A3E34" w:rsidRPr="00CC045F">
        <w:rPr>
          <w:i/>
          <w:iCs/>
          <w:sz w:val="18"/>
          <w:szCs w:val="18"/>
        </w:rPr>
        <w:t xml:space="preserve"> </w:t>
      </w:r>
      <w:r w:rsidRPr="00CC045F">
        <w:rPr>
          <w:i/>
          <w:iCs/>
          <w:sz w:val="18"/>
          <w:szCs w:val="18"/>
        </w:rPr>
        <w:t>7/2019: Referral processes for the support of vulnerable children</w:t>
      </w:r>
      <w:r w:rsidRPr="00CC045F">
        <w:rPr>
          <w:sz w:val="18"/>
          <w:szCs w:val="18"/>
        </w:rPr>
        <w:t>, 27 June 2019, pp 10–11.</w:t>
      </w:r>
    </w:p>
  </w:footnote>
  <w:footnote w:id="33">
    <w:p w14:paraId="62AF8D1F" w14:textId="73B6DB1F" w:rsidR="0031241B" w:rsidRPr="00CC045F" w:rsidRDefault="0031241B" w:rsidP="0031241B">
      <w:pPr>
        <w:pStyle w:val="FootnoteText"/>
        <w:rPr>
          <w:sz w:val="18"/>
          <w:szCs w:val="18"/>
        </w:rPr>
      </w:pPr>
      <w:r w:rsidRPr="00CC045F">
        <w:rPr>
          <w:rStyle w:val="FootnoteReference"/>
          <w:sz w:val="18"/>
          <w:szCs w:val="18"/>
        </w:rPr>
        <w:footnoteRef/>
      </w:r>
      <w:r w:rsidRPr="00CC045F">
        <w:rPr>
          <w:sz w:val="18"/>
          <w:szCs w:val="18"/>
        </w:rPr>
        <w:t xml:space="preserve"> </w:t>
      </w:r>
      <w:r w:rsidR="005C2785" w:rsidRPr="00CC045F">
        <w:rPr>
          <w:sz w:val="18"/>
          <w:szCs w:val="18"/>
        </w:rPr>
        <w:t xml:space="preserve">ACT Government, </w:t>
      </w:r>
      <w:r w:rsidRPr="00CC045F">
        <w:rPr>
          <w:i/>
          <w:iCs/>
          <w:sz w:val="18"/>
          <w:szCs w:val="18"/>
        </w:rPr>
        <w:t>Government Response to the ACT Auditor General’s Report Referral processes for the support of vulnerable children (</w:t>
      </w:r>
      <w:r w:rsidR="005C2785" w:rsidRPr="00CC045F">
        <w:rPr>
          <w:i/>
          <w:iCs/>
          <w:sz w:val="18"/>
          <w:szCs w:val="18"/>
        </w:rPr>
        <w:t>Report No. 7/2019)</w:t>
      </w:r>
      <w:r w:rsidR="005C2785" w:rsidRPr="00CC045F">
        <w:rPr>
          <w:sz w:val="18"/>
          <w:szCs w:val="18"/>
        </w:rPr>
        <w:t xml:space="preserve">, </w:t>
      </w:r>
      <w:r w:rsidR="00423743" w:rsidRPr="00CC045F">
        <w:rPr>
          <w:sz w:val="18"/>
          <w:szCs w:val="18"/>
        </w:rPr>
        <w:t>2019</w:t>
      </w:r>
      <w:r w:rsidR="00B23DD1" w:rsidRPr="00CC045F">
        <w:rPr>
          <w:sz w:val="18"/>
          <w:szCs w:val="18"/>
        </w:rPr>
        <w:t xml:space="preserve">, </w:t>
      </w:r>
      <w:hyperlink r:id="rId1" w:history="1">
        <w:r w:rsidR="00B23DD1" w:rsidRPr="00CC045F">
          <w:rPr>
            <w:rStyle w:val="Hyperlink"/>
            <w:sz w:val="18"/>
            <w:szCs w:val="18"/>
          </w:rPr>
          <w:t>Tabled Papers - ACT Legislative Assembly</w:t>
        </w:r>
      </w:hyperlink>
      <w:r w:rsidR="00B23DD1" w:rsidRPr="00CC045F">
        <w:rPr>
          <w:sz w:val="18"/>
          <w:szCs w:val="18"/>
        </w:rPr>
        <w:t>.</w:t>
      </w:r>
    </w:p>
  </w:footnote>
  <w:footnote w:id="34">
    <w:p w14:paraId="4FC3A87C" w14:textId="76B3CBF0" w:rsidR="00423743" w:rsidRPr="00CC045F" w:rsidRDefault="00423743">
      <w:pPr>
        <w:pStyle w:val="FootnoteText"/>
        <w:rPr>
          <w:sz w:val="18"/>
          <w:szCs w:val="18"/>
        </w:rPr>
      </w:pPr>
      <w:r w:rsidRPr="00CC045F">
        <w:rPr>
          <w:rStyle w:val="FootnoteReference"/>
          <w:sz w:val="18"/>
          <w:szCs w:val="18"/>
        </w:rPr>
        <w:footnoteRef/>
      </w:r>
      <w:r w:rsidRPr="00CC045F">
        <w:rPr>
          <w:sz w:val="18"/>
          <w:szCs w:val="18"/>
        </w:rPr>
        <w:t xml:space="preserve"> ACT Government, </w:t>
      </w:r>
      <w:r w:rsidRPr="00CC045F">
        <w:rPr>
          <w:i/>
          <w:iCs/>
          <w:sz w:val="18"/>
          <w:szCs w:val="18"/>
        </w:rPr>
        <w:t>Government Response to the ACT Auditor General’s Report Referral processes for the support of vulnerable children (Report No. 7/2019)</w:t>
      </w:r>
      <w:r w:rsidRPr="00CC045F">
        <w:rPr>
          <w:sz w:val="18"/>
          <w:szCs w:val="18"/>
        </w:rPr>
        <w:t>, 2019, p 3.</w:t>
      </w:r>
    </w:p>
  </w:footnote>
  <w:footnote w:id="35">
    <w:p w14:paraId="6701BD9F" w14:textId="22B6EEF6" w:rsidR="00AC683D" w:rsidRPr="00CC045F" w:rsidRDefault="00AC683D" w:rsidP="00AC683D">
      <w:pPr>
        <w:pStyle w:val="FootnoteText"/>
        <w:rPr>
          <w:sz w:val="18"/>
          <w:szCs w:val="18"/>
        </w:rPr>
      </w:pPr>
      <w:r w:rsidRPr="00CC045F">
        <w:rPr>
          <w:rStyle w:val="FootnoteReference"/>
          <w:sz w:val="18"/>
          <w:szCs w:val="18"/>
        </w:rPr>
        <w:footnoteRef/>
      </w:r>
      <w:r w:rsidRPr="00CC045F">
        <w:rPr>
          <w:sz w:val="18"/>
          <w:szCs w:val="18"/>
        </w:rPr>
        <w:t xml:space="preserve"> </w:t>
      </w:r>
      <w:r w:rsidR="00FD2860" w:rsidRPr="00CC045F">
        <w:rPr>
          <w:sz w:val="18"/>
          <w:szCs w:val="18"/>
        </w:rPr>
        <w:t xml:space="preserve">ACT Government, </w:t>
      </w:r>
      <w:r w:rsidR="00FD2860" w:rsidRPr="00CC045F">
        <w:rPr>
          <w:i/>
          <w:iCs/>
          <w:sz w:val="18"/>
          <w:szCs w:val="18"/>
        </w:rPr>
        <w:t>Government Response to the ACT Auditor General’s Report Referral processes for the support of vulnerable children (Report No. 7/2019)</w:t>
      </w:r>
      <w:r w:rsidR="00FD2860" w:rsidRPr="00CC045F">
        <w:rPr>
          <w:sz w:val="18"/>
          <w:szCs w:val="18"/>
        </w:rPr>
        <w:t xml:space="preserve">, </w:t>
      </w:r>
      <w:r w:rsidRPr="00CC045F">
        <w:rPr>
          <w:sz w:val="18"/>
          <w:szCs w:val="18"/>
        </w:rPr>
        <w:t>p 3.</w:t>
      </w:r>
    </w:p>
  </w:footnote>
  <w:footnote w:id="36">
    <w:p w14:paraId="00CEC1D2" w14:textId="254B3522" w:rsidR="00922BE6" w:rsidRPr="00B65EC8" w:rsidRDefault="00922BE6">
      <w:pPr>
        <w:pStyle w:val="FootnoteText"/>
        <w:rPr>
          <w:sz w:val="18"/>
          <w:szCs w:val="18"/>
        </w:rPr>
      </w:pPr>
      <w:r w:rsidRPr="00CC045F">
        <w:rPr>
          <w:rStyle w:val="FootnoteReference"/>
          <w:sz w:val="18"/>
          <w:szCs w:val="18"/>
        </w:rPr>
        <w:footnoteRef/>
      </w:r>
      <w:r w:rsidRPr="00CC045F">
        <w:rPr>
          <w:sz w:val="18"/>
          <w:szCs w:val="18"/>
        </w:rPr>
        <w:t xml:space="preserve"> ACT Government, </w:t>
      </w:r>
      <w:r w:rsidRPr="00CC045F">
        <w:rPr>
          <w:i/>
          <w:iCs/>
          <w:sz w:val="18"/>
          <w:szCs w:val="18"/>
        </w:rPr>
        <w:t>Government Response to the ACT Auditor General’s Report Referral processes for the support of vulnerable children (Report No. 7/2019)</w:t>
      </w:r>
      <w:r w:rsidRPr="00CC045F">
        <w:rPr>
          <w:sz w:val="18"/>
          <w:szCs w:val="18"/>
        </w:rPr>
        <w:t>, p 4.</w:t>
      </w:r>
    </w:p>
  </w:footnote>
  <w:footnote w:id="37">
    <w:p w14:paraId="2ABE2F01" w14:textId="22DEA028" w:rsidR="00922BE6" w:rsidRPr="00B65EC8" w:rsidRDefault="00922BE6">
      <w:pPr>
        <w:pStyle w:val="FootnoteText"/>
        <w:rPr>
          <w:sz w:val="18"/>
          <w:szCs w:val="18"/>
        </w:rPr>
      </w:pPr>
      <w:r w:rsidRPr="00B65EC8">
        <w:rPr>
          <w:rStyle w:val="FootnoteReference"/>
          <w:sz w:val="18"/>
          <w:szCs w:val="18"/>
        </w:rPr>
        <w:footnoteRef/>
      </w:r>
      <w:r w:rsidRPr="00B65EC8">
        <w:rPr>
          <w:sz w:val="18"/>
          <w:szCs w:val="18"/>
        </w:rPr>
        <w:t xml:space="preserve"> ACT Auditor General, </w:t>
      </w:r>
      <w:r w:rsidRPr="00B65EC8">
        <w:rPr>
          <w:i/>
          <w:iCs/>
          <w:sz w:val="18"/>
          <w:szCs w:val="18"/>
        </w:rPr>
        <w:t>Report No. 7/2019: Referral processes for the support of vulnerable children</w:t>
      </w:r>
      <w:r w:rsidRPr="00B65EC8">
        <w:rPr>
          <w:sz w:val="18"/>
          <w:szCs w:val="18"/>
        </w:rPr>
        <w:t>, 27 June 2019, Recommendation 5.</w:t>
      </w:r>
    </w:p>
  </w:footnote>
  <w:footnote w:id="38">
    <w:p w14:paraId="0D3281AD" w14:textId="6D1D7C98" w:rsidR="004B49AC" w:rsidRPr="00B65EC8" w:rsidRDefault="004B49AC" w:rsidP="004B49AC">
      <w:pPr>
        <w:pStyle w:val="FootnoteText"/>
        <w:rPr>
          <w:sz w:val="18"/>
          <w:szCs w:val="18"/>
        </w:rPr>
      </w:pPr>
      <w:r w:rsidRPr="00B65EC8">
        <w:rPr>
          <w:rStyle w:val="FootnoteReference"/>
          <w:sz w:val="18"/>
          <w:szCs w:val="18"/>
        </w:rPr>
        <w:footnoteRef/>
      </w:r>
      <w:r w:rsidRPr="00B65EC8">
        <w:rPr>
          <w:sz w:val="18"/>
          <w:szCs w:val="18"/>
        </w:rPr>
        <w:t xml:space="preserve"> </w:t>
      </w:r>
      <w:r w:rsidR="00922BE6" w:rsidRPr="00B65EC8">
        <w:rPr>
          <w:sz w:val="18"/>
          <w:szCs w:val="18"/>
        </w:rPr>
        <w:t xml:space="preserve">ACT Government, </w:t>
      </w:r>
      <w:r w:rsidR="00922BE6" w:rsidRPr="00B65EC8">
        <w:rPr>
          <w:i/>
          <w:iCs/>
          <w:sz w:val="18"/>
          <w:szCs w:val="18"/>
        </w:rPr>
        <w:t>Government Response to the ACT Auditor General’s Report Referral processes for the support of vulnerable children (Report No. 7/2019)</w:t>
      </w:r>
      <w:r w:rsidR="00922BE6" w:rsidRPr="00B65EC8">
        <w:rPr>
          <w:sz w:val="18"/>
          <w:szCs w:val="18"/>
        </w:rPr>
        <w:t>, p 4.</w:t>
      </w:r>
    </w:p>
  </w:footnote>
  <w:footnote w:id="39">
    <w:p w14:paraId="24DD7430" w14:textId="20E3D072" w:rsidR="00B649AF" w:rsidRPr="00B65EC8" w:rsidRDefault="00B649AF">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Government Response to the ACT Auditor General’s Report Referral processes for the support of vulnerable children (Report No. 7/2019)</w:t>
      </w:r>
      <w:r w:rsidRPr="00B65EC8">
        <w:rPr>
          <w:sz w:val="18"/>
          <w:szCs w:val="18"/>
        </w:rPr>
        <w:t>, p 7.</w:t>
      </w:r>
    </w:p>
  </w:footnote>
  <w:footnote w:id="40">
    <w:p w14:paraId="4DE4E3B4" w14:textId="19E96C2C" w:rsidR="00FD4539" w:rsidRPr="00B65EC8" w:rsidRDefault="00FD4539">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2.</w:t>
      </w:r>
    </w:p>
  </w:footnote>
  <w:footnote w:id="41">
    <w:p w14:paraId="32646DF4" w14:textId="76137281" w:rsidR="00F07A95" w:rsidRPr="00B65EC8" w:rsidRDefault="00F07A95">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2</w:t>
      </w:r>
      <w:r w:rsidRPr="00B65EC8">
        <w:rPr>
          <w:sz w:val="18"/>
          <w:szCs w:val="18"/>
        </w:rPr>
        <w:t>, p 2.</w:t>
      </w:r>
    </w:p>
  </w:footnote>
  <w:footnote w:id="42">
    <w:p w14:paraId="1CCA568B" w14:textId="60610A79" w:rsidR="001C024B" w:rsidRPr="00B65EC8" w:rsidRDefault="001C024B">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2</w:t>
      </w:r>
      <w:r w:rsidRPr="00B65EC8">
        <w:rPr>
          <w:sz w:val="18"/>
          <w:szCs w:val="18"/>
        </w:rPr>
        <w:t>, p 2.</w:t>
      </w:r>
    </w:p>
  </w:footnote>
  <w:footnote w:id="43">
    <w:p w14:paraId="3801BA88" w14:textId="3E562292" w:rsidR="00F82C63" w:rsidRPr="00B65EC8" w:rsidRDefault="00F82C63">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2</w:t>
      </w:r>
      <w:r w:rsidRPr="00B65EC8">
        <w:rPr>
          <w:sz w:val="18"/>
          <w:szCs w:val="18"/>
        </w:rPr>
        <w:t>, pp 2–3.</w:t>
      </w:r>
    </w:p>
  </w:footnote>
  <w:footnote w:id="44">
    <w:p w14:paraId="534F3FD1" w14:textId="219B4775" w:rsidR="000F649B" w:rsidRPr="00B65EC8" w:rsidRDefault="000F649B">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2</w:t>
      </w:r>
      <w:r w:rsidRPr="00B65EC8">
        <w:rPr>
          <w:sz w:val="18"/>
          <w:szCs w:val="18"/>
        </w:rPr>
        <w:t>, p 3.</w:t>
      </w:r>
    </w:p>
  </w:footnote>
  <w:footnote w:id="45">
    <w:p w14:paraId="48860DC5" w14:textId="2AEF3816" w:rsidR="005D5156" w:rsidRPr="00B65EC8" w:rsidRDefault="005D5156">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Submission 2</w:t>
      </w:r>
      <w:r w:rsidRPr="00B65EC8">
        <w:rPr>
          <w:sz w:val="18"/>
          <w:szCs w:val="18"/>
        </w:rPr>
        <w:t>, p 3.</w:t>
      </w:r>
    </w:p>
  </w:footnote>
  <w:footnote w:id="46">
    <w:p w14:paraId="06FD2C3B" w14:textId="4627482F" w:rsidR="00F46D24" w:rsidRPr="00BB47CB" w:rsidRDefault="00F46D24">
      <w:pPr>
        <w:pStyle w:val="FootnoteText"/>
        <w:rPr>
          <w:sz w:val="18"/>
          <w:szCs w:val="18"/>
        </w:rPr>
      </w:pPr>
      <w:r w:rsidRPr="00BB47CB">
        <w:rPr>
          <w:rStyle w:val="FootnoteReference"/>
          <w:sz w:val="18"/>
          <w:szCs w:val="18"/>
        </w:rPr>
        <w:footnoteRef/>
      </w:r>
      <w:r w:rsidRPr="00BB47CB">
        <w:rPr>
          <w:sz w:val="18"/>
          <w:szCs w:val="18"/>
        </w:rPr>
        <w:t xml:space="preserve"> Australian Government Department of Health and Aged Care, </w:t>
      </w:r>
      <w:r w:rsidRPr="00BB47CB">
        <w:rPr>
          <w:i/>
          <w:iCs/>
          <w:sz w:val="18"/>
          <w:szCs w:val="18"/>
        </w:rPr>
        <w:t>ACT childhood immunisation coverage</w:t>
      </w:r>
      <w:r w:rsidRPr="00BB47CB">
        <w:rPr>
          <w:sz w:val="18"/>
          <w:szCs w:val="18"/>
        </w:rPr>
        <w:t xml:space="preserve">, </w:t>
      </w:r>
      <w:hyperlink r:id="rId2" w:history="1">
        <w:r w:rsidR="00BB47CB">
          <w:rPr>
            <w:rStyle w:val="Hyperlink"/>
            <w:sz w:val="18"/>
            <w:szCs w:val="18"/>
          </w:rPr>
          <w:t>https://www.health.gov.au/sites/default/files/2023-08/act-childhood-immunisation-coverage-data-by-sa3.pdf</w:t>
        </w:r>
      </w:hyperlink>
      <w:r w:rsidRPr="00BB47CB">
        <w:rPr>
          <w:sz w:val="18"/>
          <w:szCs w:val="18"/>
        </w:rPr>
        <w:t xml:space="preserve"> (accessed 1 September 2023).</w:t>
      </w:r>
    </w:p>
  </w:footnote>
  <w:footnote w:id="47">
    <w:p w14:paraId="7BC4563D" w14:textId="771E96BD" w:rsidR="0056664B" w:rsidRPr="00BB47CB" w:rsidRDefault="0056664B" w:rsidP="0056664B">
      <w:pPr>
        <w:pStyle w:val="FootnoteText"/>
        <w:rPr>
          <w:sz w:val="18"/>
          <w:szCs w:val="18"/>
        </w:rPr>
      </w:pPr>
      <w:r w:rsidRPr="00BB47CB">
        <w:rPr>
          <w:rStyle w:val="FootnoteReference"/>
          <w:sz w:val="18"/>
          <w:szCs w:val="18"/>
        </w:rPr>
        <w:footnoteRef/>
      </w:r>
      <w:r w:rsidRPr="00BB47CB">
        <w:rPr>
          <w:sz w:val="18"/>
          <w:szCs w:val="18"/>
        </w:rPr>
        <w:t xml:space="preserve"> ACT Government, </w:t>
      </w:r>
      <w:r w:rsidRPr="00BB47CB">
        <w:rPr>
          <w:i/>
          <w:iCs/>
          <w:sz w:val="18"/>
          <w:szCs w:val="18"/>
        </w:rPr>
        <w:t>Submission 2</w:t>
      </w:r>
      <w:r w:rsidRPr="00BB47CB">
        <w:rPr>
          <w:sz w:val="18"/>
          <w:szCs w:val="18"/>
        </w:rPr>
        <w:t>, pp 3–4.</w:t>
      </w:r>
    </w:p>
  </w:footnote>
  <w:footnote w:id="48">
    <w:p w14:paraId="7CFBAD0C" w14:textId="65D43EB7" w:rsidR="005D2316" w:rsidRPr="00BB47CB" w:rsidRDefault="005D2316">
      <w:pPr>
        <w:pStyle w:val="FootnoteText"/>
        <w:rPr>
          <w:sz w:val="18"/>
          <w:szCs w:val="18"/>
        </w:rPr>
      </w:pPr>
      <w:r w:rsidRPr="00BB47CB">
        <w:rPr>
          <w:rStyle w:val="FootnoteReference"/>
          <w:sz w:val="18"/>
          <w:szCs w:val="18"/>
        </w:rPr>
        <w:footnoteRef/>
      </w:r>
      <w:r w:rsidRPr="00BB47CB">
        <w:rPr>
          <w:sz w:val="18"/>
          <w:szCs w:val="18"/>
        </w:rPr>
        <w:t xml:space="preserve"> ACT Government, </w:t>
      </w:r>
      <w:r w:rsidRPr="00BB47CB">
        <w:rPr>
          <w:i/>
          <w:iCs/>
          <w:sz w:val="18"/>
          <w:szCs w:val="18"/>
        </w:rPr>
        <w:t>Submission 2</w:t>
      </w:r>
      <w:r w:rsidRPr="00BB47CB">
        <w:rPr>
          <w:sz w:val="18"/>
          <w:szCs w:val="18"/>
        </w:rPr>
        <w:t>, pp 3–4.</w:t>
      </w:r>
    </w:p>
  </w:footnote>
  <w:footnote w:id="49">
    <w:p w14:paraId="2C6265A7" w14:textId="46C3739C" w:rsidR="005D2316" w:rsidRPr="00B65EC8" w:rsidRDefault="005D2316">
      <w:pPr>
        <w:pStyle w:val="FootnoteText"/>
        <w:rPr>
          <w:sz w:val="18"/>
          <w:szCs w:val="18"/>
        </w:rPr>
      </w:pPr>
      <w:r w:rsidRPr="00BB47CB">
        <w:rPr>
          <w:rStyle w:val="FootnoteReference"/>
          <w:sz w:val="18"/>
          <w:szCs w:val="18"/>
        </w:rPr>
        <w:footnoteRef/>
      </w:r>
      <w:r w:rsidRPr="00BB47CB">
        <w:rPr>
          <w:sz w:val="18"/>
          <w:szCs w:val="18"/>
        </w:rPr>
        <w:t xml:space="preserve"> ACT Government, </w:t>
      </w:r>
      <w:r w:rsidRPr="00BB47CB">
        <w:rPr>
          <w:i/>
          <w:iCs/>
          <w:sz w:val="18"/>
          <w:szCs w:val="18"/>
        </w:rPr>
        <w:t>Submission 2</w:t>
      </w:r>
      <w:r w:rsidRPr="00BB47CB">
        <w:rPr>
          <w:sz w:val="18"/>
          <w:szCs w:val="18"/>
        </w:rPr>
        <w:t>, p 4.</w:t>
      </w:r>
    </w:p>
  </w:footnote>
  <w:footnote w:id="50">
    <w:p w14:paraId="53C26297" w14:textId="127DF931" w:rsidR="000D031E" w:rsidRPr="0052548F" w:rsidRDefault="000D031E" w:rsidP="000D031E">
      <w:pPr>
        <w:pStyle w:val="FootnoteText"/>
        <w:rPr>
          <w:sz w:val="18"/>
          <w:szCs w:val="18"/>
        </w:rPr>
      </w:pPr>
      <w:r w:rsidRPr="0052548F">
        <w:rPr>
          <w:rStyle w:val="FootnoteReference"/>
          <w:sz w:val="18"/>
          <w:szCs w:val="18"/>
        </w:rPr>
        <w:footnoteRef/>
      </w:r>
      <w:r w:rsidRPr="0052548F">
        <w:rPr>
          <w:sz w:val="18"/>
          <w:szCs w:val="18"/>
        </w:rPr>
        <w:t xml:space="preserve"> ACT Auditor-General, </w:t>
      </w:r>
      <w:r w:rsidRPr="0052548F">
        <w:rPr>
          <w:i/>
          <w:iCs/>
          <w:sz w:val="18"/>
          <w:szCs w:val="18"/>
        </w:rPr>
        <w:t>Report No. 6</w:t>
      </w:r>
      <w:r w:rsidR="00462806" w:rsidRPr="0052548F">
        <w:rPr>
          <w:i/>
          <w:iCs/>
          <w:sz w:val="18"/>
          <w:szCs w:val="18"/>
        </w:rPr>
        <w:t>/</w:t>
      </w:r>
      <w:r w:rsidRPr="0052548F">
        <w:rPr>
          <w:i/>
          <w:iCs/>
          <w:sz w:val="18"/>
          <w:szCs w:val="18"/>
        </w:rPr>
        <w:t>2020</w:t>
      </w:r>
      <w:r w:rsidR="00462806" w:rsidRPr="0052548F">
        <w:rPr>
          <w:i/>
          <w:iCs/>
          <w:sz w:val="18"/>
          <w:szCs w:val="18"/>
        </w:rPr>
        <w:t>: Transfer of workers’ compensation arrangements from Comcare</w:t>
      </w:r>
      <w:r w:rsidRPr="0052548F">
        <w:rPr>
          <w:sz w:val="18"/>
          <w:szCs w:val="18"/>
        </w:rPr>
        <w:t xml:space="preserve">, </w:t>
      </w:r>
      <w:r w:rsidR="005F0963" w:rsidRPr="0052548F">
        <w:rPr>
          <w:sz w:val="18"/>
          <w:szCs w:val="18"/>
        </w:rPr>
        <w:t>June 202</w:t>
      </w:r>
      <w:r w:rsidR="00674CB9" w:rsidRPr="0052548F">
        <w:rPr>
          <w:sz w:val="18"/>
          <w:szCs w:val="18"/>
        </w:rPr>
        <w:t>0</w:t>
      </w:r>
      <w:r w:rsidR="005F0963" w:rsidRPr="0052548F">
        <w:rPr>
          <w:sz w:val="18"/>
          <w:szCs w:val="18"/>
        </w:rPr>
        <w:t xml:space="preserve">, </w:t>
      </w:r>
      <w:r w:rsidR="00B724B4" w:rsidRPr="0052548F">
        <w:rPr>
          <w:sz w:val="18"/>
          <w:szCs w:val="18"/>
        </w:rPr>
        <w:t>Letter of Transmission</w:t>
      </w:r>
      <w:r w:rsidRPr="0052548F">
        <w:rPr>
          <w:sz w:val="18"/>
          <w:szCs w:val="18"/>
        </w:rPr>
        <w:t>.</w:t>
      </w:r>
    </w:p>
  </w:footnote>
  <w:footnote w:id="51">
    <w:p w14:paraId="33BD2B86" w14:textId="77777777" w:rsidR="003E7841" w:rsidRPr="0052548F" w:rsidRDefault="003E7841" w:rsidP="003E7841">
      <w:pPr>
        <w:autoSpaceDE w:val="0"/>
        <w:autoSpaceDN w:val="0"/>
        <w:adjustRightInd w:val="0"/>
        <w:spacing w:after="0" w:line="240" w:lineRule="auto"/>
        <w:rPr>
          <w:sz w:val="18"/>
          <w:szCs w:val="18"/>
        </w:rPr>
      </w:pPr>
      <w:r w:rsidRPr="0052548F">
        <w:rPr>
          <w:rStyle w:val="FootnoteReference"/>
          <w:sz w:val="18"/>
          <w:szCs w:val="18"/>
        </w:rPr>
        <w:footnoteRef/>
      </w:r>
      <w:r w:rsidRPr="0052548F">
        <w:rPr>
          <w:sz w:val="18"/>
          <w:szCs w:val="18"/>
        </w:rPr>
        <w:t xml:space="preserve"> Australian Government–Comcare, ‘About the Comcare scheme’ (</w:t>
      </w:r>
      <w:hyperlink r:id="rId3" w:history="1">
        <w:r w:rsidRPr="0052548F">
          <w:rPr>
            <w:rStyle w:val="Hyperlink"/>
            <w:sz w:val="18"/>
            <w:szCs w:val="18"/>
          </w:rPr>
          <w:t>https://www.comcare.gov.au/scheme-legislation/about-comcare-scheme</w:t>
        </w:r>
      </w:hyperlink>
      <w:r w:rsidRPr="0052548F">
        <w:rPr>
          <w:sz w:val="18"/>
          <w:szCs w:val="18"/>
        </w:rPr>
        <w:t>, accessed 20 June 2023).</w:t>
      </w:r>
    </w:p>
  </w:footnote>
  <w:footnote w:id="52">
    <w:p w14:paraId="7B3B9109" w14:textId="77777777" w:rsidR="003E7841" w:rsidRPr="0052548F" w:rsidRDefault="003E7841" w:rsidP="003E7841">
      <w:pPr>
        <w:pStyle w:val="FootnoteText"/>
        <w:rPr>
          <w:sz w:val="18"/>
          <w:szCs w:val="18"/>
        </w:rPr>
      </w:pPr>
      <w:r w:rsidRPr="0052548F">
        <w:rPr>
          <w:rStyle w:val="FootnoteReference"/>
          <w:sz w:val="18"/>
          <w:szCs w:val="18"/>
        </w:rPr>
        <w:footnoteRef/>
      </w:r>
      <w:r w:rsidRPr="0052548F">
        <w:rPr>
          <w:sz w:val="18"/>
          <w:szCs w:val="18"/>
        </w:rPr>
        <w:t xml:space="preserve"> Australian Government–Comcare, ‘About the Comcare scheme’ (</w:t>
      </w:r>
      <w:hyperlink r:id="rId4" w:history="1">
        <w:r w:rsidRPr="0052548F">
          <w:rPr>
            <w:rStyle w:val="Hyperlink"/>
            <w:sz w:val="18"/>
            <w:szCs w:val="18"/>
          </w:rPr>
          <w:t>https://www.comcare.gov.au/scheme-legislation/about-comcare-scheme</w:t>
        </w:r>
      </w:hyperlink>
      <w:r w:rsidRPr="0052548F">
        <w:rPr>
          <w:sz w:val="18"/>
          <w:szCs w:val="18"/>
        </w:rPr>
        <w:t>, accessed 20 June 2023).</w:t>
      </w:r>
    </w:p>
  </w:footnote>
  <w:footnote w:id="53">
    <w:p w14:paraId="373812E9" w14:textId="6941B137" w:rsidR="003E7841" w:rsidRPr="0052548F" w:rsidRDefault="003E7841" w:rsidP="003E7841">
      <w:pPr>
        <w:pStyle w:val="FootnoteText"/>
        <w:rPr>
          <w:sz w:val="18"/>
          <w:szCs w:val="18"/>
        </w:rPr>
      </w:pPr>
      <w:r w:rsidRPr="0052548F">
        <w:rPr>
          <w:rStyle w:val="FootnoteReference"/>
          <w:sz w:val="18"/>
          <w:szCs w:val="18"/>
        </w:rPr>
        <w:footnoteRef/>
      </w:r>
      <w:r w:rsidRPr="0052548F">
        <w:rPr>
          <w:sz w:val="18"/>
          <w:szCs w:val="18"/>
        </w:rPr>
        <w:t xml:space="preserve"> </w:t>
      </w:r>
      <w:r w:rsidR="005F0963" w:rsidRPr="0052548F">
        <w:rPr>
          <w:sz w:val="18"/>
          <w:szCs w:val="18"/>
        </w:rPr>
        <w:t xml:space="preserve">ACT Auditor-General, </w:t>
      </w:r>
      <w:r w:rsidR="005F0963" w:rsidRPr="0052548F">
        <w:rPr>
          <w:i/>
          <w:iCs/>
          <w:sz w:val="18"/>
          <w:szCs w:val="18"/>
        </w:rPr>
        <w:t>Report No. 6/2020: Transfer of workers’ compensation arrangements from Comcare</w:t>
      </w:r>
      <w:r w:rsidR="005F0963" w:rsidRPr="0052548F">
        <w:rPr>
          <w:sz w:val="18"/>
          <w:szCs w:val="18"/>
        </w:rPr>
        <w:t>, June 202</w:t>
      </w:r>
      <w:r w:rsidR="00674CB9" w:rsidRPr="0052548F">
        <w:rPr>
          <w:sz w:val="18"/>
          <w:szCs w:val="18"/>
        </w:rPr>
        <w:t>0</w:t>
      </w:r>
      <w:r w:rsidR="008E0DD1" w:rsidRPr="0052548F">
        <w:rPr>
          <w:sz w:val="18"/>
          <w:szCs w:val="18"/>
        </w:rPr>
        <w:t xml:space="preserve">, </w:t>
      </w:r>
      <w:r w:rsidRPr="0052548F">
        <w:rPr>
          <w:sz w:val="18"/>
          <w:szCs w:val="18"/>
        </w:rPr>
        <w:t>p</w:t>
      </w:r>
      <w:r w:rsidR="0052548F" w:rsidRPr="0052548F">
        <w:rPr>
          <w:sz w:val="18"/>
          <w:szCs w:val="18"/>
        </w:rPr>
        <w:t> </w:t>
      </w:r>
      <w:r w:rsidRPr="0052548F">
        <w:rPr>
          <w:sz w:val="18"/>
          <w:szCs w:val="18"/>
        </w:rPr>
        <w:t>13.</w:t>
      </w:r>
    </w:p>
  </w:footnote>
  <w:footnote w:id="54">
    <w:p w14:paraId="7D3A4C3B" w14:textId="77777777" w:rsidR="003E7841" w:rsidRPr="0052548F" w:rsidRDefault="003E7841" w:rsidP="003E7841">
      <w:pPr>
        <w:pStyle w:val="FootnoteText"/>
        <w:rPr>
          <w:sz w:val="18"/>
          <w:szCs w:val="18"/>
        </w:rPr>
      </w:pPr>
      <w:r w:rsidRPr="0052548F">
        <w:rPr>
          <w:rStyle w:val="FootnoteReference"/>
          <w:sz w:val="18"/>
          <w:szCs w:val="18"/>
        </w:rPr>
        <w:footnoteRef/>
      </w:r>
      <w:r w:rsidRPr="0052548F">
        <w:rPr>
          <w:sz w:val="18"/>
          <w:szCs w:val="18"/>
        </w:rPr>
        <w:t xml:space="preserve"> </w:t>
      </w:r>
      <w:r w:rsidRPr="0052548F">
        <w:rPr>
          <w:i/>
          <w:iCs/>
          <w:sz w:val="18"/>
          <w:szCs w:val="18"/>
        </w:rPr>
        <w:t>Public Sector Workers Compensation Fund Act 2018</w:t>
      </w:r>
      <w:r w:rsidRPr="0052548F">
        <w:rPr>
          <w:sz w:val="18"/>
          <w:szCs w:val="18"/>
        </w:rPr>
        <w:t>, s 6.</w:t>
      </w:r>
    </w:p>
  </w:footnote>
  <w:footnote w:id="55">
    <w:p w14:paraId="408B8099" w14:textId="1DABF36E" w:rsidR="003E7841" w:rsidRPr="00B65EC8" w:rsidRDefault="003E7841" w:rsidP="003E7841">
      <w:pPr>
        <w:pStyle w:val="FootnoteText"/>
        <w:rPr>
          <w:sz w:val="18"/>
          <w:szCs w:val="18"/>
        </w:rPr>
      </w:pPr>
      <w:r w:rsidRPr="0052548F">
        <w:rPr>
          <w:rStyle w:val="FootnoteReference"/>
          <w:sz w:val="18"/>
          <w:szCs w:val="18"/>
        </w:rPr>
        <w:footnoteRef/>
      </w:r>
      <w:r w:rsidRPr="0052548F">
        <w:rPr>
          <w:sz w:val="18"/>
          <w:szCs w:val="18"/>
        </w:rPr>
        <w:t xml:space="preserve"> ACT Auditor-General, </w:t>
      </w:r>
      <w:r w:rsidRPr="0052548F">
        <w:rPr>
          <w:i/>
          <w:iCs/>
          <w:sz w:val="18"/>
          <w:szCs w:val="18"/>
        </w:rPr>
        <w:t>Report No. 6 of 2020: Transfer of workers’ compensation arrangements from Comcare</w:t>
      </w:r>
      <w:r w:rsidRPr="0052548F">
        <w:rPr>
          <w:sz w:val="18"/>
          <w:szCs w:val="18"/>
        </w:rPr>
        <w:t>,</w:t>
      </w:r>
      <w:r w:rsidR="00674CB9" w:rsidRPr="0052548F">
        <w:rPr>
          <w:sz w:val="18"/>
          <w:szCs w:val="18"/>
        </w:rPr>
        <w:t xml:space="preserve"> June 2020,</w:t>
      </w:r>
      <w:r w:rsidRPr="0052548F">
        <w:rPr>
          <w:sz w:val="18"/>
          <w:szCs w:val="18"/>
        </w:rPr>
        <w:t xml:space="preserve"> p 1.</w:t>
      </w:r>
    </w:p>
  </w:footnote>
  <w:footnote w:id="56">
    <w:p w14:paraId="42D14F83" w14:textId="25FFE6C1" w:rsidR="003E7841" w:rsidRPr="00B65EC8" w:rsidRDefault="003E7841" w:rsidP="003E7841">
      <w:pPr>
        <w:pStyle w:val="FootnoteText"/>
        <w:rPr>
          <w:sz w:val="18"/>
          <w:szCs w:val="18"/>
        </w:rPr>
      </w:pPr>
      <w:r w:rsidRPr="00B65EC8">
        <w:rPr>
          <w:rStyle w:val="FootnoteReference"/>
          <w:sz w:val="18"/>
          <w:szCs w:val="18"/>
        </w:rPr>
        <w:footnoteRef/>
      </w:r>
      <w:r w:rsidRPr="00B65EC8">
        <w:rPr>
          <w:sz w:val="18"/>
          <w:szCs w:val="18"/>
        </w:rPr>
        <w:t xml:space="preserve"> </w:t>
      </w:r>
      <w:r w:rsidR="008205F8" w:rsidRPr="00B65EC8">
        <w:rPr>
          <w:sz w:val="18"/>
          <w:szCs w:val="18"/>
        </w:rPr>
        <w:t>Chief Minister, Treasury and Economic Development Directorate</w:t>
      </w:r>
      <w:r w:rsidRPr="00B65EC8">
        <w:rPr>
          <w:sz w:val="18"/>
          <w:szCs w:val="18"/>
        </w:rPr>
        <w:t xml:space="preserve">, </w:t>
      </w:r>
      <w:r w:rsidRPr="00B65EC8">
        <w:rPr>
          <w:i/>
          <w:iCs/>
          <w:sz w:val="18"/>
          <w:szCs w:val="18"/>
        </w:rPr>
        <w:t>Annual Report 2020-2021</w:t>
      </w:r>
      <w:r w:rsidRPr="00B65EC8">
        <w:rPr>
          <w:sz w:val="18"/>
          <w:szCs w:val="18"/>
        </w:rPr>
        <w:t>, Volume 1, p 310.</w:t>
      </w:r>
    </w:p>
  </w:footnote>
  <w:footnote w:id="57">
    <w:p w14:paraId="7049CD97" w14:textId="506CCFA4" w:rsidR="003E7841" w:rsidRPr="00B65EC8" w:rsidRDefault="003E7841" w:rsidP="003E7841">
      <w:pPr>
        <w:pStyle w:val="FootnoteText"/>
        <w:rPr>
          <w:sz w:val="18"/>
          <w:szCs w:val="18"/>
        </w:rPr>
      </w:pPr>
      <w:r w:rsidRPr="00B65EC8">
        <w:rPr>
          <w:rStyle w:val="FootnoteReference"/>
          <w:sz w:val="18"/>
          <w:szCs w:val="18"/>
        </w:rPr>
        <w:footnoteRef/>
      </w:r>
      <w:r w:rsidRPr="00B65EC8">
        <w:rPr>
          <w:sz w:val="18"/>
          <w:szCs w:val="18"/>
        </w:rPr>
        <w:t xml:space="preserve"> </w:t>
      </w:r>
      <w:r w:rsidR="00674CB9" w:rsidRPr="00B65EC8">
        <w:rPr>
          <w:sz w:val="18"/>
          <w:szCs w:val="18"/>
        </w:rPr>
        <w:t xml:space="preserve">ACT Auditor-General, </w:t>
      </w:r>
      <w:r w:rsidR="00674CB9" w:rsidRPr="00B65EC8">
        <w:rPr>
          <w:i/>
          <w:iCs/>
          <w:sz w:val="18"/>
          <w:szCs w:val="18"/>
        </w:rPr>
        <w:t>Report No. 6/2020: Transfer of workers’ compensation arrangements from Comcare</w:t>
      </w:r>
      <w:r w:rsidR="00674CB9" w:rsidRPr="00B65EC8">
        <w:rPr>
          <w:sz w:val="18"/>
          <w:szCs w:val="18"/>
        </w:rPr>
        <w:t>, June 2020, p</w:t>
      </w:r>
      <w:r w:rsidR="00B65EC8">
        <w:rPr>
          <w:sz w:val="18"/>
          <w:szCs w:val="18"/>
        </w:rPr>
        <w:t> </w:t>
      </w:r>
      <w:r w:rsidR="00674CB9" w:rsidRPr="00B65EC8">
        <w:rPr>
          <w:sz w:val="18"/>
          <w:szCs w:val="18"/>
        </w:rPr>
        <w:t>82.</w:t>
      </w:r>
    </w:p>
  </w:footnote>
  <w:footnote w:id="58">
    <w:p w14:paraId="5A6107C6" w14:textId="70E16A1D" w:rsidR="003E7841" w:rsidRPr="00B65EC8" w:rsidRDefault="003E7841" w:rsidP="003E7841">
      <w:pPr>
        <w:pStyle w:val="FootnoteText"/>
        <w:rPr>
          <w:sz w:val="18"/>
          <w:szCs w:val="18"/>
        </w:rPr>
      </w:pPr>
      <w:r w:rsidRPr="00B65EC8">
        <w:rPr>
          <w:rStyle w:val="FootnoteReference"/>
          <w:sz w:val="18"/>
          <w:szCs w:val="18"/>
        </w:rPr>
        <w:footnoteRef/>
      </w:r>
      <w:r w:rsidRPr="00B65EC8">
        <w:rPr>
          <w:sz w:val="18"/>
          <w:szCs w:val="18"/>
        </w:rPr>
        <w:t xml:space="preserve"> </w:t>
      </w:r>
      <w:r w:rsidR="00674CB9" w:rsidRPr="00B65EC8">
        <w:rPr>
          <w:sz w:val="18"/>
          <w:szCs w:val="18"/>
        </w:rPr>
        <w:t xml:space="preserve">ACT Auditor-General, </w:t>
      </w:r>
      <w:r w:rsidR="00674CB9" w:rsidRPr="00B65EC8">
        <w:rPr>
          <w:i/>
          <w:iCs/>
          <w:sz w:val="18"/>
          <w:szCs w:val="18"/>
        </w:rPr>
        <w:t>Report No. 6/2020: Transfer of workers’ compensation arrangements from Comcare</w:t>
      </w:r>
      <w:r w:rsidR="00674CB9" w:rsidRPr="00B65EC8">
        <w:rPr>
          <w:sz w:val="18"/>
          <w:szCs w:val="18"/>
        </w:rPr>
        <w:t>, June 2020,</w:t>
      </w:r>
      <w:r w:rsidRPr="00B65EC8">
        <w:rPr>
          <w:sz w:val="18"/>
          <w:szCs w:val="18"/>
        </w:rPr>
        <w:t xml:space="preserve"> p</w:t>
      </w:r>
      <w:r w:rsidR="00B65EC8">
        <w:rPr>
          <w:sz w:val="18"/>
          <w:szCs w:val="18"/>
        </w:rPr>
        <w:t> </w:t>
      </w:r>
      <w:r w:rsidRPr="00B65EC8">
        <w:rPr>
          <w:sz w:val="18"/>
          <w:szCs w:val="18"/>
        </w:rPr>
        <w:t>1.</w:t>
      </w:r>
    </w:p>
  </w:footnote>
  <w:footnote w:id="59">
    <w:p w14:paraId="1D660834" w14:textId="5B524BF5" w:rsidR="003E7841" w:rsidRPr="00B65EC8" w:rsidRDefault="003E7841" w:rsidP="003E7841">
      <w:pPr>
        <w:pStyle w:val="FootnoteText"/>
        <w:rPr>
          <w:sz w:val="18"/>
          <w:szCs w:val="18"/>
        </w:rPr>
      </w:pPr>
      <w:r w:rsidRPr="00B65EC8">
        <w:rPr>
          <w:rStyle w:val="FootnoteReference"/>
          <w:sz w:val="18"/>
          <w:szCs w:val="18"/>
        </w:rPr>
        <w:footnoteRef/>
      </w:r>
      <w:r w:rsidRPr="00B65EC8">
        <w:rPr>
          <w:sz w:val="18"/>
          <w:szCs w:val="18"/>
        </w:rPr>
        <w:t xml:space="preserve"> </w:t>
      </w:r>
      <w:r w:rsidR="00674CB9" w:rsidRPr="00B65EC8">
        <w:rPr>
          <w:sz w:val="18"/>
          <w:szCs w:val="18"/>
        </w:rPr>
        <w:t xml:space="preserve">ACT Auditor-General, </w:t>
      </w:r>
      <w:r w:rsidR="00674CB9" w:rsidRPr="00B65EC8">
        <w:rPr>
          <w:i/>
          <w:iCs/>
          <w:sz w:val="18"/>
          <w:szCs w:val="18"/>
        </w:rPr>
        <w:t>Report No. 6/2020: Transfer of workers’ compensation arrangements from Comcare</w:t>
      </w:r>
      <w:r w:rsidR="00674CB9" w:rsidRPr="00B65EC8">
        <w:rPr>
          <w:sz w:val="18"/>
          <w:szCs w:val="18"/>
        </w:rPr>
        <w:t>, June 2020, p</w:t>
      </w:r>
      <w:r w:rsidR="00B65EC8">
        <w:rPr>
          <w:sz w:val="18"/>
          <w:szCs w:val="18"/>
        </w:rPr>
        <w:t> </w:t>
      </w:r>
      <w:r w:rsidRPr="00B65EC8">
        <w:rPr>
          <w:sz w:val="18"/>
          <w:szCs w:val="18"/>
        </w:rPr>
        <w:t>15.</w:t>
      </w:r>
    </w:p>
  </w:footnote>
  <w:footnote w:id="60">
    <w:p w14:paraId="6E556E4E" w14:textId="6AA757FE" w:rsidR="003E7841" w:rsidRPr="00B65EC8" w:rsidRDefault="003E7841" w:rsidP="003E7841">
      <w:pPr>
        <w:pStyle w:val="FootnoteText"/>
        <w:rPr>
          <w:sz w:val="18"/>
          <w:szCs w:val="18"/>
        </w:rPr>
      </w:pPr>
      <w:r w:rsidRPr="00B65EC8">
        <w:rPr>
          <w:rStyle w:val="FootnoteReference"/>
          <w:sz w:val="18"/>
          <w:szCs w:val="18"/>
        </w:rPr>
        <w:footnoteRef/>
      </w:r>
      <w:r w:rsidRPr="00B65EC8">
        <w:rPr>
          <w:sz w:val="18"/>
          <w:szCs w:val="18"/>
        </w:rPr>
        <w:t xml:space="preserve"> </w:t>
      </w:r>
      <w:r w:rsidR="00674CB9" w:rsidRPr="00B65EC8">
        <w:rPr>
          <w:sz w:val="18"/>
          <w:szCs w:val="18"/>
        </w:rPr>
        <w:t xml:space="preserve">ACT Auditor-General, </w:t>
      </w:r>
      <w:r w:rsidR="00674CB9" w:rsidRPr="00B65EC8">
        <w:rPr>
          <w:i/>
          <w:iCs/>
          <w:sz w:val="18"/>
          <w:szCs w:val="18"/>
        </w:rPr>
        <w:t>Report No. 6/2020: Transfer of workers’ compensation arrangements from Comcare</w:t>
      </w:r>
      <w:r w:rsidR="00674CB9" w:rsidRPr="00B65EC8">
        <w:rPr>
          <w:sz w:val="18"/>
          <w:szCs w:val="18"/>
        </w:rPr>
        <w:t>, June 2020, p</w:t>
      </w:r>
      <w:r w:rsidR="00B65EC8">
        <w:rPr>
          <w:sz w:val="18"/>
          <w:szCs w:val="18"/>
        </w:rPr>
        <w:t> </w:t>
      </w:r>
      <w:r w:rsidR="00674CB9" w:rsidRPr="00B65EC8">
        <w:rPr>
          <w:sz w:val="18"/>
          <w:szCs w:val="18"/>
        </w:rPr>
        <w:t>15</w:t>
      </w:r>
      <w:r w:rsidRPr="00B65EC8">
        <w:rPr>
          <w:sz w:val="18"/>
          <w:szCs w:val="18"/>
        </w:rPr>
        <w:t>.</w:t>
      </w:r>
    </w:p>
  </w:footnote>
  <w:footnote w:id="61">
    <w:p w14:paraId="477ECCCB" w14:textId="303A03CA" w:rsidR="009C51CE" w:rsidRPr="00B65EC8" w:rsidRDefault="009C51CE">
      <w:pPr>
        <w:pStyle w:val="FootnoteText"/>
        <w:rPr>
          <w:sz w:val="18"/>
          <w:szCs w:val="18"/>
        </w:rPr>
      </w:pPr>
      <w:r w:rsidRPr="00B65EC8">
        <w:rPr>
          <w:rStyle w:val="FootnoteReference"/>
          <w:sz w:val="18"/>
          <w:szCs w:val="18"/>
        </w:rPr>
        <w:footnoteRef/>
      </w:r>
      <w:r w:rsidRPr="00B65EC8">
        <w:rPr>
          <w:sz w:val="18"/>
          <w:szCs w:val="18"/>
        </w:rPr>
        <w:t xml:space="preserve"> ACT Auditor-General, </w:t>
      </w:r>
      <w:r w:rsidRPr="00B65EC8">
        <w:rPr>
          <w:i/>
          <w:iCs/>
          <w:sz w:val="18"/>
          <w:szCs w:val="18"/>
        </w:rPr>
        <w:t>Report No. 6/2020: Transfer of workers’ compensation arrangements from Comcare</w:t>
      </w:r>
      <w:r w:rsidRPr="00B65EC8">
        <w:rPr>
          <w:sz w:val="18"/>
          <w:szCs w:val="18"/>
        </w:rPr>
        <w:t>, June 2020, pp</w:t>
      </w:r>
      <w:r w:rsidR="00B65EC8">
        <w:rPr>
          <w:sz w:val="18"/>
          <w:szCs w:val="18"/>
        </w:rPr>
        <w:t> </w:t>
      </w:r>
      <w:r w:rsidRPr="00B65EC8">
        <w:rPr>
          <w:sz w:val="18"/>
          <w:szCs w:val="18"/>
        </w:rPr>
        <w:t>2–8.</w:t>
      </w:r>
    </w:p>
  </w:footnote>
  <w:footnote w:id="62">
    <w:p w14:paraId="4E19B8A0" w14:textId="70774776" w:rsidR="004F2D8B" w:rsidRPr="00B65EC8" w:rsidRDefault="004F2D8B">
      <w:pPr>
        <w:pStyle w:val="FootnoteText"/>
        <w:rPr>
          <w:sz w:val="18"/>
          <w:szCs w:val="18"/>
        </w:rPr>
      </w:pPr>
      <w:r w:rsidRPr="00B65EC8">
        <w:rPr>
          <w:rStyle w:val="FootnoteReference"/>
          <w:sz w:val="18"/>
          <w:szCs w:val="18"/>
        </w:rPr>
        <w:footnoteRef/>
      </w:r>
      <w:r w:rsidRPr="00B65EC8">
        <w:rPr>
          <w:sz w:val="18"/>
          <w:szCs w:val="18"/>
        </w:rPr>
        <w:t xml:space="preserve"> ACT Auditor-General, </w:t>
      </w:r>
      <w:r w:rsidRPr="00B65EC8">
        <w:rPr>
          <w:i/>
          <w:iCs/>
          <w:sz w:val="18"/>
          <w:szCs w:val="18"/>
        </w:rPr>
        <w:t>Report No. 6/2020: Transfer of workers’ compensation arrangements from Comcare</w:t>
      </w:r>
      <w:r w:rsidRPr="00B65EC8">
        <w:rPr>
          <w:sz w:val="18"/>
          <w:szCs w:val="18"/>
        </w:rPr>
        <w:t>, June 2020, p</w:t>
      </w:r>
      <w:r w:rsidR="00B65EC8">
        <w:rPr>
          <w:sz w:val="18"/>
          <w:szCs w:val="18"/>
        </w:rPr>
        <w:t> </w:t>
      </w:r>
      <w:r w:rsidRPr="00B65EC8">
        <w:rPr>
          <w:sz w:val="18"/>
          <w:szCs w:val="18"/>
        </w:rPr>
        <w:t>1.</w:t>
      </w:r>
    </w:p>
  </w:footnote>
  <w:footnote w:id="63">
    <w:p w14:paraId="6E44AFE5" w14:textId="7C72F622" w:rsidR="0023098E" w:rsidRPr="00B65EC8" w:rsidRDefault="0023098E">
      <w:pPr>
        <w:pStyle w:val="FootnoteText"/>
        <w:rPr>
          <w:sz w:val="18"/>
          <w:szCs w:val="18"/>
        </w:rPr>
      </w:pPr>
      <w:r w:rsidRPr="00B65EC8">
        <w:rPr>
          <w:rStyle w:val="FootnoteReference"/>
          <w:sz w:val="18"/>
          <w:szCs w:val="18"/>
        </w:rPr>
        <w:footnoteRef/>
      </w:r>
      <w:r w:rsidRPr="00B65EC8">
        <w:rPr>
          <w:sz w:val="18"/>
          <w:szCs w:val="18"/>
        </w:rPr>
        <w:t xml:space="preserve"> ACT Auditor-General, </w:t>
      </w:r>
      <w:r w:rsidRPr="00B65EC8">
        <w:rPr>
          <w:i/>
          <w:iCs/>
          <w:sz w:val="18"/>
          <w:szCs w:val="18"/>
        </w:rPr>
        <w:t>Report No. 6/2020: Transfer of workers’ compensation arrangements from Comcare</w:t>
      </w:r>
      <w:r w:rsidRPr="00B65EC8">
        <w:rPr>
          <w:sz w:val="18"/>
          <w:szCs w:val="18"/>
        </w:rPr>
        <w:t>, June 2020, pp</w:t>
      </w:r>
      <w:r w:rsidR="00B65EC8">
        <w:rPr>
          <w:sz w:val="18"/>
          <w:szCs w:val="18"/>
        </w:rPr>
        <w:t> </w:t>
      </w:r>
      <w:r w:rsidRPr="00B65EC8">
        <w:rPr>
          <w:sz w:val="18"/>
          <w:szCs w:val="18"/>
        </w:rPr>
        <w:t>1–2.</w:t>
      </w:r>
    </w:p>
  </w:footnote>
  <w:footnote w:id="64">
    <w:p w14:paraId="652B79DB" w14:textId="6872A11D" w:rsidR="0023098E" w:rsidRPr="00B65EC8" w:rsidRDefault="0023098E">
      <w:pPr>
        <w:pStyle w:val="FootnoteText"/>
        <w:rPr>
          <w:sz w:val="18"/>
          <w:szCs w:val="18"/>
        </w:rPr>
      </w:pPr>
      <w:r w:rsidRPr="00B65EC8">
        <w:rPr>
          <w:rStyle w:val="FootnoteReference"/>
          <w:sz w:val="18"/>
          <w:szCs w:val="18"/>
        </w:rPr>
        <w:footnoteRef/>
      </w:r>
      <w:r w:rsidRPr="00B65EC8">
        <w:rPr>
          <w:sz w:val="18"/>
          <w:szCs w:val="18"/>
        </w:rPr>
        <w:t xml:space="preserve"> ACT Auditor-General, </w:t>
      </w:r>
      <w:r w:rsidRPr="00B65EC8">
        <w:rPr>
          <w:i/>
          <w:iCs/>
          <w:sz w:val="18"/>
          <w:szCs w:val="18"/>
        </w:rPr>
        <w:t>Report No. 6/2020: Transfer of workers’ compensation arrangements from Comcare</w:t>
      </w:r>
      <w:r w:rsidRPr="00B65EC8">
        <w:rPr>
          <w:sz w:val="18"/>
          <w:szCs w:val="18"/>
        </w:rPr>
        <w:t>, June 2020, p</w:t>
      </w:r>
      <w:r w:rsidR="00B65EC8">
        <w:rPr>
          <w:sz w:val="18"/>
          <w:szCs w:val="18"/>
        </w:rPr>
        <w:t> </w:t>
      </w:r>
      <w:r w:rsidRPr="00B65EC8">
        <w:rPr>
          <w:sz w:val="18"/>
          <w:szCs w:val="18"/>
        </w:rPr>
        <w:t>2.</w:t>
      </w:r>
    </w:p>
  </w:footnote>
  <w:footnote w:id="65">
    <w:p w14:paraId="25D4761D" w14:textId="77777777" w:rsidR="003E7841" w:rsidRPr="00B65EC8" w:rsidRDefault="003E7841" w:rsidP="003E7841">
      <w:pPr>
        <w:pStyle w:val="FootnoteText"/>
        <w:rPr>
          <w:sz w:val="18"/>
          <w:szCs w:val="18"/>
        </w:rPr>
      </w:pPr>
      <w:r w:rsidRPr="00B65EC8">
        <w:rPr>
          <w:rStyle w:val="FootnoteReference"/>
          <w:sz w:val="18"/>
          <w:szCs w:val="18"/>
        </w:rPr>
        <w:footnoteRef/>
      </w:r>
      <w:r w:rsidRPr="00B65EC8">
        <w:rPr>
          <w:sz w:val="18"/>
          <w:szCs w:val="18"/>
        </w:rPr>
        <w:t xml:space="preserve"> ACT Government, </w:t>
      </w:r>
      <w:r w:rsidRPr="00B65EC8">
        <w:rPr>
          <w:i/>
          <w:iCs/>
          <w:sz w:val="18"/>
          <w:szCs w:val="18"/>
        </w:rPr>
        <w:t>Ministerial Response to the Auditor-General’s Report No 6/2020–Transfer of Workers’ Compensation Arrangements from Comcare</w:t>
      </w:r>
      <w:r w:rsidRPr="00B65EC8">
        <w:rPr>
          <w:sz w:val="18"/>
          <w:szCs w:val="18"/>
        </w:rPr>
        <w:t>, August 2020.</w:t>
      </w:r>
    </w:p>
  </w:footnote>
  <w:footnote w:id="66">
    <w:p w14:paraId="62C3F7CC" w14:textId="20CE75F4" w:rsidR="003E7841" w:rsidRPr="00B65EC8" w:rsidRDefault="003E7841" w:rsidP="003E7841">
      <w:pPr>
        <w:pStyle w:val="FootnoteText"/>
        <w:rPr>
          <w:sz w:val="18"/>
          <w:szCs w:val="18"/>
        </w:rPr>
      </w:pPr>
      <w:r w:rsidRPr="00B65EC8">
        <w:rPr>
          <w:rStyle w:val="FootnoteReference"/>
          <w:sz w:val="18"/>
          <w:szCs w:val="18"/>
        </w:rPr>
        <w:footnoteRef/>
      </w:r>
      <w:r w:rsidRPr="00B65EC8">
        <w:rPr>
          <w:sz w:val="18"/>
          <w:szCs w:val="18"/>
        </w:rPr>
        <w:t xml:space="preserve"> Standing Committee on Public Accounts, </w:t>
      </w:r>
      <w:r w:rsidR="00C562AA" w:rsidRPr="00B65EC8">
        <w:rPr>
          <w:sz w:val="18"/>
          <w:szCs w:val="18"/>
        </w:rPr>
        <w:t xml:space="preserve">Report 4: </w:t>
      </w:r>
      <w:r w:rsidRPr="00B65EC8">
        <w:rPr>
          <w:i/>
          <w:iCs/>
          <w:sz w:val="18"/>
          <w:szCs w:val="18"/>
        </w:rPr>
        <w:t>Inquiry into Auditor-General’s Report No. 6 of 2020: Transfer of Workers’ Compensation Arrangements from Comcare</w:t>
      </w:r>
      <w:r w:rsidRPr="00B65EC8">
        <w:rPr>
          <w:sz w:val="18"/>
          <w:szCs w:val="18"/>
        </w:rPr>
        <w:t xml:space="preserve">, </w:t>
      </w:r>
      <w:r w:rsidR="00C562AA" w:rsidRPr="00B65EC8">
        <w:rPr>
          <w:sz w:val="18"/>
          <w:szCs w:val="18"/>
        </w:rPr>
        <w:t xml:space="preserve">February 2022, </w:t>
      </w:r>
      <w:r w:rsidRPr="00B65EC8">
        <w:rPr>
          <w:sz w:val="18"/>
          <w:szCs w:val="18"/>
        </w:rPr>
        <w:t>p 2.</w:t>
      </w:r>
    </w:p>
  </w:footnote>
  <w:footnote w:id="67">
    <w:p w14:paraId="13062EF8" w14:textId="0C06A517" w:rsidR="003E7841" w:rsidRPr="00B65EC8" w:rsidRDefault="003E7841" w:rsidP="003E7841">
      <w:pPr>
        <w:pStyle w:val="FootnoteText"/>
        <w:rPr>
          <w:sz w:val="18"/>
          <w:szCs w:val="18"/>
        </w:rPr>
      </w:pPr>
      <w:r w:rsidRPr="00B65EC8">
        <w:rPr>
          <w:rStyle w:val="FootnoteReference"/>
          <w:sz w:val="18"/>
          <w:szCs w:val="18"/>
        </w:rPr>
        <w:footnoteRef/>
      </w:r>
      <w:r w:rsidRPr="00B65EC8">
        <w:rPr>
          <w:sz w:val="18"/>
          <w:szCs w:val="18"/>
        </w:rPr>
        <w:t xml:space="preserve"> </w:t>
      </w:r>
      <w:r w:rsidR="00C562AA" w:rsidRPr="00B65EC8">
        <w:rPr>
          <w:sz w:val="18"/>
          <w:szCs w:val="18"/>
        </w:rPr>
        <w:t xml:space="preserve">Standing Committee on Public Accounts, Report 4: </w:t>
      </w:r>
      <w:r w:rsidR="00C562AA" w:rsidRPr="00B65EC8">
        <w:rPr>
          <w:i/>
          <w:iCs/>
          <w:sz w:val="18"/>
          <w:szCs w:val="18"/>
        </w:rPr>
        <w:t>Inquiry into Auditor-General’s Report No. 6 of 2020: Transfer of Workers’ Compensation Arrangements from Comcare</w:t>
      </w:r>
      <w:r w:rsidR="00C562AA" w:rsidRPr="00B65EC8">
        <w:rPr>
          <w:sz w:val="18"/>
          <w:szCs w:val="18"/>
        </w:rPr>
        <w:t>, February 2022, p 2</w:t>
      </w:r>
      <w:r w:rsidRPr="00B65EC8">
        <w:rPr>
          <w:sz w:val="18"/>
          <w:szCs w:val="18"/>
        </w:rPr>
        <w:t>.</w:t>
      </w:r>
    </w:p>
  </w:footnote>
  <w:footnote w:id="68">
    <w:p w14:paraId="6F449C1C" w14:textId="797CE87D" w:rsidR="003E7841" w:rsidRPr="00B65EC8" w:rsidRDefault="003E7841" w:rsidP="003E7841">
      <w:pPr>
        <w:pStyle w:val="FootnoteText"/>
        <w:rPr>
          <w:sz w:val="18"/>
          <w:szCs w:val="18"/>
        </w:rPr>
      </w:pPr>
      <w:r w:rsidRPr="00B65EC8">
        <w:rPr>
          <w:rStyle w:val="FootnoteReference"/>
          <w:sz w:val="18"/>
          <w:szCs w:val="18"/>
        </w:rPr>
        <w:footnoteRef/>
      </w:r>
      <w:r w:rsidRPr="00B65EC8">
        <w:rPr>
          <w:sz w:val="18"/>
          <w:szCs w:val="18"/>
        </w:rPr>
        <w:t xml:space="preserve"> </w:t>
      </w:r>
      <w:r w:rsidR="00C562AA" w:rsidRPr="00B65EC8">
        <w:rPr>
          <w:sz w:val="18"/>
          <w:szCs w:val="18"/>
        </w:rPr>
        <w:t xml:space="preserve">Standing Committee on Public Accounts, Report 4: </w:t>
      </w:r>
      <w:r w:rsidR="00C562AA" w:rsidRPr="00B65EC8">
        <w:rPr>
          <w:i/>
          <w:iCs/>
          <w:sz w:val="18"/>
          <w:szCs w:val="18"/>
        </w:rPr>
        <w:t>Inquiry into Auditor-General’s Report No. 6 of 2020: Transfer of Workers’ Compensation Arrangements from Comcare</w:t>
      </w:r>
      <w:r w:rsidR="00C562AA" w:rsidRPr="00B65EC8">
        <w:rPr>
          <w:sz w:val="18"/>
          <w:szCs w:val="18"/>
        </w:rPr>
        <w:t xml:space="preserve">, February 2022, p </w:t>
      </w:r>
      <w:r w:rsidR="004E46A9" w:rsidRPr="00B65EC8">
        <w:rPr>
          <w:sz w:val="18"/>
          <w:szCs w:val="18"/>
        </w:rPr>
        <w:t>6</w:t>
      </w:r>
      <w:r w:rsidRPr="00B65EC8">
        <w:rPr>
          <w:sz w:val="18"/>
          <w:szCs w:val="18"/>
        </w:rPr>
        <w:t>.</w:t>
      </w:r>
    </w:p>
  </w:footnote>
  <w:footnote w:id="69">
    <w:p w14:paraId="21E465EF" w14:textId="6CDF09C7" w:rsidR="007B477A" w:rsidRPr="00B65EC8" w:rsidRDefault="007B477A">
      <w:pPr>
        <w:pStyle w:val="FootnoteText"/>
        <w:rPr>
          <w:sz w:val="18"/>
          <w:szCs w:val="18"/>
        </w:rPr>
      </w:pPr>
      <w:r w:rsidRPr="00B65EC8">
        <w:rPr>
          <w:rStyle w:val="FootnoteReference"/>
          <w:sz w:val="18"/>
          <w:szCs w:val="18"/>
        </w:rPr>
        <w:footnoteRef/>
      </w:r>
      <w:r w:rsidRPr="00B65EC8">
        <w:rPr>
          <w:sz w:val="18"/>
          <w:szCs w:val="18"/>
        </w:rPr>
        <w:t xml:space="preserve"> Chief Minister, Treasury and Economic Development Directorate, </w:t>
      </w:r>
      <w:r w:rsidRPr="00B65EC8">
        <w:rPr>
          <w:i/>
          <w:iCs/>
          <w:sz w:val="18"/>
          <w:szCs w:val="18"/>
        </w:rPr>
        <w:t>Annual Report 2021–2022</w:t>
      </w:r>
      <w:r w:rsidRPr="00B65EC8">
        <w:rPr>
          <w:sz w:val="18"/>
          <w:szCs w:val="18"/>
        </w:rPr>
        <w:t>, Volume 2.2, p 192.</w:t>
      </w:r>
    </w:p>
  </w:footnote>
  <w:footnote w:id="70">
    <w:p w14:paraId="071FE492" w14:textId="6CC3867F" w:rsidR="003E7841" w:rsidRPr="00B65EC8" w:rsidRDefault="003E7841" w:rsidP="00470369">
      <w:pPr>
        <w:pStyle w:val="FootnoteText"/>
        <w:rPr>
          <w:sz w:val="18"/>
          <w:szCs w:val="18"/>
        </w:rPr>
      </w:pPr>
      <w:r w:rsidRPr="00B65EC8">
        <w:rPr>
          <w:rStyle w:val="FootnoteReference"/>
          <w:sz w:val="18"/>
          <w:szCs w:val="18"/>
        </w:rPr>
        <w:footnoteRef/>
      </w:r>
      <w:r w:rsidR="00470369" w:rsidRPr="00B65EC8">
        <w:rPr>
          <w:sz w:val="18"/>
          <w:szCs w:val="18"/>
        </w:rPr>
        <w:t xml:space="preserve"> ACT Government, </w:t>
      </w:r>
      <w:r w:rsidR="00470369" w:rsidRPr="00B65EC8">
        <w:rPr>
          <w:i/>
          <w:iCs/>
          <w:sz w:val="18"/>
          <w:szCs w:val="18"/>
        </w:rPr>
        <w:t xml:space="preserve">Response to the Standing Committee on Public Accounts’ Report Number 4 of 2022: Inquiry into the Auditor-General’s Report No. 6 of 2020: Transfer of Workers’ Compensation Arrangements from Comcare, </w:t>
      </w:r>
      <w:r w:rsidR="00470369" w:rsidRPr="00B65EC8">
        <w:rPr>
          <w:sz w:val="18"/>
          <w:szCs w:val="18"/>
        </w:rPr>
        <w:t>24 March 2022, p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C808C" w14:textId="21A345D5" w:rsidR="00390032" w:rsidRDefault="00390032">
    <w:pPr>
      <w:pStyle w:val="Header"/>
    </w:pPr>
    <w:r>
      <w:rPr>
        <w:noProof/>
      </w:rPr>
      <mc:AlternateContent>
        <mc:Choice Requires="wps">
          <w:drawing>
            <wp:anchor distT="0" distB="0" distL="114300" distR="114300" simplePos="0" relativeHeight="251662336" behindDoc="0" locked="0" layoutInCell="0" allowOverlap="1" wp14:anchorId="0FBAD147" wp14:editId="63D7A13E">
              <wp:simplePos x="0" y="0"/>
              <wp:positionH relativeFrom="page">
                <wp:posOffset>0</wp:posOffset>
              </wp:positionH>
              <wp:positionV relativeFrom="page">
                <wp:posOffset>190500</wp:posOffset>
              </wp:positionV>
              <wp:extent cx="7560310" cy="273050"/>
              <wp:effectExtent l="0" t="0" r="0" b="12700"/>
              <wp:wrapNone/>
              <wp:docPr id="3" name="MSIPCM736b4a4ca326a2edf2d4cfdc" descr="{&quot;HashCode&quot;:-142324334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761D9" w14:textId="4E13F6CC" w:rsidR="00390032" w:rsidRPr="00390032" w:rsidRDefault="00390032" w:rsidP="00390032">
                          <w:pPr>
                            <w:spacing w:after="0"/>
                            <w:jc w:val="center"/>
                            <w:rPr>
                              <w:rFonts w:ascii="Calibri" w:hAnsi="Calibri" w:cs="Calibri"/>
                              <w:color w:val="FF0000"/>
                              <w:sz w:val="24"/>
                            </w:rPr>
                          </w:pPr>
                          <w:r w:rsidRPr="00390032">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BAD147" id="_x0000_t202" coordsize="21600,21600" o:spt="202" path="m,l,21600r21600,l21600,xe">
              <v:stroke joinstyle="miter"/>
              <v:path gradientshapeok="t" o:connecttype="rect"/>
            </v:shapetype>
            <v:shape id="MSIPCM736b4a4ca326a2edf2d4cfdc" o:spid="_x0000_s1026" type="#_x0000_t202" alt="{&quot;HashCode&quot;:-1423243343,&quot;Height&quot;:841.0,&quot;Width&quot;:595.0,&quot;Placement&quot;:&quot;Header&quot;,&quot;Index&quot;:&quot;OddAndEven&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fill o:detectmouseclick="t"/>
              <v:textbox inset=",0,,0">
                <w:txbxContent>
                  <w:p w14:paraId="384761D9" w14:textId="4E13F6CC" w:rsidR="00390032" w:rsidRPr="00390032" w:rsidRDefault="00390032" w:rsidP="00390032">
                    <w:pPr>
                      <w:spacing w:after="0"/>
                      <w:jc w:val="center"/>
                      <w:rPr>
                        <w:rFonts w:ascii="Calibri" w:hAnsi="Calibri" w:cs="Calibri"/>
                        <w:color w:val="FF0000"/>
                        <w:sz w:val="24"/>
                      </w:rPr>
                    </w:pPr>
                    <w:r w:rsidRPr="00390032">
                      <w:rPr>
                        <w:rFonts w:ascii="Calibri" w:hAnsi="Calibri" w:cs="Calibri"/>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882F" w14:textId="50C26E2A" w:rsidR="00390032" w:rsidRDefault="00390032">
    <w:pPr>
      <w:pStyle w:val="Header"/>
    </w:pPr>
    <w:r>
      <w:rPr>
        <w:noProof/>
      </w:rPr>
      <mc:AlternateContent>
        <mc:Choice Requires="wps">
          <w:drawing>
            <wp:anchor distT="0" distB="0" distL="114300" distR="114300" simplePos="0" relativeHeight="251660288" behindDoc="0" locked="0" layoutInCell="0" allowOverlap="1" wp14:anchorId="4E091088" wp14:editId="0B78A333">
              <wp:simplePos x="0" y="0"/>
              <wp:positionH relativeFrom="page">
                <wp:posOffset>0</wp:posOffset>
              </wp:positionH>
              <wp:positionV relativeFrom="page">
                <wp:posOffset>190500</wp:posOffset>
              </wp:positionV>
              <wp:extent cx="7560310" cy="273050"/>
              <wp:effectExtent l="0" t="0" r="0" b="12700"/>
              <wp:wrapNone/>
              <wp:docPr id="1" name="MSIPCM7d9349fbbcc403d31f3dc870" descr="{&quot;HashCode&quot;:-142324334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476A78" w14:textId="378A798E" w:rsidR="00390032" w:rsidRPr="00390032" w:rsidRDefault="00390032" w:rsidP="00390032">
                          <w:pPr>
                            <w:spacing w:after="0"/>
                            <w:jc w:val="center"/>
                            <w:rPr>
                              <w:rFonts w:ascii="Calibri" w:hAnsi="Calibri" w:cs="Calibri"/>
                              <w:color w:val="FF0000"/>
                              <w:sz w:val="24"/>
                            </w:rPr>
                          </w:pPr>
                          <w:r w:rsidRPr="00390032">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091088" id="_x0000_t202" coordsize="21600,21600" o:spt="202" path="m,l,21600r21600,l21600,xe">
              <v:stroke joinstyle="miter"/>
              <v:path gradientshapeok="t" o:connecttype="rect"/>
            </v:shapetype>
            <v:shape id="MSIPCM7d9349fbbcc403d31f3dc870" o:spid="_x0000_s1027" type="#_x0000_t202" alt="{&quot;HashCode&quot;:-1423243343,&quot;Height&quot;:841.0,&quot;Width&quot;:595.0,&quot;Placement&quot;:&quot;Header&quot;,&quot;Index&quot;:&quot;Primary&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fill o:detectmouseclick="t"/>
              <v:textbox inset=",0,,0">
                <w:txbxContent>
                  <w:p w14:paraId="45476A78" w14:textId="378A798E" w:rsidR="00390032" w:rsidRPr="00390032" w:rsidRDefault="00390032" w:rsidP="00390032">
                    <w:pPr>
                      <w:spacing w:after="0"/>
                      <w:jc w:val="center"/>
                      <w:rPr>
                        <w:rFonts w:ascii="Calibri" w:hAnsi="Calibri" w:cs="Calibri"/>
                        <w:color w:val="FF0000"/>
                        <w:sz w:val="24"/>
                      </w:rPr>
                    </w:pPr>
                    <w:r w:rsidRPr="00390032">
                      <w:rPr>
                        <w:rFonts w:ascii="Calibri" w:hAnsi="Calibri" w:cs="Calibri"/>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728BDCA" w:rsidR="00836FFE" w:rsidRPr="00C02510" w:rsidRDefault="00390032" w:rsidP="008B350E">
    <w:pPr>
      <w:pStyle w:val="Header"/>
      <w:jc w:val="center"/>
      <w:rPr>
        <w:color w:val="1A234C"/>
      </w:rPr>
    </w:pPr>
    <w:r>
      <w:rPr>
        <w:noProof/>
        <w:color w:val="1A234C"/>
      </w:rPr>
      <mc:AlternateContent>
        <mc:Choice Requires="wps">
          <w:drawing>
            <wp:anchor distT="0" distB="0" distL="114300" distR="114300" simplePos="0" relativeHeight="251661312" behindDoc="0" locked="0" layoutInCell="0" allowOverlap="1" wp14:anchorId="6105B9C2" wp14:editId="2B108C7A">
              <wp:simplePos x="0" y="0"/>
              <wp:positionH relativeFrom="page">
                <wp:posOffset>0</wp:posOffset>
              </wp:positionH>
              <wp:positionV relativeFrom="page">
                <wp:posOffset>190500</wp:posOffset>
              </wp:positionV>
              <wp:extent cx="7560310" cy="273050"/>
              <wp:effectExtent l="0" t="0" r="0" b="12700"/>
              <wp:wrapNone/>
              <wp:docPr id="2" name="MSIPCM7218484b863419738ef7dbda" descr="{&quot;HashCode&quot;:-142324334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8B1C3C" w14:textId="01FA598E" w:rsidR="00390032" w:rsidRPr="00390032" w:rsidRDefault="00390032" w:rsidP="00390032">
                          <w:pPr>
                            <w:spacing w:after="0"/>
                            <w:jc w:val="center"/>
                            <w:rPr>
                              <w:rFonts w:ascii="Calibri" w:hAnsi="Calibri" w:cs="Calibri"/>
                              <w:color w:val="FF0000"/>
                              <w:sz w:val="24"/>
                            </w:rPr>
                          </w:pPr>
                          <w:r w:rsidRPr="00390032">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05B9C2" id="_x0000_t202" coordsize="21600,21600" o:spt="202" path="m,l,21600r21600,l21600,xe">
              <v:stroke joinstyle="miter"/>
              <v:path gradientshapeok="t" o:connecttype="rect"/>
            </v:shapetype>
            <v:shape id="MSIPCM7218484b863419738ef7dbda" o:spid="_x0000_s1028" type="#_x0000_t202" alt="{&quot;HashCode&quot;:-1423243343,&quot;Height&quot;:841.0,&quot;Width&quot;:595.0,&quot;Placement&quot;:&quot;Header&quot;,&quot;Index&quot;:&quot;FirstPage&quot;,&quot;Section&quot;:1,&quot;Top&quot;:0.0,&quot;Left&quot;:0.0}" style="position:absolute;left:0;text-align:left;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fill o:detectmouseclick="t"/>
              <v:textbox inset=",0,,0">
                <w:txbxContent>
                  <w:p w14:paraId="278B1C3C" w14:textId="01FA598E" w:rsidR="00390032" w:rsidRPr="00390032" w:rsidRDefault="00390032" w:rsidP="00390032">
                    <w:pPr>
                      <w:spacing w:after="0"/>
                      <w:jc w:val="center"/>
                      <w:rPr>
                        <w:rFonts w:ascii="Calibri" w:hAnsi="Calibri" w:cs="Calibri"/>
                        <w:color w:val="FF0000"/>
                        <w:sz w:val="24"/>
                      </w:rPr>
                    </w:pPr>
                    <w:r w:rsidRPr="00390032">
                      <w:rPr>
                        <w:rFonts w:ascii="Calibri" w:hAnsi="Calibri" w:cs="Calibri"/>
                        <w:color w:val="FF0000"/>
                        <w:sz w:val="24"/>
                      </w:rPr>
                      <w:t>OFFICIAL</w:t>
                    </w:r>
                  </w:p>
                </w:txbxContent>
              </v:textbox>
              <w10:wrap anchorx="page" anchory="page"/>
            </v:shape>
          </w:pict>
        </mc:Fallback>
      </mc:AlternateContent>
    </w: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4C36518"/>
    <w:multiLevelType w:val="hybridMultilevel"/>
    <w:tmpl w:val="2E8E7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F504F7"/>
    <w:multiLevelType w:val="hybridMultilevel"/>
    <w:tmpl w:val="EF02D12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233308CD"/>
    <w:multiLevelType w:val="hybridMultilevel"/>
    <w:tmpl w:val="455678EE"/>
    <w:lvl w:ilvl="0" w:tplc="ED5CAC1E">
      <w:start w:val="1"/>
      <w:numFmt w:val="bullet"/>
      <w:lvlText w:val=""/>
      <w:lvlJc w:val="left"/>
      <w:pPr>
        <w:ind w:left="720" w:hanging="360"/>
      </w:pPr>
      <w:rPr>
        <w:rFonts w:ascii="Symbol" w:hAnsi="Symbol" w:hint="default"/>
        <w:color w:val="2F5496"/>
      </w:rPr>
    </w:lvl>
    <w:lvl w:ilvl="1" w:tplc="B5ECBA24">
      <w:numFmt w:val="bullet"/>
      <w:lvlText w:val="•"/>
      <w:lvlJc w:val="left"/>
      <w:pPr>
        <w:ind w:left="1935" w:hanging="855"/>
      </w:pPr>
      <w:rPr>
        <w:rFonts w:ascii="Calibri" w:eastAsia="Calibr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3767371B"/>
    <w:multiLevelType w:val="hybridMultilevel"/>
    <w:tmpl w:val="7CA42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957B23"/>
    <w:multiLevelType w:val="hybridMultilevel"/>
    <w:tmpl w:val="8E8E40B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9" w15:restartNumberingAfterBreak="0">
    <w:nsid w:val="3B253FC6"/>
    <w:multiLevelType w:val="hybridMultilevel"/>
    <w:tmpl w:val="B848163A"/>
    <w:lvl w:ilvl="0" w:tplc="0C09001B">
      <w:start w:val="1"/>
      <w:numFmt w:val="lowerRoman"/>
      <w:lvlText w:val="%1."/>
      <w:lvlJc w:val="right"/>
      <w:pPr>
        <w:ind w:left="2291" w:hanging="360"/>
      </w:pPr>
    </w:lvl>
    <w:lvl w:ilvl="1" w:tplc="0C090019" w:tentative="1">
      <w:start w:val="1"/>
      <w:numFmt w:val="lowerLetter"/>
      <w:lvlText w:val="%2."/>
      <w:lvlJc w:val="left"/>
      <w:pPr>
        <w:ind w:left="3011" w:hanging="360"/>
      </w:pPr>
    </w:lvl>
    <w:lvl w:ilvl="2" w:tplc="0C09001B" w:tentative="1">
      <w:start w:val="1"/>
      <w:numFmt w:val="lowerRoman"/>
      <w:lvlText w:val="%3."/>
      <w:lvlJc w:val="right"/>
      <w:pPr>
        <w:ind w:left="3731" w:hanging="180"/>
      </w:pPr>
    </w:lvl>
    <w:lvl w:ilvl="3" w:tplc="0C09000F" w:tentative="1">
      <w:start w:val="1"/>
      <w:numFmt w:val="decimal"/>
      <w:lvlText w:val="%4."/>
      <w:lvlJc w:val="left"/>
      <w:pPr>
        <w:ind w:left="4451" w:hanging="360"/>
      </w:pPr>
    </w:lvl>
    <w:lvl w:ilvl="4" w:tplc="0C090019" w:tentative="1">
      <w:start w:val="1"/>
      <w:numFmt w:val="lowerLetter"/>
      <w:lvlText w:val="%5."/>
      <w:lvlJc w:val="left"/>
      <w:pPr>
        <w:ind w:left="5171" w:hanging="360"/>
      </w:pPr>
    </w:lvl>
    <w:lvl w:ilvl="5" w:tplc="0C09001B" w:tentative="1">
      <w:start w:val="1"/>
      <w:numFmt w:val="lowerRoman"/>
      <w:lvlText w:val="%6."/>
      <w:lvlJc w:val="right"/>
      <w:pPr>
        <w:ind w:left="5891" w:hanging="180"/>
      </w:pPr>
    </w:lvl>
    <w:lvl w:ilvl="6" w:tplc="0C09000F" w:tentative="1">
      <w:start w:val="1"/>
      <w:numFmt w:val="decimal"/>
      <w:lvlText w:val="%7."/>
      <w:lvlJc w:val="left"/>
      <w:pPr>
        <w:ind w:left="6611" w:hanging="360"/>
      </w:pPr>
    </w:lvl>
    <w:lvl w:ilvl="7" w:tplc="0C090019" w:tentative="1">
      <w:start w:val="1"/>
      <w:numFmt w:val="lowerLetter"/>
      <w:lvlText w:val="%8."/>
      <w:lvlJc w:val="left"/>
      <w:pPr>
        <w:ind w:left="7331" w:hanging="360"/>
      </w:pPr>
    </w:lvl>
    <w:lvl w:ilvl="8" w:tplc="0C09001B" w:tentative="1">
      <w:start w:val="1"/>
      <w:numFmt w:val="lowerRoman"/>
      <w:lvlText w:val="%9."/>
      <w:lvlJc w:val="right"/>
      <w:pPr>
        <w:ind w:left="8051" w:hanging="180"/>
      </w:pPr>
    </w:lvl>
  </w:abstractNum>
  <w:abstractNum w:abstractNumId="20" w15:restartNumberingAfterBreak="0">
    <w:nsid w:val="40471271"/>
    <w:multiLevelType w:val="hybridMultilevel"/>
    <w:tmpl w:val="6D10947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842068"/>
    <w:multiLevelType w:val="hybridMultilevel"/>
    <w:tmpl w:val="FB34C7E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569D008C"/>
    <w:multiLevelType w:val="hybridMultilevel"/>
    <w:tmpl w:val="6592F1C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FE44E4"/>
    <w:multiLevelType w:val="hybridMultilevel"/>
    <w:tmpl w:val="25906BF2"/>
    <w:lvl w:ilvl="0" w:tplc="0C090011">
      <w:start w:val="1"/>
      <w:numFmt w:val="decimal"/>
      <w:lvlText w:val="%1)"/>
      <w:lvlJc w:val="left"/>
      <w:pPr>
        <w:ind w:left="720" w:hanging="360"/>
      </w:pPr>
    </w:lvl>
    <w:lvl w:ilvl="1" w:tplc="ACEA0D56">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2E6E52"/>
    <w:multiLevelType w:val="hybridMultilevel"/>
    <w:tmpl w:val="256E4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D17F28"/>
    <w:multiLevelType w:val="multilevel"/>
    <w:tmpl w:val="EAAA1A9A"/>
    <w:lvl w:ilvl="0">
      <w:start w:val="1"/>
      <w:numFmt w:val="bullet"/>
      <w:lvlText w:val=""/>
      <w:lvlJc w:val="left"/>
      <w:pPr>
        <w:ind w:left="851" w:hanging="851"/>
      </w:pPr>
      <w:rPr>
        <w:rFonts w:ascii="Symbol" w:hAnsi="Symbol"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D1314E2"/>
    <w:multiLevelType w:val="hybridMultilevel"/>
    <w:tmpl w:val="EA8474AC"/>
    <w:lvl w:ilvl="0" w:tplc="8800DFAA">
      <w:start w:val="1"/>
      <w:numFmt w:val="bullet"/>
      <w:pStyle w:val="Bodycopybulletlevel1"/>
      <w:lvlText w:val=""/>
      <w:lvlJc w:val="left"/>
      <w:pPr>
        <w:ind w:left="720" w:hanging="360"/>
      </w:pPr>
      <w:rPr>
        <w:rFonts w:ascii="Symbol" w:hAnsi="Symbol" w:hint="default"/>
      </w:rPr>
    </w:lvl>
    <w:lvl w:ilvl="1" w:tplc="4DE6EBD4" w:tentative="1">
      <w:start w:val="1"/>
      <w:numFmt w:val="lowerLetter"/>
      <w:lvlText w:val="%2."/>
      <w:lvlJc w:val="left"/>
      <w:pPr>
        <w:ind w:left="1440" w:hanging="360"/>
      </w:pPr>
    </w:lvl>
    <w:lvl w:ilvl="2" w:tplc="C7967D10" w:tentative="1">
      <w:start w:val="1"/>
      <w:numFmt w:val="lowerRoman"/>
      <w:lvlText w:val="%3."/>
      <w:lvlJc w:val="right"/>
      <w:pPr>
        <w:ind w:left="2160" w:hanging="180"/>
      </w:pPr>
    </w:lvl>
    <w:lvl w:ilvl="3" w:tplc="5F686C3E" w:tentative="1">
      <w:start w:val="1"/>
      <w:numFmt w:val="decimal"/>
      <w:lvlText w:val="%4."/>
      <w:lvlJc w:val="left"/>
      <w:pPr>
        <w:ind w:left="2880" w:hanging="360"/>
      </w:pPr>
    </w:lvl>
    <w:lvl w:ilvl="4" w:tplc="260039F4" w:tentative="1">
      <w:start w:val="1"/>
      <w:numFmt w:val="lowerLetter"/>
      <w:lvlText w:val="%5."/>
      <w:lvlJc w:val="left"/>
      <w:pPr>
        <w:ind w:left="3600" w:hanging="360"/>
      </w:pPr>
    </w:lvl>
    <w:lvl w:ilvl="5" w:tplc="A60EE054" w:tentative="1">
      <w:start w:val="1"/>
      <w:numFmt w:val="lowerRoman"/>
      <w:lvlText w:val="%6."/>
      <w:lvlJc w:val="right"/>
      <w:pPr>
        <w:ind w:left="4320" w:hanging="180"/>
      </w:pPr>
    </w:lvl>
    <w:lvl w:ilvl="6" w:tplc="8B7E0BDA" w:tentative="1">
      <w:start w:val="1"/>
      <w:numFmt w:val="decimal"/>
      <w:lvlText w:val="%7."/>
      <w:lvlJc w:val="left"/>
      <w:pPr>
        <w:ind w:left="5040" w:hanging="360"/>
      </w:pPr>
    </w:lvl>
    <w:lvl w:ilvl="7" w:tplc="FC9EEDE8" w:tentative="1">
      <w:start w:val="1"/>
      <w:numFmt w:val="lowerLetter"/>
      <w:lvlText w:val="%8."/>
      <w:lvlJc w:val="left"/>
      <w:pPr>
        <w:ind w:left="5760" w:hanging="360"/>
      </w:pPr>
    </w:lvl>
    <w:lvl w:ilvl="8" w:tplc="92D2FCD2" w:tentative="1">
      <w:start w:val="1"/>
      <w:numFmt w:val="lowerRoman"/>
      <w:lvlText w:val="%9."/>
      <w:lvlJc w:val="right"/>
      <w:pPr>
        <w:ind w:left="6480" w:hanging="180"/>
      </w:pPr>
    </w:lvl>
  </w:abstractNum>
  <w:num w:numId="1" w16cid:durableId="1719277031">
    <w:abstractNumId w:val="9"/>
  </w:num>
  <w:num w:numId="2" w16cid:durableId="539127758">
    <w:abstractNumId w:val="7"/>
  </w:num>
  <w:num w:numId="3" w16cid:durableId="1208759224">
    <w:abstractNumId w:val="6"/>
  </w:num>
  <w:num w:numId="4" w16cid:durableId="405608942">
    <w:abstractNumId w:val="5"/>
  </w:num>
  <w:num w:numId="5" w16cid:durableId="235555862">
    <w:abstractNumId w:val="4"/>
  </w:num>
  <w:num w:numId="6" w16cid:durableId="1143354803">
    <w:abstractNumId w:val="8"/>
  </w:num>
  <w:num w:numId="7" w16cid:durableId="823207136">
    <w:abstractNumId w:val="3"/>
  </w:num>
  <w:num w:numId="8" w16cid:durableId="1510487288">
    <w:abstractNumId w:val="2"/>
  </w:num>
  <w:num w:numId="9" w16cid:durableId="661470739">
    <w:abstractNumId w:val="1"/>
  </w:num>
  <w:num w:numId="10" w16cid:durableId="1681158970">
    <w:abstractNumId w:val="0"/>
  </w:num>
  <w:num w:numId="11" w16cid:durableId="706837780">
    <w:abstractNumId w:val="21"/>
  </w:num>
  <w:num w:numId="12" w16cid:durableId="301279939">
    <w:abstractNumId w:val="13"/>
  </w:num>
  <w:num w:numId="13" w16cid:durableId="677195816">
    <w:abstractNumId w:val="25"/>
  </w:num>
  <w:num w:numId="14" w16cid:durableId="202940">
    <w:abstractNumId w:val="12"/>
  </w:num>
  <w:num w:numId="15" w16cid:durableId="1702587861">
    <w:abstractNumId w:val="29"/>
  </w:num>
  <w:num w:numId="16" w16cid:durableId="953750810">
    <w:abstractNumId w:val="10"/>
  </w:num>
  <w:num w:numId="17" w16cid:durableId="700470656">
    <w:abstractNumId w:val="16"/>
  </w:num>
  <w:num w:numId="18" w16cid:durableId="2060471528">
    <w:abstractNumId w:val="24"/>
  </w:num>
  <w:num w:numId="19" w16cid:durableId="19022051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40496231">
    <w:abstractNumId w:val="26"/>
  </w:num>
  <w:num w:numId="21" w16cid:durableId="1609464775">
    <w:abstractNumId w:val="30"/>
  </w:num>
  <w:num w:numId="22" w16cid:durableId="103159139">
    <w:abstractNumId w:val="15"/>
  </w:num>
  <w:num w:numId="23" w16cid:durableId="360860559">
    <w:abstractNumId w:val="11"/>
  </w:num>
  <w:num w:numId="24" w16cid:durableId="2024085030">
    <w:abstractNumId w:val="28"/>
  </w:num>
  <w:num w:numId="25" w16cid:durableId="1269314334">
    <w:abstractNumId w:val="10"/>
  </w:num>
  <w:num w:numId="26" w16cid:durableId="18824554">
    <w:abstractNumId w:val="23"/>
  </w:num>
  <w:num w:numId="27" w16cid:durableId="302858084">
    <w:abstractNumId w:val="14"/>
  </w:num>
  <w:num w:numId="28" w16cid:durableId="1516264458">
    <w:abstractNumId w:val="10"/>
  </w:num>
  <w:num w:numId="29" w16cid:durableId="1365715331">
    <w:abstractNumId w:val="18"/>
  </w:num>
  <w:num w:numId="30" w16cid:durableId="918100494">
    <w:abstractNumId w:val="19"/>
  </w:num>
  <w:num w:numId="31" w16cid:durableId="20457925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43255774">
    <w:abstractNumId w:val="17"/>
  </w:num>
  <w:num w:numId="33" w16cid:durableId="1593275787">
    <w:abstractNumId w:val="10"/>
  </w:num>
  <w:num w:numId="34" w16cid:durableId="1782382962">
    <w:abstractNumId w:val="27"/>
  </w:num>
  <w:num w:numId="35" w16cid:durableId="327563088">
    <w:abstractNumId w:val="25"/>
  </w:num>
  <w:num w:numId="36" w16cid:durableId="1908228879">
    <w:abstractNumId w:val="22"/>
  </w:num>
  <w:num w:numId="37" w16cid:durableId="6813255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1C76"/>
    <w:rsid w:val="00003DE1"/>
    <w:rsid w:val="00004B7B"/>
    <w:rsid w:val="00006AB6"/>
    <w:rsid w:val="00006E44"/>
    <w:rsid w:val="00015E38"/>
    <w:rsid w:val="00024F1A"/>
    <w:rsid w:val="000253D8"/>
    <w:rsid w:val="00030FBC"/>
    <w:rsid w:val="00030FFE"/>
    <w:rsid w:val="00032CD0"/>
    <w:rsid w:val="00033F1F"/>
    <w:rsid w:val="00034056"/>
    <w:rsid w:val="00034EA9"/>
    <w:rsid w:val="00036044"/>
    <w:rsid w:val="000458F8"/>
    <w:rsid w:val="00047B2E"/>
    <w:rsid w:val="00047DD3"/>
    <w:rsid w:val="00053402"/>
    <w:rsid w:val="00057A41"/>
    <w:rsid w:val="0006004D"/>
    <w:rsid w:val="00060B5F"/>
    <w:rsid w:val="00064C4E"/>
    <w:rsid w:val="000663A1"/>
    <w:rsid w:val="0006752F"/>
    <w:rsid w:val="00070E76"/>
    <w:rsid w:val="0008012A"/>
    <w:rsid w:val="00085B6D"/>
    <w:rsid w:val="00086651"/>
    <w:rsid w:val="000874EB"/>
    <w:rsid w:val="00087CD6"/>
    <w:rsid w:val="00091629"/>
    <w:rsid w:val="00092EDA"/>
    <w:rsid w:val="00094970"/>
    <w:rsid w:val="000A7D66"/>
    <w:rsid w:val="000B25EC"/>
    <w:rsid w:val="000C1C78"/>
    <w:rsid w:val="000C5A5F"/>
    <w:rsid w:val="000D031E"/>
    <w:rsid w:val="000D71D2"/>
    <w:rsid w:val="000D765F"/>
    <w:rsid w:val="000E08F2"/>
    <w:rsid w:val="000F34C7"/>
    <w:rsid w:val="000F5269"/>
    <w:rsid w:val="000F649B"/>
    <w:rsid w:val="000F7B02"/>
    <w:rsid w:val="0010375C"/>
    <w:rsid w:val="00107A2B"/>
    <w:rsid w:val="00111E1F"/>
    <w:rsid w:val="00123781"/>
    <w:rsid w:val="00130AFF"/>
    <w:rsid w:val="0013770E"/>
    <w:rsid w:val="00141334"/>
    <w:rsid w:val="00146783"/>
    <w:rsid w:val="0014714E"/>
    <w:rsid w:val="001502BE"/>
    <w:rsid w:val="00156E52"/>
    <w:rsid w:val="00161457"/>
    <w:rsid w:val="0017090A"/>
    <w:rsid w:val="00171E59"/>
    <w:rsid w:val="001738A0"/>
    <w:rsid w:val="0018105F"/>
    <w:rsid w:val="001825E5"/>
    <w:rsid w:val="00183786"/>
    <w:rsid w:val="0019545D"/>
    <w:rsid w:val="00196D60"/>
    <w:rsid w:val="001A2EDD"/>
    <w:rsid w:val="001A337A"/>
    <w:rsid w:val="001B13A0"/>
    <w:rsid w:val="001B2622"/>
    <w:rsid w:val="001B3C02"/>
    <w:rsid w:val="001C024B"/>
    <w:rsid w:val="001C147D"/>
    <w:rsid w:val="001C7708"/>
    <w:rsid w:val="001D0331"/>
    <w:rsid w:val="001D10CD"/>
    <w:rsid w:val="001D22FC"/>
    <w:rsid w:val="001D5D52"/>
    <w:rsid w:val="001D6C1C"/>
    <w:rsid w:val="001E1030"/>
    <w:rsid w:val="001E2104"/>
    <w:rsid w:val="001E5E20"/>
    <w:rsid w:val="001E5F4A"/>
    <w:rsid w:val="001E6568"/>
    <w:rsid w:val="001E7A02"/>
    <w:rsid w:val="001F19BC"/>
    <w:rsid w:val="001F30D0"/>
    <w:rsid w:val="001F34BB"/>
    <w:rsid w:val="001F457E"/>
    <w:rsid w:val="001F679B"/>
    <w:rsid w:val="0020271D"/>
    <w:rsid w:val="00205761"/>
    <w:rsid w:val="00207810"/>
    <w:rsid w:val="002101BE"/>
    <w:rsid w:val="002119B6"/>
    <w:rsid w:val="00216BB7"/>
    <w:rsid w:val="00220E70"/>
    <w:rsid w:val="00223C11"/>
    <w:rsid w:val="002256F9"/>
    <w:rsid w:val="00226D7C"/>
    <w:rsid w:val="0023098E"/>
    <w:rsid w:val="002415B7"/>
    <w:rsid w:val="00254310"/>
    <w:rsid w:val="002569FB"/>
    <w:rsid w:val="00263437"/>
    <w:rsid w:val="00264C46"/>
    <w:rsid w:val="00265B75"/>
    <w:rsid w:val="00270B2B"/>
    <w:rsid w:val="002720B3"/>
    <w:rsid w:val="002725B9"/>
    <w:rsid w:val="00273180"/>
    <w:rsid w:val="00280B3E"/>
    <w:rsid w:val="00281E2D"/>
    <w:rsid w:val="002840BA"/>
    <w:rsid w:val="00290340"/>
    <w:rsid w:val="002935A7"/>
    <w:rsid w:val="002A26B1"/>
    <w:rsid w:val="002A33D1"/>
    <w:rsid w:val="002B49BA"/>
    <w:rsid w:val="002D413A"/>
    <w:rsid w:val="002E0C66"/>
    <w:rsid w:val="002E3918"/>
    <w:rsid w:val="002E6A7A"/>
    <w:rsid w:val="002F1E82"/>
    <w:rsid w:val="002F2A12"/>
    <w:rsid w:val="002F3FFF"/>
    <w:rsid w:val="0030263E"/>
    <w:rsid w:val="00303C81"/>
    <w:rsid w:val="00307131"/>
    <w:rsid w:val="0031241B"/>
    <w:rsid w:val="00317613"/>
    <w:rsid w:val="00317A49"/>
    <w:rsid w:val="00317E1F"/>
    <w:rsid w:val="00324B1E"/>
    <w:rsid w:val="00325D85"/>
    <w:rsid w:val="00334FF7"/>
    <w:rsid w:val="00337B48"/>
    <w:rsid w:val="00342AC9"/>
    <w:rsid w:val="00344A2B"/>
    <w:rsid w:val="00344B40"/>
    <w:rsid w:val="00344DF6"/>
    <w:rsid w:val="003461FA"/>
    <w:rsid w:val="00354E4C"/>
    <w:rsid w:val="00356957"/>
    <w:rsid w:val="0035702E"/>
    <w:rsid w:val="00361A35"/>
    <w:rsid w:val="00362801"/>
    <w:rsid w:val="0036375B"/>
    <w:rsid w:val="00363B31"/>
    <w:rsid w:val="0036775A"/>
    <w:rsid w:val="003678F7"/>
    <w:rsid w:val="00371EDC"/>
    <w:rsid w:val="003721CC"/>
    <w:rsid w:val="003739F1"/>
    <w:rsid w:val="0038378C"/>
    <w:rsid w:val="003859E2"/>
    <w:rsid w:val="00385D9C"/>
    <w:rsid w:val="00386402"/>
    <w:rsid w:val="003876FA"/>
    <w:rsid w:val="00387938"/>
    <w:rsid w:val="00390032"/>
    <w:rsid w:val="00390252"/>
    <w:rsid w:val="00393286"/>
    <w:rsid w:val="0039623D"/>
    <w:rsid w:val="003970E9"/>
    <w:rsid w:val="003A130C"/>
    <w:rsid w:val="003A2B12"/>
    <w:rsid w:val="003A366F"/>
    <w:rsid w:val="003A50CF"/>
    <w:rsid w:val="003A6681"/>
    <w:rsid w:val="003B57B9"/>
    <w:rsid w:val="003B5FDA"/>
    <w:rsid w:val="003C052B"/>
    <w:rsid w:val="003C2F06"/>
    <w:rsid w:val="003C3CF9"/>
    <w:rsid w:val="003C67FB"/>
    <w:rsid w:val="003C799B"/>
    <w:rsid w:val="003D5CC8"/>
    <w:rsid w:val="003E7841"/>
    <w:rsid w:val="003F0646"/>
    <w:rsid w:val="003F1844"/>
    <w:rsid w:val="003F2CBD"/>
    <w:rsid w:val="00401CDF"/>
    <w:rsid w:val="00402758"/>
    <w:rsid w:val="00407866"/>
    <w:rsid w:val="00407CAD"/>
    <w:rsid w:val="00407D7D"/>
    <w:rsid w:val="0041138F"/>
    <w:rsid w:val="00414E1F"/>
    <w:rsid w:val="00423743"/>
    <w:rsid w:val="004252A5"/>
    <w:rsid w:val="004268E3"/>
    <w:rsid w:val="00427CEF"/>
    <w:rsid w:val="004304AA"/>
    <w:rsid w:val="00431629"/>
    <w:rsid w:val="00431A20"/>
    <w:rsid w:val="0043676A"/>
    <w:rsid w:val="004508F1"/>
    <w:rsid w:val="004518E5"/>
    <w:rsid w:val="00456DCF"/>
    <w:rsid w:val="0045759B"/>
    <w:rsid w:val="004608D6"/>
    <w:rsid w:val="0046189E"/>
    <w:rsid w:val="00462806"/>
    <w:rsid w:val="00462A3E"/>
    <w:rsid w:val="004676E7"/>
    <w:rsid w:val="00470369"/>
    <w:rsid w:val="00471E8B"/>
    <w:rsid w:val="004725E3"/>
    <w:rsid w:val="00473818"/>
    <w:rsid w:val="00475088"/>
    <w:rsid w:val="00483210"/>
    <w:rsid w:val="00485675"/>
    <w:rsid w:val="00494783"/>
    <w:rsid w:val="00496A46"/>
    <w:rsid w:val="004A22D4"/>
    <w:rsid w:val="004A641E"/>
    <w:rsid w:val="004A779A"/>
    <w:rsid w:val="004B49AC"/>
    <w:rsid w:val="004B7433"/>
    <w:rsid w:val="004C2482"/>
    <w:rsid w:val="004C34B6"/>
    <w:rsid w:val="004C5766"/>
    <w:rsid w:val="004C5C54"/>
    <w:rsid w:val="004C6489"/>
    <w:rsid w:val="004D3821"/>
    <w:rsid w:val="004D3E43"/>
    <w:rsid w:val="004E46A9"/>
    <w:rsid w:val="004E4B03"/>
    <w:rsid w:val="004E5149"/>
    <w:rsid w:val="004F2555"/>
    <w:rsid w:val="004F2D8B"/>
    <w:rsid w:val="00501EC4"/>
    <w:rsid w:val="0050338E"/>
    <w:rsid w:val="00503AC9"/>
    <w:rsid w:val="0050493C"/>
    <w:rsid w:val="00510D89"/>
    <w:rsid w:val="00514AFC"/>
    <w:rsid w:val="00514E7A"/>
    <w:rsid w:val="00515CF5"/>
    <w:rsid w:val="0051686C"/>
    <w:rsid w:val="0052095E"/>
    <w:rsid w:val="00520B7D"/>
    <w:rsid w:val="0052125C"/>
    <w:rsid w:val="0052291E"/>
    <w:rsid w:val="0052548F"/>
    <w:rsid w:val="00525ED8"/>
    <w:rsid w:val="0053040D"/>
    <w:rsid w:val="00532275"/>
    <w:rsid w:val="00536327"/>
    <w:rsid w:val="005448C4"/>
    <w:rsid w:val="00545E4A"/>
    <w:rsid w:val="005466A0"/>
    <w:rsid w:val="005473EE"/>
    <w:rsid w:val="00552008"/>
    <w:rsid w:val="00556250"/>
    <w:rsid w:val="0056393F"/>
    <w:rsid w:val="00564E68"/>
    <w:rsid w:val="00566184"/>
    <w:rsid w:val="0056664B"/>
    <w:rsid w:val="0057053A"/>
    <w:rsid w:val="00570E06"/>
    <w:rsid w:val="00573988"/>
    <w:rsid w:val="005771DB"/>
    <w:rsid w:val="005853BA"/>
    <w:rsid w:val="0058747F"/>
    <w:rsid w:val="005924DC"/>
    <w:rsid w:val="005968EC"/>
    <w:rsid w:val="005B3244"/>
    <w:rsid w:val="005B3A73"/>
    <w:rsid w:val="005B4C70"/>
    <w:rsid w:val="005C2221"/>
    <w:rsid w:val="005C2785"/>
    <w:rsid w:val="005D0971"/>
    <w:rsid w:val="005D1067"/>
    <w:rsid w:val="005D2316"/>
    <w:rsid w:val="005D2BD3"/>
    <w:rsid w:val="005D5156"/>
    <w:rsid w:val="005D7CBD"/>
    <w:rsid w:val="005E5B1A"/>
    <w:rsid w:val="005F0963"/>
    <w:rsid w:val="005F2074"/>
    <w:rsid w:val="005F2782"/>
    <w:rsid w:val="005F436A"/>
    <w:rsid w:val="005F5642"/>
    <w:rsid w:val="005F630D"/>
    <w:rsid w:val="006010D8"/>
    <w:rsid w:val="00603039"/>
    <w:rsid w:val="00603367"/>
    <w:rsid w:val="006043AE"/>
    <w:rsid w:val="006049BC"/>
    <w:rsid w:val="00605CF0"/>
    <w:rsid w:val="00606586"/>
    <w:rsid w:val="00606A13"/>
    <w:rsid w:val="0060714D"/>
    <w:rsid w:val="00610DD4"/>
    <w:rsid w:val="0061261B"/>
    <w:rsid w:val="00623507"/>
    <w:rsid w:val="00624316"/>
    <w:rsid w:val="006252D7"/>
    <w:rsid w:val="0063010A"/>
    <w:rsid w:val="006306D7"/>
    <w:rsid w:val="006323F8"/>
    <w:rsid w:val="00632DBA"/>
    <w:rsid w:val="00642A6B"/>
    <w:rsid w:val="006449AC"/>
    <w:rsid w:val="00647E8B"/>
    <w:rsid w:val="00653E61"/>
    <w:rsid w:val="006610B6"/>
    <w:rsid w:val="00663D5D"/>
    <w:rsid w:val="006659F9"/>
    <w:rsid w:val="00667A08"/>
    <w:rsid w:val="006718E3"/>
    <w:rsid w:val="00673650"/>
    <w:rsid w:val="00674B6B"/>
    <w:rsid w:val="00674CB9"/>
    <w:rsid w:val="00676019"/>
    <w:rsid w:val="0068014A"/>
    <w:rsid w:val="00685BAC"/>
    <w:rsid w:val="0068650E"/>
    <w:rsid w:val="00692D5C"/>
    <w:rsid w:val="0069773E"/>
    <w:rsid w:val="006A424F"/>
    <w:rsid w:val="006A4980"/>
    <w:rsid w:val="006A6C19"/>
    <w:rsid w:val="006A76C3"/>
    <w:rsid w:val="006A7A61"/>
    <w:rsid w:val="006B02A4"/>
    <w:rsid w:val="006B28A8"/>
    <w:rsid w:val="006C0596"/>
    <w:rsid w:val="006C194B"/>
    <w:rsid w:val="006D1243"/>
    <w:rsid w:val="006D36B6"/>
    <w:rsid w:val="006E09A1"/>
    <w:rsid w:val="006E1799"/>
    <w:rsid w:val="006E2CEB"/>
    <w:rsid w:val="006E7D70"/>
    <w:rsid w:val="006F04A2"/>
    <w:rsid w:val="006F3BDA"/>
    <w:rsid w:val="006F431A"/>
    <w:rsid w:val="00700063"/>
    <w:rsid w:val="00700A3A"/>
    <w:rsid w:val="00702736"/>
    <w:rsid w:val="00713331"/>
    <w:rsid w:val="00714CF7"/>
    <w:rsid w:val="00715148"/>
    <w:rsid w:val="00721848"/>
    <w:rsid w:val="00724D41"/>
    <w:rsid w:val="007258E0"/>
    <w:rsid w:val="007271E7"/>
    <w:rsid w:val="0073011C"/>
    <w:rsid w:val="007324E6"/>
    <w:rsid w:val="00737214"/>
    <w:rsid w:val="00740C32"/>
    <w:rsid w:val="007457FA"/>
    <w:rsid w:val="0074595F"/>
    <w:rsid w:val="007469DE"/>
    <w:rsid w:val="00751F87"/>
    <w:rsid w:val="0075249E"/>
    <w:rsid w:val="0075280A"/>
    <w:rsid w:val="00754B40"/>
    <w:rsid w:val="0075694E"/>
    <w:rsid w:val="00757C24"/>
    <w:rsid w:val="00760484"/>
    <w:rsid w:val="007605EA"/>
    <w:rsid w:val="00762B90"/>
    <w:rsid w:val="007705BB"/>
    <w:rsid w:val="00771D6C"/>
    <w:rsid w:val="007722B1"/>
    <w:rsid w:val="00773115"/>
    <w:rsid w:val="00777CC8"/>
    <w:rsid w:val="00777EE4"/>
    <w:rsid w:val="00777F74"/>
    <w:rsid w:val="0078151A"/>
    <w:rsid w:val="00783B5C"/>
    <w:rsid w:val="00792238"/>
    <w:rsid w:val="00792CC2"/>
    <w:rsid w:val="00795A99"/>
    <w:rsid w:val="00796512"/>
    <w:rsid w:val="007A6EB9"/>
    <w:rsid w:val="007A7A8B"/>
    <w:rsid w:val="007B477A"/>
    <w:rsid w:val="007C06C4"/>
    <w:rsid w:val="007C1747"/>
    <w:rsid w:val="007C371D"/>
    <w:rsid w:val="007C3F24"/>
    <w:rsid w:val="007C5493"/>
    <w:rsid w:val="007C7077"/>
    <w:rsid w:val="007D4DE5"/>
    <w:rsid w:val="007E3106"/>
    <w:rsid w:val="007E36EF"/>
    <w:rsid w:val="007E3BF3"/>
    <w:rsid w:val="007E7689"/>
    <w:rsid w:val="007F2AF1"/>
    <w:rsid w:val="007F4C62"/>
    <w:rsid w:val="007F63A1"/>
    <w:rsid w:val="00804756"/>
    <w:rsid w:val="00812D71"/>
    <w:rsid w:val="00814EDD"/>
    <w:rsid w:val="00817D76"/>
    <w:rsid w:val="008205F8"/>
    <w:rsid w:val="00836FFE"/>
    <w:rsid w:val="008379EB"/>
    <w:rsid w:val="00837B4A"/>
    <w:rsid w:val="00853293"/>
    <w:rsid w:val="0085374D"/>
    <w:rsid w:val="008556C8"/>
    <w:rsid w:val="008575E1"/>
    <w:rsid w:val="00861DDC"/>
    <w:rsid w:val="00862F3B"/>
    <w:rsid w:val="0087413A"/>
    <w:rsid w:val="0087610F"/>
    <w:rsid w:val="00876238"/>
    <w:rsid w:val="00877A94"/>
    <w:rsid w:val="00885A11"/>
    <w:rsid w:val="008904D1"/>
    <w:rsid w:val="008916CA"/>
    <w:rsid w:val="00892911"/>
    <w:rsid w:val="00895311"/>
    <w:rsid w:val="00896E1B"/>
    <w:rsid w:val="008A6130"/>
    <w:rsid w:val="008A7CBA"/>
    <w:rsid w:val="008B08BC"/>
    <w:rsid w:val="008B0E72"/>
    <w:rsid w:val="008B1D56"/>
    <w:rsid w:val="008B350E"/>
    <w:rsid w:val="008C2531"/>
    <w:rsid w:val="008C3E5F"/>
    <w:rsid w:val="008D4DBA"/>
    <w:rsid w:val="008D72C9"/>
    <w:rsid w:val="008E0DD1"/>
    <w:rsid w:val="008E17A1"/>
    <w:rsid w:val="008E193B"/>
    <w:rsid w:val="008E750D"/>
    <w:rsid w:val="008F18EC"/>
    <w:rsid w:val="008F39C7"/>
    <w:rsid w:val="008F3F1A"/>
    <w:rsid w:val="008F4C74"/>
    <w:rsid w:val="008F6CFA"/>
    <w:rsid w:val="0090080B"/>
    <w:rsid w:val="00911F9A"/>
    <w:rsid w:val="009128FC"/>
    <w:rsid w:val="00913072"/>
    <w:rsid w:val="009158A0"/>
    <w:rsid w:val="009163AB"/>
    <w:rsid w:val="00916D83"/>
    <w:rsid w:val="00917819"/>
    <w:rsid w:val="00917B49"/>
    <w:rsid w:val="00922BE6"/>
    <w:rsid w:val="00927627"/>
    <w:rsid w:val="009276CD"/>
    <w:rsid w:val="0093011C"/>
    <w:rsid w:val="009420D4"/>
    <w:rsid w:val="0094400E"/>
    <w:rsid w:val="00944E96"/>
    <w:rsid w:val="00954F80"/>
    <w:rsid w:val="00955F94"/>
    <w:rsid w:val="0095697B"/>
    <w:rsid w:val="00957465"/>
    <w:rsid w:val="00962900"/>
    <w:rsid w:val="0096305F"/>
    <w:rsid w:val="00965EA3"/>
    <w:rsid w:val="009661FD"/>
    <w:rsid w:val="00967223"/>
    <w:rsid w:val="00972BF0"/>
    <w:rsid w:val="00975001"/>
    <w:rsid w:val="009757D3"/>
    <w:rsid w:val="00976637"/>
    <w:rsid w:val="00977607"/>
    <w:rsid w:val="00980502"/>
    <w:rsid w:val="00983BE3"/>
    <w:rsid w:val="0098571A"/>
    <w:rsid w:val="00987745"/>
    <w:rsid w:val="0099137D"/>
    <w:rsid w:val="009919F3"/>
    <w:rsid w:val="009A1E68"/>
    <w:rsid w:val="009A2B51"/>
    <w:rsid w:val="009A2EDC"/>
    <w:rsid w:val="009A3E34"/>
    <w:rsid w:val="009B4EFF"/>
    <w:rsid w:val="009C211E"/>
    <w:rsid w:val="009C2830"/>
    <w:rsid w:val="009C2F3B"/>
    <w:rsid w:val="009C38AF"/>
    <w:rsid w:val="009C51CE"/>
    <w:rsid w:val="009D066C"/>
    <w:rsid w:val="009D0833"/>
    <w:rsid w:val="009D6B2B"/>
    <w:rsid w:val="009E2D28"/>
    <w:rsid w:val="009E4398"/>
    <w:rsid w:val="009E48EF"/>
    <w:rsid w:val="009F1FF8"/>
    <w:rsid w:val="009F40CC"/>
    <w:rsid w:val="009F5A83"/>
    <w:rsid w:val="00A01410"/>
    <w:rsid w:val="00A0161A"/>
    <w:rsid w:val="00A0178C"/>
    <w:rsid w:val="00A04DF9"/>
    <w:rsid w:val="00A070D4"/>
    <w:rsid w:val="00A11713"/>
    <w:rsid w:val="00A12B4D"/>
    <w:rsid w:val="00A146A0"/>
    <w:rsid w:val="00A170B9"/>
    <w:rsid w:val="00A23A3E"/>
    <w:rsid w:val="00A25EFD"/>
    <w:rsid w:val="00A30F75"/>
    <w:rsid w:val="00A3286B"/>
    <w:rsid w:val="00A3496C"/>
    <w:rsid w:val="00A34CE2"/>
    <w:rsid w:val="00A4093F"/>
    <w:rsid w:val="00A5133B"/>
    <w:rsid w:val="00A547DD"/>
    <w:rsid w:val="00A55CCD"/>
    <w:rsid w:val="00A565C7"/>
    <w:rsid w:val="00A57A1C"/>
    <w:rsid w:val="00A60247"/>
    <w:rsid w:val="00A607BB"/>
    <w:rsid w:val="00A635D5"/>
    <w:rsid w:val="00A67199"/>
    <w:rsid w:val="00A67677"/>
    <w:rsid w:val="00A71EFF"/>
    <w:rsid w:val="00A7241B"/>
    <w:rsid w:val="00A72DDF"/>
    <w:rsid w:val="00A93105"/>
    <w:rsid w:val="00A93759"/>
    <w:rsid w:val="00A9454F"/>
    <w:rsid w:val="00A95009"/>
    <w:rsid w:val="00A96C5E"/>
    <w:rsid w:val="00AA2D30"/>
    <w:rsid w:val="00AA69DB"/>
    <w:rsid w:val="00AA70CB"/>
    <w:rsid w:val="00AA719E"/>
    <w:rsid w:val="00AA7C79"/>
    <w:rsid w:val="00AB1372"/>
    <w:rsid w:val="00AB5911"/>
    <w:rsid w:val="00AB633F"/>
    <w:rsid w:val="00AC2472"/>
    <w:rsid w:val="00AC683D"/>
    <w:rsid w:val="00AD089D"/>
    <w:rsid w:val="00AD0D9B"/>
    <w:rsid w:val="00AD1251"/>
    <w:rsid w:val="00AD58E1"/>
    <w:rsid w:val="00AD6D72"/>
    <w:rsid w:val="00AD7D8F"/>
    <w:rsid w:val="00AE400C"/>
    <w:rsid w:val="00AE4AAD"/>
    <w:rsid w:val="00AE6E38"/>
    <w:rsid w:val="00AF0112"/>
    <w:rsid w:val="00AF1865"/>
    <w:rsid w:val="00AF1BE4"/>
    <w:rsid w:val="00AF2CD3"/>
    <w:rsid w:val="00B0426E"/>
    <w:rsid w:val="00B053AB"/>
    <w:rsid w:val="00B06781"/>
    <w:rsid w:val="00B075E4"/>
    <w:rsid w:val="00B11AF7"/>
    <w:rsid w:val="00B204AB"/>
    <w:rsid w:val="00B219CE"/>
    <w:rsid w:val="00B21A37"/>
    <w:rsid w:val="00B23DD1"/>
    <w:rsid w:val="00B2433C"/>
    <w:rsid w:val="00B24415"/>
    <w:rsid w:val="00B26366"/>
    <w:rsid w:val="00B32C60"/>
    <w:rsid w:val="00B35E8D"/>
    <w:rsid w:val="00B4387D"/>
    <w:rsid w:val="00B43EBB"/>
    <w:rsid w:val="00B5170B"/>
    <w:rsid w:val="00B52A2D"/>
    <w:rsid w:val="00B61AFD"/>
    <w:rsid w:val="00B649AF"/>
    <w:rsid w:val="00B65EC8"/>
    <w:rsid w:val="00B7131B"/>
    <w:rsid w:val="00B7169F"/>
    <w:rsid w:val="00B724B4"/>
    <w:rsid w:val="00B7541C"/>
    <w:rsid w:val="00B81843"/>
    <w:rsid w:val="00B83827"/>
    <w:rsid w:val="00B83F67"/>
    <w:rsid w:val="00B8489E"/>
    <w:rsid w:val="00B92D00"/>
    <w:rsid w:val="00B949D1"/>
    <w:rsid w:val="00B95E7D"/>
    <w:rsid w:val="00B97ED3"/>
    <w:rsid w:val="00BA2A01"/>
    <w:rsid w:val="00BA5057"/>
    <w:rsid w:val="00BA6F17"/>
    <w:rsid w:val="00BB2DBE"/>
    <w:rsid w:val="00BB433D"/>
    <w:rsid w:val="00BB47CB"/>
    <w:rsid w:val="00BC0651"/>
    <w:rsid w:val="00BC0A5B"/>
    <w:rsid w:val="00BC3558"/>
    <w:rsid w:val="00BC35B6"/>
    <w:rsid w:val="00BC48AE"/>
    <w:rsid w:val="00BC5F26"/>
    <w:rsid w:val="00BC60FA"/>
    <w:rsid w:val="00BD3BC5"/>
    <w:rsid w:val="00BE0545"/>
    <w:rsid w:val="00BE0AB2"/>
    <w:rsid w:val="00BE6DED"/>
    <w:rsid w:val="00BF016A"/>
    <w:rsid w:val="00BF4140"/>
    <w:rsid w:val="00BF55A7"/>
    <w:rsid w:val="00C0012B"/>
    <w:rsid w:val="00C02510"/>
    <w:rsid w:val="00C135BC"/>
    <w:rsid w:val="00C16DCB"/>
    <w:rsid w:val="00C17D0F"/>
    <w:rsid w:val="00C20738"/>
    <w:rsid w:val="00C21332"/>
    <w:rsid w:val="00C21E49"/>
    <w:rsid w:val="00C237EB"/>
    <w:rsid w:val="00C26ABD"/>
    <w:rsid w:val="00C32644"/>
    <w:rsid w:val="00C35C2E"/>
    <w:rsid w:val="00C40CF5"/>
    <w:rsid w:val="00C47525"/>
    <w:rsid w:val="00C53744"/>
    <w:rsid w:val="00C53C00"/>
    <w:rsid w:val="00C56240"/>
    <w:rsid w:val="00C562AA"/>
    <w:rsid w:val="00C60731"/>
    <w:rsid w:val="00C6629C"/>
    <w:rsid w:val="00C667ED"/>
    <w:rsid w:val="00C67E1C"/>
    <w:rsid w:val="00C77E84"/>
    <w:rsid w:val="00C81E9E"/>
    <w:rsid w:val="00C8255C"/>
    <w:rsid w:val="00C8358A"/>
    <w:rsid w:val="00C837A0"/>
    <w:rsid w:val="00C856AF"/>
    <w:rsid w:val="00C85A30"/>
    <w:rsid w:val="00C85A79"/>
    <w:rsid w:val="00C914A9"/>
    <w:rsid w:val="00C924CE"/>
    <w:rsid w:val="00C9595E"/>
    <w:rsid w:val="00C95A12"/>
    <w:rsid w:val="00C97725"/>
    <w:rsid w:val="00C977DC"/>
    <w:rsid w:val="00CA62D8"/>
    <w:rsid w:val="00CB6014"/>
    <w:rsid w:val="00CC045F"/>
    <w:rsid w:val="00CC0E1E"/>
    <w:rsid w:val="00CC42BB"/>
    <w:rsid w:val="00CC4BE7"/>
    <w:rsid w:val="00CC4EA8"/>
    <w:rsid w:val="00CC5C38"/>
    <w:rsid w:val="00CC6EC9"/>
    <w:rsid w:val="00CC77C7"/>
    <w:rsid w:val="00CD4134"/>
    <w:rsid w:val="00CD639A"/>
    <w:rsid w:val="00CD73BC"/>
    <w:rsid w:val="00CE1A76"/>
    <w:rsid w:val="00CE4E33"/>
    <w:rsid w:val="00CE78A2"/>
    <w:rsid w:val="00D00D37"/>
    <w:rsid w:val="00D04217"/>
    <w:rsid w:val="00D11529"/>
    <w:rsid w:val="00D12D9B"/>
    <w:rsid w:val="00D13890"/>
    <w:rsid w:val="00D168AC"/>
    <w:rsid w:val="00D16A7B"/>
    <w:rsid w:val="00D23E3A"/>
    <w:rsid w:val="00D23F53"/>
    <w:rsid w:val="00D241D0"/>
    <w:rsid w:val="00D278A6"/>
    <w:rsid w:val="00D350B6"/>
    <w:rsid w:val="00D376C4"/>
    <w:rsid w:val="00D4703E"/>
    <w:rsid w:val="00D550B1"/>
    <w:rsid w:val="00D5786F"/>
    <w:rsid w:val="00D60E93"/>
    <w:rsid w:val="00D613DD"/>
    <w:rsid w:val="00D63CDE"/>
    <w:rsid w:val="00D65C3E"/>
    <w:rsid w:val="00D70D3A"/>
    <w:rsid w:val="00D7159D"/>
    <w:rsid w:val="00D72B38"/>
    <w:rsid w:val="00D75D78"/>
    <w:rsid w:val="00D91F43"/>
    <w:rsid w:val="00D931C0"/>
    <w:rsid w:val="00D97152"/>
    <w:rsid w:val="00DA7289"/>
    <w:rsid w:val="00DB223A"/>
    <w:rsid w:val="00DB3587"/>
    <w:rsid w:val="00DB536D"/>
    <w:rsid w:val="00DC0955"/>
    <w:rsid w:val="00DD0188"/>
    <w:rsid w:val="00DD200E"/>
    <w:rsid w:val="00DD30FC"/>
    <w:rsid w:val="00DD33B6"/>
    <w:rsid w:val="00DD3880"/>
    <w:rsid w:val="00DE56A4"/>
    <w:rsid w:val="00DF0349"/>
    <w:rsid w:val="00DF1805"/>
    <w:rsid w:val="00DF4DD3"/>
    <w:rsid w:val="00DF585F"/>
    <w:rsid w:val="00E01358"/>
    <w:rsid w:val="00E12092"/>
    <w:rsid w:val="00E1230E"/>
    <w:rsid w:val="00E16D73"/>
    <w:rsid w:val="00E20929"/>
    <w:rsid w:val="00E2166B"/>
    <w:rsid w:val="00E22758"/>
    <w:rsid w:val="00E256D6"/>
    <w:rsid w:val="00E26635"/>
    <w:rsid w:val="00E30A25"/>
    <w:rsid w:val="00E30B82"/>
    <w:rsid w:val="00E33E30"/>
    <w:rsid w:val="00E35401"/>
    <w:rsid w:val="00E50193"/>
    <w:rsid w:val="00E505FC"/>
    <w:rsid w:val="00E52021"/>
    <w:rsid w:val="00E67FD3"/>
    <w:rsid w:val="00E84638"/>
    <w:rsid w:val="00E879B9"/>
    <w:rsid w:val="00E91866"/>
    <w:rsid w:val="00E92EF9"/>
    <w:rsid w:val="00E93618"/>
    <w:rsid w:val="00E93E02"/>
    <w:rsid w:val="00E97377"/>
    <w:rsid w:val="00E973F4"/>
    <w:rsid w:val="00EA5E42"/>
    <w:rsid w:val="00EB00DE"/>
    <w:rsid w:val="00EB3179"/>
    <w:rsid w:val="00EB4F9A"/>
    <w:rsid w:val="00EC267F"/>
    <w:rsid w:val="00EC4BDD"/>
    <w:rsid w:val="00ED3181"/>
    <w:rsid w:val="00ED3906"/>
    <w:rsid w:val="00ED44D1"/>
    <w:rsid w:val="00ED6879"/>
    <w:rsid w:val="00ED7F86"/>
    <w:rsid w:val="00EE5AEE"/>
    <w:rsid w:val="00EE5B62"/>
    <w:rsid w:val="00EF3D01"/>
    <w:rsid w:val="00EF5B3E"/>
    <w:rsid w:val="00EF64D1"/>
    <w:rsid w:val="00F002E3"/>
    <w:rsid w:val="00F07A95"/>
    <w:rsid w:val="00F101AB"/>
    <w:rsid w:val="00F131E8"/>
    <w:rsid w:val="00F23C93"/>
    <w:rsid w:val="00F335A9"/>
    <w:rsid w:val="00F33BFA"/>
    <w:rsid w:val="00F3743D"/>
    <w:rsid w:val="00F40385"/>
    <w:rsid w:val="00F42828"/>
    <w:rsid w:val="00F461DB"/>
    <w:rsid w:val="00F4685A"/>
    <w:rsid w:val="00F46D24"/>
    <w:rsid w:val="00F546C1"/>
    <w:rsid w:val="00F62F57"/>
    <w:rsid w:val="00F64542"/>
    <w:rsid w:val="00F7317A"/>
    <w:rsid w:val="00F746ED"/>
    <w:rsid w:val="00F7656C"/>
    <w:rsid w:val="00F82C63"/>
    <w:rsid w:val="00F83672"/>
    <w:rsid w:val="00F84207"/>
    <w:rsid w:val="00F867C0"/>
    <w:rsid w:val="00F873F4"/>
    <w:rsid w:val="00F9280D"/>
    <w:rsid w:val="00F93F81"/>
    <w:rsid w:val="00F942C3"/>
    <w:rsid w:val="00F94D12"/>
    <w:rsid w:val="00FA14BF"/>
    <w:rsid w:val="00FA3C17"/>
    <w:rsid w:val="00FB5FB8"/>
    <w:rsid w:val="00FC0BBD"/>
    <w:rsid w:val="00FC2351"/>
    <w:rsid w:val="00FD2860"/>
    <w:rsid w:val="00FD4539"/>
    <w:rsid w:val="00FE156D"/>
    <w:rsid w:val="00FE1F57"/>
    <w:rsid w:val="00FE2D5D"/>
    <w:rsid w:val="00FE6D88"/>
    <w:rsid w:val="00FF173A"/>
    <w:rsid w:val="00FF2043"/>
    <w:rsid w:val="00FF22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496A46"/>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496A46"/>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C53744"/>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C53744"/>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0B25EC"/>
    <w:pPr>
      <w:pageBreakBefore/>
      <w:numPr>
        <w:numId w:val="0"/>
      </w:numPr>
    </w:pPr>
  </w:style>
  <w:style w:type="character" w:customStyle="1" w:styleId="Heading1nonumberChar">
    <w:name w:val="Heading 1 (no number) Char"/>
    <w:basedOn w:val="Heading1Char"/>
    <w:link w:val="Heading1nonumber"/>
    <w:rsid w:val="000B25EC"/>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styleId="FollowedHyperlink">
    <w:name w:val="FollowedHyperlink"/>
    <w:basedOn w:val="DefaultParagraphFont"/>
    <w:uiPriority w:val="99"/>
    <w:semiHidden/>
    <w:unhideWhenUsed/>
    <w:rsid w:val="009E48EF"/>
    <w:rPr>
      <w:color w:val="954F72" w:themeColor="followedHyperlink"/>
      <w:u w:val="single"/>
    </w:rPr>
  </w:style>
  <w:style w:type="paragraph" w:customStyle="1" w:styleId="Bodycopybulletlevel1">
    <w:name w:val="Body copy bullet level 1"/>
    <w:qFormat/>
    <w:rsid w:val="00BB2DBE"/>
    <w:pPr>
      <w:keepNext/>
      <w:widowControl w:val="0"/>
      <w:numPr>
        <w:numId w:val="21"/>
      </w:numPr>
      <w:spacing w:beforeLines="120" w:afterLines="120" w:after="0" w:line="200" w:lineRule="exact"/>
      <w:ind w:left="1418" w:hanging="567"/>
    </w:pPr>
    <w:rPr>
      <w:rFonts w:cstheme="minorHAnsi"/>
      <w:color w:val="000000"/>
      <w:spacing w:val="-3"/>
      <w:szCs w:val="20"/>
      <w:lang w:eastAsia="en-AU"/>
    </w:rPr>
  </w:style>
  <w:style w:type="paragraph" w:styleId="Revision">
    <w:name w:val="Revision"/>
    <w:hidden/>
    <w:uiPriority w:val="99"/>
    <w:semiHidden/>
    <w:rsid w:val="00DD200E"/>
    <w:pPr>
      <w:spacing w:after="0" w:line="240" w:lineRule="auto"/>
    </w:pPr>
  </w:style>
  <w:style w:type="paragraph" w:customStyle="1" w:styleId="Default">
    <w:name w:val="Default"/>
    <w:rsid w:val="000F7B02"/>
    <w:pPr>
      <w:autoSpaceDE w:val="0"/>
      <w:autoSpaceDN w:val="0"/>
      <w:adjustRightInd w:val="0"/>
      <w:spacing w:after="0" w:line="240" w:lineRule="auto"/>
    </w:pPr>
    <w:rPr>
      <w:rFonts w:ascii="Calibri" w:hAnsi="Calibri" w:cs="Calibri"/>
      <w:color w:val="000000"/>
      <w:sz w:val="24"/>
      <w:szCs w:val="24"/>
    </w:rPr>
  </w:style>
  <w:style w:type="paragraph" w:customStyle="1" w:styleId="DPSNoticeIndent3">
    <w:name w:val="DPSNoticeIndent3"/>
    <w:rsid w:val="00957465"/>
    <w:pPr>
      <w:spacing w:before="60" w:after="60" w:line="240" w:lineRule="auto"/>
      <w:ind w:left="2835" w:hanging="567"/>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9301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011C"/>
    <w:rPr>
      <w:sz w:val="20"/>
      <w:szCs w:val="20"/>
    </w:rPr>
  </w:style>
  <w:style w:type="character" w:styleId="EndnoteReference">
    <w:name w:val="endnote reference"/>
    <w:basedOn w:val="DefaultParagraphFont"/>
    <w:uiPriority w:val="99"/>
    <w:semiHidden/>
    <w:unhideWhenUsed/>
    <w:rsid w:val="0093011C"/>
    <w:rPr>
      <w:vertAlign w:val="superscript"/>
    </w:rPr>
  </w:style>
  <w:style w:type="paragraph" w:styleId="IntenseQuote">
    <w:name w:val="Intense Quote"/>
    <w:basedOn w:val="Normal"/>
    <w:next w:val="Normal"/>
    <w:link w:val="IntenseQuoteChar"/>
    <w:uiPriority w:val="30"/>
    <w:rsid w:val="00954F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54F80"/>
    <w:rPr>
      <w:i/>
      <w:iCs/>
      <w:color w:val="4472C4" w:themeColor="accent1"/>
    </w:rPr>
  </w:style>
  <w:style w:type="paragraph" w:customStyle="1" w:styleId="Bodycopy">
    <w:name w:val="Body copy"/>
    <w:qFormat/>
    <w:rsid w:val="007E36EF"/>
    <w:pPr>
      <w:keepNext/>
      <w:widowControl w:val="0"/>
      <w:spacing w:before="200" w:after="200" w:line="300" w:lineRule="exact"/>
    </w:pPr>
    <w:rPr>
      <w:rFonts w:cstheme="minorHAnsi"/>
      <w:color w:val="000000"/>
      <w:spacing w:val="-3"/>
      <w:szCs w:val="20"/>
      <w:lang w:eastAsia="en-AU"/>
    </w:rPr>
  </w:style>
  <w:style w:type="paragraph" w:styleId="ListContinue">
    <w:name w:val="List Continue"/>
    <w:basedOn w:val="Normal"/>
    <w:uiPriority w:val="99"/>
    <w:unhideWhenUsed/>
    <w:rsid w:val="0052125C"/>
    <w:pPr>
      <w:spacing w:after="120"/>
      <w:ind w:left="283"/>
      <w:contextualSpacing/>
    </w:pPr>
  </w:style>
  <w:style w:type="character" w:customStyle="1" w:styleId="cf01">
    <w:name w:val="cf01"/>
    <w:basedOn w:val="DefaultParagraphFont"/>
    <w:rsid w:val="00DF180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97111">
      <w:bodyDiv w:val="1"/>
      <w:marLeft w:val="0"/>
      <w:marRight w:val="0"/>
      <w:marTop w:val="0"/>
      <w:marBottom w:val="0"/>
      <w:divBdr>
        <w:top w:val="none" w:sz="0" w:space="0" w:color="auto"/>
        <w:left w:val="none" w:sz="0" w:space="0" w:color="auto"/>
        <w:bottom w:val="none" w:sz="0" w:space="0" w:color="auto"/>
        <w:right w:val="none" w:sz="0" w:space="0" w:color="auto"/>
      </w:divBdr>
    </w:div>
    <w:div w:id="387801546">
      <w:bodyDiv w:val="1"/>
      <w:marLeft w:val="0"/>
      <w:marRight w:val="0"/>
      <w:marTop w:val="0"/>
      <w:marBottom w:val="0"/>
      <w:divBdr>
        <w:top w:val="none" w:sz="0" w:space="0" w:color="auto"/>
        <w:left w:val="none" w:sz="0" w:space="0" w:color="auto"/>
        <w:bottom w:val="none" w:sz="0" w:space="0" w:color="auto"/>
        <w:right w:val="none" w:sz="0" w:space="0" w:color="auto"/>
      </w:divBdr>
    </w:div>
    <w:div w:id="1053962485">
      <w:bodyDiv w:val="1"/>
      <w:marLeft w:val="0"/>
      <w:marRight w:val="0"/>
      <w:marTop w:val="0"/>
      <w:marBottom w:val="0"/>
      <w:divBdr>
        <w:top w:val="none" w:sz="0" w:space="0" w:color="auto"/>
        <w:left w:val="none" w:sz="0" w:space="0" w:color="auto"/>
        <w:bottom w:val="none" w:sz="0" w:space="0" w:color="auto"/>
        <w:right w:val="none" w:sz="0" w:space="0" w:color="auto"/>
      </w:divBdr>
    </w:div>
    <w:div w:id="1482304700">
      <w:bodyDiv w:val="1"/>
      <w:marLeft w:val="0"/>
      <w:marRight w:val="0"/>
      <w:marTop w:val="0"/>
      <w:marBottom w:val="0"/>
      <w:divBdr>
        <w:top w:val="none" w:sz="0" w:space="0" w:color="auto"/>
        <w:left w:val="none" w:sz="0" w:space="0" w:color="auto"/>
        <w:bottom w:val="none" w:sz="0" w:space="0" w:color="auto"/>
        <w:right w:val="none" w:sz="0" w:space="0" w:color="auto"/>
      </w:divBdr>
    </w:div>
    <w:div w:id="166789823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205731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comcare.gov.au/scheme-legislation/about-comcare-scheme" TargetMode="External"/><Relationship Id="rId2" Type="http://schemas.openxmlformats.org/officeDocument/2006/relationships/hyperlink" Target="https://www.health.gov.au/sites/default/files/2023-08/act-childhood-immunisation-coverage-data-by-sa3.pdf" TargetMode="External"/><Relationship Id="rId1" Type="http://schemas.openxmlformats.org/officeDocument/2006/relationships/hyperlink" Target="https://www.parliament.act.gov.au/parliamentary-business/in-the-chamber/tabled_papers?result_1159321_result_page=19" TargetMode="External"/><Relationship Id="rId4" Type="http://schemas.openxmlformats.org/officeDocument/2006/relationships/hyperlink" Target="https://www.comcare.gov.au/scheme-legislation/about-comcare-schem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8761A"/>
    <w:rsid w:val="001846E8"/>
    <w:rsid w:val="001A5688"/>
    <w:rsid w:val="00253439"/>
    <w:rsid w:val="00291FF1"/>
    <w:rsid w:val="00327C30"/>
    <w:rsid w:val="00465034"/>
    <w:rsid w:val="0049725C"/>
    <w:rsid w:val="00545E76"/>
    <w:rsid w:val="00561A78"/>
    <w:rsid w:val="00655A1B"/>
    <w:rsid w:val="007530E2"/>
    <w:rsid w:val="00796C57"/>
    <w:rsid w:val="00970294"/>
    <w:rsid w:val="00991F97"/>
    <w:rsid w:val="00AC6DE8"/>
    <w:rsid w:val="00B72DF9"/>
    <w:rsid w:val="00BC5FE9"/>
    <w:rsid w:val="00BE0D49"/>
    <w:rsid w:val="00C353CE"/>
    <w:rsid w:val="00D2483B"/>
    <w:rsid w:val="00D360F2"/>
    <w:rsid w:val="00E6172C"/>
    <w:rsid w:val="00F4175F"/>
    <w:rsid w:val="00F42501"/>
    <w:rsid w:val="00F71009"/>
    <w:rsid w:val="00F76D45"/>
    <w:rsid w:val="00FE12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4688</Words>
  <Characters>27384</Characters>
  <Application>Microsoft Office Word</Application>
  <DocSecurity>0</DocSecurity>
  <Lines>582</Lines>
  <Paragraphs>305</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31767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OReilly, Consul</dc:creator>
  <cp:keywords/>
  <dc:description/>
  <cp:lastModifiedBy>Abbas, Batool</cp:lastModifiedBy>
  <cp:revision>2</cp:revision>
  <cp:lastPrinted>2023-10-16T00:50:00Z</cp:lastPrinted>
  <dcterms:created xsi:type="dcterms:W3CDTF">2023-10-22T22:50:00Z</dcterms:created>
  <dcterms:modified xsi:type="dcterms:W3CDTF">2023-10-22T22:50:00Z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d47f2-2d0a-4515-b8de-e13c18f23c62_Enabled">
    <vt:lpwstr>true</vt:lpwstr>
  </property>
  <property fmtid="{D5CDD505-2E9C-101B-9397-08002B2CF9AE}" pid="3" name="MSIP_Label_690d47f2-2d0a-4515-b8de-e13c18f23c62_SetDate">
    <vt:lpwstr>2023-10-22T22:50:26Z</vt:lpwstr>
  </property>
  <property fmtid="{D5CDD505-2E9C-101B-9397-08002B2CF9AE}" pid="4" name="MSIP_Label_690d47f2-2d0a-4515-b8de-e13c18f23c62_Method">
    <vt:lpwstr>Privileged</vt:lpwstr>
  </property>
  <property fmtid="{D5CDD505-2E9C-101B-9397-08002B2CF9AE}" pid="5" name="MSIP_Label_690d47f2-2d0a-4515-b8de-e13c18f23c62_Name">
    <vt:lpwstr>OFFICIAL</vt:lpwstr>
  </property>
  <property fmtid="{D5CDD505-2E9C-101B-9397-08002B2CF9AE}" pid="6" name="MSIP_Label_690d47f2-2d0a-4515-b8de-e13c18f23c62_SiteId">
    <vt:lpwstr>b46c1908-0334-4236-b978-585ee88e4199</vt:lpwstr>
  </property>
  <property fmtid="{D5CDD505-2E9C-101B-9397-08002B2CF9AE}" pid="7" name="MSIP_Label_690d47f2-2d0a-4515-b8de-e13c18f23c62_ActionId">
    <vt:lpwstr>a7323abc-1b9b-47f5-bbb7-62078e1d93e3</vt:lpwstr>
  </property>
  <property fmtid="{D5CDD505-2E9C-101B-9397-08002B2CF9AE}" pid="8" name="MSIP_Label_690d47f2-2d0a-4515-b8de-e13c18f23c62_ContentBits">
    <vt:lpwstr>1</vt:lpwstr>
  </property>
</Properties>
</file>