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942C"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71B735E3" w14:textId="77777777" w:rsidR="0052691E" w:rsidRDefault="0052691E" w:rsidP="00AD7D31">
      <w:pPr>
        <w:spacing w:after="0" w:line="240" w:lineRule="auto"/>
        <w:rPr>
          <w:sz w:val="24"/>
          <w:szCs w:val="24"/>
        </w:rPr>
      </w:pPr>
    </w:p>
    <w:p w14:paraId="0D101C5F" w14:textId="043B9973" w:rsidR="00811ADD" w:rsidRDefault="00811ADD" w:rsidP="00D537B3">
      <w:pPr>
        <w:tabs>
          <w:tab w:val="left" w:pos="5812"/>
        </w:tabs>
        <w:spacing w:after="0" w:line="240" w:lineRule="auto"/>
        <w:rPr>
          <w:sz w:val="24"/>
          <w:szCs w:val="24"/>
        </w:rPr>
      </w:pPr>
      <w:r>
        <w:rPr>
          <w:sz w:val="24"/>
          <w:szCs w:val="24"/>
        </w:rPr>
        <w:t xml:space="preserve">Mr Peter Cain MLA </w:t>
      </w:r>
      <w:r>
        <w:rPr>
          <w:sz w:val="24"/>
          <w:szCs w:val="24"/>
        </w:rPr>
        <w:tab/>
      </w:r>
      <w:r>
        <w:rPr>
          <w:sz w:val="24"/>
          <w:szCs w:val="24"/>
        </w:rPr>
        <w:tab/>
      </w:r>
      <w:r>
        <w:rPr>
          <w:sz w:val="24"/>
          <w:szCs w:val="24"/>
        </w:rPr>
        <w:tab/>
      </w:r>
      <w:r w:rsidRPr="00A05B96">
        <w:rPr>
          <w:sz w:val="20"/>
          <w:szCs w:val="20"/>
        </w:rPr>
        <w:t>Our ref:</w:t>
      </w:r>
      <w:r w:rsidR="007D2792">
        <w:rPr>
          <w:sz w:val="20"/>
          <w:szCs w:val="20"/>
        </w:rPr>
        <w:t xml:space="preserve"> </w:t>
      </w:r>
      <w:r w:rsidR="00F57A1A">
        <w:rPr>
          <w:sz w:val="20"/>
          <w:szCs w:val="20"/>
        </w:rPr>
        <w:t>LEG:2021/00142/007</w:t>
      </w:r>
    </w:p>
    <w:p w14:paraId="6B4228E8" w14:textId="77777777" w:rsidR="00811ADD" w:rsidRDefault="00811ADD" w:rsidP="00D537B3">
      <w:pPr>
        <w:tabs>
          <w:tab w:val="left" w:pos="5812"/>
        </w:tabs>
        <w:spacing w:after="0" w:line="240" w:lineRule="auto"/>
        <w:rPr>
          <w:sz w:val="24"/>
          <w:szCs w:val="24"/>
        </w:rPr>
      </w:pPr>
      <w:r>
        <w:rPr>
          <w:sz w:val="24"/>
          <w:szCs w:val="24"/>
        </w:rPr>
        <w:t>Chair</w:t>
      </w:r>
    </w:p>
    <w:p w14:paraId="3B3E0725" w14:textId="1503AE3B" w:rsidR="00D537B3" w:rsidRPr="00A05B96" w:rsidRDefault="00811ADD" w:rsidP="00D537B3">
      <w:pPr>
        <w:tabs>
          <w:tab w:val="left" w:pos="5812"/>
        </w:tabs>
        <w:spacing w:after="0" w:line="240" w:lineRule="auto"/>
      </w:pPr>
      <w:r>
        <w:rPr>
          <w:sz w:val="24"/>
          <w:szCs w:val="24"/>
        </w:rPr>
        <w:t>Standing Committee on Justice and Community Safety (Legislative Scrutiny Role)</w:t>
      </w:r>
      <w:r w:rsidR="00D537B3">
        <w:rPr>
          <w:sz w:val="24"/>
          <w:szCs w:val="24"/>
        </w:rPr>
        <w:tab/>
      </w:r>
    </w:p>
    <w:p w14:paraId="60B72735" w14:textId="309457C1" w:rsidR="00D537B3" w:rsidRPr="00A031A0" w:rsidRDefault="004C7928" w:rsidP="00D537B3">
      <w:pPr>
        <w:spacing w:after="0" w:line="240" w:lineRule="auto"/>
        <w:rPr>
          <w:sz w:val="24"/>
          <w:szCs w:val="24"/>
        </w:rPr>
      </w:pPr>
      <w:r>
        <w:rPr>
          <w:sz w:val="24"/>
          <w:szCs w:val="24"/>
        </w:rPr>
        <w:t>ACT Legislative Assembly</w:t>
      </w:r>
    </w:p>
    <w:p w14:paraId="616C4145" w14:textId="2D8A9610" w:rsidR="00AD7D31" w:rsidRDefault="00811ADD" w:rsidP="00AD7D31">
      <w:pPr>
        <w:spacing w:after="0" w:line="240" w:lineRule="auto"/>
        <w:rPr>
          <w:sz w:val="24"/>
          <w:szCs w:val="24"/>
        </w:rPr>
      </w:pPr>
      <w:r>
        <w:rPr>
          <w:sz w:val="24"/>
          <w:szCs w:val="24"/>
        </w:rPr>
        <w:t xml:space="preserve">C/O </w:t>
      </w:r>
      <w:hyperlink r:id="rId11" w:history="1">
        <w:r w:rsidRPr="00811ADD">
          <w:rPr>
            <w:rStyle w:val="Hyperlink"/>
            <w:rFonts w:asciiTheme="minorHAnsi" w:hAnsiTheme="minorHAnsi" w:cstheme="minorHAnsi"/>
            <w:color w:val="1A234C"/>
            <w:sz w:val="24"/>
            <w:szCs w:val="24"/>
          </w:rPr>
          <w:t>scrutiny@parliament.act.gov.au</w:t>
        </w:r>
      </w:hyperlink>
      <w:r w:rsidR="00C662C0">
        <w:rPr>
          <w:rStyle w:val="Hyperlink"/>
          <w:rFonts w:asciiTheme="minorHAnsi" w:hAnsiTheme="minorHAnsi" w:cstheme="minorHAnsi"/>
          <w:color w:val="1A234C"/>
          <w:sz w:val="24"/>
          <w:szCs w:val="24"/>
        </w:rPr>
        <w:t xml:space="preserve"> </w:t>
      </w:r>
    </w:p>
    <w:p w14:paraId="1110DBC5" w14:textId="45F75078" w:rsidR="00B91F55" w:rsidRDefault="00B91F55" w:rsidP="00AD7D31">
      <w:pPr>
        <w:spacing w:after="0" w:line="240" w:lineRule="auto"/>
        <w:rPr>
          <w:sz w:val="24"/>
          <w:szCs w:val="24"/>
        </w:rPr>
      </w:pPr>
    </w:p>
    <w:p w14:paraId="3BD6DEC4" w14:textId="3D99E69A" w:rsidR="004C7928" w:rsidRDefault="004C7928" w:rsidP="00AD7D31">
      <w:pPr>
        <w:spacing w:after="0" w:line="240" w:lineRule="auto"/>
        <w:rPr>
          <w:sz w:val="24"/>
          <w:szCs w:val="24"/>
        </w:rPr>
      </w:pPr>
    </w:p>
    <w:p w14:paraId="54307317" w14:textId="77777777" w:rsidR="00012431" w:rsidRPr="00A031A0" w:rsidRDefault="00012431" w:rsidP="00AD7D31">
      <w:pPr>
        <w:spacing w:after="0" w:line="240" w:lineRule="auto"/>
        <w:rPr>
          <w:sz w:val="24"/>
          <w:szCs w:val="24"/>
        </w:rPr>
      </w:pPr>
    </w:p>
    <w:p w14:paraId="4ECBD707" w14:textId="0A838979" w:rsidR="00AD7D31" w:rsidRPr="00A031A0" w:rsidRDefault="00AD7D31" w:rsidP="00AD7D31">
      <w:pPr>
        <w:spacing w:after="0" w:line="240" w:lineRule="auto"/>
        <w:rPr>
          <w:sz w:val="24"/>
          <w:szCs w:val="24"/>
        </w:rPr>
      </w:pPr>
      <w:r w:rsidRPr="00A031A0">
        <w:rPr>
          <w:sz w:val="24"/>
          <w:szCs w:val="24"/>
          <w:lang w:val="en-US"/>
        </w:rPr>
        <w:t xml:space="preserve">Dear </w:t>
      </w:r>
      <w:r w:rsidR="00811ADD">
        <w:rPr>
          <w:sz w:val="24"/>
          <w:szCs w:val="24"/>
          <w:lang w:val="en-US"/>
        </w:rPr>
        <w:t>Chair</w:t>
      </w:r>
    </w:p>
    <w:p w14:paraId="7D0505CD" w14:textId="61BC2EB1" w:rsidR="00AD7D31" w:rsidRDefault="00AD7D31" w:rsidP="00AD7D31">
      <w:pPr>
        <w:pStyle w:val="Header"/>
        <w:tabs>
          <w:tab w:val="left" w:pos="720"/>
        </w:tabs>
        <w:rPr>
          <w:sz w:val="24"/>
          <w:szCs w:val="24"/>
        </w:rPr>
      </w:pPr>
    </w:p>
    <w:p w14:paraId="0B582760" w14:textId="77777777" w:rsidR="00012431" w:rsidRDefault="00012431" w:rsidP="00AD7D31">
      <w:pPr>
        <w:pStyle w:val="Header"/>
        <w:tabs>
          <w:tab w:val="left" w:pos="720"/>
        </w:tabs>
        <w:rPr>
          <w:sz w:val="24"/>
          <w:szCs w:val="24"/>
        </w:rPr>
      </w:pPr>
    </w:p>
    <w:p w14:paraId="13E9AB61" w14:textId="38ABBD21" w:rsidR="004D47F6" w:rsidRDefault="004D47F6" w:rsidP="004D47F6">
      <w:pPr>
        <w:jc w:val="both"/>
        <w:rPr>
          <w:sz w:val="24"/>
          <w:szCs w:val="24"/>
        </w:rPr>
      </w:pPr>
      <w:r w:rsidRPr="00361BA4">
        <w:rPr>
          <w:sz w:val="24"/>
          <w:szCs w:val="24"/>
        </w:rPr>
        <w:t xml:space="preserve">I write to </w:t>
      </w:r>
      <w:r w:rsidR="00F57A1A">
        <w:rPr>
          <w:sz w:val="24"/>
          <w:szCs w:val="24"/>
        </w:rPr>
        <w:t xml:space="preserve">respond to the Committee’s comments </w:t>
      </w:r>
      <w:r w:rsidR="00012431">
        <w:rPr>
          <w:sz w:val="24"/>
          <w:szCs w:val="24"/>
        </w:rPr>
        <w:t xml:space="preserve">in </w:t>
      </w:r>
      <w:hyperlink r:id="rId12" w:history="1">
        <w:r w:rsidR="00012431" w:rsidRPr="00012431">
          <w:rPr>
            <w:rStyle w:val="Hyperlink"/>
            <w:sz w:val="24"/>
            <w:szCs w:val="24"/>
          </w:rPr>
          <w:t>Scrutiny Report No. 25 of January 2023</w:t>
        </w:r>
      </w:hyperlink>
      <w:r w:rsidR="00012431">
        <w:rPr>
          <w:sz w:val="24"/>
          <w:szCs w:val="24"/>
        </w:rPr>
        <w:t xml:space="preserve"> </w:t>
      </w:r>
      <w:r w:rsidR="00C662C0">
        <w:rPr>
          <w:sz w:val="24"/>
          <w:szCs w:val="24"/>
        </w:rPr>
        <w:br/>
      </w:r>
      <w:r w:rsidR="00012431" w:rsidRPr="00C662C0">
        <w:rPr>
          <w:sz w:val="24"/>
          <w:szCs w:val="24"/>
        </w:rPr>
        <w:t>(the Report)</w:t>
      </w:r>
      <w:r w:rsidR="00012431">
        <w:rPr>
          <w:sz w:val="24"/>
          <w:szCs w:val="24"/>
        </w:rPr>
        <w:t xml:space="preserve"> </w:t>
      </w:r>
      <w:r w:rsidR="00F57A1A">
        <w:rPr>
          <w:sz w:val="24"/>
          <w:szCs w:val="24"/>
        </w:rPr>
        <w:t xml:space="preserve">on the </w:t>
      </w:r>
      <w:r w:rsidR="00F57A1A" w:rsidRPr="004D47F6">
        <w:rPr>
          <w:sz w:val="24"/>
          <w:szCs w:val="24"/>
        </w:rPr>
        <w:t>Residential Tenancies Legislation Amendment Bill 2022</w:t>
      </w:r>
      <w:r w:rsidR="00F57A1A">
        <w:rPr>
          <w:sz w:val="24"/>
          <w:szCs w:val="24"/>
        </w:rPr>
        <w:t xml:space="preserve"> </w:t>
      </w:r>
      <w:r w:rsidR="00F57A1A" w:rsidRPr="00C662C0">
        <w:rPr>
          <w:sz w:val="24"/>
          <w:szCs w:val="24"/>
        </w:rPr>
        <w:t>(the Bill)</w:t>
      </w:r>
      <w:r w:rsidR="00F57A1A">
        <w:rPr>
          <w:sz w:val="24"/>
          <w:szCs w:val="24"/>
        </w:rPr>
        <w:t xml:space="preserve"> </w:t>
      </w:r>
      <w:r w:rsidR="00E862C3">
        <w:rPr>
          <w:sz w:val="24"/>
          <w:szCs w:val="24"/>
        </w:rPr>
        <w:t>(</w:t>
      </w:r>
      <w:r w:rsidR="00E862C3" w:rsidRPr="0061466F">
        <w:rPr>
          <w:sz w:val="24"/>
          <w:szCs w:val="24"/>
          <w:u w:val="single"/>
        </w:rPr>
        <w:t xml:space="preserve">Attachment </w:t>
      </w:r>
      <w:r w:rsidR="0064120F">
        <w:rPr>
          <w:sz w:val="24"/>
          <w:szCs w:val="24"/>
          <w:u w:val="single"/>
        </w:rPr>
        <w:t>A</w:t>
      </w:r>
      <w:r w:rsidR="00E862C3">
        <w:rPr>
          <w:sz w:val="24"/>
          <w:szCs w:val="24"/>
        </w:rPr>
        <w:t xml:space="preserve">) and the Explanatory Statement </w:t>
      </w:r>
      <w:r w:rsidR="00527F3C">
        <w:rPr>
          <w:sz w:val="24"/>
          <w:szCs w:val="24"/>
        </w:rPr>
        <w:t>(</w:t>
      </w:r>
      <w:r w:rsidR="00527F3C" w:rsidRPr="00527F3C">
        <w:rPr>
          <w:b/>
          <w:bCs/>
          <w:sz w:val="24"/>
          <w:szCs w:val="24"/>
        </w:rPr>
        <w:t>ES</w:t>
      </w:r>
      <w:r w:rsidR="00527F3C">
        <w:rPr>
          <w:sz w:val="24"/>
          <w:szCs w:val="24"/>
        </w:rPr>
        <w:t xml:space="preserve">) </w:t>
      </w:r>
      <w:r w:rsidR="00E862C3">
        <w:rPr>
          <w:sz w:val="24"/>
          <w:szCs w:val="24"/>
        </w:rPr>
        <w:t>(</w:t>
      </w:r>
      <w:r w:rsidR="00E862C3" w:rsidRPr="0061466F">
        <w:rPr>
          <w:sz w:val="24"/>
          <w:szCs w:val="24"/>
          <w:u w:val="single"/>
        </w:rPr>
        <w:t xml:space="preserve">Attachment </w:t>
      </w:r>
      <w:r w:rsidR="0064120F">
        <w:rPr>
          <w:sz w:val="24"/>
          <w:szCs w:val="24"/>
          <w:u w:val="single"/>
        </w:rPr>
        <w:t>B</w:t>
      </w:r>
      <w:r w:rsidR="001225FB" w:rsidRPr="001225FB">
        <w:rPr>
          <w:sz w:val="24"/>
          <w:szCs w:val="24"/>
        </w:rPr>
        <w:t>).</w:t>
      </w:r>
      <w:r w:rsidR="00012431">
        <w:rPr>
          <w:sz w:val="24"/>
          <w:szCs w:val="24"/>
        </w:rPr>
        <w:t xml:space="preserve"> </w:t>
      </w:r>
      <w:r w:rsidR="00F57A1A">
        <w:rPr>
          <w:sz w:val="24"/>
          <w:szCs w:val="24"/>
        </w:rPr>
        <w:t xml:space="preserve">I also write to </w:t>
      </w:r>
      <w:r w:rsidRPr="00361BA4">
        <w:rPr>
          <w:sz w:val="24"/>
          <w:szCs w:val="24"/>
        </w:rPr>
        <w:t xml:space="preserve">advise the Committee that I propose to move Government amendments to the </w:t>
      </w:r>
      <w:r w:rsidRPr="004D47F6">
        <w:rPr>
          <w:sz w:val="24"/>
          <w:szCs w:val="24"/>
        </w:rPr>
        <w:t xml:space="preserve">Bill </w:t>
      </w:r>
      <w:r w:rsidRPr="00361BA4">
        <w:rPr>
          <w:sz w:val="24"/>
          <w:szCs w:val="24"/>
        </w:rPr>
        <w:t xml:space="preserve">when </w:t>
      </w:r>
      <w:r w:rsidR="00E862C3">
        <w:rPr>
          <w:sz w:val="24"/>
          <w:szCs w:val="24"/>
        </w:rPr>
        <w:t>it</w:t>
      </w:r>
      <w:r w:rsidRPr="00361BA4">
        <w:rPr>
          <w:sz w:val="24"/>
          <w:szCs w:val="24"/>
        </w:rPr>
        <w:t xml:space="preserve"> is debated. </w:t>
      </w:r>
    </w:p>
    <w:p w14:paraId="368D3159" w14:textId="61B0DC1F" w:rsidR="00E862C3" w:rsidRPr="00BE1BEC" w:rsidRDefault="00E862C3" w:rsidP="004D47F6">
      <w:pPr>
        <w:jc w:val="both"/>
        <w:rPr>
          <w:b/>
          <w:bCs/>
          <w:sz w:val="24"/>
          <w:szCs w:val="24"/>
        </w:rPr>
      </w:pPr>
      <w:r w:rsidRPr="00BE1BEC">
        <w:rPr>
          <w:b/>
          <w:bCs/>
          <w:sz w:val="24"/>
          <w:szCs w:val="24"/>
        </w:rPr>
        <w:t>Committee comments on the Bill</w:t>
      </w:r>
    </w:p>
    <w:p w14:paraId="5E5A7C7A" w14:textId="6AA72F81" w:rsidR="00BE1BEC" w:rsidRPr="00BE1BEC" w:rsidRDefault="00BE1BEC" w:rsidP="004D47F6">
      <w:pPr>
        <w:jc w:val="both"/>
        <w:rPr>
          <w:i/>
          <w:iCs/>
          <w:sz w:val="24"/>
          <w:szCs w:val="24"/>
        </w:rPr>
      </w:pPr>
      <w:r>
        <w:rPr>
          <w:i/>
          <w:iCs/>
          <w:sz w:val="24"/>
          <w:szCs w:val="24"/>
        </w:rPr>
        <w:t xml:space="preserve">Comment on notice periods where a tenant is ineligible for ongoing </w:t>
      </w:r>
      <w:r w:rsidR="001225FB">
        <w:rPr>
          <w:i/>
          <w:iCs/>
          <w:sz w:val="24"/>
          <w:szCs w:val="24"/>
        </w:rPr>
        <w:t xml:space="preserve">housing </w:t>
      </w:r>
      <w:r>
        <w:rPr>
          <w:i/>
          <w:iCs/>
          <w:sz w:val="24"/>
          <w:szCs w:val="24"/>
        </w:rPr>
        <w:t>assistance following temporary housing assistance</w:t>
      </w:r>
    </w:p>
    <w:p w14:paraId="263BF989" w14:textId="6E1BFDA4" w:rsidR="00BE1BEC" w:rsidRDefault="00BE1BEC" w:rsidP="004D47F6">
      <w:pPr>
        <w:jc w:val="both"/>
        <w:rPr>
          <w:sz w:val="24"/>
          <w:szCs w:val="24"/>
        </w:rPr>
      </w:pPr>
      <w:bookmarkStart w:id="0" w:name="_Hlk127867783"/>
      <w:r>
        <w:rPr>
          <w:sz w:val="24"/>
          <w:szCs w:val="24"/>
        </w:rPr>
        <w:t>The Report notes p</w:t>
      </w:r>
      <w:r w:rsidRPr="00BE1BEC">
        <w:rPr>
          <w:sz w:val="24"/>
          <w:szCs w:val="24"/>
        </w:rPr>
        <w:t>roposed section 2.5 of Schedule 2 of the Bill will introduce a temporary housing assistance termination clause</w:t>
      </w:r>
      <w:r>
        <w:rPr>
          <w:sz w:val="24"/>
          <w:szCs w:val="24"/>
        </w:rPr>
        <w:t xml:space="preserve"> which</w:t>
      </w:r>
      <w:r w:rsidRPr="00BE1BEC">
        <w:rPr>
          <w:sz w:val="24"/>
          <w:szCs w:val="24"/>
        </w:rPr>
        <w:t xml:space="preserve"> applies where the Housing Commissioner provides temporary housing assistance for a remaining </w:t>
      </w:r>
      <w:r w:rsidR="00913475">
        <w:rPr>
          <w:sz w:val="24"/>
          <w:szCs w:val="24"/>
        </w:rPr>
        <w:t>resident</w:t>
      </w:r>
      <w:r w:rsidRPr="00BE1BEC">
        <w:rPr>
          <w:sz w:val="24"/>
          <w:szCs w:val="24"/>
        </w:rPr>
        <w:t xml:space="preserve"> after a former tenant dies or moves out</w:t>
      </w:r>
      <w:r w:rsidR="00FD57E6">
        <w:rPr>
          <w:sz w:val="24"/>
          <w:szCs w:val="24"/>
        </w:rPr>
        <w:t>,</w:t>
      </w:r>
      <w:r w:rsidR="001225FB">
        <w:rPr>
          <w:sz w:val="24"/>
          <w:szCs w:val="24"/>
        </w:rPr>
        <w:t xml:space="preserve"> and</w:t>
      </w:r>
      <w:r w:rsidR="00FD57E6">
        <w:rPr>
          <w:sz w:val="24"/>
          <w:szCs w:val="24"/>
        </w:rPr>
        <w:t xml:space="preserve"> then</w:t>
      </w:r>
      <w:r w:rsidR="001225FB">
        <w:rPr>
          <w:sz w:val="24"/>
          <w:szCs w:val="24"/>
        </w:rPr>
        <w:t xml:space="preserve"> finds the </w:t>
      </w:r>
      <w:r w:rsidR="00913475">
        <w:rPr>
          <w:sz w:val="24"/>
          <w:szCs w:val="24"/>
        </w:rPr>
        <w:t>person</w:t>
      </w:r>
      <w:r w:rsidR="001225FB">
        <w:rPr>
          <w:sz w:val="24"/>
          <w:szCs w:val="24"/>
        </w:rPr>
        <w:t xml:space="preserve"> is ineligible for ongoing housing assistance</w:t>
      </w:r>
      <w:r w:rsidRPr="00BE1BEC">
        <w:rPr>
          <w:sz w:val="24"/>
          <w:szCs w:val="24"/>
        </w:rPr>
        <w:t xml:space="preserve">. The </w:t>
      </w:r>
      <w:r>
        <w:rPr>
          <w:sz w:val="24"/>
          <w:szCs w:val="24"/>
        </w:rPr>
        <w:t>Report notes the termination provision provides for different notice periods depending on whether the Housing Commissioner determines the tenant is not eligible for ongoing assistance during the period of temporary housing assistance or after the period has ended (26 weeks and 12 weeks respectively)</w:t>
      </w:r>
      <w:r w:rsidRPr="00BE1BEC">
        <w:rPr>
          <w:sz w:val="24"/>
          <w:szCs w:val="24"/>
        </w:rPr>
        <w:t>.</w:t>
      </w:r>
    </w:p>
    <w:p w14:paraId="5E5CDAC2" w14:textId="77777777" w:rsidR="00C662C0" w:rsidRDefault="00BE1BEC" w:rsidP="004D47F6">
      <w:pPr>
        <w:jc w:val="both"/>
        <w:rPr>
          <w:sz w:val="24"/>
          <w:szCs w:val="24"/>
        </w:rPr>
      </w:pPr>
      <w:r w:rsidRPr="00BE1BEC">
        <w:rPr>
          <w:sz w:val="24"/>
          <w:szCs w:val="24"/>
        </w:rPr>
        <w:t xml:space="preserve">The </w:t>
      </w:r>
      <w:r w:rsidR="00FD57E6" w:rsidRPr="00FD57E6">
        <w:rPr>
          <w:sz w:val="24"/>
          <w:szCs w:val="24"/>
        </w:rPr>
        <w:t xml:space="preserve">Committee noted that where a decision on ongoing eligibility is made before the end of a temporary accommodation period, the tenant will receive 26 weeks’ notice, but when the decision is made after the end of the temporary accommodation period, the tenant will only receive 12 weeks’ notice. </w:t>
      </w:r>
    </w:p>
    <w:p w14:paraId="1608A065" w14:textId="2F83623F" w:rsidR="00913475" w:rsidRDefault="00FD57E6" w:rsidP="004D47F6">
      <w:pPr>
        <w:jc w:val="both"/>
        <w:rPr>
          <w:sz w:val="24"/>
          <w:szCs w:val="24"/>
        </w:rPr>
      </w:pPr>
      <w:r w:rsidRPr="00FD57E6">
        <w:rPr>
          <w:sz w:val="24"/>
          <w:szCs w:val="24"/>
        </w:rPr>
        <w:lastRenderedPageBreak/>
        <w:t xml:space="preserve">Hence, a tenant in the former category will receive more notice than a tenant in the latter category. </w:t>
      </w:r>
      <w:r w:rsidR="00BE1BEC" w:rsidRPr="00BE1BEC">
        <w:rPr>
          <w:sz w:val="24"/>
          <w:szCs w:val="24"/>
        </w:rPr>
        <w:t>The Committee request</w:t>
      </w:r>
      <w:r w:rsidR="00BE1BEC">
        <w:rPr>
          <w:sz w:val="24"/>
          <w:szCs w:val="24"/>
        </w:rPr>
        <w:t>ed</w:t>
      </w:r>
      <w:r w:rsidR="00BE1BEC" w:rsidRPr="00BE1BEC">
        <w:rPr>
          <w:sz w:val="24"/>
          <w:szCs w:val="24"/>
        </w:rPr>
        <w:t xml:space="preserve"> further information on whether it is possible to avoid differential treatment of tenants depending on when a decision is made on their ongoing eligibility, at least when that decision is made within 12 weeks before or after the end of the temporary accommodation period.</w:t>
      </w:r>
    </w:p>
    <w:p w14:paraId="18CAD29E" w14:textId="0FCD0A50" w:rsidR="00A53C5A" w:rsidRDefault="00A53C5A" w:rsidP="004D47F6">
      <w:pPr>
        <w:jc w:val="both"/>
        <w:rPr>
          <w:i/>
          <w:iCs/>
          <w:sz w:val="24"/>
          <w:szCs w:val="24"/>
        </w:rPr>
      </w:pPr>
      <w:r>
        <w:rPr>
          <w:i/>
          <w:iCs/>
          <w:sz w:val="24"/>
          <w:szCs w:val="24"/>
        </w:rPr>
        <w:t>Response to comment</w:t>
      </w:r>
      <w:r w:rsidR="00527F3C">
        <w:rPr>
          <w:i/>
          <w:iCs/>
          <w:sz w:val="24"/>
          <w:szCs w:val="24"/>
        </w:rPr>
        <w:t xml:space="preserve"> notice periods where a tenant is ineligible for ongoing housing assistance following temporary housing assistance</w:t>
      </w:r>
    </w:p>
    <w:p w14:paraId="1AD2C915" w14:textId="77777777" w:rsidR="00FD57E6" w:rsidRPr="00FD57E6" w:rsidRDefault="00FD57E6" w:rsidP="00FD57E6">
      <w:pPr>
        <w:jc w:val="both"/>
        <w:rPr>
          <w:sz w:val="24"/>
          <w:szCs w:val="24"/>
        </w:rPr>
      </w:pPr>
      <w:bookmarkStart w:id="1" w:name="_Hlk127880156"/>
      <w:r w:rsidRPr="00FD57E6">
        <w:rPr>
          <w:sz w:val="24"/>
          <w:szCs w:val="24"/>
        </w:rPr>
        <w:t>It is acknowledged the 26-week and 12-week notice periods associated with the temporary housing assistance period may result in different outcomes for two similarly situated tenants who are found to be ineligible for housing assistance, where one tenant is found ineligible just before the end of the period of temporary housing assistance (who will receive a 26-week NTV) and another tenant who is found ineligible just after the end of a temporary housing assistance period (who will receive a 12-week NTV).  This situation limits the right to equality before the law for the second tenant who will receive the significantly shorter notice period. However, the second shorter notice period is nonetheless considered a reasonable and proportionate limitation on the basis that:</w:t>
      </w:r>
    </w:p>
    <w:p w14:paraId="2378EDC4" w14:textId="7CB6765B" w:rsidR="00FD57E6" w:rsidRDefault="00FD57E6" w:rsidP="00FD57E6">
      <w:pPr>
        <w:pStyle w:val="CS-Paragraphnumbering"/>
        <w:numPr>
          <w:ilvl w:val="0"/>
          <w:numId w:val="4"/>
        </w:numPr>
      </w:pPr>
      <w:r w:rsidRPr="00FD57E6">
        <w:t>The individual will have already been notified (at the outset of the temporary housing assistance period) that their ability to stay in the property is temporary and contingent on them being assessed as eligible for ongoing assistance.</w:t>
      </w:r>
    </w:p>
    <w:p w14:paraId="71464873" w14:textId="77777777" w:rsidR="00FD57E6" w:rsidRPr="00FD57E6" w:rsidRDefault="00FD57E6" w:rsidP="00FD57E6">
      <w:pPr>
        <w:pStyle w:val="CS-Paragraphnumbering"/>
        <w:numPr>
          <w:ilvl w:val="0"/>
          <w:numId w:val="4"/>
        </w:numPr>
      </w:pPr>
      <w:r w:rsidRPr="00FD57E6">
        <w:t>The 12-week NTV provided after the end of housing assistance is additional time following the end of the temporary period of assistance that has already been provided to them.</w:t>
      </w:r>
    </w:p>
    <w:p w14:paraId="30565239" w14:textId="286F9096" w:rsidR="00FD57E6" w:rsidRPr="00FD57E6" w:rsidRDefault="00FD57E6" w:rsidP="00FD57E6">
      <w:pPr>
        <w:pStyle w:val="CS-Paragraphnumbering"/>
        <w:numPr>
          <w:ilvl w:val="0"/>
          <w:numId w:val="4"/>
        </w:numPr>
      </w:pPr>
      <w:r w:rsidRPr="00FD57E6">
        <w:t>The individual was offered the temporary assistance on a compassionate basis outside of the usual allocations process, meaning they received a property allocation ahead of someone in the priority needs category.</w:t>
      </w:r>
      <w:r>
        <w:t xml:space="preserve"> </w:t>
      </w:r>
      <w:r w:rsidRPr="00FD57E6">
        <w:t xml:space="preserve">The shorter notice period therefore allows the Housing Commissioner to regain possession of the property sooner in order to make it available to a person who is eligible and is on the priority waiting list. </w:t>
      </w:r>
    </w:p>
    <w:p w14:paraId="7A9D24A7" w14:textId="70EECD91" w:rsidR="00FD57E6" w:rsidRPr="00FD57E6" w:rsidRDefault="00FD57E6" w:rsidP="00FD57E6">
      <w:pPr>
        <w:pStyle w:val="CS-Paragraphnumbering"/>
        <w:numPr>
          <w:ilvl w:val="0"/>
          <w:numId w:val="4"/>
        </w:numPr>
      </w:pPr>
      <w:r w:rsidRPr="00FD57E6">
        <w:t xml:space="preserve">It is anticipated that, in most cases, a decision as to eligibility will be able to </w:t>
      </w:r>
      <w:r w:rsidR="00F97ABA">
        <w:t xml:space="preserve">be </w:t>
      </w:r>
      <w:r w:rsidRPr="00FD57E6">
        <w:t xml:space="preserve">made during the temporary assistance period, and so the shorter 12 week notice period is likely to be activated in exceptional cases. </w:t>
      </w:r>
    </w:p>
    <w:p w14:paraId="79941399" w14:textId="77777777" w:rsidR="00FD57E6" w:rsidRPr="00FD57E6" w:rsidRDefault="00FD57E6" w:rsidP="00FD57E6">
      <w:pPr>
        <w:pStyle w:val="CS-Paragraphnumbering"/>
        <w:numPr>
          <w:ilvl w:val="0"/>
          <w:numId w:val="4"/>
        </w:numPr>
      </w:pPr>
      <w:r w:rsidRPr="00FD57E6">
        <w:t xml:space="preserve">The shorter notice period is also intended to avoid creating a significant incentive for the tenant to delay the provision of information to support the assessment of their eligibility in order to extend the period of time they can remain in the property. </w:t>
      </w:r>
    </w:p>
    <w:p w14:paraId="1448D86F" w14:textId="77777777" w:rsidR="00FD57E6" w:rsidRDefault="00FD57E6" w:rsidP="00FD57E6">
      <w:pPr>
        <w:jc w:val="both"/>
        <w:rPr>
          <w:sz w:val="24"/>
          <w:szCs w:val="24"/>
        </w:rPr>
      </w:pPr>
      <w:r w:rsidRPr="00FD57E6">
        <w:rPr>
          <w:sz w:val="24"/>
          <w:szCs w:val="24"/>
        </w:rPr>
        <w:t xml:space="preserve">The Government considered the option of providing a 26-week NTV period regardless of whether a decision as to eligibility is made during or after a period of temporary assistance. This option was not adopted as it undermines the purpose of providing temporary assistance, by unduly extending the period in which an ineligible person is able to remain in a public housing property. </w:t>
      </w:r>
    </w:p>
    <w:p w14:paraId="7FD27173" w14:textId="77777777" w:rsidR="00C662C0" w:rsidRDefault="00FD57E6" w:rsidP="004D47F6">
      <w:pPr>
        <w:jc w:val="both"/>
        <w:rPr>
          <w:sz w:val="24"/>
          <w:szCs w:val="24"/>
        </w:rPr>
      </w:pPr>
      <w:r w:rsidRPr="00FD57E6">
        <w:rPr>
          <w:sz w:val="24"/>
          <w:szCs w:val="24"/>
        </w:rPr>
        <w:t xml:space="preserve">The overall imperative of directing limited public housing to persons most in need must be considered. Providing a 26-week NTV following the end of a period of assistance that was only ever intended to be short term in nature has negative impacts on other vulnerable people. </w:t>
      </w:r>
    </w:p>
    <w:p w14:paraId="0EAD128F" w14:textId="2B413672" w:rsidR="00FD57E6" w:rsidRDefault="00FD57E6" w:rsidP="004D47F6">
      <w:pPr>
        <w:jc w:val="both"/>
        <w:rPr>
          <w:sz w:val="24"/>
          <w:szCs w:val="24"/>
        </w:rPr>
      </w:pPr>
      <w:r w:rsidRPr="00FD57E6">
        <w:rPr>
          <w:sz w:val="24"/>
          <w:szCs w:val="24"/>
        </w:rPr>
        <w:lastRenderedPageBreak/>
        <w:t xml:space="preserve">It advantages a person in a breakdown of tenancy situation as compared to a person on the priority needs list awaiting the allocation of a property. Accordingly, allowing for a shorter 12-week NTV period following the end of a temporary assistance period </w:t>
      </w:r>
      <w:r w:rsidR="00620794">
        <w:rPr>
          <w:sz w:val="24"/>
          <w:szCs w:val="24"/>
        </w:rPr>
        <w:t>i</w:t>
      </w:r>
      <w:r w:rsidRPr="00FD57E6">
        <w:rPr>
          <w:sz w:val="24"/>
          <w:szCs w:val="24"/>
        </w:rPr>
        <w:t xml:space="preserve">s considered the least rights restrictive means of ensuring a period of temporary housing assistance is not unduly extended. </w:t>
      </w:r>
      <w:r w:rsidR="00620794">
        <w:rPr>
          <w:sz w:val="24"/>
          <w:szCs w:val="24"/>
        </w:rPr>
        <w:t>Accordingly</w:t>
      </w:r>
      <w:r w:rsidRPr="00FD57E6">
        <w:rPr>
          <w:sz w:val="24"/>
          <w:szCs w:val="24"/>
        </w:rPr>
        <w:t xml:space="preserve">, the limitation on the right to equality imposed by the shorter notice period is considered reasonable and proportionate.     </w:t>
      </w:r>
    </w:p>
    <w:bookmarkEnd w:id="1"/>
    <w:p w14:paraId="3FB8962A" w14:textId="0B52BEB9" w:rsidR="001225FB" w:rsidRPr="001225FB" w:rsidRDefault="001225FB" w:rsidP="004D47F6">
      <w:pPr>
        <w:jc w:val="both"/>
        <w:rPr>
          <w:sz w:val="24"/>
          <w:szCs w:val="24"/>
        </w:rPr>
      </w:pPr>
      <w:r>
        <w:rPr>
          <w:sz w:val="24"/>
          <w:szCs w:val="24"/>
        </w:rPr>
        <w:t>A Revised Explanatory Statement (</w:t>
      </w:r>
      <w:r w:rsidRPr="001225FB">
        <w:rPr>
          <w:b/>
          <w:bCs/>
          <w:sz w:val="24"/>
          <w:szCs w:val="24"/>
        </w:rPr>
        <w:t>Revised ES</w:t>
      </w:r>
      <w:r>
        <w:rPr>
          <w:sz w:val="24"/>
          <w:szCs w:val="24"/>
        </w:rPr>
        <w:t>) has been prepare</w:t>
      </w:r>
      <w:r w:rsidR="00913475">
        <w:rPr>
          <w:sz w:val="24"/>
          <w:szCs w:val="24"/>
        </w:rPr>
        <w:t>d to provide additional human rights analysis in relation to this provision</w:t>
      </w:r>
      <w:r w:rsidR="00527F3C">
        <w:rPr>
          <w:sz w:val="24"/>
          <w:szCs w:val="24"/>
        </w:rPr>
        <w:t xml:space="preserve"> and is at </w:t>
      </w:r>
      <w:r w:rsidR="00527F3C" w:rsidRPr="00527F3C">
        <w:rPr>
          <w:sz w:val="24"/>
          <w:szCs w:val="24"/>
          <w:u w:val="single"/>
        </w:rPr>
        <w:t xml:space="preserve">Attachment </w:t>
      </w:r>
      <w:r w:rsidR="0064120F">
        <w:rPr>
          <w:sz w:val="24"/>
          <w:szCs w:val="24"/>
          <w:u w:val="single"/>
        </w:rPr>
        <w:t>C</w:t>
      </w:r>
      <w:r w:rsidR="00527F3C">
        <w:rPr>
          <w:sz w:val="24"/>
          <w:szCs w:val="24"/>
        </w:rPr>
        <w:t xml:space="preserve">. </w:t>
      </w:r>
      <w:r>
        <w:rPr>
          <w:sz w:val="24"/>
          <w:szCs w:val="24"/>
        </w:rPr>
        <w:t xml:space="preserve"> </w:t>
      </w:r>
    </w:p>
    <w:bookmarkEnd w:id="0"/>
    <w:p w14:paraId="0A235913" w14:textId="72F149F6" w:rsidR="00A53C5A" w:rsidRPr="00A53C5A" w:rsidRDefault="00A53C5A" w:rsidP="004D47F6">
      <w:pPr>
        <w:jc w:val="both"/>
        <w:rPr>
          <w:i/>
          <w:iCs/>
          <w:sz w:val="24"/>
          <w:szCs w:val="24"/>
        </w:rPr>
      </w:pPr>
      <w:r w:rsidRPr="00A53C5A">
        <w:rPr>
          <w:i/>
          <w:iCs/>
          <w:sz w:val="24"/>
          <w:szCs w:val="24"/>
        </w:rPr>
        <w:t xml:space="preserve">Comment on </w:t>
      </w:r>
      <w:r w:rsidR="00527F3C">
        <w:rPr>
          <w:i/>
          <w:iCs/>
          <w:sz w:val="24"/>
          <w:szCs w:val="24"/>
        </w:rPr>
        <w:t xml:space="preserve">the </w:t>
      </w:r>
      <w:r w:rsidRPr="00A53C5A">
        <w:rPr>
          <w:i/>
          <w:iCs/>
          <w:sz w:val="24"/>
          <w:szCs w:val="24"/>
        </w:rPr>
        <w:t>limitation on the right to freedom of expression</w:t>
      </w:r>
    </w:p>
    <w:p w14:paraId="42218BB3" w14:textId="15F4BDC1" w:rsidR="00A53C5A" w:rsidRDefault="005F5D31" w:rsidP="004D47F6">
      <w:pPr>
        <w:jc w:val="both"/>
        <w:rPr>
          <w:sz w:val="24"/>
          <w:szCs w:val="24"/>
        </w:rPr>
      </w:pPr>
      <w:r>
        <w:rPr>
          <w:sz w:val="24"/>
          <w:szCs w:val="24"/>
        </w:rPr>
        <w:t xml:space="preserve">The Report noted the Bill introduces </w:t>
      </w:r>
      <w:r w:rsidRPr="005F5D31">
        <w:rPr>
          <w:sz w:val="24"/>
          <w:szCs w:val="24"/>
        </w:rPr>
        <w:t xml:space="preserve">strict liability offences </w:t>
      </w:r>
      <w:r>
        <w:rPr>
          <w:sz w:val="24"/>
          <w:szCs w:val="24"/>
        </w:rPr>
        <w:t xml:space="preserve">related to information that must </w:t>
      </w:r>
      <w:r w:rsidR="00913475">
        <w:rPr>
          <w:sz w:val="24"/>
          <w:szCs w:val="24"/>
        </w:rPr>
        <w:t xml:space="preserve">or must not </w:t>
      </w:r>
      <w:r>
        <w:rPr>
          <w:sz w:val="24"/>
          <w:szCs w:val="24"/>
        </w:rPr>
        <w:t xml:space="preserve">be </w:t>
      </w:r>
      <w:r w:rsidR="00913475">
        <w:rPr>
          <w:sz w:val="24"/>
          <w:szCs w:val="24"/>
        </w:rPr>
        <w:t xml:space="preserve">included </w:t>
      </w:r>
      <w:r>
        <w:rPr>
          <w:sz w:val="24"/>
          <w:szCs w:val="24"/>
        </w:rPr>
        <w:t>in ad</w:t>
      </w:r>
      <w:r w:rsidR="00FD57E6">
        <w:rPr>
          <w:sz w:val="24"/>
          <w:szCs w:val="24"/>
        </w:rPr>
        <w:t>vertisements</w:t>
      </w:r>
      <w:r>
        <w:rPr>
          <w:sz w:val="24"/>
          <w:szCs w:val="24"/>
        </w:rPr>
        <w:t xml:space="preserve"> for rental properties </w:t>
      </w:r>
      <w:r w:rsidRPr="005F5D31">
        <w:rPr>
          <w:sz w:val="24"/>
          <w:szCs w:val="24"/>
        </w:rPr>
        <w:t xml:space="preserve">and the </w:t>
      </w:r>
      <w:r w:rsidR="00913475">
        <w:rPr>
          <w:sz w:val="24"/>
          <w:szCs w:val="24"/>
        </w:rPr>
        <w:t xml:space="preserve">offences which limit the </w:t>
      </w:r>
      <w:r w:rsidRPr="005F5D31">
        <w:rPr>
          <w:sz w:val="24"/>
          <w:szCs w:val="24"/>
        </w:rPr>
        <w:t>conduct of agents or owners in discussions with prospective tenants</w:t>
      </w:r>
      <w:r w:rsidR="00913475">
        <w:rPr>
          <w:sz w:val="24"/>
          <w:szCs w:val="24"/>
        </w:rPr>
        <w:t xml:space="preserve"> (by preventing them from soliciting rent bids)</w:t>
      </w:r>
      <w:r w:rsidRPr="005F5D31">
        <w:rPr>
          <w:sz w:val="24"/>
          <w:szCs w:val="24"/>
        </w:rPr>
        <w:t>. The</w:t>
      </w:r>
      <w:r>
        <w:rPr>
          <w:sz w:val="24"/>
          <w:szCs w:val="24"/>
        </w:rPr>
        <w:t xml:space="preserve"> Committee noted these offences may </w:t>
      </w:r>
      <w:r w:rsidRPr="005F5D31">
        <w:rPr>
          <w:sz w:val="24"/>
          <w:szCs w:val="24"/>
        </w:rPr>
        <w:t>therefore limit</w:t>
      </w:r>
      <w:r>
        <w:rPr>
          <w:sz w:val="24"/>
          <w:szCs w:val="24"/>
        </w:rPr>
        <w:t xml:space="preserve"> </w:t>
      </w:r>
      <w:r w:rsidRPr="005F5D31">
        <w:rPr>
          <w:sz w:val="24"/>
          <w:szCs w:val="24"/>
        </w:rPr>
        <w:t xml:space="preserve">the </w:t>
      </w:r>
      <w:r>
        <w:rPr>
          <w:sz w:val="24"/>
          <w:szCs w:val="24"/>
        </w:rPr>
        <w:t xml:space="preserve">right to </w:t>
      </w:r>
      <w:r w:rsidRPr="005F5D31">
        <w:rPr>
          <w:sz w:val="24"/>
          <w:szCs w:val="24"/>
        </w:rPr>
        <w:t>freedom of expression</w:t>
      </w:r>
      <w:r w:rsidR="00913475">
        <w:rPr>
          <w:sz w:val="24"/>
          <w:szCs w:val="24"/>
        </w:rPr>
        <w:t xml:space="preserve"> by limiting the things that lessors or agents can say or do</w:t>
      </w:r>
      <w:r w:rsidRPr="005F5D31">
        <w:rPr>
          <w:sz w:val="24"/>
          <w:szCs w:val="24"/>
        </w:rPr>
        <w:t xml:space="preserve">. The Committee </w:t>
      </w:r>
      <w:r>
        <w:rPr>
          <w:sz w:val="24"/>
          <w:szCs w:val="24"/>
        </w:rPr>
        <w:t xml:space="preserve">therefore </w:t>
      </w:r>
      <w:r w:rsidRPr="005F5D31">
        <w:rPr>
          <w:sz w:val="24"/>
          <w:szCs w:val="24"/>
        </w:rPr>
        <w:t>recommend</w:t>
      </w:r>
      <w:r>
        <w:rPr>
          <w:sz w:val="24"/>
          <w:szCs w:val="24"/>
        </w:rPr>
        <w:t>ed</w:t>
      </w:r>
      <w:r w:rsidRPr="005F5D31">
        <w:rPr>
          <w:sz w:val="24"/>
          <w:szCs w:val="24"/>
        </w:rPr>
        <w:t xml:space="preserve"> that, if the </w:t>
      </w:r>
      <w:r w:rsidR="00FD57E6">
        <w:rPr>
          <w:sz w:val="24"/>
          <w:szCs w:val="24"/>
        </w:rPr>
        <w:t>E</w:t>
      </w:r>
      <w:r w:rsidRPr="005F5D31">
        <w:rPr>
          <w:sz w:val="24"/>
          <w:szCs w:val="24"/>
        </w:rPr>
        <w:t xml:space="preserve">xplanatory </w:t>
      </w:r>
      <w:r w:rsidR="00FD57E6">
        <w:rPr>
          <w:sz w:val="24"/>
          <w:szCs w:val="24"/>
        </w:rPr>
        <w:t>S</w:t>
      </w:r>
      <w:r w:rsidRPr="005F5D31">
        <w:rPr>
          <w:sz w:val="24"/>
          <w:szCs w:val="24"/>
        </w:rPr>
        <w:t>tatement is otherwise amended, consideration be given to including a statement recognising the potential limitation of freedom of expression and incorporating a justification for why any such limit is reasonable.</w:t>
      </w:r>
    </w:p>
    <w:p w14:paraId="0DA9966A" w14:textId="5374A302" w:rsidR="005F5D31" w:rsidRDefault="005F5D31" w:rsidP="005F5D31">
      <w:pPr>
        <w:jc w:val="both"/>
        <w:rPr>
          <w:i/>
          <w:iCs/>
          <w:sz w:val="24"/>
          <w:szCs w:val="24"/>
        </w:rPr>
      </w:pPr>
      <w:r>
        <w:rPr>
          <w:i/>
          <w:iCs/>
          <w:sz w:val="24"/>
          <w:szCs w:val="24"/>
        </w:rPr>
        <w:t>Response to comment</w:t>
      </w:r>
      <w:r w:rsidR="00527F3C">
        <w:rPr>
          <w:i/>
          <w:iCs/>
          <w:sz w:val="24"/>
          <w:szCs w:val="24"/>
        </w:rPr>
        <w:t xml:space="preserve"> </w:t>
      </w:r>
      <w:r w:rsidR="00527F3C" w:rsidRPr="00A53C5A">
        <w:rPr>
          <w:i/>
          <w:iCs/>
          <w:sz w:val="24"/>
          <w:szCs w:val="24"/>
        </w:rPr>
        <w:t xml:space="preserve">on </w:t>
      </w:r>
      <w:r w:rsidR="00527F3C">
        <w:rPr>
          <w:i/>
          <w:iCs/>
          <w:sz w:val="24"/>
          <w:szCs w:val="24"/>
        </w:rPr>
        <w:t xml:space="preserve">the </w:t>
      </w:r>
      <w:r w:rsidR="00527F3C" w:rsidRPr="00A53C5A">
        <w:rPr>
          <w:i/>
          <w:iCs/>
          <w:sz w:val="24"/>
          <w:szCs w:val="24"/>
        </w:rPr>
        <w:t>limitation on the right to freedom of expression</w:t>
      </w:r>
    </w:p>
    <w:p w14:paraId="7029CD25" w14:textId="1ECBB046" w:rsidR="006E68DE" w:rsidRDefault="005F5D31" w:rsidP="004D47F6">
      <w:pPr>
        <w:jc w:val="both"/>
        <w:rPr>
          <w:sz w:val="24"/>
          <w:szCs w:val="24"/>
        </w:rPr>
      </w:pPr>
      <w:r>
        <w:rPr>
          <w:sz w:val="24"/>
          <w:szCs w:val="24"/>
        </w:rPr>
        <w:t xml:space="preserve">As a Revised </w:t>
      </w:r>
      <w:r w:rsidR="006E68DE">
        <w:rPr>
          <w:sz w:val="24"/>
          <w:szCs w:val="24"/>
        </w:rPr>
        <w:t>ES</w:t>
      </w:r>
      <w:r>
        <w:rPr>
          <w:sz w:val="24"/>
          <w:szCs w:val="24"/>
        </w:rPr>
        <w:t xml:space="preserve"> </w:t>
      </w:r>
      <w:r w:rsidR="00527F3C">
        <w:rPr>
          <w:sz w:val="24"/>
          <w:szCs w:val="24"/>
        </w:rPr>
        <w:t>was</w:t>
      </w:r>
      <w:r w:rsidR="001225FB">
        <w:rPr>
          <w:sz w:val="24"/>
          <w:szCs w:val="24"/>
        </w:rPr>
        <w:t xml:space="preserve"> prepared </w:t>
      </w:r>
      <w:r>
        <w:rPr>
          <w:sz w:val="24"/>
          <w:szCs w:val="24"/>
        </w:rPr>
        <w:t>to address the Committee’s comments on the temporary housing assistance termination provision</w:t>
      </w:r>
      <w:r w:rsidR="00527F3C">
        <w:rPr>
          <w:sz w:val="24"/>
          <w:szCs w:val="24"/>
        </w:rPr>
        <w:t>,</w:t>
      </w:r>
      <w:r w:rsidR="001225FB">
        <w:rPr>
          <w:sz w:val="24"/>
          <w:szCs w:val="24"/>
        </w:rPr>
        <w:t xml:space="preserve"> the Revised ES also addresses</w:t>
      </w:r>
      <w:r>
        <w:rPr>
          <w:sz w:val="24"/>
          <w:szCs w:val="24"/>
        </w:rPr>
        <w:t xml:space="preserve"> the Committee’s comments on the </w:t>
      </w:r>
      <w:r w:rsidR="006E68DE">
        <w:rPr>
          <w:sz w:val="24"/>
          <w:szCs w:val="24"/>
        </w:rPr>
        <w:t xml:space="preserve">limit to the </w:t>
      </w:r>
      <w:r>
        <w:rPr>
          <w:sz w:val="24"/>
          <w:szCs w:val="24"/>
        </w:rPr>
        <w:t>right to freedom of expression</w:t>
      </w:r>
      <w:r w:rsidR="006E68DE">
        <w:rPr>
          <w:sz w:val="24"/>
          <w:szCs w:val="24"/>
        </w:rPr>
        <w:t xml:space="preserve"> in the Bill</w:t>
      </w:r>
      <w:r>
        <w:rPr>
          <w:sz w:val="24"/>
          <w:szCs w:val="24"/>
        </w:rPr>
        <w:t xml:space="preserve">.  </w:t>
      </w:r>
    </w:p>
    <w:p w14:paraId="2D08D655" w14:textId="3DE7A073" w:rsidR="006E68DE" w:rsidRPr="006E68DE" w:rsidRDefault="005F5D31" w:rsidP="006E68DE">
      <w:pPr>
        <w:jc w:val="both"/>
        <w:rPr>
          <w:rFonts w:asciiTheme="minorHAnsi" w:hAnsiTheme="minorHAnsi" w:cstheme="minorHAnsi"/>
          <w:iCs/>
          <w:sz w:val="24"/>
          <w:szCs w:val="24"/>
        </w:rPr>
      </w:pPr>
      <w:r>
        <w:rPr>
          <w:sz w:val="24"/>
          <w:szCs w:val="24"/>
        </w:rPr>
        <w:t>I note there are also aspects of the Bill</w:t>
      </w:r>
      <w:r w:rsidR="001225FB">
        <w:rPr>
          <w:sz w:val="24"/>
          <w:szCs w:val="24"/>
        </w:rPr>
        <w:t xml:space="preserve"> </w:t>
      </w:r>
      <w:r w:rsidR="00527F3C">
        <w:rPr>
          <w:sz w:val="24"/>
          <w:szCs w:val="24"/>
        </w:rPr>
        <w:t xml:space="preserve">which </w:t>
      </w:r>
      <w:r w:rsidR="00527F3C" w:rsidRPr="00527F3C">
        <w:rPr>
          <w:i/>
          <w:iCs/>
          <w:sz w:val="24"/>
          <w:szCs w:val="24"/>
        </w:rPr>
        <w:t>promote</w:t>
      </w:r>
      <w:r w:rsidR="00527F3C">
        <w:rPr>
          <w:sz w:val="24"/>
          <w:szCs w:val="24"/>
        </w:rPr>
        <w:t xml:space="preserve"> the right to freedom of expression </w:t>
      </w:r>
      <w:r w:rsidR="001225FB">
        <w:rPr>
          <w:sz w:val="24"/>
          <w:szCs w:val="24"/>
        </w:rPr>
        <w:t xml:space="preserve">which were not previously addressed in </w:t>
      </w:r>
      <w:r w:rsidR="00527F3C">
        <w:rPr>
          <w:sz w:val="24"/>
          <w:szCs w:val="24"/>
        </w:rPr>
        <w:t>the ES</w:t>
      </w:r>
      <w:r w:rsidR="006E68DE">
        <w:rPr>
          <w:sz w:val="24"/>
          <w:szCs w:val="24"/>
        </w:rPr>
        <w:t>.  The Bill introduces a new ground on which a proposed eviction may be considered retaliatory – that is</w:t>
      </w:r>
      <w:r w:rsidR="00FD57E6">
        <w:rPr>
          <w:sz w:val="24"/>
          <w:szCs w:val="24"/>
        </w:rPr>
        <w:t>,</w:t>
      </w:r>
      <w:r w:rsidR="006E68DE">
        <w:rPr>
          <w:sz w:val="24"/>
          <w:szCs w:val="24"/>
        </w:rPr>
        <w:t xml:space="preserve"> where</w:t>
      </w:r>
      <w:r w:rsidR="00FD57E6">
        <w:rPr>
          <w:sz w:val="24"/>
          <w:szCs w:val="24"/>
        </w:rPr>
        <w:t xml:space="preserve"> the eviction occurs in response to</w:t>
      </w:r>
      <w:r w:rsidR="006E68DE">
        <w:rPr>
          <w:sz w:val="24"/>
          <w:szCs w:val="24"/>
        </w:rPr>
        <w:t xml:space="preserve"> a tenant publish</w:t>
      </w:r>
      <w:r w:rsidR="00FD57E6">
        <w:rPr>
          <w:sz w:val="24"/>
          <w:szCs w:val="24"/>
        </w:rPr>
        <w:t>ing</w:t>
      </w:r>
      <w:r w:rsidR="006E68DE">
        <w:rPr>
          <w:sz w:val="24"/>
          <w:szCs w:val="24"/>
        </w:rPr>
        <w:t xml:space="preserve"> information</w:t>
      </w:r>
      <w:r w:rsidR="00FD57E6">
        <w:rPr>
          <w:sz w:val="24"/>
          <w:szCs w:val="24"/>
        </w:rPr>
        <w:t>,</w:t>
      </w:r>
      <w:r w:rsidR="006E68DE">
        <w:rPr>
          <w:sz w:val="24"/>
          <w:szCs w:val="24"/>
        </w:rPr>
        <w:t xml:space="preserve"> or disclos</w:t>
      </w:r>
      <w:r w:rsidR="00FD57E6">
        <w:rPr>
          <w:sz w:val="24"/>
          <w:szCs w:val="24"/>
        </w:rPr>
        <w:t>ing</w:t>
      </w:r>
      <w:r w:rsidR="006E68DE">
        <w:rPr>
          <w:sz w:val="24"/>
          <w:szCs w:val="24"/>
        </w:rPr>
        <w:t xml:space="preserve"> information </w:t>
      </w:r>
      <w:r w:rsidR="006E68DE" w:rsidRPr="00FD57E6">
        <w:rPr>
          <w:sz w:val="24"/>
          <w:szCs w:val="24"/>
        </w:rPr>
        <w:t>that was published</w:t>
      </w:r>
      <w:r w:rsidR="00FD57E6">
        <w:rPr>
          <w:sz w:val="24"/>
          <w:szCs w:val="24"/>
        </w:rPr>
        <w:t>,</w:t>
      </w:r>
      <w:r w:rsidR="006E68DE">
        <w:rPr>
          <w:sz w:val="24"/>
          <w:szCs w:val="24"/>
        </w:rPr>
        <w:t xml:space="preserve"> about the premises, the residential tenancy agreement or the lessor (see clauses 23 and 25 of the Bill).  </w:t>
      </w:r>
      <w:r w:rsidR="006E68DE" w:rsidRPr="006E68DE">
        <w:rPr>
          <w:rFonts w:asciiTheme="minorHAnsi" w:hAnsiTheme="minorHAnsi" w:cstheme="minorHAnsi"/>
          <w:iCs/>
          <w:sz w:val="24"/>
          <w:szCs w:val="24"/>
        </w:rPr>
        <w:t xml:space="preserve">This new ground will provide tenants with protection from retaliatory eviction if they </w:t>
      </w:r>
      <w:r w:rsidR="00233BF7">
        <w:rPr>
          <w:rFonts w:asciiTheme="minorHAnsi" w:hAnsiTheme="minorHAnsi" w:cstheme="minorHAnsi"/>
          <w:iCs/>
          <w:sz w:val="24"/>
          <w:szCs w:val="24"/>
        </w:rPr>
        <w:t xml:space="preserve">(for example) </w:t>
      </w:r>
      <w:r w:rsidR="006E68DE" w:rsidRPr="006E68DE">
        <w:rPr>
          <w:rFonts w:asciiTheme="minorHAnsi" w:hAnsiTheme="minorHAnsi" w:cstheme="minorHAnsi"/>
          <w:iCs/>
          <w:sz w:val="24"/>
          <w:szCs w:val="24"/>
        </w:rPr>
        <w:t xml:space="preserve">speak to the media or post statements </w:t>
      </w:r>
      <w:r w:rsidR="00913475" w:rsidRPr="006E68DE">
        <w:rPr>
          <w:rFonts w:asciiTheme="minorHAnsi" w:hAnsiTheme="minorHAnsi" w:cstheme="minorHAnsi"/>
          <w:iCs/>
          <w:sz w:val="24"/>
          <w:szCs w:val="24"/>
        </w:rPr>
        <w:t xml:space="preserve">on social media </w:t>
      </w:r>
      <w:r w:rsidR="006E68DE" w:rsidRPr="006E68DE">
        <w:rPr>
          <w:rFonts w:asciiTheme="minorHAnsi" w:hAnsiTheme="minorHAnsi" w:cstheme="minorHAnsi"/>
          <w:iCs/>
          <w:sz w:val="24"/>
          <w:szCs w:val="24"/>
        </w:rPr>
        <w:t>about their tenancy</w:t>
      </w:r>
      <w:r w:rsidR="00233BF7">
        <w:rPr>
          <w:rFonts w:asciiTheme="minorHAnsi" w:hAnsiTheme="minorHAnsi" w:cstheme="minorHAnsi"/>
          <w:iCs/>
          <w:sz w:val="24"/>
          <w:szCs w:val="24"/>
        </w:rPr>
        <w:t xml:space="preserve"> (provided their statements are not knowingly or recklessly false or misleading)</w:t>
      </w:r>
      <w:r w:rsidR="006E68DE" w:rsidRPr="006E68DE">
        <w:rPr>
          <w:rFonts w:asciiTheme="minorHAnsi" w:hAnsiTheme="minorHAnsi" w:cstheme="minorHAnsi"/>
          <w:iCs/>
          <w:sz w:val="24"/>
          <w:szCs w:val="24"/>
        </w:rPr>
        <w:t xml:space="preserve">. This new protection </w:t>
      </w:r>
      <w:r w:rsidR="006E68DE">
        <w:rPr>
          <w:rFonts w:asciiTheme="minorHAnsi" w:hAnsiTheme="minorHAnsi" w:cstheme="minorHAnsi"/>
          <w:iCs/>
          <w:sz w:val="24"/>
          <w:szCs w:val="24"/>
        </w:rPr>
        <w:t>promotes</w:t>
      </w:r>
      <w:r w:rsidR="006E68DE" w:rsidRPr="006E68DE">
        <w:rPr>
          <w:rFonts w:asciiTheme="minorHAnsi" w:hAnsiTheme="minorHAnsi" w:cstheme="minorHAnsi"/>
          <w:iCs/>
          <w:sz w:val="24"/>
          <w:szCs w:val="24"/>
        </w:rPr>
        <w:t xml:space="preserve"> the right to freedom of expression as it provides a protection against retaliatory eviction in circumstances where a tenant publicly expresses an opinion related to their tenancy. </w:t>
      </w:r>
      <w:r w:rsidR="006E68DE">
        <w:rPr>
          <w:rFonts w:asciiTheme="minorHAnsi" w:hAnsiTheme="minorHAnsi" w:cstheme="minorHAnsi"/>
          <w:iCs/>
          <w:sz w:val="24"/>
          <w:szCs w:val="24"/>
        </w:rPr>
        <w:t>This additional rights</w:t>
      </w:r>
      <w:r w:rsidR="00566FC8">
        <w:rPr>
          <w:rFonts w:asciiTheme="minorHAnsi" w:hAnsiTheme="minorHAnsi" w:cstheme="minorHAnsi"/>
          <w:iCs/>
          <w:sz w:val="24"/>
          <w:szCs w:val="24"/>
        </w:rPr>
        <w:t>-</w:t>
      </w:r>
      <w:r w:rsidR="006E68DE">
        <w:rPr>
          <w:rFonts w:asciiTheme="minorHAnsi" w:hAnsiTheme="minorHAnsi" w:cstheme="minorHAnsi"/>
          <w:iCs/>
          <w:sz w:val="24"/>
          <w:szCs w:val="24"/>
        </w:rPr>
        <w:t xml:space="preserve">promoting aspect of the Bill has </w:t>
      </w:r>
      <w:r w:rsidR="00527F3C">
        <w:rPr>
          <w:rFonts w:asciiTheme="minorHAnsi" w:hAnsiTheme="minorHAnsi" w:cstheme="minorHAnsi"/>
          <w:iCs/>
          <w:sz w:val="24"/>
          <w:szCs w:val="24"/>
        </w:rPr>
        <w:t xml:space="preserve">now </w:t>
      </w:r>
      <w:r w:rsidR="006E68DE">
        <w:rPr>
          <w:rFonts w:asciiTheme="minorHAnsi" w:hAnsiTheme="minorHAnsi" w:cstheme="minorHAnsi"/>
          <w:iCs/>
          <w:sz w:val="24"/>
          <w:szCs w:val="24"/>
        </w:rPr>
        <w:t xml:space="preserve">also been addressed in the Revised ES. </w:t>
      </w:r>
    </w:p>
    <w:p w14:paraId="41CCCE6B" w14:textId="1AC9E3DA" w:rsidR="001225FB" w:rsidRPr="001225FB" w:rsidRDefault="001225FB" w:rsidP="001225FB">
      <w:pPr>
        <w:jc w:val="both"/>
        <w:rPr>
          <w:i/>
          <w:iCs/>
          <w:sz w:val="24"/>
          <w:szCs w:val="24"/>
        </w:rPr>
      </w:pPr>
      <w:r w:rsidRPr="001225FB">
        <w:rPr>
          <w:i/>
          <w:iCs/>
          <w:sz w:val="24"/>
          <w:szCs w:val="24"/>
        </w:rPr>
        <w:t xml:space="preserve">Comments on other </w:t>
      </w:r>
      <w:r>
        <w:rPr>
          <w:i/>
          <w:iCs/>
          <w:sz w:val="24"/>
          <w:szCs w:val="24"/>
        </w:rPr>
        <w:t>r</w:t>
      </w:r>
      <w:r w:rsidRPr="001225FB">
        <w:rPr>
          <w:i/>
          <w:iCs/>
          <w:sz w:val="24"/>
          <w:szCs w:val="24"/>
        </w:rPr>
        <w:t xml:space="preserve">esidential </w:t>
      </w:r>
      <w:r>
        <w:rPr>
          <w:i/>
          <w:iCs/>
          <w:sz w:val="24"/>
          <w:szCs w:val="24"/>
        </w:rPr>
        <w:t>t</w:t>
      </w:r>
      <w:r w:rsidRPr="001225FB">
        <w:rPr>
          <w:i/>
          <w:iCs/>
          <w:sz w:val="24"/>
          <w:szCs w:val="24"/>
        </w:rPr>
        <w:t xml:space="preserve">enancy </w:t>
      </w:r>
      <w:r w:rsidR="0008318D">
        <w:rPr>
          <w:i/>
          <w:iCs/>
          <w:sz w:val="24"/>
          <w:szCs w:val="24"/>
        </w:rPr>
        <w:t xml:space="preserve">related </w:t>
      </w:r>
      <w:r>
        <w:rPr>
          <w:i/>
          <w:iCs/>
          <w:sz w:val="24"/>
          <w:szCs w:val="24"/>
        </w:rPr>
        <w:t>matters</w:t>
      </w:r>
    </w:p>
    <w:p w14:paraId="17988FD9" w14:textId="5F6E1A92" w:rsidR="005F5D31" w:rsidRPr="005F5D31" w:rsidRDefault="001225FB" w:rsidP="004D47F6">
      <w:pPr>
        <w:jc w:val="both"/>
        <w:rPr>
          <w:sz w:val="24"/>
          <w:szCs w:val="24"/>
        </w:rPr>
      </w:pPr>
      <w:r>
        <w:rPr>
          <w:sz w:val="24"/>
          <w:szCs w:val="24"/>
        </w:rPr>
        <w:t xml:space="preserve">I note the Report also made comment on the </w:t>
      </w:r>
      <w:r w:rsidRPr="00012431">
        <w:rPr>
          <w:i/>
          <w:iCs/>
          <w:sz w:val="24"/>
          <w:szCs w:val="24"/>
        </w:rPr>
        <w:t>Residential Tenancies Amendment Regulation 2022 (No</w:t>
      </w:r>
      <w:r w:rsidR="00233BF7">
        <w:rPr>
          <w:i/>
          <w:iCs/>
          <w:sz w:val="24"/>
          <w:szCs w:val="24"/>
        </w:rPr>
        <w:t> </w:t>
      </w:r>
      <w:r w:rsidRPr="00012431">
        <w:rPr>
          <w:i/>
          <w:iCs/>
          <w:sz w:val="24"/>
          <w:szCs w:val="24"/>
        </w:rPr>
        <w:t>1)</w:t>
      </w:r>
      <w:r w:rsidRPr="008C409B">
        <w:rPr>
          <w:sz w:val="24"/>
          <w:szCs w:val="24"/>
        </w:rPr>
        <w:t xml:space="preserve"> and </w:t>
      </w:r>
      <w:r w:rsidR="00233BF7">
        <w:rPr>
          <w:sz w:val="24"/>
          <w:szCs w:val="24"/>
        </w:rPr>
        <w:t xml:space="preserve">its </w:t>
      </w:r>
      <w:r w:rsidRPr="008C409B">
        <w:rPr>
          <w:sz w:val="24"/>
          <w:szCs w:val="24"/>
        </w:rPr>
        <w:t>Regulatory Impact Statement</w:t>
      </w:r>
      <w:r>
        <w:rPr>
          <w:sz w:val="24"/>
          <w:szCs w:val="24"/>
        </w:rPr>
        <w:t xml:space="preserve">. I will respond to the Committee separately on those items. </w:t>
      </w:r>
    </w:p>
    <w:p w14:paraId="04A26A85" w14:textId="77777777" w:rsidR="00C662C0" w:rsidRDefault="00C662C0" w:rsidP="004D47F6">
      <w:pPr>
        <w:jc w:val="both"/>
        <w:rPr>
          <w:b/>
          <w:bCs/>
          <w:sz w:val="24"/>
          <w:szCs w:val="24"/>
        </w:rPr>
      </w:pPr>
    </w:p>
    <w:p w14:paraId="6D518FD5" w14:textId="77777777" w:rsidR="00C662C0" w:rsidRDefault="00C662C0" w:rsidP="004D47F6">
      <w:pPr>
        <w:jc w:val="both"/>
        <w:rPr>
          <w:b/>
          <w:bCs/>
          <w:sz w:val="24"/>
          <w:szCs w:val="24"/>
        </w:rPr>
      </w:pPr>
    </w:p>
    <w:p w14:paraId="721F5CA8" w14:textId="65DD13E8" w:rsidR="00E862C3" w:rsidRPr="00BE1BEC" w:rsidRDefault="00E862C3" w:rsidP="004D47F6">
      <w:pPr>
        <w:jc w:val="both"/>
        <w:rPr>
          <w:b/>
          <w:bCs/>
          <w:sz w:val="24"/>
          <w:szCs w:val="24"/>
        </w:rPr>
      </w:pPr>
      <w:r w:rsidRPr="00BE1BEC">
        <w:rPr>
          <w:b/>
          <w:bCs/>
          <w:sz w:val="24"/>
          <w:szCs w:val="24"/>
        </w:rPr>
        <w:lastRenderedPageBreak/>
        <w:t>Government Amendments to the Bill</w:t>
      </w:r>
    </w:p>
    <w:p w14:paraId="649E9EDB" w14:textId="6EEA9893" w:rsidR="000466BD" w:rsidRDefault="00913475" w:rsidP="004D47F6">
      <w:pPr>
        <w:jc w:val="both"/>
        <w:rPr>
          <w:sz w:val="24"/>
          <w:szCs w:val="24"/>
        </w:rPr>
      </w:pPr>
      <w:r>
        <w:rPr>
          <w:sz w:val="24"/>
          <w:szCs w:val="24"/>
        </w:rPr>
        <w:t xml:space="preserve">As noted above, I intend to move Government amendments to the Bill when it is debated. </w:t>
      </w:r>
      <w:r w:rsidR="000466BD">
        <w:rPr>
          <w:sz w:val="24"/>
          <w:szCs w:val="24"/>
        </w:rPr>
        <w:t>By way of background</w:t>
      </w:r>
      <w:r w:rsidR="0008318D">
        <w:rPr>
          <w:sz w:val="24"/>
          <w:szCs w:val="24"/>
        </w:rPr>
        <w:t xml:space="preserve"> to the proposed </w:t>
      </w:r>
      <w:r w:rsidR="0008318D" w:rsidRPr="00361BA4">
        <w:rPr>
          <w:sz w:val="24"/>
          <w:szCs w:val="24"/>
        </w:rPr>
        <w:t xml:space="preserve">Government’s amendments </w:t>
      </w:r>
      <w:r w:rsidR="0008318D">
        <w:rPr>
          <w:sz w:val="24"/>
          <w:szCs w:val="24"/>
        </w:rPr>
        <w:t>(</w:t>
      </w:r>
      <w:r w:rsidR="0008318D" w:rsidRPr="00566FC8">
        <w:rPr>
          <w:b/>
          <w:bCs/>
          <w:sz w:val="24"/>
          <w:szCs w:val="24"/>
        </w:rPr>
        <w:t>the amendments</w:t>
      </w:r>
      <w:r w:rsidR="0008318D">
        <w:rPr>
          <w:sz w:val="24"/>
          <w:szCs w:val="24"/>
        </w:rPr>
        <w:t>)</w:t>
      </w:r>
      <w:r w:rsidR="000466BD">
        <w:rPr>
          <w:sz w:val="24"/>
          <w:szCs w:val="24"/>
        </w:rPr>
        <w:t xml:space="preserve">, the </w:t>
      </w:r>
      <w:r w:rsidR="000466BD" w:rsidRPr="000466BD">
        <w:rPr>
          <w:i/>
          <w:iCs/>
          <w:sz w:val="24"/>
          <w:szCs w:val="24"/>
        </w:rPr>
        <w:t>Residential Tenancies Act 1997</w:t>
      </w:r>
      <w:r w:rsidR="000466BD">
        <w:rPr>
          <w:sz w:val="24"/>
          <w:szCs w:val="24"/>
        </w:rPr>
        <w:t xml:space="preserve"> </w:t>
      </w:r>
      <w:r w:rsidR="00574CEA">
        <w:rPr>
          <w:sz w:val="24"/>
          <w:szCs w:val="24"/>
        </w:rPr>
        <w:t>(</w:t>
      </w:r>
      <w:r w:rsidR="00574CEA" w:rsidRPr="00574CEA">
        <w:rPr>
          <w:b/>
          <w:bCs/>
          <w:sz w:val="24"/>
          <w:szCs w:val="24"/>
        </w:rPr>
        <w:t>the Act</w:t>
      </w:r>
      <w:r w:rsidR="00574CEA">
        <w:rPr>
          <w:sz w:val="24"/>
          <w:szCs w:val="24"/>
        </w:rPr>
        <w:t xml:space="preserve">) </w:t>
      </w:r>
      <w:r w:rsidR="000466BD">
        <w:rPr>
          <w:sz w:val="24"/>
          <w:szCs w:val="24"/>
        </w:rPr>
        <w:t xml:space="preserve">currently allows lessors to end a tenancy for ‘no cause’ by providing the tenant with 26 weeks’ notice. Clause 43 of the Bill </w:t>
      </w:r>
      <w:r w:rsidR="00574CEA">
        <w:rPr>
          <w:sz w:val="24"/>
          <w:szCs w:val="24"/>
        </w:rPr>
        <w:t>proposes to remove the ‘no cause’ termination provision from the Act.</w:t>
      </w:r>
    </w:p>
    <w:p w14:paraId="67592A17" w14:textId="1F5A4830" w:rsidR="0061466F" w:rsidRDefault="00566FC8" w:rsidP="004D47F6">
      <w:pPr>
        <w:jc w:val="both"/>
        <w:rPr>
          <w:sz w:val="24"/>
          <w:szCs w:val="24"/>
        </w:rPr>
      </w:pPr>
      <w:r>
        <w:rPr>
          <w:sz w:val="24"/>
          <w:szCs w:val="24"/>
        </w:rPr>
        <w:t xml:space="preserve">The </w:t>
      </w:r>
      <w:r w:rsidRPr="00361BA4">
        <w:rPr>
          <w:sz w:val="24"/>
          <w:szCs w:val="24"/>
        </w:rPr>
        <w:t xml:space="preserve">amendments </w:t>
      </w:r>
      <w:r w:rsidR="00E92685">
        <w:rPr>
          <w:sz w:val="24"/>
          <w:szCs w:val="24"/>
        </w:rPr>
        <w:t xml:space="preserve">include </w:t>
      </w:r>
      <w:r w:rsidR="0061466F">
        <w:t xml:space="preserve">a </w:t>
      </w:r>
      <w:r w:rsidR="0061466F">
        <w:rPr>
          <w:sz w:val="24"/>
          <w:szCs w:val="24"/>
        </w:rPr>
        <w:t xml:space="preserve">transitional provision </w:t>
      </w:r>
      <w:r w:rsidR="0061466F">
        <w:t xml:space="preserve">that </w:t>
      </w:r>
      <w:r w:rsidR="0061466F">
        <w:rPr>
          <w:sz w:val="24"/>
          <w:szCs w:val="24"/>
        </w:rPr>
        <w:t xml:space="preserve">would </w:t>
      </w:r>
      <w:r w:rsidR="0061466F" w:rsidRPr="00AE3C64">
        <w:rPr>
          <w:sz w:val="24"/>
          <w:szCs w:val="24"/>
        </w:rPr>
        <w:t xml:space="preserve">confirm the validity of any </w:t>
      </w:r>
      <w:r w:rsidR="0061466F">
        <w:rPr>
          <w:sz w:val="24"/>
          <w:szCs w:val="24"/>
        </w:rPr>
        <w:t>‘</w:t>
      </w:r>
      <w:r w:rsidR="000466BD">
        <w:rPr>
          <w:sz w:val="24"/>
          <w:szCs w:val="24"/>
        </w:rPr>
        <w:t>no</w:t>
      </w:r>
      <w:r w:rsidR="0061466F" w:rsidRPr="00AE3C64">
        <w:rPr>
          <w:sz w:val="24"/>
          <w:szCs w:val="24"/>
        </w:rPr>
        <w:t xml:space="preserve"> cause</w:t>
      </w:r>
      <w:r w:rsidR="0061466F">
        <w:rPr>
          <w:sz w:val="24"/>
          <w:szCs w:val="24"/>
        </w:rPr>
        <w:t>’</w:t>
      </w:r>
      <w:r w:rsidR="0061466F" w:rsidRPr="00AE3C64">
        <w:rPr>
          <w:sz w:val="24"/>
          <w:szCs w:val="24"/>
        </w:rPr>
        <w:t xml:space="preserve"> notices to vacate (</w:t>
      </w:r>
      <w:r w:rsidR="0061466F" w:rsidRPr="00C63EE8">
        <w:rPr>
          <w:b/>
          <w:bCs/>
          <w:sz w:val="24"/>
          <w:szCs w:val="24"/>
        </w:rPr>
        <w:t>NTV</w:t>
      </w:r>
      <w:r w:rsidR="0061466F" w:rsidRPr="00AE3C64">
        <w:rPr>
          <w:sz w:val="24"/>
          <w:szCs w:val="24"/>
        </w:rPr>
        <w:t>) issued before</w:t>
      </w:r>
      <w:r w:rsidR="0061466F" w:rsidRPr="00C63EE8">
        <w:rPr>
          <w:i/>
          <w:iCs/>
          <w:sz w:val="24"/>
          <w:szCs w:val="24"/>
        </w:rPr>
        <w:t xml:space="preserve"> </w:t>
      </w:r>
      <w:r w:rsidR="0061466F" w:rsidRPr="00AE3C64">
        <w:rPr>
          <w:sz w:val="24"/>
          <w:szCs w:val="24"/>
        </w:rPr>
        <w:t xml:space="preserve">the commencement of </w:t>
      </w:r>
      <w:r w:rsidR="0061466F" w:rsidRPr="0061466F">
        <w:rPr>
          <w:sz w:val="24"/>
          <w:szCs w:val="24"/>
        </w:rPr>
        <w:t xml:space="preserve">clause 43 of the Bill in circumstances where the vacate date </w:t>
      </w:r>
      <w:r w:rsidR="0061466F">
        <w:rPr>
          <w:sz w:val="24"/>
          <w:szCs w:val="24"/>
        </w:rPr>
        <w:t xml:space="preserve">specified </w:t>
      </w:r>
      <w:r w:rsidR="0061466F" w:rsidRPr="0061466F">
        <w:rPr>
          <w:sz w:val="24"/>
          <w:szCs w:val="24"/>
        </w:rPr>
        <w:t>in the NTV falls after commencement.</w:t>
      </w:r>
      <w:r w:rsidR="00E92685">
        <w:rPr>
          <w:sz w:val="24"/>
          <w:szCs w:val="24"/>
        </w:rPr>
        <w:t xml:space="preserve">  </w:t>
      </w:r>
    </w:p>
    <w:p w14:paraId="2E177A20" w14:textId="5F52628E" w:rsidR="0061466F" w:rsidRDefault="0061466F" w:rsidP="0061466F">
      <w:pPr>
        <w:rPr>
          <w:rFonts w:asciiTheme="minorHAnsi" w:hAnsiTheme="minorHAnsi" w:cstheme="minorHAnsi"/>
          <w:sz w:val="24"/>
          <w:szCs w:val="24"/>
        </w:rPr>
      </w:pPr>
      <w:r w:rsidRPr="0061466F">
        <w:rPr>
          <w:rFonts w:asciiTheme="minorHAnsi" w:hAnsiTheme="minorHAnsi" w:cstheme="minorHAnsi"/>
          <w:sz w:val="24"/>
          <w:szCs w:val="24"/>
        </w:rPr>
        <w:t>The transitional provision is intended to preserve the operation of ‘</w:t>
      </w:r>
      <w:r w:rsidR="00574CEA">
        <w:rPr>
          <w:rFonts w:asciiTheme="minorHAnsi" w:hAnsiTheme="minorHAnsi" w:cstheme="minorHAnsi"/>
          <w:sz w:val="24"/>
          <w:szCs w:val="24"/>
        </w:rPr>
        <w:t>no</w:t>
      </w:r>
      <w:r w:rsidRPr="0061466F">
        <w:rPr>
          <w:rFonts w:asciiTheme="minorHAnsi" w:hAnsiTheme="minorHAnsi" w:cstheme="minorHAnsi"/>
          <w:sz w:val="24"/>
          <w:szCs w:val="24"/>
        </w:rPr>
        <w:t xml:space="preserve"> cause’ NTVs </w:t>
      </w:r>
      <w:r w:rsidRPr="0061466F">
        <w:rPr>
          <w:rFonts w:asciiTheme="minorHAnsi" w:hAnsiTheme="minorHAnsi" w:cstheme="minorHAnsi"/>
          <w:iCs/>
          <w:sz w:val="24"/>
          <w:szCs w:val="24"/>
        </w:rPr>
        <w:t xml:space="preserve">that </w:t>
      </w:r>
      <w:r w:rsidR="007D2792">
        <w:rPr>
          <w:rFonts w:asciiTheme="minorHAnsi" w:hAnsiTheme="minorHAnsi" w:cstheme="minorHAnsi"/>
          <w:iCs/>
          <w:sz w:val="24"/>
          <w:szCs w:val="24"/>
        </w:rPr>
        <w:t>a</w:t>
      </w:r>
      <w:r w:rsidRPr="0061466F">
        <w:rPr>
          <w:rFonts w:asciiTheme="minorHAnsi" w:hAnsiTheme="minorHAnsi" w:cstheme="minorHAnsi"/>
          <w:iCs/>
          <w:sz w:val="24"/>
          <w:szCs w:val="24"/>
        </w:rPr>
        <w:t xml:space="preserve">re </w:t>
      </w:r>
      <w:r w:rsidR="007D2792">
        <w:rPr>
          <w:rFonts w:asciiTheme="minorHAnsi" w:hAnsiTheme="minorHAnsi" w:cstheme="minorHAnsi"/>
          <w:iCs/>
          <w:sz w:val="24"/>
          <w:szCs w:val="24"/>
        </w:rPr>
        <w:t xml:space="preserve">lawfully </w:t>
      </w:r>
      <w:r w:rsidRPr="0061466F">
        <w:rPr>
          <w:rFonts w:asciiTheme="minorHAnsi" w:hAnsiTheme="minorHAnsi" w:cstheme="minorHAnsi"/>
          <w:sz w:val="24"/>
          <w:szCs w:val="24"/>
        </w:rPr>
        <w:t xml:space="preserve">issued prior to the </w:t>
      </w:r>
      <w:r w:rsidR="007D2792">
        <w:rPr>
          <w:rFonts w:asciiTheme="minorHAnsi" w:hAnsiTheme="minorHAnsi" w:cstheme="minorHAnsi"/>
          <w:sz w:val="24"/>
          <w:szCs w:val="24"/>
        </w:rPr>
        <w:t>commencement of clause 43. This reflects the general position that members of the public are entitled to rely on the law, and exercise rights under the law, until such time as it changes.</w:t>
      </w:r>
      <w:r w:rsidRPr="0061466F">
        <w:rPr>
          <w:rFonts w:asciiTheme="minorHAnsi" w:hAnsiTheme="minorHAnsi" w:cstheme="minorHAnsi"/>
          <w:sz w:val="24"/>
          <w:szCs w:val="24"/>
        </w:rPr>
        <w:t xml:space="preserve"> The </w:t>
      </w:r>
      <w:r w:rsidR="007D2792">
        <w:rPr>
          <w:rFonts w:asciiTheme="minorHAnsi" w:hAnsiTheme="minorHAnsi" w:cstheme="minorHAnsi"/>
          <w:sz w:val="24"/>
          <w:szCs w:val="24"/>
        </w:rPr>
        <w:t xml:space="preserve">transitional </w:t>
      </w:r>
      <w:r w:rsidRPr="0061466F">
        <w:rPr>
          <w:rFonts w:asciiTheme="minorHAnsi" w:hAnsiTheme="minorHAnsi" w:cstheme="minorHAnsi"/>
          <w:sz w:val="24"/>
          <w:szCs w:val="24"/>
        </w:rPr>
        <w:t xml:space="preserve">provision </w:t>
      </w:r>
      <w:r w:rsidR="007D2792">
        <w:rPr>
          <w:rFonts w:asciiTheme="minorHAnsi" w:hAnsiTheme="minorHAnsi" w:cstheme="minorHAnsi"/>
          <w:sz w:val="24"/>
          <w:szCs w:val="24"/>
        </w:rPr>
        <w:t>will</w:t>
      </w:r>
      <w:r w:rsidRPr="0061466F">
        <w:rPr>
          <w:rFonts w:asciiTheme="minorHAnsi" w:hAnsiTheme="minorHAnsi" w:cstheme="minorHAnsi"/>
          <w:sz w:val="24"/>
          <w:szCs w:val="24"/>
        </w:rPr>
        <w:t xml:space="preserve"> avoid the retrospective invalidation of NTVs that were legally valid at the time of issue.  It is intended to create certainty and clarity for parties to a tenancy agreement as to the status of NTV</w:t>
      </w:r>
      <w:r w:rsidR="007D2792">
        <w:rPr>
          <w:rFonts w:asciiTheme="minorHAnsi" w:hAnsiTheme="minorHAnsi" w:cstheme="minorHAnsi"/>
          <w:sz w:val="24"/>
          <w:szCs w:val="24"/>
        </w:rPr>
        <w:t>s issued before commencement, for the avoidance of doubt where the vacate date is after commencement</w:t>
      </w:r>
      <w:r w:rsidRPr="0061466F">
        <w:rPr>
          <w:rFonts w:asciiTheme="minorHAnsi" w:hAnsiTheme="minorHAnsi" w:cstheme="minorHAnsi"/>
          <w:sz w:val="24"/>
          <w:szCs w:val="24"/>
        </w:rPr>
        <w:t xml:space="preserve">. </w:t>
      </w:r>
    </w:p>
    <w:p w14:paraId="72FD5DE6" w14:textId="2259EFEF" w:rsidR="00574CEA" w:rsidRDefault="007D2792" w:rsidP="00574CEA">
      <w:pPr>
        <w:jc w:val="both"/>
        <w:rPr>
          <w:sz w:val="24"/>
          <w:szCs w:val="24"/>
        </w:rPr>
      </w:pPr>
      <w:r>
        <w:rPr>
          <w:sz w:val="24"/>
          <w:szCs w:val="24"/>
        </w:rPr>
        <w:t>The amendments also include an amendment to the commencement provision for the Bill so that the transitional provision will commence by way of Ministerial notice, consistently with clause 43.</w:t>
      </w:r>
      <w:r w:rsidR="00574CEA" w:rsidRPr="00574CEA">
        <w:rPr>
          <w:sz w:val="24"/>
          <w:szCs w:val="24"/>
        </w:rPr>
        <w:t xml:space="preserve"> </w:t>
      </w:r>
      <w:r w:rsidR="00566FC8">
        <w:rPr>
          <w:sz w:val="24"/>
          <w:szCs w:val="24"/>
        </w:rPr>
        <w:t>A</w:t>
      </w:r>
      <w:r w:rsidR="00566FC8" w:rsidRPr="00361BA4">
        <w:rPr>
          <w:sz w:val="24"/>
          <w:szCs w:val="24"/>
        </w:rPr>
        <w:t xml:space="preserve"> copy of the amendments together with a </w:t>
      </w:r>
      <w:r w:rsidR="00566FC8">
        <w:rPr>
          <w:sz w:val="24"/>
          <w:szCs w:val="24"/>
        </w:rPr>
        <w:t xml:space="preserve">Supplementary </w:t>
      </w:r>
      <w:r w:rsidR="00566FC8" w:rsidRPr="00361BA4">
        <w:rPr>
          <w:sz w:val="24"/>
          <w:szCs w:val="24"/>
        </w:rPr>
        <w:t>Explanatory Statement</w:t>
      </w:r>
      <w:r w:rsidR="00566FC8">
        <w:rPr>
          <w:sz w:val="24"/>
          <w:szCs w:val="24"/>
        </w:rPr>
        <w:t xml:space="preserve"> are at </w:t>
      </w:r>
      <w:r w:rsidR="00566FC8" w:rsidRPr="00566FC8">
        <w:rPr>
          <w:sz w:val="24"/>
          <w:szCs w:val="24"/>
          <w:u w:val="single"/>
        </w:rPr>
        <w:t xml:space="preserve">Attachments </w:t>
      </w:r>
      <w:r w:rsidR="0064120F">
        <w:rPr>
          <w:sz w:val="24"/>
          <w:szCs w:val="24"/>
          <w:u w:val="single"/>
        </w:rPr>
        <w:t>D</w:t>
      </w:r>
      <w:r w:rsidR="00566FC8" w:rsidRPr="00566FC8">
        <w:rPr>
          <w:sz w:val="24"/>
          <w:szCs w:val="24"/>
          <w:u w:val="single"/>
        </w:rPr>
        <w:t xml:space="preserve"> and </w:t>
      </w:r>
      <w:r w:rsidR="0064120F">
        <w:rPr>
          <w:sz w:val="24"/>
          <w:szCs w:val="24"/>
          <w:u w:val="single"/>
        </w:rPr>
        <w:t>E</w:t>
      </w:r>
      <w:r w:rsidR="00566FC8">
        <w:rPr>
          <w:sz w:val="24"/>
          <w:szCs w:val="24"/>
        </w:rPr>
        <w:t xml:space="preserve"> respectively.</w:t>
      </w:r>
    </w:p>
    <w:p w14:paraId="2288A255" w14:textId="3D4E590E" w:rsidR="000838BA" w:rsidRDefault="000838BA" w:rsidP="00574CEA">
      <w:pPr>
        <w:jc w:val="both"/>
        <w:rPr>
          <w:sz w:val="24"/>
          <w:szCs w:val="24"/>
        </w:rPr>
      </w:pPr>
      <w:r>
        <w:rPr>
          <w:sz w:val="24"/>
          <w:szCs w:val="24"/>
        </w:rPr>
        <w:t xml:space="preserve">I note the proposed transitional provision will engage and may limit the right to privacy. The privacy implications of the transitional provision are addressed in the Supplementary Explanatory Statement. </w:t>
      </w:r>
      <w:r w:rsidR="00566FC8">
        <w:rPr>
          <w:sz w:val="24"/>
          <w:szCs w:val="24"/>
        </w:rPr>
        <w:t xml:space="preserve">I also note both the </w:t>
      </w:r>
      <w:r w:rsidR="00233BF7">
        <w:rPr>
          <w:sz w:val="24"/>
          <w:szCs w:val="24"/>
        </w:rPr>
        <w:t xml:space="preserve">ACT </w:t>
      </w:r>
      <w:r w:rsidR="00566FC8">
        <w:rPr>
          <w:sz w:val="24"/>
          <w:szCs w:val="24"/>
        </w:rPr>
        <w:t>Human Right</w:t>
      </w:r>
      <w:r w:rsidR="00233BF7">
        <w:rPr>
          <w:sz w:val="24"/>
          <w:szCs w:val="24"/>
        </w:rPr>
        <w:t>s</w:t>
      </w:r>
      <w:r w:rsidR="00566FC8">
        <w:rPr>
          <w:sz w:val="24"/>
          <w:szCs w:val="24"/>
        </w:rPr>
        <w:t xml:space="preserve"> Commission and the Human Rights Scrutiny team in the Justice and Community Safety Directorate were consulted about the </w:t>
      </w:r>
      <w:r w:rsidR="00233BF7">
        <w:rPr>
          <w:sz w:val="24"/>
          <w:szCs w:val="24"/>
        </w:rPr>
        <w:t>amendments</w:t>
      </w:r>
      <w:r w:rsidR="00566FC8">
        <w:rPr>
          <w:sz w:val="24"/>
          <w:szCs w:val="24"/>
        </w:rPr>
        <w:t xml:space="preserve"> and</w:t>
      </w:r>
      <w:r w:rsidR="00233BF7">
        <w:rPr>
          <w:sz w:val="24"/>
          <w:szCs w:val="24"/>
        </w:rPr>
        <w:t xml:space="preserve"> are supportive of them</w:t>
      </w:r>
      <w:r w:rsidR="00566FC8">
        <w:rPr>
          <w:sz w:val="24"/>
          <w:szCs w:val="24"/>
        </w:rPr>
        <w:t xml:space="preserve">. </w:t>
      </w:r>
    </w:p>
    <w:p w14:paraId="436DE966" w14:textId="30338468" w:rsidR="00BB1D2F" w:rsidRPr="00A031A0" w:rsidRDefault="0061466F" w:rsidP="00C662C0">
      <w:pPr>
        <w:rPr>
          <w:sz w:val="24"/>
          <w:szCs w:val="24"/>
        </w:rPr>
      </w:pPr>
      <w:r w:rsidRPr="00361BA4">
        <w:rPr>
          <w:sz w:val="24"/>
          <w:szCs w:val="24"/>
        </w:rPr>
        <w:t>Thank you for your consideration of these amendments</w:t>
      </w:r>
      <w:r w:rsidR="00E862C3">
        <w:rPr>
          <w:sz w:val="24"/>
          <w:szCs w:val="24"/>
        </w:rPr>
        <w:t xml:space="preserve"> and my response to your comments on the Bill</w:t>
      </w:r>
      <w:r w:rsidRPr="00361BA4">
        <w:rPr>
          <w:sz w:val="24"/>
          <w:szCs w:val="24"/>
        </w:rPr>
        <w:t>.</w:t>
      </w:r>
    </w:p>
    <w:p w14:paraId="2BCFFE80" w14:textId="77777777" w:rsidR="00AD7D31" w:rsidRPr="00A031A0" w:rsidRDefault="00AD7D31" w:rsidP="00AD7D31">
      <w:pPr>
        <w:spacing w:after="0" w:line="240" w:lineRule="auto"/>
        <w:rPr>
          <w:sz w:val="24"/>
          <w:szCs w:val="24"/>
        </w:rPr>
      </w:pPr>
      <w:r w:rsidRPr="00A031A0">
        <w:rPr>
          <w:sz w:val="24"/>
          <w:szCs w:val="24"/>
        </w:rPr>
        <w:t>Yours sincerely</w:t>
      </w:r>
    </w:p>
    <w:p w14:paraId="2D4876B6" w14:textId="77777777" w:rsidR="00AD7D31" w:rsidRDefault="00834846" w:rsidP="00AD7D31">
      <w:pPr>
        <w:spacing w:after="0" w:line="240" w:lineRule="auto"/>
        <w:rPr>
          <w:sz w:val="24"/>
          <w:szCs w:val="24"/>
        </w:rPr>
      </w:pPr>
      <w:r w:rsidRPr="00A031A0">
        <w:rPr>
          <w:sz w:val="24"/>
          <w:szCs w:val="24"/>
        </w:rPr>
        <w:br/>
      </w:r>
    </w:p>
    <w:p w14:paraId="4FFEEAC6" w14:textId="47ED20D5" w:rsidR="008D37E0" w:rsidRDefault="008D37E0" w:rsidP="00AD7D31">
      <w:pPr>
        <w:spacing w:after="0" w:line="240" w:lineRule="auto"/>
        <w:rPr>
          <w:sz w:val="24"/>
          <w:szCs w:val="24"/>
        </w:rPr>
      </w:pPr>
    </w:p>
    <w:p w14:paraId="6F1160A5" w14:textId="77777777" w:rsidR="004C7928" w:rsidRPr="00A031A0" w:rsidRDefault="004C7928" w:rsidP="00AD7D31">
      <w:pPr>
        <w:spacing w:after="0" w:line="240" w:lineRule="auto"/>
        <w:rPr>
          <w:sz w:val="24"/>
          <w:szCs w:val="24"/>
        </w:rPr>
      </w:pPr>
    </w:p>
    <w:p w14:paraId="111A8FEA" w14:textId="77777777" w:rsidR="004B5827" w:rsidRPr="00A031A0" w:rsidRDefault="004B5827" w:rsidP="004B5827">
      <w:pPr>
        <w:spacing w:after="0" w:line="240" w:lineRule="auto"/>
        <w:rPr>
          <w:sz w:val="24"/>
          <w:szCs w:val="24"/>
        </w:rPr>
      </w:pPr>
      <w:r>
        <w:rPr>
          <w:sz w:val="24"/>
          <w:szCs w:val="24"/>
        </w:rPr>
        <w:t>Shane Rattenbury</w:t>
      </w:r>
      <w:r w:rsidRPr="00A031A0">
        <w:rPr>
          <w:sz w:val="24"/>
          <w:szCs w:val="24"/>
        </w:rPr>
        <w:t xml:space="preserve"> MLA</w:t>
      </w:r>
    </w:p>
    <w:p w14:paraId="29AF06E7" w14:textId="4757B076" w:rsidR="00725519" w:rsidRDefault="00F14007" w:rsidP="008A4D5B">
      <w:pPr>
        <w:pStyle w:val="Header"/>
        <w:tabs>
          <w:tab w:val="left" w:pos="720"/>
        </w:tabs>
        <w:rPr>
          <w:sz w:val="24"/>
          <w:szCs w:val="24"/>
        </w:rPr>
      </w:pPr>
      <w:r>
        <w:rPr>
          <w:noProof/>
          <w:lang w:eastAsia="en-AU"/>
        </w:rPr>
        <mc:AlternateContent>
          <mc:Choice Requires="wps">
            <w:drawing>
              <wp:anchor distT="0" distB="0" distL="114300" distR="114300" simplePos="0" relativeHeight="251666432" behindDoc="1" locked="0" layoutInCell="1" allowOverlap="1" wp14:anchorId="3AA8A037" wp14:editId="72171EB7">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A037"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r w:rsidR="004C7928">
        <w:rPr>
          <w:sz w:val="24"/>
          <w:szCs w:val="24"/>
        </w:rPr>
        <w:t xml:space="preserve">Attorney-General </w:t>
      </w:r>
    </w:p>
    <w:p w14:paraId="72D03609" w14:textId="7ECAADA7" w:rsidR="00DC3554" w:rsidRDefault="00DC3554" w:rsidP="008A4D5B">
      <w:pPr>
        <w:pStyle w:val="Header"/>
        <w:tabs>
          <w:tab w:val="left" w:pos="720"/>
        </w:tabs>
        <w:rPr>
          <w:sz w:val="24"/>
          <w:szCs w:val="24"/>
        </w:rPr>
      </w:pPr>
    </w:p>
    <w:p w14:paraId="09F09B67" w14:textId="3789E754" w:rsidR="00C662C0" w:rsidRDefault="00C662C0" w:rsidP="008A4D5B">
      <w:pPr>
        <w:pStyle w:val="Header"/>
        <w:tabs>
          <w:tab w:val="left" w:pos="720"/>
        </w:tabs>
        <w:rPr>
          <w:sz w:val="24"/>
          <w:szCs w:val="24"/>
        </w:rPr>
      </w:pPr>
      <w:r>
        <w:rPr>
          <w:sz w:val="24"/>
          <w:szCs w:val="24"/>
        </w:rPr>
        <w:t>Encl.</w:t>
      </w:r>
    </w:p>
    <w:p w14:paraId="407C5775" w14:textId="7D340A74" w:rsidR="00C662C0" w:rsidRDefault="00C662C0" w:rsidP="008A4D5B">
      <w:pPr>
        <w:pStyle w:val="Header"/>
        <w:tabs>
          <w:tab w:val="left" w:pos="720"/>
        </w:tabs>
        <w:rPr>
          <w:sz w:val="24"/>
          <w:szCs w:val="24"/>
        </w:rPr>
      </w:pPr>
    </w:p>
    <w:p w14:paraId="5081F402" w14:textId="247AD1E9" w:rsidR="00C662C0" w:rsidRDefault="00C662C0" w:rsidP="008A4D5B">
      <w:pPr>
        <w:pStyle w:val="Header"/>
        <w:tabs>
          <w:tab w:val="left" w:pos="720"/>
        </w:tabs>
        <w:rPr>
          <w:sz w:val="24"/>
          <w:szCs w:val="24"/>
        </w:rPr>
      </w:pPr>
    </w:p>
    <w:p w14:paraId="16D3A1AD" w14:textId="4FEE2F01" w:rsidR="00C662C0" w:rsidRDefault="00C662C0" w:rsidP="008A4D5B">
      <w:pPr>
        <w:pStyle w:val="Header"/>
        <w:tabs>
          <w:tab w:val="left" w:pos="720"/>
        </w:tabs>
        <w:rPr>
          <w:sz w:val="24"/>
          <w:szCs w:val="24"/>
        </w:rPr>
      </w:pPr>
    </w:p>
    <w:p w14:paraId="7F8E2C4D" w14:textId="77777777" w:rsidR="00C662C0" w:rsidRDefault="00C662C0" w:rsidP="008A4D5B">
      <w:pPr>
        <w:pStyle w:val="Header"/>
        <w:tabs>
          <w:tab w:val="left" w:pos="720"/>
        </w:tabs>
        <w:rPr>
          <w:sz w:val="24"/>
          <w:szCs w:val="24"/>
        </w:rPr>
      </w:pPr>
    </w:p>
    <w:p w14:paraId="059BFFFD" w14:textId="77777777" w:rsidR="00C662C0" w:rsidRDefault="00C662C0" w:rsidP="008A4D5B">
      <w:pPr>
        <w:pStyle w:val="Header"/>
        <w:tabs>
          <w:tab w:val="left" w:pos="720"/>
        </w:tabs>
        <w:rPr>
          <w:sz w:val="24"/>
          <w:szCs w:val="24"/>
        </w:rPr>
      </w:pPr>
    </w:p>
    <w:p w14:paraId="1BF208E7" w14:textId="703D180A" w:rsidR="00DC3554" w:rsidRPr="00CB0696" w:rsidRDefault="00DC3554" w:rsidP="008A4D5B">
      <w:pPr>
        <w:pStyle w:val="Header"/>
        <w:tabs>
          <w:tab w:val="left" w:pos="720"/>
        </w:tabs>
        <w:rPr>
          <w:b/>
          <w:bCs/>
          <w:sz w:val="24"/>
          <w:szCs w:val="24"/>
        </w:rPr>
      </w:pPr>
      <w:r w:rsidRPr="00CB0696">
        <w:rPr>
          <w:b/>
          <w:bCs/>
          <w:sz w:val="24"/>
          <w:szCs w:val="24"/>
        </w:rPr>
        <w:lastRenderedPageBreak/>
        <w:t>Attachments:</w:t>
      </w:r>
    </w:p>
    <w:p w14:paraId="49EC263A" w14:textId="3478C062" w:rsidR="00DC3554" w:rsidRDefault="00DC3554" w:rsidP="008A4D5B">
      <w:pPr>
        <w:pStyle w:val="Header"/>
        <w:tabs>
          <w:tab w:val="left" w:pos="720"/>
        </w:tabs>
        <w:rPr>
          <w:sz w:val="24"/>
          <w:szCs w:val="24"/>
        </w:rPr>
      </w:pPr>
    </w:p>
    <w:tbl>
      <w:tblPr>
        <w:tblStyle w:val="TableGrid"/>
        <w:tblW w:w="0" w:type="auto"/>
        <w:tblLook w:val="04A0" w:firstRow="1" w:lastRow="0" w:firstColumn="1" w:lastColumn="0" w:noHBand="0" w:noVBand="1"/>
      </w:tblPr>
      <w:tblGrid>
        <w:gridCol w:w="1980"/>
        <w:gridCol w:w="7796"/>
      </w:tblGrid>
      <w:tr w:rsidR="0064120F" w14:paraId="57B2150E" w14:textId="77777777" w:rsidTr="00ED7848">
        <w:tc>
          <w:tcPr>
            <w:tcW w:w="1980" w:type="dxa"/>
          </w:tcPr>
          <w:p w14:paraId="73231038" w14:textId="3CEA6C5A" w:rsidR="0064120F" w:rsidRDefault="0064120F" w:rsidP="0064120F">
            <w:pPr>
              <w:pStyle w:val="Header"/>
              <w:tabs>
                <w:tab w:val="left" w:pos="720"/>
              </w:tabs>
              <w:rPr>
                <w:sz w:val="24"/>
                <w:szCs w:val="24"/>
              </w:rPr>
            </w:pPr>
            <w:bookmarkStart w:id="2" w:name="_Hlk127866789"/>
            <w:r>
              <w:rPr>
                <w:sz w:val="24"/>
                <w:szCs w:val="24"/>
              </w:rPr>
              <w:t>Attachment A</w:t>
            </w:r>
          </w:p>
        </w:tc>
        <w:tc>
          <w:tcPr>
            <w:tcW w:w="7796" w:type="dxa"/>
          </w:tcPr>
          <w:p w14:paraId="233231ED" w14:textId="4D6C6898" w:rsidR="0064120F" w:rsidRPr="00DC3554" w:rsidRDefault="0064120F" w:rsidP="0064120F">
            <w:pPr>
              <w:pStyle w:val="Header"/>
              <w:tabs>
                <w:tab w:val="left" w:pos="720"/>
              </w:tabs>
              <w:rPr>
                <w:sz w:val="24"/>
                <w:szCs w:val="24"/>
              </w:rPr>
            </w:pPr>
            <w:r>
              <w:rPr>
                <w:sz w:val="24"/>
                <w:szCs w:val="24"/>
              </w:rPr>
              <w:t xml:space="preserve">Presentation Copy - </w:t>
            </w:r>
            <w:r w:rsidRPr="004D47F6">
              <w:rPr>
                <w:sz w:val="24"/>
                <w:szCs w:val="24"/>
              </w:rPr>
              <w:t>Residential Tenancies Legislation Amendment Bill 2022</w:t>
            </w:r>
          </w:p>
        </w:tc>
      </w:tr>
      <w:tr w:rsidR="0064120F" w14:paraId="1EF81715" w14:textId="77777777" w:rsidTr="00ED7848">
        <w:tc>
          <w:tcPr>
            <w:tcW w:w="1980" w:type="dxa"/>
          </w:tcPr>
          <w:p w14:paraId="65DEB09F" w14:textId="533F061A" w:rsidR="0064120F" w:rsidRDefault="0064120F" w:rsidP="0064120F">
            <w:pPr>
              <w:pStyle w:val="Header"/>
              <w:tabs>
                <w:tab w:val="left" w:pos="720"/>
              </w:tabs>
              <w:rPr>
                <w:sz w:val="24"/>
                <w:szCs w:val="24"/>
              </w:rPr>
            </w:pPr>
            <w:r>
              <w:rPr>
                <w:sz w:val="24"/>
                <w:szCs w:val="24"/>
              </w:rPr>
              <w:t>Attachment B</w:t>
            </w:r>
          </w:p>
        </w:tc>
        <w:tc>
          <w:tcPr>
            <w:tcW w:w="7796" w:type="dxa"/>
          </w:tcPr>
          <w:p w14:paraId="2B2AAB3D" w14:textId="0EA3F01E" w:rsidR="0064120F" w:rsidRDefault="0064120F" w:rsidP="0064120F">
            <w:pPr>
              <w:pStyle w:val="Header"/>
              <w:tabs>
                <w:tab w:val="left" w:pos="720"/>
              </w:tabs>
              <w:rPr>
                <w:sz w:val="24"/>
                <w:szCs w:val="24"/>
              </w:rPr>
            </w:pPr>
            <w:r>
              <w:rPr>
                <w:sz w:val="24"/>
                <w:szCs w:val="24"/>
              </w:rPr>
              <w:t xml:space="preserve">Presentation Copy - Explanatory Statement - </w:t>
            </w:r>
            <w:r w:rsidRPr="004D47F6">
              <w:rPr>
                <w:sz w:val="24"/>
                <w:szCs w:val="24"/>
              </w:rPr>
              <w:t>Residential Tenancies Legislation Amendment Bill 2022</w:t>
            </w:r>
          </w:p>
        </w:tc>
      </w:tr>
      <w:tr w:rsidR="0064120F" w14:paraId="65E013A9" w14:textId="77777777" w:rsidTr="00ED7848">
        <w:tc>
          <w:tcPr>
            <w:tcW w:w="1980" w:type="dxa"/>
          </w:tcPr>
          <w:p w14:paraId="4E718E1E" w14:textId="492929EF" w:rsidR="0064120F" w:rsidRDefault="0064120F" w:rsidP="0064120F">
            <w:pPr>
              <w:pStyle w:val="Header"/>
              <w:tabs>
                <w:tab w:val="left" w:pos="720"/>
              </w:tabs>
              <w:rPr>
                <w:sz w:val="24"/>
                <w:szCs w:val="24"/>
              </w:rPr>
            </w:pPr>
            <w:r>
              <w:rPr>
                <w:sz w:val="24"/>
                <w:szCs w:val="24"/>
              </w:rPr>
              <w:t>Attachment C</w:t>
            </w:r>
          </w:p>
        </w:tc>
        <w:tc>
          <w:tcPr>
            <w:tcW w:w="7796" w:type="dxa"/>
          </w:tcPr>
          <w:p w14:paraId="75660523" w14:textId="50C2A4A5" w:rsidR="0064120F" w:rsidRDefault="0064120F" w:rsidP="0064120F">
            <w:pPr>
              <w:pStyle w:val="Header"/>
              <w:tabs>
                <w:tab w:val="left" w:pos="720"/>
              </w:tabs>
              <w:rPr>
                <w:sz w:val="24"/>
                <w:szCs w:val="24"/>
              </w:rPr>
            </w:pPr>
            <w:r>
              <w:rPr>
                <w:sz w:val="24"/>
                <w:szCs w:val="24"/>
              </w:rPr>
              <w:t xml:space="preserve">Revised Explanatory Statement - </w:t>
            </w:r>
            <w:r w:rsidRPr="004D47F6">
              <w:rPr>
                <w:sz w:val="24"/>
                <w:szCs w:val="24"/>
              </w:rPr>
              <w:t>Residential Tenancies Legislation Amendment Bill 2022</w:t>
            </w:r>
          </w:p>
        </w:tc>
      </w:tr>
      <w:tr w:rsidR="0064120F" w14:paraId="6462CD8F" w14:textId="77777777" w:rsidTr="00ED7848">
        <w:tc>
          <w:tcPr>
            <w:tcW w:w="1980" w:type="dxa"/>
          </w:tcPr>
          <w:p w14:paraId="4E30AB06" w14:textId="21FF2EEA" w:rsidR="0064120F" w:rsidRDefault="0064120F" w:rsidP="0064120F">
            <w:pPr>
              <w:pStyle w:val="Header"/>
              <w:tabs>
                <w:tab w:val="left" w:pos="720"/>
              </w:tabs>
              <w:rPr>
                <w:sz w:val="24"/>
                <w:szCs w:val="24"/>
              </w:rPr>
            </w:pPr>
            <w:r>
              <w:rPr>
                <w:sz w:val="24"/>
                <w:szCs w:val="24"/>
              </w:rPr>
              <w:t>Attachment D</w:t>
            </w:r>
          </w:p>
        </w:tc>
        <w:tc>
          <w:tcPr>
            <w:tcW w:w="7796" w:type="dxa"/>
          </w:tcPr>
          <w:p w14:paraId="3C1DF593" w14:textId="4338AF19" w:rsidR="0064120F" w:rsidRDefault="0064120F" w:rsidP="0064120F">
            <w:pPr>
              <w:pStyle w:val="Header"/>
              <w:tabs>
                <w:tab w:val="left" w:pos="720"/>
              </w:tabs>
              <w:rPr>
                <w:sz w:val="24"/>
                <w:szCs w:val="24"/>
              </w:rPr>
            </w:pPr>
            <w:r>
              <w:rPr>
                <w:sz w:val="24"/>
                <w:szCs w:val="24"/>
              </w:rPr>
              <w:t xml:space="preserve">Government Amendment </w:t>
            </w:r>
            <w:r w:rsidR="00CD5195">
              <w:rPr>
                <w:sz w:val="24"/>
                <w:szCs w:val="24"/>
              </w:rPr>
              <w:t>-</w:t>
            </w:r>
            <w:r>
              <w:rPr>
                <w:sz w:val="24"/>
                <w:szCs w:val="24"/>
              </w:rPr>
              <w:t xml:space="preserve"> </w:t>
            </w:r>
            <w:r w:rsidRPr="004D47F6">
              <w:rPr>
                <w:sz w:val="24"/>
                <w:szCs w:val="24"/>
              </w:rPr>
              <w:t>Residential Tenancies Legislation Amendment Bill 2022</w:t>
            </w:r>
          </w:p>
        </w:tc>
      </w:tr>
      <w:tr w:rsidR="0064120F" w14:paraId="48BF2C9F" w14:textId="77777777" w:rsidTr="00ED7848">
        <w:tc>
          <w:tcPr>
            <w:tcW w:w="1980" w:type="dxa"/>
          </w:tcPr>
          <w:p w14:paraId="4A8098F9" w14:textId="7B727240" w:rsidR="0064120F" w:rsidRDefault="0064120F" w:rsidP="0064120F">
            <w:pPr>
              <w:pStyle w:val="Header"/>
              <w:tabs>
                <w:tab w:val="left" w:pos="720"/>
              </w:tabs>
              <w:rPr>
                <w:sz w:val="24"/>
                <w:szCs w:val="24"/>
              </w:rPr>
            </w:pPr>
            <w:r>
              <w:rPr>
                <w:sz w:val="24"/>
                <w:szCs w:val="24"/>
              </w:rPr>
              <w:t>Attachment E</w:t>
            </w:r>
          </w:p>
        </w:tc>
        <w:tc>
          <w:tcPr>
            <w:tcW w:w="7796" w:type="dxa"/>
          </w:tcPr>
          <w:p w14:paraId="42797661" w14:textId="533B5D7E" w:rsidR="0064120F" w:rsidRDefault="0064120F" w:rsidP="0064120F">
            <w:pPr>
              <w:pStyle w:val="Header"/>
              <w:tabs>
                <w:tab w:val="left" w:pos="720"/>
              </w:tabs>
              <w:rPr>
                <w:sz w:val="24"/>
                <w:szCs w:val="24"/>
              </w:rPr>
            </w:pPr>
            <w:r>
              <w:rPr>
                <w:sz w:val="24"/>
                <w:szCs w:val="24"/>
              </w:rPr>
              <w:t xml:space="preserve">Supplementary Explanatory Statement - </w:t>
            </w:r>
            <w:r w:rsidRPr="004D47F6">
              <w:rPr>
                <w:sz w:val="24"/>
                <w:szCs w:val="24"/>
              </w:rPr>
              <w:t>Residential Tenancies Legislation Amendment Bill 2022</w:t>
            </w:r>
          </w:p>
        </w:tc>
      </w:tr>
      <w:bookmarkEnd w:id="2"/>
    </w:tbl>
    <w:p w14:paraId="621BE720" w14:textId="4E077245" w:rsidR="00DC3554" w:rsidRDefault="00DC3554" w:rsidP="008A4D5B">
      <w:pPr>
        <w:pStyle w:val="Header"/>
        <w:tabs>
          <w:tab w:val="left" w:pos="720"/>
        </w:tabs>
        <w:rPr>
          <w:sz w:val="24"/>
          <w:szCs w:val="24"/>
        </w:rPr>
      </w:pPr>
    </w:p>
    <w:sectPr w:rsidR="00DC3554" w:rsidSect="0036465B">
      <w:headerReference w:type="even" r:id="rId13"/>
      <w:headerReference w:type="default" r:id="rId14"/>
      <w:footerReference w:type="even" r:id="rId15"/>
      <w:footerReference w:type="default" r:id="rId16"/>
      <w:headerReference w:type="first" r:id="rId17"/>
      <w:footerReference w:type="first" r:id="rId18"/>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DDE5" w14:textId="77777777" w:rsidR="00BE604F" w:rsidRDefault="00BE604F" w:rsidP="00AD7D31">
      <w:pPr>
        <w:spacing w:after="0" w:line="240" w:lineRule="auto"/>
      </w:pPr>
      <w:r>
        <w:separator/>
      </w:r>
    </w:p>
  </w:endnote>
  <w:endnote w:type="continuationSeparator" w:id="0">
    <w:p w14:paraId="5FE6788B" w14:textId="77777777" w:rsidR="00BE604F" w:rsidRDefault="00BE604F"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CDBA" w14:textId="77777777" w:rsidR="0008318D" w:rsidRDefault="00083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729337"/>
      <w:docPartObj>
        <w:docPartGallery w:val="Page Numbers (Bottom of Page)"/>
        <w:docPartUnique/>
      </w:docPartObj>
    </w:sdtPr>
    <w:sdtEndPr>
      <w:rPr>
        <w:noProof/>
      </w:rPr>
    </w:sdtEndPr>
    <w:sdtContent>
      <w:p w14:paraId="284A1153" w14:textId="02DA6229" w:rsidR="0008318D" w:rsidRDefault="0008318D">
        <w:pPr>
          <w:pStyle w:val="Footer"/>
        </w:pPr>
        <w:r>
          <w:fldChar w:fldCharType="begin"/>
        </w:r>
        <w:r>
          <w:instrText xml:space="preserve"> PAGE   \* MERGEFORMAT </w:instrText>
        </w:r>
        <w:r>
          <w:fldChar w:fldCharType="separate"/>
        </w:r>
        <w:r>
          <w:rPr>
            <w:noProof/>
          </w:rPr>
          <w:t>2</w:t>
        </w:r>
        <w:r>
          <w:rPr>
            <w:noProof/>
          </w:rPr>
          <w:fldChar w:fldCharType="end"/>
        </w:r>
      </w:p>
    </w:sdtContent>
  </w:sdt>
  <w:p w14:paraId="60729EFC" w14:textId="77777777" w:rsidR="0008318D" w:rsidRDefault="00083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93A1"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7E67E90F" wp14:editId="50AB2F04">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5281AA30" w14:textId="77777777" w:rsidTr="00B46868">
      <w:trPr>
        <w:trHeight w:val="340"/>
        <w:jc w:val="right"/>
      </w:trPr>
      <w:tc>
        <w:tcPr>
          <w:tcW w:w="6804" w:type="dxa"/>
          <w:gridSpan w:val="4"/>
          <w:tcBorders>
            <w:top w:val="nil"/>
            <w:bottom w:val="single" w:sz="4" w:space="0" w:color="724793"/>
          </w:tcBorders>
        </w:tcPr>
        <w:p w14:paraId="71B5476A"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77E925E4" w14:textId="77777777" w:rsidTr="00B46868">
      <w:trPr>
        <w:trHeight w:val="20"/>
        <w:jc w:val="right"/>
      </w:trPr>
      <w:tc>
        <w:tcPr>
          <w:tcW w:w="425" w:type="dxa"/>
          <w:tcBorders>
            <w:top w:val="single" w:sz="4" w:space="0" w:color="724793"/>
            <w:bottom w:val="nil"/>
          </w:tcBorders>
          <w:vAlign w:val="center"/>
        </w:tcPr>
        <w:p w14:paraId="536AD6DE"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44C1DDE9"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5C6B16A0"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E62117C" wp14:editId="5345990A">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508E22D"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134FCFF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00CEA0D" wp14:editId="7A7BD141">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C3C06E9"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5DF2959A" w14:textId="77777777" w:rsidTr="00B46868">
      <w:trPr>
        <w:trHeight w:val="20"/>
        <w:jc w:val="right"/>
      </w:trPr>
      <w:tc>
        <w:tcPr>
          <w:tcW w:w="425" w:type="dxa"/>
          <w:tcBorders>
            <w:top w:val="nil"/>
            <w:bottom w:val="nil"/>
          </w:tcBorders>
          <w:vAlign w:val="center"/>
        </w:tcPr>
        <w:p w14:paraId="465F97C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C4DD819"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B17B753" wp14:editId="57E0F026">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EB8162C"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3168232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6B69CB87" wp14:editId="54B1DF32">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3A7BC43"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03187FFC"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46CC6365" wp14:editId="2A0DF88D">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BE73559"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w:t>
          </w:r>
        </w:p>
      </w:tc>
    </w:tr>
  </w:tbl>
  <w:p w14:paraId="0ED99EB5" w14:textId="77777777" w:rsidR="008C5119" w:rsidRDefault="008C5119" w:rsidP="00804EA0">
    <w:pPr>
      <w:pStyle w:val="Footer"/>
      <w:jc w:val="center"/>
    </w:pPr>
  </w:p>
  <w:p w14:paraId="4DAA2C0B"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C59D" w14:textId="77777777" w:rsidR="00BE604F" w:rsidRDefault="00BE604F" w:rsidP="00AD7D31">
      <w:pPr>
        <w:spacing w:after="0" w:line="240" w:lineRule="auto"/>
      </w:pPr>
      <w:r>
        <w:separator/>
      </w:r>
    </w:p>
  </w:footnote>
  <w:footnote w:type="continuationSeparator" w:id="0">
    <w:p w14:paraId="539E02D7" w14:textId="77777777" w:rsidR="00BE604F" w:rsidRDefault="00BE604F"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FA39" w14:textId="77777777" w:rsidR="0008318D" w:rsidRDefault="000831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5E4E" w14:textId="77777777" w:rsidR="0008318D" w:rsidRDefault="000831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C91D"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2604E12" wp14:editId="439FB3EC">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0C64518" wp14:editId="31558AD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3236835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41341549"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41EE12C9"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39BBAA14" wp14:editId="6F788A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963E2"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00A"/>
    <w:multiLevelType w:val="hybridMultilevel"/>
    <w:tmpl w:val="D414A4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35872B8"/>
    <w:multiLevelType w:val="hybridMultilevel"/>
    <w:tmpl w:val="ECD8E39E"/>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8E200A"/>
    <w:multiLevelType w:val="hybridMultilevel"/>
    <w:tmpl w:val="EFE0F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4E4864"/>
    <w:multiLevelType w:val="hybridMultilevel"/>
    <w:tmpl w:val="2DEAE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7917693">
    <w:abstractNumId w:val="3"/>
  </w:num>
  <w:num w:numId="2" w16cid:durableId="562326606">
    <w:abstractNumId w:val="2"/>
  </w:num>
  <w:num w:numId="3" w16cid:durableId="160050846">
    <w:abstractNumId w:val="1"/>
  </w:num>
  <w:num w:numId="4" w16cid:durableId="248319479">
    <w:abstractNumId w:val="0"/>
  </w:num>
  <w:num w:numId="5" w16cid:durableId="16065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B"/>
    <w:rsid w:val="00003B4A"/>
    <w:rsid w:val="00012431"/>
    <w:rsid w:val="000125FC"/>
    <w:rsid w:val="00027AFE"/>
    <w:rsid w:val="000466BD"/>
    <w:rsid w:val="0006371F"/>
    <w:rsid w:val="000828AD"/>
    <w:rsid w:val="0008318D"/>
    <w:rsid w:val="000838BA"/>
    <w:rsid w:val="000C331E"/>
    <w:rsid w:val="000E438E"/>
    <w:rsid w:val="001225FB"/>
    <w:rsid w:val="00131016"/>
    <w:rsid w:val="001328B0"/>
    <w:rsid w:val="00140592"/>
    <w:rsid w:val="001450DC"/>
    <w:rsid w:val="001804F3"/>
    <w:rsid w:val="001851B2"/>
    <w:rsid w:val="00195EAD"/>
    <w:rsid w:val="001A469C"/>
    <w:rsid w:val="001D7389"/>
    <w:rsid w:val="00233BF7"/>
    <w:rsid w:val="00240F3E"/>
    <w:rsid w:val="002450E9"/>
    <w:rsid w:val="002839B7"/>
    <w:rsid w:val="002914E2"/>
    <w:rsid w:val="002D4441"/>
    <w:rsid w:val="002E1D40"/>
    <w:rsid w:val="002E7245"/>
    <w:rsid w:val="00313E4A"/>
    <w:rsid w:val="003337A9"/>
    <w:rsid w:val="00353829"/>
    <w:rsid w:val="0036465B"/>
    <w:rsid w:val="003E4068"/>
    <w:rsid w:val="0041104E"/>
    <w:rsid w:val="00432EB4"/>
    <w:rsid w:val="00443CCA"/>
    <w:rsid w:val="00444566"/>
    <w:rsid w:val="00444F5C"/>
    <w:rsid w:val="004517FA"/>
    <w:rsid w:val="004B5827"/>
    <w:rsid w:val="004C7928"/>
    <w:rsid w:val="004D47F6"/>
    <w:rsid w:val="004F0C35"/>
    <w:rsid w:val="0052691E"/>
    <w:rsid w:val="00527F3C"/>
    <w:rsid w:val="005351C5"/>
    <w:rsid w:val="00540F2A"/>
    <w:rsid w:val="0055749D"/>
    <w:rsid w:val="00566FC8"/>
    <w:rsid w:val="00574CEA"/>
    <w:rsid w:val="005C4787"/>
    <w:rsid w:val="005D7931"/>
    <w:rsid w:val="005E7DE1"/>
    <w:rsid w:val="005F5D31"/>
    <w:rsid w:val="0061466F"/>
    <w:rsid w:val="0061634E"/>
    <w:rsid w:val="00620794"/>
    <w:rsid w:val="0064120F"/>
    <w:rsid w:val="0064748B"/>
    <w:rsid w:val="00655CD8"/>
    <w:rsid w:val="00696899"/>
    <w:rsid w:val="006A1B70"/>
    <w:rsid w:val="006C0AD3"/>
    <w:rsid w:val="006C6335"/>
    <w:rsid w:val="006E68DE"/>
    <w:rsid w:val="006F4E04"/>
    <w:rsid w:val="00712BA7"/>
    <w:rsid w:val="00715439"/>
    <w:rsid w:val="00725519"/>
    <w:rsid w:val="00742013"/>
    <w:rsid w:val="00751F7B"/>
    <w:rsid w:val="00777A63"/>
    <w:rsid w:val="00795E1D"/>
    <w:rsid w:val="007B465C"/>
    <w:rsid w:val="007D2792"/>
    <w:rsid w:val="007D7FAC"/>
    <w:rsid w:val="007F5BA8"/>
    <w:rsid w:val="007F5EF5"/>
    <w:rsid w:val="00804EA0"/>
    <w:rsid w:val="00806ACB"/>
    <w:rsid w:val="00811ADD"/>
    <w:rsid w:val="00834846"/>
    <w:rsid w:val="00855531"/>
    <w:rsid w:val="00866CEC"/>
    <w:rsid w:val="008670B1"/>
    <w:rsid w:val="008A04F4"/>
    <w:rsid w:val="008A4D5B"/>
    <w:rsid w:val="008C409B"/>
    <w:rsid w:val="008C5119"/>
    <w:rsid w:val="008D15E5"/>
    <w:rsid w:val="008D37E0"/>
    <w:rsid w:val="008D649A"/>
    <w:rsid w:val="00905F4F"/>
    <w:rsid w:val="00913475"/>
    <w:rsid w:val="009B6D21"/>
    <w:rsid w:val="009C259C"/>
    <w:rsid w:val="009C2877"/>
    <w:rsid w:val="009F62D6"/>
    <w:rsid w:val="00A031A0"/>
    <w:rsid w:val="00A2718B"/>
    <w:rsid w:val="00A53C5A"/>
    <w:rsid w:val="00A6097C"/>
    <w:rsid w:val="00A87DED"/>
    <w:rsid w:val="00A919EF"/>
    <w:rsid w:val="00AA5F79"/>
    <w:rsid w:val="00AD7D31"/>
    <w:rsid w:val="00AF08DA"/>
    <w:rsid w:val="00AF2B15"/>
    <w:rsid w:val="00B33A5C"/>
    <w:rsid w:val="00B85096"/>
    <w:rsid w:val="00B91F55"/>
    <w:rsid w:val="00BB1D2F"/>
    <w:rsid w:val="00BB2145"/>
    <w:rsid w:val="00BE1BEC"/>
    <w:rsid w:val="00BE604F"/>
    <w:rsid w:val="00C04DFF"/>
    <w:rsid w:val="00C22431"/>
    <w:rsid w:val="00C662C0"/>
    <w:rsid w:val="00CA0045"/>
    <w:rsid w:val="00CA4B9B"/>
    <w:rsid w:val="00CB0696"/>
    <w:rsid w:val="00CD5195"/>
    <w:rsid w:val="00D3389A"/>
    <w:rsid w:val="00D537B3"/>
    <w:rsid w:val="00D80C13"/>
    <w:rsid w:val="00D87D95"/>
    <w:rsid w:val="00DC299A"/>
    <w:rsid w:val="00DC3322"/>
    <w:rsid w:val="00DC3554"/>
    <w:rsid w:val="00DD766A"/>
    <w:rsid w:val="00E04FD9"/>
    <w:rsid w:val="00E80BC3"/>
    <w:rsid w:val="00E862C3"/>
    <w:rsid w:val="00E92685"/>
    <w:rsid w:val="00EA7B1C"/>
    <w:rsid w:val="00EB388C"/>
    <w:rsid w:val="00ED5634"/>
    <w:rsid w:val="00ED7848"/>
    <w:rsid w:val="00ED7876"/>
    <w:rsid w:val="00EE63F1"/>
    <w:rsid w:val="00EE6CA3"/>
    <w:rsid w:val="00EF0A8B"/>
    <w:rsid w:val="00F14007"/>
    <w:rsid w:val="00F50739"/>
    <w:rsid w:val="00F57A1A"/>
    <w:rsid w:val="00F972C5"/>
    <w:rsid w:val="00F97ABA"/>
    <w:rsid w:val="00FB6C11"/>
    <w:rsid w:val="00FC6D67"/>
    <w:rsid w:val="00FD5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7DB9"/>
  <w15:chartTrackingRefBased/>
  <w15:docId w15:val="{F30E6BCC-F041-4B8D-BF43-6AAF4D7C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4D47F6"/>
    <w:pPr>
      <w:ind w:left="720"/>
      <w:contextualSpacing/>
    </w:pPr>
    <w:rPr>
      <w:rFonts w:asciiTheme="minorHAnsi" w:eastAsiaTheme="minorHAnsi" w:hAnsiTheme="minorHAnsi" w:cstheme="minorBidi"/>
    </w:rPr>
  </w:style>
  <w:style w:type="paragraph" w:styleId="Revision">
    <w:name w:val="Revision"/>
    <w:hidden/>
    <w:uiPriority w:val="99"/>
    <w:semiHidden/>
    <w:rsid w:val="007D2792"/>
    <w:rPr>
      <w:sz w:val="22"/>
      <w:szCs w:val="22"/>
      <w:lang w:eastAsia="en-US"/>
    </w:rPr>
  </w:style>
  <w:style w:type="character" w:styleId="UnresolvedMention">
    <w:name w:val="Unresolved Mention"/>
    <w:basedOn w:val="DefaultParagraphFont"/>
    <w:uiPriority w:val="99"/>
    <w:semiHidden/>
    <w:unhideWhenUsed/>
    <w:rsid w:val="00012431"/>
    <w:rPr>
      <w:color w:val="605E5C"/>
      <w:shd w:val="clear" w:color="auto" w:fill="E1DFDD"/>
    </w:rPr>
  </w:style>
  <w:style w:type="paragraph" w:customStyle="1" w:styleId="normalweb">
    <w:name w:val="normalweb"/>
    <w:basedOn w:val="Normal"/>
    <w:rsid w:val="0091347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CS-AttachmentsTable">
    <w:name w:val="CS - Attachments Table"/>
    <w:basedOn w:val="Normal"/>
    <w:rsid w:val="00CB0696"/>
    <w:pPr>
      <w:spacing w:after="0" w:line="240" w:lineRule="auto"/>
      <w:ind w:right="-46"/>
    </w:pPr>
    <w:rPr>
      <w:rFonts w:asciiTheme="minorHAnsi" w:eastAsiaTheme="minorHAnsi" w:hAnsiTheme="minorHAnsi" w:cstheme="minorBidi"/>
      <w:sz w:val="24"/>
    </w:rPr>
  </w:style>
  <w:style w:type="paragraph" w:customStyle="1" w:styleId="CS-Paragraphnumbering">
    <w:name w:val="CS - Paragraph numbering"/>
    <w:basedOn w:val="Normal"/>
    <w:rsid w:val="00FD57E6"/>
    <w:pPr>
      <w:numPr>
        <w:numId w:val="3"/>
      </w:numPr>
      <w:spacing w:after="120" w:line="276" w:lineRule="auto"/>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rliament.act.gov.au/__data/assets/pdf_file/0004/2171056/Final-Scrutiny-Report-No-25.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Schilg, Cassie</dc:creator>
  <cp:keywords/>
  <dc:description/>
  <cp:lastModifiedBy>ACT Government Solicitor</cp:lastModifiedBy>
  <cp:revision>21</cp:revision>
  <cp:lastPrinted>2018-08-24T07:17:00Z</cp:lastPrinted>
  <dcterms:created xsi:type="dcterms:W3CDTF">2023-02-14T03:12:00Z</dcterms:created>
  <dcterms:modified xsi:type="dcterms:W3CDTF">2023-02-27T01:57:00Z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