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D0F7A" w14:textId="650158D1" w:rsidR="00ED225C" w:rsidRPr="00ED225C" w:rsidRDefault="001C07D3" w:rsidP="00CD7F25">
      <w:pPr>
        <w:pStyle w:val="Heading1"/>
      </w:pPr>
      <w:r>
        <w:t>Draft Variation to the Territory Plan No 364 Gungahlin Town Centre: Amendments to the Gungahlin precinct map and code</w:t>
      </w:r>
    </w:p>
    <w:p w14:paraId="0AC7A067" w14:textId="77D4BBCD" w:rsidR="00ED225C" w:rsidRPr="004001FB" w:rsidRDefault="001C07D3" w:rsidP="00D01952">
      <w:pPr>
        <w:pStyle w:val="CommitteeName"/>
      </w:pPr>
      <w:r>
        <w:t>Standing Committee on Planning, Transport and City Services</w:t>
      </w:r>
    </w:p>
    <w:p w14:paraId="2761442B" w14:textId="2AEC2439" w:rsidR="00ED225C" w:rsidRPr="001B4B71" w:rsidRDefault="001C07D3" w:rsidP="001B4B71">
      <w:pPr>
        <w:pStyle w:val="Date"/>
      </w:pPr>
      <w:r>
        <w:t>September 2021</w:t>
      </w:r>
    </w:p>
    <w:p w14:paraId="5980FAAA" w14:textId="4F88A282" w:rsidR="004001FB" w:rsidRDefault="00ED225C" w:rsidP="001C07D3">
      <w:pPr>
        <w:spacing w:before="600"/>
        <w:jc w:val="right"/>
        <w:rPr>
          <w:rFonts w:ascii="Arial Narrow" w:hAnsi="Arial Narrow"/>
          <w:smallCaps/>
          <w:sz w:val="24"/>
        </w:rPr>
      </w:pPr>
      <w:r w:rsidRPr="004001FB">
        <w:rPr>
          <w:rFonts w:ascii="Arial Narrow" w:hAnsi="Arial Narrow"/>
          <w:smallCaps/>
          <w:sz w:val="24"/>
        </w:rPr>
        <w:t xml:space="preserve">Report </w:t>
      </w:r>
      <w:r w:rsidR="00247C75">
        <w:rPr>
          <w:rFonts w:ascii="Arial Narrow" w:hAnsi="Arial Narrow"/>
          <w:smallCaps/>
          <w:sz w:val="24"/>
        </w:rPr>
        <w:t>5</w:t>
      </w:r>
    </w:p>
    <w:p w14:paraId="441D2BD1" w14:textId="77777777" w:rsidR="0020656E" w:rsidRDefault="0020656E" w:rsidP="0096033A">
      <w:pPr>
        <w:spacing w:before="480"/>
      </w:pPr>
    </w:p>
    <w:p w14:paraId="2E26C585" w14:textId="77777777" w:rsidR="00970AC4" w:rsidRDefault="00970AC4" w:rsidP="0096033A"/>
    <w:p w14:paraId="20745BEE" w14:textId="77777777" w:rsidR="00970AC4" w:rsidRDefault="00970AC4" w:rsidP="0096033A"/>
    <w:p w14:paraId="2AF7806B"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7406633B" w14:textId="77777777" w:rsidR="005B60C2" w:rsidRDefault="004001FB" w:rsidP="007104A7">
      <w:pPr>
        <w:pStyle w:val="Heading2"/>
        <w:numPr>
          <w:ilvl w:val="0"/>
          <w:numId w:val="0"/>
        </w:numPr>
        <w:ind w:left="567" w:hanging="567"/>
      </w:pPr>
      <w:bookmarkStart w:id="0" w:name="_Toc502671580"/>
      <w:bookmarkStart w:id="1" w:name="_Toc502671759"/>
      <w:bookmarkStart w:id="2" w:name="_Toc502671864"/>
      <w:bookmarkStart w:id="3" w:name="_Toc502672797"/>
      <w:bookmarkStart w:id="4" w:name="_Toc83893118"/>
      <w:r>
        <w:t>The Committee</w:t>
      </w:r>
      <w:bookmarkEnd w:id="0"/>
      <w:bookmarkEnd w:id="1"/>
      <w:bookmarkEnd w:id="2"/>
      <w:bookmarkEnd w:id="3"/>
      <w:bookmarkEnd w:id="4"/>
    </w:p>
    <w:p w14:paraId="3419D0E3" w14:textId="77777777" w:rsidR="004001FB" w:rsidRDefault="00D532AE" w:rsidP="001C75D2">
      <w:pPr>
        <w:pStyle w:val="Heading3"/>
        <w:ind w:hanging="567"/>
      </w:pPr>
      <w:bookmarkStart w:id="5" w:name="_Toc502671581"/>
      <w:bookmarkStart w:id="6" w:name="_Toc502671760"/>
      <w:bookmarkStart w:id="7" w:name="_Toc502671865"/>
      <w:bookmarkStart w:id="8" w:name="_Toc502672798"/>
      <w:bookmarkStart w:id="9" w:name="_Toc83893119"/>
      <w:r>
        <w:t>C</w:t>
      </w:r>
      <w:r w:rsidR="004001FB">
        <w:t>ommittee Membership</w:t>
      </w:r>
      <w:bookmarkEnd w:id="5"/>
      <w:bookmarkEnd w:id="6"/>
      <w:bookmarkEnd w:id="7"/>
      <w:bookmarkEnd w:id="8"/>
      <w:bookmarkEnd w:id="9"/>
    </w:p>
    <w:p w14:paraId="10EF16A7" w14:textId="77777777" w:rsidR="001C07D3" w:rsidRPr="00040D0C" w:rsidRDefault="001C07D3" w:rsidP="001C07D3">
      <w:pPr>
        <w:pStyle w:val="Bodytextnonumbering"/>
        <w:rPr>
          <w:smallCaps/>
        </w:rPr>
      </w:pPr>
      <w:bookmarkStart w:id="10" w:name="_Toc502671582"/>
      <w:bookmarkStart w:id="11" w:name="_Toc502671761"/>
      <w:bookmarkStart w:id="12" w:name="_Toc502671866"/>
      <w:bookmarkStart w:id="13" w:name="_Toc502672799"/>
      <w:r>
        <w:t>Ms Jo</w:t>
      </w:r>
      <w:r w:rsidRPr="00040D0C">
        <w:t xml:space="preserve"> Clay MLA </w:t>
      </w:r>
      <w:r w:rsidRPr="00040D0C">
        <w:tab/>
      </w:r>
      <w:r w:rsidRPr="00040D0C">
        <w:tab/>
        <w:t>(Chair)</w:t>
      </w:r>
    </w:p>
    <w:p w14:paraId="3F44C6E8" w14:textId="77777777" w:rsidR="001C07D3" w:rsidRPr="00386A26" w:rsidRDefault="001C07D3" w:rsidP="001C07D3">
      <w:pPr>
        <w:pStyle w:val="Bodytextnonumbering"/>
      </w:pPr>
      <w:r>
        <w:t xml:space="preserve">Ms </w:t>
      </w:r>
      <w:r w:rsidRPr="00386A26">
        <w:t xml:space="preserve">Suzanne Orr MLA </w:t>
      </w:r>
      <w:r w:rsidRPr="00386A26">
        <w:tab/>
        <w:t xml:space="preserve">(Deputy Chair) </w:t>
      </w:r>
    </w:p>
    <w:p w14:paraId="4C8F7BA3" w14:textId="77777777" w:rsidR="001C07D3" w:rsidRPr="00386A26" w:rsidRDefault="001C07D3" w:rsidP="001C07D3">
      <w:pPr>
        <w:pStyle w:val="Bodytextnonumbering"/>
      </w:pPr>
      <w:r>
        <w:t xml:space="preserve">Mr </w:t>
      </w:r>
      <w:r w:rsidRPr="00386A26">
        <w:t xml:space="preserve">Mark Parton MLA </w:t>
      </w:r>
    </w:p>
    <w:p w14:paraId="6566A478" w14:textId="77777777" w:rsidR="004001FB" w:rsidRDefault="004001FB" w:rsidP="001C75D2">
      <w:pPr>
        <w:pStyle w:val="Heading3"/>
        <w:ind w:hanging="567"/>
      </w:pPr>
      <w:bookmarkStart w:id="14" w:name="_Toc83893120"/>
      <w:r>
        <w:t>Secretariat</w:t>
      </w:r>
      <w:bookmarkEnd w:id="10"/>
      <w:bookmarkEnd w:id="11"/>
      <w:bookmarkEnd w:id="12"/>
      <w:bookmarkEnd w:id="13"/>
      <w:bookmarkEnd w:id="14"/>
    </w:p>
    <w:p w14:paraId="4F829620" w14:textId="61069291" w:rsidR="001C07D3" w:rsidRDefault="001C07D3" w:rsidP="001C07D3">
      <w:pPr>
        <w:pStyle w:val="Bodytextnonumbering"/>
      </w:pPr>
      <w:bookmarkStart w:id="15" w:name="_Toc502671583"/>
      <w:bookmarkStart w:id="16" w:name="_Toc502671762"/>
      <w:bookmarkStart w:id="17" w:name="_Toc502671867"/>
      <w:bookmarkStart w:id="18" w:name="_Toc502672800"/>
      <w:r>
        <w:t>Ms</w:t>
      </w:r>
      <w:r w:rsidRPr="00040D0C">
        <w:t xml:space="preserve"> </w:t>
      </w:r>
      <w:r>
        <w:t>Janice Rafferty</w:t>
      </w:r>
      <w:r w:rsidRPr="00040D0C">
        <w:tab/>
      </w:r>
      <w:r w:rsidR="00187EE0" w:rsidRPr="00511F78">
        <w:t xml:space="preserve">Acting </w:t>
      </w:r>
      <w:r w:rsidRPr="00511F78">
        <w:t>Secr</w:t>
      </w:r>
      <w:r w:rsidRPr="00040D0C">
        <w:t xml:space="preserve">etary </w:t>
      </w:r>
    </w:p>
    <w:p w14:paraId="45C2CEC6" w14:textId="47C11506" w:rsidR="001C07D3" w:rsidRPr="00040D0C" w:rsidRDefault="001C07D3" w:rsidP="001C07D3">
      <w:pPr>
        <w:pStyle w:val="Bodytextnonumbering"/>
        <w:rPr>
          <w:smallCaps/>
        </w:rPr>
      </w:pPr>
      <w:r>
        <w:t>Ms Joanne Cullen</w:t>
      </w:r>
      <w:r>
        <w:tab/>
      </w:r>
      <w:r w:rsidR="00187EE0" w:rsidRPr="00511F78">
        <w:t xml:space="preserve">Acting </w:t>
      </w:r>
      <w:r w:rsidRPr="00511F78">
        <w:t>As</w:t>
      </w:r>
      <w:r>
        <w:t>sistant Secretary</w:t>
      </w:r>
    </w:p>
    <w:p w14:paraId="5FC62423" w14:textId="77777777" w:rsidR="001C07D3" w:rsidRPr="00386A26" w:rsidRDefault="001C07D3" w:rsidP="001C07D3">
      <w:pPr>
        <w:pStyle w:val="Bodytextnonumbering"/>
      </w:pPr>
      <w:r>
        <w:t xml:space="preserve">Ms </w:t>
      </w:r>
      <w:r w:rsidRPr="00386A26">
        <w:t>Lydia Chung</w:t>
      </w:r>
      <w:r w:rsidRPr="00386A26">
        <w:tab/>
      </w:r>
      <w:r w:rsidRPr="00386A26">
        <w:tab/>
        <w:t>Administrative Assistant</w:t>
      </w:r>
    </w:p>
    <w:p w14:paraId="2C05FF5A" w14:textId="77777777" w:rsidR="004001FB" w:rsidRDefault="004001FB" w:rsidP="001C75D2">
      <w:pPr>
        <w:pStyle w:val="Heading3"/>
        <w:ind w:hanging="567"/>
      </w:pPr>
      <w:bookmarkStart w:id="19" w:name="_Toc83893121"/>
      <w:r>
        <w:t>Contact Information</w:t>
      </w:r>
      <w:bookmarkEnd w:id="15"/>
      <w:bookmarkEnd w:id="16"/>
      <w:bookmarkEnd w:id="17"/>
      <w:bookmarkEnd w:id="18"/>
      <w:bookmarkEnd w:id="19"/>
    </w:p>
    <w:p w14:paraId="7D21FA6E" w14:textId="44B5E707" w:rsidR="004001FB" w:rsidRDefault="004001FB" w:rsidP="00A708EB">
      <w:pPr>
        <w:spacing w:before="40" w:after="60"/>
      </w:pPr>
      <w:r>
        <w:t>Telephone</w:t>
      </w:r>
      <w:r>
        <w:tab/>
      </w:r>
      <w:r w:rsidR="00B700A8">
        <w:t>(</w:t>
      </w:r>
      <w:r w:rsidRPr="00C162E8">
        <w:t>02</w:t>
      </w:r>
      <w:r w:rsidR="00B700A8">
        <w:t>)</w:t>
      </w:r>
      <w:r w:rsidRPr="00C162E8">
        <w:t xml:space="preserve"> 6205 </w:t>
      </w:r>
      <w:r w:rsidR="00C162E8" w:rsidRPr="00C162E8">
        <w:t>0127</w:t>
      </w:r>
    </w:p>
    <w:p w14:paraId="1B914CE4" w14:textId="77777777" w:rsidR="004001FB" w:rsidRDefault="004001FB" w:rsidP="00A708EB">
      <w:pPr>
        <w:tabs>
          <w:tab w:val="left" w:pos="1418"/>
        </w:tabs>
        <w:spacing w:before="40" w:after="60"/>
      </w:pPr>
      <w:r>
        <w:t>Post</w:t>
      </w:r>
      <w:r>
        <w:tab/>
        <w:t>GPO Box 1020, CANBERRA ACT 2601</w:t>
      </w:r>
    </w:p>
    <w:p w14:paraId="303F9548" w14:textId="45AE62B5" w:rsidR="004001FB" w:rsidRDefault="004001FB" w:rsidP="00A708EB">
      <w:pPr>
        <w:tabs>
          <w:tab w:val="left" w:pos="1418"/>
        </w:tabs>
        <w:spacing w:before="40" w:after="60"/>
      </w:pPr>
      <w:r>
        <w:t>Email</w:t>
      </w:r>
      <w:r>
        <w:tab/>
      </w:r>
      <w:hyperlink r:id="rId10" w:history="1">
        <w:r w:rsidR="00840589" w:rsidRPr="00271649">
          <w:rPr>
            <w:rStyle w:val="Hyperlink"/>
          </w:rPr>
          <w:t>LAcommitteePTCS@parliament.act.gov.au</w:t>
        </w:r>
      </w:hyperlink>
    </w:p>
    <w:p w14:paraId="124EA574" w14:textId="65B6A534" w:rsidR="00D532AE" w:rsidRDefault="004001FB" w:rsidP="00B87929">
      <w:pPr>
        <w:tabs>
          <w:tab w:val="left" w:pos="1418"/>
        </w:tabs>
        <w:spacing w:before="40" w:after="60"/>
        <w:ind w:left="1418" w:hanging="1418"/>
      </w:pPr>
      <w:r>
        <w:t>Website</w:t>
      </w:r>
      <w:r>
        <w:tab/>
      </w:r>
      <w:hyperlink r:id="rId11" w:history="1">
        <w:r w:rsidR="00B87929" w:rsidRPr="00271649">
          <w:rPr>
            <w:rStyle w:val="Hyperlink"/>
          </w:rPr>
          <w:t>https://www.parliament.act.gov.au/parliamentary-business/in-committees/committees/ptcs</w:t>
        </w:r>
      </w:hyperlink>
      <w:r w:rsidR="00B87929">
        <w:t xml:space="preserve"> </w:t>
      </w:r>
      <w:bookmarkStart w:id="20" w:name="_Toc502671584"/>
      <w:bookmarkStart w:id="21" w:name="_Toc502671763"/>
      <w:bookmarkStart w:id="22" w:name="_Toc502671868"/>
      <w:bookmarkStart w:id="23" w:name="_Toc502672801"/>
    </w:p>
    <w:p w14:paraId="6E2E12C1" w14:textId="77777777" w:rsidR="004001FB" w:rsidRDefault="00D532AE" w:rsidP="001C75D2">
      <w:pPr>
        <w:pStyle w:val="Heading3"/>
        <w:ind w:hanging="567"/>
      </w:pPr>
      <w:r>
        <w:br w:type="page"/>
      </w:r>
      <w:bookmarkStart w:id="24" w:name="_Toc83893122"/>
      <w:r w:rsidR="004001FB">
        <w:t>Resolution of appointment</w:t>
      </w:r>
      <w:bookmarkEnd w:id="20"/>
      <w:bookmarkEnd w:id="21"/>
      <w:bookmarkEnd w:id="22"/>
      <w:bookmarkEnd w:id="23"/>
      <w:bookmarkEnd w:id="24"/>
    </w:p>
    <w:p w14:paraId="5949171F" w14:textId="77777777" w:rsidR="001C07D3" w:rsidRPr="003E6A30" w:rsidRDefault="001C07D3" w:rsidP="001C07D3">
      <w:pPr>
        <w:pStyle w:val="Bodytextnonumbering"/>
      </w:pPr>
      <w:bookmarkStart w:id="25" w:name="_Toc502671585"/>
      <w:bookmarkStart w:id="26" w:name="_Toc502671764"/>
      <w:bookmarkStart w:id="27" w:name="_Toc502671869"/>
      <w:bookmarkStart w:id="28" w:name="_Toc502672802"/>
      <w:r w:rsidRPr="003E6A30">
        <w:t>On 2 December 2020 the Legislative Assembly resolved to establish the Standing Committee on Planning, Transport, and City Services.</w:t>
      </w:r>
      <w:r>
        <w:rPr>
          <w:rStyle w:val="FootnoteReference"/>
        </w:rPr>
        <w:footnoteReference w:id="1"/>
      </w:r>
      <w:r w:rsidRPr="003E6A30">
        <w:t xml:space="preserve"> </w:t>
      </w:r>
    </w:p>
    <w:p w14:paraId="6408F021" w14:textId="77777777" w:rsidR="001C07D3" w:rsidRPr="003E6A30" w:rsidRDefault="001C07D3" w:rsidP="001C07D3">
      <w:pPr>
        <w:pStyle w:val="Bodytextnonumbering"/>
      </w:pPr>
      <w:r w:rsidRPr="003E6A30">
        <w:t>Under the Resolution the Committee is responsible for examining the following areas:</w:t>
      </w:r>
    </w:p>
    <w:p w14:paraId="45F10318" w14:textId="77777777" w:rsidR="001C07D3" w:rsidRPr="00DD26FB" w:rsidRDefault="001C07D3" w:rsidP="001C07D3">
      <w:pPr>
        <w:pStyle w:val="ListBullet"/>
        <w:spacing w:before="120"/>
      </w:pPr>
      <w:r w:rsidRPr="00DD26FB">
        <w:t>City Renewal Authority;</w:t>
      </w:r>
    </w:p>
    <w:p w14:paraId="4A109924" w14:textId="77777777" w:rsidR="001C07D3" w:rsidRPr="00DD26FB" w:rsidRDefault="001C07D3" w:rsidP="001C07D3">
      <w:pPr>
        <w:pStyle w:val="ListBullet"/>
        <w:spacing w:before="120"/>
      </w:pPr>
      <w:r w:rsidRPr="00DD26FB">
        <w:t>Suburban Land Agency;</w:t>
      </w:r>
    </w:p>
    <w:p w14:paraId="79CFE9B8" w14:textId="77777777" w:rsidR="001C07D3" w:rsidRPr="00DD26FB" w:rsidRDefault="001C07D3" w:rsidP="001C07D3">
      <w:pPr>
        <w:pStyle w:val="ListBullet"/>
        <w:spacing w:before="120"/>
      </w:pPr>
      <w:r w:rsidRPr="00DD26FB">
        <w:t>Planning and Land Management;</w:t>
      </w:r>
    </w:p>
    <w:p w14:paraId="38462A69" w14:textId="77777777" w:rsidR="001C07D3" w:rsidRPr="00DD26FB" w:rsidRDefault="001C07D3" w:rsidP="001C07D3">
      <w:pPr>
        <w:pStyle w:val="ListBullet"/>
        <w:spacing w:before="120"/>
      </w:pPr>
      <w:r w:rsidRPr="00DD26FB">
        <w:t>Transport;</w:t>
      </w:r>
    </w:p>
    <w:p w14:paraId="76D5CDA4" w14:textId="77777777" w:rsidR="001C07D3" w:rsidRPr="00DD26FB" w:rsidRDefault="001C07D3" w:rsidP="001C07D3">
      <w:pPr>
        <w:pStyle w:val="ListBullet"/>
        <w:spacing w:before="120"/>
      </w:pPr>
      <w:r w:rsidRPr="00DD26FB">
        <w:t>City Services including waste and recycling;</w:t>
      </w:r>
    </w:p>
    <w:p w14:paraId="033F0212" w14:textId="77777777" w:rsidR="001C07D3" w:rsidRPr="00DD26FB" w:rsidRDefault="001C07D3" w:rsidP="001C07D3">
      <w:pPr>
        <w:pStyle w:val="ListBullet"/>
        <w:spacing w:before="120"/>
      </w:pPr>
      <w:r w:rsidRPr="00DD26FB">
        <w:t>Housing (excluding service provision); and</w:t>
      </w:r>
    </w:p>
    <w:p w14:paraId="233F18D3" w14:textId="77777777" w:rsidR="001C07D3" w:rsidRPr="00DD26FB" w:rsidRDefault="001C07D3" w:rsidP="001C07D3">
      <w:pPr>
        <w:pStyle w:val="ListBullet"/>
        <w:spacing w:before="120"/>
      </w:pPr>
      <w:r w:rsidRPr="00DD26FB">
        <w:t>Building and Construction.</w:t>
      </w:r>
      <w:r w:rsidRPr="00CB79AE">
        <w:rPr>
          <w:rStyle w:val="FootnoteReference"/>
        </w:rPr>
        <w:footnoteReference w:id="2"/>
      </w:r>
    </w:p>
    <w:p w14:paraId="214B6738" w14:textId="078FBC33" w:rsidR="004001FB" w:rsidRDefault="004001FB" w:rsidP="001C75D2">
      <w:pPr>
        <w:pStyle w:val="Heading3"/>
        <w:ind w:hanging="567"/>
      </w:pPr>
      <w:bookmarkStart w:id="29" w:name="_Toc83893123"/>
      <w:r>
        <w:t>Terms of reference</w:t>
      </w:r>
      <w:bookmarkEnd w:id="25"/>
      <w:bookmarkEnd w:id="26"/>
      <w:bookmarkEnd w:id="27"/>
      <w:bookmarkEnd w:id="28"/>
      <w:bookmarkEnd w:id="29"/>
      <w:r>
        <w:t xml:space="preserve"> </w:t>
      </w:r>
    </w:p>
    <w:p w14:paraId="64C38D9B" w14:textId="30F35351" w:rsidR="00E15D75" w:rsidRDefault="00220100" w:rsidP="004001FB">
      <w:r>
        <w:t xml:space="preserve">The Committee’s Terms of Reference are to ‘prepare a report on the on the draft plan variation’ as provided for under Section 73 of the </w:t>
      </w:r>
      <w:r w:rsidRPr="00D64449">
        <w:rPr>
          <w:i/>
        </w:rPr>
        <w:t>Planning and Development Act 2007</w:t>
      </w:r>
      <w:r>
        <w:t>.</w:t>
      </w:r>
    </w:p>
    <w:p w14:paraId="3D1C7157" w14:textId="77777777" w:rsidR="004001FB" w:rsidRDefault="00A86276" w:rsidP="007104A7">
      <w:pPr>
        <w:pStyle w:val="Heading2"/>
        <w:numPr>
          <w:ilvl w:val="0"/>
          <w:numId w:val="0"/>
        </w:numPr>
      </w:pPr>
      <w:bookmarkStart w:id="30" w:name="_Toc83893124"/>
      <w:r>
        <w:t>A</w:t>
      </w:r>
      <w:r w:rsidR="00D37A0C">
        <w:t>cronyms</w:t>
      </w:r>
      <w:bookmarkEnd w:id="30"/>
    </w:p>
    <w:tbl>
      <w:tblPr>
        <w:tblStyle w:val="CommitteeTable"/>
        <w:tblW w:w="9072" w:type="dxa"/>
        <w:tblInd w:w="-5" w:type="dxa"/>
        <w:tblLook w:val="04A0" w:firstRow="1" w:lastRow="0" w:firstColumn="1" w:lastColumn="0" w:noHBand="0" w:noVBand="1"/>
      </w:tblPr>
      <w:tblGrid>
        <w:gridCol w:w="2098"/>
        <w:gridCol w:w="6974"/>
      </w:tblGrid>
      <w:tr w:rsidR="00FD509B" w14:paraId="3729FB8F"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30AFEBF3" w14:textId="1141B11D" w:rsidR="00FD509B" w:rsidRPr="004E3EA0" w:rsidRDefault="009145A2" w:rsidP="0056020D">
            <w:pPr>
              <w:pStyle w:val="TableText"/>
              <w:rPr>
                <w:b w:val="0"/>
                <w:bCs/>
              </w:rPr>
            </w:pPr>
            <w:bookmarkStart w:id="31" w:name="RowTitle_Acronyms"/>
            <w:bookmarkEnd w:id="31"/>
            <w:r w:rsidRPr="004E3EA0">
              <w:rPr>
                <w:b w:val="0"/>
                <w:bCs/>
              </w:rPr>
              <w:t>DV</w:t>
            </w:r>
          </w:p>
        </w:tc>
        <w:tc>
          <w:tcPr>
            <w:tcW w:w="6974" w:type="dxa"/>
          </w:tcPr>
          <w:p w14:paraId="67FB84FE" w14:textId="70545C5C" w:rsidR="00FD509B" w:rsidRPr="004E3EA0" w:rsidRDefault="009145A2" w:rsidP="0056020D">
            <w:pPr>
              <w:pStyle w:val="TableText"/>
              <w:rPr>
                <w:b w:val="0"/>
                <w:bCs/>
              </w:rPr>
            </w:pPr>
            <w:r w:rsidRPr="004E3EA0">
              <w:rPr>
                <w:b w:val="0"/>
                <w:bCs/>
              </w:rPr>
              <w:t>Draft Variation</w:t>
            </w:r>
          </w:p>
        </w:tc>
      </w:tr>
      <w:tr w:rsidR="00FD509B" w14:paraId="1D9359DB"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60A47D61" w14:textId="31A12F0D" w:rsidR="00FD509B" w:rsidRPr="00E97E60" w:rsidRDefault="00E97E60" w:rsidP="0056020D">
            <w:pPr>
              <w:pStyle w:val="TableText"/>
              <w:rPr>
                <w:szCs w:val="22"/>
              </w:rPr>
            </w:pPr>
            <w:r w:rsidRPr="00E97E60">
              <w:rPr>
                <w:bCs/>
                <w:color w:val="000000"/>
                <w:szCs w:val="22"/>
              </w:rPr>
              <w:t>EPSDD</w:t>
            </w:r>
          </w:p>
        </w:tc>
        <w:tc>
          <w:tcPr>
            <w:tcW w:w="6974" w:type="dxa"/>
          </w:tcPr>
          <w:p w14:paraId="216AE9AD" w14:textId="2D6D2D76" w:rsidR="00FD509B" w:rsidRPr="0056020D" w:rsidRDefault="00E97E60" w:rsidP="0056020D">
            <w:pPr>
              <w:pStyle w:val="TableText"/>
            </w:pPr>
            <w:r>
              <w:t>Environment, Planning and Sustainable Development Directorate</w:t>
            </w:r>
          </w:p>
        </w:tc>
      </w:tr>
      <w:tr w:rsidR="00FD509B" w14:paraId="074D45C8" w14:textId="77777777" w:rsidTr="002F2404">
        <w:tc>
          <w:tcPr>
            <w:tcW w:w="2098" w:type="dxa"/>
          </w:tcPr>
          <w:p w14:paraId="38EAEF64" w14:textId="680BB9D1" w:rsidR="00FD509B" w:rsidRPr="0056020D" w:rsidRDefault="00E97E60" w:rsidP="0056020D">
            <w:pPr>
              <w:pStyle w:val="TableText"/>
            </w:pPr>
            <w:r>
              <w:t>GCC</w:t>
            </w:r>
          </w:p>
        </w:tc>
        <w:tc>
          <w:tcPr>
            <w:tcW w:w="6974" w:type="dxa"/>
          </w:tcPr>
          <w:p w14:paraId="27EE9816" w14:textId="18420D30" w:rsidR="00FD509B" w:rsidRPr="0056020D" w:rsidRDefault="00E97E60" w:rsidP="0056020D">
            <w:pPr>
              <w:pStyle w:val="TableText"/>
            </w:pPr>
            <w:r>
              <w:t>Gungahlin Community Council</w:t>
            </w:r>
          </w:p>
        </w:tc>
      </w:tr>
      <w:tr w:rsidR="00C44858" w14:paraId="1BDCE7AD"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3A7ACF91" w14:textId="5AC59F59" w:rsidR="00C44858" w:rsidRPr="0056020D" w:rsidRDefault="00C44858" w:rsidP="00C44858">
            <w:pPr>
              <w:pStyle w:val="TableText"/>
            </w:pPr>
            <w:r>
              <w:t>NCA</w:t>
            </w:r>
          </w:p>
        </w:tc>
        <w:tc>
          <w:tcPr>
            <w:tcW w:w="6974" w:type="dxa"/>
          </w:tcPr>
          <w:p w14:paraId="1479B336" w14:textId="6A7F00E1" w:rsidR="00C44858" w:rsidRPr="0056020D" w:rsidRDefault="00C44858" w:rsidP="00C44858">
            <w:pPr>
              <w:pStyle w:val="TableText"/>
            </w:pPr>
            <w:r w:rsidRPr="00E10471">
              <w:t>N</w:t>
            </w:r>
            <w:r>
              <w:t xml:space="preserve">ational </w:t>
            </w:r>
            <w:r w:rsidRPr="00E10471">
              <w:t>C</w:t>
            </w:r>
            <w:r>
              <w:t xml:space="preserve">apital </w:t>
            </w:r>
            <w:r w:rsidRPr="00E10471">
              <w:t>A</w:t>
            </w:r>
            <w:r>
              <w:t>uthority</w:t>
            </w:r>
          </w:p>
        </w:tc>
      </w:tr>
      <w:tr w:rsidR="00C44858" w14:paraId="65425077" w14:textId="77777777" w:rsidTr="002F2404">
        <w:tc>
          <w:tcPr>
            <w:tcW w:w="2098" w:type="dxa"/>
          </w:tcPr>
          <w:p w14:paraId="04B08F26" w14:textId="6AA9A53F" w:rsidR="00C44858" w:rsidRPr="0056020D" w:rsidRDefault="00C44858" w:rsidP="00C44858">
            <w:pPr>
              <w:pStyle w:val="TableText"/>
            </w:pPr>
            <w:r>
              <w:t>NCDC</w:t>
            </w:r>
          </w:p>
        </w:tc>
        <w:tc>
          <w:tcPr>
            <w:tcW w:w="6974" w:type="dxa"/>
          </w:tcPr>
          <w:p w14:paraId="04705A3C" w14:textId="4B2E8B5B" w:rsidR="00C44858" w:rsidRPr="0056020D" w:rsidRDefault="00C44858" w:rsidP="00C44858">
            <w:pPr>
              <w:pStyle w:val="TableText"/>
            </w:pPr>
            <w:r>
              <w:t>National Capital Development Commission</w:t>
            </w:r>
          </w:p>
        </w:tc>
      </w:tr>
      <w:tr w:rsidR="007950AC" w14:paraId="70BF0DD9"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5C300AA8" w14:textId="25610AB6" w:rsidR="007950AC" w:rsidRDefault="007950AC" w:rsidP="00C44858">
            <w:pPr>
              <w:pStyle w:val="TableText"/>
            </w:pPr>
            <w:r>
              <w:rPr>
                <w:lang w:eastAsia="en-AU"/>
              </w:rPr>
              <w:t>PCA</w:t>
            </w:r>
          </w:p>
        </w:tc>
        <w:tc>
          <w:tcPr>
            <w:tcW w:w="6974" w:type="dxa"/>
          </w:tcPr>
          <w:p w14:paraId="3A15C8A4" w14:textId="69C0B946" w:rsidR="007950AC" w:rsidRDefault="007950AC" w:rsidP="00C44858">
            <w:pPr>
              <w:pStyle w:val="TableText"/>
            </w:pPr>
            <w:r>
              <w:rPr>
                <w:lang w:eastAsia="en-AU"/>
              </w:rPr>
              <w:t xml:space="preserve">The Property Council of Australia </w:t>
            </w:r>
          </w:p>
        </w:tc>
      </w:tr>
      <w:tr w:rsidR="00C44858" w14:paraId="0CE73914" w14:textId="77777777" w:rsidTr="002F2404">
        <w:tc>
          <w:tcPr>
            <w:tcW w:w="2098" w:type="dxa"/>
          </w:tcPr>
          <w:p w14:paraId="3C15C690" w14:textId="7A56396F" w:rsidR="00C44858" w:rsidRPr="0056020D" w:rsidRDefault="00C44858" w:rsidP="00C44858">
            <w:pPr>
              <w:pStyle w:val="TableText"/>
            </w:pPr>
            <w:r>
              <w:t>SLA</w:t>
            </w:r>
          </w:p>
        </w:tc>
        <w:tc>
          <w:tcPr>
            <w:tcW w:w="6974" w:type="dxa"/>
          </w:tcPr>
          <w:p w14:paraId="2A6F5A48" w14:textId="7D7CF4B0" w:rsidR="00C44858" w:rsidRPr="0056020D" w:rsidRDefault="00C44858" w:rsidP="00C44858">
            <w:pPr>
              <w:pStyle w:val="TableText"/>
            </w:pPr>
            <w:r>
              <w:t>Suburban Land Agency</w:t>
            </w:r>
          </w:p>
        </w:tc>
      </w:tr>
    </w:tbl>
    <w:p w14:paraId="7B2548EC" w14:textId="77777777" w:rsidR="00D37A0C" w:rsidRDefault="00D37A0C" w:rsidP="00D37A0C"/>
    <w:p w14:paraId="606B8BA1" w14:textId="77777777" w:rsidR="005973EA" w:rsidRPr="0064133C" w:rsidRDefault="004001FB" w:rsidP="0064133C">
      <w:pPr>
        <w:pStyle w:val="TOCHeading"/>
      </w:pPr>
      <w:r>
        <w:br w:type="page"/>
      </w:r>
      <w:r w:rsidR="00566B91" w:rsidRPr="0064133C">
        <w:t>Table of Contents</w:t>
      </w:r>
    </w:p>
    <w:p w14:paraId="06C033F8" w14:textId="5938143F" w:rsidR="003E5029"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83893118" w:history="1">
        <w:r w:rsidR="003E5029" w:rsidRPr="007B3C1F">
          <w:rPr>
            <w:rStyle w:val="Hyperlink"/>
            <w:noProof/>
          </w:rPr>
          <w:t>The Committee</w:t>
        </w:r>
        <w:r w:rsidR="003E5029">
          <w:rPr>
            <w:noProof/>
            <w:webHidden/>
          </w:rPr>
          <w:tab/>
        </w:r>
        <w:r w:rsidR="003E5029">
          <w:rPr>
            <w:noProof/>
            <w:webHidden/>
          </w:rPr>
          <w:fldChar w:fldCharType="begin"/>
        </w:r>
        <w:r w:rsidR="003E5029">
          <w:rPr>
            <w:noProof/>
            <w:webHidden/>
          </w:rPr>
          <w:instrText xml:space="preserve"> PAGEREF _Toc83893118 \h </w:instrText>
        </w:r>
        <w:r w:rsidR="003E5029">
          <w:rPr>
            <w:noProof/>
            <w:webHidden/>
          </w:rPr>
        </w:r>
        <w:r w:rsidR="003E5029">
          <w:rPr>
            <w:noProof/>
            <w:webHidden/>
          </w:rPr>
          <w:fldChar w:fldCharType="separate"/>
        </w:r>
        <w:r w:rsidR="00793383">
          <w:rPr>
            <w:noProof/>
            <w:webHidden/>
          </w:rPr>
          <w:t>i</w:t>
        </w:r>
        <w:r w:rsidR="003E5029">
          <w:rPr>
            <w:noProof/>
            <w:webHidden/>
          </w:rPr>
          <w:fldChar w:fldCharType="end"/>
        </w:r>
      </w:hyperlink>
    </w:p>
    <w:p w14:paraId="169653CA" w14:textId="0C422C79" w:rsidR="003E5029" w:rsidRDefault="00F671FB">
      <w:pPr>
        <w:pStyle w:val="TOC2"/>
        <w:rPr>
          <w:rFonts w:asciiTheme="minorHAnsi" w:eastAsiaTheme="minorEastAsia" w:hAnsiTheme="minorHAnsi" w:cstheme="minorBidi"/>
          <w:b w:val="0"/>
          <w:noProof/>
          <w:sz w:val="22"/>
          <w:szCs w:val="22"/>
          <w:lang w:eastAsia="en-AU"/>
        </w:rPr>
      </w:pPr>
      <w:hyperlink w:anchor="_Toc83893119" w:history="1">
        <w:r w:rsidR="003E5029" w:rsidRPr="007B3C1F">
          <w:rPr>
            <w:rStyle w:val="Hyperlink"/>
            <w:noProof/>
          </w:rPr>
          <w:t>Committee Membership</w:t>
        </w:r>
        <w:r w:rsidR="003E5029">
          <w:rPr>
            <w:noProof/>
            <w:webHidden/>
          </w:rPr>
          <w:tab/>
        </w:r>
        <w:r w:rsidR="003E5029">
          <w:rPr>
            <w:noProof/>
            <w:webHidden/>
          </w:rPr>
          <w:fldChar w:fldCharType="begin"/>
        </w:r>
        <w:r w:rsidR="003E5029">
          <w:rPr>
            <w:noProof/>
            <w:webHidden/>
          </w:rPr>
          <w:instrText xml:space="preserve"> PAGEREF _Toc83893119 \h </w:instrText>
        </w:r>
        <w:r w:rsidR="003E5029">
          <w:rPr>
            <w:noProof/>
            <w:webHidden/>
          </w:rPr>
        </w:r>
        <w:r w:rsidR="003E5029">
          <w:rPr>
            <w:noProof/>
            <w:webHidden/>
          </w:rPr>
          <w:fldChar w:fldCharType="separate"/>
        </w:r>
        <w:r w:rsidR="00793383">
          <w:rPr>
            <w:noProof/>
            <w:webHidden/>
          </w:rPr>
          <w:t>i</w:t>
        </w:r>
        <w:r w:rsidR="003E5029">
          <w:rPr>
            <w:noProof/>
            <w:webHidden/>
          </w:rPr>
          <w:fldChar w:fldCharType="end"/>
        </w:r>
      </w:hyperlink>
    </w:p>
    <w:p w14:paraId="201923AF" w14:textId="56E0E6AF" w:rsidR="003E5029" w:rsidRDefault="00F671FB">
      <w:pPr>
        <w:pStyle w:val="TOC2"/>
        <w:rPr>
          <w:rFonts w:asciiTheme="minorHAnsi" w:eastAsiaTheme="minorEastAsia" w:hAnsiTheme="minorHAnsi" w:cstheme="minorBidi"/>
          <w:b w:val="0"/>
          <w:noProof/>
          <w:sz w:val="22"/>
          <w:szCs w:val="22"/>
          <w:lang w:eastAsia="en-AU"/>
        </w:rPr>
      </w:pPr>
      <w:hyperlink w:anchor="_Toc83893120" w:history="1">
        <w:r w:rsidR="003E5029" w:rsidRPr="007B3C1F">
          <w:rPr>
            <w:rStyle w:val="Hyperlink"/>
            <w:noProof/>
          </w:rPr>
          <w:t>Secretariat</w:t>
        </w:r>
        <w:r w:rsidR="003E5029">
          <w:rPr>
            <w:noProof/>
            <w:webHidden/>
          </w:rPr>
          <w:tab/>
        </w:r>
        <w:r w:rsidR="003E5029">
          <w:rPr>
            <w:noProof/>
            <w:webHidden/>
          </w:rPr>
          <w:fldChar w:fldCharType="begin"/>
        </w:r>
        <w:r w:rsidR="003E5029">
          <w:rPr>
            <w:noProof/>
            <w:webHidden/>
          </w:rPr>
          <w:instrText xml:space="preserve"> PAGEREF _Toc83893120 \h </w:instrText>
        </w:r>
        <w:r w:rsidR="003E5029">
          <w:rPr>
            <w:noProof/>
            <w:webHidden/>
          </w:rPr>
        </w:r>
        <w:r w:rsidR="003E5029">
          <w:rPr>
            <w:noProof/>
            <w:webHidden/>
          </w:rPr>
          <w:fldChar w:fldCharType="separate"/>
        </w:r>
        <w:r w:rsidR="00793383">
          <w:rPr>
            <w:noProof/>
            <w:webHidden/>
          </w:rPr>
          <w:t>i</w:t>
        </w:r>
        <w:r w:rsidR="003E5029">
          <w:rPr>
            <w:noProof/>
            <w:webHidden/>
          </w:rPr>
          <w:fldChar w:fldCharType="end"/>
        </w:r>
      </w:hyperlink>
    </w:p>
    <w:p w14:paraId="7F7AA5FF" w14:textId="239F41D9" w:rsidR="003E5029" w:rsidRDefault="00F671FB">
      <w:pPr>
        <w:pStyle w:val="TOC2"/>
        <w:rPr>
          <w:rFonts w:asciiTheme="minorHAnsi" w:eastAsiaTheme="minorEastAsia" w:hAnsiTheme="minorHAnsi" w:cstheme="minorBidi"/>
          <w:b w:val="0"/>
          <w:noProof/>
          <w:sz w:val="22"/>
          <w:szCs w:val="22"/>
          <w:lang w:eastAsia="en-AU"/>
        </w:rPr>
      </w:pPr>
      <w:hyperlink w:anchor="_Toc83893121" w:history="1">
        <w:r w:rsidR="003E5029" w:rsidRPr="007B3C1F">
          <w:rPr>
            <w:rStyle w:val="Hyperlink"/>
            <w:noProof/>
          </w:rPr>
          <w:t>Contact Information</w:t>
        </w:r>
        <w:r w:rsidR="003E5029">
          <w:rPr>
            <w:noProof/>
            <w:webHidden/>
          </w:rPr>
          <w:tab/>
        </w:r>
        <w:r w:rsidR="003E5029">
          <w:rPr>
            <w:noProof/>
            <w:webHidden/>
          </w:rPr>
          <w:fldChar w:fldCharType="begin"/>
        </w:r>
        <w:r w:rsidR="003E5029">
          <w:rPr>
            <w:noProof/>
            <w:webHidden/>
          </w:rPr>
          <w:instrText xml:space="preserve"> PAGEREF _Toc83893121 \h </w:instrText>
        </w:r>
        <w:r w:rsidR="003E5029">
          <w:rPr>
            <w:noProof/>
            <w:webHidden/>
          </w:rPr>
        </w:r>
        <w:r w:rsidR="003E5029">
          <w:rPr>
            <w:noProof/>
            <w:webHidden/>
          </w:rPr>
          <w:fldChar w:fldCharType="separate"/>
        </w:r>
        <w:r w:rsidR="00793383">
          <w:rPr>
            <w:noProof/>
            <w:webHidden/>
          </w:rPr>
          <w:t>i</w:t>
        </w:r>
        <w:r w:rsidR="003E5029">
          <w:rPr>
            <w:noProof/>
            <w:webHidden/>
          </w:rPr>
          <w:fldChar w:fldCharType="end"/>
        </w:r>
      </w:hyperlink>
    </w:p>
    <w:p w14:paraId="1F3F1509" w14:textId="3EB9DCE2" w:rsidR="003E5029" w:rsidRDefault="00F671FB">
      <w:pPr>
        <w:pStyle w:val="TOC2"/>
        <w:rPr>
          <w:rFonts w:asciiTheme="minorHAnsi" w:eastAsiaTheme="minorEastAsia" w:hAnsiTheme="minorHAnsi" w:cstheme="minorBidi"/>
          <w:b w:val="0"/>
          <w:noProof/>
          <w:sz w:val="22"/>
          <w:szCs w:val="22"/>
          <w:lang w:eastAsia="en-AU"/>
        </w:rPr>
      </w:pPr>
      <w:hyperlink w:anchor="_Toc83893122" w:history="1">
        <w:r w:rsidR="003E5029" w:rsidRPr="007B3C1F">
          <w:rPr>
            <w:rStyle w:val="Hyperlink"/>
            <w:noProof/>
          </w:rPr>
          <w:t>Resolution of appointment</w:t>
        </w:r>
        <w:r w:rsidR="003E5029">
          <w:rPr>
            <w:noProof/>
            <w:webHidden/>
          </w:rPr>
          <w:tab/>
        </w:r>
        <w:r w:rsidR="003E5029">
          <w:rPr>
            <w:noProof/>
            <w:webHidden/>
          </w:rPr>
          <w:fldChar w:fldCharType="begin"/>
        </w:r>
        <w:r w:rsidR="003E5029">
          <w:rPr>
            <w:noProof/>
            <w:webHidden/>
          </w:rPr>
          <w:instrText xml:space="preserve"> PAGEREF _Toc83893122 \h </w:instrText>
        </w:r>
        <w:r w:rsidR="003E5029">
          <w:rPr>
            <w:noProof/>
            <w:webHidden/>
          </w:rPr>
        </w:r>
        <w:r w:rsidR="003E5029">
          <w:rPr>
            <w:noProof/>
            <w:webHidden/>
          </w:rPr>
          <w:fldChar w:fldCharType="separate"/>
        </w:r>
        <w:r w:rsidR="00793383">
          <w:rPr>
            <w:noProof/>
            <w:webHidden/>
          </w:rPr>
          <w:t>ii</w:t>
        </w:r>
        <w:r w:rsidR="003E5029">
          <w:rPr>
            <w:noProof/>
            <w:webHidden/>
          </w:rPr>
          <w:fldChar w:fldCharType="end"/>
        </w:r>
      </w:hyperlink>
    </w:p>
    <w:p w14:paraId="5216B53D" w14:textId="05E0E3E6" w:rsidR="003E5029" w:rsidRDefault="00F671FB">
      <w:pPr>
        <w:pStyle w:val="TOC2"/>
        <w:rPr>
          <w:rFonts w:asciiTheme="minorHAnsi" w:eastAsiaTheme="minorEastAsia" w:hAnsiTheme="minorHAnsi" w:cstheme="minorBidi"/>
          <w:b w:val="0"/>
          <w:noProof/>
          <w:sz w:val="22"/>
          <w:szCs w:val="22"/>
          <w:lang w:eastAsia="en-AU"/>
        </w:rPr>
      </w:pPr>
      <w:hyperlink w:anchor="_Toc83893123" w:history="1">
        <w:r w:rsidR="003E5029" w:rsidRPr="007B3C1F">
          <w:rPr>
            <w:rStyle w:val="Hyperlink"/>
            <w:noProof/>
          </w:rPr>
          <w:t>Terms of reference</w:t>
        </w:r>
        <w:r w:rsidR="003E5029">
          <w:rPr>
            <w:noProof/>
            <w:webHidden/>
          </w:rPr>
          <w:tab/>
        </w:r>
        <w:r w:rsidR="003E5029">
          <w:rPr>
            <w:noProof/>
            <w:webHidden/>
          </w:rPr>
          <w:fldChar w:fldCharType="begin"/>
        </w:r>
        <w:r w:rsidR="003E5029">
          <w:rPr>
            <w:noProof/>
            <w:webHidden/>
          </w:rPr>
          <w:instrText xml:space="preserve"> PAGEREF _Toc83893123 \h </w:instrText>
        </w:r>
        <w:r w:rsidR="003E5029">
          <w:rPr>
            <w:noProof/>
            <w:webHidden/>
          </w:rPr>
        </w:r>
        <w:r w:rsidR="003E5029">
          <w:rPr>
            <w:noProof/>
            <w:webHidden/>
          </w:rPr>
          <w:fldChar w:fldCharType="separate"/>
        </w:r>
        <w:r w:rsidR="00793383">
          <w:rPr>
            <w:noProof/>
            <w:webHidden/>
          </w:rPr>
          <w:t>ii</w:t>
        </w:r>
        <w:r w:rsidR="003E5029">
          <w:rPr>
            <w:noProof/>
            <w:webHidden/>
          </w:rPr>
          <w:fldChar w:fldCharType="end"/>
        </w:r>
      </w:hyperlink>
    </w:p>
    <w:p w14:paraId="4C33BD20" w14:textId="7E0C5AF4"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24" w:history="1">
        <w:r w:rsidR="003E5029" w:rsidRPr="007B3C1F">
          <w:rPr>
            <w:rStyle w:val="Hyperlink"/>
            <w:noProof/>
          </w:rPr>
          <w:t>Acronyms</w:t>
        </w:r>
        <w:r w:rsidR="003E5029">
          <w:rPr>
            <w:noProof/>
            <w:webHidden/>
          </w:rPr>
          <w:tab/>
        </w:r>
        <w:r w:rsidR="003E5029">
          <w:rPr>
            <w:noProof/>
            <w:webHidden/>
          </w:rPr>
          <w:fldChar w:fldCharType="begin"/>
        </w:r>
        <w:r w:rsidR="003E5029">
          <w:rPr>
            <w:noProof/>
            <w:webHidden/>
          </w:rPr>
          <w:instrText xml:space="preserve"> PAGEREF _Toc83893124 \h </w:instrText>
        </w:r>
        <w:r w:rsidR="003E5029">
          <w:rPr>
            <w:noProof/>
            <w:webHidden/>
          </w:rPr>
        </w:r>
        <w:r w:rsidR="003E5029">
          <w:rPr>
            <w:noProof/>
            <w:webHidden/>
          </w:rPr>
          <w:fldChar w:fldCharType="separate"/>
        </w:r>
        <w:r w:rsidR="00793383">
          <w:rPr>
            <w:noProof/>
            <w:webHidden/>
          </w:rPr>
          <w:t>iii</w:t>
        </w:r>
        <w:r w:rsidR="003E5029">
          <w:rPr>
            <w:noProof/>
            <w:webHidden/>
          </w:rPr>
          <w:fldChar w:fldCharType="end"/>
        </w:r>
      </w:hyperlink>
    </w:p>
    <w:p w14:paraId="77EB57E7" w14:textId="13966B83"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25" w:history="1">
        <w:r w:rsidR="003E5029" w:rsidRPr="007B3C1F">
          <w:rPr>
            <w:rStyle w:val="Hyperlink"/>
            <w:noProof/>
          </w:rPr>
          <w:t>Recommendations</w:t>
        </w:r>
        <w:r w:rsidR="003E5029">
          <w:rPr>
            <w:noProof/>
            <w:webHidden/>
          </w:rPr>
          <w:tab/>
        </w:r>
        <w:r w:rsidR="003E5029">
          <w:rPr>
            <w:noProof/>
            <w:webHidden/>
          </w:rPr>
          <w:fldChar w:fldCharType="begin"/>
        </w:r>
        <w:r w:rsidR="003E5029">
          <w:rPr>
            <w:noProof/>
            <w:webHidden/>
          </w:rPr>
          <w:instrText xml:space="preserve"> PAGEREF _Toc83893125 \h </w:instrText>
        </w:r>
        <w:r w:rsidR="003E5029">
          <w:rPr>
            <w:noProof/>
            <w:webHidden/>
          </w:rPr>
        </w:r>
        <w:r w:rsidR="003E5029">
          <w:rPr>
            <w:noProof/>
            <w:webHidden/>
          </w:rPr>
          <w:fldChar w:fldCharType="separate"/>
        </w:r>
        <w:r w:rsidR="00793383">
          <w:rPr>
            <w:noProof/>
            <w:webHidden/>
          </w:rPr>
          <w:t>v</w:t>
        </w:r>
        <w:r w:rsidR="003E5029">
          <w:rPr>
            <w:noProof/>
            <w:webHidden/>
          </w:rPr>
          <w:fldChar w:fldCharType="end"/>
        </w:r>
      </w:hyperlink>
    </w:p>
    <w:p w14:paraId="1A982C9C" w14:textId="06EC91B0"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26" w:history="1">
        <w:r w:rsidR="003E5029" w:rsidRPr="007B3C1F">
          <w:rPr>
            <w:rStyle w:val="Hyperlink"/>
            <w:noProof/>
          </w:rPr>
          <w:t>1</w:t>
        </w:r>
        <w:r w:rsidR="003E5029">
          <w:rPr>
            <w:rFonts w:asciiTheme="minorHAnsi" w:eastAsiaTheme="minorEastAsia" w:hAnsiTheme="minorHAnsi" w:cstheme="minorBidi"/>
            <w:b w:val="0"/>
            <w:bCs w:val="0"/>
            <w:smallCaps w:val="0"/>
            <w:noProof/>
            <w:spacing w:val="0"/>
            <w:sz w:val="22"/>
            <w:szCs w:val="22"/>
            <w:lang w:eastAsia="en-AU"/>
          </w:rPr>
          <w:tab/>
        </w:r>
        <w:r w:rsidR="003E5029" w:rsidRPr="007B3C1F">
          <w:rPr>
            <w:rStyle w:val="Hyperlink"/>
            <w:noProof/>
          </w:rPr>
          <w:t>Introduction</w:t>
        </w:r>
        <w:r w:rsidR="003E5029">
          <w:rPr>
            <w:noProof/>
            <w:webHidden/>
          </w:rPr>
          <w:tab/>
        </w:r>
        <w:r w:rsidR="003E5029">
          <w:rPr>
            <w:noProof/>
            <w:webHidden/>
          </w:rPr>
          <w:fldChar w:fldCharType="begin"/>
        </w:r>
        <w:r w:rsidR="003E5029">
          <w:rPr>
            <w:noProof/>
            <w:webHidden/>
          </w:rPr>
          <w:instrText xml:space="preserve"> PAGEREF _Toc83893126 \h </w:instrText>
        </w:r>
        <w:r w:rsidR="003E5029">
          <w:rPr>
            <w:noProof/>
            <w:webHidden/>
          </w:rPr>
        </w:r>
        <w:r w:rsidR="003E5029">
          <w:rPr>
            <w:noProof/>
            <w:webHidden/>
          </w:rPr>
          <w:fldChar w:fldCharType="separate"/>
        </w:r>
        <w:r w:rsidR="00793383">
          <w:rPr>
            <w:noProof/>
            <w:webHidden/>
          </w:rPr>
          <w:t>1</w:t>
        </w:r>
        <w:r w:rsidR="003E5029">
          <w:rPr>
            <w:noProof/>
            <w:webHidden/>
          </w:rPr>
          <w:fldChar w:fldCharType="end"/>
        </w:r>
      </w:hyperlink>
    </w:p>
    <w:p w14:paraId="5AF42188" w14:textId="0864B148" w:rsidR="003E5029" w:rsidRDefault="00F671FB">
      <w:pPr>
        <w:pStyle w:val="TOC2"/>
        <w:rPr>
          <w:rFonts w:asciiTheme="minorHAnsi" w:eastAsiaTheme="minorEastAsia" w:hAnsiTheme="minorHAnsi" w:cstheme="minorBidi"/>
          <w:b w:val="0"/>
          <w:noProof/>
          <w:sz w:val="22"/>
          <w:szCs w:val="22"/>
          <w:lang w:eastAsia="en-AU"/>
        </w:rPr>
      </w:pPr>
      <w:hyperlink w:anchor="_Toc83893127" w:history="1">
        <w:r w:rsidR="003E5029" w:rsidRPr="007B3C1F">
          <w:rPr>
            <w:rStyle w:val="Hyperlink"/>
            <w:noProof/>
          </w:rPr>
          <w:t>Conduct of the Inquiry</w:t>
        </w:r>
        <w:r w:rsidR="003E5029">
          <w:rPr>
            <w:noProof/>
            <w:webHidden/>
          </w:rPr>
          <w:tab/>
        </w:r>
        <w:r w:rsidR="003E5029">
          <w:rPr>
            <w:noProof/>
            <w:webHidden/>
          </w:rPr>
          <w:fldChar w:fldCharType="begin"/>
        </w:r>
        <w:r w:rsidR="003E5029">
          <w:rPr>
            <w:noProof/>
            <w:webHidden/>
          </w:rPr>
          <w:instrText xml:space="preserve"> PAGEREF _Toc83893127 \h </w:instrText>
        </w:r>
        <w:r w:rsidR="003E5029">
          <w:rPr>
            <w:noProof/>
            <w:webHidden/>
          </w:rPr>
        </w:r>
        <w:r w:rsidR="003E5029">
          <w:rPr>
            <w:noProof/>
            <w:webHidden/>
          </w:rPr>
          <w:fldChar w:fldCharType="separate"/>
        </w:r>
        <w:r w:rsidR="00793383">
          <w:rPr>
            <w:noProof/>
            <w:webHidden/>
          </w:rPr>
          <w:t>1</w:t>
        </w:r>
        <w:r w:rsidR="003E5029">
          <w:rPr>
            <w:noProof/>
            <w:webHidden/>
          </w:rPr>
          <w:fldChar w:fldCharType="end"/>
        </w:r>
      </w:hyperlink>
    </w:p>
    <w:p w14:paraId="62B73579" w14:textId="6CE0500C" w:rsidR="003E5029" w:rsidRDefault="00F671FB">
      <w:pPr>
        <w:pStyle w:val="TOC2"/>
        <w:rPr>
          <w:rFonts w:asciiTheme="minorHAnsi" w:eastAsiaTheme="minorEastAsia" w:hAnsiTheme="minorHAnsi" w:cstheme="minorBidi"/>
          <w:b w:val="0"/>
          <w:noProof/>
          <w:sz w:val="22"/>
          <w:szCs w:val="22"/>
          <w:lang w:eastAsia="en-AU"/>
        </w:rPr>
      </w:pPr>
      <w:hyperlink w:anchor="_Toc83893128" w:history="1">
        <w:r w:rsidR="003E5029" w:rsidRPr="007B3C1F">
          <w:rPr>
            <w:rStyle w:val="Hyperlink"/>
            <w:noProof/>
          </w:rPr>
          <w:t>Acknowledgements</w:t>
        </w:r>
        <w:r w:rsidR="003E5029">
          <w:rPr>
            <w:noProof/>
            <w:webHidden/>
          </w:rPr>
          <w:tab/>
        </w:r>
        <w:r w:rsidR="003E5029">
          <w:rPr>
            <w:noProof/>
            <w:webHidden/>
          </w:rPr>
          <w:fldChar w:fldCharType="begin"/>
        </w:r>
        <w:r w:rsidR="003E5029">
          <w:rPr>
            <w:noProof/>
            <w:webHidden/>
          </w:rPr>
          <w:instrText xml:space="preserve"> PAGEREF _Toc83893128 \h </w:instrText>
        </w:r>
        <w:r w:rsidR="003E5029">
          <w:rPr>
            <w:noProof/>
            <w:webHidden/>
          </w:rPr>
        </w:r>
        <w:r w:rsidR="003E5029">
          <w:rPr>
            <w:noProof/>
            <w:webHidden/>
          </w:rPr>
          <w:fldChar w:fldCharType="separate"/>
        </w:r>
        <w:r w:rsidR="00793383">
          <w:rPr>
            <w:noProof/>
            <w:webHidden/>
          </w:rPr>
          <w:t>1</w:t>
        </w:r>
        <w:r w:rsidR="003E5029">
          <w:rPr>
            <w:noProof/>
            <w:webHidden/>
          </w:rPr>
          <w:fldChar w:fldCharType="end"/>
        </w:r>
      </w:hyperlink>
    </w:p>
    <w:p w14:paraId="298B3F58" w14:textId="64E02156"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29" w:history="1">
        <w:r w:rsidR="003E5029" w:rsidRPr="007B3C1F">
          <w:rPr>
            <w:rStyle w:val="Hyperlink"/>
            <w:noProof/>
          </w:rPr>
          <w:t>2</w:t>
        </w:r>
        <w:r w:rsidR="003E5029">
          <w:rPr>
            <w:rFonts w:asciiTheme="minorHAnsi" w:eastAsiaTheme="minorEastAsia" w:hAnsiTheme="minorHAnsi" w:cstheme="minorBidi"/>
            <w:b w:val="0"/>
            <w:bCs w:val="0"/>
            <w:smallCaps w:val="0"/>
            <w:noProof/>
            <w:spacing w:val="0"/>
            <w:sz w:val="22"/>
            <w:szCs w:val="22"/>
            <w:lang w:eastAsia="en-AU"/>
          </w:rPr>
          <w:tab/>
        </w:r>
        <w:r w:rsidR="003E5029" w:rsidRPr="007B3C1F">
          <w:rPr>
            <w:rStyle w:val="Hyperlink"/>
            <w:noProof/>
          </w:rPr>
          <w:t>Planning in the Australian Capital Territory</w:t>
        </w:r>
        <w:r w:rsidR="003E5029">
          <w:rPr>
            <w:noProof/>
            <w:webHidden/>
          </w:rPr>
          <w:tab/>
        </w:r>
        <w:r w:rsidR="003E5029">
          <w:rPr>
            <w:noProof/>
            <w:webHidden/>
          </w:rPr>
          <w:fldChar w:fldCharType="begin"/>
        </w:r>
        <w:r w:rsidR="003E5029">
          <w:rPr>
            <w:noProof/>
            <w:webHidden/>
          </w:rPr>
          <w:instrText xml:space="preserve"> PAGEREF _Toc83893129 \h </w:instrText>
        </w:r>
        <w:r w:rsidR="003E5029">
          <w:rPr>
            <w:noProof/>
            <w:webHidden/>
          </w:rPr>
        </w:r>
        <w:r w:rsidR="003E5029">
          <w:rPr>
            <w:noProof/>
            <w:webHidden/>
          </w:rPr>
          <w:fldChar w:fldCharType="separate"/>
        </w:r>
        <w:r w:rsidR="00793383">
          <w:rPr>
            <w:noProof/>
            <w:webHidden/>
          </w:rPr>
          <w:t>2</w:t>
        </w:r>
        <w:r w:rsidR="003E5029">
          <w:rPr>
            <w:noProof/>
            <w:webHidden/>
          </w:rPr>
          <w:fldChar w:fldCharType="end"/>
        </w:r>
      </w:hyperlink>
    </w:p>
    <w:p w14:paraId="5E09EB62" w14:textId="140A640F"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30" w:history="1">
        <w:r w:rsidR="003E5029" w:rsidRPr="007B3C1F">
          <w:rPr>
            <w:rStyle w:val="Hyperlink"/>
            <w:noProof/>
          </w:rPr>
          <w:t>3</w:t>
        </w:r>
        <w:r w:rsidR="003E5029">
          <w:rPr>
            <w:rFonts w:asciiTheme="minorHAnsi" w:eastAsiaTheme="minorEastAsia" w:hAnsiTheme="minorHAnsi" w:cstheme="minorBidi"/>
            <w:b w:val="0"/>
            <w:bCs w:val="0"/>
            <w:smallCaps w:val="0"/>
            <w:noProof/>
            <w:spacing w:val="0"/>
            <w:sz w:val="22"/>
            <w:szCs w:val="22"/>
            <w:lang w:eastAsia="en-AU"/>
          </w:rPr>
          <w:tab/>
        </w:r>
        <w:r w:rsidR="003E5029" w:rsidRPr="007B3C1F">
          <w:rPr>
            <w:rStyle w:val="Hyperlink"/>
            <w:noProof/>
          </w:rPr>
          <w:t>Gungahlin Town Centre Planning</w:t>
        </w:r>
        <w:r w:rsidR="003E5029">
          <w:rPr>
            <w:noProof/>
            <w:webHidden/>
          </w:rPr>
          <w:tab/>
        </w:r>
        <w:r w:rsidR="003E5029">
          <w:rPr>
            <w:noProof/>
            <w:webHidden/>
          </w:rPr>
          <w:fldChar w:fldCharType="begin"/>
        </w:r>
        <w:r w:rsidR="003E5029">
          <w:rPr>
            <w:noProof/>
            <w:webHidden/>
          </w:rPr>
          <w:instrText xml:space="preserve"> PAGEREF _Toc83893130 \h </w:instrText>
        </w:r>
        <w:r w:rsidR="003E5029">
          <w:rPr>
            <w:noProof/>
            <w:webHidden/>
          </w:rPr>
        </w:r>
        <w:r w:rsidR="003E5029">
          <w:rPr>
            <w:noProof/>
            <w:webHidden/>
          </w:rPr>
          <w:fldChar w:fldCharType="separate"/>
        </w:r>
        <w:r w:rsidR="00793383">
          <w:rPr>
            <w:noProof/>
            <w:webHidden/>
          </w:rPr>
          <w:t>5</w:t>
        </w:r>
        <w:r w:rsidR="003E5029">
          <w:rPr>
            <w:noProof/>
            <w:webHidden/>
          </w:rPr>
          <w:fldChar w:fldCharType="end"/>
        </w:r>
      </w:hyperlink>
    </w:p>
    <w:p w14:paraId="3D97F554" w14:textId="2BD18069"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31" w:history="1">
        <w:r w:rsidR="003E5029" w:rsidRPr="007B3C1F">
          <w:rPr>
            <w:rStyle w:val="Hyperlink"/>
            <w:noProof/>
          </w:rPr>
          <w:t>4</w:t>
        </w:r>
        <w:r w:rsidR="003E5029">
          <w:rPr>
            <w:rFonts w:asciiTheme="minorHAnsi" w:eastAsiaTheme="minorEastAsia" w:hAnsiTheme="minorHAnsi" w:cstheme="minorBidi"/>
            <w:b w:val="0"/>
            <w:bCs w:val="0"/>
            <w:smallCaps w:val="0"/>
            <w:noProof/>
            <w:spacing w:val="0"/>
            <w:sz w:val="22"/>
            <w:szCs w:val="22"/>
            <w:lang w:eastAsia="en-AU"/>
          </w:rPr>
          <w:tab/>
        </w:r>
        <w:r w:rsidR="003E5029" w:rsidRPr="007B3C1F">
          <w:rPr>
            <w:rStyle w:val="Hyperlink"/>
            <w:noProof/>
          </w:rPr>
          <w:t>The Draft Variation</w:t>
        </w:r>
        <w:r w:rsidR="003E5029">
          <w:rPr>
            <w:noProof/>
            <w:webHidden/>
          </w:rPr>
          <w:tab/>
        </w:r>
        <w:r w:rsidR="003E5029">
          <w:rPr>
            <w:noProof/>
            <w:webHidden/>
          </w:rPr>
          <w:fldChar w:fldCharType="begin"/>
        </w:r>
        <w:r w:rsidR="003E5029">
          <w:rPr>
            <w:noProof/>
            <w:webHidden/>
          </w:rPr>
          <w:instrText xml:space="preserve"> PAGEREF _Toc83893131 \h </w:instrText>
        </w:r>
        <w:r w:rsidR="003E5029">
          <w:rPr>
            <w:noProof/>
            <w:webHidden/>
          </w:rPr>
        </w:r>
        <w:r w:rsidR="003E5029">
          <w:rPr>
            <w:noProof/>
            <w:webHidden/>
          </w:rPr>
          <w:fldChar w:fldCharType="separate"/>
        </w:r>
        <w:r w:rsidR="00793383">
          <w:rPr>
            <w:noProof/>
            <w:webHidden/>
          </w:rPr>
          <w:t>7</w:t>
        </w:r>
        <w:r w:rsidR="003E5029">
          <w:rPr>
            <w:noProof/>
            <w:webHidden/>
          </w:rPr>
          <w:fldChar w:fldCharType="end"/>
        </w:r>
      </w:hyperlink>
    </w:p>
    <w:p w14:paraId="09AB727B" w14:textId="410FEB80" w:rsidR="003E5029" w:rsidRDefault="00F671FB">
      <w:pPr>
        <w:pStyle w:val="TOC2"/>
        <w:rPr>
          <w:rFonts w:asciiTheme="minorHAnsi" w:eastAsiaTheme="minorEastAsia" w:hAnsiTheme="minorHAnsi" w:cstheme="minorBidi"/>
          <w:b w:val="0"/>
          <w:noProof/>
          <w:sz w:val="22"/>
          <w:szCs w:val="22"/>
          <w:lang w:eastAsia="en-AU"/>
        </w:rPr>
      </w:pPr>
      <w:hyperlink w:anchor="_Toc83893132" w:history="1">
        <w:r w:rsidR="003E5029" w:rsidRPr="007B3C1F">
          <w:rPr>
            <w:rStyle w:val="Hyperlink"/>
            <w:noProof/>
          </w:rPr>
          <w:t>Consultation by the Environment, Planning and Sustainable Development Directorate</w:t>
        </w:r>
        <w:r w:rsidR="003E5029">
          <w:rPr>
            <w:noProof/>
            <w:webHidden/>
          </w:rPr>
          <w:tab/>
        </w:r>
        <w:r w:rsidR="003E5029">
          <w:rPr>
            <w:noProof/>
            <w:webHidden/>
          </w:rPr>
          <w:fldChar w:fldCharType="begin"/>
        </w:r>
        <w:r w:rsidR="003E5029">
          <w:rPr>
            <w:noProof/>
            <w:webHidden/>
          </w:rPr>
          <w:instrText xml:space="preserve"> PAGEREF _Toc83893132 \h </w:instrText>
        </w:r>
        <w:r w:rsidR="003E5029">
          <w:rPr>
            <w:noProof/>
            <w:webHidden/>
          </w:rPr>
        </w:r>
        <w:r w:rsidR="003E5029">
          <w:rPr>
            <w:noProof/>
            <w:webHidden/>
          </w:rPr>
          <w:fldChar w:fldCharType="separate"/>
        </w:r>
        <w:r w:rsidR="00793383">
          <w:rPr>
            <w:noProof/>
            <w:webHidden/>
          </w:rPr>
          <w:t>9</w:t>
        </w:r>
        <w:r w:rsidR="003E5029">
          <w:rPr>
            <w:noProof/>
            <w:webHidden/>
          </w:rPr>
          <w:fldChar w:fldCharType="end"/>
        </w:r>
      </w:hyperlink>
    </w:p>
    <w:p w14:paraId="11539FCB" w14:textId="635575FB"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33" w:history="1">
        <w:r w:rsidR="003E5029" w:rsidRPr="007B3C1F">
          <w:rPr>
            <w:rStyle w:val="Hyperlink"/>
            <w:noProof/>
          </w:rPr>
          <w:t>5</w:t>
        </w:r>
        <w:r w:rsidR="003E5029">
          <w:rPr>
            <w:rFonts w:asciiTheme="minorHAnsi" w:eastAsiaTheme="minorEastAsia" w:hAnsiTheme="minorHAnsi" w:cstheme="minorBidi"/>
            <w:b w:val="0"/>
            <w:bCs w:val="0"/>
            <w:smallCaps w:val="0"/>
            <w:noProof/>
            <w:spacing w:val="0"/>
            <w:sz w:val="22"/>
            <w:szCs w:val="22"/>
            <w:lang w:eastAsia="en-AU"/>
          </w:rPr>
          <w:tab/>
        </w:r>
        <w:r w:rsidR="003E5029" w:rsidRPr="007B3C1F">
          <w:rPr>
            <w:rStyle w:val="Hyperlink"/>
            <w:noProof/>
          </w:rPr>
          <w:t>Key Issues</w:t>
        </w:r>
        <w:r w:rsidR="003E5029">
          <w:rPr>
            <w:noProof/>
            <w:webHidden/>
          </w:rPr>
          <w:tab/>
        </w:r>
        <w:r w:rsidR="003E5029">
          <w:rPr>
            <w:noProof/>
            <w:webHidden/>
          </w:rPr>
          <w:fldChar w:fldCharType="begin"/>
        </w:r>
        <w:r w:rsidR="003E5029">
          <w:rPr>
            <w:noProof/>
            <w:webHidden/>
          </w:rPr>
          <w:instrText xml:space="preserve"> PAGEREF _Toc83893133 \h </w:instrText>
        </w:r>
        <w:r w:rsidR="003E5029">
          <w:rPr>
            <w:noProof/>
            <w:webHidden/>
          </w:rPr>
        </w:r>
        <w:r w:rsidR="003E5029">
          <w:rPr>
            <w:noProof/>
            <w:webHidden/>
          </w:rPr>
          <w:fldChar w:fldCharType="separate"/>
        </w:r>
        <w:r w:rsidR="00793383">
          <w:rPr>
            <w:noProof/>
            <w:webHidden/>
          </w:rPr>
          <w:t>10</w:t>
        </w:r>
        <w:r w:rsidR="003E5029">
          <w:rPr>
            <w:noProof/>
            <w:webHidden/>
          </w:rPr>
          <w:fldChar w:fldCharType="end"/>
        </w:r>
      </w:hyperlink>
    </w:p>
    <w:p w14:paraId="5025F0AF" w14:textId="5D21B1D9" w:rsidR="003E5029" w:rsidRDefault="00F671FB">
      <w:pPr>
        <w:pStyle w:val="TOC2"/>
        <w:rPr>
          <w:rFonts w:asciiTheme="minorHAnsi" w:eastAsiaTheme="minorEastAsia" w:hAnsiTheme="minorHAnsi" w:cstheme="minorBidi"/>
          <w:b w:val="0"/>
          <w:noProof/>
          <w:sz w:val="22"/>
          <w:szCs w:val="22"/>
          <w:lang w:eastAsia="en-AU"/>
        </w:rPr>
      </w:pPr>
      <w:hyperlink w:anchor="_Toc83893134" w:history="1">
        <w:r w:rsidR="003E5029" w:rsidRPr="007B3C1F">
          <w:rPr>
            <w:rStyle w:val="Hyperlink"/>
            <w:noProof/>
          </w:rPr>
          <w:t>Commercial Land Targets</w:t>
        </w:r>
        <w:r w:rsidR="003E5029">
          <w:rPr>
            <w:noProof/>
            <w:webHidden/>
          </w:rPr>
          <w:tab/>
        </w:r>
        <w:r w:rsidR="003E5029">
          <w:rPr>
            <w:noProof/>
            <w:webHidden/>
          </w:rPr>
          <w:fldChar w:fldCharType="begin"/>
        </w:r>
        <w:r w:rsidR="003E5029">
          <w:rPr>
            <w:noProof/>
            <w:webHidden/>
          </w:rPr>
          <w:instrText xml:space="preserve"> PAGEREF _Toc83893134 \h </w:instrText>
        </w:r>
        <w:r w:rsidR="003E5029">
          <w:rPr>
            <w:noProof/>
            <w:webHidden/>
          </w:rPr>
        </w:r>
        <w:r w:rsidR="003E5029">
          <w:rPr>
            <w:noProof/>
            <w:webHidden/>
          </w:rPr>
          <w:fldChar w:fldCharType="separate"/>
        </w:r>
        <w:r w:rsidR="00793383">
          <w:rPr>
            <w:noProof/>
            <w:webHidden/>
          </w:rPr>
          <w:t>10</w:t>
        </w:r>
        <w:r w:rsidR="003E5029">
          <w:rPr>
            <w:noProof/>
            <w:webHidden/>
          </w:rPr>
          <w:fldChar w:fldCharType="end"/>
        </w:r>
      </w:hyperlink>
    </w:p>
    <w:p w14:paraId="5A8F3D6B" w14:textId="451872C2" w:rsidR="003E5029" w:rsidRDefault="00F671FB">
      <w:pPr>
        <w:pStyle w:val="TOC2"/>
        <w:rPr>
          <w:rFonts w:asciiTheme="minorHAnsi" w:eastAsiaTheme="minorEastAsia" w:hAnsiTheme="minorHAnsi" w:cstheme="minorBidi"/>
          <w:b w:val="0"/>
          <w:noProof/>
          <w:sz w:val="22"/>
          <w:szCs w:val="22"/>
          <w:lang w:eastAsia="en-AU"/>
        </w:rPr>
      </w:pPr>
      <w:hyperlink w:anchor="_Toc83893135" w:history="1">
        <w:r w:rsidR="003E5029" w:rsidRPr="007B3C1F">
          <w:rPr>
            <w:rStyle w:val="Hyperlink"/>
            <w:noProof/>
          </w:rPr>
          <w:t>Mixed Use Development</w:t>
        </w:r>
        <w:r w:rsidR="003E5029">
          <w:rPr>
            <w:noProof/>
            <w:webHidden/>
          </w:rPr>
          <w:tab/>
        </w:r>
        <w:r w:rsidR="003E5029">
          <w:rPr>
            <w:noProof/>
            <w:webHidden/>
          </w:rPr>
          <w:fldChar w:fldCharType="begin"/>
        </w:r>
        <w:r w:rsidR="003E5029">
          <w:rPr>
            <w:noProof/>
            <w:webHidden/>
          </w:rPr>
          <w:instrText xml:space="preserve"> PAGEREF _Toc83893135 \h </w:instrText>
        </w:r>
        <w:r w:rsidR="003E5029">
          <w:rPr>
            <w:noProof/>
            <w:webHidden/>
          </w:rPr>
        </w:r>
        <w:r w:rsidR="003E5029">
          <w:rPr>
            <w:noProof/>
            <w:webHidden/>
          </w:rPr>
          <w:fldChar w:fldCharType="separate"/>
        </w:r>
        <w:r w:rsidR="00793383">
          <w:rPr>
            <w:noProof/>
            <w:webHidden/>
          </w:rPr>
          <w:t>13</w:t>
        </w:r>
        <w:r w:rsidR="003E5029">
          <w:rPr>
            <w:noProof/>
            <w:webHidden/>
          </w:rPr>
          <w:fldChar w:fldCharType="end"/>
        </w:r>
      </w:hyperlink>
    </w:p>
    <w:p w14:paraId="44341587" w14:textId="0EA59CDB" w:rsidR="003E5029" w:rsidRDefault="00F671FB">
      <w:pPr>
        <w:pStyle w:val="TOC2"/>
        <w:rPr>
          <w:rFonts w:asciiTheme="minorHAnsi" w:eastAsiaTheme="minorEastAsia" w:hAnsiTheme="minorHAnsi" w:cstheme="minorBidi"/>
          <w:b w:val="0"/>
          <w:noProof/>
          <w:sz w:val="22"/>
          <w:szCs w:val="22"/>
          <w:lang w:eastAsia="en-AU"/>
        </w:rPr>
      </w:pPr>
      <w:hyperlink w:anchor="_Toc83893136" w:history="1">
        <w:r w:rsidR="003E5029" w:rsidRPr="007B3C1F">
          <w:rPr>
            <w:rStyle w:val="Hyperlink"/>
            <w:noProof/>
          </w:rPr>
          <w:t>Building Heights</w:t>
        </w:r>
        <w:r w:rsidR="003E5029">
          <w:rPr>
            <w:noProof/>
            <w:webHidden/>
          </w:rPr>
          <w:tab/>
        </w:r>
        <w:r w:rsidR="003E5029">
          <w:rPr>
            <w:noProof/>
            <w:webHidden/>
          </w:rPr>
          <w:fldChar w:fldCharType="begin"/>
        </w:r>
        <w:r w:rsidR="003E5029">
          <w:rPr>
            <w:noProof/>
            <w:webHidden/>
          </w:rPr>
          <w:instrText xml:space="preserve"> PAGEREF _Toc83893136 \h </w:instrText>
        </w:r>
        <w:r w:rsidR="003E5029">
          <w:rPr>
            <w:noProof/>
            <w:webHidden/>
          </w:rPr>
        </w:r>
        <w:r w:rsidR="003E5029">
          <w:rPr>
            <w:noProof/>
            <w:webHidden/>
          </w:rPr>
          <w:fldChar w:fldCharType="separate"/>
        </w:r>
        <w:r w:rsidR="00793383">
          <w:rPr>
            <w:noProof/>
            <w:webHidden/>
          </w:rPr>
          <w:t>17</w:t>
        </w:r>
        <w:r w:rsidR="003E5029">
          <w:rPr>
            <w:noProof/>
            <w:webHidden/>
          </w:rPr>
          <w:fldChar w:fldCharType="end"/>
        </w:r>
      </w:hyperlink>
    </w:p>
    <w:p w14:paraId="1D2AA5DA" w14:textId="677A160E" w:rsidR="003E5029" w:rsidRDefault="00F671FB">
      <w:pPr>
        <w:pStyle w:val="TOC2"/>
        <w:rPr>
          <w:rFonts w:asciiTheme="minorHAnsi" w:eastAsiaTheme="minorEastAsia" w:hAnsiTheme="minorHAnsi" w:cstheme="minorBidi"/>
          <w:b w:val="0"/>
          <w:noProof/>
          <w:sz w:val="22"/>
          <w:szCs w:val="22"/>
          <w:lang w:eastAsia="en-AU"/>
        </w:rPr>
      </w:pPr>
      <w:hyperlink w:anchor="_Toc83893137" w:history="1">
        <w:r w:rsidR="003E5029" w:rsidRPr="007B3C1F">
          <w:rPr>
            <w:rStyle w:val="Hyperlink"/>
            <w:noProof/>
          </w:rPr>
          <w:t>Traffic and active travel considerations</w:t>
        </w:r>
        <w:r w:rsidR="003E5029">
          <w:rPr>
            <w:noProof/>
            <w:webHidden/>
          </w:rPr>
          <w:tab/>
        </w:r>
        <w:r w:rsidR="003E5029">
          <w:rPr>
            <w:noProof/>
            <w:webHidden/>
          </w:rPr>
          <w:fldChar w:fldCharType="begin"/>
        </w:r>
        <w:r w:rsidR="003E5029">
          <w:rPr>
            <w:noProof/>
            <w:webHidden/>
          </w:rPr>
          <w:instrText xml:space="preserve"> PAGEREF _Toc83893137 \h </w:instrText>
        </w:r>
        <w:r w:rsidR="003E5029">
          <w:rPr>
            <w:noProof/>
            <w:webHidden/>
          </w:rPr>
        </w:r>
        <w:r w:rsidR="003E5029">
          <w:rPr>
            <w:noProof/>
            <w:webHidden/>
          </w:rPr>
          <w:fldChar w:fldCharType="separate"/>
        </w:r>
        <w:r w:rsidR="00793383">
          <w:rPr>
            <w:noProof/>
            <w:webHidden/>
          </w:rPr>
          <w:t>19</w:t>
        </w:r>
        <w:r w:rsidR="003E5029">
          <w:rPr>
            <w:noProof/>
            <w:webHidden/>
          </w:rPr>
          <w:fldChar w:fldCharType="end"/>
        </w:r>
      </w:hyperlink>
    </w:p>
    <w:p w14:paraId="08294C74" w14:textId="777D64E7" w:rsidR="003E5029" w:rsidRDefault="00F671FB">
      <w:pPr>
        <w:pStyle w:val="TOC2"/>
        <w:rPr>
          <w:rFonts w:asciiTheme="minorHAnsi" w:eastAsiaTheme="minorEastAsia" w:hAnsiTheme="minorHAnsi" w:cstheme="minorBidi"/>
          <w:b w:val="0"/>
          <w:noProof/>
          <w:sz w:val="22"/>
          <w:szCs w:val="22"/>
          <w:lang w:eastAsia="en-AU"/>
        </w:rPr>
      </w:pPr>
      <w:hyperlink w:anchor="_Toc83893138" w:history="1">
        <w:r w:rsidR="003E5029" w:rsidRPr="007B3C1F">
          <w:rPr>
            <w:rStyle w:val="Hyperlink"/>
            <w:noProof/>
          </w:rPr>
          <w:t>Public Realm</w:t>
        </w:r>
        <w:r w:rsidR="003E5029">
          <w:rPr>
            <w:noProof/>
            <w:webHidden/>
          </w:rPr>
          <w:tab/>
        </w:r>
        <w:r w:rsidR="003E5029">
          <w:rPr>
            <w:noProof/>
            <w:webHidden/>
          </w:rPr>
          <w:fldChar w:fldCharType="begin"/>
        </w:r>
        <w:r w:rsidR="003E5029">
          <w:rPr>
            <w:noProof/>
            <w:webHidden/>
          </w:rPr>
          <w:instrText xml:space="preserve"> PAGEREF _Toc83893138 \h </w:instrText>
        </w:r>
        <w:r w:rsidR="003E5029">
          <w:rPr>
            <w:noProof/>
            <w:webHidden/>
          </w:rPr>
        </w:r>
        <w:r w:rsidR="003E5029">
          <w:rPr>
            <w:noProof/>
            <w:webHidden/>
          </w:rPr>
          <w:fldChar w:fldCharType="separate"/>
        </w:r>
        <w:r w:rsidR="00793383">
          <w:rPr>
            <w:noProof/>
            <w:webHidden/>
          </w:rPr>
          <w:t>20</w:t>
        </w:r>
        <w:r w:rsidR="003E5029">
          <w:rPr>
            <w:noProof/>
            <w:webHidden/>
          </w:rPr>
          <w:fldChar w:fldCharType="end"/>
        </w:r>
      </w:hyperlink>
    </w:p>
    <w:p w14:paraId="3366B0B8" w14:textId="09566C43" w:rsidR="003E5029" w:rsidRDefault="00F671FB">
      <w:pPr>
        <w:pStyle w:val="TOC2"/>
        <w:rPr>
          <w:rFonts w:asciiTheme="minorHAnsi" w:eastAsiaTheme="minorEastAsia" w:hAnsiTheme="minorHAnsi" w:cstheme="minorBidi"/>
          <w:b w:val="0"/>
          <w:noProof/>
          <w:sz w:val="22"/>
          <w:szCs w:val="22"/>
          <w:lang w:eastAsia="en-AU"/>
        </w:rPr>
      </w:pPr>
      <w:hyperlink w:anchor="_Toc83893139" w:history="1">
        <w:r w:rsidR="003E5029" w:rsidRPr="007B3C1F">
          <w:rPr>
            <w:rStyle w:val="Hyperlink"/>
            <w:noProof/>
          </w:rPr>
          <w:t>Scope of area considered</w:t>
        </w:r>
        <w:r w:rsidR="003E5029">
          <w:rPr>
            <w:noProof/>
            <w:webHidden/>
          </w:rPr>
          <w:tab/>
        </w:r>
        <w:r w:rsidR="003E5029">
          <w:rPr>
            <w:noProof/>
            <w:webHidden/>
          </w:rPr>
          <w:fldChar w:fldCharType="begin"/>
        </w:r>
        <w:r w:rsidR="003E5029">
          <w:rPr>
            <w:noProof/>
            <w:webHidden/>
          </w:rPr>
          <w:instrText xml:space="preserve"> PAGEREF _Toc83893139 \h </w:instrText>
        </w:r>
        <w:r w:rsidR="003E5029">
          <w:rPr>
            <w:noProof/>
            <w:webHidden/>
          </w:rPr>
        </w:r>
        <w:r w:rsidR="003E5029">
          <w:rPr>
            <w:noProof/>
            <w:webHidden/>
          </w:rPr>
          <w:fldChar w:fldCharType="separate"/>
        </w:r>
        <w:r w:rsidR="00793383">
          <w:rPr>
            <w:noProof/>
            <w:webHidden/>
          </w:rPr>
          <w:t>22</w:t>
        </w:r>
        <w:r w:rsidR="003E5029">
          <w:rPr>
            <w:noProof/>
            <w:webHidden/>
          </w:rPr>
          <w:fldChar w:fldCharType="end"/>
        </w:r>
      </w:hyperlink>
    </w:p>
    <w:p w14:paraId="05964DA0" w14:textId="08EE3A48"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40" w:history="1">
        <w:r w:rsidR="003E5029" w:rsidRPr="007B3C1F">
          <w:rPr>
            <w:rStyle w:val="Hyperlink"/>
            <w:noProof/>
          </w:rPr>
          <w:t>Appendix A - Witnesses</w:t>
        </w:r>
        <w:r w:rsidR="003E5029">
          <w:rPr>
            <w:noProof/>
            <w:webHidden/>
          </w:rPr>
          <w:tab/>
        </w:r>
        <w:r w:rsidR="003E5029">
          <w:rPr>
            <w:noProof/>
            <w:webHidden/>
          </w:rPr>
          <w:fldChar w:fldCharType="begin"/>
        </w:r>
        <w:r w:rsidR="003E5029">
          <w:rPr>
            <w:noProof/>
            <w:webHidden/>
          </w:rPr>
          <w:instrText xml:space="preserve"> PAGEREF _Toc83893140 \h </w:instrText>
        </w:r>
        <w:r w:rsidR="003E5029">
          <w:rPr>
            <w:noProof/>
            <w:webHidden/>
          </w:rPr>
        </w:r>
        <w:r w:rsidR="003E5029">
          <w:rPr>
            <w:noProof/>
            <w:webHidden/>
          </w:rPr>
          <w:fldChar w:fldCharType="separate"/>
        </w:r>
        <w:r w:rsidR="00793383">
          <w:rPr>
            <w:noProof/>
            <w:webHidden/>
          </w:rPr>
          <w:t>25</w:t>
        </w:r>
        <w:r w:rsidR="003E5029">
          <w:rPr>
            <w:noProof/>
            <w:webHidden/>
          </w:rPr>
          <w:fldChar w:fldCharType="end"/>
        </w:r>
      </w:hyperlink>
    </w:p>
    <w:p w14:paraId="722CB13D" w14:textId="1B4F520C" w:rsidR="003E5029" w:rsidRDefault="00F671FB">
      <w:pPr>
        <w:pStyle w:val="TOC2"/>
        <w:rPr>
          <w:rFonts w:asciiTheme="minorHAnsi" w:eastAsiaTheme="minorEastAsia" w:hAnsiTheme="minorHAnsi" w:cstheme="minorBidi"/>
          <w:b w:val="0"/>
          <w:noProof/>
          <w:sz w:val="22"/>
          <w:szCs w:val="22"/>
          <w:lang w:eastAsia="en-AU"/>
        </w:rPr>
      </w:pPr>
      <w:hyperlink w:anchor="_Toc83893141" w:history="1">
        <w:r w:rsidR="003E5029" w:rsidRPr="007B3C1F">
          <w:rPr>
            <w:rStyle w:val="Hyperlink"/>
            <w:noProof/>
          </w:rPr>
          <w:t>Public Hearing 29 July 2021</w:t>
        </w:r>
        <w:r w:rsidR="003E5029">
          <w:rPr>
            <w:noProof/>
            <w:webHidden/>
          </w:rPr>
          <w:tab/>
        </w:r>
        <w:r w:rsidR="003E5029">
          <w:rPr>
            <w:noProof/>
            <w:webHidden/>
          </w:rPr>
          <w:fldChar w:fldCharType="begin"/>
        </w:r>
        <w:r w:rsidR="003E5029">
          <w:rPr>
            <w:noProof/>
            <w:webHidden/>
          </w:rPr>
          <w:instrText xml:space="preserve"> PAGEREF _Toc83893141 \h </w:instrText>
        </w:r>
        <w:r w:rsidR="003E5029">
          <w:rPr>
            <w:noProof/>
            <w:webHidden/>
          </w:rPr>
        </w:r>
        <w:r w:rsidR="003E5029">
          <w:rPr>
            <w:noProof/>
            <w:webHidden/>
          </w:rPr>
          <w:fldChar w:fldCharType="separate"/>
        </w:r>
        <w:r w:rsidR="00793383">
          <w:rPr>
            <w:noProof/>
            <w:webHidden/>
          </w:rPr>
          <w:t>25</w:t>
        </w:r>
        <w:r w:rsidR="003E5029">
          <w:rPr>
            <w:noProof/>
            <w:webHidden/>
          </w:rPr>
          <w:fldChar w:fldCharType="end"/>
        </w:r>
      </w:hyperlink>
    </w:p>
    <w:p w14:paraId="37986141" w14:textId="49DC51B5"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42" w:history="1">
        <w:r w:rsidR="003E5029" w:rsidRPr="007B3C1F">
          <w:rPr>
            <w:rStyle w:val="Hyperlink"/>
            <w:noProof/>
          </w:rPr>
          <w:t>Appendix B – Submissions</w:t>
        </w:r>
        <w:r w:rsidR="003E5029">
          <w:rPr>
            <w:noProof/>
            <w:webHidden/>
          </w:rPr>
          <w:tab/>
        </w:r>
        <w:r w:rsidR="003E5029">
          <w:rPr>
            <w:noProof/>
            <w:webHidden/>
          </w:rPr>
          <w:fldChar w:fldCharType="begin"/>
        </w:r>
        <w:r w:rsidR="003E5029">
          <w:rPr>
            <w:noProof/>
            <w:webHidden/>
          </w:rPr>
          <w:instrText xml:space="preserve"> PAGEREF _Toc83893142 \h </w:instrText>
        </w:r>
        <w:r w:rsidR="003E5029">
          <w:rPr>
            <w:noProof/>
            <w:webHidden/>
          </w:rPr>
        </w:r>
        <w:r w:rsidR="003E5029">
          <w:rPr>
            <w:noProof/>
            <w:webHidden/>
          </w:rPr>
          <w:fldChar w:fldCharType="separate"/>
        </w:r>
        <w:r w:rsidR="00793383">
          <w:rPr>
            <w:noProof/>
            <w:webHidden/>
          </w:rPr>
          <w:t>26</w:t>
        </w:r>
        <w:r w:rsidR="003E5029">
          <w:rPr>
            <w:noProof/>
            <w:webHidden/>
          </w:rPr>
          <w:fldChar w:fldCharType="end"/>
        </w:r>
      </w:hyperlink>
    </w:p>
    <w:p w14:paraId="6BD7CA42" w14:textId="7F8F628C"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43" w:history="1">
        <w:r w:rsidR="003E5029" w:rsidRPr="007B3C1F">
          <w:rPr>
            <w:rStyle w:val="Hyperlink"/>
            <w:noProof/>
          </w:rPr>
          <w:t>Appendix C – Questions taken on Notice</w:t>
        </w:r>
        <w:r w:rsidR="003E5029">
          <w:rPr>
            <w:noProof/>
            <w:webHidden/>
          </w:rPr>
          <w:tab/>
        </w:r>
        <w:r w:rsidR="003E5029">
          <w:rPr>
            <w:noProof/>
            <w:webHidden/>
          </w:rPr>
          <w:fldChar w:fldCharType="begin"/>
        </w:r>
        <w:r w:rsidR="003E5029">
          <w:rPr>
            <w:noProof/>
            <w:webHidden/>
          </w:rPr>
          <w:instrText xml:space="preserve"> PAGEREF _Toc83893143 \h </w:instrText>
        </w:r>
        <w:r w:rsidR="003E5029">
          <w:rPr>
            <w:noProof/>
            <w:webHidden/>
          </w:rPr>
        </w:r>
        <w:r w:rsidR="003E5029">
          <w:rPr>
            <w:noProof/>
            <w:webHidden/>
          </w:rPr>
          <w:fldChar w:fldCharType="separate"/>
        </w:r>
        <w:r w:rsidR="00793383">
          <w:rPr>
            <w:noProof/>
            <w:webHidden/>
          </w:rPr>
          <w:t>27</w:t>
        </w:r>
        <w:r w:rsidR="003E5029">
          <w:rPr>
            <w:noProof/>
            <w:webHidden/>
          </w:rPr>
          <w:fldChar w:fldCharType="end"/>
        </w:r>
      </w:hyperlink>
    </w:p>
    <w:p w14:paraId="7EFD188C" w14:textId="50774966" w:rsidR="005973EA" w:rsidRDefault="00171CA7">
      <w:r>
        <w:fldChar w:fldCharType="end"/>
      </w:r>
    </w:p>
    <w:p w14:paraId="4EA3A86C" w14:textId="77777777" w:rsidR="006F1579" w:rsidRDefault="006F1579" w:rsidP="005973EA">
      <w:pPr>
        <w:sectPr w:rsidR="006F1579" w:rsidSect="001C2D1C">
          <w:headerReference w:type="even" r:id="rId12"/>
          <w:headerReference w:type="default" r:id="rId13"/>
          <w:footerReference w:type="even" r:id="rId14"/>
          <w:footerReference w:type="default" r:id="rId15"/>
          <w:type w:val="oddPage"/>
          <w:pgSz w:w="11907" w:h="16840" w:code="9"/>
          <w:pgMar w:top="1588" w:right="1418" w:bottom="1418" w:left="1418" w:header="720" w:footer="851" w:gutter="0"/>
          <w:pgNumType w:fmt="lowerRoman" w:start="1"/>
          <w:cols w:space="720"/>
          <w:docGrid w:linePitch="360"/>
        </w:sectPr>
      </w:pPr>
    </w:p>
    <w:p w14:paraId="778110EC" w14:textId="77777777" w:rsidR="004001FB" w:rsidRDefault="004001FB" w:rsidP="007104A7">
      <w:pPr>
        <w:pStyle w:val="Heading2"/>
        <w:numPr>
          <w:ilvl w:val="0"/>
          <w:numId w:val="0"/>
        </w:numPr>
      </w:pPr>
      <w:bookmarkStart w:id="32" w:name="_Toc83893125"/>
      <w:r>
        <w:t>Recommendations</w:t>
      </w:r>
      <w:bookmarkEnd w:id="32"/>
    </w:p>
    <w:p w14:paraId="0DCAF069" w14:textId="626D8C5A" w:rsidR="003E5029" w:rsidRDefault="00BE235D">
      <w:pPr>
        <w:pStyle w:val="TOC1"/>
        <w:rPr>
          <w:rFonts w:asciiTheme="minorHAnsi" w:eastAsiaTheme="minorEastAsia" w:hAnsiTheme="minorHAnsi" w:cstheme="minorBidi"/>
          <w:b w:val="0"/>
          <w:bCs w:val="0"/>
          <w:smallCaps w:val="0"/>
          <w:noProof/>
          <w:spacing w:val="0"/>
          <w:sz w:val="22"/>
          <w:szCs w:val="22"/>
          <w:lang w:eastAsia="en-AU"/>
        </w:rPr>
      </w:pPr>
      <w:r>
        <w:rPr>
          <w:spacing w:val="0"/>
          <w:sz w:val="20"/>
        </w:rPr>
        <w:fldChar w:fldCharType="begin"/>
      </w:r>
      <w:r>
        <w:instrText xml:space="preserve"> TOC \n \h \z \t "Recommendation Heading,1,Recommendation Text,2,Recommendation Bullet,3" </w:instrText>
      </w:r>
      <w:r>
        <w:rPr>
          <w:spacing w:val="0"/>
          <w:sz w:val="20"/>
        </w:rPr>
        <w:fldChar w:fldCharType="separate"/>
      </w:r>
      <w:hyperlink w:anchor="_Toc83893094" w:history="1">
        <w:r w:rsidR="003E5029" w:rsidRPr="00B363E8">
          <w:rPr>
            <w:rStyle w:val="Hyperlink"/>
            <w:noProof/>
          </w:rPr>
          <w:t>Recommendation 1</w:t>
        </w:r>
      </w:hyperlink>
    </w:p>
    <w:p w14:paraId="3D75A23E" w14:textId="7CAF7714" w:rsidR="003E5029" w:rsidRDefault="00F671FB">
      <w:pPr>
        <w:pStyle w:val="TOC2"/>
        <w:rPr>
          <w:rFonts w:asciiTheme="minorHAnsi" w:eastAsiaTheme="minorEastAsia" w:hAnsiTheme="minorHAnsi" w:cstheme="minorBidi"/>
          <w:b w:val="0"/>
          <w:noProof/>
          <w:sz w:val="22"/>
          <w:szCs w:val="22"/>
          <w:lang w:eastAsia="en-AU"/>
        </w:rPr>
      </w:pPr>
      <w:hyperlink w:anchor="_Toc83893095" w:history="1">
        <w:r w:rsidR="003E5029" w:rsidRPr="00B363E8">
          <w:rPr>
            <w:rStyle w:val="Hyperlink"/>
            <w:noProof/>
          </w:rPr>
          <w:t>5.14</w:t>
        </w:r>
        <w:r w:rsidR="003E5029">
          <w:rPr>
            <w:rFonts w:asciiTheme="minorHAnsi" w:eastAsiaTheme="minorEastAsia" w:hAnsiTheme="minorHAnsi" w:cstheme="minorBidi"/>
            <w:b w:val="0"/>
            <w:noProof/>
            <w:sz w:val="22"/>
            <w:szCs w:val="22"/>
            <w:lang w:eastAsia="en-AU"/>
          </w:rPr>
          <w:tab/>
        </w:r>
        <w:r w:rsidR="003E5029" w:rsidRPr="00B363E8">
          <w:rPr>
            <w:rStyle w:val="Hyperlink"/>
            <w:noProof/>
          </w:rPr>
          <w:t>To inform the Territory Plan planning regulations a thorough investigation be completed by the ACT Government that:</w:t>
        </w:r>
      </w:hyperlink>
    </w:p>
    <w:p w14:paraId="64DE03E8" w14:textId="0A39B5D4" w:rsidR="003E5029" w:rsidRDefault="00F671FB">
      <w:pPr>
        <w:pStyle w:val="TOC3"/>
        <w:tabs>
          <w:tab w:val="left" w:pos="1276"/>
        </w:tabs>
        <w:rPr>
          <w:rFonts w:asciiTheme="minorHAnsi" w:eastAsiaTheme="minorEastAsia" w:hAnsiTheme="minorHAnsi" w:cstheme="minorBidi"/>
          <w:b w:val="0"/>
          <w:iCs w:val="0"/>
          <w:sz w:val="22"/>
        </w:rPr>
      </w:pPr>
      <w:hyperlink w:anchor="_Toc83893096" w:history="1">
        <w:r w:rsidR="003E5029" w:rsidRPr="00B363E8">
          <w:rPr>
            <w:rStyle w:val="Hyperlink"/>
            <w:rFonts w:ascii="Wingdings" w:hAnsi="Wingdings"/>
          </w:rPr>
          <w:t></w:t>
        </w:r>
        <w:r w:rsidR="003E5029">
          <w:rPr>
            <w:rFonts w:asciiTheme="minorHAnsi" w:eastAsiaTheme="minorEastAsia" w:hAnsiTheme="minorHAnsi" w:cstheme="minorBidi"/>
            <w:b w:val="0"/>
            <w:iCs w:val="0"/>
            <w:sz w:val="22"/>
          </w:rPr>
          <w:tab/>
        </w:r>
        <w:r w:rsidR="003E5029" w:rsidRPr="00B363E8">
          <w:rPr>
            <w:rStyle w:val="Hyperlink"/>
          </w:rPr>
          <w:t>identifies retail, community and commercial activity that can prosper in the town centre including activities that can anchor further growth;</w:t>
        </w:r>
      </w:hyperlink>
    </w:p>
    <w:p w14:paraId="3448BDE3" w14:textId="41E1DE9E" w:rsidR="003E5029" w:rsidRDefault="00F671FB">
      <w:pPr>
        <w:pStyle w:val="TOC3"/>
        <w:tabs>
          <w:tab w:val="left" w:pos="1276"/>
        </w:tabs>
        <w:rPr>
          <w:rFonts w:asciiTheme="minorHAnsi" w:eastAsiaTheme="minorEastAsia" w:hAnsiTheme="minorHAnsi" w:cstheme="minorBidi"/>
          <w:b w:val="0"/>
          <w:iCs w:val="0"/>
          <w:sz w:val="22"/>
        </w:rPr>
      </w:pPr>
      <w:hyperlink w:anchor="_Toc83893097" w:history="1">
        <w:r w:rsidR="003E5029" w:rsidRPr="00B363E8">
          <w:rPr>
            <w:rStyle w:val="Hyperlink"/>
            <w:rFonts w:ascii="Wingdings" w:hAnsi="Wingdings"/>
          </w:rPr>
          <w:t></w:t>
        </w:r>
        <w:r w:rsidR="003E5029">
          <w:rPr>
            <w:rFonts w:asciiTheme="minorHAnsi" w:eastAsiaTheme="minorEastAsia" w:hAnsiTheme="minorHAnsi" w:cstheme="minorBidi"/>
            <w:b w:val="0"/>
            <w:iCs w:val="0"/>
            <w:sz w:val="22"/>
          </w:rPr>
          <w:tab/>
        </w:r>
        <w:r w:rsidR="003E5029" w:rsidRPr="00B363E8">
          <w:rPr>
            <w:rStyle w:val="Hyperlink"/>
          </w:rPr>
          <w:t>identifies options for the ACT Government to support potential commercial activity through appropriate land provision and complementary policy settings; and</w:t>
        </w:r>
      </w:hyperlink>
    </w:p>
    <w:p w14:paraId="65A988CD" w14:textId="7F9F9A78" w:rsidR="003E5029" w:rsidRDefault="00F671FB">
      <w:pPr>
        <w:pStyle w:val="TOC3"/>
        <w:tabs>
          <w:tab w:val="left" w:pos="1276"/>
        </w:tabs>
        <w:rPr>
          <w:rFonts w:asciiTheme="minorHAnsi" w:eastAsiaTheme="minorEastAsia" w:hAnsiTheme="minorHAnsi" w:cstheme="minorBidi"/>
          <w:b w:val="0"/>
          <w:iCs w:val="0"/>
          <w:sz w:val="22"/>
        </w:rPr>
      </w:pPr>
      <w:hyperlink w:anchor="_Toc83893098" w:history="1">
        <w:r w:rsidR="003E5029" w:rsidRPr="00B363E8">
          <w:rPr>
            <w:rStyle w:val="Hyperlink"/>
            <w:rFonts w:ascii="Wingdings" w:hAnsi="Wingdings"/>
          </w:rPr>
          <w:t></w:t>
        </w:r>
        <w:r w:rsidR="003E5029">
          <w:rPr>
            <w:rFonts w:asciiTheme="minorHAnsi" w:eastAsiaTheme="minorEastAsia" w:hAnsiTheme="minorHAnsi" w:cstheme="minorBidi"/>
            <w:b w:val="0"/>
            <w:iCs w:val="0"/>
            <w:sz w:val="22"/>
          </w:rPr>
          <w:tab/>
        </w:r>
        <w:r w:rsidR="003E5029" w:rsidRPr="00B363E8">
          <w:rPr>
            <w:rStyle w:val="Hyperlink"/>
          </w:rPr>
          <w:t>the findings of the investigation be used to inform the sale and development requirements of future land releases in the town centre.</w:t>
        </w:r>
      </w:hyperlink>
    </w:p>
    <w:p w14:paraId="33F20A6C" w14:textId="7BB6939D"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099" w:history="1">
        <w:r w:rsidR="003E5029" w:rsidRPr="00B363E8">
          <w:rPr>
            <w:rStyle w:val="Hyperlink"/>
            <w:noProof/>
          </w:rPr>
          <w:t>Recommendation 2</w:t>
        </w:r>
      </w:hyperlink>
    </w:p>
    <w:p w14:paraId="6786A4ED" w14:textId="7DB586EF" w:rsidR="003E5029" w:rsidRDefault="00F671FB">
      <w:pPr>
        <w:pStyle w:val="TOC2"/>
        <w:rPr>
          <w:rFonts w:asciiTheme="minorHAnsi" w:eastAsiaTheme="minorEastAsia" w:hAnsiTheme="minorHAnsi" w:cstheme="minorBidi"/>
          <w:b w:val="0"/>
          <w:noProof/>
          <w:sz w:val="22"/>
          <w:szCs w:val="22"/>
          <w:lang w:eastAsia="en-AU"/>
        </w:rPr>
      </w:pPr>
      <w:hyperlink w:anchor="_Toc83893100" w:history="1">
        <w:r w:rsidR="003E5029" w:rsidRPr="00B363E8">
          <w:rPr>
            <w:rStyle w:val="Hyperlink"/>
            <w:noProof/>
          </w:rPr>
          <w:t>5.15</w:t>
        </w:r>
        <w:r w:rsidR="003E5029">
          <w:rPr>
            <w:rFonts w:asciiTheme="minorHAnsi" w:eastAsiaTheme="minorEastAsia" w:hAnsiTheme="minorHAnsi" w:cstheme="minorBidi"/>
            <w:b w:val="0"/>
            <w:noProof/>
            <w:sz w:val="22"/>
            <w:szCs w:val="22"/>
            <w:lang w:eastAsia="en-AU"/>
          </w:rPr>
          <w:tab/>
        </w:r>
        <w:r w:rsidR="003E5029" w:rsidRPr="00B363E8">
          <w:rPr>
            <w:rStyle w:val="Hyperlink"/>
            <w:noProof/>
          </w:rPr>
          <w:t>The Committee recommends the ACT Government remove criterion 43 and the n</w:t>
        </w:r>
        <w:r w:rsidR="003E5029" w:rsidRPr="00B363E8">
          <w:rPr>
            <w:rStyle w:val="Hyperlink"/>
            <w:noProof/>
          </w:rPr>
          <w:t>e</w:t>
        </w:r>
        <w:r w:rsidR="003E5029" w:rsidRPr="00B363E8">
          <w:rPr>
            <w:rStyle w:val="Hyperlink"/>
            <w:noProof/>
          </w:rPr>
          <w:t>w R44 from DV364 in order to reserve priority commercial space.</w:t>
        </w:r>
      </w:hyperlink>
    </w:p>
    <w:p w14:paraId="3372142E" w14:textId="6D3296A1"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01" w:history="1">
        <w:r w:rsidR="003E5029" w:rsidRPr="00B363E8">
          <w:rPr>
            <w:rStyle w:val="Hyperlink"/>
            <w:noProof/>
          </w:rPr>
          <w:t>Recommendation 3</w:t>
        </w:r>
      </w:hyperlink>
    </w:p>
    <w:p w14:paraId="3A7CFAC2" w14:textId="769B037F" w:rsidR="003E5029" w:rsidRDefault="00F671FB">
      <w:pPr>
        <w:pStyle w:val="TOC2"/>
        <w:rPr>
          <w:rFonts w:asciiTheme="minorHAnsi" w:eastAsiaTheme="minorEastAsia" w:hAnsiTheme="minorHAnsi" w:cstheme="minorBidi"/>
          <w:b w:val="0"/>
          <w:noProof/>
          <w:sz w:val="22"/>
          <w:szCs w:val="22"/>
          <w:lang w:eastAsia="en-AU"/>
        </w:rPr>
      </w:pPr>
      <w:hyperlink w:anchor="_Toc83893102" w:history="1">
        <w:r w:rsidR="003E5029" w:rsidRPr="00B363E8">
          <w:rPr>
            <w:rStyle w:val="Hyperlink"/>
            <w:noProof/>
          </w:rPr>
          <w:t>5.27</w:t>
        </w:r>
        <w:r w:rsidR="003E5029">
          <w:rPr>
            <w:rFonts w:asciiTheme="minorHAnsi" w:eastAsiaTheme="minorEastAsia" w:hAnsiTheme="minorHAnsi" w:cstheme="minorBidi"/>
            <w:b w:val="0"/>
            <w:noProof/>
            <w:sz w:val="22"/>
            <w:szCs w:val="22"/>
            <w:lang w:eastAsia="en-AU"/>
          </w:rPr>
          <w:tab/>
        </w:r>
        <w:r w:rsidR="003E5029" w:rsidRPr="00B363E8">
          <w:rPr>
            <w:rStyle w:val="Hyperlink"/>
            <w:noProof/>
          </w:rPr>
          <w:t>In order to realise the objectives of the planning provisions, the ACT Government amend the indicative land release program so that the unsold blocks in Gungahlin East precinct:</w:t>
        </w:r>
      </w:hyperlink>
    </w:p>
    <w:p w14:paraId="67ACBA58" w14:textId="0160E665" w:rsidR="003E5029" w:rsidRDefault="00F671FB">
      <w:pPr>
        <w:pStyle w:val="TOC3"/>
        <w:tabs>
          <w:tab w:val="left" w:pos="1276"/>
        </w:tabs>
        <w:rPr>
          <w:rFonts w:asciiTheme="minorHAnsi" w:eastAsiaTheme="minorEastAsia" w:hAnsiTheme="minorHAnsi" w:cstheme="minorBidi"/>
          <w:b w:val="0"/>
          <w:iCs w:val="0"/>
          <w:sz w:val="22"/>
        </w:rPr>
      </w:pPr>
      <w:hyperlink w:anchor="_Toc83893103" w:history="1">
        <w:r w:rsidR="003E5029" w:rsidRPr="00B363E8">
          <w:rPr>
            <w:rStyle w:val="Hyperlink"/>
            <w:rFonts w:ascii="Wingdings" w:hAnsi="Wingdings"/>
          </w:rPr>
          <w:t></w:t>
        </w:r>
        <w:r w:rsidR="003E5029">
          <w:rPr>
            <w:rFonts w:asciiTheme="minorHAnsi" w:eastAsiaTheme="minorEastAsia" w:hAnsiTheme="minorHAnsi" w:cstheme="minorBidi"/>
            <w:b w:val="0"/>
            <w:iCs w:val="0"/>
            <w:sz w:val="22"/>
          </w:rPr>
          <w:tab/>
        </w:r>
        <w:r w:rsidR="003E5029" w:rsidRPr="00B363E8">
          <w:rPr>
            <w:rStyle w:val="Hyperlink"/>
          </w:rPr>
          <w:t>be sold as a precinct rather than as individual blocks;</w:t>
        </w:r>
      </w:hyperlink>
    </w:p>
    <w:p w14:paraId="6875A1F3" w14:textId="4C38D56D" w:rsidR="003E5029" w:rsidRDefault="00F671FB">
      <w:pPr>
        <w:pStyle w:val="TOC3"/>
        <w:tabs>
          <w:tab w:val="left" w:pos="1276"/>
        </w:tabs>
        <w:rPr>
          <w:rFonts w:asciiTheme="minorHAnsi" w:eastAsiaTheme="minorEastAsia" w:hAnsiTheme="minorHAnsi" w:cstheme="minorBidi"/>
          <w:b w:val="0"/>
          <w:iCs w:val="0"/>
          <w:sz w:val="22"/>
        </w:rPr>
      </w:pPr>
      <w:hyperlink w:anchor="_Toc83893104" w:history="1">
        <w:r w:rsidR="003E5029" w:rsidRPr="00B363E8">
          <w:rPr>
            <w:rStyle w:val="Hyperlink"/>
            <w:rFonts w:ascii="Wingdings" w:hAnsi="Wingdings"/>
          </w:rPr>
          <w:t></w:t>
        </w:r>
        <w:r w:rsidR="003E5029">
          <w:rPr>
            <w:rFonts w:asciiTheme="minorHAnsi" w:eastAsiaTheme="minorEastAsia" w:hAnsiTheme="minorHAnsi" w:cstheme="minorBidi"/>
            <w:b w:val="0"/>
            <w:iCs w:val="0"/>
            <w:sz w:val="22"/>
          </w:rPr>
          <w:tab/>
        </w:r>
        <w:r w:rsidR="003E5029" w:rsidRPr="00B363E8">
          <w:rPr>
            <w:rStyle w:val="Hyperlink"/>
          </w:rPr>
          <w:t>have contractual and lease requirements applied to the sale to deliver a precinct that includes retail, business, and community facility developments;</w:t>
        </w:r>
      </w:hyperlink>
    </w:p>
    <w:p w14:paraId="03D2DB45" w14:textId="04695527" w:rsidR="003E5029" w:rsidRDefault="00F671FB">
      <w:pPr>
        <w:pStyle w:val="TOC3"/>
        <w:tabs>
          <w:tab w:val="left" w:pos="1276"/>
        </w:tabs>
        <w:rPr>
          <w:rFonts w:asciiTheme="minorHAnsi" w:eastAsiaTheme="minorEastAsia" w:hAnsiTheme="minorHAnsi" w:cstheme="minorBidi"/>
          <w:b w:val="0"/>
          <w:iCs w:val="0"/>
          <w:sz w:val="22"/>
        </w:rPr>
      </w:pPr>
      <w:hyperlink w:anchor="_Toc83893105" w:history="1">
        <w:r w:rsidR="003E5029" w:rsidRPr="00B363E8">
          <w:rPr>
            <w:rStyle w:val="Hyperlink"/>
            <w:rFonts w:ascii="Wingdings" w:hAnsi="Wingdings"/>
          </w:rPr>
          <w:t></w:t>
        </w:r>
        <w:r w:rsidR="003E5029">
          <w:rPr>
            <w:rFonts w:asciiTheme="minorHAnsi" w:eastAsiaTheme="minorEastAsia" w:hAnsiTheme="minorHAnsi" w:cstheme="minorBidi"/>
            <w:b w:val="0"/>
            <w:iCs w:val="0"/>
            <w:sz w:val="22"/>
          </w:rPr>
          <w:tab/>
        </w:r>
        <w:r w:rsidR="003E5029" w:rsidRPr="00B363E8">
          <w:rPr>
            <w:rStyle w:val="Hyperlink"/>
          </w:rPr>
          <w:t>apply a maximum number of residential dwellings allowable so that residential dwellings are not the primary or majority use;</w:t>
        </w:r>
      </w:hyperlink>
    </w:p>
    <w:p w14:paraId="4B32A06F" w14:textId="591AEF0A" w:rsidR="003E5029" w:rsidRDefault="00F671FB">
      <w:pPr>
        <w:pStyle w:val="TOC3"/>
        <w:tabs>
          <w:tab w:val="left" w:pos="1276"/>
        </w:tabs>
        <w:rPr>
          <w:rFonts w:asciiTheme="minorHAnsi" w:eastAsiaTheme="minorEastAsia" w:hAnsiTheme="minorHAnsi" w:cstheme="minorBidi"/>
          <w:b w:val="0"/>
          <w:iCs w:val="0"/>
          <w:sz w:val="22"/>
        </w:rPr>
      </w:pPr>
      <w:hyperlink w:anchor="_Toc83893106" w:history="1">
        <w:r w:rsidR="003E5029" w:rsidRPr="00B363E8">
          <w:rPr>
            <w:rStyle w:val="Hyperlink"/>
            <w:rFonts w:ascii="Wingdings" w:hAnsi="Wingdings"/>
          </w:rPr>
          <w:t></w:t>
        </w:r>
        <w:r w:rsidR="003E5029">
          <w:rPr>
            <w:rFonts w:asciiTheme="minorHAnsi" w:eastAsiaTheme="minorEastAsia" w:hAnsiTheme="minorHAnsi" w:cstheme="minorBidi"/>
            <w:b w:val="0"/>
            <w:iCs w:val="0"/>
            <w:sz w:val="22"/>
          </w:rPr>
          <w:tab/>
        </w:r>
        <w:r w:rsidR="003E5029" w:rsidRPr="00B363E8">
          <w:rPr>
            <w:rStyle w:val="Hyperlink"/>
          </w:rPr>
          <w:t>apply a minimum square metre requirement for commercial development; and</w:t>
        </w:r>
      </w:hyperlink>
    </w:p>
    <w:p w14:paraId="7041AF44" w14:textId="3D76C959" w:rsidR="003E5029" w:rsidRDefault="00F671FB">
      <w:pPr>
        <w:pStyle w:val="TOC3"/>
        <w:tabs>
          <w:tab w:val="left" w:pos="1276"/>
        </w:tabs>
        <w:rPr>
          <w:rFonts w:asciiTheme="minorHAnsi" w:eastAsiaTheme="minorEastAsia" w:hAnsiTheme="minorHAnsi" w:cstheme="minorBidi"/>
          <w:b w:val="0"/>
          <w:iCs w:val="0"/>
          <w:sz w:val="22"/>
        </w:rPr>
      </w:pPr>
      <w:hyperlink w:anchor="_Toc83893107" w:history="1">
        <w:r w:rsidR="003E5029" w:rsidRPr="00B363E8">
          <w:rPr>
            <w:rStyle w:val="Hyperlink"/>
            <w:rFonts w:ascii="Wingdings" w:hAnsi="Wingdings"/>
          </w:rPr>
          <w:t></w:t>
        </w:r>
        <w:r w:rsidR="003E5029">
          <w:rPr>
            <w:rFonts w:asciiTheme="minorHAnsi" w:eastAsiaTheme="minorEastAsia" w:hAnsiTheme="minorHAnsi" w:cstheme="minorBidi"/>
            <w:b w:val="0"/>
            <w:iCs w:val="0"/>
            <w:sz w:val="22"/>
          </w:rPr>
          <w:tab/>
        </w:r>
        <w:r w:rsidR="003E5029" w:rsidRPr="00B363E8">
          <w:rPr>
            <w:rStyle w:val="Hyperlink"/>
          </w:rPr>
          <w:t>be designed in consultation with the community.</w:t>
        </w:r>
      </w:hyperlink>
    </w:p>
    <w:p w14:paraId="22EDC7F4" w14:textId="437F1DB9"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08" w:history="1">
        <w:r w:rsidR="003E5029" w:rsidRPr="00B363E8">
          <w:rPr>
            <w:rStyle w:val="Hyperlink"/>
            <w:noProof/>
          </w:rPr>
          <w:t>Recommendation 4</w:t>
        </w:r>
      </w:hyperlink>
    </w:p>
    <w:p w14:paraId="171CA60C" w14:textId="7A3EF9BC" w:rsidR="003E5029" w:rsidRDefault="00F671FB">
      <w:pPr>
        <w:pStyle w:val="TOC2"/>
        <w:rPr>
          <w:rFonts w:asciiTheme="minorHAnsi" w:eastAsiaTheme="minorEastAsia" w:hAnsiTheme="minorHAnsi" w:cstheme="minorBidi"/>
          <w:b w:val="0"/>
          <w:noProof/>
          <w:sz w:val="22"/>
          <w:szCs w:val="22"/>
          <w:lang w:eastAsia="en-AU"/>
        </w:rPr>
      </w:pPr>
      <w:hyperlink w:anchor="_Toc83893109" w:history="1">
        <w:r w:rsidR="003E5029" w:rsidRPr="00B363E8">
          <w:rPr>
            <w:rStyle w:val="Hyperlink"/>
            <w:noProof/>
          </w:rPr>
          <w:t>5.28</w:t>
        </w:r>
        <w:r w:rsidR="003E5029">
          <w:rPr>
            <w:rFonts w:asciiTheme="minorHAnsi" w:eastAsiaTheme="minorEastAsia" w:hAnsiTheme="minorHAnsi" w:cstheme="minorBidi"/>
            <w:b w:val="0"/>
            <w:noProof/>
            <w:sz w:val="22"/>
            <w:szCs w:val="22"/>
            <w:lang w:eastAsia="en-AU"/>
          </w:rPr>
          <w:tab/>
        </w:r>
        <w:r w:rsidR="003E5029" w:rsidRPr="00B363E8">
          <w:rPr>
            <w:rStyle w:val="Hyperlink"/>
            <w:noProof/>
          </w:rPr>
          <w:t>If the remaining blocks in the Gungahlin East Precinct are sold as individual blocks, the Committee recommends the ACT Government maintain a commercial zoning for these blocks and apply a maximum number of residential dwellings and a minimum square metre requirement for commercial development permitted for each block to ensure that residential dwellings are not the primary or majority use.</w:t>
        </w:r>
      </w:hyperlink>
    </w:p>
    <w:p w14:paraId="411ADBFF" w14:textId="52BEA175"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10" w:history="1">
        <w:r w:rsidR="003E5029" w:rsidRPr="00B363E8">
          <w:rPr>
            <w:rStyle w:val="Hyperlink"/>
            <w:noProof/>
          </w:rPr>
          <w:t>Recommendation 5</w:t>
        </w:r>
      </w:hyperlink>
    </w:p>
    <w:p w14:paraId="3E76A3F9" w14:textId="4CA61437" w:rsidR="003E5029" w:rsidRDefault="00F671FB">
      <w:pPr>
        <w:pStyle w:val="TOC2"/>
        <w:rPr>
          <w:rFonts w:asciiTheme="minorHAnsi" w:eastAsiaTheme="minorEastAsia" w:hAnsiTheme="minorHAnsi" w:cstheme="minorBidi"/>
          <w:b w:val="0"/>
          <w:noProof/>
          <w:sz w:val="22"/>
          <w:szCs w:val="22"/>
          <w:lang w:eastAsia="en-AU"/>
        </w:rPr>
      </w:pPr>
      <w:hyperlink w:anchor="_Toc83893111" w:history="1">
        <w:r w:rsidR="003E5029" w:rsidRPr="00B363E8">
          <w:rPr>
            <w:rStyle w:val="Hyperlink"/>
            <w:noProof/>
          </w:rPr>
          <w:t>5.34</w:t>
        </w:r>
        <w:r w:rsidR="003E5029">
          <w:rPr>
            <w:rFonts w:asciiTheme="minorHAnsi" w:eastAsiaTheme="minorEastAsia" w:hAnsiTheme="minorHAnsi" w:cstheme="minorBidi"/>
            <w:b w:val="0"/>
            <w:noProof/>
            <w:sz w:val="22"/>
            <w:szCs w:val="22"/>
            <w:lang w:eastAsia="en-AU"/>
          </w:rPr>
          <w:tab/>
        </w:r>
        <w:r w:rsidR="003E5029" w:rsidRPr="00B363E8">
          <w:rPr>
            <w:rStyle w:val="Hyperlink"/>
            <w:noProof/>
          </w:rPr>
          <w:t>The ACT Government apply the provision for an additional two storeys of building height to all blocks with height limit provisions in the town centre.</w:t>
        </w:r>
      </w:hyperlink>
    </w:p>
    <w:p w14:paraId="687D553B" w14:textId="4C6901F1"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12" w:history="1">
        <w:r w:rsidR="003E5029" w:rsidRPr="00B363E8">
          <w:rPr>
            <w:rStyle w:val="Hyperlink"/>
            <w:noProof/>
          </w:rPr>
          <w:t>Recommendation 6</w:t>
        </w:r>
      </w:hyperlink>
    </w:p>
    <w:p w14:paraId="2B3BA71B" w14:textId="02FADACC" w:rsidR="003E5029" w:rsidRDefault="00F671FB">
      <w:pPr>
        <w:pStyle w:val="TOC2"/>
        <w:rPr>
          <w:rFonts w:asciiTheme="minorHAnsi" w:eastAsiaTheme="minorEastAsia" w:hAnsiTheme="minorHAnsi" w:cstheme="minorBidi"/>
          <w:b w:val="0"/>
          <w:noProof/>
          <w:sz w:val="22"/>
          <w:szCs w:val="22"/>
          <w:lang w:eastAsia="en-AU"/>
        </w:rPr>
      </w:pPr>
      <w:hyperlink w:anchor="_Toc83893113" w:history="1">
        <w:r w:rsidR="003E5029" w:rsidRPr="00B363E8">
          <w:rPr>
            <w:rStyle w:val="Hyperlink"/>
            <w:noProof/>
          </w:rPr>
          <w:t>5.41</w:t>
        </w:r>
        <w:r w:rsidR="003E5029">
          <w:rPr>
            <w:rFonts w:asciiTheme="minorHAnsi" w:eastAsiaTheme="minorEastAsia" w:hAnsiTheme="minorHAnsi" w:cstheme="minorBidi"/>
            <w:b w:val="0"/>
            <w:noProof/>
            <w:sz w:val="22"/>
            <w:szCs w:val="22"/>
            <w:lang w:eastAsia="en-AU"/>
          </w:rPr>
          <w:tab/>
        </w:r>
        <w:r w:rsidR="003E5029" w:rsidRPr="00B363E8">
          <w:rPr>
            <w:rStyle w:val="Hyperlink"/>
            <w:noProof/>
          </w:rPr>
          <w:t>The Committee recommends active travel and vehicle and parking arrangements are reconsidered following the completion of the traffic and transport assessments being undertaken by Transport Canberra and City Services.</w:t>
        </w:r>
      </w:hyperlink>
    </w:p>
    <w:p w14:paraId="2A867527" w14:textId="17B57383"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14" w:history="1">
        <w:r w:rsidR="003E5029" w:rsidRPr="00B363E8">
          <w:rPr>
            <w:rStyle w:val="Hyperlink"/>
            <w:noProof/>
          </w:rPr>
          <w:t>Recommendation 7</w:t>
        </w:r>
      </w:hyperlink>
    </w:p>
    <w:p w14:paraId="03491171" w14:textId="244BB885" w:rsidR="003E5029" w:rsidRDefault="00F671FB">
      <w:pPr>
        <w:pStyle w:val="TOC2"/>
        <w:rPr>
          <w:rFonts w:asciiTheme="minorHAnsi" w:eastAsiaTheme="minorEastAsia" w:hAnsiTheme="minorHAnsi" w:cstheme="minorBidi"/>
          <w:b w:val="0"/>
          <w:noProof/>
          <w:sz w:val="22"/>
          <w:szCs w:val="22"/>
          <w:lang w:eastAsia="en-AU"/>
        </w:rPr>
      </w:pPr>
      <w:hyperlink w:anchor="_Toc83893115" w:history="1">
        <w:r w:rsidR="003E5029" w:rsidRPr="00B363E8">
          <w:rPr>
            <w:rStyle w:val="Hyperlink"/>
            <w:noProof/>
          </w:rPr>
          <w:t>5.50</w:t>
        </w:r>
        <w:r w:rsidR="003E5029">
          <w:rPr>
            <w:rFonts w:asciiTheme="minorHAnsi" w:eastAsiaTheme="minorEastAsia" w:hAnsiTheme="minorHAnsi" w:cstheme="minorBidi"/>
            <w:b w:val="0"/>
            <w:noProof/>
            <w:sz w:val="22"/>
            <w:szCs w:val="22"/>
            <w:lang w:eastAsia="en-AU"/>
          </w:rPr>
          <w:tab/>
        </w:r>
        <w:r w:rsidR="003E5029" w:rsidRPr="00B363E8">
          <w:rPr>
            <w:rStyle w:val="Hyperlink"/>
            <w:noProof/>
          </w:rPr>
          <w:t>The Committee recommends active frontage placements are reconsidered with priority to having active frontages in areas identified as pedestrian throughfares.</w:t>
        </w:r>
      </w:hyperlink>
    </w:p>
    <w:p w14:paraId="252EDF57" w14:textId="7FA10B19" w:rsidR="003E5029" w:rsidRDefault="00F671FB">
      <w:pPr>
        <w:pStyle w:val="TOC1"/>
        <w:rPr>
          <w:rFonts w:asciiTheme="minorHAnsi" w:eastAsiaTheme="minorEastAsia" w:hAnsiTheme="minorHAnsi" w:cstheme="minorBidi"/>
          <w:b w:val="0"/>
          <w:bCs w:val="0"/>
          <w:smallCaps w:val="0"/>
          <w:noProof/>
          <w:spacing w:val="0"/>
          <w:sz w:val="22"/>
          <w:szCs w:val="22"/>
          <w:lang w:eastAsia="en-AU"/>
        </w:rPr>
      </w:pPr>
      <w:hyperlink w:anchor="_Toc83893116" w:history="1">
        <w:r w:rsidR="003E5029" w:rsidRPr="00B363E8">
          <w:rPr>
            <w:rStyle w:val="Hyperlink"/>
            <w:noProof/>
          </w:rPr>
          <w:t>Recommendation 8</w:t>
        </w:r>
      </w:hyperlink>
    </w:p>
    <w:p w14:paraId="433D1EA0" w14:textId="77777777" w:rsidR="00793383" w:rsidRDefault="00F671FB">
      <w:pPr>
        <w:pStyle w:val="TOC2"/>
        <w:rPr>
          <w:rStyle w:val="Hyperlink"/>
          <w:noProof/>
        </w:rPr>
        <w:sectPr w:rsidR="00793383" w:rsidSect="00793383">
          <w:footerReference w:type="default" r:id="rId16"/>
          <w:type w:val="oddPage"/>
          <w:pgSz w:w="11907" w:h="16840" w:code="9"/>
          <w:pgMar w:top="1588" w:right="1418" w:bottom="1418" w:left="1418" w:header="720" w:footer="851" w:gutter="0"/>
          <w:pgNumType w:fmt="lowerRoman"/>
          <w:cols w:space="720"/>
          <w:docGrid w:linePitch="360"/>
        </w:sectPr>
      </w:pPr>
      <w:hyperlink w:anchor="_Toc83893117" w:history="1">
        <w:r w:rsidR="003E5029" w:rsidRPr="00B363E8">
          <w:rPr>
            <w:rStyle w:val="Hyperlink"/>
            <w:noProof/>
          </w:rPr>
          <w:t>5.55</w:t>
        </w:r>
        <w:r w:rsidR="003E5029">
          <w:rPr>
            <w:rFonts w:asciiTheme="minorHAnsi" w:eastAsiaTheme="minorEastAsia" w:hAnsiTheme="minorHAnsi" w:cstheme="minorBidi"/>
            <w:b w:val="0"/>
            <w:noProof/>
            <w:sz w:val="22"/>
            <w:szCs w:val="22"/>
            <w:lang w:eastAsia="en-AU"/>
          </w:rPr>
          <w:tab/>
        </w:r>
        <w:r w:rsidR="003E5029" w:rsidRPr="00B363E8">
          <w:rPr>
            <w:rStyle w:val="Hyperlink"/>
            <w:noProof/>
          </w:rPr>
          <w:t>The Committee recommends the study area for the Gungahlin Town Centre Draft Variation be extended to incorporate Yerrabi Pond recreational and commercial area and the key connections of Gungahlin Place north of Anthony Rolfe Ave and Nellie Hamilton Ave as well as Camtamessa Avenue.</w:t>
        </w:r>
      </w:hyperlink>
    </w:p>
    <w:p w14:paraId="79793DF9" w14:textId="1A5FD330" w:rsidR="00111850" w:rsidRDefault="00BE235D" w:rsidP="00793383">
      <w:pPr>
        <w:pStyle w:val="Heading2"/>
        <w:numPr>
          <w:ilvl w:val="0"/>
          <w:numId w:val="0"/>
        </w:numPr>
        <w:ind w:left="567" w:hanging="567"/>
      </w:pPr>
      <w:r>
        <w:fldChar w:fldCharType="end"/>
      </w:r>
      <w:r w:rsidR="00A6538C">
        <w:rPr>
          <w:b/>
        </w:rPr>
        <w:fldChar w:fldCharType="begin"/>
      </w:r>
      <w:r w:rsidR="00A6538C">
        <w:instrText xml:space="preserve"> TOC \n \h \z \t "Finding Heading,1,Finding Text,2,Finding Bullet,3" </w:instrText>
      </w:r>
      <w:r w:rsidR="00A6538C">
        <w:rPr>
          <w:b/>
        </w:rPr>
        <w:fldChar w:fldCharType="end"/>
      </w:r>
      <w:bookmarkStart w:id="33" w:name="_Toc502671587"/>
      <w:bookmarkStart w:id="34" w:name="_Toc502671765"/>
      <w:bookmarkStart w:id="35" w:name="_Toc502671871"/>
      <w:bookmarkStart w:id="36" w:name="_Toc502672803"/>
      <w:bookmarkStart w:id="37" w:name="_Toc83893126"/>
      <w:r w:rsidR="00913CB4">
        <w:t>Introduction</w:t>
      </w:r>
      <w:bookmarkEnd w:id="33"/>
      <w:bookmarkEnd w:id="34"/>
      <w:bookmarkEnd w:id="35"/>
      <w:bookmarkEnd w:id="36"/>
      <w:bookmarkEnd w:id="37"/>
    </w:p>
    <w:p w14:paraId="565F64B3" w14:textId="6CF415EA" w:rsidR="004C7FF6" w:rsidRDefault="004C7FF6" w:rsidP="004C7FF6">
      <w:pPr>
        <w:pStyle w:val="Heading3"/>
      </w:pPr>
      <w:bookmarkStart w:id="38" w:name="_Toc366218546"/>
      <w:bookmarkStart w:id="39" w:name="_Toc83893127"/>
      <w:r>
        <w:t>Conduct of the Inquiry</w:t>
      </w:r>
      <w:bookmarkEnd w:id="38"/>
      <w:bookmarkEnd w:id="39"/>
    </w:p>
    <w:p w14:paraId="3B4B71B8" w14:textId="284C1E87" w:rsidR="006F1579" w:rsidRDefault="009145A2" w:rsidP="00C715C2">
      <w:pPr>
        <w:pStyle w:val="BodyText"/>
      </w:pPr>
      <w:r>
        <w:t xml:space="preserve">On 31 March 2021, pursuant to section 73 of the </w:t>
      </w:r>
      <w:r w:rsidRPr="0056317E">
        <w:rPr>
          <w:i/>
        </w:rPr>
        <w:t>Planning and Development Act 2007</w:t>
      </w:r>
      <w:r>
        <w:t xml:space="preserve"> (the Act), the Acting Minister for Planning and Land Management, Mr Chris Steel MLA, referred </w:t>
      </w:r>
      <w:r w:rsidR="004E3EA0">
        <w:t>Draft Variation</w:t>
      </w:r>
      <w:r>
        <w:t xml:space="preserve"> to the Territory Plan (DV) No 364 – Gung</w:t>
      </w:r>
      <w:r w:rsidR="004C7FF6">
        <w:t>ah</w:t>
      </w:r>
      <w:r>
        <w:t xml:space="preserve">lin Town Centre, to the Standing Committee on Planning, Transport and City Services (the Committee) for consideration and report to the Legislative Assembly (the Assembly). </w:t>
      </w:r>
      <w:r w:rsidR="004C7FF6">
        <w:t>On 8 April 2021 the Committee agreed to inquire further into the Draft Variation.</w:t>
      </w:r>
    </w:p>
    <w:p w14:paraId="1B9A2CF1" w14:textId="66F81CD0" w:rsidR="009145A2" w:rsidRPr="000F0E44" w:rsidRDefault="004C7FF6" w:rsidP="00C715C2">
      <w:pPr>
        <w:pStyle w:val="BodyText"/>
        <w:rPr>
          <w:rStyle w:val="Strong"/>
          <w:b w:val="0"/>
          <w:bCs w:val="0"/>
        </w:rPr>
      </w:pPr>
      <w:r>
        <w:t xml:space="preserve">On </w:t>
      </w:r>
      <w:r w:rsidR="000F0E44">
        <w:t>13 May</w:t>
      </w:r>
      <w:r>
        <w:t xml:space="preserve"> 2021 the Committee published a media release inviting public submissions by </w:t>
      </w:r>
      <w:r w:rsidR="000F0E44">
        <w:t>30 June</w:t>
      </w:r>
      <w:r>
        <w:t xml:space="preserve"> 2021. </w:t>
      </w:r>
      <w:r w:rsidR="000F0E44">
        <w:t>The time for submissions was extended by the committee on 1 July 2021 to close of business 10 July 2021. T</w:t>
      </w:r>
      <w:r>
        <w:t xml:space="preserve">he inquiry was </w:t>
      </w:r>
      <w:r w:rsidR="000F0E44">
        <w:t xml:space="preserve">also </w:t>
      </w:r>
      <w:r>
        <w:t xml:space="preserve">publicised through social media, and direct emails to stakeholders. The Committee received </w:t>
      </w:r>
      <w:r w:rsidR="000F0E44">
        <w:t>1</w:t>
      </w:r>
      <w:r w:rsidR="002C694A">
        <w:t>4</w:t>
      </w:r>
      <w:r>
        <w:t xml:space="preserve"> submissions and a list of these is provided at </w:t>
      </w:r>
      <w:r w:rsidRPr="006373FA">
        <w:rPr>
          <w:rStyle w:val="Strong"/>
          <w:b w:val="0"/>
        </w:rPr>
        <w:t xml:space="preserve">Appendix </w:t>
      </w:r>
      <w:r w:rsidR="00646DF8">
        <w:rPr>
          <w:rStyle w:val="Strong"/>
          <w:b w:val="0"/>
        </w:rPr>
        <w:t>B</w:t>
      </w:r>
      <w:r w:rsidR="000F0E44">
        <w:rPr>
          <w:rStyle w:val="Strong"/>
          <w:b w:val="0"/>
        </w:rPr>
        <w:t>.</w:t>
      </w:r>
    </w:p>
    <w:p w14:paraId="4050FDE6" w14:textId="25800E36" w:rsidR="000F0E44" w:rsidRDefault="00646DF8" w:rsidP="00C715C2">
      <w:pPr>
        <w:pStyle w:val="BodyText"/>
      </w:pPr>
      <w:r>
        <w:t xml:space="preserve">The Committee held one public hearing on 29 July 2021 and heard from 11 witnesses. A list of witnesses who appeared before the Committee is provided at Appendix A. The transcript of proceedings </w:t>
      </w:r>
      <w:r w:rsidR="000443CA">
        <w:t>is</w:t>
      </w:r>
      <w:r>
        <w:t xml:space="preserve"> accessible at</w:t>
      </w:r>
      <w:r w:rsidR="00E97E60">
        <w:t xml:space="preserve">: </w:t>
      </w:r>
      <w:hyperlink r:id="rId17" w:history="1">
        <w:r w:rsidR="00E97E60" w:rsidRPr="006F5793">
          <w:rPr>
            <w:rStyle w:val="Hyperlink"/>
          </w:rPr>
          <w:t>https://www.hansard.act.gov.au/hansard/2021/comms/</w:t>
        </w:r>
      </w:hyperlink>
    </w:p>
    <w:p w14:paraId="6098783A" w14:textId="4339D67A" w:rsidR="00E97E60" w:rsidRDefault="00E97E60" w:rsidP="00E97E60">
      <w:pPr>
        <w:pStyle w:val="Heading3"/>
      </w:pPr>
      <w:bookmarkStart w:id="40" w:name="_Toc83893128"/>
      <w:r>
        <w:t>Acknowledgements</w:t>
      </w:r>
      <w:bookmarkEnd w:id="40"/>
    </w:p>
    <w:p w14:paraId="033CF13A" w14:textId="0F57F3D4" w:rsidR="00E97E60" w:rsidRDefault="00E97E60" w:rsidP="00E97E60">
      <w:pPr>
        <w:pStyle w:val="BodyText"/>
      </w:pPr>
      <w:r w:rsidRPr="00E97E60">
        <w:t>The Committee would like to thank the Minister for Planning and Land Management and officials from the Environment, Planning and Sustainable Development Directorate (the Directorate) for their time appearing before the Committee and responding to its questions</w:t>
      </w:r>
      <w:r>
        <w:t>.</w:t>
      </w:r>
    </w:p>
    <w:p w14:paraId="3C31BF91" w14:textId="544DE55D" w:rsidR="00E97E60" w:rsidRPr="00E97E60" w:rsidRDefault="00E97E60" w:rsidP="00E97E60">
      <w:pPr>
        <w:pStyle w:val="BodyText"/>
      </w:pPr>
      <w:r>
        <w:t>The Committee would like to extend its thanks to those who took the time to make written submissions, and witnesses who appeared before the Committee.</w:t>
      </w:r>
    </w:p>
    <w:p w14:paraId="278320F8" w14:textId="7A1815CB" w:rsidR="00E97E60" w:rsidRDefault="00E97E60" w:rsidP="008C5FB0">
      <w:pPr>
        <w:pStyle w:val="Heading2"/>
      </w:pPr>
      <w:bookmarkStart w:id="41" w:name="_Recommendations_and_Findings"/>
      <w:bookmarkStart w:id="42" w:name="_Toc83893129"/>
      <w:bookmarkStart w:id="43" w:name="_Toc502671593"/>
      <w:bookmarkStart w:id="44" w:name="_Toc502671771"/>
      <w:bookmarkStart w:id="45" w:name="_Toc502671877"/>
      <w:bookmarkStart w:id="46" w:name="_Toc502672809"/>
      <w:bookmarkEnd w:id="41"/>
      <w:r>
        <w:t>Planning in the A</w:t>
      </w:r>
      <w:r w:rsidR="00D727F4">
        <w:t xml:space="preserve">ustralian </w:t>
      </w:r>
      <w:r>
        <w:t>C</w:t>
      </w:r>
      <w:r w:rsidR="00D727F4">
        <w:t xml:space="preserve">apital </w:t>
      </w:r>
      <w:r>
        <w:t>T</w:t>
      </w:r>
      <w:r w:rsidR="00D727F4">
        <w:t>erritory</w:t>
      </w:r>
      <w:bookmarkEnd w:id="42"/>
    </w:p>
    <w:p w14:paraId="6D479C8A" w14:textId="6D96F5D7" w:rsidR="00E97E60" w:rsidRDefault="00510E9A" w:rsidP="00E97E60">
      <w:pPr>
        <w:pStyle w:val="BodyText"/>
      </w:pPr>
      <w:r w:rsidRPr="00D2359D">
        <w:t>This chapter outlines the planning framework in the Australian Capital Territory (ACT) and briefly outlines the evolution of the Territory Plan from its inception, through a series of reviews and restructures.</w:t>
      </w:r>
    </w:p>
    <w:p w14:paraId="769CC3B3" w14:textId="70D512AE" w:rsidR="00E97E60" w:rsidRDefault="00510E9A" w:rsidP="00E97E60">
      <w:pPr>
        <w:pStyle w:val="BodyText"/>
      </w:pPr>
      <w:r w:rsidRPr="00D2359D">
        <w:t xml:space="preserve">The </w:t>
      </w:r>
      <w:r w:rsidRPr="00D2359D">
        <w:rPr>
          <w:i/>
        </w:rPr>
        <w:t>Australian Capital Territory (Planning and Land Management) Act 1988</w:t>
      </w:r>
      <w:r w:rsidRPr="00D2359D">
        <w:t xml:space="preserve"> (Cth) sets out the overarching legal framework for the planning of, and management of the land in, the ACT.</w:t>
      </w:r>
      <w:r w:rsidRPr="00D2359D">
        <w:rPr>
          <w:vertAlign w:val="superscript"/>
        </w:rPr>
        <w:footnoteReference w:id="3"/>
      </w:r>
      <w:r w:rsidRPr="00D2359D">
        <w:t xml:space="preserve"> It establishes the National Capital Authority, one of the functions of which is to prepare and administer a National Capital Plan.</w:t>
      </w:r>
      <w:r w:rsidRPr="00D2359D">
        <w:rPr>
          <w:vertAlign w:val="superscript"/>
        </w:rPr>
        <w:footnoteReference w:id="4"/>
      </w:r>
      <w:r w:rsidRPr="00D2359D">
        <w:t xml:space="preserve"> The objective of the National Capital Plan is to ensure that Canberra and the Territory are planned and developed in accordance with their national significance.</w:t>
      </w:r>
      <w:r w:rsidRPr="00D2359D">
        <w:rPr>
          <w:vertAlign w:val="superscript"/>
        </w:rPr>
        <w:footnoteReference w:id="5"/>
      </w:r>
    </w:p>
    <w:p w14:paraId="352DFFD1" w14:textId="270B8A37" w:rsidR="00E97E60" w:rsidRDefault="00510E9A" w:rsidP="00E97E60">
      <w:pPr>
        <w:pStyle w:val="BodyText"/>
      </w:pPr>
      <w:r w:rsidRPr="00D2359D">
        <w:t xml:space="preserve">The </w:t>
      </w:r>
      <w:r w:rsidRPr="00D2359D">
        <w:rPr>
          <w:i/>
        </w:rPr>
        <w:t>Australian Capital Territory (Planning and Land Management) Act 1988</w:t>
      </w:r>
      <w:r w:rsidRPr="00D2359D">
        <w:t xml:space="preserve"> also provided for the ACT Legislative Assembly to make laws to establish a Territory planning authority, and to confer on that authority the function of preparing and administering a Territory Plan.</w:t>
      </w:r>
      <w:r w:rsidRPr="00D2359D">
        <w:rPr>
          <w:vertAlign w:val="superscript"/>
        </w:rPr>
        <w:footnoteReference w:id="6"/>
      </w:r>
      <w:r w:rsidRPr="00D2359D">
        <w:t xml:space="preserve"> These requirements were incorporated into the </w:t>
      </w:r>
      <w:r w:rsidRPr="00D2359D">
        <w:rPr>
          <w:i/>
        </w:rPr>
        <w:t>Interim Planning Act 1990</w:t>
      </w:r>
      <w:r w:rsidRPr="00D2359D">
        <w:t xml:space="preserve"> (ACT)</w:t>
      </w:r>
      <w:r w:rsidRPr="00D2359D">
        <w:rPr>
          <w:vertAlign w:val="superscript"/>
        </w:rPr>
        <w:footnoteReference w:id="7"/>
      </w:r>
      <w:r w:rsidRPr="00D2359D">
        <w:t xml:space="preserve"> and subsequently, with expanded environmental assessment and heritage provisions, into </w:t>
      </w:r>
      <w:r w:rsidRPr="00D2359D">
        <w:rPr>
          <w:i/>
        </w:rPr>
        <w:t xml:space="preserve">the Land (Planning and Environment) Act 1991 </w:t>
      </w:r>
      <w:r w:rsidRPr="00D2359D">
        <w:t>(ACT).</w:t>
      </w:r>
      <w:r w:rsidRPr="00D2359D">
        <w:rPr>
          <w:vertAlign w:val="superscript"/>
        </w:rPr>
        <w:footnoteReference w:id="8"/>
      </w:r>
    </w:p>
    <w:p w14:paraId="33EB7D6B" w14:textId="650F18F3" w:rsidR="00E97E60" w:rsidRDefault="00510E9A" w:rsidP="00E97E60">
      <w:pPr>
        <w:pStyle w:val="BodyText"/>
      </w:pPr>
      <w:r w:rsidRPr="00D2359D">
        <w:t xml:space="preserve">In 2008, as part of the reform of the ACT planning system, the </w:t>
      </w:r>
      <w:r w:rsidRPr="00D2359D">
        <w:rPr>
          <w:i/>
        </w:rPr>
        <w:t>Land (Planning and Environment) Act 1991</w:t>
      </w:r>
      <w:r w:rsidRPr="00D2359D">
        <w:t xml:space="preserve"> was replaced by the </w:t>
      </w:r>
      <w:r w:rsidRPr="00D2359D">
        <w:rPr>
          <w:i/>
        </w:rPr>
        <w:t xml:space="preserve">Planning and Development Act 2007 </w:t>
      </w:r>
      <w:r w:rsidRPr="00D2359D">
        <w:t>(the Act)</w:t>
      </w:r>
      <w:r w:rsidR="00C045BD">
        <w:t>,</w:t>
      </w:r>
      <w:r w:rsidRPr="00D2359D">
        <w:rPr>
          <w:vertAlign w:val="superscript"/>
        </w:rPr>
        <w:footnoteReference w:id="9"/>
      </w:r>
      <w:r w:rsidRPr="00D2359D">
        <w:t xml:space="preserve"> which </w:t>
      </w:r>
      <w:r w:rsidR="000443CA">
        <w:t xml:space="preserve">establishes </w:t>
      </w:r>
      <w:r w:rsidRPr="00D2359D">
        <w:t>the Planning and Land Authority,</w:t>
      </w:r>
      <w:r w:rsidRPr="00D2359D">
        <w:rPr>
          <w:vertAlign w:val="superscript"/>
        </w:rPr>
        <w:footnoteReference w:id="10"/>
      </w:r>
      <w:r w:rsidRPr="00D2359D">
        <w:t xml:space="preserve"> and </w:t>
      </w:r>
      <w:r w:rsidR="000443CA">
        <w:t xml:space="preserve">requires it to prepare and manage </w:t>
      </w:r>
      <w:r w:rsidRPr="00D2359D">
        <w:t>the Territory Plan.</w:t>
      </w:r>
      <w:r w:rsidRPr="00D2359D">
        <w:rPr>
          <w:vertAlign w:val="superscript"/>
        </w:rPr>
        <w:footnoteReference w:id="11"/>
      </w:r>
    </w:p>
    <w:p w14:paraId="7B2E6A52" w14:textId="5DA14278" w:rsidR="00E97E60" w:rsidRDefault="00510E9A" w:rsidP="00E97E60">
      <w:pPr>
        <w:pStyle w:val="BodyText"/>
      </w:pPr>
      <w:r w:rsidRPr="00D2359D">
        <w:t>The Territory Plan commenced operation on 31 March 2008 and provides the policy framework for the administration of planning in the ACT:</w:t>
      </w:r>
    </w:p>
    <w:p w14:paraId="0E7FDA3A" w14:textId="107B8FE2" w:rsidR="00510E9A" w:rsidRDefault="00510E9A" w:rsidP="00333D04">
      <w:pPr>
        <w:pStyle w:val="Quote"/>
        <w:keepNext/>
        <w:keepLines/>
      </w:pPr>
      <w:r w:rsidRPr="00D2359D">
        <w:t>The object of the territory plan is to ensure, in a manner not inconsistent with the national capital plan, the planning and development of the ACT</w:t>
      </w:r>
      <w:r w:rsidR="000443CA">
        <w:t xml:space="preserve"> to</w:t>
      </w:r>
      <w:r w:rsidRPr="00D2359D">
        <w:t xml:space="preserve"> provide the people of the ACT with an attractive, safe and efficient environment in which to live, work and have their recreation.</w:t>
      </w:r>
      <w:r w:rsidRPr="00D2359D">
        <w:rPr>
          <w:vertAlign w:val="superscript"/>
        </w:rPr>
        <w:footnoteReference w:id="12"/>
      </w:r>
    </w:p>
    <w:p w14:paraId="5F9FA022" w14:textId="236D03A6" w:rsidR="00510E9A" w:rsidRDefault="00510E9A" w:rsidP="00E97E60">
      <w:pPr>
        <w:pStyle w:val="BodyText"/>
      </w:pPr>
      <w:r w:rsidRPr="00D2359D">
        <w:t>Under section 50 of the Act, the:</w:t>
      </w:r>
    </w:p>
    <w:p w14:paraId="2831B918" w14:textId="28499926" w:rsidR="00510E9A" w:rsidRDefault="00D253DE" w:rsidP="00510E9A">
      <w:pPr>
        <w:pStyle w:val="Quote"/>
      </w:pPr>
      <w:r>
        <w:t>“</w:t>
      </w:r>
      <w:r w:rsidR="00510E9A" w:rsidRPr="00D2359D">
        <w:t>Territory, the Executive, a Minister or a territory authority must not do any act, or approve the doing of an act, that is inconsistent with the territory plan</w:t>
      </w:r>
      <w:r>
        <w:t>”</w:t>
      </w:r>
      <w:r w:rsidR="00510E9A" w:rsidRPr="00D2359D">
        <w:t>.</w:t>
      </w:r>
      <w:r w:rsidR="00510E9A" w:rsidRPr="00D2359D">
        <w:rPr>
          <w:vertAlign w:val="superscript"/>
        </w:rPr>
        <w:footnoteReference w:id="13"/>
      </w:r>
    </w:p>
    <w:p w14:paraId="46197683" w14:textId="436F54E2" w:rsidR="00510E9A" w:rsidRDefault="00510E9A" w:rsidP="00E97E60">
      <w:pPr>
        <w:pStyle w:val="BodyText"/>
      </w:pPr>
      <w:r w:rsidRPr="00D2359D">
        <w:t xml:space="preserve">The Act requires the Territory Plan to set out the planning principles and policies </w:t>
      </w:r>
      <w:r w:rsidR="002600F9">
        <w:t>to achieve</w:t>
      </w:r>
      <w:r w:rsidRPr="00D2359D">
        <w:t xml:space="preserve"> its objective in a way that gives effect to sustainability principles, including policies that contribute to achieving a healthy environment in the ACT.</w:t>
      </w:r>
      <w:r w:rsidRPr="00D2359D">
        <w:rPr>
          <w:vertAlign w:val="superscript"/>
        </w:rPr>
        <w:footnoteReference w:id="14"/>
      </w:r>
    </w:p>
    <w:p w14:paraId="669FC9CB" w14:textId="77777777" w:rsidR="00510E9A" w:rsidRPr="00D2359D" w:rsidRDefault="00510E9A" w:rsidP="00510E9A">
      <w:pPr>
        <w:pStyle w:val="BodyText"/>
      </w:pPr>
      <w:r w:rsidRPr="00D2359D">
        <w:t>The Territory Plan includes:</w:t>
      </w:r>
    </w:p>
    <w:p w14:paraId="1B0D4D49" w14:textId="77777777" w:rsidR="00510E9A" w:rsidRPr="00D2359D" w:rsidRDefault="00510E9A" w:rsidP="00510E9A">
      <w:pPr>
        <w:pStyle w:val="ListBullet"/>
      </w:pPr>
      <w:r w:rsidRPr="00D2359D">
        <w:t>a statement of strategic directions;</w:t>
      </w:r>
    </w:p>
    <w:p w14:paraId="685AA982" w14:textId="77777777" w:rsidR="00510E9A" w:rsidRPr="00D2359D" w:rsidRDefault="00510E9A" w:rsidP="00510E9A">
      <w:pPr>
        <w:pStyle w:val="ListBullet"/>
      </w:pPr>
      <w:r w:rsidRPr="00D2359D">
        <w:t>a map;</w:t>
      </w:r>
    </w:p>
    <w:p w14:paraId="7925BEB5" w14:textId="77777777" w:rsidR="00510E9A" w:rsidRPr="00D2359D" w:rsidRDefault="00510E9A" w:rsidP="00510E9A">
      <w:pPr>
        <w:pStyle w:val="ListBullet"/>
      </w:pPr>
      <w:r w:rsidRPr="00D2359D">
        <w:t>objectives and development tables applying to each zone;</w:t>
      </w:r>
    </w:p>
    <w:p w14:paraId="381227D5" w14:textId="77777777" w:rsidR="00510E9A" w:rsidRPr="00D2359D" w:rsidRDefault="00510E9A" w:rsidP="00510E9A">
      <w:pPr>
        <w:pStyle w:val="ListBullet"/>
      </w:pPr>
      <w:r w:rsidRPr="00D2359D">
        <w:t>a series of general, development and precinct codes; and</w:t>
      </w:r>
    </w:p>
    <w:p w14:paraId="2B8ED672" w14:textId="77777777" w:rsidR="00510E9A" w:rsidRPr="00D2359D" w:rsidRDefault="00510E9A" w:rsidP="00510E9A">
      <w:pPr>
        <w:pStyle w:val="ListBullet"/>
      </w:pPr>
      <w:r w:rsidRPr="00D2359D">
        <w:t>structure plans and concept plans for the development of future urban areas.</w:t>
      </w:r>
    </w:p>
    <w:p w14:paraId="7746F933" w14:textId="77777777" w:rsidR="00510E9A" w:rsidRPr="00D2359D" w:rsidRDefault="00510E9A" w:rsidP="00510E9A">
      <w:pPr>
        <w:pStyle w:val="BodyText"/>
      </w:pPr>
      <w:r w:rsidRPr="00D2359D">
        <w:t>The Territory Plan graphically represents the applicable land use zones under the following categories:</w:t>
      </w:r>
    </w:p>
    <w:p w14:paraId="78D300C7" w14:textId="77777777" w:rsidR="00510E9A" w:rsidRPr="00D2359D" w:rsidRDefault="00510E9A" w:rsidP="00510E9A">
      <w:pPr>
        <w:pStyle w:val="ListBullet"/>
      </w:pPr>
      <w:r w:rsidRPr="00D2359D">
        <w:t>Residential;</w:t>
      </w:r>
    </w:p>
    <w:p w14:paraId="51D1B7D2" w14:textId="77777777" w:rsidR="00510E9A" w:rsidRPr="00D2359D" w:rsidRDefault="00510E9A" w:rsidP="00510E9A">
      <w:pPr>
        <w:pStyle w:val="ListBullet"/>
      </w:pPr>
      <w:r w:rsidRPr="00D2359D">
        <w:t>Commercial;</w:t>
      </w:r>
    </w:p>
    <w:p w14:paraId="7585D1EC" w14:textId="77777777" w:rsidR="00510E9A" w:rsidRPr="00D2359D" w:rsidRDefault="00510E9A" w:rsidP="00510E9A">
      <w:pPr>
        <w:pStyle w:val="ListBullet"/>
      </w:pPr>
      <w:r w:rsidRPr="00D2359D">
        <w:t>Industrial;</w:t>
      </w:r>
    </w:p>
    <w:p w14:paraId="29D33463" w14:textId="77777777" w:rsidR="00510E9A" w:rsidRPr="00D2359D" w:rsidRDefault="00510E9A" w:rsidP="00510E9A">
      <w:pPr>
        <w:pStyle w:val="ListBullet"/>
      </w:pPr>
      <w:r w:rsidRPr="00D2359D">
        <w:t>Community Facility;</w:t>
      </w:r>
    </w:p>
    <w:p w14:paraId="268D71F0" w14:textId="77777777" w:rsidR="00510E9A" w:rsidRPr="00D2359D" w:rsidRDefault="00510E9A" w:rsidP="00510E9A">
      <w:pPr>
        <w:pStyle w:val="ListBullet"/>
      </w:pPr>
      <w:r w:rsidRPr="00D2359D">
        <w:t>Parks and Recreation;</w:t>
      </w:r>
    </w:p>
    <w:p w14:paraId="1B58D1F7" w14:textId="77777777" w:rsidR="00510E9A" w:rsidRPr="00D2359D" w:rsidRDefault="00510E9A" w:rsidP="00510E9A">
      <w:pPr>
        <w:pStyle w:val="ListBullet"/>
      </w:pPr>
      <w:r w:rsidRPr="00D2359D">
        <w:t>Transport and Services; and</w:t>
      </w:r>
    </w:p>
    <w:p w14:paraId="397BB909" w14:textId="7A3C391F" w:rsidR="00510E9A" w:rsidRPr="00D2359D" w:rsidRDefault="00510E9A" w:rsidP="00510E9A">
      <w:pPr>
        <w:pStyle w:val="ListBullet"/>
      </w:pPr>
      <w:r w:rsidRPr="00D2359D">
        <w:t>Non-Urban.</w:t>
      </w:r>
      <w:r w:rsidRPr="00D2359D">
        <w:rPr>
          <w:vertAlign w:val="superscript"/>
        </w:rPr>
        <w:footnoteReference w:id="15"/>
      </w:r>
    </w:p>
    <w:p w14:paraId="7A354C15" w14:textId="7DA14C06" w:rsidR="00510E9A" w:rsidRDefault="00646B68" w:rsidP="000E443E">
      <w:pPr>
        <w:pStyle w:val="BodyText"/>
        <w:keepNext/>
        <w:keepLines/>
      </w:pPr>
      <w:r w:rsidRPr="00D2359D">
        <w:t>Recognising that land use policies may change over time, the Act provides for variations to the Territory Plan</w:t>
      </w:r>
      <w:r w:rsidR="002600F9">
        <w:t>. These</w:t>
      </w:r>
      <w:r w:rsidRPr="00D2359D">
        <w:t xml:space="preserve"> are prepared by the Planning and Land Authority, currently under the auspices of the </w:t>
      </w:r>
      <w:r>
        <w:t xml:space="preserve">Environment, Planning and Sustainable Development </w:t>
      </w:r>
      <w:r w:rsidRPr="00D2359D">
        <w:t>Directorate</w:t>
      </w:r>
      <w:r>
        <w:t xml:space="preserve"> (the Directorate)</w:t>
      </w:r>
      <w:r w:rsidRPr="00D2359D">
        <w:t>, for stakeholder consultation and comment.</w:t>
      </w:r>
      <w:r w:rsidRPr="00D2359D">
        <w:rPr>
          <w:vertAlign w:val="superscript"/>
        </w:rPr>
        <w:footnoteReference w:id="16"/>
      </w:r>
    </w:p>
    <w:p w14:paraId="2B16BAFE" w14:textId="0409B8CD" w:rsidR="00646B68" w:rsidRDefault="00646B68" w:rsidP="00E97E60">
      <w:pPr>
        <w:pStyle w:val="BodyText"/>
      </w:pPr>
      <w:r w:rsidRPr="00D2359D">
        <w:t>Under the Act</w:t>
      </w:r>
      <w:r>
        <w:t>,</w:t>
      </w:r>
      <w:r w:rsidRPr="00D2359D">
        <w:t xml:space="preserve"> the Minister must refer draft plan variation documents, within 5 working days of the notification of the public availability notice,</w:t>
      </w:r>
      <w:r w:rsidRPr="00D2359D">
        <w:rPr>
          <w:vertAlign w:val="superscript"/>
        </w:rPr>
        <w:footnoteReference w:id="17"/>
      </w:r>
      <w:r w:rsidRPr="00D2359D">
        <w:t xml:space="preserve"> to an appropriate committee of the ACT Legislative Assembly (the Assembly) for consideration and report.</w:t>
      </w:r>
      <w:r w:rsidRPr="00D2359D">
        <w:rPr>
          <w:vertAlign w:val="superscript"/>
        </w:rPr>
        <w:footnoteReference w:id="18"/>
      </w:r>
    </w:p>
    <w:p w14:paraId="5BD2701D" w14:textId="77777777" w:rsidR="002600F9" w:rsidRDefault="00646B68" w:rsidP="00E97E60">
      <w:pPr>
        <w:pStyle w:val="BodyText"/>
      </w:pPr>
      <w:r w:rsidRPr="00D2359D">
        <w:t>The Minister must not take action in relation to the draft plan variation until</w:t>
      </w:r>
      <w:r w:rsidR="002600F9">
        <w:t>:</w:t>
      </w:r>
    </w:p>
    <w:p w14:paraId="165B746A" w14:textId="0B5D2DA5" w:rsidR="002600F9" w:rsidRDefault="00646B68" w:rsidP="002600F9">
      <w:pPr>
        <w:pStyle w:val="ListBullet"/>
      </w:pPr>
      <w:r w:rsidRPr="00D2359D">
        <w:t>the committee of the Assembly has reported on it;</w:t>
      </w:r>
      <w:r w:rsidRPr="00D2359D">
        <w:rPr>
          <w:vertAlign w:val="superscript"/>
        </w:rPr>
        <w:footnoteReference w:id="19"/>
      </w:r>
    </w:p>
    <w:p w14:paraId="48C71A71" w14:textId="0AFA143D" w:rsidR="002600F9" w:rsidRDefault="00646B68" w:rsidP="002600F9">
      <w:pPr>
        <w:pStyle w:val="ListBullet"/>
      </w:pPr>
      <w:r w:rsidRPr="00D2359D">
        <w:t>has decided not to report on it;</w:t>
      </w:r>
      <w:r w:rsidRPr="00D2359D">
        <w:rPr>
          <w:vertAlign w:val="superscript"/>
        </w:rPr>
        <w:footnoteReference w:id="20"/>
      </w:r>
    </w:p>
    <w:p w14:paraId="195AA8C7" w14:textId="1A9EA5BA" w:rsidR="002600F9" w:rsidRDefault="00646B68" w:rsidP="002600F9">
      <w:pPr>
        <w:pStyle w:val="ListBullet"/>
      </w:pPr>
      <w:r w:rsidRPr="00D2359D">
        <w:t>has not informed the minister within 20 working days of the referral as to whether it will prepare a report;</w:t>
      </w:r>
      <w:r w:rsidRPr="00D2359D">
        <w:rPr>
          <w:vertAlign w:val="superscript"/>
        </w:rPr>
        <w:footnoteReference w:id="21"/>
      </w:r>
      <w:r w:rsidRPr="00D2359D">
        <w:t xml:space="preserve"> </w:t>
      </w:r>
      <w:r w:rsidR="002600F9">
        <w:t>or</w:t>
      </w:r>
    </w:p>
    <w:p w14:paraId="7884EC39" w14:textId="432F5C9D" w:rsidR="00646B68" w:rsidRDefault="00646B68" w:rsidP="002600F9">
      <w:pPr>
        <w:pStyle w:val="ListBullet"/>
      </w:pPr>
      <w:r w:rsidRPr="00D2359D">
        <w:t>the committee of the Assembly has not reported on the draft plan variation by the end of the period of six months starting the day after the day on which it was referred to the committee.</w:t>
      </w:r>
      <w:r w:rsidRPr="00D2359D">
        <w:rPr>
          <w:vertAlign w:val="superscript"/>
        </w:rPr>
        <w:footnoteReference w:id="22"/>
      </w:r>
    </w:p>
    <w:p w14:paraId="618BD2CB" w14:textId="229A0EC6" w:rsidR="00646B68" w:rsidRPr="00E97E60" w:rsidRDefault="00646B68" w:rsidP="00E97E60">
      <w:pPr>
        <w:pStyle w:val="BodyText"/>
      </w:pPr>
      <w:r w:rsidRPr="00D2359D">
        <w:t>The Minister must take any recommendation of the committee into account before making his decision in relation to the draft plan variation.</w:t>
      </w:r>
      <w:r w:rsidRPr="00D2359D">
        <w:rPr>
          <w:vertAlign w:val="superscript"/>
        </w:rPr>
        <w:footnoteReference w:id="23"/>
      </w:r>
      <w:r w:rsidRPr="00D2359D">
        <w:t xml:space="preserve"> If the Minister approves it, the proposed plan variation and associated documents will be presented to the Assembly.</w:t>
      </w:r>
      <w:r w:rsidRPr="00D2359D">
        <w:rPr>
          <w:vertAlign w:val="superscript"/>
        </w:rPr>
        <w:footnoteReference w:id="24"/>
      </w:r>
      <w:r w:rsidRPr="00D2359D">
        <w:t xml:space="preserve"> </w:t>
      </w:r>
      <w:r w:rsidR="009345C6">
        <w:t>T</w:t>
      </w:r>
      <w:r w:rsidR="009345C6" w:rsidRPr="00D2359D">
        <w:t xml:space="preserve">he plan variation will commence on the date nominated by the Minister </w:t>
      </w:r>
      <w:r w:rsidR="009345C6">
        <w:t>u</w:t>
      </w:r>
      <w:r w:rsidRPr="00D2359D">
        <w:t xml:space="preserve">nless wholly or partially rejected </w:t>
      </w:r>
      <w:r w:rsidR="00C045BD">
        <w:t>through</w:t>
      </w:r>
      <w:r w:rsidRPr="00D2359D">
        <w:t xml:space="preserve"> </w:t>
      </w:r>
      <w:r w:rsidR="00C045BD">
        <w:t xml:space="preserve">a motion in </w:t>
      </w:r>
      <w:r w:rsidRPr="00D2359D">
        <w:t>the Assembly.</w:t>
      </w:r>
      <w:r w:rsidRPr="00D2359D">
        <w:rPr>
          <w:vertAlign w:val="superscript"/>
        </w:rPr>
        <w:footnoteReference w:id="25"/>
      </w:r>
    </w:p>
    <w:p w14:paraId="2FBF3F6A" w14:textId="63D7DC51" w:rsidR="002E41D4" w:rsidRDefault="002E41D4" w:rsidP="007104A7">
      <w:pPr>
        <w:pStyle w:val="Heading2"/>
      </w:pPr>
      <w:bookmarkStart w:id="47" w:name="_Toc502672957"/>
      <w:bookmarkStart w:id="48" w:name="_Toc83893130"/>
      <w:bookmarkStart w:id="49" w:name="_Toc502671594"/>
      <w:bookmarkStart w:id="50" w:name="_Toc502671772"/>
      <w:bookmarkStart w:id="51" w:name="_Toc502671878"/>
      <w:bookmarkStart w:id="52" w:name="_Toc502672810"/>
      <w:bookmarkEnd w:id="43"/>
      <w:bookmarkEnd w:id="44"/>
      <w:bookmarkEnd w:id="45"/>
      <w:bookmarkEnd w:id="46"/>
      <w:bookmarkEnd w:id="47"/>
      <w:r>
        <w:t>Gungahlin Town Centre</w:t>
      </w:r>
      <w:r w:rsidR="002B0368">
        <w:t xml:space="preserve"> Planning</w:t>
      </w:r>
      <w:bookmarkEnd w:id="48"/>
    </w:p>
    <w:p w14:paraId="038B1FF6" w14:textId="6EC032DC" w:rsidR="002E41D4" w:rsidRDefault="002E41D4" w:rsidP="002E41D4">
      <w:pPr>
        <w:pStyle w:val="BodyText"/>
      </w:pPr>
      <w:r>
        <w:t xml:space="preserve">The </w:t>
      </w:r>
      <w:r w:rsidRPr="002E41D4">
        <w:t xml:space="preserve">Gungahlin </w:t>
      </w:r>
      <w:r w:rsidR="00C85E1B">
        <w:t>T</w:t>
      </w:r>
      <w:r>
        <w:t xml:space="preserve">own </w:t>
      </w:r>
      <w:r w:rsidR="00C85E1B">
        <w:t>C</w:t>
      </w:r>
      <w:r>
        <w:t>entre is the fourth major hub to be developed in Canberra, joining Belconnen, Woden and Tuggeranong, to provide employment, shopping, social activities and public transport. T</w:t>
      </w:r>
      <w:r w:rsidRPr="002E41D4">
        <w:t xml:space="preserve">he National Capital Development Commission </w:t>
      </w:r>
      <w:r>
        <w:t>planned for the future town centre in the</w:t>
      </w:r>
      <w:r w:rsidRPr="002E41D4">
        <w:t xml:space="preserve"> ‘Y Plan’ developed in 1970</w:t>
      </w:r>
      <w:r>
        <w:t>.</w:t>
      </w:r>
      <w:r w:rsidR="002B0368">
        <w:rPr>
          <w:rStyle w:val="FootnoteReference"/>
        </w:rPr>
        <w:footnoteReference w:id="26"/>
      </w:r>
    </w:p>
    <w:p w14:paraId="396A85D1" w14:textId="0FA4F0B7" w:rsidR="002B0368" w:rsidRDefault="00311CFC" w:rsidP="00311CFC">
      <w:pPr>
        <w:pStyle w:val="BodyText"/>
      </w:pPr>
      <w:r w:rsidRPr="00311CFC">
        <w:t>In</w:t>
      </w:r>
      <w:r>
        <w:t xml:space="preserve"> 1995 the location of the </w:t>
      </w:r>
      <w:r w:rsidR="00C85E1B">
        <w:t>town centre</w:t>
      </w:r>
      <w:r>
        <w:t xml:space="preserve"> was changed </w:t>
      </w:r>
      <w:r w:rsidRPr="00311CFC">
        <w:t xml:space="preserve">through Territory Plan variation No. 53 </w:t>
      </w:r>
      <w:r>
        <w:t xml:space="preserve">when the </w:t>
      </w:r>
      <w:r w:rsidRPr="00311CFC">
        <w:t xml:space="preserve">Mulanggari Grasslands area was declared prohibited for development due to its status as native grassland with high ecological value. </w:t>
      </w:r>
      <w:r>
        <w:t xml:space="preserve">At this time an </w:t>
      </w:r>
      <w:r w:rsidRPr="00311CFC">
        <w:t>‘urban village’ design for the town centre</w:t>
      </w:r>
      <w:r>
        <w:t xml:space="preserve"> was </w:t>
      </w:r>
      <w:r w:rsidRPr="00311CFC">
        <w:t>formally adopted.</w:t>
      </w:r>
      <w:r>
        <w:rPr>
          <w:rStyle w:val="FootnoteReference"/>
        </w:rPr>
        <w:footnoteReference w:id="27"/>
      </w:r>
    </w:p>
    <w:p w14:paraId="667270F8" w14:textId="569C68FA" w:rsidR="00E037B4" w:rsidRDefault="00311CFC" w:rsidP="00311CFC">
      <w:pPr>
        <w:pStyle w:val="BodyText"/>
      </w:pPr>
      <w:r w:rsidRPr="00311CFC">
        <w:t xml:space="preserve">In 1996, responsibility for the town centre was handed to </w:t>
      </w:r>
      <w:r w:rsidR="00E037B4">
        <w:t xml:space="preserve">the </w:t>
      </w:r>
      <w:r w:rsidR="00D954DD">
        <w:t xml:space="preserve">former </w:t>
      </w:r>
      <w:r w:rsidRPr="00311CFC">
        <w:t>Gungahlin Development Authority</w:t>
      </w:r>
      <w:r w:rsidR="00E037B4">
        <w:t xml:space="preserve"> who developed a </w:t>
      </w:r>
      <w:r w:rsidRPr="00311CFC">
        <w:t xml:space="preserve">master plan for the town centre. </w:t>
      </w:r>
      <w:r w:rsidR="00E037B4">
        <w:t xml:space="preserve">Their master plan was </w:t>
      </w:r>
      <w:r w:rsidRPr="00311CFC">
        <w:t xml:space="preserve">never formally adopted, </w:t>
      </w:r>
      <w:r w:rsidR="00E037B4">
        <w:t>however some</w:t>
      </w:r>
      <w:r w:rsidRPr="00311CFC">
        <w:t xml:space="preserve"> elements of this plan were implemented</w:t>
      </w:r>
      <w:r w:rsidR="00E037B4">
        <w:t xml:space="preserve"> including the conversion of</w:t>
      </w:r>
      <w:r w:rsidRPr="00311CFC">
        <w:t xml:space="preserve"> commercial and community facility development north of Anthony Rolfe Avenue to residential development</w:t>
      </w:r>
      <w:r w:rsidR="00E037B4">
        <w:t>. No</w:t>
      </w:r>
      <w:r w:rsidRPr="00311CFC">
        <w:t xml:space="preserve"> alternative land for commercial and community uses </w:t>
      </w:r>
      <w:r w:rsidR="00E037B4">
        <w:t xml:space="preserve">was provided for </w:t>
      </w:r>
      <w:r w:rsidRPr="00311CFC">
        <w:t>elsewhere in the town centre.</w:t>
      </w:r>
      <w:r w:rsidR="00E037B4">
        <w:rPr>
          <w:rStyle w:val="FootnoteReference"/>
        </w:rPr>
        <w:footnoteReference w:id="28"/>
      </w:r>
      <w:r w:rsidRPr="00311CFC">
        <w:t xml:space="preserve"> </w:t>
      </w:r>
    </w:p>
    <w:p w14:paraId="24E157FB" w14:textId="7D61D35F" w:rsidR="00311CFC" w:rsidRDefault="00311CFC" w:rsidP="00311CFC">
      <w:pPr>
        <w:pStyle w:val="BodyText"/>
      </w:pPr>
      <w:r w:rsidRPr="00311CFC">
        <w:t>This led to potential undersupply of commercial and community land in the town centre. As an interim measure to address this undersupply, the restructured Territory Plan introduced in March 2008 rezoned undeveloped land to the east of the town centre for commercial and community uses</w:t>
      </w:r>
      <w:r w:rsidR="00E037B4">
        <w:t>.</w:t>
      </w:r>
      <w:r w:rsidR="00E037B4">
        <w:rPr>
          <w:rStyle w:val="FootnoteReference"/>
        </w:rPr>
        <w:footnoteReference w:id="29"/>
      </w:r>
    </w:p>
    <w:p w14:paraId="2CF6E5D0" w14:textId="0BAC9BA2" w:rsidR="00816134" w:rsidRPr="00816134" w:rsidRDefault="00816134" w:rsidP="00816134">
      <w:pPr>
        <w:pStyle w:val="BodyText"/>
      </w:pPr>
      <w:r>
        <w:t xml:space="preserve">The </w:t>
      </w:r>
      <w:r w:rsidRPr="00816134">
        <w:t xml:space="preserve">Gungahlin Town Centre </w:t>
      </w:r>
      <w:r>
        <w:t>grew rapidly, so the government determined in 2008 that it would</w:t>
      </w:r>
      <w:r w:rsidRPr="00816134">
        <w:t xml:space="preserve"> review progress so far and assess whether the planning framework </w:t>
      </w:r>
      <w:r>
        <w:t xml:space="preserve">was </w:t>
      </w:r>
      <w:r w:rsidRPr="00816134">
        <w:t>producing the desired outcomes for the town centre</w:t>
      </w:r>
      <w:r>
        <w:t>.</w:t>
      </w:r>
      <w:r>
        <w:rPr>
          <w:rStyle w:val="FootnoteReference"/>
        </w:rPr>
        <w:footnoteReference w:id="30"/>
      </w:r>
    </w:p>
    <w:p w14:paraId="386FF332" w14:textId="150FCB1B" w:rsidR="00E037B4" w:rsidRDefault="00E037B4" w:rsidP="00E037B4">
      <w:pPr>
        <w:pStyle w:val="BodyText"/>
      </w:pPr>
      <w:r w:rsidRPr="00E037B4">
        <w:t xml:space="preserve">The key recommendations </w:t>
      </w:r>
      <w:r w:rsidR="00D954DD">
        <w:t>from the review of</w:t>
      </w:r>
      <w:r w:rsidR="00713E17">
        <w:t xml:space="preserve"> the town centre</w:t>
      </w:r>
      <w:r w:rsidR="00D954DD">
        <w:t xml:space="preserve"> outlined</w:t>
      </w:r>
      <w:r w:rsidR="00713E17">
        <w:t xml:space="preserve"> </w:t>
      </w:r>
      <w:r w:rsidR="00D954DD">
        <w:t xml:space="preserve">in </w:t>
      </w:r>
      <w:r w:rsidR="00713E17">
        <w:t xml:space="preserve">the </w:t>
      </w:r>
      <w:r w:rsidR="00713E17" w:rsidRPr="00E037B4">
        <w:t xml:space="preserve">Gungahlin Town Centre Planning Report </w:t>
      </w:r>
      <w:r w:rsidR="00713E17">
        <w:t xml:space="preserve">(2010) </w:t>
      </w:r>
      <w:r w:rsidR="00D954DD">
        <w:t xml:space="preserve">and </w:t>
      </w:r>
      <w:r w:rsidR="00713E17">
        <w:t>incorporated in</w:t>
      </w:r>
      <w:r w:rsidR="00A35933">
        <w:t>to</w:t>
      </w:r>
      <w:r w:rsidR="00713E17">
        <w:t xml:space="preserve"> </w:t>
      </w:r>
      <w:r w:rsidRPr="00E037B4">
        <w:t>Variation to the Territory Plan No.</w:t>
      </w:r>
      <w:r w:rsidR="00D954DD">
        <w:t> </w:t>
      </w:r>
      <w:r w:rsidRPr="00E037B4">
        <w:t>300 (2011)</w:t>
      </w:r>
      <w:r w:rsidR="00A35933">
        <w:t xml:space="preserve"> were</w:t>
      </w:r>
      <w:r w:rsidR="00D954DD">
        <w:t>:</w:t>
      </w:r>
      <w:r w:rsidR="007C1AE4">
        <w:rPr>
          <w:rStyle w:val="FootnoteReference"/>
        </w:rPr>
        <w:footnoteReference w:id="31"/>
      </w:r>
    </w:p>
    <w:p w14:paraId="1FD5F886" w14:textId="20F9179E" w:rsidR="00E037B4" w:rsidRDefault="00713E17" w:rsidP="00E037B4">
      <w:pPr>
        <w:pStyle w:val="ListBullet"/>
      </w:pPr>
      <w:r>
        <w:t>m</w:t>
      </w:r>
      <w:r w:rsidR="00E037B4">
        <w:t xml:space="preserve">aintaining Gungahlin </w:t>
      </w:r>
      <w:r w:rsidR="00C85E1B">
        <w:t>T</w:t>
      </w:r>
      <w:r w:rsidR="00E037B4">
        <w:t xml:space="preserve">own </w:t>
      </w:r>
      <w:r w:rsidR="00C85E1B">
        <w:t>C</w:t>
      </w:r>
      <w:r w:rsidR="00E037B4">
        <w:t>entre’s distinctive ‘urban village’ character</w:t>
      </w:r>
      <w:r w:rsidR="00A35933">
        <w:t>;</w:t>
      </w:r>
    </w:p>
    <w:p w14:paraId="67B55C7D" w14:textId="54EF5C5B" w:rsidR="00E037B4" w:rsidRDefault="00A35933" w:rsidP="00E037B4">
      <w:pPr>
        <w:pStyle w:val="ListBullet"/>
      </w:pPr>
      <w:r>
        <w:t>i</w:t>
      </w:r>
      <w:r w:rsidR="00E037B4">
        <w:t>dentifying two office precincts; an office park in the north-west, and office core in the east of the town centre with large sites and flexible planning provisions to attract government departments</w:t>
      </w:r>
      <w:r>
        <w:t>;</w:t>
      </w:r>
    </w:p>
    <w:p w14:paraId="24BD703A" w14:textId="50F84B40" w:rsidR="00E037B4" w:rsidRDefault="00A35933" w:rsidP="00E037B4">
      <w:pPr>
        <w:pStyle w:val="ListBullet"/>
      </w:pPr>
      <w:r>
        <w:t>p</w:t>
      </w:r>
      <w:r w:rsidR="00816134">
        <w:t>rohibit</w:t>
      </w:r>
      <w:r>
        <w:t>ing</w:t>
      </w:r>
      <w:r w:rsidR="00816134">
        <w:t xml:space="preserve"> residential uses and serviced apartments in the office core</w:t>
      </w:r>
      <w:r>
        <w:t>;</w:t>
      </w:r>
    </w:p>
    <w:p w14:paraId="14CDC6D7" w14:textId="521B47AE" w:rsidR="00816134" w:rsidRDefault="00A35933" w:rsidP="00E037B4">
      <w:pPr>
        <w:pStyle w:val="ListBullet"/>
      </w:pPr>
      <w:r>
        <w:t>i</w:t>
      </w:r>
      <w:r w:rsidR="00816134">
        <w:t>ncreasing building heights and introducing building envelopes to minimise overshadowing, bulk and scale in the office core precinct</w:t>
      </w:r>
      <w:r>
        <w:t>;</w:t>
      </w:r>
    </w:p>
    <w:p w14:paraId="62D346D0" w14:textId="3723C9ED" w:rsidR="00816134" w:rsidRDefault="00A35933" w:rsidP="00E037B4">
      <w:pPr>
        <w:pStyle w:val="ListBullet"/>
      </w:pPr>
      <w:r>
        <w:t>i</w:t>
      </w:r>
      <w:r w:rsidR="00816134">
        <w:t>ncreasing building heights and introducing building height criteria for the office park precinct</w:t>
      </w:r>
      <w:r>
        <w:t>; and</w:t>
      </w:r>
    </w:p>
    <w:p w14:paraId="252C0010" w14:textId="0D77E4FD" w:rsidR="00816134" w:rsidRDefault="00A35933" w:rsidP="00E037B4">
      <w:pPr>
        <w:pStyle w:val="ListBullet"/>
      </w:pPr>
      <w:r>
        <w:t>r</w:t>
      </w:r>
      <w:r w:rsidR="00816134">
        <w:t xml:space="preserve">eserving 200,000m² for commercial office floor space distributed in two separate precincts (Office park and Office core) to accommodate 10,000 office jobs </w:t>
      </w:r>
      <w:r w:rsidR="009345C6">
        <w:t xml:space="preserve">and </w:t>
      </w:r>
      <w:r w:rsidR="00816134">
        <w:t>encourage more employment in Gungahlin</w:t>
      </w:r>
      <w:r>
        <w:t>.</w:t>
      </w:r>
    </w:p>
    <w:p w14:paraId="50C4DEBD" w14:textId="66FAF42E" w:rsidR="00B14835" w:rsidRDefault="00B14835" w:rsidP="00B14835">
      <w:pPr>
        <w:pStyle w:val="BodyText"/>
      </w:pPr>
      <w:r w:rsidRPr="00B14835">
        <w:t xml:space="preserve">The Gungahlin </w:t>
      </w:r>
      <w:r w:rsidR="00C85E1B">
        <w:t>T</w:t>
      </w:r>
      <w:r w:rsidRPr="00B14835">
        <w:t xml:space="preserve">own </w:t>
      </w:r>
      <w:r w:rsidR="00C85E1B">
        <w:t>C</w:t>
      </w:r>
      <w:r w:rsidRPr="00B14835">
        <w:t xml:space="preserve">entre has </w:t>
      </w:r>
      <w:r>
        <w:t>continued to grow and develop</w:t>
      </w:r>
      <w:r w:rsidRPr="00B14835">
        <w:t xml:space="preserve"> in recent years, attracting new residents, businesses and investment, and importantly has </w:t>
      </w:r>
      <w:r>
        <w:t xml:space="preserve">seen </w:t>
      </w:r>
      <w:r w:rsidRPr="00B14835">
        <w:t xml:space="preserve">the introduction of light rail. With this growth set to continue </w:t>
      </w:r>
      <w:r>
        <w:t>it</w:t>
      </w:r>
      <w:r w:rsidRPr="00B14835">
        <w:t xml:space="preserve"> is timely to set a planning framework that appropriately responds to and directs this growth and change</w:t>
      </w:r>
      <w:r>
        <w:t>.</w:t>
      </w:r>
    </w:p>
    <w:p w14:paraId="1E3014A2" w14:textId="25C64F77" w:rsidR="00B14835" w:rsidRDefault="00B14835" w:rsidP="00B14835">
      <w:pPr>
        <w:pStyle w:val="BodyText"/>
      </w:pPr>
      <w:r>
        <w:t xml:space="preserve">The Gungahlin Town Centre Planning Refresh project was undertaken to document recommendations for the future planning and development of the Gungahlin </w:t>
      </w:r>
      <w:r w:rsidR="00C85E1B">
        <w:t>T</w:t>
      </w:r>
      <w:r>
        <w:t xml:space="preserve">own </w:t>
      </w:r>
      <w:r w:rsidR="00C85E1B">
        <w:t>C</w:t>
      </w:r>
      <w:r>
        <w:t>entre with work focused on three key themes: building height and character, upgrading and enhancing public spaces and walking, cycling and road transport.</w:t>
      </w:r>
      <w:r>
        <w:rPr>
          <w:rStyle w:val="FootnoteReference"/>
        </w:rPr>
        <w:footnoteReference w:id="32"/>
      </w:r>
      <w:r w:rsidR="00C548D4">
        <w:t xml:space="preserve"> A range of engagement activities were undertaken to gather input from local residents, businesses, those who use the town centre and the broader Canberra community. Engagement included the Your Say website, a Meet the Planners session, a stakeholder workshop, a ‘Planning in the Pub’ session, youth workshops, quick polls and email submissions.</w:t>
      </w:r>
      <w:r w:rsidR="006208B0">
        <w:t xml:space="preserve"> Community engagement for the project commenced on 1 March 2017 and concluded on 4 May 2017.</w:t>
      </w:r>
      <w:r w:rsidR="006208B0">
        <w:rPr>
          <w:rStyle w:val="FootnoteReference"/>
        </w:rPr>
        <w:footnoteReference w:id="33"/>
      </w:r>
    </w:p>
    <w:p w14:paraId="28038CFD" w14:textId="0708A9C6" w:rsidR="00B14835" w:rsidRDefault="00B14835" w:rsidP="00B14835">
      <w:pPr>
        <w:pStyle w:val="BodyText"/>
      </w:pPr>
      <w:r>
        <w:t>The Gungahlin Town Centre</w:t>
      </w:r>
      <w:r w:rsidR="006208B0">
        <w:t>:</w:t>
      </w:r>
      <w:r>
        <w:t xml:space="preserve"> Planning Refresh</w:t>
      </w:r>
      <w:r w:rsidR="006208B0">
        <w:t xml:space="preserve"> -</w:t>
      </w:r>
      <w:r>
        <w:t xml:space="preserve"> Snapshot (</w:t>
      </w:r>
      <w:r w:rsidR="006208B0">
        <w:t xml:space="preserve">November </w:t>
      </w:r>
      <w:r>
        <w:t xml:space="preserve">2018) provides a summary </w:t>
      </w:r>
      <w:r w:rsidR="00C045BD">
        <w:t xml:space="preserve">of the key issues considered </w:t>
      </w:r>
      <w:r w:rsidR="006208B0">
        <w:t xml:space="preserve">and </w:t>
      </w:r>
      <w:r w:rsidR="00C045BD">
        <w:t>makes</w:t>
      </w:r>
      <w:r w:rsidR="006208B0">
        <w:t xml:space="preserve"> recommendations for the future planning and development of the Gungahlin town centre. </w:t>
      </w:r>
    </w:p>
    <w:p w14:paraId="0E4636DC" w14:textId="465D687F" w:rsidR="006208B0" w:rsidRDefault="006208B0" w:rsidP="00B14835">
      <w:pPr>
        <w:pStyle w:val="BodyText"/>
      </w:pPr>
      <w:r>
        <w:t xml:space="preserve">The recommendations of the Gungahlin Town Centre: Planning Refresh - Snapshot (November 2018) are </w:t>
      </w:r>
      <w:r w:rsidRPr="00A44B2B">
        <w:t>incorporate</w:t>
      </w:r>
      <w:r>
        <w:t xml:space="preserve">d into </w:t>
      </w:r>
      <w:r w:rsidRPr="00A44B2B">
        <w:rPr>
          <w:i/>
          <w:iCs/>
        </w:rPr>
        <w:t>Draft Variation to the Territory Plan 364 – Gungahlin Town Centre: Amendments to the Gungahlin precinct map and code</w:t>
      </w:r>
      <w:r w:rsidRPr="00A44B2B">
        <w:t xml:space="preserve"> (the Draft Variation) to provide guidance on the desired built form and character of the centre as it develops</w:t>
      </w:r>
      <w:r>
        <w:t>.</w:t>
      </w:r>
      <w:r>
        <w:rPr>
          <w:rStyle w:val="FootnoteReference"/>
        </w:rPr>
        <w:footnoteReference w:id="34"/>
      </w:r>
    </w:p>
    <w:p w14:paraId="29773F66" w14:textId="77777777" w:rsidR="00C548D4" w:rsidRDefault="00C548D4" w:rsidP="00C548D4">
      <w:pPr>
        <w:pStyle w:val="Heading2"/>
      </w:pPr>
      <w:bookmarkStart w:id="53" w:name="_Toc83893131"/>
      <w:r>
        <w:t>The Draft Variation</w:t>
      </w:r>
      <w:bookmarkEnd w:id="53"/>
    </w:p>
    <w:p w14:paraId="5EC7E8F8" w14:textId="5CAF04A5" w:rsidR="00C548D4" w:rsidRPr="00A44B2B" w:rsidRDefault="00C548D4" w:rsidP="00C548D4">
      <w:pPr>
        <w:pStyle w:val="BodyText"/>
      </w:pPr>
      <w:r w:rsidRPr="00A44B2B">
        <w:rPr>
          <w:i/>
          <w:iCs/>
        </w:rPr>
        <w:t>Draft Variation to the Territory Plan 364 – Gungahlin Town Centre: Amendments to the Gungahlin precinct map and code</w:t>
      </w:r>
      <w:r w:rsidRPr="00A44B2B">
        <w:t xml:space="preserve"> (the Draft Variation) incorporates the recommendations of the Gungahlin Town Centre Planning Refresh into the Territory Plan to provide guidance on the desired built form and character of the centre as it develops</w:t>
      </w:r>
      <w:r>
        <w:t>.</w:t>
      </w:r>
      <w:r>
        <w:rPr>
          <w:rStyle w:val="FootnoteReference"/>
        </w:rPr>
        <w:footnoteReference w:id="35"/>
      </w:r>
      <w:r>
        <w:t xml:space="preserve"> The D</w:t>
      </w:r>
      <w:r w:rsidR="009345C6">
        <w:t xml:space="preserve">raft </w:t>
      </w:r>
      <w:r>
        <w:t>V</w:t>
      </w:r>
      <w:r w:rsidR="009345C6">
        <w:t>ariation</w:t>
      </w:r>
      <w:r w:rsidRPr="00A44B2B">
        <w:t xml:space="preserve"> proposes the following changes to </w:t>
      </w:r>
      <w:r>
        <w:t>the Gungahlin Town Centre</w:t>
      </w:r>
      <w:r w:rsidRPr="00A44B2B">
        <w:t>:</w:t>
      </w:r>
    </w:p>
    <w:p w14:paraId="364165C9" w14:textId="77777777" w:rsidR="00C548D4" w:rsidRDefault="00C548D4" w:rsidP="00C548D4">
      <w:pPr>
        <w:pStyle w:val="ListBullet"/>
      </w:pPr>
      <w:r>
        <w:t>permitting residential use in the Gungahlin East Precinct;</w:t>
      </w:r>
    </w:p>
    <w:p w14:paraId="05EA94E2" w14:textId="77777777" w:rsidR="00C548D4" w:rsidRDefault="00C548D4" w:rsidP="00C548D4">
      <w:pPr>
        <w:pStyle w:val="ListBullet"/>
      </w:pPr>
      <w:r>
        <w:t>replacing some building envelope controls with maximum building heights in storeys;</w:t>
      </w:r>
    </w:p>
    <w:p w14:paraId="135E52CF" w14:textId="77777777" w:rsidR="00C548D4" w:rsidRDefault="00C548D4" w:rsidP="00C548D4">
      <w:pPr>
        <w:pStyle w:val="ListBullet"/>
      </w:pPr>
      <w:r>
        <w:t>retaining land to accommodate approximately 65,000m</w:t>
      </w:r>
      <w:r w:rsidRPr="00A44B2B">
        <w:rPr>
          <w:vertAlign w:val="superscript"/>
        </w:rPr>
        <w:t>2</w:t>
      </w:r>
      <w:r>
        <w:t xml:space="preserve"> of commercial office space;</w:t>
      </w:r>
    </w:p>
    <w:p w14:paraId="249B8539" w14:textId="77777777" w:rsidR="00C548D4" w:rsidRDefault="00C548D4" w:rsidP="00C548D4">
      <w:pPr>
        <w:pStyle w:val="ListBullet"/>
      </w:pPr>
      <w:r>
        <w:t>introducing maximum building heights in the Gungahlin East and North West precincts;</w:t>
      </w:r>
    </w:p>
    <w:p w14:paraId="7D52B41E" w14:textId="77777777" w:rsidR="00C548D4" w:rsidRDefault="00C548D4" w:rsidP="00C548D4">
      <w:pPr>
        <w:pStyle w:val="ListBullet"/>
      </w:pPr>
      <w:r>
        <w:t>introducing minimum building heights in the Gungahlin East Precinct;</w:t>
      </w:r>
    </w:p>
    <w:p w14:paraId="68D4EFFC" w14:textId="77777777" w:rsidR="00C548D4" w:rsidRDefault="00C548D4" w:rsidP="00C548D4">
      <w:pPr>
        <w:pStyle w:val="ListBullet"/>
      </w:pPr>
      <w:r>
        <w:t>providing flexibility in the location of community facilities;</w:t>
      </w:r>
    </w:p>
    <w:p w14:paraId="4C0797F3" w14:textId="77777777" w:rsidR="00C548D4" w:rsidRDefault="00C548D4" w:rsidP="00C548D4">
      <w:pPr>
        <w:pStyle w:val="ListBullet"/>
      </w:pPr>
      <w:r>
        <w:t>changing the names and boundaries of sub-precincts within the town centre;</w:t>
      </w:r>
    </w:p>
    <w:p w14:paraId="5A5D135A" w14:textId="77777777" w:rsidR="00C548D4" w:rsidRDefault="00C548D4" w:rsidP="00C548D4">
      <w:pPr>
        <w:pStyle w:val="ListBullet"/>
      </w:pPr>
      <w:r>
        <w:t>relocating nominated public car park from block 2 section 229 to block 2 section 11 (between Ernst Cavanagh and Hibberson Streets); and</w:t>
      </w:r>
    </w:p>
    <w:p w14:paraId="3FBC47E0" w14:textId="77777777" w:rsidR="00C548D4" w:rsidRDefault="00C548D4" w:rsidP="00C548D4">
      <w:pPr>
        <w:pStyle w:val="ListBullet"/>
      </w:pPr>
      <w:r>
        <w:t>improving requirements for the public domain.</w:t>
      </w:r>
    </w:p>
    <w:p w14:paraId="351E3098" w14:textId="5B8D7D7C" w:rsidR="00C548D4" w:rsidRDefault="00C548D4" w:rsidP="00C548D4">
      <w:pPr>
        <w:pStyle w:val="BodyText"/>
      </w:pPr>
      <w:r>
        <w:t>The Draft Variation has interim effect</w:t>
      </w:r>
      <w:r w:rsidR="00306EF7">
        <w:rPr>
          <w:rStyle w:val="FootnoteReference"/>
        </w:rPr>
        <w:footnoteReference w:id="36"/>
      </w:r>
      <w:r>
        <w:t xml:space="preserve"> on precinct 2b.</w:t>
      </w:r>
      <w:r>
        <w:rPr>
          <w:rStyle w:val="FootnoteReference"/>
        </w:rPr>
        <w:footnoteReference w:id="37"/>
      </w:r>
    </w:p>
    <w:p w14:paraId="623B175A" w14:textId="6F1CBBE8" w:rsidR="00C548D4" w:rsidRPr="004406BF" w:rsidRDefault="00C548D4" w:rsidP="00C548D4">
      <w:pPr>
        <w:pStyle w:val="BodyText"/>
      </w:pPr>
      <w:r w:rsidRPr="004406BF">
        <w:t xml:space="preserve">Under Section 72 of the Planning and Development Act 2007, the Draft Variation applies during the defined period, starting from the day when the Draft Variation given to the Minister is notified (the notification day). In this case, </w:t>
      </w:r>
      <w:r w:rsidR="009345C6">
        <w:t xml:space="preserve">the notification day is </w:t>
      </w:r>
      <w:r w:rsidRPr="004406BF">
        <w:t>31 March 2021.</w:t>
      </w:r>
      <w:r w:rsidRPr="004406BF">
        <w:rPr>
          <w:rStyle w:val="FootnoteReference"/>
        </w:rPr>
        <w:footnoteReference w:id="38"/>
      </w:r>
    </w:p>
    <w:p w14:paraId="0FFBB343" w14:textId="0660F3A7" w:rsidR="00C548D4" w:rsidRDefault="00C548D4" w:rsidP="000E443E">
      <w:pPr>
        <w:pStyle w:val="BodyText"/>
        <w:keepNext/>
        <w:keepLines/>
      </w:pPr>
      <w:r w:rsidRPr="004406BF">
        <w:t xml:space="preserve">The Territory, the Executive, a Minister or a territory authority must not, during the defined period, do or approve the doing of anything that would be inconsistent with the Territory Plan if it were varied in accordance with the </w:t>
      </w:r>
      <w:r w:rsidR="004E3EA0">
        <w:t>Draft Variation</w:t>
      </w:r>
      <w:r w:rsidRPr="004406BF">
        <w:t>. For the area not subject to interim effect, the current Territory Plan provisions continue to apply.</w:t>
      </w:r>
      <w:r w:rsidRPr="004406BF">
        <w:rPr>
          <w:rStyle w:val="FootnoteReference"/>
        </w:rPr>
        <w:footnoteReference w:id="39"/>
      </w:r>
    </w:p>
    <w:p w14:paraId="4618C378" w14:textId="10887657" w:rsidR="00C548D4" w:rsidRDefault="00C548D4" w:rsidP="00C548D4">
      <w:pPr>
        <w:pStyle w:val="BodyText"/>
        <w:keepNext/>
        <w:keepLines/>
      </w:pPr>
      <w:r w:rsidRPr="004F2545">
        <w:t xml:space="preserve">The </w:t>
      </w:r>
      <w:r w:rsidR="004E3EA0">
        <w:t>Draft Variation</w:t>
      </w:r>
      <w:r w:rsidRPr="004F2545">
        <w:t xml:space="preserve"> area is the Gungahlin Town Centre. It is bound on the north-west by Gundaroo Drive, the south-west by Gungahlin Drive, Anthony Rolfe Avenue to the north, Manning Clark Crescent to the east, and the Mulanggari Grasslands in the south. </w:t>
      </w:r>
      <w:r>
        <w:t>The</w:t>
      </w:r>
      <w:r w:rsidRPr="004F2545">
        <w:t xml:space="preserve"> proposed changes to the Gungahlin Town Centre precinct map and code </w:t>
      </w:r>
      <w:r>
        <w:t xml:space="preserve">mostly relate to </w:t>
      </w:r>
      <w:r w:rsidR="00B93852">
        <w:t xml:space="preserve">the recommended mixed use Precincts 2a and </w:t>
      </w:r>
      <w:r>
        <w:t>2b</w:t>
      </w:r>
      <w:r w:rsidR="009345C6">
        <w:t>, which are the shaded areas in Figure 1</w:t>
      </w:r>
      <w:r>
        <w:t>.</w:t>
      </w:r>
      <w:r w:rsidRPr="004F2545">
        <w:rPr>
          <w:rStyle w:val="FootnoteReference"/>
        </w:rPr>
        <w:footnoteReference w:id="40"/>
      </w:r>
    </w:p>
    <w:p w14:paraId="10004FF4" w14:textId="77777777" w:rsidR="00306EF7" w:rsidRPr="00FC7284" w:rsidRDefault="00306EF7" w:rsidP="00306EF7">
      <w:pPr>
        <w:pStyle w:val="BodyText"/>
      </w:pPr>
      <w:r>
        <w:t>Figure 1: Location Plan</w:t>
      </w:r>
      <w:r>
        <w:rPr>
          <w:rStyle w:val="FootnoteReference"/>
        </w:rPr>
        <w:footnoteReference w:id="41"/>
      </w:r>
    </w:p>
    <w:p w14:paraId="3F0F99ED" w14:textId="77777777" w:rsidR="00C548D4" w:rsidRDefault="00C548D4" w:rsidP="000E443E">
      <w:pPr>
        <w:pStyle w:val="Caption"/>
        <w:keepNext w:val="0"/>
      </w:pPr>
      <w:r w:rsidRPr="00EC4974">
        <w:rPr>
          <w:noProof/>
        </w:rPr>
        <w:drawing>
          <wp:inline distT="0" distB="0" distL="0" distR="0" wp14:anchorId="031B80DA" wp14:editId="7955AA0F">
            <wp:extent cx="5404135" cy="37020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4704" cy="3709290"/>
                    </a:xfrm>
                    <a:prstGeom prst="rect">
                      <a:avLst/>
                    </a:prstGeom>
                    <a:noFill/>
                    <a:ln>
                      <a:noFill/>
                    </a:ln>
                  </pic:spPr>
                </pic:pic>
              </a:graphicData>
            </a:graphic>
          </wp:inline>
        </w:drawing>
      </w:r>
    </w:p>
    <w:p w14:paraId="5751B808" w14:textId="77777777" w:rsidR="00C548D4" w:rsidRDefault="00C548D4" w:rsidP="00C548D4">
      <w:pPr>
        <w:pStyle w:val="Heading3"/>
        <w:keepLines/>
      </w:pPr>
      <w:bookmarkStart w:id="54" w:name="_Toc45779659"/>
      <w:bookmarkStart w:id="55" w:name="_Toc83893132"/>
      <w:bookmarkStart w:id="56" w:name="_Hlk82517208"/>
      <w:r>
        <w:t>Consultation by the Environment, Planning and Sustainable Development Directorate</w:t>
      </w:r>
      <w:bookmarkEnd w:id="54"/>
      <w:bookmarkEnd w:id="55"/>
    </w:p>
    <w:p w14:paraId="750DEFAF" w14:textId="600FBF1C" w:rsidR="00C548D4" w:rsidRPr="00E10471" w:rsidRDefault="00C548D4" w:rsidP="00C548D4">
      <w:pPr>
        <w:pStyle w:val="BodyText"/>
      </w:pPr>
      <w:r w:rsidRPr="00E10471">
        <w:t xml:space="preserve">The </w:t>
      </w:r>
      <w:r w:rsidR="004E3EA0">
        <w:t>Draft Variation</w:t>
      </w:r>
      <w:r w:rsidRPr="00E10471">
        <w:t xml:space="preserve"> was released for public comment on 30 September 2019.</w:t>
      </w:r>
      <w:r w:rsidRPr="00E10471">
        <w:rPr>
          <w:rStyle w:val="FootnoteReference"/>
        </w:rPr>
        <w:footnoteReference w:id="42"/>
      </w:r>
      <w:r w:rsidRPr="00E10471">
        <w:t xml:space="preserve"> The closing date for comments was 18 November 2019. The Directorate received a total of 9 written submissions</w:t>
      </w:r>
      <w:r w:rsidR="009345C6">
        <w:t>.</w:t>
      </w:r>
      <w:r w:rsidRPr="00E10471">
        <w:t xml:space="preserve"> Comments from the N</w:t>
      </w:r>
      <w:r>
        <w:t xml:space="preserve">ational </w:t>
      </w:r>
      <w:r w:rsidRPr="00E10471">
        <w:t>C</w:t>
      </w:r>
      <w:r>
        <w:t xml:space="preserve">apital </w:t>
      </w:r>
      <w:r w:rsidRPr="00E10471">
        <w:t>A</w:t>
      </w:r>
      <w:r>
        <w:t>uthority (NCA)</w:t>
      </w:r>
      <w:r w:rsidRPr="00E10471">
        <w:t>, Conservator of Flora and Fauna, E</w:t>
      </w:r>
      <w:r>
        <w:t xml:space="preserve">nvironment </w:t>
      </w:r>
      <w:r w:rsidRPr="00E10471">
        <w:t>P</w:t>
      </w:r>
      <w:r>
        <w:t xml:space="preserve">rotection </w:t>
      </w:r>
      <w:r w:rsidRPr="00E10471">
        <w:t>A</w:t>
      </w:r>
      <w:r>
        <w:t>uthority (EPA)</w:t>
      </w:r>
      <w:r w:rsidRPr="00E10471">
        <w:t xml:space="preserve">, ACT Heritage Council and the </w:t>
      </w:r>
      <w:r>
        <w:t>Suburban Land Agency (</w:t>
      </w:r>
      <w:r w:rsidRPr="00E10471">
        <w:t>SLA</w:t>
      </w:r>
      <w:r>
        <w:t>)</w:t>
      </w:r>
      <w:r w:rsidRPr="00E10471">
        <w:t xml:space="preserve"> were received and assessed prior to release of the </w:t>
      </w:r>
      <w:r w:rsidR="004E3EA0">
        <w:t>Draft Variation</w:t>
      </w:r>
      <w:r w:rsidRPr="00E10471">
        <w:t xml:space="preserve"> and were included in the </w:t>
      </w:r>
      <w:r w:rsidR="004E3EA0">
        <w:t>Draft Variation</w:t>
      </w:r>
      <w:r w:rsidRPr="00E10471">
        <w:t xml:space="preserve"> which was released for public consultation</w:t>
      </w:r>
      <w:r>
        <w:t>.</w:t>
      </w:r>
      <w:r>
        <w:rPr>
          <w:rStyle w:val="FootnoteReference"/>
        </w:rPr>
        <w:footnoteReference w:id="43"/>
      </w:r>
    </w:p>
    <w:p w14:paraId="32B0F22E" w14:textId="77777777" w:rsidR="00C548D4" w:rsidRDefault="00C548D4" w:rsidP="00C548D4">
      <w:pPr>
        <w:pStyle w:val="BodyText"/>
      </w:pPr>
      <w:r>
        <w:t>Key issues of concern raised in the public submissions included</w:t>
      </w:r>
      <w:r>
        <w:rPr>
          <w:rStyle w:val="FootnoteReference"/>
        </w:rPr>
        <w:footnoteReference w:id="44"/>
      </w:r>
      <w:r>
        <w:t>:</w:t>
      </w:r>
    </w:p>
    <w:p w14:paraId="49478DE0" w14:textId="19765B7E" w:rsidR="00C548D4" w:rsidRDefault="00C548D4" w:rsidP="00C548D4">
      <w:pPr>
        <w:pStyle w:val="ListBullet"/>
      </w:pPr>
      <w:r>
        <w:t xml:space="preserve">wanting higher building heights (maximum numbers of storeys) in </w:t>
      </w:r>
      <w:r w:rsidR="00591811">
        <w:t xml:space="preserve">Precinct2b - </w:t>
      </w:r>
      <w:r>
        <w:t xml:space="preserve">Mixed Use North West; </w:t>
      </w:r>
    </w:p>
    <w:p w14:paraId="591AA8EF" w14:textId="1BDF2140" w:rsidR="00C548D4" w:rsidRDefault="00C548D4" w:rsidP="00C548D4">
      <w:pPr>
        <w:pStyle w:val="ListBullet"/>
      </w:pPr>
      <w:r>
        <w:t xml:space="preserve">opposition to reducing the area reserved for commercial space in the </w:t>
      </w:r>
      <w:r w:rsidR="00591811">
        <w:t xml:space="preserve">Precinct 2a - </w:t>
      </w:r>
      <w:r>
        <w:t xml:space="preserve">Mixed Use East and allowing residential development in the former Office Core Precinct instead; </w:t>
      </w:r>
    </w:p>
    <w:p w14:paraId="6ECFBB81" w14:textId="32376817" w:rsidR="00C548D4" w:rsidRDefault="00C548D4" w:rsidP="00C548D4">
      <w:pPr>
        <w:pStyle w:val="ListBullet"/>
      </w:pPr>
      <w:r>
        <w:t xml:space="preserve">wanting the removal of the requirements for commercial uses at ground level from the Mixed Use North West Precinct 2b because it </w:t>
      </w:r>
      <w:r w:rsidR="009345C6">
        <w:t>reduces profitability</w:t>
      </w:r>
      <w:r>
        <w:t>; and</w:t>
      </w:r>
    </w:p>
    <w:p w14:paraId="3259262C" w14:textId="6123615C" w:rsidR="00C548D4" w:rsidRDefault="00C548D4" w:rsidP="00C548D4">
      <w:pPr>
        <w:pStyle w:val="ListBullet"/>
      </w:pPr>
      <w:r>
        <w:t xml:space="preserve">opposition to the </w:t>
      </w:r>
      <w:r w:rsidR="004E3EA0">
        <w:t>Draft Variation</w:t>
      </w:r>
      <w:r>
        <w:t xml:space="preserve"> having interim effect because it is premature. </w:t>
      </w:r>
    </w:p>
    <w:p w14:paraId="211A2573" w14:textId="1BD33C68" w:rsidR="00C548D4" w:rsidRDefault="00C548D4" w:rsidP="00C548D4">
      <w:pPr>
        <w:pStyle w:val="BodyText"/>
      </w:pPr>
      <w:r>
        <w:t>In response to public comments received in the consultation process, 34 changes were made to the exhibited version of the Draft Variation.</w:t>
      </w:r>
      <w:r>
        <w:rPr>
          <w:rStyle w:val="FootnoteReference"/>
        </w:rPr>
        <w:footnoteReference w:id="45"/>
      </w:r>
      <w:r>
        <w:t xml:space="preserve"> </w:t>
      </w:r>
      <w:r w:rsidR="00DD4A18">
        <w:t>This has become DV364 and is the subject of this inquiry.</w:t>
      </w:r>
    </w:p>
    <w:p w14:paraId="11C11F3A" w14:textId="384E4FF4" w:rsidR="00C65CB8" w:rsidRDefault="00C65CB8" w:rsidP="00C65CB8">
      <w:pPr>
        <w:pStyle w:val="Heading4"/>
      </w:pPr>
      <w:r>
        <w:t>Committee comment</w:t>
      </w:r>
    </w:p>
    <w:p w14:paraId="2F5E16AA" w14:textId="612DAF35" w:rsidR="00C20A6E" w:rsidRPr="00C20A6E" w:rsidRDefault="00C20A6E" w:rsidP="00C20A6E">
      <w:pPr>
        <w:pStyle w:val="BodyText"/>
      </w:pPr>
      <w:r w:rsidRPr="00C20A6E">
        <w:t>The committee is of the opinion that the Draft Variation is not fully formed and that the technical documents don’t serve to realise the objectives of the town centre plans</w:t>
      </w:r>
      <w:r>
        <w:t>. The committee also</w:t>
      </w:r>
      <w:r w:rsidRPr="00C20A6E">
        <w:t xml:space="preserve"> questions how the DV will shape the town centre and interact with the indicative land releases to lead to the stated outcomes</w:t>
      </w:r>
      <w:r w:rsidR="00D26F2D">
        <w:t>.</w:t>
      </w:r>
    </w:p>
    <w:p w14:paraId="66C7AA57" w14:textId="77777777" w:rsidR="00B6073E" w:rsidRDefault="00B6073E" w:rsidP="007104A7">
      <w:pPr>
        <w:pStyle w:val="Heading2"/>
      </w:pPr>
      <w:bookmarkStart w:id="57" w:name="_Toc83893133"/>
      <w:bookmarkEnd w:id="56"/>
      <w:r>
        <w:t>Key Issues</w:t>
      </w:r>
      <w:bookmarkEnd w:id="57"/>
    </w:p>
    <w:p w14:paraId="4363D59C" w14:textId="25BF9F66" w:rsidR="009A0AFC" w:rsidRDefault="009A0AFC" w:rsidP="00B6073E">
      <w:pPr>
        <w:pStyle w:val="Heading3"/>
      </w:pPr>
      <w:bookmarkStart w:id="58" w:name="_Toc83893134"/>
      <w:bookmarkEnd w:id="49"/>
      <w:bookmarkEnd w:id="50"/>
      <w:bookmarkEnd w:id="51"/>
      <w:bookmarkEnd w:id="52"/>
      <w:r>
        <w:t>Commercial Land Targets</w:t>
      </w:r>
      <w:bookmarkEnd w:id="58"/>
    </w:p>
    <w:p w14:paraId="1001F608" w14:textId="561B8318" w:rsidR="00631F81" w:rsidRDefault="008D1C85" w:rsidP="00D50767">
      <w:pPr>
        <w:pStyle w:val="BodyText"/>
      </w:pPr>
      <w:r>
        <w:t xml:space="preserve">DV364 </w:t>
      </w:r>
      <w:r w:rsidR="00801E71">
        <w:t>reserves 65,000m</w:t>
      </w:r>
      <w:r w:rsidR="00801E71" w:rsidRPr="00801E71">
        <w:rPr>
          <w:vertAlign w:val="superscript"/>
        </w:rPr>
        <w:t>2</w:t>
      </w:r>
      <w:r w:rsidR="00801E71">
        <w:t xml:space="preserve"> for commercial office space, this issue was of major concern to almost every contributor, many highlighting the lack of employment opportunities in the town centre due to low levels of office development.</w:t>
      </w:r>
    </w:p>
    <w:p w14:paraId="340C3756" w14:textId="444634B6" w:rsidR="00B87929" w:rsidRDefault="00B87929" w:rsidP="00D50767">
      <w:pPr>
        <w:pStyle w:val="BodyText"/>
      </w:pPr>
      <w:r>
        <w:t>Jenifer Atkins note</w:t>
      </w:r>
      <w:r w:rsidR="006968F3">
        <w:t>d</w:t>
      </w:r>
      <w:r>
        <w:t xml:space="preserve"> that a well-functioning, future ready and sustainable Gungahlin Town Centre would be characterized by good employment opportunities, retail and commercial spaces, entertainment and community facilities, well designed traffic flows and parking, active travel and parks.</w:t>
      </w:r>
      <w:r>
        <w:rPr>
          <w:rStyle w:val="FootnoteReference"/>
        </w:rPr>
        <w:footnoteReference w:id="46"/>
      </w:r>
    </w:p>
    <w:p w14:paraId="12281E85" w14:textId="6D3812FA" w:rsidR="006968F3" w:rsidRDefault="006968F3" w:rsidP="00D50767">
      <w:pPr>
        <w:pStyle w:val="BodyText"/>
      </w:pPr>
      <w:r>
        <w:t>Jason Bailey states that the reduction in Commercial Office Space in DV364 will adversely impact on the town centre which is becoming a dormitory region with little or no opportunity for jobs, resulting in a mass exodus every morning as people transit to other town centres to undertake work. Businesses in the town centre are depriv</w:t>
      </w:r>
      <w:r w:rsidR="00E37838">
        <w:t>ed</w:t>
      </w:r>
      <w:r>
        <w:t xml:space="preserve"> of potential revenue as the majority of residents transit to other town centres to work.</w:t>
      </w:r>
      <w:r>
        <w:rPr>
          <w:rStyle w:val="FootnoteReference"/>
        </w:rPr>
        <w:footnoteReference w:id="47"/>
      </w:r>
      <w:r>
        <w:t xml:space="preserve"> This view is supported by many of the other submitters to this inquiry.</w:t>
      </w:r>
    </w:p>
    <w:p w14:paraId="62627562" w14:textId="5E3B2BF7" w:rsidR="00C44858" w:rsidRDefault="00C44858" w:rsidP="00D50767">
      <w:pPr>
        <w:pStyle w:val="BodyText"/>
      </w:pPr>
      <w:r>
        <w:t>The Gungahlin Community Council notes that by itself, DV364 does not address the challenge of developing the Gungahlin town centre as a district hub for employment, which in turn underpins a viable town centre. They also noted that</w:t>
      </w:r>
      <w:r w:rsidR="00E37838">
        <w:t xml:space="preserve"> there is no mechanism to guide the development of office space in Canberra</w:t>
      </w:r>
      <w:r>
        <w:t>:</w:t>
      </w:r>
    </w:p>
    <w:p w14:paraId="6E88E587" w14:textId="0A7F8A8A" w:rsidR="00C44858" w:rsidRDefault="00C44858" w:rsidP="00C44858">
      <w:pPr>
        <w:pStyle w:val="Quote"/>
      </w:pPr>
      <w:r>
        <w:t>“prior to ACT self-government, the National Capital Development Commission (NCDC) restricted the total amount of office space that could be developed in central Canberra, facilitating the construction of large commercial offices to support Federal government agencies in the town centres of Belconnen, Tuggeranong, and Woden. With the introduction of self-government, the NCDC was abolished, and no regulatory mechanism was provided to guide/enforce where commercial space was developed, and government agencies (the major employer in the ACT) were free to build offices wherever they please. The Gungahlin Town Centre is the first town centre that has been developed under self-government”.</w:t>
      </w:r>
      <w:r>
        <w:rPr>
          <w:rStyle w:val="FootnoteReference"/>
        </w:rPr>
        <w:footnoteReference w:id="48"/>
      </w:r>
    </w:p>
    <w:p w14:paraId="541AFA8B" w14:textId="1B8C0CD5" w:rsidR="00667C08" w:rsidRDefault="00667C08" w:rsidP="000E443E">
      <w:pPr>
        <w:pStyle w:val="BodyText"/>
        <w:keepNext/>
        <w:keepLines/>
      </w:pPr>
      <w:r>
        <w:t>Peter Elford also note</w:t>
      </w:r>
      <w:r w:rsidR="00A04B63">
        <w:t>d</w:t>
      </w:r>
      <w:r>
        <w:t xml:space="preserve"> that the Gungahlin Town Centre is the first town centre to have been developed under ACT self-government. </w:t>
      </w:r>
      <w:r w:rsidR="004A4717">
        <w:t>In the</w:t>
      </w:r>
      <w:r>
        <w:t xml:space="preserve"> other existing town centres </w:t>
      </w:r>
      <w:r w:rsidR="004A4717">
        <w:t xml:space="preserve">substantial amounts of commercial office space were established </w:t>
      </w:r>
      <w:r>
        <w:t>under guidelines enforced by the National Capital Development Commission (NCDC).</w:t>
      </w:r>
      <w:r w:rsidR="004A4717">
        <w:rPr>
          <w:rStyle w:val="FootnoteReference"/>
        </w:rPr>
        <w:footnoteReference w:id="49"/>
      </w:r>
      <w:r>
        <w:t xml:space="preserve"> </w:t>
      </w:r>
    </w:p>
    <w:p w14:paraId="27E465CC" w14:textId="2473EDA4" w:rsidR="004A4717" w:rsidRDefault="004A4717" w:rsidP="00D50767">
      <w:pPr>
        <w:pStyle w:val="BodyText"/>
      </w:pPr>
      <w:r>
        <w:t xml:space="preserve">DV364 </w:t>
      </w:r>
      <w:r w:rsidR="00E866F1">
        <w:t>reserves Blocks 3 and 5 Section 231</w:t>
      </w:r>
      <w:r w:rsidR="00A04B63">
        <w:t xml:space="preserve"> (Rule 43 (R43)) </w:t>
      </w:r>
      <w:r w:rsidR="00E866F1">
        <w:t>in Precinct 2a – Mixed Use East exclusively for the development of commercial office and ancillary use and applies rule</w:t>
      </w:r>
      <w:r w:rsidR="006D3C86">
        <w:t> </w:t>
      </w:r>
      <w:r w:rsidR="00E866F1">
        <w:t xml:space="preserve">44 </w:t>
      </w:r>
      <w:r w:rsidR="006D3C86">
        <w:t xml:space="preserve">(R44) </w:t>
      </w:r>
      <w:r w:rsidR="00E866F1">
        <w:t>which states that</w:t>
      </w:r>
      <w:r w:rsidR="00612620">
        <w:t xml:space="preserve"> R43 applies until 1 January 2024 or to a date extended by the ACT Government’s Indicative Land Release Program.</w:t>
      </w:r>
      <w:r w:rsidR="00612620">
        <w:rPr>
          <w:rStyle w:val="FootnoteReference"/>
        </w:rPr>
        <w:footnoteReference w:id="50"/>
      </w:r>
      <w:r w:rsidR="00E620A1">
        <w:t xml:space="preserve"> </w:t>
      </w:r>
      <w:r w:rsidR="00E866F1">
        <w:t>Precinct 2b – Mixed Use North West</w:t>
      </w:r>
      <w:r w:rsidR="00E620A1">
        <w:t xml:space="preserve"> has no blocks reserved </w:t>
      </w:r>
      <w:r w:rsidR="008375D7">
        <w:t xml:space="preserve">exclusively for </w:t>
      </w:r>
      <w:r w:rsidR="00E620A1">
        <w:t>commercial offices</w:t>
      </w:r>
      <w:r w:rsidR="00E37838">
        <w:t>.</w:t>
      </w:r>
      <w:r w:rsidR="00150A65">
        <w:t xml:space="preserve"> </w:t>
      </w:r>
      <w:r w:rsidR="00E37838">
        <w:t>I</w:t>
      </w:r>
      <w:r w:rsidR="00E620A1">
        <w:t>t will be</w:t>
      </w:r>
      <w:r w:rsidR="008375D7">
        <w:t>come</w:t>
      </w:r>
      <w:r w:rsidR="00E620A1">
        <w:t xml:space="preserve"> a mixed use area with commercial space on the ground floor of buildings and allows residential living on other </w:t>
      </w:r>
      <w:r w:rsidR="008375D7">
        <w:t>levels</w:t>
      </w:r>
      <w:r w:rsidR="00E620A1">
        <w:t>.</w:t>
      </w:r>
      <w:r w:rsidR="00E866F1">
        <w:rPr>
          <w:rStyle w:val="FootnoteReference"/>
        </w:rPr>
        <w:footnoteReference w:id="51"/>
      </w:r>
    </w:p>
    <w:p w14:paraId="254F3936" w14:textId="1621D06D" w:rsidR="00DE67B7" w:rsidRDefault="00DF43ED" w:rsidP="00D50767">
      <w:pPr>
        <w:pStyle w:val="BodyText"/>
      </w:pPr>
      <w:r>
        <w:t>The changes to the commercial office space in DV364 are made by the</w:t>
      </w:r>
      <w:r w:rsidR="00591811">
        <w:t xml:space="preserve"> Gungahlin</w:t>
      </w:r>
      <w:r w:rsidR="00DE67B7">
        <w:t xml:space="preserve"> Planning Refresh</w:t>
      </w:r>
      <w:r>
        <w:t xml:space="preserve"> which outlined</w:t>
      </w:r>
      <w:r w:rsidR="00DE67B7">
        <w:t xml:space="preserve"> that:</w:t>
      </w:r>
    </w:p>
    <w:p w14:paraId="0229974E" w14:textId="3F6BAE03" w:rsidR="008E4F8C" w:rsidRDefault="00D50767" w:rsidP="00DE67B7">
      <w:pPr>
        <w:pStyle w:val="ListBullet"/>
      </w:pPr>
      <w:r w:rsidRPr="00D50767">
        <w:t>the Gungahlin Town Centre Planning Report (2010) predicted 200,000m² of commercial office floor space would be required over the long term</w:t>
      </w:r>
      <w:r w:rsidR="008E4F8C">
        <w:t>;</w:t>
      </w:r>
    </w:p>
    <w:p w14:paraId="2D156929" w14:textId="62947FCD" w:rsidR="009A0AFC" w:rsidRDefault="00D50767" w:rsidP="00DE67B7">
      <w:pPr>
        <w:pStyle w:val="ListBullet"/>
      </w:pPr>
      <w:r w:rsidRPr="00D50767">
        <w:t xml:space="preserve">by 2016 </w:t>
      </w:r>
      <w:r w:rsidR="008E4F8C">
        <w:t xml:space="preserve">there was </w:t>
      </w:r>
      <w:r w:rsidRPr="00D50767">
        <w:t xml:space="preserve">approximately 13,500m² of commercial office floor space in </w:t>
      </w:r>
      <w:r w:rsidR="008E4F8C">
        <w:t>G</w:t>
      </w:r>
      <w:r w:rsidRPr="00D50767">
        <w:t xml:space="preserve">ungahlin, with an additional 5,500m² elsewhere in </w:t>
      </w:r>
      <w:r w:rsidR="003E3CF6">
        <w:t xml:space="preserve">the </w:t>
      </w:r>
      <w:r w:rsidRPr="00D50767">
        <w:t>Gungahlin district including Mitchell</w:t>
      </w:r>
      <w:r w:rsidR="008E4F8C">
        <w:t>;</w:t>
      </w:r>
    </w:p>
    <w:p w14:paraId="3A72DA2C" w14:textId="7CBD7859" w:rsidR="00DE67B7" w:rsidRDefault="008E4F8C" w:rsidP="00DE67B7">
      <w:pPr>
        <w:pStyle w:val="ListBullet"/>
      </w:pPr>
      <w:r>
        <w:t>t</w:t>
      </w:r>
      <w:r w:rsidR="00DE67B7">
        <w:t xml:space="preserve">he town centre has the lowest </w:t>
      </w:r>
      <w:r>
        <w:t xml:space="preserve">rate of </w:t>
      </w:r>
      <w:r w:rsidR="00DE67B7">
        <w:t>commercial floor space in the ACT with a ratio of 0.2</w:t>
      </w:r>
      <w:r w:rsidR="00801E71">
        <w:t>7</w:t>
      </w:r>
      <w:r w:rsidR="00DE67B7">
        <w:t>m²</w:t>
      </w:r>
      <w:r w:rsidR="00801E71">
        <w:t>/</w:t>
      </w:r>
      <w:r w:rsidR="00DE67B7">
        <w:t>resident, compared to Belconnen at 2m²</w:t>
      </w:r>
      <w:r w:rsidR="00801E71">
        <w:t>/</w:t>
      </w:r>
      <w:r w:rsidR="00DE67B7">
        <w:t>resident, Woden at 5.</w:t>
      </w:r>
      <w:r w:rsidR="00801E71">
        <w:t>2</w:t>
      </w:r>
      <w:r w:rsidR="00DE67B7">
        <w:t>m²</w:t>
      </w:r>
      <w:r w:rsidR="00801E71">
        <w:t>/</w:t>
      </w:r>
      <w:r w:rsidR="00DE67B7">
        <w:t>resident and Tuggeranong at 1.7m²</w:t>
      </w:r>
      <w:r w:rsidR="00801E71">
        <w:t>/</w:t>
      </w:r>
      <w:r w:rsidR="00DE67B7">
        <w:t>resident;</w:t>
      </w:r>
    </w:p>
    <w:p w14:paraId="689C8958" w14:textId="1E1676F8" w:rsidR="00DE67B7" w:rsidRDefault="008E4F8C" w:rsidP="00DE67B7">
      <w:pPr>
        <w:pStyle w:val="ListBullet"/>
      </w:pPr>
      <w:r>
        <w:t>o</w:t>
      </w:r>
      <w:r w:rsidR="00DE67B7">
        <w:t>n the basis of the above district commercial office spaces per resident ratios, the Planning Refresh recommends a more informed total commercial office floor space target in the town centre of 100,000m²</w:t>
      </w:r>
      <w:r>
        <w:t>, this</w:t>
      </w:r>
      <w:r w:rsidR="00DE67B7">
        <w:t xml:space="preserve"> equates to approximately 1m² of commercial office space per resident</w:t>
      </w:r>
      <w:r>
        <w:t>; and</w:t>
      </w:r>
    </w:p>
    <w:p w14:paraId="3F721AD0" w14:textId="28EAA7E6" w:rsidR="00DE67B7" w:rsidRDefault="008E4F8C" w:rsidP="00DE67B7">
      <w:pPr>
        <w:pStyle w:val="ListBullet"/>
      </w:pPr>
      <w:r>
        <w:t>a</w:t>
      </w:r>
      <w:r w:rsidR="00DE67B7">
        <w:t>s such, 65,000m² is now targeted for large scale office development</w:t>
      </w:r>
      <w:r>
        <w:t xml:space="preserve"> which</w:t>
      </w:r>
      <w:r w:rsidR="00DE67B7">
        <w:t xml:space="preserve"> should be located in close proximity of the light rail</w:t>
      </w:r>
      <w:r>
        <w:t xml:space="preserve"> with</w:t>
      </w:r>
      <w:r w:rsidR="00DE67B7">
        <w:t xml:space="preserve"> the floor space target </w:t>
      </w:r>
      <w:r>
        <w:t xml:space="preserve">to </w:t>
      </w:r>
      <w:r w:rsidR="00DE67B7">
        <w:t>be monitored and reviewed after five years.</w:t>
      </w:r>
      <w:r w:rsidR="00DE67B7">
        <w:rPr>
          <w:rStyle w:val="FootnoteReference"/>
        </w:rPr>
        <w:footnoteReference w:id="52"/>
      </w:r>
    </w:p>
    <w:p w14:paraId="2AE2EFF7" w14:textId="4283D22F" w:rsidR="00F545EC" w:rsidRDefault="00F545EC" w:rsidP="00DB6EED">
      <w:pPr>
        <w:pStyle w:val="BodyText"/>
        <w:keepNext/>
        <w:keepLines/>
      </w:pPr>
      <w:r>
        <w:t>Jennifer See submits that Gungahlin does not need more apartments in Precincts 2a and 2b as many new apartments continue to be built along the light rail corridor on Flemington Road through to Civic. What is lacking in Gungahlin is sufficient employment opportunities, retail, entertainment, and cultur</w:t>
      </w:r>
      <w:r w:rsidR="003E3CF6">
        <w:t>al activity</w:t>
      </w:r>
      <w:r>
        <w:t xml:space="preserve"> to allow those who choose to live in the region to also work, shop and play within their town centre.</w:t>
      </w:r>
      <w:r>
        <w:rPr>
          <w:rStyle w:val="FootnoteReference"/>
        </w:rPr>
        <w:footnoteReference w:id="53"/>
      </w:r>
      <w:r>
        <w:t xml:space="preserve"> As already noted this is a view shared by many of the others </w:t>
      </w:r>
      <w:r w:rsidR="00810DF8">
        <w:t>who made submissions to this inquiry.</w:t>
      </w:r>
    </w:p>
    <w:p w14:paraId="0BDB373F" w14:textId="7BF6F987" w:rsidR="00D62027" w:rsidRDefault="00D62027" w:rsidP="00D50767">
      <w:pPr>
        <w:pStyle w:val="BodyText"/>
      </w:pPr>
      <w:r>
        <w:t xml:space="preserve">The Minister for Planning and Land Management, Mick Gentleman MLA, appeared before </w:t>
      </w:r>
      <w:r w:rsidR="00C9491A">
        <w:t>the committee</w:t>
      </w:r>
      <w:r>
        <w:t xml:space="preserve"> with </w:t>
      </w:r>
      <w:r w:rsidR="003E3CF6">
        <w:t>Directorate</w:t>
      </w:r>
      <w:r w:rsidR="000465EA">
        <w:t xml:space="preserve"> officers</w:t>
      </w:r>
      <w:r>
        <w:t xml:space="preserve">. </w:t>
      </w:r>
      <w:r w:rsidR="00C9491A">
        <w:t xml:space="preserve">The committee </w:t>
      </w:r>
      <w:r>
        <w:t xml:space="preserve">noted comments from contributors about the change in the space for commercial office space in the town centre, and asked the Minister to respond. He told </w:t>
      </w:r>
      <w:r w:rsidR="00D80E45">
        <w:t>the committee</w:t>
      </w:r>
      <w:r>
        <w:t xml:space="preserve"> that:</w:t>
      </w:r>
    </w:p>
    <w:p w14:paraId="4918467F" w14:textId="2C75B9B2" w:rsidR="00C9491A" w:rsidRDefault="00D62027" w:rsidP="00D62027">
      <w:pPr>
        <w:pStyle w:val="ListBullet"/>
      </w:pPr>
      <w:r>
        <w:t>residential living within the town centre</w:t>
      </w:r>
      <w:r w:rsidR="002F6657">
        <w:t xml:space="preserve"> has increased</w:t>
      </w:r>
      <w:r w:rsidR="00D80E45">
        <w:t>,</w:t>
      </w:r>
      <w:r>
        <w:t xml:space="preserve"> mainly due to the delivery of light rail, </w:t>
      </w:r>
      <w:r w:rsidR="002F6657">
        <w:t>to support this trend, DV364</w:t>
      </w:r>
      <w:r w:rsidR="00C9491A">
        <w:t xml:space="preserve"> provides </w:t>
      </w:r>
      <w:r w:rsidR="002F6657">
        <w:t>an opportunity for more residential development</w:t>
      </w:r>
      <w:r w:rsidR="00C9491A">
        <w:t>, particularly in the two parcels of land to the east of the centre; and</w:t>
      </w:r>
    </w:p>
    <w:p w14:paraId="49BC2C55" w14:textId="0DD35202" w:rsidR="00D62027" w:rsidRDefault="00AD17E8" w:rsidP="00D62027">
      <w:pPr>
        <w:pStyle w:val="ListBullet"/>
      </w:pPr>
      <w:r>
        <w:t>there</w:t>
      </w:r>
      <w:r w:rsidR="00D62027">
        <w:t xml:space="preserve"> ha</w:t>
      </w:r>
      <w:r>
        <w:t xml:space="preserve">s not been </w:t>
      </w:r>
      <w:r w:rsidR="00D62027">
        <w:t xml:space="preserve">an appetite for large commercial use, </w:t>
      </w:r>
      <w:r w:rsidR="00C9491A">
        <w:t xml:space="preserve">we note that </w:t>
      </w:r>
      <w:r w:rsidR="00D62027">
        <w:t>there are large commonwealth departments in many of the other town centres but they have not chosen to set up in Gungahlin</w:t>
      </w:r>
      <w:r w:rsidR="00C9491A">
        <w:t>.</w:t>
      </w:r>
      <w:r>
        <w:rPr>
          <w:rStyle w:val="FootnoteReference"/>
        </w:rPr>
        <w:footnoteReference w:id="54"/>
      </w:r>
    </w:p>
    <w:p w14:paraId="00C4C6D6" w14:textId="29F15C28" w:rsidR="00C9491A" w:rsidRDefault="00C9491A" w:rsidP="00D50767">
      <w:pPr>
        <w:pStyle w:val="BodyText"/>
      </w:pPr>
      <w:r>
        <w:t xml:space="preserve">The Directorate </w:t>
      </w:r>
      <w:r w:rsidR="00142F3A">
        <w:t xml:space="preserve">indicated that DV364 </w:t>
      </w:r>
      <w:r>
        <w:t>propose</w:t>
      </w:r>
      <w:r w:rsidR="003E3CF6">
        <w:t>s</w:t>
      </w:r>
      <w:r>
        <w:t xml:space="preserve"> to set aside certain land for 65,000</w:t>
      </w:r>
      <w:r w:rsidR="00B42FE3">
        <w:t>m</w:t>
      </w:r>
      <w:r w:rsidR="00B42FE3" w:rsidRPr="00B42FE3">
        <w:rPr>
          <w:vertAlign w:val="superscript"/>
        </w:rPr>
        <w:t>2</w:t>
      </w:r>
      <w:r>
        <w:t xml:space="preserve"> of commercial office accommodation. </w:t>
      </w:r>
      <w:r w:rsidR="00142F3A">
        <w:t xml:space="preserve">They did acknowledge that while this </w:t>
      </w:r>
      <w:r>
        <w:t xml:space="preserve">is a reduction from the original </w:t>
      </w:r>
      <w:r w:rsidR="00EB2E17" w:rsidRPr="00E037B4">
        <w:t xml:space="preserve">Gungahlin Town Centre Planning Report </w:t>
      </w:r>
      <w:r w:rsidR="00EB2E17">
        <w:t>(2010) recommendation</w:t>
      </w:r>
      <w:r>
        <w:t>, where it was about 200,000</w:t>
      </w:r>
      <w:r w:rsidR="00142F3A">
        <w:t xml:space="preserve"> square metre, Gungahlin Town Centre currently has</w:t>
      </w:r>
      <w:r>
        <w:t xml:space="preserve"> 35,000 square metres</w:t>
      </w:r>
      <w:r w:rsidR="00142F3A">
        <w:t xml:space="preserve"> of developed commercial space. Within the current 100,000 square metres allowance for commercial space there remains</w:t>
      </w:r>
      <w:r>
        <w:t xml:space="preserve"> 65,000 </w:t>
      </w:r>
      <w:r w:rsidR="00142F3A">
        <w:t xml:space="preserve">square metres </w:t>
      </w:r>
      <w:r>
        <w:t>to go</w:t>
      </w:r>
      <w:r w:rsidR="00142F3A">
        <w:t>, which this DV sets</w:t>
      </w:r>
      <w:r>
        <w:t xml:space="preserve"> aside just for that use.</w:t>
      </w:r>
      <w:r w:rsidR="00142F3A">
        <w:rPr>
          <w:rStyle w:val="FootnoteReference"/>
        </w:rPr>
        <w:footnoteReference w:id="55"/>
      </w:r>
      <w:r>
        <w:t xml:space="preserve"> </w:t>
      </w:r>
    </w:p>
    <w:p w14:paraId="3102F748" w14:textId="78D80B9C" w:rsidR="0008176F" w:rsidRDefault="0008176F" w:rsidP="00D50767">
      <w:pPr>
        <w:pStyle w:val="BodyText"/>
      </w:pPr>
      <w:r>
        <w:t>The Directorate stated that they have not done a specific assessment on the reduction of commercial space in the town centre, but note</w:t>
      </w:r>
      <w:r w:rsidR="003E3CF6">
        <w:t>d</w:t>
      </w:r>
      <w:r>
        <w:t xml:space="preserve"> that not all prospective employees live in the districts where the employment is—people travel, departments move, agencies relocate.</w:t>
      </w:r>
      <w:r>
        <w:rPr>
          <w:rStyle w:val="FootnoteReference"/>
        </w:rPr>
        <w:footnoteReference w:id="56"/>
      </w:r>
      <w:r>
        <w:t xml:space="preserve"> </w:t>
      </w:r>
    </w:p>
    <w:p w14:paraId="6E3E5A31" w14:textId="57AF454E" w:rsidR="007678CA" w:rsidRDefault="00903DB2" w:rsidP="00D50767">
      <w:pPr>
        <w:pStyle w:val="BodyText"/>
      </w:pPr>
      <w:r>
        <w:t xml:space="preserve">One final point raised in a submission from Darron Marks is that </w:t>
      </w:r>
      <w:r w:rsidR="007678CA">
        <w:t xml:space="preserve">the community </w:t>
      </w:r>
      <w:r>
        <w:t xml:space="preserve">was not </w:t>
      </w:r>
      <w:r w:rsidR="007678CA">
        <w:t xml:space="preserve">specifically consulted about the proposed change </w:t>
      </w:r>
      <w:r>
        <w:t>in office core space from 200</w:t>
      </w:r>
      <w:r w:rsidR="003E3CF6">
        <w:t>,</w:t>
      </w:r>
      <w:r>
        <w:t xml:space="preserve">000 square metres to </w:t>
      </w:r>
      <w:r w:rsidR="007678CA">
        <w:t>100,000</w:t>
      </w:r>
      <w:r>
        <w:t xml:space="preserve"> </w:t>
      </w:r>
      <w:r w:rsidR="007678CA">
        <w:t>s</w:t>
      </w:r>
      <w:r>
        <w:t xml:space="preserve">quare </w:t>
      </w:r>
      <w:r w:rsidR="007678CA">
        <w:t>m</w:t>
      </w:r>
      <w:r>
        <w:t>eters as now recommended by DV364</w:t>
      </w:r>
      <w:r w:rsidR="007678CA">
        <w:t>.</w:t>
      </w:r>
      <w:r>
        <w:rPr>
          <w:rStyle w:val="FootnoteReference"/>
        </w:rPr>
        <w:footnoteReference w:id="57"/>
      </w:r>
      <w:r>
        <w:t xml:space="preserve"> This view is also supported by the submission from the Gungahlin Community Council.</w:t>
      </w:r>
    </w:p>
    <w:p w14:paraId="18FEDB7C" w14:textId="77777777" w:rsidR="00865879" w:rsidRDefault="00865879" w:rsidP="00B6073E">
      <w:pPr>
        <w:pStyle w:val="Heading4"/>
      </w:pPr>
      <w:r>
        <w:t>Committee Comment</w:t>
      </w:r>
    </w:p>
    <w:p w14:paraId="13B80897" w14:textId="7E30FB12" w:rsidR="00865879" w:rsidRDefault="00B6073E" w:rsidP="009A0AFC">
      <w:pPr>
        <w:pStyle w:val="BodyText"/>
      </w:pPr>
      <w:r>
        <w:t xml:space="preserve">The Committee is concerned by the methodology used to determine the demand for commercial land within the town centre and the subsequent decrease in land reserved for commercial use. Most concerning is that a commercial needs assessment was not undertaken to inform the decision that demand had in fact decreased. As noted in the hearings commercial activity has changed since the inception of the town centre and demand for land uses such as bricks and </w:t>
      </w:r>
      <w:r w:rsidR="00A175A9">
        <w:t xml:space="preserve">mortar </w:t>
      </w:r>
      <w:r>
        <w:t>retail and pure office space have declined. While the committee accepts that more traditional uses may be in decline, we have also seen many new opportunities arise but not be factored into the planning opportunities for the town centre</w:t>
      </w:r>
      <w:r w:rsidR="00865879">
        <w:t>.</w:t>
      </w:r>
    </w:p>
    <w:p w14:paraId="73ABBD1B" w14:textId="723854A4" w:rsidR="00CD0A75" w:rsidRDefault="00CD0A75" w:rsidP="00BC5692">
      <w:pPr>
        <w:pStyle w:val="RecommendationHeading"/>
        <w:keepNext/>
      </w:pPr>
      <w:bookmarkStart w:id="59" w:name="_Toc83893094"/>
      <w:r>
        <w:t xml:space="preserve">Recommendation </w:t>
      </w:r>
      <w:r w:rsidR="00BC5692">
        <w:t>1</w:t>
      </w:r>
      <w:bookmarkEnd w:id="59"/>
    </w:p>
    <w:p w14:paraId="2ED8FA73" w14:textId="0C62EE19" w:rsidR="00EB2E17" w:rsidRDefault="00037AEA" w:rsidP="0085551D">
      <w:pPr>
        <w:pStyle w:val="RecommendationText"/>
      </w:pPr>
      <w:bookmarkStart w:id="60" w:name="_Toc83893095"/>
      <w:r>
        <w:t>To inform the Territory Plan planning regulations</w:t>
      </w:r>
      <w:r w:rsidR="00EB2E17">
        <w:t xml:space="preserve"> a thorough investigation be completed by the ACT Government that:</w:t>
      </w:r>
      <w:bookmarkEnd w:id="60"/>
    </w:p>
    <w:p w14:paraId="01988AE5" w14:textId="263069F9" w:rsidR="00EB2E17" w:rsidRDefault="00037AEA" w:rsidP="00EB2E17">
      <w:pPr>
        <w:pStyle w:val="RecommendationBullet"/>
      </w:pPr>
      <w:bookmarkStart w:id="61" w:name="_Toc83893096"/>
      <w:r>
        <w:t xml:space="preserve">identifies retail, community and commercial </w:t>
      </w:r>
      <w:r w:rsidR="0085551D">
        <w:t>activity that can prosper in the town centre including activities that can anchor further growth</w:t>
      </w:r>
      <w:r w:rsidR="00EB2E17">
        <w:t>;</w:t>
      </w:r>
      <w:bookmarkEnd w:id="61"/>
    </w:p>
    <w:p w14:paraId="0A5B8934" w14:textId="36F74D3B" w:rsidR="00EB2E17" w:rsidRDefault="00EB2E17" w:rsidP="00EB2E17">
      <w:pPr>
        <w:pStyle w:val="RecommendationBullet"/>
      </w:pPr>
      <w:bookmarkStart w:id="62" w:name="_Toc83893097"/>
      <w:r>
        <w:t xml:space="preserve">identifies </w:t>
      </w:r>
      <w:r w:rsidR="0085551D">
        <w:t xml:space="preserve">options for </w:t>
      </w:r>
      <w:r>
        <w:t xml:space="preserve">the </w:t>
      </w:r>
      <w:r w:rsidR="0085551D">
        <w:t>ACT Government to support potential commercial activity through appropriate land provision and complementary policy settings</w:t>
      </w:r>
      <w:r>
        <w:t>; and</w:t>
      </w:r>
      <w:bookmarkEnd w:id="62"/>
    </w:p>
    <w:p w14:paraId="42C9F38A" w14:textId="01CCB374" w:rsidR="00EB2E17" w:rsidRDefault="00EB2E17" w:rsidP="00EB2E17">
      <w:pPr>
        <w:pStyle w:val="RecommendationBullet"/>
      </w:pPr>
      <w:bookmarkStart w:id="63" w:name="_Toc83893098"/>
      <w:r>
        <w:t xml:space="preserve">the findings of the investigation be used to inform the sale </w:t>
      </w:r>
      <w:r w:rsidR="006427A7">
        <w:t xml:space="preserve">and development </w:t>
      </w:r>
      <w:r>
        <w:t xml:space="preserve">requirements of future land </w:t>
      </w:r>
      <w:r w:rsidR="006427A7">
        <w:t>releases</w:t>
      </w:r>
      <w:r>
        <w:t xml:space="preserve"> in the town centre.</w:t>
      </w:r>
      <w:bookmarkEnd w:id="63"/>
    </w:p>
    <w:p w14:paraId="1B64BB61" w14:textId="0C2FABCB" w:rsidR="00CD0A75" w:rsidRPr="00CD0A75" w:rsidRDefault="00CD0A75" w:rsidP="0008176F">
      <w:pPr>
        <w:pStyle w:val="RecommendationHeading"/>
        <w:keepNext/>
      </w:pPr>
      <w:bookmarkStart w:id="64" w:name="_Toc83893099"/>
      <w:r>
        <w:t xml:space="preserve">Recommendation </w:t>
      </w:r>
      <w:r w:rsidR="00BC5692">
        <w:t>2</w:t>
      </w:r>
      <w:bookmarkEnd w:id="64"/>
    </w:p>
    <w:p w14:paraId="131B82F2" w14:textId="78A7A37B" w:rsidR="00C3127B" w:rsidRPr="00C3127B" w:rsidRDefault="0085551D" w:rsidP="0085551D">
      <w:pPr>
        <w:pStyle w:val="RecommendationText"/>
      </w:pPr>
      <w:bookmarkStart w:id="65" w:name="_Toc83893100"/>
      <w:r>
        <w:t>The Committee recommends the ACT Government remove criterion 43 and the new R44 from DV364</w:t>
      </w:r>
      <w:r w:rsidR="00037AEA">
        <w:t xml:space="preserve"> in order to reserve priority commercial space</w:t>
      </w:r>
      <w:r w:rsidR="00C3127B" w:rsidRPr="00C3127B">
        <w:t>.</w:t>
      </w:r>
      <w:bookmarkEnd w:id="65"/>
    </w:p>
    <w:p w14:paraId="629ADCE9" w14:textId="77777777" w:rsidR="00BC5692" w:rsidRDefault="00BC5692" w:rsidP="00BC5692">
      <w:pPr>
        <w:pStyle w:val="Heading3"/>
      </w:pPr>
      <w:bookmarkStart w:id="66" w:name="_Toc83893135"/>
      <w:r>
        <w:t>Mixed Use Development</w:t>
      </w:r>
      <w:bookmarkEnd w:id="66"/>
    </w:p>
    <w:p w14:paraId="6A19C7EF" w14:textId="77777777" w:rsidR="00BC5692" w:rsidRDefault="00BC5692" w:rsidP="00BC5692">
      <w:pPr>
        <w:pStyle w:val="BodyText"/>
      </w:pPr>
      <w:r>
        <w:t>The Gungahlin Planning Refresh recommended that for Precinct 2a that the existing Territory Plan restriction on residential uses in the area be removed to allow for mixed use developments. This would mean that some of the large vacant land is developed in the short to medium term, while also supporting light rail and activating the precinct throughout the day and night.</w:t>
      </w:r>
      <w:r>
        <w:rPr>
          <w:rStyle w:val="FootnoteReference"/>
        </w:rPr>
        <w:footnoteReference w:id="58"/>
      </w:r>
    </w:p>
    <w:p w14:paraId="7A180E3D" w14:textId="77777777" w:rsidR="00BC5692" w:rsidRDefault="00BC5692" w:rsidP="00BC5692">
      <w:pPr>
        <w:pStyle w:val="BodyText"/>
      </w:pPr>
      <w:r>
        <w:t>The Gungahlin Community Council notes in its submission that residents in Gungahlin do not want further residential development in the town centre, they would prefer office developments to support local employment opportunities:</w:t>
      </w:r>
    </w:p>
    <w:p w14:paraId="07E72204" w14:textId="77777777" w:rsidR="00BC5692" w:rsidRDefault="00BC5692" w:rsidP="00BC5692">
      <w:pPr>
        <w:pStyle w:val="Quote"/>
      </w:pPr>
      <w:r>
        <w:t>“Residents have indicated a strong desire for employment and services with the town centre—and reject an increase residential development as proposed by DV364. The Gungahlin Community Survey in 2019 showed 85% of the 1,481 respondents wanted no more than 25% of the town centre space used for residential”.</w:t>
      </w:r>
      <w:r>
        <w:rPr>
          <w:rStyle w:val="FootnoteReference"/>
        </w:rPr>
        <w:footnoteReference w:id="59"/>
      </w:r>
    </w:p>
    <w:p w14:paraId="49109DA3" w14:textId="77777777" w:rsidR="00BC5692" w:rsidRDefault="00BC5692" w:rsidP="00BC5692">
      <w:pPr>
        <w:pStyle w:val="BodyText"/>
      </w:pPr>
      <w:r>
        <w:t>George Katheklakis (Director, KDN Group) appeared before the committee and in relation to mixed use he noted that:</w:t>
      </w:r>
    </w:p>
    <w:p w14:paraId="1D7C5A2C" w14:textId="77777777" w:rsidR="00BC5692" w:rsidRDefault="00BC5692" w:rsidP="00BC5692">
      <w:pPr>
        <w:pStyle w:val="ListBullet"/>
      </w:pPr>
      <w:r>
        <w:t>the definition of mixed use is very broad and unclear;</w:t>
      </w:r>
    </w:p>
    <w:p w14:paraId="469C094C" w14:textId="77777777" w:rsidR="00BC5692" w:rsidRDefault="00BC5692" w:rsidP="00BC5692">
      <w:pPr>
        <w:pStyle w:val="ListBullet"/>
      </w:pPr>
      <w:r>
        <w:t xml:space="preserve">mixed use precincts allow both residential and commercial, that does not preclude anyone from just putting a single use building, either residential or commercial, within that precinct; </w:t>
      </w:r>
    </w:p>
    <w:p w14:paraId="6B1D951A" w14:textId="77777777" w:rsidR="00BC5692" w:rsidRDefault="00BC5692" w:rsidP="00BC5692">
      <w:pPr>
        <w:pStyle w:val="ListBullet"/>
      </w:pPr>
      <w:r>
        <w:t>it is often assumed that if you have a mixed use site, the requirement is that you put mixed uses on the ground floor—for example commercial—and levels above have various other uses;</w:t>
      </w:r>
    </w:p>
    <w:p w14:paraId="68EE073F" w14:textId="77777777" w:rsidR="00BC5692" w:rsidRDefault="00BC5692" w:rsidP="00BC5692">
      <w:pPr>
        <w:pStyle w:val="ListBullet"/>
      </w:pPr>
      <w:r>
        <w:t>the mixed use definition should not be confused with the desire for consistent street frontage, with just shops on the ground floor, that is not always the case and it is not always feasible.</w:t>
      </w:r>
      <w:r>
        <w:rPr>
          <w:rStyle w:val="FootnoteReference"/>
        </w:rPr>
        <w:footnoteReference w:id="60"/>
      </w:r>
    </w:p>
    <w:p w14:paraId="0E98DF05" w14:textId="77777777" w:rsidR="00BC5692" w:rsidRDefault="00BC5692" w:rsidP="00BC5692">
      <w:pPr>
        <w:pStyle w:val="BodyText"/>
        <w:keepNext/>
        <w:keepLines/>
      </w:pPr>
      <w:r>
        <w:t>George Katheklakis (Director, KDN Group) also noted that in a mixed use precinct the planning itself and the development codes that are put around what you are trying to achieve are critical, you need the right intent from the start of any development. You can put the best planning outcomes on the table and sometimes you just do not get the outcome. It really does sometimes come back to the intent of the developer and what is actually pushing those commercial imperatives.</w:t>
      </w:r>
      <w:r>
        <w:rPr>
          <w:rStyle w:val="FootnoteReference"/>
        </w:rPr>
        <w:footnoteReference w:id="61"/>
      </w:r>
      <w:r>
        <w:t xml:space="preserve"> </w:t>
      </w:r>
    </w:p>
    <w:p w14:paraId="19B08235" w14:textId="77777777" w:rsidR="00BC5692" w:rsidRDefault="00BC5692" w:rsidP="00BC5692">
      <w:pPr>
        <w:pStyle w:val="BodyText"/>
      </w:pPr>
      <w:r>
        <w:t>George Katheklakis (Director, KDN Group) also noted that market conditions at the time dictate what is built. There is always a desire from a planning perspective to have certain uses within a precinct, however if there is no marketability around it—if it is not feasible and if the market does not support that use—the developer cannot actually provide that use. It is not unusual to have a precinct that is earmarked for one use turn into something else because of market conditions.</w:t>
      </w:r>
      <w:r>
        <w:rPr>
          <w:rStyle w:val="FootnoteReference"/>
        </w:rPr>
        <w:footnoteReference w:id="62"/>
      </w:r>
    </w:p>
    <w:p w14:paraId="237FF85B" w14:textId="77777777" w:rsidR="00BC5692" w:rsidRDefault="00BC5692" w:rsidP="00BC5692">
      <w:pPr>
        <w:pStyle w:val="BodyText"/>
      </w:pPr>
      <w:r>
        <w:t>The Gungahlin Community Council appeared before the committee (Peter Elford, President, GCC). Their view was that just reserving the land and assigning conditions to it in DV364 is only part of what is required:</w:t>
      </w:r>
    </w:p>
    <w:p w14:paraId="7F67915F" w14:textId="77777777" w:rsidR="00BC5692" w:rsidRDefault="00BC5692" w:rsidP="00BC5692">
      <w:pPr>
        <w:pStyle w:val="Quote"/>
      </w:pPr>
      <w:r>
        <w:t>“At the moment, with the lease issues, the planning and the zoning attached to each individual block, there is a complete absence of an overall plan to create incentives to establish and/or attract employers or other reasons, as I say, to develop the town centre consistent with community expectations, The answer to that, the only response that has been presented to us by the government is, “We can”—or cannot—“reserve land for commercial use”.</w:t>
      </w:r>
      <w:r>
        <w:rPr>
          <w:rStyle w:val="FootnoteReference"/>
        </w:rPr>
        <w:footnoteReference w:id="63"/>
      </w:r>
    </w:p>
    <w:p w14:paraId="4340F34E" w14:textId="77777777" w:rsidR="00BC5692" w:rsidRDefault="00BC5692" w:rsidP="00BC5692">
      <w:pPr>
        <w:pStyle w:val="BodyText"/>
      </w:pPr>
      <w:r>
        <w:t>They also noted the need for a strategic plan for the town centre, not just around land use but also around traffic planning, parking and retail opportunities, so that people and businesses are attracted and retained in the town centre. At the moment there is no vision.</w:t>
      </w:r>
      <w:r>
        <w:rPr>
          <w:rStyle w:val="FootnoteReference"/>
        </w:rPr>
        <w:footnoteReference w:id="64"/>
      </w:r>
    </w:p>
    <w:p w14:paraId="2DC2D2AD" w14:textId="77777777" w:rsidR="00BC5692" w:rsidRDefault="00BC5692" w:rsidP="00BC5692">
      <w:pPr>
        <w:pStyle w:val="BodyText"/>
      </w:pPr>
      <w:r>
        <w:t>Adina Cirson (ACT Executive Director, Property Council of Australia) appeared before the committee and noted that:</w:t>
      </w:r>
    </w:p>
    <w:p w14:paraId="2618FA6F" w14:textId="77777777" w:rsidR="00BC5692" w:rsidRDefault="00BC5692" w:rsidP="00BC5692">
      <w:pPr>
        <w:pStyle w:val="ListBullet"/>
      </w:pPr>
      <w:r>
        <w:t>from the developer’s perspective mixed-use development means having a viable mix of residential and commercial active frontages at the ground level;</w:t>
      </w:r>
    </w:p>
    <w:p w14:paraId="274C4805" w14:textId="77777777" w:rsidR="00BC5692" w:rsidRDefault="00BC5692" w:rsidP="00BC5692">
      <w:pPr>
        <w:pStyle w:val="ListBullet"/>
      </w:pPr>
      <w:r>
        <w:t>mixed use developments enable people to live in the town centre and encourages vibrancy at all hours of the day, including from a commercial viability perspective, during the day; and</w:t>
      </w:r>
    </w:p>
    <w:p w14:paraId="3473BD89" w14:textId="77777777" w:rsidR="00BC5692" w:rsidRDefault="00BC5692" w:rsidP="00BC5692">
      <w:pPr>
        <w:pStyle w:val="ListBullet"/>
      </w:pPr>
      <w:r>
        <w:t>across the city, we see that some required mixed use developments are not viable and are left with ground-floor commercial space which are difficult to lease.</w:t>
      </w:r>
      <w:r>
        <w:rPr>
          <w:rStyle w:val="FootnoteReference"/>
        </w:rPr>
        <w:footnoteReference w:id="65"/>
      </w:r>
    </w:p>
    <w:p w14:paraId="573B02D1" w14:textId="77777777" w:rsidR="00BC5692" w:rsidRDefault="00BC5692" w:rsidP="00BC5692">
      <w:pPr>
        <w:pStyle w:val="BodyText"/>
      </w:pPr>
      <w:r>
        <w:t>The Minister for Planning and Land Management, Mick Gentleman MLA, appeared before the committee with Directorate officers. The committee noted comments from contributors about mixed use development in the town centre, and asked the Minister and his officers to respond. The Directorate noted that in relation to:</w:t>
      </w:r>
    </w:p>
    <w:p w14:paraId="0DE7E1CC" w14:textId="77777777" w:rsidR="00BC5692" w:rsidRDefault="00BC5692" w:rsidP="00BC5692">
      <w:pPr>
        <w:pStyle w:val="ListBullet"/>
      </w:pPr>
      <w:r>
        <w:t>residential development planning includes the needs of future citizens, the GCC surveyed existing residents, and while there may not be demand from people who already living in Gungahlin, the demand for people who will be future citizens needs to be considered;</w:t>
      </w:r>
      <w:r>
        <w:rPr>
          <w:rStyle w:val="FootnoteReference"/>
        </w:rPr>
        <w:footnoteReference w:id="66"/>
      </w:r>
    </w:p>
    <w:p w14:paraId="13CE08BB" w14:textId="77777777" w:rsidR="00BC5692" w:rsidRDefault="00BC5692" w:rsidP="00DB6EED">
      <w:pPr>
        <w:pStyle w:val="ListBullet"/>
        <w:keepNext/>
      </w:pPr>
      <w:r>
        <w:t>vacancy rates in the ACT for:</w:t>
      </w:r>
    </w:p>
    <w:p w14:paraId="6231BB8F" w14:textId="77777777" w:rsidR="00BC5692" w:rsidRDefault="00BC5692" w:rsidP="00BC5692">
      <w:pPr>
        <w:pStyle w:val="ListBullet2"/>
      </w:pPr>
      <w:r>
        <w:t>residential properties (</w:t>
      </w:r>
      <w:r w:rsidRPr="00902A0E">
        <w:t>empty rental properties relative to the total stock of rental properties</w:t>
      </w:r>
      <w:r>
        <w:t xml:space="preserve">) calculated by </w:t>
      </w:r>
      <w:r w:rsidRPr="00902A0E">
        <w:rPr>
          <w:rFonts w:ascii="Calibri-Bold" w:hAnsi="Calibri-Bold" w:cs="Calibri-Bold"/>
          <w:lang w:eastAsia="en-AU"/>
        </w:rPr>
        <w:t>Domain</w:t>
      </w:r>
      <w:r w:rsidRPr="00902A0E">
        <w:rPr>
          <w:rFonts w:ascii="Calibri-Bold" w:hAnsi="Calibri-Bold" w:cs="Calibri-Bold"/>
          <w:b/>
          <w:bCs/>
          <w:lang w:eastAsia="en-AU"/>
        </w:rPr>
        <w:t xml:space="preserve"> </w:t>
      </w:r>
      <w:r w:rsidRPr="00902A0E">
        <w:rPr>
          <w:rFonts w:cs="Calibri"/>
          <w:lang w:eastAsia="en-AU"/>
        </w:rPr>
        <w:t xml:space="preserve">in June 2021 was 0.8 per cent and by </w:t>
      </w:r>
      <w:r w:rsidRPr="00902A0E">
        <w:rPr>
          <w:rFonts w:ascii="Calibri-Bold" w:hAnsi="Calibri-Bold" w:cs="Calibri-Bold"/>
          <w:lang w:eastAsia="en-AU"/>
        </w:rPr>
        <w:t>SQM Research</w:t>
      </w:r>
      <w:r w:rsidRPr="00902A0E">
        <w:rPr>
          <w:rFonts w:cs="Calibri"/>
          <w:szCs w:val="22"/>
          <w:lang w:eastAsia="en-AU"/>
        </w:rPr>
        <w:t xml:space="preserve"> for June 2021 as 0.7</w:t>
      </w:r>
      <w:r w:rsidRPr="00902A0E">
        <w:rPr>
          <w:rFonts w:cs="Calibri"/>
          <w:lang w:eastAsia="en-AU"/>
        </w:rPr>
        <w:t xml:space="preserve"> percent</w:t>
      </w:r>
      <w:r>
        <w:rPr>
          <w:rFonts w:cs="Calibri"/>
          <w:lang w:eastAsia="en-AU"/>
        </w:rPr>
        <w:t>; and</w:t>
      </w:r>
    </w:p>
    <w:p w14:paraId="28F53DAF" w14:textId="77777777" w:rsidR="00BC5692" w:rsidRPr="00D005D0" w:rsidRDefault="00BC5692" w:rsidP="00BC5692">
      <w:pPr>
        <w:pStyle w:val="ListBullet2"/>
      </w:pPr>
      <w:r>
        <w:t>commercial properties rates (</w:t>
      </w:r>
      <w:r>
        <w:rPr>
          <w:lang w:eastAsia="en-AU"/>
        </w:rPr>
        <w:t xml:space="preserve">total vacant office space as a per cent of total office space) are published bi-annually for capital cities by The Property Council of Australia (PCA). </w:t>
      </w:r>
      <w:r w:rsidRPr="00902A0E">
        <w:rPr>
          <w:rFonts w:cs="Calibri"/>
          <w:lang w:eastAsia="en-AU"/>
        </w:rPr>
        <w:t>In January 2021, Canberra’s Office vacancy rate was 10.1 percent, unchanged from July 2020 and 0.2 percentage point lower than January 2020</w:t>
      </w:r>
      <w:r>
        <w:rPr>
          <w:rFonts w:cs="Calibri"/>
          <w:lang w:eastAsia="en-AU"/>
        </w:rPr>
        <w:t>;</w:t>
      </w:r>
      <w:r>
        <w:rPr>
          <w:rStyle w:val="FootnoteReference"/>
          <w:rFonts w:cs="Calibri"/>
          <w:lang w:eastAsia="en-AU"/>
        </w:rPr>
        <w:footnoteReference w:id="67"/>
      </w:r>
    </w:p>
    <w:p w14:paraId="634C2928" w14:textId="77777777" w:rsidR="00BC5692" w:rsidRDefault="00BC5692" w:rsidP="00BC5692">
      <w:pPr>
        <w:pStyle w:val="ListBullet"/>
      </w:pPr>
      <w:r>
        <w:t>there are a range of other planning documents such as, for example, the ACT Planning Strategy 2018 and a key government policy within this strategy is that future growth be accommodated primarily within the existing urban area, in town centres and along transport corridors;</w:t>
      </w:r>
      <w:r>
        <w:rPr>
          <w:rStyle w:val="FootnoteReference"/>
        </w:rPr>
        <w:footnoteReference w:id="68"/>
      </w:r>
    </w:p>
    <w:p w14:paraId="7BD3C16A" w14:textId="77777777" w:rsidR="00BC5692" w:rsidRDefault="00BC5692" w:rsidP="00BC5692">
      <w:pPr>
        <w:pStyle w:val="ListBullet"/>
      </w:pPr>
      <w:r>
        <w:t>mixed use development allows smaller scale offices to be accommodated. Office accommodation does not need to be 20,000 to 30,000m</w:t>
      </w:r>
      <w:r w:rsidRPr="005378FD">
        <w:rPr>
          <w:vertAlign w:val="superscript"/>
        </w:rPr>
        <w:t>2</w:t>
      </w:r>
      <w:r>
        <w:t>; they can be 1,000m</w:t>
      </w:r>
      <w:r w:rsidRPr="005378FD">
        <w:rPr>
          <w:vertAlign w:val="superscript"/>
        </w:rPr>
        <w:t>2</w:t>
      </w:r>
      <w:r>
        <w:t>,2,000m</w:t>
      </w:r>
      <w:r w:rsidRPr="005378FD">
        <w:rPr>
          <w:vertAlign w:val="superscript"/>
        </w:rPr>
        <w:t>2</w:t>
      </w:r>
      <w:r>
        <w:t>, depending on the nature of the business that is attracted to the town centre. DV364 sets aside 65,000m</w:t>
      </w:r>
      <w:r w:rsidRPr="005378FD">
        <w:rPr>
          <w:vertAlign w:val="superscript"/>
        </w:rPr>
        <w:t>2</w:t>
      </w:r>
      <w:r>
        <w:t xml:space="preserve"> for commercial and office space but does not preclude office accommodation in other land releases in the area;</w:t>
      </w:r>
      <w:r>
        <w:rPr>
          <w:rStyle w:val="FootnoteReference"/>
        </w:rPr>
        <w:footnoteReference w:id="69"/>
      </w:r>
      <w:r>
        <w:t xml:space="preserve"> and</w:t>
      </w:r>
    </w:p>
    <w:p w14:paraId="05AFF034" w14:textId="77777777" w:rsidR="00BC5692" w:rsidRDefault="00BC5692" w:rsidP="00BC5692">
      <w:pPr>
        <w:pStyle w:val="ListBullet"/>
      </w:pPr>
      <w:r>
        <w:t>mixed use areas provide more flexibility and in the current COVID environment this has meant that smaller office spaces have survived better than some of the bigger offices.</w:t>
      </w:r>
      <w:r>
        <w:rPr>
          <w:rStyle w:val="FootnoteReference"/>
        </w:rPr>
        <w:footnoteReference w:id="70"/>
      </w:r>
    </w:p>
    <w:p w14:paraId="499EB58F" w14:textId="77777777" w:rsidR="00BC5692" w:rsidRDefault="00BC5692" w:rsidP="00BC5692">
      <w:pPr>
        <w:pStyle w:val="BodyText"/>
      </w:pPr>
      <w:r>
        <w:t>The committee also noted the comments from George Katheklakis (Director, KDN Group) and asked the Minister and his officers to respond. The Directorate noted that:</w:t>
      </w:r>
    </w:p>
    <w:p w14:paraId="68A81167" w14:textId="77777777" w:rsidR="00BC5692" w:rsidRDefault="00BC5692" w:rsidP="00BC5692">
      <w:pPr>
        <w:pStyle w:val="ListBullet"/>
      </w:pPr>
      <w:r>
        <w:t>one of the key reforms that they have recommended relates to block controls in the current planning system, and the need for something to fill the gap in between the district, or precinct level controls, and strategic planning work;</w:t>
      </w:r>
      <w:r>
        <w:rPr>
          <w:rStyle w:val="FootnoteReference"/>
        </w:rPr>
        <w:footnoteReference w:id="71"/>
      </w:r>
      <w:r>
        <w:t xml:space="preserve"> and</w:t>
      </w:r>
    </w:p>
    <w:p w14:paraId="12B0902F" w14:textId="77777777" w:rsidR="00BC5692" w:rsidRPr="0033638C" w:rsidRDefault="00BC5692" w:rsidP="00BC5692">
      <w:pPr>
        <w:pStyle w:val="ListBullet"/>
      </w:pPr>
      <w:r>
        <w:t>this Draft Variation has been going through the current planning system for years and the directorate cannot just say “from today there are no more variations until we get the new planning system”, we are looking at how to frame variations in the interim that can be folded into a new Territory Plan.</w:t>
      </w:r>
      <w:r>
        <w:rPr>
          <w:rStyle w:val="FootnoteReference"/>
        </w:rPr>
        <w:footnoteReference w:id="72"/>
      </w:r>
    </w:p>
    <w:p w14:paraId="1A9826E7" w14:textId="77777777" w:rsidR="00BC5692" w:rsidRDefault="00BC5692" w:rsidP="00BC5692">
      <w:pPr>
        <w:pStyle w:val="Heading4"/>
      </w:pPr>
      <w:r>
        <w:t>Committee Comment</w:t>
      </w:r>
    </w:p>
    <w:p w14:paraId="5A193EDD" w14:textId="77777777" w:rsidR="00BC5692" w:rsidRDefault="00BC5692" w:rsidP="00BC5692">
      <w:pPr>
        <w:pStyle w:val="BodyText"/>
      </w:pPr>
      <w:r>
        <w:t>It was clear from all evidence before the Committee that mixed use development and the planning settings are very broad and not necessarily achieving the outcomes the Government, community or developers are wanting. The testimony highlighted the obstacles to achieving a mixed use precinct when developers only have responsibility for one single block and how a precinct scale development has more potential to achieve the outcomes sought.</w:t>
      </w:r>
    </w:p>
    <w:p w14:paraId="158D810D" w14:textId="20B56B90" w:rsidR="00BC5692" w:rsidRDefault="00BC5692" w:rsidP="00BC5692">
      <w:pPr>
        <w:pStyle w:val="RecommendationHeading"/>
        <w:keepNext/>
      </w:pPr>
      <w:bookmarkStart w:id="67" w:name="_Toc83893101"/>
      <w:r>
        <w:t>Recommendation 3</w:t>
      </w:r>
      <w:bookmarkEnd w:id="67"/>
    </w:p>
    <w:p w14:paraId="709C7E40" w14:textId="2797B424" w:rsidR="00BC5692" w:rsidRDefault="00BC5692" w:rsidP="00BC5692">
      <w:pPr>
        <w:pStyle w:val="RecommendationText"/>
      </w:pPr>
      <w:bookmarkStart w:id="68" w:name="_Toc83893102"/>
      <w:r w:rsidRPr="00DD0A51">
        <w:t>In order to realise the objectives of the planning provisions, the ACT Government amend the indicative land release program so that the unsold blocks in Gungahlin East precinct</w:t>
      </w:r>
      <w:r>
        <w:t>:</w:t>
      </w:r>
      <w:bookmarkEnd w:id="68"/>
    </w:p>
    <w:p w14:paraId="3EA455BC" w14:textId="77777777" w:rsidR="00BC5692" w:rsidRDefault="00BC5692" w:rsidP="00BC5692">
      <w:pPr>
        <w:pStyle w:val="RecommendationBullet"/>
      </w:pPr>
      <w:bookmarkStart w:id="69" w:name="_Toc83893103"/>
      <w:r w:rsidRPr="00DD0A51">
        <w:t>be sold as a precinct rather than as individual blocks</w:t>
      </w:r>
      <w:r>
        <w:t>;</w:t>
      </w:r>
      <w:bookmarkEnd w:id="69"/>
    </w:p>
    <w:p w14:paraId="4179EA22" w14:textId="0D4C6374" w:rsidR="00BC5692" w:rsidRDefault="00BC5692" w:rsidP="00BC5692">
      <w:pPr>
        <w:pStyle w:val="RecommendationBullet"/>
      </w:pPr>
      <w:bookmarkStart w:id="70" w:name="_Toc83893104"/>
      <w:r>
        <w:t>have</w:t>
      </w:r>
      <w:r w:rsidRPr="00DD0A51">
        <w:t xml:space="preserve"> contractual and lease requirements</w:t>
      </w:r>
      <w:r>
        <w:t xml:space="preserve"> applied</w:t>
      </w:r>
      <w:r w:rsidRPr="00DD0A51">
        <w:t xml:space="preserve"> to the sale to deliver a precinct that includes retail, business, and community facility developments</w:t>
      </w:r>
      <w:r>
        <w:t>;</w:t>
      </w:r>
      <w:bookmarkEnd w:id="70"/>
      <w:r>
        <w:t xml:space="preserve"> </w:t>
      </w:r>
    </w:p>
    <w:p w14:paraId="4ACAE283" w14:textId="6F7278FD" w:rsidR="00E15638" w:rsidRDefault="00BC5692" w:rsidP="00BC5692">
      <w:pPr>
        <w:pStyle w:val="RecommendationBullet"/>
      </w:pPr>
      <w:bookmarkStart w:id="71" w:name="_Toc83893105"/>
      <w:r w:rsidRPr="00DD0A51">
        <w:t xml:space="preserve">apply </w:t>
      </w:r>
      <w:r w:rsidR="00E15638">
        <w:t xml:space="preserve">a </w:t>
      </w:r>
      <w:r w:rsidRPr="00DD0A51">
        <w:t>maximum number of residential dwellings allowable</w:t>
      </w:r>
      <w:r w:rsidR="003E5029">
        <w:t xml:space="preserve"> so that residential dwellings are not the primary or majority use</w:t>
      </w:r>
      <w:r>
        <w:t>;</w:t>
      </w:r>
      <w:bookmarkEnd w:id="71"/>
      <w:r w:rsidRPr="00DD0A51">
        <w:t xml:space="preserve"> </w:t>
      </w:r>
    </w:p>
    <w:p w14:paraId="7D17F636" w14:textId="0D9D21B3" w:rsidR="00BC5692" w:rsidRDefault="00E15638" w:rsidP="00BC5692">
      <w:pPr>
        <w:pStyle w:val="RecommendationBullet"/>
      </w:pPr>
      <w:bookmarkStart w:id="72" w:name="_Toc83893106"/>
      <w:r>
        <w:t xml:space="preserve">apply a minimum </w:t>
      </w:r>
      <w:r w:rsidR="008810B2">
        <w:t xml:space="preserve">square metre requirement for commercial development; </w:t>
      </w:r>
      <w:r w:rsidR="00BC5692" w:rsidRPr="00DD0A51">
        <w:t>and</w:t>
      </w:r>
      <w:bookmarkEnd w:id="72"/>
    </w:p>
    <w:p w14:paraId="1B4D69FC" w14:textId="17B78660" w:rsidR="00BC5692" w:rsidRDefault="00BC5692" w:rsidP="00BC5692">
      <w:pPr>
        <w:pStyle w:val="RecommendationBullet"/>
      </w:pPr>
      <w:bookmarkStart w:id="73" w:name="_Toc83893107"/>
      <w:r>
        <w:t xml:space="preserve">be </w:t>
      </w:r>
      <w:r w:rsidRPr="00DD0A51">
        <w:t>designed in consultation with the community</w:t>
      </w:r>
      <w:r>
        <w:t>.</w:t>
      </w:r>
      <w:bookmarkEnd w:id="73"/>
    </w:p>
    <w:p w14:paraId="03E79F79" w14:textId="57D9D2B9" w:rsidR="00BC5692" w:rsidRPr="00CD0A75" w:rsidRDefault="00BC5692" w:rsidP="00BC5692">
      <w:pPr>
        <w:pStyle w:val="RecommendationHeading"/>
      </w:pPr>
      <w:bookmarkStart w:id="74" w:name="_Toc83893108"/>
      <w:r>
        <w:t>Recommendation 4</w:t>
      </w:r>
      <w:bookmarkEnd w:id="74"/>
    </w:p>
    <w:p w14:paraId="67DD9DE7" w14:textId="60C515FA" w:rsidR="00BC5692" w:rsidRDefault="00BC5692" w:rsidP="00BC5692">
      <w:pPr>
        <w:pStyle w:val="RecommendationText"/>
      </w:pPr>
      <w:bookmarkStart w:id="75" w:name="_Toc83893109"/>
      <w:r w:rsidRPr="00C3127B">
        <w:t xml:space="preserve">If </w:t>
      </w:r>
      <w:r w:rsidR="008810B2">
        <w:t xml:space="preserve">the remaining blocks in the Gungahlin East Precinct </w:t>
      </w:r>
      <w:r w:rsidRPr="00C3127B">
        <w:t>are sold as individual blocks</w:t>
      </w:r>
      <w:r>
        <w:t>,</w:t>
      </w:r>
      <w:r w:rsidRPr="00C3127B">
        <w:t xml:space="preserve"> the Committee recommends the ACT Government maintain a commercial zoning for these blocks and apply a maximum number of residential dwellings </w:t>
      </w:r>
      <w:r w:rsidR="006427A7">
        <w:t xml:space="preserve">and a minimum square metre requirement for commercial development </w:t>
      </w:r>
      <w:r w:rsidRPr="00C3127B">
        <w:t>permitted for each block</w:t>
      </w:r>
      <w:r>
        <w:t xml:space="preserve"> to ensure </w:t>
      </w:r>
      <w:r w:rsidR="003E5029">
        <w:t xml:space="preserve">that </w:t>
      </w:r>
      <w:r>
        <w:t xml:space="preserve">residential dwellings are not the </w:t>
      </w:r>
      <w:r w:rsidR="003E5029">
        <w:t xml:space="preserve">primary or majority </w:t>
      </w:r>
      <w:r>
        <w:t>use.</w:t>
      </w:r>
      <w:bookmarkEnd w:id="75"/>
    </w:p>
    <w:p w14:paraId="4FE376CA" w14:textId="660711CC" w:rsidR="009A0AFC" w:rsidRDefault="009A0AFC" w:rsidP="00B6073E">
      <w:pPr>
        <w:pStyle w:val="Heading3"/>
      </w:pPr>
      <w:bookmarkStart w:id="76" w:name="_Toc83893136"/>
      <w:r>
        <w:t>Building Heights</w:t>
      </w:r>
      <w:bookmarkEnd w:id="76"/>
    </w:p>
    <w:p w14:paraId="75EA8FF2" w14:textId="41614578" w:rsidR="00B93852" w:rsidRDefault="00B93852" w:rsidP="00B93852">
      <w:pPr>
        <w:pStyle w:val="BodyText"/>
      </w:pPr>
      <w:r>
        <w:t xml:space="preserve">DV364 sets maximum building heights </w:t>
      </w:r>
      <w:r w:rsidR="0056716C">
        <w:t xml:space="preserve">in </w:t>
      </w:r>
      <w:r w:rsidR="00084832">
        <w:t xml:space="preserve">Rule </w:t>
      </w:r>
      <w:r w:rsidR="0056716C">
        <w:t>47 for</w:t>
      </w:r>
      <w:r>
        <w:t xml:space="preserve"> Precinct 2</w:t>
      </w:r>
      <w:r w:rsidR="00084832">
        <w:t>a – Mixed Use East of between three to eight storeys</w:t>
      </w:r>
      <w:r w:rsidR="0056716C">
        <w:t xml:space="preserve">. The tallest buildings can be developed along the light rail corridor on Flemington Road (area ‘a’), </w:t>
      </w:r>
      <w:r w:rsidR="003E3CF6">
        <w:t xml:space="preserve">and </w:t>
      </w:r>
      <w:r w:rsidR="0056716C">
        <w:t>lower building heights are set as development moves to streets surrounding this corridor. The</w:t>
      </w:r>
      <w:r w:rsidR="003E3CF6">
        <w:t>re</w:t>
      </w:r>
      <w:r w:rsidR="0056716C">
        <w:t xml:space="preserve"> is an added criterion</w:t>
      </w:r>
      <w:r w:rsidR="008B1975">
        <w:t xml:space="preserve"> 47</w:t>
      </w:r>
      <w:r w:rsidR="0056716C">
        <w:t xml:space="preserve"> (C47) which allows up to two additional storeys in area ‘a’ subject to meeting the criterion.</w:t>
      </w:r>
      <w:r w:rsidR="00084832">
        <w:rPr>
          <w:rStyle w:val="FootnoteReference"/>
        </w:rPr>
        <w:footnoteReference w:id="73"/>
      </w:r>
      <w:r w:rsidR="0056716C">
        <w:t xml:space="preserve"> The maximum building heights </w:t>
      </w:r>
      <w:r w:rsidR="00084832">
        <w:t xml:space="preserve">for </w:t>
      </w:r>
      <w:r>
        <w:t>Precinct 2b</w:t>
      </w:r>
      <w:r w:rsidR="00084832">
        <w:t xml:space="preserve"> - Mixed Use North West</w:t>
      </w:r>
      <w:r w:rsidR="003E3CF6">
        <w:t>,</w:t>
      </w:r>
      <w:r>
        <w:t xml:space="preserve"> </w:t>
      </w:r>
      <w:r w:rsidR="0056716C">
        <w:t xml:space="preserve">of </w:t>
      </w:r>
      <w:r w:rsidR="00084832">
        <w:t xml:space="preserve">between </w:t>
      </w:r>
      <w:r w:rsidR="0056716C">
        <w:t>seven to fourteen</w:t>
      </w:r>
      <w:r w:rsidR="00084832">
        <w:t xml:space="preserve"> storeys</w:t>
      </w:r>
      <w:r w:rsidR="003E3CF6">
        <w:t>,</w:t>
      </w:r>
      <w:r w:rsidR="0056716C">
        <w:t xml:space="preserve"> are set out in Rule 64</w:t>
      </w:r>
      <w:r w:rsidR="00084832">
        <w:t>.</w:t>
      </w:r>
      <w:r w:rsidR="00084832">
        <w:rPr>
          <w:rStyle w:val="FootnoteReference"/>
        </w:rPr>
        <w:footnoteReference w:id="74"/>
      </w:r>
    </w:p>
    <w:p w14:paraId="20D819CF" w14:textId="1C0A5564" w:rsidR="0056716C" w:rsidRDefault="0056716C" w:rsidP="009A0AFC">
      <w:pPr>
        <w:pStyle w:val="BodyText"/>
      </w:pPr>
      <w:r>
        <w:t>The Gungahlin Community Council supports the changes to building height but notes that the change is redundant for Precinct 2b as there are developments already approved in the area that exceed the proposed height limits.</w:t>
      </w:r>
      <w:r>
        <w:rPr>
          <w:rStyle w:val="FootnoteReference"/>
        </w:rPr>
        <w:footnoteReference w:id="75"/>
      </w:r>
    </w:p>
    <w:p w14:paraId="25CEE2AB" w14:textId="3949B993" w:rsidR="003F7614" w:rsidRDefault="0056716C" w:rsidP="009A0AFC">
      <w:pPr>
        <w:pStyle w:val="BodyText"/>
      </w:pPr>
      <w:r>
        <w:t xml:space="preserve"> </w:t>
      </w:r>
      <w:r w:rsidR="00D80E45">
        <w:t>A s</w:t>
      </w:r>
      <w:r w:rsidR="003F7614">
        <w:t xml:space="preserve">ubmission </w:t>
      </w:r>
      <w:r w:rsidR="00D80E45">
        <w:t>received from</w:t>
      </w:r>
      <w:r w:rsidR="003F7614">
        <w:t xml:space="preserve"> Landco</w:t>
      </w:r>
      <w:r w:rsidR="00D80E45">
        <w:t xml:space="preserve"> Pty Ltd</w:t>
      </w:r>
      <w:r w:rsidR="00F84979">
        <w:t xml:space="preserve"> outlined the adverse impact the introduction of height limits in Precinct 2b</w:t>
      </w:r>
      <w:r w:rsidR="000A2DE7" w:rsidRPr="000A2DE7">
        <w:t xml:space="preserve"> </w:t>
      </w:r>
      <w:r w:rsidR="000A2DE7">
        <w:t>- Mixed Use North West</w:t>
      </w:r>
      <w:r w:rsidR="00F84979">
        <w:t xml:space="preserve"> would have on any subsequent development on the</w:t>
      </w:r>
      <w:r w:rsidR="000A2DE7">
        <w:t>ir site Block 6 Section 88</w:t>
      </w:r>
      <w:r w:rsidR="00F84979">
        <w:t>. The submission noted that:</w:t>
      </w:r>
    </w:p>
    <w:p w14:paraId="4F5693FD" w14:textId="2F35AEE9" w:rsidR="00705D56" w:rsidRDefault="00F84979" w:rsidP="00F84979">
      <w:pPr>
        <w:pStyle w:val="ListBullet"/>
      </w:pPr>
      <w:r>
        <w:t xml:space="preserve">Block 6 was acquired by the Lessee in 2010, however the nature of land use for </w:t>
      </w:r>
      <w:r w:rsidR="00705D56">
        <w:t xml:space="preserve">the </w:t>
      </w:r>
      <w:r>
        <w:t>precinct has evolved over time from a commercial to residential character, development of the subject block would appear to tend towards a residential mixed use outcome</w:t>
      </w:r>
      <w:r w:rsidR="00705D56">
        <w:t>;</w:t>
      </w:r>
    </w:p>
    <w:p w14:paraId="3983F2EB" w14:textId="25E00BB1" w:rsidR="000A2DE7" w:rsidRDefault="000A2DE7" w:rsidP="00F84979">
      <w:pPr>
        <w:pStyle w:val="ListBullet"/>
      </w:pPr>
      <w:r>
        <w:t>prior to DV 364 the block was not subject to building height restrictions;</w:t>
      </w:r>
    </w:p>
    <w:p w14:paraId="4CA8D9BE" w14:textId="39FC3B40" w:rsidR="00F84979" w:rsidRDefault="000A2DE7" w:rsidP="00F84979">
      <w:pPr>
        <w:pStyle w:val="ListBullet"/>
      </w:pPr>
      <w:r>
        <w:t>t</w:t>
      </w:r>
      <w:r w:rsidR="00F84979">
        <w:t>he</w:t>
      </w:r>
      <w:r w:rsidR="00705D56">
        <w:t xml:space="preserve"> </w:t>
      </w:r>
      <w:r w:rsidR="00F84979">
        <w:t>introduction</w:t>
      </w:r>
      <w:r w:rsidR="00705D56">
        <w:t xml:space="preserve"> </w:t>
      </w:r>
      <w:r w:rsidR="00F84979">
        <w:t>of</w:t>
      </w:r>
      <w:r w:rsidR="00705D56">
        <w:t xml:space="preserve"> DV364 </w:t>
      </w:r>
      <w:r w:rsidR="00F84979">
        <w:t>with</w:t>
      </w:r>
      <w:r w:rsidR="00705D56">
        <w:t xml:space="preserve"> </w:t>
      </w:r>
      <w:r w:rsidR="00F84979">
        <w:t>interim</w:t>
      </w:r>
      <w:r w:rsidR="00705D56">
        <w:t xml:space="preserve"> </w:t>
      </w:r>
      <w:r w:rsidR="00F84979">
        <w:t>effect</w:t>
      </w:r>
      <w:r w:rsidR="00705D56">
        <w:t xml:space="preserve"> </w:t>
      </w:r>
      <w:r w:rsidR="00F84979">
        <w:t>has</w:t>
      </w:r>
      <w:r w:rsidR="00705D56">
        <w:t xml:space="preserve"> </w:t>
      </w:r>
      <w:r w:rsidR="00F84979">
        <w:t>had</w:t>
      </w:r>
      <w:r w:rsidR="00705D56">
        <w:t xml:space="preserve"> </w:t>
      </w:r>
      <w:r w:rsidR="00F84979">
        <w:t>immediate</w:t>
      </w:r>
      <w:r w:rsidR="00705D56">
        <w:t xml:space="preserve"> </w:t>
      </w:r>
      <w:r w:rsidR="00F84979">
        <w:t>consequences</w:t>
      </w:r>
      <w:r w:rsidR="00705D56">
        <w:t xml:space="preserve"> </w:t>
      </w:r>
      <w:r w:rsidR="00F84979">
        <w:t>to the</w:t>
      </w:r>
      <w:r w:rsidR="00705D56">
        <w:t xml:space="preserve"> </w:t>
      </w:r>
      <w:r w:rsidR="00F84979">
        <w:t>development</w:t>
      </w:r>
      <w:r w:rsidR="00705D56">
        <w:t xml:space="preserve"> potential </w:t>
      </w:r>
      <w:r w:rsidR="00F84979">
        <w:t>of</w:t>
      </w:r>
      <w:r w:rsidR="00705D56">
        <w:t xml:space="preserve"> </w:t>
      </w:r>
      <w:r w:rsidR="00F84979">
        <w:t>Block</w:t>
      </w:r>
      <w:r w:rsidR="00705D56">
        <w:t xml:space="preserve"> </w:t>
      </w:r>
      <w:r w:rsidR="00F84979">
        <w:t>6.</w:t>
      </w:r>
      <w:r w:rsidR="00705D56">
        <w:t xml:space="preserve"> Since most </w:t>
      </w:r>
      <w:r w:rsidR="00F84979">
        <w:t>blocks within</w:t>
      </w:r>
      <w:r w:rsidR="00705D56">
        <w:t xml:space="preserve"> </w:t>
      </w:r>
      <w:r w:rsidR="00F84979">
        <w:t>th</w:t>
      </w:r>
      <w:r w:rsidR="00705D56">
        <w:t>is p</w:t>
      </w:r>
      <w:r w:rsidR="00F84979">
        <w:t>recinct</w:t>
      </w:r>
      <w:r w:rsidR="00705D56">
        <w:t xml:space="preserve"> </w:t>
      </w:r>
      <w:r w:rsidR="00F84979">
        <w:t>have</w:t>
      </w:r>
      <w:r w:rsidR="00705D56">
        <w:t xml:space="preserve"> already </w:t>
      </w:r>
      <w:r w:rsidR="00F84979">
        <w:t>been</w:t>
      </w:r>
      <w:r w:rsidR="00705D56">
        <w:t xml:space="preserve"> </w:t>
      </w:r>
      <w:r w:rsidR="00F84979">
        <w:t>developed</w:t>
      </w:r>
      <w:r>
        <w:t xml:space="preserve"> without limits on building heights</w:t>
      </w:r>
      <w:r w:rsidR="00F84979">
        <w:t>,</w:t>
      </w:r>
      <w:r w:rsidR="00705D56">
        <w:t xml:space="preserve"> </w:t>
      </w:r>
      <w:r w:rsidR="00F84979">
        <w:t>the</w:t>
      </w:r>
      <w:r w:rsidR="00705D56">
        <w:t xml:space="preserve"> </w:t>
      </w:r>
      <w:r w:rsidR="00F84979">
        <w:t>impact</w:t>
      </w:r>
      <w:r w:rsidR="00705D56">
        <w:t xml:space="preserve"> </w:t>
      </w:r>
      <w:r w:rsidR="00F84979">
        <w:t>of</w:t>
      </w:r>
      <w:r w:rsidR="00705D56">
        <w:t xml:space="preserve"> </w:t>
      </w:r>
      <w:r w:rsidR="00F84979">
        <w:t>these</w:t>
      </w:r>
      <w:r w:rsidR="00705D56">
        <w:t xml:space="preserve"> </w:t>
      </w:r>
      <w:r w:rsidR="00F84979">
        <w:t>changes disproportionately</w:t>
      </w:r>
      <w:r w:rsidR="00705D56">
        <w:t xml:space="preserve"> </w:t>
      </w:r>
      <w:r w:rsidR="00F84979">
        <w:t>and</w:t>
      </w:r>
      <w:r w:rsidR="00705D56">
        <w:t xml:space="preserve"> </w:t>
      </w:r>
      <w:r w:rsidR="00F84979">
        <w:t>inequitably</w:t>
      </w:r>
      <w:r w:rsidR="00705D56">
        <w:t xml:space="preserve"> </w:t>
      </w:r>
      <w:r w:rsidR="00F84979">
        <w:t>burden</w:t>
      </w:r>
      <w:r w:rsidR="00705D56">
        <w:t xml:space="preserve"> </w:t>
      </w:r>
      <w:r w:rsidR="00F84979">
        <w:t>the</w:t>
      </w:r>
      <w:r w:rsidR="00705D56">
        <w:t xml:space="preserve"> </w:t>
      </w:r>
      <w:r w:rsidR="00F84979">
        <w:t>Lessee</w:t>
      </w:r>
      <w:r w:rsidR="00705D56">
        <w:t xml:space="preserve"> </w:t>
      </w:r>
      <w:r w:rsidR="00F84979">
        <w:t>of</w:t>
      </w:r>
      <w:r w:rsidR="00705D56">
        <w:t xml:space="preserve"> </w:t>
      </w:r>
      <w:r w:rsidR="00F84979">
        <w:t>Block</w:t>
      </w:r>
      <w:r w:rsidR="00705D56">
        <w:t xml:space="preserve"> </w:t>
      </w:r>
      <w:r w:rsidR="00F84979">
        <w:t>6;</w:t>
      </w:r>
      <w:r>
        <w:t xml:space="preserve"> and</w:t>
      </w:r>
    </w:p>
    <w:p w14:paraId="59C9D9CA" w14:textId="7131FCC5" w:rsidR="00F84979" w:rsidRDefault="000A2DE7" w:rsidP="00F84979">
      <w:pPr>
        <w:pStyle w:val="ListBullet"/>
      </w:pPr>
      <w:r>
        <w:t>the recommended maxim</w:t>
      </w:r>
      <w:r w:rsidR="00F84979">
        <w:t>um building height of 42 metres</w:t>
      </w:r>
      <w:r>
        <w:t xml:space="preserve"> (R64)</w:t>
      </w:r>
      <w:r w:rsidR="00F84979">
        <w:t xml:space="preserve"> does not allow for a total of 12 storeys for a commercial development outcome, as under current construction standards a minimum floor height of 3.7 metres would be required to accommodate required clearances and services. On this basis, only 11 storeys could be constructed</w:t>
      </w:r>
      <w:r>
        <w:t>.</w:t>
      </w:r>
      <w:r>
        <w:rPr>
          <w:rStyle w:val="FootnoteReference"/>
        </w:rPr>
        <w:footnoteReference w:id="76"/>
      </w:r>
    </w:p>
    <w:p w14:paraId="15B7B8B6" w14:textId="6000E7CB" w:rsidR="00D80E45" w:rsidRDefault="00C24787" w:rsidP="009A0AFC">
      <w:pPr>
        <w:pStyle w:val="BodyText"/>
      </w:pPr>
      <w:r>
        <w:t>The Gungahlin Town Centre Planning Refresh building height recommendations incorporated into DV364 are required to minimise overshadowing, bulk and scale on existing adjacent low scale residential</w:t>
      </w:r>
      <w:r w:rsidR="00DA68B4">
        <w:t xml:space="preserve"> buildings</w:t>
      </w:r>
      <w:r>
        <w:t xml:space="preserve">. Future blocks in Precinct 2b </w:t>
      </w:r>
      <w:r w:rsidR="00D80E45">
        <w:t xml:space="preserve">will be developed or redeveloped in the future </w:t>
      </w:r>
      <w:r>
        <w:t>with</w:t>
      </w:r>
      <w:r w:rsidR="003E3CF6">
        <w:t xml:space="preserve"> a</w:t>
      </w:r>
      <w:r w:rsidR="00D80E45">
        <w:t xml:space="preserve"> maximum building height of 14 storeys (approximately 51m high), stepping down, west to east, to 7 storeys towards the existing residential area on the eastern edge of the precinct.</w:t>
      </w:r>
      <w:r>
        <w:rPr>
          <w:rStyle w:val="FootnoteReference"/>
        </w:rPr>
        <w:footnoteReference w:id="77"/>
      </w:r>
      <w:r w:rsidR="00D80E45">
        <w:t xml:space="preserve"> </w:t>
      </w:r>
    </w:p>
    <w:p w14:paraId="3487A891" w14:textId="77777777" w:rsidR="00865879" w:rsidRDefault="00865879" w:rsidP="00DB6EED">
      <w:pPr>
        <w:pStyle w:val="Heading4"/>
        <w:keepNext w:val="0"/>
      </w:pPr>
      <w:r>
        <w:t>Committee Comment</w:t>
      </w:r>
    </w:p>
    <w:p w14:paraId="366A944B" w14:textId="5F2E63FC" w:rsidR="009A0AFC" w:rsidRDefault="009A0AFC" w:rsidP="00DB6EED">
      <w:pPr>
        <w:pStyle w:val="BodyText"/>
      </w:pPr>
      <w:r>
        <w:t xml:space="preserve">The Committee notes that the changes to building heights were broadly supported by the evidence submitted to the inquiry except for block </w:t>
      </w:r>
      <w:r w:rsidR="008B1975">
        <w:t>6 section 88</w:t>
      </w:r>
      <w:r>
        <w:t xml:space="preserve">. The Committee notes that provision has been made for some blocks to have an additional two storeys if exceptional design can be demonstrated </w:t>
      </w:r>
      <w:r w:rsidR="008B1975">
        <w:t xml:space="preserve">(C47) </w:t>
      </w:r>
      <w:r>
        <w:t xml:space="preserve">and believes this should be applied to all blocks. </w:t>
      </w:r>
    </w:p>
    <w:p w14:paraId="755E0023" w14:textId="49FF7A12" w:rsidR="00CD0A75" w:rsidRDefault="00CD0A75" w:rsidP="00DB6EED">
      <w:pPr>
        <w:pStyle w:val="RecommendationHeading"/>
        <w:keepNext/>
      </w:pPr>
      <w:bookmarkStart w:id="77" w:name="_Toc83893110"/>
      <w:r>
        <w:t>Recommendation 5</w:t>
      </w:r>
      <w:bookmarkEnd w:id="77"/>
    </w:p>
    <w:p w14:paraId="1A183499" w14:textId="75D5ADB2" w:rsidR="00C3127B" w:rsidRDefault="00C24787" w:rsidP="00C3127B">
      <w:pPr>
        <w:pStyle w:val="RecommendationText"/>
      </w:pPr>
      <w:bookmarkStart w:id="78" w:name="_Toc83893111"/>
      <w:r>
        <w:t xml:space="preserve">The ACT Government apply the provision for an additional </w:t>
      </w:r>
      <w:r w:rsidR="003E3CF6">
        <w:t>two</w:t>
      </w:r>
      <w:r>
        <w:t xml:space="preserve"> storeys of building height to all blocks with height limit provisions in the town centre</w:t>
      </w:r>
      <w:r w:rsidR="00C3127B" w:rsidRPr="00C3127B">
        <w:t>.</w:t>
      </w:r>
      <w:bookmarkEnd w:id="78"/>
    </w:p>
    <w:p w14:paraId="28773600" w14:textId="4B878693" w:rsidR="009A0AFC" w:rsidRDefault="009A0AFC" w:rsidP="00B6073E">
      <w:pPr>
        <w:pStyle w:val="Heading3"/>
      </w:pPr>
      <w:bookmarkStart w:id="79" w:name="_Toc83893137"/>
      <w:r>
        <w:t>Traffic and active travel considerations</w:t>
      </w:r>
      <w:bookmarkEnd w:id="79"/>
    </w:p>
    <w:p w14:paraId="23AC5CDE" w14:textId="168E596E" w:rsidR="00D37E23" w:rsidRDefault="00B11841" w:rsidP="009A0AFC">
      <w:pPr>
        <w:pStyle w:val="BodyText"/>
      </w:pPr>
      <w:r>
        <w:t xml:space="preserve">The broader Gungahlin district transport network was considered as part of the Gungahlin Planning Refresh as it is part of a wider </w:t>
      </w:r>
      <w:r w:rsidR="00DA68B4">
        <w:t xml:space="preserve">ACT transport </w:t>
      </w:r>
      <w:r>
        <w:t>network. The 2016 Census journey to work data showed that 81% of Gungahlin workers travelled outside of the district for employment and 77.4% of these workers travel to work by car, resulting in high levels of traffic on arterial roads of the Gungahlin district road network during peak hour. Transport modelling found that high levels of vehicle traffic already use the arterial road network for interdistrict travel and that potential increased residential growth within the town centre in the short and medium term will not significantly add to these issues.</w:t>
      </w:r>
      <w:r w:rsidR="001A6441">
        <w:rPr>
          <w:rStyle w:val="FootnoteReference"/>
        </w:rPr>
        <w:footnoteReference w:id="78"/>
      </w:r>
      <w:r w:rsidR="001A6441">
        <w:t xml:space="preserve"> </w:t>
      </w:r>
    </w:p>
    <w:p w14:paraId="770B9733" w14:textId="5EC416D2" w:rsidR="00B11841" w:rsidRDefault="001A6441" w:rsidP="009A0AFC">
      <w:pPr>
        <w:pStyle w:val="BodyText"/>
      </w:pPr>
      <w:r>
        <w:t>The light rail project has since been completed and will impact on traffic flows, public transport and parking in the Gungahlin Town Centre.</w:t>
      </w:r>
    </w:p>
    <w:p w14:paraId="463871FF" w14:textId="25D771B0" w:rsidR="001A6441" w:rsidRDefault="001A6441" w:rsidP="009A0AFC">
      <w:pPr>
        <w:pStyle w:val="BodyText"/>
      </w:pPr>
      <w:r w:rsidRPr="001A6441">
        <w:t>Sharee Schultz</w:t>
      </w:r>
      <w:r>
        <w:t xml:space="preserve"> in her s</w:t>
      </w:r>
      <w:r w:rsidR="000F47F3" w:rsidRPr="001A6441">
        <w:t xml:space="preserve">ubmission </w:t>
      </w:r>
      <w:r>
        <w:t>stated that t</w:t>
      </w:r>
      <w:r w:rsidR="000F47F3">
        <w:t xml:space="preserve">raffic </w:t>
      </w:r>
      <w:r>
        <w:t xml:space="preserve">flows in the </w:t>
      </w:r>
      <w:r w:rsidR="000F47F3">
        <w:t xml:space="preserve">Gungahlin </w:t>
      </w:r>
      <w:r w:rsidR="00C85E1B">
        <w:t>T</w:t>
      </w:r>
      <w:r w:rsidR="000F47F3">
        <w:t xml:space="preserve">own </w:t>
      </w:r>
      <w:r w:rsidR="00C85E1B">
        <w:t>C</w:t>
      </w:r>
      <w:r w:rsidR="000F47F3">
        <w:t xml:space="preserve">entre </w:t>
      </w:r>
      <w:r>
        <w:t>are a</w:t>
      </w:r>
      <w:r w:rsidR="000F47F3">
        <w:t xml:space="preserve"> </w:t>
      </w:r>
      <w:r>
        <w:t>“</w:t>
      </w:r>
      <w:r w:rsidR="000F47F3">
        <w:t>nightmare</w:t>
      </w:r>
      <w:r>
        <w:t>”</w:t>
      </w:r>
      <w:r w:rsidR="000F47F3">
        <w:t xml:space="preserve">. </w:t>
      </w:r>
      <w:r>
        <w:t>She specifically noted that:</w:t>
      </w:r>
    </w:p>
    <w:p w14:paraId="7C816A67" w14:textId="77777777" w:rsidR="000C0542" w:rsidRDefault="000C0542" w:rsidP="000C0542">
      <w:pPr>
        <w:pStyle w:val="ListBullet"/>
      </w:pPr>
      <w:r>
        <w:t>e</w:t>
      </w:r>
      <w:r w:rsidR="000F47F3">
        <w:t>ntry and exit from the Kmart shopping centre banks up due to it being so close to the intersection. When pedestrians can cross, vehicles are allowed to turn at the same time</w:t>
      </w:r>
      <w:r>
        <w:t>;</w:t>
      </w:r>
    </w:p>
    <w:p w14:paraId="67A89755" w14:textId="3382FB01" w:rsidR="000C0542" w:rsidRDefault="000F47F3" w:rsidP="000C0542">
      <w:pPr>
        <w:pStyle w:val="ListBullet"/>
      </w:pPr>
      <w:r>
        <w:t>the configuration of lights at the Valley Way intersection only allows a few cars to go through before turning red</w:t>
      </w:r>
      <w:r w:rsidR="000C0542">
        <w:t xml:space="preserve">, </w:t>
      </w:r>
      <w:r>
        <w:t>creat</w:t>
      </w:r>
      <w:r w:rsidR="00CC405F">
        <w:t>ing</w:t>
      </w:r>
      <w:r>
        <w:t xml:space="preserve"> a bank up of cars along Valley Way</w:t>
      </w:r>
      <w:r w:rsidR="001A6441">
        <w:t xml:space="preserve">; </w:t>
      </w:r>
    </w:p>
    <w:p w14:paraId="4104CEDB" w14:textId="4C9A03EF" w:rsidR="001A6441" w:rsidRDefault="000C0542" w:rsidP="000C0542">
      <w:pPr>
        <w:pStyle w:val="ListBullet"/>
      </w:pPr>
      <w:r>
        <w:t xml:space="preserve">these traffic issues need to be addressed before allowing more apartments into the town centre; </w:t>
      </w:r>
      <w:r w:rsidR="001A6441">
        <w:t>and</w:t>
      </w:r>
    </w:p>
    <w:p w14:paraId="1E36CBFE" w14:textId="0B40749A" w:rsidR="00865879" w:rsidRDefault="000C0542" w:rsidP="000C0542">
      <w:pPr>
        <w:pStyle w:val="ListBullet"/>
      </w:pPr>
      <w:r>
        <w:t>t</w:t>
      </w:r>
      <w:r w:rsidR="000F47F3">
        <w:t xml:space="preserve">here </w:t>
      </w:r>
      <w:r>
        <w:t>are</w:t>
      </w:r>
      <w:r w:rsidR="000F47F3">
        <w:t xml:space="preserve"> parking problems around </w:t>
      </w:r>
      <w:r w:rsidR="00306EF7">
        <w:t>mixed use</w:t>
      </w:r>
      <w:r w:rsidR="000F47F3">
        <w:t xml:space="preserve"> buildings, </w:t>
      </w:r>
      <w:r w:rsidR="00DA68B4">
        <w:t>there are</w:t>
      </w:r>
      <w:r w:rsidR="000F47F3">
        <w:t xml:space="preserve"> numerous vehicles illegally parked and damaging green space areas</w:t>
      </w:r>
      <w:r>
        <w:t>, e</w:t>
      </w:r>
      <w:r w:rsidR="000F47F3">
        <w:t>specially around Gungahlin Place. Currently people are using the land behind the Market Place to park, but eventually that land will be sold, where will all those people pa</w:t>
      </w:r>
      <w:r>
        <w:t>rk</w:t>
      </w:r>
      <w:r w:rsidR="000F47F3">
        <w:t xml:space="preserve">? </w:t>
      </w:r>
      <w:r w:rsidR="00DA68B4">
        <w:t xml:space="preserve">More </w:t>
      </w:r>
      <w:r w:rsidR="00306EF7">
        <w:t>mixed use</w:t>
      </w:r>
      <w:r w:rsidR="000F47F3">
        <w:t xml:space="preserve"> buildings within the town centre</w:t>
      </w:r>
      <w:r w:rsidR="00DA68B4">
        <w:t xml:space="preserve"> will only exacerbate this </w:t>
      </w:r>
      <w:r w:rsidR="000F47F3">
        <w:t>issue</w:t>
      </w:r>
      <w:r w:rsidR="001A6441">
        <w:t>.</w:t>
      </w:r>
      <w:r w:rsidR="00D37E23">
        <w:rPr>
          <w:rStyle w:val="FootnoteReference"/>
        </w:rPr>
        <w:footnoteReference w:id="79"/>
      </w:r>
    </w:p>
    <w:p w14:paraId="0AD99836" w14:textId="509F8B9F" w:rsidR="00D37E23" w:rsidRDefault="00D37E23" w:rsidP="00DA68B4">
      <w:pPr>
        <w:pStyle w:val="BodyText"/>
        <w:keepNext/>
        <w:keepLines/>
      </w:pPr>
      <w:r>
        <w:t xml:space="preserve">Jennifer See in her submission </w:t>
      </w:r>
      <w:r w:rsidR="00CC405F">
        <w:t>outlined the congestion problems</w:t>
      </w:r>
      <w:r>
        <w:t>:</w:t>
      </w:r>
    </w:p>
    <w:p w14:paraId="5441605E" w14:textId="1FB67ACE" w:rsidR="003F7614" w:rsidRDefault="00D37E23" w:rsidP="00D37E23">
      <w:pPr>
        <w:pStyle w:val="Quote"/>
      </w:pPr>
      <w:r>
        <w:t>“</w:t>
      </w:r>
      <w:r w:rsidR="003F7614">
        <w:t>the significant boost in population and lack of viable office jobs (with the exception of ACT Shared Services) means</w:t>
      </w:r>
      <w:r w:rsidR="00DA68B4">
        <w:t>….i</w:t>
      </w:r>
      <w:r w:rsidR="003F7614">
        <w:t>t takes 35 minutes to an hour each way to commute to Woden for work. The light rail is not a viable option for many, so we are left with long commutes to get to work. Investing in office infrastructure for large businesses and government departments means Gungahlin residents are off the roads</w:t>
      </w:r>
      <w:r>
        <w:t>.”.</w:t>
      </w:r>
      <w:r>
        <w:rPr>
          <w:rStyle w:val="FootnoteReference"/>
        </w:rPr>
        <w:footnoteReference w:id="80"/>
      </w:r>
    </w:p>
    <w:p w14:paraId="2E6EBA4A" w14:textId="110835B3" w:rsidR="00711927" w:rsidRDefault="00AF3CB0" w:rsidP="00711927">
      <w:pPr>
        <w:pStyle w:val="BodyText"/>
      </w:pPr>
      <w:r>
        <w:t>George</w:t>
      </w:r>
      <w:r w:rsidR="00711927">
        <w:t xml:space="preserve"> Katheklakis</w:t>
      </w:r>
      <w:r w:rsidR="00A304F7">
        <w:t xml:space="preserve"> (Director, KDN Group)</w:t>
      </w:r>
      <w:r w:rsidR="00711927">
        <w:t xml:space="preserve"> in his appearance before the committee noted that in relation to mixed use precincts and town centres, one thing that keeps getting missed is the parking strategy. There needs to be a strategy as to how people are going to utilise the parking facilities in the town centre and if there is going to be paid parking in an area or not. Currently, Gungahlin </w:t>
      </w:r>
      <w:r w:rsidR="00C85E1B">
        <w:t>T</w:t>
      </w:r>
      <w:r w:rsidR="00711927">
        <w:t xml:space="preserve">own </w:t>
      </w:r>
      <w:r w:rsidR="00C85E1B">
        <w:t>C</w:t>
      </w:r>
      <w:r w:rsidR="00711927">
        <w:t>entre has no pay parking. That is different from every other town centre.</w:t>
      </w:r>
      <w:r w:rsidR="00711927">
        <w:rPr>
          <w:rStyle w:val="FootnoteReference"/>
        </w:rPr>
        <w:footnoteReference w:id="81"/>
      </w:r>
    </w:p>
    <w:p w14:paraId="540C7526" w14:textId="686CBBD5" w:rsidR="00865879" w:rsidRDefault="00865879" w:rsidP="00B6073E">
      <w:pPr>
        <w:pStyle w:val="Heading4"/>
      </w:pPr>
      <w:r>
        <w:t>Committee Comment</w:t>
      </w:r>
    </w:p>
    <w:p w14:paraId="31C7E50D" w14:textId="24AC5C7D" w:rsidR="009A0AFC" w:rsidRDefault="009A0AFC" w:rsidP="009A0AFC">
      <w:pPr>
        <w:pStyle w:val="BodyText"/>
      </w:pPr>
      <w:r>
        <w:t xml:space="preserve">The Committee notes traffic and transport assessments for the town centre are anticipated to be undertaken in </w:t>
      </w:r>
      <w:r w:rsidR="008569EB">
        <w:t xml:space="preserve">the </w:t>
      </w:r>
      <w:r>
        <w:t xml:space="preserve">next 12 months and that these studies will consider how vehicle and active transport conditions within the town centre can be improved. The Committee also notes that the Gungahlin Town Centre Snapshot </w:t>
      </w:r>
      <w:r w:rsidR="00CC405F">
        <w:t xml:space="preserve">proposed </w:t>
      </w:r>
      <w:r>
        <w:t xml:space="preserve">several pedestrian links that should be supported. It is unclear however how the outcomes of the traffic survey and the </w:t>
      </w:r>
      <w:r w:rsidR="008569EB">
        <w:t>p</w:t>
      </w:r>
      <w:r>
        <w:t>riorities of the active travel links in the town centre snapshot are to be incorporated into the territory plan through positioning of active frontages and other vehicle and parking arrangements.</w:t>
      </w:r>
    </w:p>
    <w:p w14:paraId="3D38763B" w14:textId="3546F30A" w:rsidR="00CD0A75" w:rsidRDefault="00CD0A75" w:rsidP="00CD0A75">
      <w:pPr>
        <w:pStyle w:val="RecommendationHeading"/>
      </w:pPr>
      <w:bookmarkStart w:id="80" w:name="_Toc83893112"/>
      <w:r>
        <w:t>Recommendation 6</w:t>
      </w:r>
      <w:bookmarkEnd w:id="80"/>
    </w:p>
    <w:p w14:paraId="099ECB07" w14:textId="1B96E998" w:rsidR="00C3127B" w:rsidRDefault="00C3127B" w:rsidP="00C3127B">
      <w:pPr>
        <w:pStyle w:val="RecommendationText"/>
      </w:pPr>
      <w:bookmarkStart w:id="81" w:name="_Toc83893113"/>
      <w:r w:rsidRPr="00C3127B">
        <w:t>The Committee recommends active travel and vehicle and parking arrang</w:t>
      </w:r>
      <w:r>
        <w:t>e</w:t>
      </w:r>
      <w:r w:rsidRPr="00C3127B">
        <w:t>ments are reconsidered following the comp</w:t>
      </w:r>
      <w:r w:rsidR="00DA68B4">
        <w:t>l</w:t>
      </w:r>
      <w:r w:rsidRPr="00C3127B">
        <w:t>etion of the traffic and transport assessments being undertaken by Transport Canberra and City Services.</w:t>
      </w:r>
      <w:bookmarkEnd w:id="81"/>
    </w:p>
    <w:p w14:paraId="527A7350" w14:textId="44B81CC4" w:rsidR="009A0AFC" w:rsidRDefault="009A0AFC" w:rsidP="00B6073E">
      <w:pPr>
        <w:pStyle w:val="Heading3"/>
      </w:pPr>
      <w:bookmarkStart w:id="82" w:name="_Toc83893138"/>
      <w:r>
        <w:t>Public Realm</w:t>
      </w:r>
      <w:bookmarkEnd w:id="82"/>
    </w:p>
    <w:p w14:paraId="7DD136B4" w14:textId="44A18428" w:rsidR="00824CD7" w:rsidRDefault="006F784B" w:rsidP="009A0AFC">
      <w:pPr>
        <w:pStyle w:val="BodyText"/>
      </w:pPr>
      <w:r>
        <w:t>The Gungahlin Planning Refresh states that the</w:t>
      </w:r>
      <w:r w:rsidR="00824CD7">
        <w:t xml:space="preserve"> town centre’s network of streets, linear parks, trees and other open spaces all contribute to the setting of the town centre and its public domain.</w:t>
      </w:r>
      <w:r w:rsidR="00D05F2F">
        <w:t xml:space="preserve"> The public realm in the town centre is characterised by hard surfaces, </w:t>
      </w:r>
      <w:r w:rsidR="00CC405F">
        <w:t xml:space="preserve">and a </w:t>
      </w:r>
      <w:r w:rsidR="00D05F2F">
        <w:t>lack of ‘green’ areas that are not utilised to their full potential. Softening the spaces with landscaping and activating the public realm can be used to increase the town centre’s appeal and contribute to a vibrant and well used open space network.</w:t>
      </w:r>
      <w:r w:rsidR="00824CD7">
        <w:rPr>
          <w:rStyle w:val="FootnoteReference"/>
        </w:rPr>
        <w:footnoteReference w:id="82"/>
      </w:r>
      <w:r w:rsidR="00824CD7">
        <w:t xml:space="preserve"> </w:t>
      </w:r>
    </w:p>
    <w:p w14:paraId="4BF84219" w14:textId="0AD7FCB8" w:rsidR="00B33F72" w:rsidRDefault="006F784B" w:rsidP="009A0AFC">
      <w:pPr>
        <w:pStyle w:val="BodyText"/>
      </w:pPr>
      <w:r>
        <w:t>The lack of ‘green’ in the town ce</w:t>
      </w:r>
      <w:r w:rsidRPr="006F784B">
        <w:t>ntre is also noted by Sharee Schultz</w:t>
      </w:r>
      <w:r>
        <w:t xml:space="preserve"> in her s</w:t>
      </w:r>
      <w:r w:rsidR="000F47F3" w:rsidRPr="006F784B">
        <w:t>ubmis</w:t>
      </w:r>
      <w:r>
        <w:t>s</w:t>
      </w:r>
      <w:r w:rsidR="000F47F3" w:rsidRPr="006F784B">
        <w:t xml:space="preserve">ion </w:t>
      </w:r>
      <w:r>
        <w:t>to the inquiry</w:t>
      </w:r>
      <w:r w:rsidR="00B33F72">
        <w:t xml:space="preserve"> stated that:</w:t>
      </w:r>
    </w:p>
    <w:p w14:paraId="71D2067F" w14:textId="6595FF4C" w:rsidR="00865879" w:rsidRDefault="00B33F72" w:rsidP="00B33F72">
      <w:pPr>
        <w:pStyle w:val="Quote"/>
      </w:pPr>
      <w:r>
        <w:t>“currently the Gungahlin area is becoming a concrete jungle. There is not much greenery and it is quite dark and feels enclosed. As a mother, there is no safe areas for children to play while parents have a coffee. The cars drive through the main town centre, which pollutes all the eating areas outside the shops. I would have designed that the cars and buses go around that whole area and not through the middle”</w:t>
      </w:r>
      <w:r w:rsidR="000F47F3">
        <w:t>.</w:t>
      </w:r>
      <w:r w:rsidR="006F784B">
        <w:rPr>
          <w:rStyle w:val="FootnoteReference"/>
        </w:rPr>
        <w:footnoteReference w:id="83"/>
      </w:r>
    </w:p>
    <w:p w14:paraId="116DA084" w14:textId="1D57E488" w:rsidR="00F24EA0" w:rsidRDefault="001B0847" w:rsidP="001B0847">
      <w:pPr>
        <w:pStyle w:val="BodyText"/>
      </w:pPr>
      <w:r>
        <w:t xml:space="preserve">The Minister for Planning and Land Management, Mick Gentleman MLA, appeared before the committee with </w:t>
      </w:r>
      <w:r w:rsidR="00CC405F">
        <w:t xml:space="preserve">Directorate </w:t>
      </w:r>
      <w:r>
        <w:t xml:space="preserve">officers. The committee noted comments from contributors about the change in the active frontages in the town centre, and asked the Minister and officials to respond. The Directorate stated that </w:t>
      </w:r>
      <w:r w:rsidR="00A41CEF">
        <w:t>through</w:t>
      </w:r>
      <w:r>
        <w:t xml:space="preserve"> DV364</w:t>
      </w:r>
      <w:r w:rsidR="00F24EA0">
        <w:t xml:space="preserve"> th</w:t>
      </w:r>
      <w:r w:rsidR="00A41CEF">
        <w:t>at</w:t>
      </w:r>
      <w:r w:rsidR="00F24EA0">
        <w:t>:</w:t>
      </w:r>
    </w:p>
    <w:p w14:paraId="5879EFD7" w14:textId="667FF4D0" w:rsidR="00F24EA0" w:rsidRDefault="00F24EA0" w:rsidP="00F24EA0">
      <w:pPr>
        <w:pStyle w:val="ListBullet"/>
      </w:pPr>
      <w:r>
        <w:t>where public realm changes might be important give an indication along particular frontages of the focus of use—mixed use or commercial or activation—because we want it for surveillance or activation purposes;</w:t>
      </w:r>
      <w:r>
        <w:rPr>
          <w:rStyle w:val="FootnoteReference"/>
        </w:rPr>
        <w:footnoteReference w:id="84"/>
      </w:r>
      <w:r>
        <w:t xml:space="preserve"> and</w:t>
      </w:r>
    </w:p>
    <w:p w14:paraId="6EE1F79E" w14:textId="01A29ACA" w:rsidR="00790F88" w:rsidRDefault="00A41CEF" w:rsidP="00F24EA0">
      <w:pPr>
        <w:pStyle w:val="ListBullet"/>
      </w:pPr>
      <w:r>
        <w:t xml:space="preserve">they have </w:t>
      </w:r>
      <w:r w:rsidR="00790F88">
        <w:t>strengthen</w:t>
      </w:r>
      <w:r w:rsidR="00F24EA0">
        <w:t>ed</w:t>
      </w:r>
      <w:r w:rsidR="00790F88">
        <w:t>, tighten</w:t>
      </w:r>
      <w:r w:rsidR="00F24EA0">
        <w:t>ed</w:t>
      </w:r>
      <w:r w:rsidR="00790F88">
        <w:t xml:space="preserve">, </w:t>
      </w:r>
      <w:r w:rsidR="00F24EA0">
        <w:t>or</w:t>
      </w:r>
      <w:r w:rsidR="00790F88">
        <w:t xml:space="preserve"> relax</w:t>
      </w:r>
      <w:r w:rsidR="00F24EA0">
        <w:t>ed</w:t>
      </w:r>
      <w:r w:rsidR="00790F88">
        <w:t xml:space="preserve"> the need for active frontages</w:t>
      </w:r>
      <w:r>
        <w:t>, i</w:t>
      </w:r>
      <w:r w:rsidR="00790F88">
        <w:t xml:space="preserve">n some locations there is </w:t>
      </w:r>
      <w:r>
        <w:t>an</w:t>
      </w:r>
      <w:r w:rsidR="00790F88">
        <w:t xml:space="preserve"> opportunity on the ground floor—not in the main pedestrian thoroughfares—to have some residential </w:t>
      </w:r>
      <w:r w:rsidR="00CC405F">
        <w:t xml:space="preserve">use </w:t>
      </w:r>
      <w:r w:rsidR="00790F88">
        <w:t>in very selected locations</w:t>
      </w:r>
      <w:r w:rsidR="00F24EA0">
        <w:t>.</w:t>
      </w:r>
      <w:r w:rsidR="00F24EA0">
        <w:rPr>
          <w:rStyle w:val="FootnoteReference"/>
        </w:rPr>
        <w:footnoteReference w:id="85"/>
      </w:r>
    </w:p>
    <w:p w14:paraId="0C341E7A" w14:textId="43D81E68" w:rsidR="004A2C95" w:rsidRDefault="00F24EA0" w:rsidP="009A0AFC">
      <w:pPr>
        <w:pStyle w:val="BodyText"/>
      </w:pPr>
      <w:r>
        <w:t xml:space="preserve">Adina </w:t>
      </w:r>
      <w:r w:rsidR="000E6616">
        <w:t>Cirson</w:t>
      </w:r>
      <w:r w:rsidR="00A304F7">
        <w:t xml:space="preserve"> (ACT Executive Director, Property Council of Australia)</w:t>
      </w:r>
      <w:r w:rsidR="000E6616">
        <w:t xml:space="preserve"> </w:t>
      </w:r>
      <w:r>
        <w:t>in her appearance before the committee in hearings of 29 July 2021 noted that</w:t>
      </w:r>
      <w:r w:rsidR="004A2C95">
        <w:t>:</w:t>
      </w:r>
    </w:p>
    <w:p w14:paraId="2591EADB" w14:textId="4432D9C4" w:rsidR="004A2C95" w:rsidRDefault="00F24EA0" w:rsidP="009A0AFC">
      <w:pPr>
        <w:pStyle w:val="ListBullet"/>
      </w:pPr>
      <w:r>
        <w:t xml:space="preserve">there is a </w:t>
      </w:r>
      <w:r w:rsidR="000E6616">
        <w:t xml:space="preserve">need </w:t>
      </w:r>
      <w:r w:rsidR="00A41CEF">
        <w:t xml:space="preserve">for </w:t>
      </w:r>
      <w:r w:rsidR="000E6616">
        <w:t>good public realm and good connections between commercial and residential development and linkages back into the main town centre area. The</w:t>
      </w:r>
      <w:r>
        <w:t>se</w:t>
      </w:r>
      <w:r w:rsidR="000E6616">
        <w:t xml:space="preserve"> are things that </w:t>
      </w:r>
      <w:r w:rsidR="00AD2DBC">
        <w:t>are</w:t>
      </w:r>
      <w:r w:rsidR="000E6616">
        <w:t xml:space="preserve"> affected through </w:t>
      </w:r>
      <w:r w:rsidR="00AD2DBC">
        <w:t>DV364</w:t>
      </w:r>
      <w:r w:rsidR="004A2C95">
        <w:t>;</w:t>
      </w:r>
      <w:r>
        <w:rPr>
          <w:rStyle w:val="FootnoteReference"/>
        </w:rPr>
        <w:footnoteReference w:id="86"/>
      </w:r>
      <w:r w:rsidR="004A2C95">
        <w:t xml:space="preserve"> and</w:t>
      </w:r>
    </w:p>
    <w:p w14:paraId="0DEE07A0" w14:textId="574C59D8" w:rsidR="001B0847" w:rsidRDefault="001B0847" w:rsidP="009A0AFC">
      <w:pPr>
        <w:pStyle w:val="ListBullet"/>
      </w:pPr>
      <w:r>
        <w:t>good precinct development needs to be strategic</w:t>
      </w:r>
      <w:r w:rsidR="004F1DF3">
        <w:t>, i</w:t>
      </w:r>
      <w:r>
        <w:t>t needs to look at the whole area. Single developers like those at New Acton have the advantage of doing their own master plan and delivering those things with the right mixes.</w:t>
      </w:r>
      <w:r w:rsidR="00225427">
        <w:rPr>
          <w:rStyle w:val="FootnoteReference"/>
        </w:rPr>
        <w:footnoteReference w:id="87"/>
      </w:r>
    </w:p>
    <w:p w14:paraId="3D728B5E" w14:textId="530DAD12" w:rsidR="006B0E47" w:rsidRDefault="00225427" w:rsidP="00DB6EED">
      <w:pPr>
        <w:pStyle w:val="BodyText"/>
      </w:pPr>
      <w:r>
        <w:t>Nichelle Jackson</w:t>
      </w:r>
      <w:r w:rsidR="00D948E7">
        <w:t xml:space="preserve"> (Director, Canberra Town Planning, representing Landco Pty Ltd)</w:t>
      </w:r>
      <w:r w:rsidR="00CC405F">
        <w:t>,</w:t>
      </w:r>
      <w:r>
        <w:t xml:space="preserve"> in her appearance before the committee</w:t>
      </w:r>
      <w:r w:rsidR="00CC405F">
        <w:t xml:space="preserve">, </w:t>
      </w:r>
      <w:r>
        <w:t xml:space="preserve">noted that DV364 </w:t>
      </w:r>
      <w:r w:rsidR="006B0E47">
        <w:t>imped</w:t>
      </w:r>
      <w:r>
        <w:t>ed development with the</w:t>
      </w:r>
      <w:r w:rsidR="006B0E47">
        <w:t xml:space="preserve"> wording of the requirement for the active uses at ground level. Non-retail commercial use is the term that applies to the definition of office. “Office” is not considered an active use, so the ground level would not provide for offices at the ground level under the code.</w:t>
      </w:r>
      <w:r>
        <w:rPr>
          <w:rStyle w:val="FootnoteReference"/>
        </w:rPr>
        <w:footnoteReference w:id="88"/>
      </w:r>
    </w:p>
    <w:p w14:paraId="080DFA05" w14:textId="37ED581E" w:rsidR="001B0847" w:rsidRDefault="00AF3CB0" w:rsidP="001B0847">
      <w:pPr>
        <w:pStyle w:val="BodyText"/>
      </w:pPr>
      <w:r>
        <w:t>This view was support by George</w:t>
      </w:r>
      <w:r w:rsidR="001B0847">
        <w:t xml:space="preserve"> Katheklakis</w:t>
      </w:r>
      <w:r w:rsidR="00A304F7">
        <w:t xml:space="preserve"> (Director, KDN Group)</w:t>
      </w:r>
      <w:r>
        <w:t xml:space="preserve"> in his appearance before the committee who noted</w:t>
      </w:r>
      <w:r w:rsidR="001B0847">
        <w:t xml:space="preserve"> that </w:t>
      </w:r>
      <w:r w:rsidR="00A41CEF">
        <w:t>“</w:t>
      </w:r>
      <w:r w:rsidR="001B0847">
        <w:t>you cannot have a continuous line of active uses, especially if it is a commercial office building. You can have a cafe or a</w:t>
      </w:r>
      <w:r>
        <w:t>nother</w:t>
      </w:r>
      <w:r w:rsidR="001B0847">
        <w:t xml:space="preserve"> small shop, but to have</w:t>
      </w:r>
      <w:r w:rsidR="009B6081">
        <w:t xml:space="preserve"> </w:t>
      </w:r>
      <w:r>
        <w:t>an</w:t>
      </w:r>
      <w:r w:rsidR="001B0847">
        <w:t xml:space="preserve"> expectation that </w:t>
      </w:r>
      <w:r>
        <w:t>there will be</w:t>
      </w:r>
      <w:r w:rsidR="001B0847">
        <w:t xml:space="preserve"> a continuous promenade of cafes like the Champs Elysees is out of the question</w:t>
      </w:r>
      <w:r w:rsidR="00A41CEF">
        <w:t>”</w:t>
      </w:r>
      <w:r w:rsidR="001B0847">
        <w:t>.</w:t>
      </w:r>
      <w:r>
        <w:rPr>
          <w:rStyle w:val="FootnoteReference"/>
        </w:rPr>
        <w:footnoteReference w:id="89"/>
      </w:r>
    </w:p>
    <w:p w14:paraId="1BC0D87A" w14:textId="77777777" w:rsidR="00865879" w:rsidRDefault="00865879" w:rsidP="00B6073E">
      <w:pPr>
        <w:pStyle w:val="Heading4"/>
      </w:pPr>
      <w:r>
        <w:t>Committee Comment</w:t>
      </w:r>
    </w:p>
    <w:p w14:paraId="5CAAFB76" w14:textId="070E69F8" w:rsidR="009A0AFC" w:rsidRDefault="009A0AFC" w:rsidP="009A0AFC">
      <w:pPr>
        <w:pStyle w:val="BodyText"/>
      </w:pPr>
      <w:r>
        <w:t>The Committee notes in the desired outcomes of the territory plan variation includes “build upon the distinct public domain character and provide opportunity for variety and change in the public realm”. It is unclear to the committee what public realm changes will occur because of the variation especially given the location of active frontages and the impact this will have on activating or not activating key public realm areas.</w:t>
      </w:r>
    </w:p>
    <w:p w14:paraId="4F03F083" w14:textId="66C1E0CF" w:rsidR="00A41CEF" w:rsidRDefault="00A41CEF" w:rsidP="009A0AFC">
      <w:pPr>
        <w:pStyle w:val="BodyText"/>
      </w:pPr>
      <w:r>
        <w:t>The committee also notes that community space should be determined by floor are, not land area.</w:t>
      </w:r>
    </w:p>
    <w:p w14:paraId="3E361ACD" w14:textId="3F9A5A69" w:rsidR="00CD0A75" w:rsidRDefault="00CD0A75" w:rsidP="00CD0A75">
      <w:pPr>
        <w:pStyle w:val="RecommendationHeading"/>
      </w:pPr>
      <w:bookmarkStart w:id="83" w:name="_Toc83893114"/>
      <w:r>
        <w:t>Recommendation 7</w:t>
      </w:r>
      <w:bookmarkEnd w:id="83"/>
    </w:p>
    <w:p w14:paraId="6B9BE384" w14:textId="312510D6" w:rsidR="00C3127B" w:rsidRDefault="00C3127B" w:rsidP="00C3127B">
      <w:pPr>
        <w:pStyle w:val="RecommendationText"/>
      </w:pPr>
      <w:bookmarkStart w:id="84" w:name="_Toc83893115"/>
      <w:r w:rsidRPr="00C3127B">
        <w:t>The Committee recommends active frontage placements are reconsidered with priority to having active frontages in areas identified as pedestrian throughfares.</w:t>
      </w:r>
      <w:bookmarkEnd w:id="84"/>
    </w:p>
    <w:p w14:paraId="6D2DB44D" w14:textId="7B97D3E6" w:rsidR="009A0AFC" w:rsidRDefault="009A0AFC" w:rsidP="00B6073E">
      <w:pPr>
        <w:pStyle w:val="Heading3"/>
      </w:pPr>
      <w:bookmarkStart w:id="85" w:name="_Toc83893139"/>
      <w:r>
        <w:t>Scope of area considered</w:t>
      </w:r>
      <w:bookmarkEnd w:id="85"/>
    </w:p>
    <w:p w14:paraId="65566722" w14:textId="48AC4EBB" w:rsidR="006F784B" w:rsidRDefault="006F784B" w:rsidP="006F784B">
      <w:pPr>
        <w:pStyle w:val="BodyText"/>
      </w:pPr>
      <w:r>
        <w:t xml:space="preserve">Gungahlin </w:t>
      </w:r>
      <w:r w:rsidR="00C85E1B">
        <w:t>T</w:t>
      </w:r>
      <w:r>
        <w:t xml:space="preserve">own </w:t>
      </w:r>
      <w:r w:rsidR="00C85E1B">
        <w:t>C</w:t>
      </w:r>
      <w:r>
        <w:t xml:space="preserve">entre is surrounded by a substantial open space network with Yerrabi Pond to the north and the Valley Ponds to the west. In the future, a linear park will transect the Gungahlin East precinct. Access to these open spaces </w:t>
      </w:r>
      <w:r w:rsidR="00CC405F">
        <w:t xml:space="preserve">is </w:t>
      </w:r>
      <w:r>
        <w:t>dis</w:t>
      </w:r>
      <w:r w:rsidR="00CC405F">
        <w:t xml:space="preserve">rupted by </w:t>
      </w:r>
      <w:r>
        <w:t>major roads and intersections.</w:t>
      </w:r>
      <w:r>
        <w:rPr>
          <w:rStyle w:val="FootnoteReference"/>
        </w:rPr>
        <w:footnoteReference w:id="90"/>
      </w:r>
      <w:r>
        <w:t xml:space="preserve"> </w:t>
      </w:r>
    </w:p>
    <w:p w14:paraId="53F77CC9" w14:textId="44E2B6AC" w:rsidR="009B6081" w:rsidRDefault="009B6081" w:rsidP="006F784B">
      <w:pPr>
        <w:pStyle w:val="BodyText"/>
      </w:pPr>
      <w:r>
        <w:t>DV364 does not cover the Yerrabi and Valley Ponds areas.</w:t>
      </w:r>
    </w:p>
    <w:p w14:paraId="4886AD04" w14:textId="6625641D" w:rsidR="009B6081" w:rsidRDefault="009B6081" w:rsidP="006F784B">
      <w:pPr>
        <w:pStyle w:val="BodyText"/>
      </w:pPr>
      <w:r>
        <w:t>As noted in many areas of this report by submitters, the lack of a strategic plan for the Gungahlin Town Centre and its surrounds, with consideration being given to the interaction between the buil</w:t>
      </w:r>
      <w:r w:rsidR="00E76217">
        <w:t>t</w:t>
      </w:r>
      <w:r>
        <w:t xml:space="preserve"> form, public spaces, traffic, parking and active travel is impacting the cohesive development of the centre.</w:t>
      </w:r>
    </w:p>
    <w:p w14:paraId="4EBFE34E" w14:textId="77777777" w:rsidR="00865879" w:rsidRDefault="00865879" w:rsidP="00B6073E">
      <w:pPr>
        <w:pStyle w:val="Heading4"/>
      </w:pPr>
      <w:r>
        <w:t>Committee Comment</w:t>
      </w:r>
    </w:p>
    <w:p w14:paraId="267DD29B" w14:textId="1D21FDAB" w:rsidR="009A0AFC" w:rsidRDefault="009A0AFC" w:rsidP="009A0AFC">
      <w:pPr>
        <w:pStyle w:val="BodyText"/>
      </w:pPr>
      <w:r>
        <w:t xml:space="preserve">The Committee understands the study area of the </w:t>
      </w:r>
      <w:r w:rsidR="004E3EA0">
        <w:t>Draft Variation</w:t>
      </w:r>
      <w:r>
        <w:t xml:space="preserve"> has been determined based on the core of the town centre activity. The Committee however notes that the Gungahlin Refresh Snapshot identifies key connections to surrounding areas such as Yerrabi Pond recreational area and key throughfares which are not included in the study area. The Committee is concerned the disconnection of these key connections will lead to missed opportunities and disjoined development in the town centre.</w:t>
      </w:r>
    </w:p>
    <w:p w14:paraId="21C42938" w14:textId="04F95EAD" w:rsidR="00CD0A75" w:rsidRDefault="00CD0A75" w:rsidP="00CD0A75">
      <w:pPr>
        <w:pStyle w:val="RecommendationHeading"/>
      </w:pPr>
      <w:bookmarkStart w:id="86" w:name="_Toc83893116"/>
      <w:r>
        <w:t>Recommendation 8</w:t>
      </w:r>
      <w:bookmarkEnd w:id="86"/>
    </w:p>
    <w:p w14:paraId="0EB6BA1C" w14:textId="5108F53C" w:rsidR="00C3127B" w:rsidRDefault="00C3127B" w:rsidP="00C3127B">
      <w:pPr>
        <w:pStyle w:val="RecommendationText"/>
      </w:pPr>
      <w:bookmarkStart w:id="87" w:name="_Toc83893117"/>
      <w:r w:rsidRPr="00C3127B">
        <w:t xml:space="preserve">The Committee recommends the study area for the Gungahlin Town Centre </w:t>
      </w:r>
      <w:r w:rsidR="004E3EA0">
        <w:t>Draft Variation</w:t>
      </w:r>
      <w:r w:rsidRPr="00C3127B">
        <w:t xml:space="preserve"> be extended to incorporate Yerrabi Pond recreational and commercial area and the key connections of Gungahlin Place north of Anthony Rolfe Ave and Nellie Hamilton Ave as well as Camtamessa Ave</w:t>
      </w:r>
      <w:r w:rsidR="00CC405F">
        <w:t>nue</w:t>
      </w:r>
      <w:r w:rsidRPr="00C3127B">
        <w:t>.</w:t>
      </w:r>
      <w:bookmarkEnd w:id="87"/>
    </w:p>
    <w:p w14:paraId="38A69FA6" w14:textId="770E51CB" w:rsidR="00F117DF" w:rsidRDefault="00F117DF" w:rsidP="00F117DF">
      <w:pPr>
        <w:pStyle w:val="Signature"/>
        <w:spacing w:before="720"/>
        <w:rPr>
          <w:noProof/>
        </w:rPr>
      </w:pPr>
      <w:bookmarkStart w:id="88" w:name="_Toc514657293"/>
      <w:bookmarkStart w:id="89" w:name="_Toc514657344"/>
      <w:bookmarkEnd w:id="88"/>
      <w:bookmarkEnd w:id="89"/>
    </w:p>
    <w:p w14:paraId="7B64C098" w14:textId="5AC73B4C" w:rsidR="00F671FB" w:rsidRDefault="00F671FB" w:rsidP="00F671FB"/>
    <w:p w14:paraId="283ABD75" w14:textId="1A01AD68" w:rsidR="00F671FB" w:rsidRDefault="00F671FB" w:rsidP="00F671FB"/>
    <w:p w14:paraId="4D6632F7" w14:textId="581A856E" w:rsidR="00F671FB" w:rsidRDefault="00F671FB" w:rsidP="00F671FB"/>
    <w:p w14:paraId="0C7DA90D" w14:textId="77777777" w:rsidR="00F671FB" w:rsidRPr="00F671FB" w:rsidRDefault="00F671FB" w:rsidP="00F671FB"/>
    <w:p w14:paraId="3722B4E0" w14:textId="0224E1B5" w:rsidR="00151F03" w:rsidRDefault="006420CD" w:rsidP="00F117DF">
      <w:pPr>
        <w:pStyle w:val="Signature"/>
        <w:spacing w:before="360"/>
      </w:pPr>
      <w:r>
        <w:t>Ms Jo Clay MLA</w:t>
      </w:r>
    </w:p>
    <w:p w14:paraId="4981BC2F" w14:textId="77777777" w:rsidR="00151F03" w:rsidRDefault="00151F03" w:rsidP="00E10D31">
      <w:r>
        <w:t>Chair</w:t>
      </w:r>
    </w:p>
    <w:p w14:paraId="111D2381" w14:textId="462A360A" w:rsidR="00151F03" w:rsidRDefault="00F117DF" w:rsidP="00E10D31">
      <w:r>
        <w:t>30 September 2021</w:t>
      </w:r>
    </w:p>
    <w:p w14:paraId="25E7C9D5" w14:textId="77777777" w:rsidR="004D2594" w:rsidRDefault="004D2594" w:rsidP="00C715C2">
      <w:pPr>
        <w:pStyle w:val="BodyText"/>
        <w:ind w:left="0" w:firstLine="0"/>
        <w:sectPr w:rsidR="004D2594" w:rsidSect="0064133C">
          <w:type w:val="oddPage"/>
          <w:pgSz w:w="11907" w:h="16840" w:code="9"/>
          <w:pgMar w:top="1588" w:right="1418" w:bottom="1418" w:left="1418" w:header="720" w:footer="851" w:gutter="0"/>
          <w:pgNumType w:start="1"/>
          <w:cols w:space="720"/>
          <w:docGrid w:linePitch="360"/>
        </w:sectPr>
      </w:pPr>
    </w:p>
    <w:p w14:paraId="4836AC2C" w14:textId="77777777" w:rsidR="00151F03" w:rsidRDefault="00151F03" w:rsidP="007104A7">
      <w:pPr>
        <w:pStyle w:val="Heading2"/>
        <w:numPr>
          <w:ilvl w:val="0"/>
          <w:numId w:val="0"/>
        </w:numPr>
        <w:ind w:left="567" w:hanging="567"/>
      </w:pPr>
      <w:bookmarkStart w:id="90" w:name="_Toc502671596"/>
      <w:bookmarkStart w:id="91" w:name="_Toc502671774"/>
      <w:bookmarkStart w:id="92" w:name="_Toc502671880"/>
      <w:bookmarkStart w:id="93" w:name="_Toc502672812"/>
      <w:bookmarkStart w:id="94" w:name="_Toc83893140"/>
      <w:r>
        <w:t>Appendix A</w:t>
      </w:r>
      <w:bookmarkEnd w:id="90"/>
      <w:bookmarkEnd w:id="91"/>
      <w:bookmarkEnd w:id="92"/>
      <w:bookmarkEnd w:id="93"/>
      <w:r w:rsidR="009174E4">
        <w:t xml:space="preserve"> - </w:t>
      </w:r>
      <w:r w:rsidR="008B2935">
        <w:t>W</w:t>
      </w:r>
      <w:r w:rsidR="00182DF1">
        <w:t>itnesses</w:t>
      </w:r>
      <w:bookmarkEnd w:id="94"/>
    </w:p>
    <w:p w14:paraId="7477EBDF" w14:textId="7D7121AB" w:rsidR="00151F03" w:rsidRDefault="00646DF8" w:rsidP="004C30A4">
      <w:pPr>
        <w:pStyle w:val="Heading3"/>
        <w:ind w:hanging="567"/>
      </w:pPr>
      <w:bookmarkStart w:id="95" w:name="_Toc83893141"/>
      <w:r>
        <w:t>Public Hearing 29 July 2021</w:t>
      </w:r>
      <w:bookmarkEnd w:id="95"/>
    </w:p>
    <w:p w14:paraId="37A0CCB0" w14:textId="65850091" w:rsidR="00182DF1" w:rsidRDefault="00646DF8" w:rsidP="004302E6">
      <w:pPr>
        <w:pStyle w:val="ListWitnesses"/>
      </w:pPr>
      <w:r>
        <w:t xml:space="preserve">Dr Erin Brady, Deputy Director-General, </w:t>
      </w:r>
      <w:r w:rsidR="00AB782F">
        <w:t xml:space="preserve">Planning and Sustainable Development, </w:t>
      </w:r>
      <w:r>
        <w:t>Environment, Planning and Sustainable Development Directorate</w:t>
      </w:r>
    </w:p>
    <w:p w14:paraId="2ED94D63" w14:textId="3FD1156E" w:rsidR="00182DF1" w:rsidRDefault="00AB782F" w:rsidP="004302E6">
      <w:pPr>
        <w:pStyle w:val="ListWitnesses"/>
      </w:pPr>
      <w:r>
        <w:t>Ms Adina Cirson, A</w:t>
      </w:r>
      <w:r w:rsidR="00A304F7">
        <w:t>C</w:t>
      </w:r>
      <w:r>
        <w:t>T Executive Director, Property Council of Australia</w:t>
      </w:r>
    </w:p>
    <w:p w14:paraId="617A9373" w14:textId="3EB2D40F" w:rsidR="00415891" w:rsidRDefault="00AB782F" w:rsidP="004302E6">
      <w:pPr>
        <w:pStyle w:val="ListWitnesses"/>
      </w:pPr>
      <w:r>
        <w:t>Mr Kevin Cox, Gungahlin Community Council (GCC)</w:t>
      </w:r>
    </w:p>
    <w:p w14:paraId="6D7E29A6" w14:textId="4D6B7738" w:rsidR="00AB782F" w:rsidRDefault="00AB782F" w:rsidP="004302E6">
      <w:pPr>
        <w:pStyle w:val="ListWitnesses"/>
      </w:pPr>
      <w:r>
        <w:t xml:space="preserve">Mr Peter Elford, </w:t>
      </w:r>
      <w:bookmarkStart w:id="96" w:name="_Hlk83196376"/>
      <w:r>
        <w:t>President, Gungahlin Community Council</w:t>
      </w:r>
      <w:bookmarkEnd w:id="96"/>
      <w:r>
        <w:t xml:space="preserve"> (GCC)</w:t>
      </w:r>
    </w:p>
    <w:p w14:paraId="2EC9748A" w14:textId="226909D0" w:rsidR="00AB782F" w:rsidRDefault="00AB782F" w:rsidP="004302E6">
      <w:pPr>
        <w:pStyle w:val="ListWitnesses"/>
      </w:pPr>
      <w:r>
        <w:t>Mr Mick Gentleman MLA, Minister for Planning and Land Management</w:t>
      </w:r>
    </w:p>
    <w:p w14:paraId="32AA3F63" w14:textId="70559C37" w:rsidR="00AB782F" w:rsidRDefault="00AB782F" w:rsidP="004302E6">
      <w:pPr>
        <w:pStyle w:val="ListWitnesses"/>
      </w:pPr>
      <w:r>
        <w:t>Mr Steven Gianakis, Acting Senior Director, Strategic Planning and Reform, Environment, Planning and Sustainable Development Directorate</w:t>
      </w:r>
    </w:p>
    <w:p w14:paraId="1F56DB46" w14:textId="569B649E" w:rsidR="00AB782F" w:rsidRDefault="00AB782F" w:rsidP="004302E6">
      <w:pPr>
        <w:pStyle w:val="ListWitnesses"/>
      </w:pPr>
      <w:r>
        <w:t>Ms Nichelle Jackson, Director, Canberra Town Planning, representing Landco Pty Ltd</w:t>
      </w:r>
    </w:p>
    <w:p w14:paraId="226FD3BF" w14:textId="6167707E" w:rsidR="00AB782F" w:rsidRDefault="00AB782F" w:rsidP="004302E6">
      <w:pPr>
        <w:pStyle w:val="ListWitnesses"/>
      </w:pPr>
      <w:r>
        <w:t>Mr George Katheklakis, Director, KDN Group</w:t>
      </w:r>
    </w:p>
    <w:p w14:paraId="6548CFB1" w14:textId="3FFF7F38" w:rsidR="00AB782F" w:rsidRDefault="00AB782F" w:rsidP="004302E6">
      <w:pPr>
        <w:pStyle w:val="ListWitnesses"/>
      </w:pPr>
      <w:r>
        <w:t>Ms Alix Kaucz, Senior Director, Territory Plan, Environment, Planning and Sustainable Development Directorate</w:t>
      </w:r>
    </w:p>
    <w:p w14:paraId="7C068F6A" w14:textId="7CFF74E0" w:rsidR="00AB782F" w:rsidRDefault="00AB782F" w:rsidP="004302E6">
      <w:pPr>
        <w:pStyle w:val="ListWitnesses"/>
      </w:pPr>
      <w:r>
        <w:t>Mr Darron Marks, Treasurer, Gungahlin Community Council (GCC)</w:t>
      </w:r>
    </w:p>
    <w:p w14:paraId="6F33A577" w14:textId="721950C2" w:rsidR="00AB782F" w:rsidRDefault="00AB782F" w:rsidP="004302E6">
      <w:pPr>
        <w:pStyle w:val="ListWitnesses"/>
      </w:pPr>
      <w:r>
        <w:t>Mr Ben Ponton, Director-General, Environment, Planning and Sustainable Development Directorate</w:t>
      </w:r>
    </w:p>
    <w:p w14:paraId="24F4D1F3" w14:textId="77777777" w:rsidR="0061344F" w:rsidRDefault="0061344F" w:rsidP="007104A7">
      <w:pPr>
        <w:pStyle w:val="Heading2"/>
        <w:numPr>
          <w:ilvl w:val="0"/>
          <w:numId w:val="0"/>
        </w:numPr>
        <w:ind w:left="567" w:hanging="567"/>
      </w:pPr>
      <w:bookmarkStart w:id="97" w:name="_Toc83893142"/>
      <w:r>
        <w:t>Appendix B – Submissions</w:t>
      </w:r>
      <w:bookmarkEnd w:id="97"/>
    </w:p>
    <w:tbl>
      <w:tblPr>
        <w:tblStyle w:val="CommitteeTable"/>
        <w:tblW w:w="8931" w:type="dxa"/>
        <w:tblInd w:w="-5" w:type="dxa"/>
        <w:tblLook w:val="04A0" w:firstRow="1" w:lastRow="0" w:firstColumn="1" w:lastColumn="0" w:noHBand="0" w:noVBand="1"/>
      </w:tblPr>
      <w:tblGrid>
        <w:gridCol w:w="1701"/>
        <w:gridCol w:w="4395"/>
        <w:gridCol w:w="2835"/>
      </w:tblGrid>
      <w:tr w:rsidR="00A77A10" w:rsidRPr="00B92315" w14:paraId="08B58F62" w14:textId="77777777" w:rsidTr="004771CB">
        <w:trPr>
          <w:cnfStyle w:val="100000000000" w:firstRow="1" w:lastRow="0" w:firstColumn="0" w:lastColumn="0" w:oddVBand="0" w:evenVBand="0" w:oddHBand="0" w:evenHBand="0" w:firstRowFirstColumn="0" w:firstRowLastColumn="0" w:lastRowFirstColumn="0" w:lastRowLastColumn="0"/>
        </w:trPr>
        <w:tc>
          <w:tcPr>
            <w:tcW w:w="1701" w:type="dxa"/>
          </w:tcPr>
          <w:p w14:paraId="5F271EAF" w14:textId="77777777" w:rsidR="0061344F" w:rsidRPr="00B92315" w:rsidRDefault="0061344F" w:rsidP="00B92315">
            <w:pPr>
              <w:pStyle w:val="TableHeading"/>
              <w:jc w:val="center"/>
              <w:rPr>
                <w:b/>
                <w:szCs w:val="22"/>
              </w:rPr>
            </w:pPr>
            <w:r w:rsidRPr="00B92315">
              <w:rPr>
                <w:b/>
              </w:rPr>
              <w:t>Submission Number</w:t>
            </w:r>
          </w:p>
        </w:tc>
        <w:tc>
          <w:tcPr>
            <w:tcW w:w="4395" w:type="dxa"/>
          </w:tcPr>
          <w:p w14:paraId="7AD0FD62" w14:textId="77777777" w:rsidR="0061344F" w:rsidRPr="00B92315" w:rsidRDefault="0061344F" w:rsidP="00B92315">
            <w:pPr>
              <w:pStyle w:val="TableHeading"/>
              <w:jc w:val="center"/>
              <w:rPr>
                <w:b/>
              </w:rPr>
            </w:pPr>
            <w:r w:rsidRPr="00B92315">
              <w:rPr>
                <w:b/>
              </w:rPr>
              <w:t>Submitter</w:t>
            </w:r>
            <w:bookmarkStart w:id="98" w:name="ColumnTitle_Submissions"/>
            <w:bookmarkEnd w:id="98"/>
          </w:p>
        </w:tc>
        <w:tc>
          <w:tcPr>
            <w:tcW w:w="2835" w:type="dxa"/>
          </w:tcPr>
          <w:p w14:paraId="3E958253" w14:textId="77777777" w:rsidR="0061344F" w:rsidRPr="00B92315" w:rsidRDefault="0061344F" w:rsidP="00B92315">
            <w:pPr>
              <w:pStyle w:val="TableHeading"/>
              <w:jc w:val="center"/>
              <w:rPr>
                <w:b/>
              </w:rPr>
            </w:pPr>
            <w:r w:rsidRPr="00B92315">
              <w:rPr>
                <w:b/>
              </w:rPr>
              <w:t>Received</w:t>
            </w:r>
          </w:p>
        </w:tc>
      </w:tr>
      <w:tr w:rsidR="00A77A10" w14:paraId="02E02328" w14:textId="77777777" w:rsidTr="004771CB">
        <w:trPr>
          <w:cnfStyle w:val="000000100000" w:firstRow="0" w:lastRow="0" w:firstColumn="0" w:lastColumn="0" w:oddVBand="0" w:evenVBand="0" w:oddHBand="1" w:evenHBand="0" w:firstRowFirstColumn="0" w:firstRowLastColumn="0" w:lastRowFirstColumn="0" w:lastRowLastColumn="0"/>
        </w:trPr>
        <w:tc>
          <w:tcPr>
            <w:tcW w:w="1701" w:type="dxa"/>
          </w:tcPr>
          <w:p w14:paraId="384A654A" w14:textId="05815C2B" w:rsidR="0061344F" w:rsidRPr="0061344F" w:rsidRDefault="000F0E44" w:rsidP="00D67727">
            <w:pPr>
              <w:pStyle w:val="TableText"/>
            </w:pPr>
            <w:r>
              <w:t>1</w:t>
            </w:r>
          </w:p>
        </w:tc>
        <w:tc>
          <w:tcPr>
            <w:tcW w:w="4395" w:type="dxa"/>
          </w:tcPr>
          <w:p w14:paraId="191C94B0" w14:textId="5A942D69" w:rsidR="0061344F" w:rsidRPr="0061344F" w:rsidRDefault="000F0E44" w:rsidP="00D67727">
            <w:pPr>
              <w:pStyle w:val="TableText"/>
            </w:pPr>
            <w:r>
              <w:t>Mr Darron Marks</w:t>
            </w:r>
          </w:p>
        </w:tc>
        <w:tc>
          <w:tcPr>
            <w:tcW w:w="2835" w:type="dxa"/>
          </w:tcPr>
          <w:p w14:paraId="7880DE61" w14:textId="65E27F53" w:rsidR="0061344F" w:rsidRPr="0061344F" w:rsidRDefault="000F0E44" w:rsidP="00D67727">
            <w:pPr>
              <w:pStyle w:val="TableText"/>
            </w:pPr>
            <w:r>
              <w:t>25/06/21</w:t>
            </w:r>
          </w:p>
        </w:tc>
      </w:tr>
      <w:tr w:rsidR="00A77A10" w14:paraId="32C930CF" w14:textId="77777777" w:rsidTr="004771CB">
        <w:tc>
          <w:tcPr>
            <w:tcW w:w="1701" w:type="dxa"/>
          </w:tcPr>
          <w:p w14:paraId="6BB16901" w14:textId="14534CBF" w:rsidR="0061344F" w:rsidRPr="0061344F" w:rsidRDefault="000F0E44" w:rsidP="00D67727">
            <w:pPr>
              <w:pStyle w:val="TableText"/>
            </w:pPr>
            <w:r>
              <w:t>2</w:t>
            </w:r>
          </w:p>
        </w:tc>
        <w:tc>
          <w:tcPr>
            <w:tcW w:w="4395" w:type="dxa"/>
          </w:tcPr>
          <w:p w14:paraId="10164367" w14:textId="6C532306" w:rsidR="0061344F" w:rsidRPr="0061344F" w:rsidRDefault="000F0E44" w:rsidP="00D67727">
            <w:pPr>
              <w:pStyle w:val="TableText"/>
            </w:pPr>
            <w:r>
              <w:t>Ms Jennifer Atkins</w:t>
            </w:r>
          </w:p>
        </w:tc>
        <w:tc>
          <w:tcPr>
            <w:tcW w:w="2835" w:type="dxa"/>
          </w:tcPr>
          <w:p w14:paraId="41249086" w14:textId="6231169C" w:rsidR="0061344F" w:rsidRPr="0061344F" w:rsidRDefault="000F0E44" w:rsidP="00D67727">
            <w:pPr>
              <w:pStyle w:val="TableText"/>
            </w:pPr>
            <w:r>
              <w:t>25/06/21</w:t>
            </w:r>
          </w:p>
        </w:tc>
      </w:tr>
      <w:tr w:rsidR="00A77A10" w14:paraId="5CF3A77E" w14:textId="77777777" w:rsidTr="004771CB">
        <w:trPr>
          <w:cnfStyle w:val="000000100000" w:firstRow="0" w:lastRow="0" w:firstColumn="0" w:lastColumn="0" w:oddVBand="0" w:evenVBand="0" w:oddHBand="1" w:evenHBand="0" w:firstRowFirstColumn="0" w:firstRowLastColumn="0" w:lastRowFirstColumn="0" w:lastRowLastColumn="0"/>
        </w:trPr>
        <w:tc>
          <w:tcPr>
            <w:tcW w:w="1701" w:type="dxa"/>
          </w:tcPr>
          <w:p w14:paraId="6B623DA7" w14:textId="0B4E0F21" w:rsidR="0061344F" w:rsidRPr="0061344F" w:rsidRDefault="000F0E44" w:rsidP="00D67727">
            <w:pPr>
              <w:pStyle w:val="TableText"/>
            </w:pPr>
            <w:r>
              <w:t>3</w:t>
            </w:r>
          </w:p>
        </w:tc>
        <w:tc>
          <w:tcPr>
            <w:tcW w:w="4395" w:type="dxa"/>
          </w:tcPr>
          <w:p w14:paraId="32E4224F" w14:textId="262D6920" w:rsidR="0061344F" w:rsidRPr="0061344F" w:rsidRDefault="000F0E44" w:rsidP="00D67727">
            <w:pPr>
              <w:pStyle w:val="TableText"/>
            </w:pPr>
            <w:r>
              <w:t>Ms Sharee Schultz</w:t>
            </w:r>
          </w:p>
        </w:tc>
        <w:tc>
          <w:tcPr>
            <w:tcW w:w="2835" w:type="dxa"/>
          </w:tcPr>
          <w:p w14:paraId="7505073D" w14:textId="3143AB79" w:rsidR="0061344F" w:rsidRPr="0061344F" w:rsidRDefault="000F0E44" w:rsidP="00D67727">
            <w:pPr>
              <w:pStyle w:val="TableText"/>
            </w:pPr>
            <w:r>
              <w:t>29/06/21</w:t>
            </w:r>
          </w:p>
        </w:tc>
      </w:tr>
      <w:tr w:rsidR="00A77A10" w14:paraId="2F952F49" w14:textId="77777777" w:rsidTr="004771CB">
        <w:tc>
          <w:tcPr>
            <w:tcW w:w="1701" w:type="dxa"/>
          </w:tcPr>
          <w:p w14:paraId="0A6D8231" w14:textId="5AA537FA" w:rsidR="0061344F" w:rsidRPr="0061344F" w:rsidRDefault="000F0E44" w:rsidP="00D67727">
            <w:pPr>
              <w:pStyle w:val="TableText"/>
            </w:pPr>
            <w:r>
              <w:t>4</w:t>
            </w:r>
          </w:p>
        </w:tc>
        <w:tc>
          <w:tcPr>
            <w:tcW w:w="4395" w:type="dxa"/>
          </w:tcPr>
          <w:p w14:paraId="2628371E" w14:textId="54400F0B" w:rsidR="0061344F" w:rsidRPr="0061344F" w:rsidRDefault="000F0E44" w:rsidP="00D67727">
            <w:pPr>
              <w:pStyle w:val="TableText"/>
            </w:pPr>
            <w:r>
              <w:t>Ms Sharyn Bailey</w:t>
            </w:r>
          </w:p>
        </w:tc>
        <w:tc>
          <w:tcPr>
            <w:tcW w:w="2835" w:type="dxa"/>
          </w:tcPr>
          <w:p w14:paraId="6FD73EE8" w14:textId="40733895" w:rsidR="0061344F" w:rsidRPr="0061344F" w:rsidRDefault="004771CB" w:rsidP="00D67727">
            <w:pPr>
              <w:pStyle w:val="TableText"/>
            </w:pPr>
            <w:r>
              <w:t>30/06/21</w:t>
            </w:r>
          </w:p>
        </w:tc>
      </w:tr>
      <w:tr w:rsidR="00A77A10" w14:paraId="519C9EFC" w14:textId="77777777" w:rsidTr="004771CB">
        <w:trPr>
          <w:cnfStyle w:val="000000100000" w:firstRow="0" w:lastRow="0" w:firstColumn="0" w:lastColumn="0" w:oddVBand="0" w:evenVBand="0" w:oddHBand="1" w:evenHBand="0" w:firstRowFirstColumn="0" w:firstRowLastColumn="0" w:lastRowFirstColumn="0" w:lastRowLastColumn="0"/>
        </w:trPr>
        <w:tc>
          <w:tcPr>
            <w:tcW w:w="1701" w:type="dxa"/>
          </w:tcPr>
          <w:p w14:paraId="0943D7AB" w14:textId="25122815" w:rsidR="0061344F" w:rsidRPr="0061344F" w:rsidRDefault="000F0E44" w:rsidP="00D67727">
            <w:pPr>
              <w:pStyle w:val="TableText"/>
            </w:pPr>
            <w:r>
              <w:t>5</w:t>
            </w:r>
          </w:p>
        </w:tc>
        <w:tc>
          <w:tcPr>
            <w:tcW w:w="4395" w:type="dxa"/>
          </w:tcPr>
          <w:p w14:paraId="0AB56DED" w14:textId="3BE192D2" w:rsidR="0061344F" w:rsidRPr="0061344F" w:rsidRDefault="004771CB" w:rsidP="00D67727">
            <w:pPr>
              <w:pStyle w:val="TableText"/>
            </w:pPr>
            <w:r>
              <w:t>Mr Jason Bailey</w:t>
            </w:r>
          </w:p>
        </w:tc>
        <w:tc>
          <w:tcPr>
            <w:tcW w:w="2835" w:type="dxa"/>
          </w:tcPr>
          <w:p w14:paraId="6D46D66A" w14:textId="7BFF9393" w:rsidR="0061344F" w:rsidRPr="0061344F" w:rsidRDefault="004771CB" w:rsidP="00D67727">
            <w:pPr>
              <w:pStyle w:val="TableText"/>
            </w:pPr>
            <w:r>
              <w:t>30/06/21</w:t>
            </w:r>
          </w:p>
        </w:tc>
      </w:tr>
      <w:tr w:rsidR="00A77A10" w14:paraId="2F296F4D" w14:textId="77777777" w:rsidTr="004771CB">
        <w:tc>
          <w:tcPr>
            <w:tcW w:w="1701" w:type="dxa"/>
          </w:tcPr>
          <w:p w14:paraId="008C1AC5" w14:textId="5D9A3832" w:rsidR="00DE04A6" w:rsidRPr="0061344F" w:rsidRDefault="000F0E44" w:rsidP="00D67727">
            <w:pPr>
              <w:pStyle w:val="TableText"/>
            </w:pPr>
            <w:r>
              <w:t>6</w:t>
            </w:r>
          </w:p>
        </w:tc>
        <w:tc>
          <w:tcPr>
            <w:tcW w:w="4395" w:type="dxa"/>
          </w:tcPr>
          <w:p w14:paraId="19EB964A" w14:textId="56CD7A9E" w:rsidR="00DE04A6" w:rsidRPr="0061344F" w:rsidRDefault="004771CB" w:rsidP="00D67727">
            <w:pPr>
              <w:pStyle w:val="TableText"/>
            </w:pPr>
            <w:r>
              <w:t>Mr Kevin Cox</w:t>
            </w:r>
          </w:p>
        </w:tc>
        <w:tc>
          <w:tcPr>
            <w:tcW w:w="2835" w:type="dxa"/>
          </w:tcPr>
          <w:p w14:paraId="7DF15A7D" w14:textId="3E04136E" w:rsidR="00DE04A6" w:rsidRPr="0061344F" w:rsidRDefault="004771CB" w:rsidP="00D67727">
            <w:pPr>
              <w:pStyle w:val="TableText"/>
            </w:pPr>
            <w:r>
              <w:t>30/06/21</w:t>
            </w:r>
          </w:p>
        </w:tc>
      </w:tr>
      <w:tr w:rsidR="00A77A10" w14:paraId="5D2A0CDA" w14:textId="77777777" w:rsidTr="004771CB">
        <w:trPr>
          <w:cnfStyle w:val="000000100000" w:firstRow="0" w:lastRow="0" w:firstColumn="0" w:lastColumn="0" w:oddVBand="0" w:evenVBand="0" w:oddHBand="1" w:evenHBand="0" w:firstRowFirstColumn="0" w:firstRowLastColumn="0" w:lastRowFirstColumn="0" w:lastRowLastColumn="0"/>
        </w:trPr>
        <w:tc>
          <w:tcPr>
            <w:tcW w:w="1701" w:type="dxa"/>
          </w:tcPr>
          <w:p w14:paraId="639F9ED5" w14:textId="42189296" w:rsidR="00DE04A6" w:rsidRPr="0061344F" w:rsidRDefault="000F0E44" w:rsidP="00D67727">
            <w:pPr>
              <w:pStyle w:val="TableText"/>
            </w:pPr>
            <w:r>
              <w:t>7</w:t>
            </w:r>
          </w:p>
        </w:tc>
        <w:tc>
          <w:tcPr>
            <w:tcW w:w="4395" w:type="dxa"/>
          </w:tcPr>
          <w:p w14:paraId="7D9D449D" w14:textId="0550D7F4" w:rsidR="00DE04A6" w:rsidRPr="0061344F" w:rsidRDefault="002C694A" w:rsidP="00D67727">
            <w:pPr>
              <w:pStyle w:val="TableText"/>
            </w:pPr>
            <w:r>
              <w:t>Landco Pty Ltd</w:t>
            </w:r>
          </w:p>
        </w:tc>
        <w:tc>
          <w:tcPr>
            <w:tcW w:w="2835" w:type="dxa"/>
          </w:tcPr>
          <w:p w14:paraId="4EBC9F80" w14:textId="77777777" w:rsidR="004771CB" w:rsidRDefault="004771CB" w:rsidP="00D67727">
            <w:pPr>
              <w:pStyle w:val="TableText"/>
            </w:pPr>
            <w:r>
              <w:t>16/07/21</w:t>
            </w:r>
          </w:p>
          <w:p w14:paraId="155E492D" w14:textId="1FCA28CD" w:rsidR="00DE04A6" w:rsidRPr="0061344F" w:rsidRDefault="004771CB" w:rsidP="00D67727">
            <w:pPr>
              <w:pStyle w:val="TableText"/>
            </w:pPr>
            <w:r>
              <w:t>(requested extension until 16/07/21 – agreed by committee 1/07/21)</w:t>
            </w:r>
          </w:p>
        </w:tc>
      </w:tr>
      <w:tr w:rsidR="00A77A10" w14:paraId="3A7D0C72" w14:textId="77777777" w:rsidTr="004771CB">
        <w:tc>
          <w:tcPr>
            <w:tcW w:w="1701" w:type="dxa"/>
          </w:tcPr>
          <w:p w14:paraId="313BE84E" w14:textId="614B48A0" w:rsidR="00DE04A6" w:rsidRPr="0061344F" w:rsidRDefault="000F0E44" w:rsidP="00D67727">
            <w:pPr>
              <w:pStyle w:val="TableText"/>
            </w:pPr>
            <w:r>
              <w:t>8</w:t>
            </w:r>
          </w:p>
        </w:tc>
        <w:tc>
          <w:tcPr>
            <w:tcW w:w="4395" w:type="dxa"/>
          </w:tcPr>
          <w:p w14:paraId="624BBB65" w14:textId="6DD3A958" w:rsidR="00DE04A6" w:rsidRPr="0061344F" w:rsidRDefault="004771CB" w:rsidP="00D67727">
            <w:pPr>
              <w:pStyle w:val="TableText"/>
            </w:pPr>
            <w:r>
              <w:t xml:space="preserve">Ms </w:t>
            </w:r>
            <w:r w:rsidRPr="00531E1D">
              <w:t>Sunita Dhindsa</w:t>
            </w:r>
          </w:p>
        </w:tc>
        <w:tc>
          <w:tcPr>
            <w:tcW w:w="2835" w:type="dxa"/>
          </w:tcPr>
          <w:p w14:paraId="0E610157" w14:textId="30863C18" w:rsidR="00DE04A6" w:rsidRPr="0061344F" w:rsidRDefault="004771CB" w:rsidP="00D67727">
            <w:pPr>
              <w:pStyle w:val="TableText"/>
            </w:pPr>
            <w:r>
              <w:t>30/06/21</w:t>
            </w:r>
          </w:p>
        </w:tc>
      </w:tr>
      <w:tr w:rsidR="00A77A10" w14:paraId="44BBEFAF" w14:textId="77777777" w:rsidTr="004771CB">
        <w:trPr>
          <w:cnfStyle w:val="000000100000" w:firstRow="0" w:lastRow="0" w:firstColumn="0" w:lastColumn="0" w:oddVBand="0" w:evenVBand="0" w:oddHBand="1" w:evenHBand="0" w:firstRowFirstColumn="0" w:firstRowLastColumn="0" w:lastRowFirstColumn="0" w:lastRowLastColumn="0"/>
        </w:trPr>
        <w:tc>
          <w:tcPr>
            <w:tcW w:w="1701" w:type="dxa"/>
          </w:tcPr>
          <w:p w14:paraId="6A5340D6" w14:textId="5F5FC646" w:rsidR="00DE04A6" w:rsidRPr="0061344F" w:rsidRDefault="000F0E44" w:rsidP="00D67727">
            <w:pPr>
              <w:pStyle w:val="TableText"/>
            </w:pPr>
            <w:r>
              <w:t>9</w:t>
            </w:r>
          </w:p>
        </w:tc>
        <w:tc>
          <w:tcPr>
            <w:tcW w:w="4395" w:type="dxa"/>
          </w:tcPr>
          <w:p w14:paraId="16EB4044" w14:textId="6E63BE1A" w:rsidR="00DE04A6" w:rsidRPr="0061344F" w:rsidRDefault="004771CB" w:rsidP="00D67727">
            <w:pPr>
              <w:pStyle w:val="TableText"/>
            </w:pPr>
            <w:r>
              <w:t xml:space="preserve">Mr </w:t>
            </w:r>
            <w:r w:rsidRPr="00A825E3">
              <w:t>Jack Qian</w:t>
            </w:r>
          </w:p>
        </w:tc>
        <w:tc>
          <w:tcPr>
            <w:tcW w:w="2835" w:type="dxa"/>
          </w:tcPr>
          <w:p w14:paraId="5A0D211B" w14:textId="73FC6F0F" w:rsidR="00DE04A6" w:rsidRPr="0061344F" w:rsidRDefault="004771CB" w:rsidP="00D67727">
            <w:pPr>
              <w:pStyle w:val="TableText"/>
            </w:pPr>
            <w:r>
              <w:t>30/06/21</w:t>
            </w:r>
          </w:p>
        </w:tc>
      </w:tr>
      <w:tr w:rsidR="00A77A10" w14:paraId="0EFE644D" w14:textId="77777777" w:rsidTr="004771CB">
        <w:tc>
          <w:tcPr>
            <w:tcW w:w="1701" w:type="dxa"/>
          </w:tcPr>
          <w:p w14:paraId="78E6F578" w14:textId="1326786C" w:rsidR="00DE04A6" w:rsidRPr="0061344F" w:rsidRDefault="000F0E44" w:rsidP="00D67727">
            <w:pPr>
              <w:pStyle w:val="TableText"/>
            </w:pPr>
            <w:r>
              <w:t>10</w:t>
            </w:r>
          </w:p>
        </w:tc>
        <w:tc>
          <w:tcPr>
            <w:tcW w:w="4395" w:type="dxa"/>
          </w:tcPr>
          <w:p w14:paraId="4F64082F" w14:textId="4F0647F2" w:rsidR="00DE04A6" w:rsidRPr="0061344F" w:rsidRDefault="004771CB" w:rsidP="00D67727">
            <w:pPr>
              <w:pStyle w:val="TableText"/>
            </w:pPr>
            <w:r>
              <w:t>Ms Suzanne O’Brien</w:t>
            </w:r>
          </w:p>
        </w:tc>
        <w:tc>
          <w:tcPr>
            <w:tcW w:w="2835" w:type="dxa"/>
          </w:tcPr>
          <w:p w14:paraId="4B9ADC33" w14:textId="60CF875B" w:rsidR="00DE04A6" w:rsidRPr="0061344F" w:rsidRDefault="004771CB" w:rsidP="00D67727">
            <w:pPr>
              <w:pStyle w:val="TableText"/>
            </w:pPr>
            <w:r>
              <w:t>1/07/21</w:t>
            </w:r>
          </w:p>
        </w:tc>
      </w:tr>
      <w:tr w:rsidR="00A77A10" w14:paraId="6CB0D28D" w14:textId="77777777" w:rsidTr="004771CB">
        <w:trPr>
          <w:cnfStyle w:val="000000100000" w:firstRow="0" w:lastRow="0" w:firstColumn="0" w:lastColumn="0" w:oddVBand="0" w:evenVBand="0" w:oddHBand="1" w:evenHBand="0" w:firstRowFirstColumn="0" w:firstRowLastColumn="0" w:lastRowFirstColumn="0" w:lastRowLastColumn="0"/>
        </w:trPr>
        <w:tc>
          <w:tcPr>
            <w:tcW w:w="1701" w:type="dxa"/>
          </w:tcPr>
          <w:p w14:paraId="505A944C" w14:textId="0570D80F" w:rsidR="00DE04A6" w:rsidRPr="0061344F" w:rsidRDefault="000F0E44" w:rsidP="00D67727">
            <w:pPr>
              <w:pStyle w:val="TableText"/>
            </w:pPr>
            <w:r>
              <w:t>11</w:t>
            </w:r>
          </w:p>
        </w:tc>
        <w:tc>
          <w:tcPr>
            <w:tcW w:w="4395" w:type="dxa"/>
          </w:tcPr>
          <w:p w14:paraId="3DF7F589" w14:textId="59EDE557" w:rsidR="00DE04A6" w:rsidRPr="0061344F" w:rsidRDefault="004771CB" w:rsidP="00D67727">
            <w:pPr>
              <w:pStyle w:val="TableText"/>
            </w:pPr>
            <w:r>
              <w:t>Mr Peter Elford</w:t>
            </w:r>
          </w:p>
        </w:tc>
        <w:tc>
          <w:tcPr>
            <w:tcW w:w="2835" w:type="dxa"/>
          </w:tcPr>
          <w:p w14:paraId="6C935F02" w14:textId="49C933AD" w:rsidR="00DE04A6" w:rsidRPr="0061344F" w:rsidRDefault="004771CB" w:rsidP="00D67727">
            <w:pPr>
              <w:pStyle w:val="TableText"/>
            </w:pPr>
            <w:r>
              <w:t>1/07/21</w:t>
            </w:r>
          </w:p>
        </w:tc>
      </w:tr>
      <w:tr w:rsidR="00A77A10" w14:paraId="21F34E37" w14:textId="77777777" w:rsidTr="004771CB">
        <w:tc>
          <w:tcPr>
            <w:tcW w:w="1701" w:type="dxa"/>
          </w:tcPr>
          <w:p w14:paraId="568A4AC1" w14:textId="4A4992BA" w:rsidR="00DE04A6" w:rsidRPr="0061344F" w:rsidRDefault="000F0E44" w:rsidP="00D67727">
            <w:pPr>
              <w:pStyle w:val="TableText"/>
            </w:pPr>
            <w:r>
              <w:t>12</w:t>
            </w:r>
          </w:p>
        </w:tc>
        <w:tc>
          <w:tcPr>
            <w:tcW w:w="4395" w:type="dxa"/>
          </w:tcPr>
          <w:p w14:paraId="1262BEBC" w14:textId="400850CC" w:rsidR="00DE04A6" w:rsidRPr="0061344F" w:rsidRDefault="004771CB" w:rsidP="00D67727">
            <w:pPr>
              <w:pStyle w:val="TableText"/>
            </w:pPr>
            <w:r>
              <w:t>Ms Jennifer See</w:t>
            </w:r>
          </w:p>
        </w:tc>
        <w:tc>
          <w:tcPr>
            <w:tcW w:w="2835" w:type="dxa"/>
          </w:tcPr>
          <w:p w14:paraId="713BE5FF" w14:textId="054B19CE" w:rsidR="00DE04A6" w:rsidRPr="0061344F" w:rsidRDefault="004771CB" w:rsidP="00D67727">
            <w:pPr>
              <w:pStyle w:val="TableText"/>
            </w:pPr>
            <w:r>
              <w:t>1/07/21</w:t>
            </w:r>
          </w:p>
        </w:tc>
      </w:tr>
      <w:tr w:rsidR="00A77A10" w14:paraId="7DA02E3A" w14:textId="77777777" w:rsidTr="004771CB">
        <w:trPr>
          <w:cnfStyle w:val="000000100000" w:firstRow="0" w:lastRow="0" w:firstColumn="0" w:lastColumn="0" w:oddVBand="0" w:evenVBand="0" w:oddHBand="1" w:evenHBand="0" w:firstRowFirstColumn="0" w:firstRowLastColumn="0" w:lastRowFirstColumn="0" w:lastRowLastColumn="0"/>
        </w:trPr>
        <w:tc>
          <w:tcPr>
            <w:tcW w:w="1701" w:type="dxa"/>
          </w:tcPr>
          <w:p w14:paraId="0E0C6116" w14:textId="76C7E249" w:rsidR="00DE04A6" w:rsidRPr="0061344F" w:rsidRDefault="000F0E44" w:rsidP="00D67727">
            <w:pPr>
              <w:pStyle w:val="TableText"/>
            </w:pPr>
            <w:r>
              <w:t>13</w:t>
            </w:r>
          </w:p>
        </w:tc>
        <w:tc>
          <w:tcPr>
            <w:tcW w:w="4395" w:type="dxa"/>
          </w:tcPr>
          <w:p w14:paraId="0BF538F3" w14:textId="240BD913" w:rsidR="00DE04A6" w:rsidRPr="0061344F" w:rsidRDefault="004771CB" w:rsidP="00D67727">
            <w:pPr>
              <w:pStyle w:val="TableText"/>
            </w:pPr>
            <w:r>
              <w:t xml:space="preserve">Mr </w:t>
            </w:r>
            <w:r w:rsidRPr="00B72570">
              <w:t>Terence Janssen</w:t>
            </w:r>
          </w:p>
        </w:tc>
        <w:tc>
          <w:tcPr>
            <w:tcW w:w="2835" w:type="dxa"/>
          </w:tcPr>
          <w:p w14:paraId="59967F58" w14:textId="4BC7E796" w:rsidR="00DE04A6" w:rsidRPr="0061344F" w:rsidRDefault="004771CB" w:rsidP="00D67727">
            <w:pPr>
              <w:pStyle w:val="TableText"/>
            </w:pPr>
            <w:r>
              <w:t>7/07/21</w:t>
            </w:r>
          </w:p>
        </w:tc>
      </w:tr>
      <w:tr w:rsidR="00A77A10" w14:paraId="77B69298" w14:textId="77777777" w:rsidTr="004771CB">
        <w:tc>
          <w:tcPr>
            <w:tcW w:w="1701" w:type="dxa"/>
          </w:tcPr>
          <w:p w14:paraId="051A706B" w14:textId="60A38A43" w:rsidR="00DE04A6" w:rsidRPr="0061344F" w:rsidRDefault="000F0E44" w:rsidP="00D67727">
            <w:pPr>
              <w:pStyle w:val="TableText"/>
            </w:pPr>
            <w:r>
              <w:t>14</w:t>
            </w:r>
          </w:p>
        </w:tc>
        <w:tc>
          <w:tcPr>
            <w:tcW w:w="4395" w:type="dxa"/>
          </w:tcPr>
          <w:p w14:paraId="62576A66" w14:textId="72492839" w:rsidR="00DE04A6" w:rsidRPr="0061344F" w:rsidRDefault="004771CB" w:rsidP="00D67727">
            <w:pPr>
              <w:pStyle w:val="TableText"/>
            </w:pPr>
            <w:r>
              <w:t>Gungahlin Community Council</w:t>
            </w:r>
          </w:p>
        </w:tc>
        <w:tc>
          <w:tcPr>
            <w:tcW w:w="2835" w:type="dxa"/>
          </w:tcPr>
          <w:p w14:paraId="4E99A75E" w14:textId="5FCF89C7" w:rsidR="00DE04A6" w:rsidRPr="0061344F" w:rsidRDefault="004771CB" w:rsidP="00D67727">
            <w:pPr>
              <w:pStyle w:val="TableText"/>
            </w:pPr>
            <w:r>
              <w:t>16/07/21</w:t>
            </w:r>
          </w:p>
        </w:tc>
      </w:tr>
    </w:tbl>
    <w:p w14:paraId="3A1257EE" w14:textId="19D5C168" w:rsidR="00E57CD5" w:rsidRDefault="00E57CD5" w:rsidP="007104A7">
      <w:pPr>
        <w:pStyle w:val="Heading2"/>
        <w:numPr>
          <w:ilvl w:val="0"/>
          <w:numId w:val="0"/>
        </w:numPr>
      </w:pPr>
      <w:bookmarkStart w:id="99" w:name="_Toc83893143"/>
      <w:bookmarkStart w:id="100" w:name="_Toc502671598"/>
      <w:bookmarkStart w:id="101" w:name="_Toc502671776"/>
      <w:bookmarkStart w:id="102" w:name="_Toc502671882"/>
      <w:bookmarkStart w:id="103" w:name="_Toc502672814"/>
      <w:r>
        <w:t xml:space="preserve">Appendix C – Questions </w:t>
      </w:r>
      <w:r w:rsidR="0020415F">
        <w:t>t</w:t>
      </w:r>
      <w:r>
        <w:t>aken on Notice</w:t>
      </w:r>
      <w:bookmarkEnd w:id="99"/>
    </w:p>
    <w:p w14:paraId="6CC40C0A" w14:textId="08AD43A9" w:rsidR="0020415F" w:rsidRDefault="0020415F" w:rsidP="005F3356">
      <w:pPr>
        <w:pStyle w:val="Caption"/>
      </w:pPr>
      <w:r>
        <w:t xml:space="preserve">Questions taken on Notice </w:t>
      </w:r>
      <w:r w:rsidR="00431C2E">
        <w:t>29 July 2021</w:t>
      </w:r>
    </w:p>
    <w:tbl>
      <w:tblPr>
        <w:tblStyle w:val="CommitteeTable"/>
        <w:tblW w:w="0" w:type="auto"/>
        <w:tblInd w:w="108" w:type="dxa"/>
        <w:tblLook w:val="04A0" w:firstRow="1" w:lastRow="0" w:firstColumn="1" w:lastColumn="0" w:noHBand="0" w:noVBand="1"/>
      </w:tblPr>
      <w:tblGrid>
        <w:gridCol w:w="689"/>
        <w:gridCol w:w="1117"/>
        <w:gridCol w:w="1511"/>
        <w:gridCol w:w="1652"/>
        <w:gridCol w:w="2766"/>
        <w:gridCol w:w="1218"/>
      </w:tblGrid>
      <w:tr w:rsidR="00640E82" w14:paraId="34D92B64" w14:textId="77777777" w:rsidTr="00431C2E">
        <w:trPr>
          <w:cnfStyle w:val="100000000000" w:firstRow="1" w:lastRow="0" w:firstColumn="0" w:lastColumn="0" w:oddVBand="0" w:evenVBand="0" w:oddHBand="0" w:evenHBand="0" w:firstRowFirstColumn="0" w:firstRowLastColumn="0" w:lastRowFirstColumn="0" w:lastRowLastColumn="0"/>
        </w:trPr>
        <w:tc>
          <w:tcPr>
            <w:tcW w:w="689" w:type="dxa"/>
          </w:tcPr>
          <w:p w14:paraId="380EDFE2"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104" w:name="ColumnTitle_QToN1"/>
            <w:bookmarkEnd w:id="104"/>
            <w:r w:rsidRPr="00640E82">
              <w:rPr>
                <w:rFonts w:ascii="Arial Narrow" w:hAnsi="Arial Narrow"/>
              </w:rPr>
              <w:t>o.</w:t>
            </w:r>
          </w:p>
        </w:tc>
        <w:tc>
          <w:tcPr>
            <w:tcW w:w="1117" w:type="dxa"/>
          </w:tcPr>
          <w:p w14:paraId="2DAFAB82"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Hearing date</w:t>
            </w:r>
          </w:p>
        </w:tc>
        <w:tc>
          <w:tcPr>
            <w:tcW w:w="1511" w:type="dxa"/>
          </w:tcPr>
          <w:p w14:paraId="47535BDD"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652" w:type="dxa"/>
          </w:tcPr>
          <w:p w14:paraId="63F80B9E"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766" w:type="dxa"/>
          </w:tcPr>
          <w:p w14:paraId="3DE2A08A" w14:textId="77777777"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218" w:type="dxa"/>
          </w:tcPr>
          <w:p w14:paraId="3A359670"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640E82" w14:paraId="1C2E8FC0" w14:textId="77777777" w:rsidTr="00431C2E">
        <w:trPr>
          <w:cnfStyle w:val="000000100000" w:firstRow="0" w:lastRow="0" w:firstColumn="0" w:lastColumn="0" w:oddVBand="0" w:evenVBand="0" w:oddHBand="1" w:evenHBand="0" w:firstRowFirstColumn="0" w:firstRowLastColumn="0" w:lastRowFirstColumn="0" w:lastRowLastColumn="0"/>
        </w:trPr>
        <w:tc>
          <w:tcPr>
            <w:tcW w:w="689" w:type="dxa"/>
          </w:tcPr>
          <w:p w14:paraId="0A6279F7" w14:textId="682F18BC" w:rsidR="00640E82" w:rsidRDefault="00431C2E" w:rsidP="00640E82">
            <w:pPr>
              <w:pStyle w:val="TableText"/>
              <w:jc w:val="center"/>
            </w:pPr>
            <w:r>
              <w:t>1</w:t>
            </w:r>
          </w:p>
        </w:tc>
        <w:tc>
          <w:tcPr>
            <w:tcW w:w="1117" w:type="dxa"/>
          </w:tcPr>
          <w:p w14:paraId="7EEDBC03" w14:textId="5D970EB2" w:rsidR="00640E82" w:rsidRDefault="00431C2E" w:rsidP="00640E82">
            <w:pPr>
              <w:pStyle w:val="TableText"/>
              <w:jc w:val="center"/>
            </w:pPr>
            <w:r>
              <w:t>29/07/21</w:t>
            </w:r>
          </w:p>
        </w:tc>
        <w:tc>
          <w:tcPr>
            <w:tcW w:w="1511" w:type="dxa"/>
          </w:tcPr>
          <w:p w14:paraId="0152C3A4" w14:textId="6BE0A2E3" w:rsidR="00640E82" w:rsidRDefault="00431C2E" w:rsidP="00640E82">
            <w:pPr>
              <w:pStyle w:val="TableText"/>
              <w:jc w:val="center"/>
            </w:pPr>
            <w:r>
              <w:t>Ms Orr</w:t>
            </w:r>
          </w:p>
        </w:tc>
        <w:tc>
          <w:tcPr>
            <w:tcW w:w="1652" w:type="dxa"/>
          </w:tcPr>
          <w:p w14:paraId="5F282A7E" w14:textId="22CE8D6E" w:rsidR="00640E82" w:rsidRDefault="00431C2E" w:rsidP="00640E82">
            <w:pPr>
              <w:pStyle w:val="TableText"/>
              <w:jc w:val="center"/>
            </w:pPr>
            <w:r>
              <w:t>ACT Government</w:t>
            </w:r>
          </w:p>
        </w:tc>
        <w:tc>
          <w:tcPr>
            <w:tcW w:w="2766" w:type="dxa"/>
          </w:tcPr>
          <w:p w14:paraId="22F2FB4B" w14:textId="500B71F5" w:rsidR="00640E82" w:rsidRDefault="00431C2E" w:rsidP="00640E82">
            <w:pPr>
              <w:pStyle w:val="TableText"/>
            </w:pPr>
            <w:r>
              <w:t>Mixed use development</w:t>
            </w:r>
          </w:p>
        </w:tc>
        <w:tc>
          <w:tcPr>
            <w:tcW w:w="1218" w:type="dxa"/>
          </w:tcPr>
          <w:p w14:paraId="5E9F312E" w14:textId="77777777" w:rsidR="00640E82" w:rsidRDefault="00640E82" w:rsidP="00640E82">
            <w:pPr>
              <w:pStyle w:val="TableText"/>
              <w:jc w:val="center"/>
            </w:pPr>
          </w:p>
        </w:tc>
      </w:tr>
      <w:tr w:rsidR="00431C2E" w14:paraId="4DBFF6AA" w14:textId="77777777" w:rsidTr="00431C2E">
        <w:tc>
          <w:tcPr>
            <w:tcW w:w="689" w:type="dxa"/>
          </w:tcPr>
          <w:p w14:paraId="414D6AA7" w14:textId="6017545A" w:rsidR="00431C2E" w:rsidRDefault="00431C2E" w:rsidP="00431C2E">
            <w:pPr>
              <w:pStyle w:val="TableText"/>
              <w:jc w:val="center"/>
            </w:pPr>
            <w:r>
              <w:t>2</w:t>
            </w:r>
          </w:p>
        </w:tc>
        <w:tc>
          <w:tcPr>
            <w:tcW w:w="1117" w:type="dxa"/>
          </w:tcPr>
          <w:p w14:paraId="52016175" w14:textId="333EF5D6" w:rsidR="00431C2E" w:rsidRDefault="00431C2E" w:rsidP="00431C2E">
            <w:pPr>
              <w:pStyle w:val="TableText"/>
              <w:jc w:val="center"/>
            </w:pPr>
            <w:r>
              <w:t>29/07/21</w:t>
            </w:r>
          </w:p>
        </w:tc>
        <w:tc>
          <w:tcPr>
            <w:tcW w:w="1511" w:type="dxa"/>
          </w:tcPr>
          <w:p w14:paraId="46E17FF6" w14:textId="1A391CAF" w:rsidR="00431C2E" w:rsidRDefault="00431C2E" w:rsidP="00431C2E">
            <w:pPr>
              <w:pStyle w:val="TableText"/>
              <w:jc w:val="center"/>
            </w:pPr>
            <w:r>
              <w:t>Ms Clay</w:t>
            </w:r>
          </w:p>
          <w:p w14:paraId="1A04A8B6" w14:textId="233E24FA" w:rsidR="00431C2E" w:rsidRDefault="00431C2E" w:rsidP="00431C2E">
            <w:pPr>
              <w:pStyle w:val="TableText"/>
              <w:jc w:val="center"/>
            </w:pPr>
            <w:r>
              <w:t>Mr Braddock</w:t>
            </w:r>
          </w:p>
        </w:tc>
        <w:tc>
          <w:tcPr>
            <w:tcW w:w="1652" w:type="dxa"/>
          </w:tcPr>
          <w:p w14:paraId="3FC9147A" w14:textId="13E14252" w:rsidR="00431C2E" w:rsidRDefault="00431C2E" w:rsidP="00431C2E">
            <w:pPr>
              <w:pStyle w:val="TableText"/>
              <w:jc w:val="center"/>
            </w:pPr>
            <w:r>
              <w:t>ACT Government</w:t>
            </w:r>
          </w:p>
        </w:tc>
        <w:tc>
          <w:tcPr>
            <w:tcW w:w="2766" w:type="dxa"/>
          </w:tcPr>
          <w:p w14:paraId="2023554E" w14:textId="2C7396A5" w:rsidR="00431C2E" w:rsidRDefault="00431C2E" w:rsidP="00431C2E">
            <w:pPr>
              <w:pStyle w:val="TableText"/>
            </w:pPr>
            <w:r>
              <w:t>Commercial vacancy rates</w:t>
            </w:r>
          </w:p>
        </w:tc>
        <w:tc>
          <w:tcPr>
            <w:tcW w:w="1218" w:type="dxa"/>
          </w:tcPr>
          <w:p w14:paraId="068C41AB" w14:textId="08767955" w:rsidR="00431C2E" w:rsidRDefault="00431C2E" w:rsidP="00431C2E">
            <w:pPr>
              <w:pStyle w:val="TableText"/>
              <w:jc w:val="center"/>
            </w:pPr>
            <w:r>
              <w:t>10/08/21</w:t>
            </w:r>
          </w:p>
        </w:tc>
      </w:tr>
      <w:bookmarkEnd w:id="100"/>
      <w:bookmarkEnd w:id="101"/>
      <w:bookmarkEnd w:id="102"/>
      <w:bookmarkEnd w:id="103"/>
    </w:tbl>
    <w:p w14:paraId="29A1B70D" w14:textId="77777777" w:rsidR="007A5047" w:rsidRPr="00E57CD5" w:rsidRDefault="007A5047" w:rsidP="00431C2E">
      <w:pPr>
        <w:pStyle w:val="Caption"/>
      </w:pPr>
    </w:p>
    <w:sectPr w:rsidR="007A5047" w:rsidRPr="00E57CD5" w:rsidSect="004D2594">
      <w:footerReference w:type="even" r:id="rId19"/>
      <w:footerReference w:type="default" r:id="rId20"/>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30A7D5" w14:textId="77777777" w:rsidR="00E15638" w:rsidRDefault="00E15638">
      <w:r>
        <w:separator/>
      </w:r>
    </w:p>
    <w:p w14:paraId="6EA349A1" w14:textId="77777777" w:rsidR="00E15638" w:rsidRDefault="00E15638"/>
    <w:p w14:paraId="094C889F" w14:textId="77777777" w:rsidR="00E15638" w:rsidRDefault="00E15638"/>
    <w:p w14:paraId="5821FB3A" w14:textId="77777777" w:rsidR="00E15638" w:rsidRDefault="00E15638"/>
    <w:p w14:paraId="2AAFB424" w14:textId="77777777" w:rsidR="00E15638" w:rsidRDefault="00E15638"/>
  </w:endnote>
  <w:endnote w:type="continuationSeparator" w:id="0">
    <w:p w14:paraId="2CB7B03C" w14:textId="77777777" w:rsidR="00E15638" w:rsidRDefault="00E15638">
      <w:r>
        <w:continuationSeparator/>
      </w:r>
    </w:p>
    <w:p w14:paraId="1DF0C58A" w14:textId="77777777" w:rsidR="00E15638" w:rsidRDefault="00E15638"/>
    <w:p w14:paraId="38D70D82" w14:textId="77777777" w:rsidR="00E15638" w:rsidRDefault="00E15638"/>
    <w:p w14:paraId="2D2E0DEB" w14:textId="77777777" w:rsidR="00E15638" w:rsidRDefault="00E15638"/>
    <w:p w14:paraId="5AD8B41B" w14:textId="77777777" w:rsidR="00E15638" w:rsidRDefault="00E156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6D862FE1-F47D-4BEB-89CE-5763A30C4E71}"/>
    <w:embedBold r:id="rId2" w:fontKey="{1A795375-6392-42B6-A6CA-3A84520410BB}"/>
  </w:font>
  <w:font w:name="Calibri">
    <w:panose1 w:val="020F0502020204030204"/>
    <w:charset w:val="00"/>
    <w:family w:val="swiss"/>
    <w:pitch w:val="variable"/>
    <w:sig w:usb0="E4002EFF" w:usb1="C000247B" w:usb2="00000009" w:usb3="00000000" w:csb0="000001FF" w:csb1="00000000"/>
    <w:embedRegular r:id="rId3" w:fontKey="{5A843C49-1A8E-40C7-ACDF-8CE6E307807D}"/>
    <w:embedBold r:id="rId4" w:fontKey="{4C05E839-8855-4346-9FE7-30E0D86018AC}"/>
    <w:embedItalic r:id="rId5" w:fontKey="{B17B6381-B731-424F-87A0-A181CF2CD664}"/>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Bold">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A6250" w14:textId="77777777" w:rsidR="00E15638" w:rsidRDefault="00E15638"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EBC0E" w14:textId="77777777" w:rsidR="00E15638" w:rsidRDefault="00E15638">
    <w:pPr>
      <w:pStyle w:val="Foo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5C0B6B" w14:textId="77777777" w:rsidR="00E15638" w:rsidRDefault="00E15638">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5F303" w14:textId="77777777" w:rsidR="00E15638" w:rsidRDefault="00E15638">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196AF4" w14:textId="77777777" w:rsidR="00E15638" w:rsidRPr="004D2594" w:rsidRDefault="00E15638" w:rsidP="004D259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B58509" w14:textId="77777777" w:rsidR="00E15638" w:rsidRDefault="00E1563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FDF78" w14:textId="77777777" w:rsidR="00E15638" w:rsidRDefault="00E15638">
      <w:r>
        <w:separator/>
      </w:r>
    </w:p>
  </w:footnote>
  <w:footnote w:type="continuationSeparator" w:id="0">
    <w:p w14:paraId="4023657A" w14:textId="77777777" w:rsidR="00E15638" w:rsidRDefault="00E15638">
      <w:r>
        <w:continuationSeparator/>
      </w:r>
    </w:p>
    <w:p w14:paraId="28F8DC14" w14:textId="77777777" w:rsidR="00E15638" w:rsidRDefault="00E15638"/>
    <w:p w14:paraId="6E1FAE2D" w14:textId="77777777" w:rsidR="00E15638" w:rsidRDefault="00E15638"/>
    <w:p w14:paraId="5069D60E" w14:textId="77777777" w:rsidR="00E15638" w:rsidRDefault="00E15638"/>
    <w:p w14:paraId="0745AB89" w14:textId="77777777" w:rsidR="00E15638" w:rsidRDefault="00E15638"/>
  </w:footnote>
  <w:footnote w:id="1">
    <w:p w14:paraId="46A8178B" w14:textId="77777777" w:rsidR="00E15638" w:rsidRDefault="00E15638" w:rsidP="00F73193">
      <w:pPr>
        <w:pStyle w:val="FootnoteText"/>
        <w:spacing w:before="120" w:after="120" w:line="252" w:lineRule="auto"/>
      </w:pPr>
      <w:r>
        <w:rPr>
          <w:rStyle w:val="FootnoteReference"/>
        </w:rPr>
        <w:footnoteRef/>
      </w:r>
      <w:r>
        <w:t xml:space="preserve"> Legislative Assembly for the ACT, </w:t>
      </w:r>
      <w:r w:rsidRPr="009E2E5B">
        <w:rPr>
          <w:i/>
          <w:iCs/>
        </w:rPr>
        <w:t>Minutes of Proceedings</w:t>
      </w:r>
      <w:r>
        <w:t xml:space="preserve">, 2 December 2020, pp.17, 20, available at: </w:t>
      </w:r>
      <w:hyperlink r:id="rId1" w:history="1">
        <w:r w:rsidRPr="00C62C1B">
          <w:rPr>
            <w:rStyle w:val="Hyperlink"/>
          </w:rPr>
          <w:t>https://www.parliament.act.gov.au/__data/assets/pdf_file/0007/1669030/MoP002F.pdf</w:t>
        </w:r>
      </w:hyperlink>
      <w:r>
        <w:t xml:space="preserve"> </w:t>
      </w:r>
    </w:p>
  </w:footnote>
  <w:footnote w:id="2">
    <w:p w14:paraId="399C0584" w14:textId="77777777" w:rsidR="00E15638" w:rsidRDefault="00E15638" w:rsidP="00F73193">
      <w:pPr>
        <w:pStyle w:val="FootnoteText"/>
        <w:spacing w:before="120" w:after="120" w:line="252" w:lineRule="auto"/>
      </w:pPr>
      <w:r>
        <w:rPr>
          <w:rStyle w:val="FootnoteReference"/>
        </w:rPr>
        <w:footnoteRef/>
      </w:r>
      <w:r>
        <w:t xml:space="preserve"> Legislative Assembly for the ACT, </w:t>
      </w:r>
      <w:r w:rsidRPr="009E2E5B">
        <w:rPr>
          <w:i/>
          <w:iCs/>
        </w:rPr>
        <w:t>Minutes of Proceedings</w:t>
      </w:r>
      <w:r>
        <w:t xml:space="preserve">, 2 December 2020, pp.17, 20, available at: </w:t>
      </w:r>
      <w:hyperlink r:id="rId2" w:history="1">
        <w:r w:rsidRPr="00C62C1B">
          <w:rPr>
            <w:rStyle w:val="Hyperlink"/>
          </w:rPr>
          <w:t>https://www.parliament.act.gov.au/__data/assets/pdf_file/0007/1669030/MoP002F.pdf</w:t>
        </w:r>
      </w:hyperlink>
      <w:r>
        <w:t xml:space="preserve"> </w:t>
      </w:r>
    </w:p>
  </w:footnote>
  <w:footnote w:id="3">
    <w:p w14:paraId="393A8DFB" w14:textId="77777777" w:rsidR="00E15638" w:rsidRDefault="00E15638" w:rsidP="00F73193">
      <w:pPr>
        <w:pStyle w:val="FootnoteText"/>
        <w:spacing w:before="120" w:after="120" w:line="252" w:lineRule="auto"/>
      </w:pPr>
      <w:r>
        <w:rPr>
          <w:rStyle w:val="FootnoteReference"/>
        </w:rPr>
        <w:footnoteRef/>
      </w:r>
      <w:r>
        <w:t xml:space="preserve"> Accessible at </w:t>
      </w:r>
      <w:hyperlink r:id="rId3" w:history="1">
        <w:r w:rsidRPr="00346CD4">
          <w:rPr>
            <w:rStyle w:val="Hyperlink"/>
          </w:rPr>
          <w:t>https://www.legislation.gov.au/Details/C2016C00482</w:t>
        </w:r>
      </w:hyperlink>
      <w:r>
        <w:t>.</w:t>
      </w:r>
    </w:p>
  </w:footnote>
  <w:footnote w:id="4">
    <w:p w14:paraId="166597E6" w14:textId="77777777" w:rsidR="00E15638" w:rsidRDefault="00E15638" w:rsidP="00F73193">
      <w:pPr>
        <w:pStyle w:val="FootnoteText"/>
        <w:spacing w:before="120" w:after="120" w:line="252" w:lineRule="auto"/>
      </w:pPr>
      <w:r>
        <w:rPr>
          <w:rStyle w:val="FootnoteReference"/>
        </w:rPr>
        <w:footnoteRef/>
      </w:r>
      <w:r>
        <w:t xml:space="preserve"> </w:t>
      </w:r>
      <w:r w:rsidRPr="00BA109D">
        <w:rPr>
          <w:i/>
        </w:rPr>
        <w:t>Australian Capital Territory (Planning and Land Management) Act 1988</w:t>
      </w:r>
      <w:r w:rsidRPr="00BA109D">
        <w:t xml:space="preserve">, </w:t>
      </w:r>
      <w:r>
        <w:t>sections 5 and 6.</w:t>
      </w:r>
    </w:p>
  </w:footnote>
  <w:footnote w:id="5">
    <w:p w14:paraId="5281117E" w14:textId="77777777" w:rsidR="00E15638" w:rsidRDefault="00E15638" w:rsidP="00F73193">
      <w:pPr>
        <w:pStyle w:val="FootnoteText"/>
        <w:spacing w:before="120" w:after="120" w:line="252" w:lineRule="auto"/>
      </w:pPr>
      <w:r>
        <w:rPr>
          <w:rStyle w:val="FootnoteReference"/>
        </w:rPr>
        <w:footnoteRef/>
      </w:r>
      <w:r>
        <w:t xml:space="preserve"> </w:t>
      </w:r>
      <w:r w:rsidRPr="003A6F89">
        <w:rPr>
          <w:rStyle w:val="Emphasis"/>
        </w:rPr>
        <w:t>Australian Capital Territory (Planning and Land Management) Act 1988</w:t>
      </w:r>
      <w:r>
        <w:t>, section 9.</w:t>
      </w:r>
    </w:p>
  </w:footnote>
  <w:footnote w:id="6">
    <w:p w14:paraId="00C2284A" w14:textId="77777777" w:rsidR="00E15638" w:rsidRDefault="00E15638" w:rsidP="00F73193">
      <w:pPr>
        <w:pStyle w:val="FootnoteText"/>
        <w:spacing w:before="120" w:after="120" w:line="252" w:lineRule="auto"/>
      </w:pPr>
      <w:r>
        <w:rPr>
          <w:rStyle w:val="FootnoteReference"/>
        </w:rPr>
        <w:footnoteRef/>
      </w:r>
      <w:r>
        <w:t xml:space="preserve"> </w:t>
      </w:r>
      <w:r w:rsidRPr="003A6F89">
        <w:rPr>
          <w:rStyle w:val="Emphasis"/>
        </w:rPr>
        <w:t>Australian Capital Territory (Planning and Land Management) Act 1988</w:t>
      </w:r>
      <w:r w:rsidRPr="00EB3166">
        <w:t>, s</w:t>
      </w:r>
      <w:r>
        <w:t>ection</w:t>
      </w:r>
      <w:r w:rsidRPr="00EB3166">
        <w:t xml:space="preserve"> </w:t>
      </w:r>
      <w:r>
        <w:t>25.</w:t>
      </w:r>
    </w:p>
  </w:footnote>
  <w:footnote w:id="7">
    <w:p w14:paraId="33905D39" w14:textId="77777777" w:rsidR="00E15638" w:rsidRDefault="00E15638" w:rsidP="00F73193">
      <w:pPr>
        <w:pStyle w:val="FootnoteText"/>
        <w:spacing w:before="120" w:after="120" w:line="252" w:lineRule="auto"/>
      </w:pPr>
      <w:r>
        <w:rPr>
          <w:rStyle w:val="FootnoteReference"/>
        </w:rPr>
        <w:footnoteRef/>
      </w:r>
      <w:r>
        <w:t xml:space="preserve"> Accessible at </w:t>
      </w:r>
      <w:hyperlink r:id="rId4" w:history="1">
        <w:r w:rsidRPr="002C31C2">
          <w:rPr>
            <w:rStyle w:val="Hyperlink"/>
          </w:rPr>
          <w:t>http://www.legislation.act.gov.au/a/1990-59/default.asp</w:t>
        </w:r>
      </w:hyperlink>
      <w:r>
        <w:t>.</w:t>
      </w:r>
    </w:p>
  </w:footnote>
  <w:footnote w:id="8">
    <w:p w14:paraId="44553258" w14:textId="77777777" w:rsidR="00E15638" w:rsidRDefault="00E15638" w:rsidP="00F73193">
      <w:pPr>
        <w:pStyle w:val="FootnoteText"/>
        <w:spacing w:before="120" w:after="120" w:line="252" w:lineRule="auto"/>
      </w:pPr>
      <w:r>
        <w:rPr>
          <w:rStyle w:val="FootnoteReference"/>
        </w:rPr>
        <w:footnoteRef/>
      </w:r>
      <w:r>
        <w:t xml:space="preserve"> Accessible at </w:t>
      </w:r>
      <w:hyperlink r:id="rId5" w:history="1">
        <w:r w:rsidRPr="002C31C2">
          <w:rPr>
            <w:rStyle w:val="Hyperlink"/>
          </w:rPr>
          <w:t>http://www.legislation.act.gov.au/a/1991-100/default.asp</w:t>
        </w:r>
      </w:hyperlink>
      <w:r>
        <w:t>.</w:t>
      </w:r>
    </w:p>
  </w:footnote>
  <w:footnote w:id="9">
    <w:p w14:paraId="1B48B80A" w14:textId="77777777" w:rsidR="00E15638" w:rsidRDefault="00E15638" w:rsidP="00F73193">
      <w:pPr>
        <w:pStyle w:val="FootnoteText"/>
        <w:spacing w:before="120" w:after="120" w:line="252" w:lineRule="auto"/>
      </w:pPr>
      <w:r>
        <w:rPr>
          <w:rStyle w:val="FootnoteReference"/>
        </w:rPr>
        <w:footnoteRef/>
      </w:r>
      <w:r>
        <w:t xml:space="preserve"> Accessible at </w:t>
      </w:r>
      <w:hyperlink r:id="rId6" w:history="1">
        <w:r w:rsidRPr="002C31C2">
          <w:rPr>
            <w:rStyle w:val="Hyperlink"/>
          </w:rPr>
          <w:t>http://www.legislation.act.gov.au/a/2007-24/current/pdf/2007-24.pdf</w:t>
        </w:r>
      </w:hyperlink>
      <w:r>
        <w:t>.</w:t>
      </w:r>
    </w:p>
  </w:footnote>
  <w:footnote w:id="10">
    <w:p w14:paraId="4FC90C28" w14:textId="77777777" w:rsidR="00E15638" w:rsidRDefault="00E15638" w:rsidP="00F73193">
      <w:pPr>
        <w:pStyle w:val="FootnoteText"/>
        <w:spacing w:before="120" w:after="120" w:line="252" w:lineRule="auto"/>
      </w:pPr>
      <w:r>
        <w:rPr>
          <w:rStyle w:val="FootnoteReference"/>
        </w:rPr>
        <w:footnoteRef/>
      </w:r>
      <w:r>
        <w:t xml:space="preserve"> </w:t>
      </w:r>
      <w:r w:rsidRPr="003A6F89">
        <w:rPr>
          <w:rStyle w:val="Emphasis"/>
        </w:rPr>
        <w:t>Planning and Development Act 2007</w:t>
      </w:r>
      <w:r w:rsidRPr="008732E5">
        <w:rPr>
          <w:rStyle w:val="Emphasis"/>
        </w:rPr>
        <w:t xml:space="preserve">, </w:t>
      </w:r>
      <w:r w:rsidRPr="006C65BD">
        <w:rPr>
          <w:rStyle w:val="Emphasis"/>
          <w:i w:val="0"/>
        </w:rPr>
        <w:t>section 10</w:t>
      </w:r>
      <w:r>
        <w:rPr>
          <w:rStyle w:val="Emphasis"/>
        </w:rPr>
        <w:t>.</w:t>
      </w:r>
    </w:p>
  </w:footnote>
  <w:footnote w:id="11">
    <w:p w14:paraId="6EE44108" w14:textId="77777777" w:rsidR="00E15638" w:rsidRDefault="00E15638" w:rsidP="00F73193">
      <w:pPr>
        <w:pStyle w:val="FootnoteText"/>
        <w:spacing w:before="120" w:after="120" w:line="252" w:lineRule="auto"/>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46.</w:t>
      </w:r>
    </w:p>
  </w:footnote>
  <w:footnote w:id="12">
    <w:p w14:paraId="61197B9E" w14:textId="17172E2E" w:rsidR="00E15638" w:rsidRDefault="00E15638" w:rsidP="00F73193">
      <w:pPr>
        <w:pStyle w:val="FootnoteText"/>
        <w:spacing w:before="120" w:after="120" w:line="252" w:lineRule="auto"/>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48.</w:t>
      </w:r>
    </w:p>
  </w:footnote>
  <w:footnote w:id="13">
    <w:p w14:paraId="16152C5D" w14:textId="77777777" w:rsidR="00E15638" w:rsidRDefault="00E15638" w:rsidP="00F73193">
      <w:pPr>
        <w:pStyle w:val="FootnoteText"/>
        <w:spacing w:before="120" w:after="120" w:line="252" w:lineRule="auto"/>
      </w:pPr>
      <w:r>
        <w:rPr>
          <w:rStyle w:val="FootnoteReference"/>
        </w:rPr>
        <w:footnoteRef/>
      </w:r>
      <w:r>
        <w:t xml:space="preserve"> </w:t>
      </w:r>
      <w:r w:rsidRPr="003A6F89">
        <w:rPr>
          <w:rStyle w:val="Emphasis"/>
        </w:rPr>
        <w:t>Planning and Development Act 2007</w:t>
      </w:r>
      <w:r w:rsidRPr="00140FCE">
        <w:t>, s</w:t>
      </w:r>
      <w:r>
        <w:t>ection</w:t>
      </w:r>
      <w:r w:rsidRPr="00140FCE">
        <w:t xml:space="preserve"> </w:t>
      </w:r>
      <w:r>
        <w:t>50.</w:t>
      </w:r>
    </w:p>
  </w:footnote>
  <w:footnote w:id="14">
    <w:p w14:paraId="65C83F55" w14:textId="77777777" w:rsidR="00E15638" w:rsidRDefault="00E15638" w:rsidP="00F73193">
      <w:pPr>
        <w:pStyle w:val="FootnoteText"/>
        <w:spacing w:before="120" w:after="120" w:line="252" w:lineRule="auto"/>
      </w:pPr>
      <w:r>
        <w:rPr>
          <w:rStyle w:val="FootnoteReference"/>
        </w:rPr>
        <w:footnoteRef/>
      </w:r>
      <w:r>
        <w:t xml:space="preserve"> </w:t>
      </w:r>
      <w:r w:rsidRPr="003A6F89">
        <w:rPr>
          <w:rStyle w:val="Emphasis"/>
        </w:rPr>
        <w:t>Planning and Development Act 2007</w:t>
      </w:r>
      <w:r w:rsidRPr="003A3D60">
        <w:t>, s</w:t>
      </w:r>
      <w:r>
        <w:t>ection</w:t>
      </w:r>
      <w:r w:rsidRPr="003A3D60">
        <w:t xml:space="preserve"> 4</w:t>
      </w:r>
      <w:r>
        <w:t>9.</w:t>
      </w:r>
    </w:p>
  </w:footnote>
  <w:footnote w:id="15">
    <w:p w14:paraId="5A7672F9" w14:textId="77777777" w:rsidR="00E15638" w:rsidRDefault="00E15638" w:rsidP="00F73193">
      <w:pPr>
        <w:pStyle w:val="FootnoteText"/>
        <w:spacing w:before="120" w:after="120" w:line="252" w:lineRule="auto"/>
      </w:pPr>
      <w:r>
        <w:rPr>
          <w:rStyle w:val="FootnoteReference"/>
        </w:rPr>
        <w:footnoteRef/>
      </w:r>
      <w:r>
        <w:t xml:space="preserve"> Territory Plan,</w:t>
      </w:r>
      <w:r w:rsidRPr="00EB62DE">
        <w:rPr>
          <w:rFonts w:asciiTheme="minorHAnsi" w:hAnsiTheme="minorHAnsi" w:cstheme="minorHAnsi"/>
        </w:rPr>
        <w:t xml:space="preserve"> Accessible at </w:t>
      </w:r>
      <w:hyperlink r:id="rId7" w:history="1">
        <w:r w:rsidRPr="007C4C15">
          <w:rPr>
            <w:rStyle w:val="Hyperlink"/>
          </w:rPr>
          <w:t>https://www.legislation.act.gov.au/ni/2008-27/Current</w:t>
        </w:r>
      </w:hyperlink>
      <w:r>
        <w:t>.</w:t>
      </w:r>
    </w:p>
  </w:footnote>
  <w:footnote w:id="16">
    <w:p w14:paraId="2F4D23C0" w14:textId="77777777" w:rsidR="00E15638" w:rsidRDefault="00E15638" w:rsidP="00F73193">
      <w:pPr>
        <w:pStyle w:val="FootnoteText"/>
        <w:spacing w:before="120" w:after="120" w:line="252" w:lineRule="auto"/>
      </w:pPr>
      <w:r>
        <w:rPr>
          <w:rStyle w:val="FootnoteReference"/>
        </w:rPr>
        <w:footnoteRef/>
      </w:r>
      <w:r>
        <w:t xml:space="preserve"> </w:t>
      </w:r>
      <w:r w:rsidRPr="00374973">
        <w:rPr>
          <w:rStyle w:val="Emphasis"/>
        </w:rPr>
        <w:t>Planning and Development Act 2007</w:t>
      </w:r>
      <w:r>
        <w:t>, Part 5.3.</w:t>
      </w:r>
    </w:p>
  </w:footnote>
  <w:footnote w:id="17">
    <w:p w14:paraId="6A85E7E9" w14:textId="6E26FFEB" w:rsidR="00E15638" w:rsidRDefault="00E15638" w:rsidP="00F73193">
      <w:pPr>
        <w:pStyle w:val="FootnoteText"/>
        <w:spacing w:before="120" w:after="120" w:line="252" w:lineRule="auto"/>
      </w:pPr>
      <w:r>
        <w:rPr>
          <w:rStyle w:val="FootnoteReference"/>
        </w:rPr>
        <w:footnoteRef/>
      </w:r>
      <w:r>
        <w:t xml:space="preserve"> Under section 70 of the </w:t>
      </w:r>
      <w:r w:rsidRPr="003A6F89">
        <w:rPr>
          <w:rStyle w:val="Emphasis"/>
        </w:rPr>
        <w:t>Planning and Development Act 2007</w:t>
      </w:r>
      <w:r>
        <w:t xml:space="preserve">, the planning and land authority must prepare a public availability notice advising that Draft Variation documents, which have been provided to the minister, are available for public inspection. This notice, which is a notifiable instrument, may be accessed via the ACT Legislation Register website at </w:t>
      </w:r>
      <w:r w:rsidRPr="00CD27E1">
        <w:t>http://www.legislation.act.gov.au/</w:t>
      </w:r>
      <w:r>
        <w:t>.</w:t>
      </w:r>
    </w:p>
  </w:footnote>
  <w:footnote w:id="18">
    <w:p w14:paraId="2E1ECF08" w14:textId="275C4907" w:rsidR="00E15638" w:rsidRDefault="00E15638" w:rsidP="00F73193">
      <w:pPr>
        <w:pStyle w:val="FootnoteText"/>
        <w:spacing w:before="120" w:after="120" w:line="252" w:lineRule="auto"/>
      </w:pPr>
      <w:r>
        <w:rPr>
          <w:rStyle w:val="FootnoteReference"/>
        </w:rPr>
        <w:footnoteRef/>
      </w:r>
      <w:r>
        <w:t xml:space="preserve"> </w:t>
      </w:r>
      <w:r w:rsidRPr="003A6F89">
        <w:rPr>
          <w:rStyle w:val="Emphasis"/>
        </w:rPr>
        <w:t>Planning and Development Act 2007</w:t>
      </w:r>
      <w:r w:rsidRPr="001971A1">
        <w:t>, s</w:t>
      </w:r>
      <w:r>
        <w:t>ection</w:t>
      </w:r>
      <w:r w:rsidRPr="001971A1">
        <w:t xml:space="preserve"> </w:t>
      </w:r>
      <w:r>
        <w:t>73; T</w:t>
      </w:r>
      <w:r w:rsidRPr="00AD25A3">
        <w:t>he Standing Committee on Planning</w:t>
      </w:r>
      <w:r>
        <w:t>, Transport and City Services is currently the appropriate committee.</w:t>
      </w:r>
    </w:p>
  </w:footnote>
  <w:footnote w:id="19">
    <w:p w14:paraId="60725E8F" w14:textId="77777777" w:rsidR="00E15638" w:rsidRDefault="00E15638" w:rsidP="00F73193">
      <w:pPr>
        <w:pStyle w:val="FootnoteText"/>
        <w:spacing w:before="120" w:after="120" w:line="252" w:lineRule="auto"/>
      </w:pPr>
      <w:r>
        <w:rPr>
          <w:rStyle w:val="FootnoteReference"/>
        </w:rPr>
        <w:footnoteRef/>
      </w:r>
      <w:r>
        <w:t xml:space="preserve"> </w:t>
      </w:r>
      <w:r w:rsidRPr="003A6F89">
        <w:rPr>
          <w:rStyle w:val="Emphasis"/>
        </w:rPr>
        <w:t>Planning and Development Act 2007</w:t>
      </w:r>
      <w:r w:rsidRPr="001971A1">
        <w:t>, s</w:t>
      </w:r>
      <w:r>
        <w:t>ection</w:t>
      </w:r>
      <w:r w:rsidRPr="001971A1">
        <w:t xml:space="preserve"> </w:t>
      </w:r>
      <w:r>
        <w:t>74.</w:t>
      </w:r>
    </w:p>
  </w:footnote>
  <w:footnote w:id="20">
    <w:p w14:paraId="1EA27150" w14:textId="77777777" w:rsidR="00E15638" w:rsidRDefault="00E15638" w:rsidP="00F73193">
      <w:pPr>
        <w:pStyle w:val="FootnoteText"/>
        <w:spacing w:before="120" w:after="120" w:line="252" w:lineRule="auto"/>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73A.</w:t>
      </w:r>
    </w:p>
  </w:footnote>
  <w:footnote w:id="21">
    <w:p w14:paraId="58E1C9FA" w14:textId="77777777" w:rsidR="00E15638" w:rsidRDefault="00E15638" w:rsidP="00F73193">
      <w:pPr>
        <w:pStyle w:val="FootnoteText"/>
        <w:spacing w:before="120" w:after="120" w:line="252" w:lineRule="auto"/>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73.</w:t>
      </w:r>
    </w:p>
  </w:footnote>
  <w:footnote w:id="22">
    <w:p w14:paraId="690E5356" w14:textId="77777777" w:rsidR="00E15638" w:rsidRDefault="00E15638" w:rsidP="00F73193">
      <w:pPr>
        <w:pStyle w:val="FootnoteText"/>
        <w:spacing w:before="120" w:after="120" w:line="252" w:lineRule="auto"/>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75.</w:t>
      </w:r>
    </w:p>
  </w:footnote>
  <w:footnote w:id="23">
    <w:p w14:paraId="04D4E50E" w14:textId="77777777" w:rsidR="00E15638" w:rsidRDefault="00E15638" w:rsidP="00F73193">
      <w:pPr>
        <w:pStyle w:val="FootnoteText"/>
        <w:spacing w:before="120" w:after="120" w:line="252" w:lineRule="auto"/>
      </w:pPr>
      <w:r>
        <w:rPr>
          <w:rStyle w:val="FootnoteReference"/>
        </w:rPr>
        <w:footnoteRef/>
      </w:r>
      <w:r>
        <w:t xml:space="preserve"> </w:t>
      </w:r>
      <w:r w:rsidRPr="00946DD1">
        <w:rPr>
          <w:rStyle w:val="Emphasis"/>
        </w:rPr>
        <w:t>Planning and Development Act 2007</w:t>
      </w:r>
      <w:r w:rsidRPr="001971A1">
        <w:t xml:space="preserve">, </w:t>
      </w:r>
      <w:r>
        <w:t>subsection</w:t>
      </w:r>
      <w:r w:rsidRPr="001971A1">
        <w:t xml:space="preserve"> </w:t>
      </w:r>
      <w:r>
        <w:t>76(3).</w:t>
      </w:r>
    </w:p>
  </w:footnote>
  <w:footnote w:id="24">
    <w:p w14:paraId="7663F936" w14:textId="77777777" w:rsidR="00E15638" w:rsidRDefault="00E15638" w:rsidP="00F73193">
      <w:pPr>
        <w:pStyle w:val="FootnoteText"/>
        <w:spacing w:before="120" w:after="120" w:line="252" w:lineRule="auto"/>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79.</w:t>
      </w:r>
    </w:p>
  </w:footnote>
  <w:footnote w:id="25">
    <w:p w14:paraId="745C967B" w14:textId="77777777" w:rsidR="00E15638" w:rsidRDefault="00E15638" w:rsidP="00F73193">
      <w:pPr>
        <w:pStyle w:val="FootnoteText"/>
        <w:spacing w:before="120" w:after="120" w:line="252" w:lineRule="auto"/>
      </w:pPr>
      <w:r>
        <w:rPr>
          <w:rStyle w:val="FootnoteReference"/>
        </w:rPr>
        <w:footnoteRef/>
      </w:r>
      <w:r>
        <w:t xml:space="preserve"> </w:t>
      </w:r>
      <w:r w:rsidRPr="00946DD1">
        <w:rPr>
          <w:rStyle w:val="Emphasis"/>
        </w:rPr>
        <w:t>Planning and Development Act 2007</w:t>
      </w:r>
      <w:r w:rsidRPr="001971A1">
        <w:t>, s</w:t>
      </w:r>
      <w:r>
        <w:t>ection</w:t>
      </w:r>
      <w:r w:rsidRPr="001971A1">
        <w:t xml:space="preserve"> </w:t>
      </w:r>
      <w:r>
        <w:t>83.</w:t>
      </w:r>
    </w:p>
  </w:footnote>
  <w:footnote w:id="26">
    <w:p w14:paraId="3730C78D" w14:textId="4A8BDBFE" w:rsidR="00E15638" w:rsidRDefault="00E15638" w:rsidP="00F73193">
      <w:pPr>
        <w:pStyle w:val="FootnoteText"/>
        <w:spacing w:before="120" w:after="120" w:line="252" w:lineRule="auto"/>
      </w:pPr>
      <w:r>
        <w:rPr>
          <w:rStyle w:val="FootnoteReference"/>
        </w:rPr>
        <w:footnoteRef/>
      </w:r>
      <w:r>
        <w:t xml:space="preserve"> </w:t>
      </w:r>
      <w:hyperlink r:id="rId8" w:history="1">
        <w:r>
          <w:rPr>
            <w:rStyle w:val="Hyperlink"/>
          </w:rPr>
          <w:t>Gungahlin Town Centre Planning Report</w:t>
        </w:r>
      </w:hyperlink>
      <w:r>
        <w:t xml:space="preserve"> 2010, p. 7</w:t>
      </w:r>
    </w:p>
  </w:footnote>
  <w:footnote w:id="27">
    <w:p w14:paraId="5AA5048A" w14:textId="0733B0CE" w:rsidR="00E15638" w:rsidRDefault="00E15638" w:rsidP="00F73193">
      <w:pPr>
        <w:pStyle w:val="FootnoteText"/>
        <w:spacing w:before="120" w:after="120" w:line="252" w:lineRule="auto"/>
      </w:pPr>
      <w:r>
        <w:rPr>
          <w:rStyle w:val="FootnoteReference"/>
        </w:rPr>
        <w:footnoteRef/>
      </w:r>
      <w:r>
        <w:t xml:space="preserve"> </w:t>
      </w:r>
      <w:hyperlink r:id="rId9" w:history="1">
        <w:r>
          <w:rPr>
            <w:rStyle w:val="Hyperlink"/>
          </w:rPr>
          <w:t>Gungahlin Town Centre Planning Report</w:t>
        </w:r>
      </w:hyperlink>
      <w:r>
        <w:t xml:space="preserve"> 2010, p. 7</w:t>
      </w:r>
    </w:p>
  </w:footnote>
  <w:footnote w:id="28">
    <w:p w14:paraId="714E67AE" w14:textId="59EF2AF3" w:rsidR="00E15638" w:rsidRDefault="00E15638" w:rsidP="00F73193">
      <w:pPr>
        <w:pStyle w:val="FootnoteText"/>
        <w:spacing w:before="120" w:after="120" w:line="252" w:lineRule="auto"/>
      </w:pPr>
      <w:r>
        <w:rPr>
          <w:rStyle w:val="FootnoteReference"/>
        </w:rPr>
        <w:footnoteRef/>
      </w:r>
      <w:r>
        <w:t xml:space="preserve"> </w:t>
      </w:r>
      <w:hyperlink r:id="rId10" w:history="1">
        <w:r>
          <w:rPr>
            <w:rStyle w:val="Hyperlink"/>
          </w:rPr>
          <w:t>Gungahlin Town Centre Planning Report</w:t>
        </w:r>
      </w:hyperlink>
      <w:r>
        <w:t xml:space="preserve"> 2010, p. 7</w:t>
      </w:r>
    </w:p>
  </w:footnote>
  <w:footnote w:id="29">
    <w:p w14:paraId="7447675A" w14:textId="67D29838" w:rsidR="00E15638" w:rsidRDefault="00E15638" w:rsidP="00F73193">
      <w:pPr>
        <w:pStyle w:val="FootnoteText"/>
        <w:spacing w:before="120" w:after="120" w:line="252" w:lineRule="auto"/>
      </w:pPr>
      <w:r>
        <w:rPr>
          <w:rStyle w:val="FootnoteReference"/>
        </w:rPr>
        <w:footnoteRef/>
      </w:r>
      <w:r>
        <w:t xml:space="preserve"> </w:t>
      </w:r>
      <w:hyperlink r:id="rId11" w:history="1">
        <w:r>
          <w:rPr>
            <w:rStyle w:val="Hyperlink"/>
          </w:rPr>
          <w:t>Gungahlin Town Centre Planning Report</w:t>
        </w:r>
      </w:hyperlink>
      <w:r>
        <w:t xml:space="preserve"> 2010, p. 7</w:t>
      </w:r>
    </w:p>
  </w:footnote>
  <w:footnote w:id="30">
    <w:p w14:paraId="3C060FBB" w14:textId="0264BED8" w:rsidR="00E15638" w:rsidRDefault="00E15638" w:rsidP="00F73193">
      <w:pPr>
        <w:pStyle w:val="FootnoteText"/>
        <w:spacing w:before="120" w:after="120" w:line="252" w:lineRule="auto"/>
      </w:pPr>
      <w:r>
        <w:rPr>
          <w:rStyle w:val="FootnoteReference"/>
        </w:rPr>
        <w:footnoteRef/>
      </w:r>
      <w:r>
        <w:t xml:space="preserve">  </w:t>
      </w:r>
      <w:hyperlink r:id="rId12" w:history="1">
        <w:r>
          <w:rPr>
            <w:rStyle w:val="Hyperlink"/>
          </w:rPr>
          <w:t>Gungahlin Town Centre Planning Report</w:t>
        </w:r>
      </w:hyperlink>
      <w:r>
        <w:t xml:space="preserve"> 2010, p. 4</w:t>
      </w:r>
    </w:p>
  </w:footnote>
  <w:footnote w:id="31">
    <w:p w14:paraId="108DAD14" w14:textId="443B9D84" w:rsidR="00E15638" w:rsidRDefault="00E15638" w:rsidP="00F73193">
      <w:pPr>
        <w:pStyle w:val="FootnoteText"/>
        <w:spacing w:before="120" w:after="120" w:line="252" w:lineRule="auto"/>
      </w:pPr>
      <w:r>
        <w:rPr>
          <w:rStyle w:val="FootnoteReference"/>
        </w:rPr>
        <w:footnoteRef/>
      </w:r>
      <w:r>
        <w:t xml:space="preserve"> </w:t>
      </w:r>
      <w:hyperlink r:id="rId13" w:history="1">
        <w:r>
          <w:rPr>
            <w:rStyle w:val="Hyperlink"/>
          </w:rPr>
          <w:t>Gungahlin Town Centre Planning Refresh Snapshot</w:t>
        </w:r>
      </w:hyperlink>
      <w:r>
        <w:t>, 2018, p. 2</w:t>
      </w:r>
    </w:p>
  </w:footnote>
  <w:footnote w:id="32">
    <w:p w14:paraId="77DA1CCA" w14:textId="302ED7B9" w:rsidR="00E15638" w:rsidRDefault="00E15638" w:rsidP="00F73193">
      <w:pPr>
        <w:pStyle w:val="FootnoteText"/>
        <w:spacing w:before="120" w:after="120" w:line="252" w:lineRule="auto"/>
      </w:pPr>
      <w:r>
        <w:rPr>
          <w:rStyle w:val="FootnoteReference"/>
        </w:rPr>
        <w:footnoteRef/>
      </w:r>
      <w:r>
        <w:t xml:space="preserve"> </w:t>
      </w:r>
      <w:hyperlink r:id="rId14" w:history="1">
        <w:r>
          <w:rPr>
            <w:rStyle w:val="Hyperlink"/>
          </w:rPr>
          <w:t>Gungahlin Town Centre Planning Refresh Snapshot</w:t>
        </w:r>
      </w:hyperlink>
      <w:r>
        <w:t>, 2018, p. 1</w:t>
      </w:r>
    </w:p>
  </w:footnote>
  <w:footnote w:id="33">
    <w:p w14:paraId="0F452196" w14:textId="2638906B" w:rsidR="00E15638" w:rsidRDefault="00E15638" w:rsidP="00F73193">
      <w:pPr>
        <w:pStyle w:val="FootnoteText"/>
        <w:spacing w:before="120" w:after="120" w:line="252" w:lineRule="auto"/>
      </w:pPr>
      <w:r>
        <w:rPr>
          <w:rStyle w:val="FootnoteReference"/>
        </w:rPr>
        <w:footnoteRef/>
      </w:r>
      <w:r>
        <w:t xml:space="preserve"> </w:t>
      </w:r>
      <w:hyperlink r:id="rId15" w:history="1">
        <w:r>
          <w:rPr>
            <w:rStyle w:val="Hyperlink"/>
          </w:rPr>
          <w:t>Gungahlin Town Centre Planning Refresh Snapshot</w:t>
        </w:r>
      </w:hyperlink>
      <w:r>
        <w:t>, 2018, p. 7</w:t>
      </w:r>
    </w:p>
  </w:footnote>
  <w:footnote w:id="34">
    <w:p w14:paraId="78EFF097" w14:textId="77777777" w:rsidR="00E15638" w:rsidRDefault="00E15638" w:rsidP="00F73193">
      <w:pPr>
        <w:pStyle w:val="FootnoteText"/>
        <w:spacing w:before="120" w:after="120" w:line="252" w:lineRule="auto"/>
      </w:pPr>
      <w:r>
        <w:rPr>
          <w:rStyle w:val="FootnoteReference"/>
        </w:rPr>
        <w:footnoteRef/>
      </w:r>
      <w:r>
        <w:t xml:space="preserve"> </w:t>
      </w:r>
      <w:r w:rsidRPr="001D69B4">
        <w:rPr>
          <w:i/>
          <w:iCs/>
        </w:rPr>
        <w:t>Draft Variation to the Territory Plan 36</w:t>
      </w:r>
      <w:r>
        <w:rPr>
          <w:i/>
          <w:iCs/>
        </w:rPr>
        <w:t>4</w:t>
      </w:r>
      <w:r w:rsidRPr="001D69B4">
        <w:rPr>
          <w:i/>
          <w:iCs/>
        </w:rPr>
        <w:t xml:space="preserve"> </w:t>
      </w:r>
      <w:r>
        <w:rPr>
          <w:i/>
          <w:iCs/>
        </w:rPr>
        <w:t>Gungahlin Town Centre</w:t>
      </w:r>
      <w:r w:rsidRPr="001D69B4">
        <w:rPr>
          <w:i/>
          <w:iCs/>
        </w:rPr>
        <w:t xml:space="preserve">: </w:t>
      </w:r>
      <w:r>
        <w:rPr>
          <w:i/>
          <w:iCs/>
        </w:rPr>
        <w:t>A</w:t>
      </w:r>
      <w:r w:rsidRPr="001D69B4">
        <w:rPr>
          <w:i/>
          <w:iCs/>
        </w:rPr>
        <w:t xml:space="preserve">mendments to the </w:t>
      </w:r>
      <w:r>
        <w:rPr>
          <w:i/>
          <w:iCs/>
        </w:rPr>
        <w:t>Gungahlin</w:t>
      </w:r>
      <w:r w:rsidRPr="001D69B4">
        <w:rPr>
          <w:i/>
          <w:iCs/>
        </w:rPr>
        <w:t xml:space="preserve"> precinct map and code</w:t>
      </w:r>
      <w:r>
        <w:t>, recommended version, February 2021, p. 2</w:t>
      </w:r>
    </w:p>
  </w:footnote>
  <w:footnote w:id="35">
    <w:p w14:paraId="73880B59" w14:textId="77777777" w:rsidR="00E15638" w:rsidRDefault="00E15638" w:rsidP="00F73193">
      <w:pPr>
        <w:pStyle w:val="FootnoteText"/>
        <w:spacing w:before="120" w:after="120" w:line="252" w:lineRule="auto"/>
      </w:pPr>
      <w:r>
        <w:rPr>
          <w:rStyle w:val="FootnoteReference"/>
        </w:rPr>
        <w:footnoteRef/>
      </w:r>
      <w:r>
        <w:t xml:space="preserve"> </w:t>
      </w:r>
      <w:r w:rsidRPr="001D69B4">
        <w:rPr>
          <w:i/>
          <w:iCs/>
        </w:rPr>
        <w:t>Draft Variation to the Territory Plan 36</w:t>
      </w:r>
      <w:r>
        <w:rPr>
          <w:i/>
          <w:iCs/>
        </w:rPr>
        <w:t>4</w:t>
      </w:r>
      <w:r w:rsidRPr="001D69B4">
        <w:rPr>
          <w:i/>
          <w:iCs/>
        </w:rPr>
        <w:t xml:space="preserve"> </w:t>
      </w:r>
      <w:r>
        <w:rPr>
          <w:i/>
          <w:iCs/>
        </w:rPr>
        <w:t>Gungahlin Town Centre</w:t>
      </w:r>
      <w:r w:rsidRPr="001D69B4">
        <w:rPr>
          <w:i/>
          <w:iCs/>
        </w:rPr>
        <w:t xml:space="preserve">: </w:t>
      </w:r>
      <w:r>
        <w:rPr>
          <w:i/>
          <w:iCs/>
        </w:rPr>
        <w:t>A</w:t>
      </w:r>
      <w:r w:rsidRPr="001D69B4">
        <w:rPr>
          <w:i/>
          <w:iCs/>
        </w:rPr>
        <w:t xml:space="preserve">mendments to the </w:t>
      </w:r>
      <w:r>
        <w:rPr>
          <w:i/>
          <w:iCs/>
        </w:rPr>
        <w:t>Gungahlin</w:t>
      </w:r>
      <w:r w:rsidRPr="001D69B4">
        <w:rPr>
          <w:i/>
          <w:iCs/>
        </w:rPr>
        <w:t xml:space="preserve"> precinct map and code</w:t>
      </w:r>
      <w:r>
        <w:t>, recommended version, February 2021, p. 2</w:t>
      </w:r>
    </w:p>
  </w:footnote>
  <w:footnote w:id="36">
    <w:p w14:paraId="1399B4B2" w14:textId="7B08E3C9" w:rsidR="00E15638" w:rsidRPr="00EB62DE" w:rsidRDefault="00E15638" w:rsidP="00F73193">
      <w:pPr>
        <w:pStyle w:val="FootnoteText"/>
        <w:spacing w:before="120" w:after="120" w:line="252" w:lineRule="auto"/>
        <w:rPr>
          <w:rFonts w:asciiTheme="minorHAnsi" w:hAnsiTheme="minorHAnsi" w:cstheme="minorHAnsi"/>
          <w:szCs w:val="18"/>
        </w:rPr>
      </w:pPr>
      <w:r>
        <w:rPr>
          <w:rStyle w:val="FootnoteReference"/>
        </w:rPr>
        <w:footnoteRef/>
      </w:r>
      <w:r>
        <w:t xml:space="preserve"> </w:t>
      </w:r>
      <w:r w:rsidRPr="00EB62DE">
        <w:rPr>
          <w:rFonts w:asciiTheme="minorHAnsi" w:hAnsiTheme="minorHAnsi" w:cstheme="minorHAnsi"/>
          <w:szCs w:val="18"/>
          <w:u w:val="single"/>
        </w:rPr>
        <w:t>Note:</w:t>
      </w:r>
      <w:r w:rsidRPr="00EB62DE">
        <w:rPr>
          <w:rFonts w:asciiTheme="minorHAnsi" w:hAnsiTheme="minorHAnsi" w:cstheme="minorHAnsi"/>
          <w:szCs w:val="18"/>
        </w:rPr>
        <w:t xml:space="preserve"> Changes to the Territory Plan, such as draft variations, can have interim effect for a particular amount of time. This means that during the period of interim effect individuals or the government cannot do anything that is inconsistent with the Territory Plan if it were changed in accordance with the draft variation Environment, Planning and Sustainable Development – Planning website </w:t>
      </w:r>
      <w:hyperlink r:id="rId16" w:history="1">
        <w:r w:rsidRPr="00EB62DE">
          <w:rPr>
            <w:rStyle w:val="Hyperlink"/>
            <w:rFonts w:asciiTheme="minorHAnsi" w:hAnsiTheme="minorHAnsi" w:cstheme="minorHAnsi"/>
            <w:szCs w:val="18"/>
          </w:rPr>
          <w:t>https://www.planning.act.gov.au/planning-our-city/territory_plan/interim_effect</w:t>
        </w:r>
      </w:hyperlink>
      <w:r w:rsidRPr="00EB62DE">
        <w:rPr>
          <w:rFonts w:asciiTheme="minorHAnsi" w:hAnsiTheme="minorHAnsi" w:cstheme="minorHAnsi"/>
          <w:szCs w:val="18"/>
        </w:rPr>
        <w:t>, accessed 20 September 2021</w:t>
      </w:r>
    </w:p>
  </w:footnote>
  <w:footnote w:id="37">
    <w:p w14:paraId="45284413" w14:textId="77777777" w:rsidR="00E15638" w:rsidRDefault="00E15638" w:rsidP="00F73193">
      <w:pPr>
        <w:pStyle w:val="FootnoteText"/>
        <w:spacing w:before="120" w:after="120" w:line="252" w:lineRule="auto"/>
      </w:pPr>
      <w:r>
        <w:rPr>
          <w:rStyle w:val="FootnoteReference"/>
        </w:rPr>
        <w:footnoteRef/>
      </w:r>
      <w:r>
        <w:t xml:space="preserve"> </w:t>
      </w:r>
      <w:r w:rsidRPr="001D69B4">
        <w:rPr>
          <w:i/>
          <w:iCs/>
        </w:rPr>
        <w:t>Draft Variation to the Territory Plan 36</w:t>
      </w:r>
      <w:r>
        <w:rPr>
          <w:i/>
          <w:iCs/>
        </w:rPr>
        <w:t>4</w:t>
      </w:r>
      <w:r w:rsidRPr="001D69B4">
        <w:rPr>
          <w:i/>
          <w:iCs/>
        </w:rPr>
        <w:t xml:space="preserve"> </w:t>
      </w:r>
      <w:r>
        <w:rPr>
          <w:i/>
          <w:iCs/>
        </w:rPr>
        <w:t>Gungahlin Town Centre</w:t>
      </w:r>
      <w:r w:rsidRPr="001D69B4">
        <w:rPr>
          <w:i/>
          <w:iCs/>
        </w:rPr>
        <w:t xml:space="preserve">: </w:t>
      </w:r>
      <w:r>
        <w:rPr>
          <w:i/>
          <w:iCs/>
        </w:rPr>
        <w:t>A</w:t>
      </w:r>
      <w:r w:rsidRPr="001D69B4">
        <w:rPr>
          <w:i/>
          <w:iCs/>
        </w:rPr>
        <w:t xml:space="preserve">mendments to the </w:t>
      </w:r>
      <w:r>
        <w:rPr>
          <w:i/>
          <w:iCs/>
        </w:rPr>
        <w:t>Gungahlin</w:t>
      </w:r>
      <w:r w:rsidRPr="001D69B4">
        <w:rPr>
          <w:i/>
          <w:iCs/>
        </w:rPr>
        <w:t xml:space="preserve"> precinct map and code</w:t>
      </w:r>
      <w:r>
        <w:t>, recommended version, February 2021, p. 7</w:t>
      </w:r>
    </w:p>
  </w:footnote>
  <w:footnote w:id="38">
    <w:p w14:paraId="34C878BA" w14:textId="77777777" w:rsidR="00E15638" w:rsidRDefault="00E15638" w:rsidP="00F73193">
      <w:pPr>
        <w:pStyle w:val="FootnoteText"/>
        <w:spacing w:before="120" w:after="120" w:line="252" w:lineRule="auto"/>
      </w:pPr>
      <w:r>
        <w:rPr>
          <w:rStyle w:val="FootnoteReference"/>
        </w:rPr>
        <w:footnoteRef/>
      </w:r>
      <w:r>
        <w:t xml:space="preserve"> </w:t>
      </w:r>
      <w:hyperlink r:id="rId17" w:history="1">
        <w:r>
          <w:rPr>
            <w:rStyle w:val="Hyperlink"/>
          </w:rPr>
          <w:t>Planning and Development (Draft Variation 364) Public Availability Notice 2021 | Notifiable instruments (act.gov.au)</w:t>
        </w:r>
      </w:hyperlink>
    </w:p>
  </w:footnote>
  <w:footnote w:id="39">
    <w:p w14:paraId="09CC39A9" w14:textId="77777777" w:rsidR="00E15638" w:rsidRDefault="00E15638" w:rsidP="00F73193">
      <w:pPr>
        <w:pStyle w:val="FootnoteText"/>
        <w:spacing w:before="120" w:after="120" w:line="252" w:lineRule="auto"/>
      </w:pPr>
      <w:r>
        <w:rPr>
          <w:rStyle w:val="FootnoteReference"/>
        </w:rPr>
        <w:footnoteRef/>
      </w:r>
      <w:r>
        <w:t xml:space="preserve"> </w:t>
      </w:r>
      <w:r w:rsidRPr="001D69B4">
        <w:rPr>
          <w:i/>
          <w:iCs/>
        </w:rPr>
        <w:t>Draft Variation to the Territory Plan 36</w:t>
      </w:r>
      <w:r>
        <w:rPr>
          <w:i/>
          <w:iCs/>
        </w:rPr>
        <w:t>4</w:t>
      </w:r>
      <w:r w:rsidRPr="001D69B4">
        <w:rPr>
          <w:i/>
          <w:iCs/>
        </w:rPr>
        <w:t xml:space="preserve"> </w:t>
      </w:r>
      <w:r>
        <w:rPr>
          <w:i/>
          <w:iCs/>
        </w:rPr>
        <w:t>Gungahlin Town Centre</w:t>
      </w:r>
      <w:r w:rsidRPr="001D69B4">
        <w:rPr>
          <w:i/>
          <w:iCs/>
        </w:rPr>
        <w:t xml:space="preserve">: </w:t>
      </w:r>
      <w:r>
        <w:rPr>
          <w:i/>
          <w:iCs/>
        </w:rPr>
        <w:t>A</w:t>
      </w:r>
      <w:r w:rsidRPr="001D69B4">
        <w:rPr>
          <w:i/>
          <w:iCs/>
        </w:rPr>
        <w:t xml:space="preserve">mendments to the </w:t>
      </w:r>
      <w:r>
        <w:rPr>
          <w:i/>
          <w:iCs/>
        </w:rPr>
        <w:t>Gungahlin</w:t>
      </w:r>
      <w:r w:rsidRPr="001D69B4">
        <w:rPr>
          <w:i/>
          <w:iCs/>
        </w:rPr>
        <w:t xml:space="preserve"> precinct map and code</w:t>
      </w:r>
      <w:r>
        <w:t>, recommended version, February 2021, p. 7</w:t>
      </w:r>
    </w:p>
  </w:footnote>
  <w:footnote w:id="40">
    <w:p w14:paraId="7ACCC3CF" w14:textId="77777777" w:rsidR="00E15638" w:rsidRDefault="00E15638" w:rsidP="00F73193">
      <w:pPr>
        <w:pStyle w:val="FootnoteText"/>
        <w:spacing w:before="120" w:after="120" w:line="252" w:lineRule="auto"/>
      </w:pPr>
      <w:r>
        <w:rPr>
          <w:rStyle w:val="FootnoteReference"/>
        </w:rPr>
        <w:footnoteRef/>
      </w:r>
      <w:r>
        <w:t xml:space="preserve"> </w:t>
      </w:r>
      <w:r w:rsidRPr="001D69B4">
        <w:rPr>
          <w:i/>
          <w:iCs/>
        </w:rPr>
        <w:t>Draft Variation to the Territory Plan 36</w:t>
      </w:r>
      <w:r>
        <w:rPr>
          <w:i/>
          <w:iCs/>
        </w:rPr>
        <w:t>4</w:t>
      </w:r>
      <w:r w:rsidRPr="001D69B4">
        <w:rPr>
          <w:i/>
          <w:iCs/>
        </w:rPr>
        <w:t xml:space="preserve"> </w:t>
      </w:r>
      <w:r>
        <w:rPr>
          <w:i/>
          <w:iCs/>
        </w:rPr>
        <w:t>Gungahlin Town Centre</w:t>
      </w:r>
      <w:r w:rsidRPr="001D69B4">
        <w:rPr>
          <w:i/>
          <w:iCs/>
        </w:rPr>
        <w:t xml:space="preserve">: </w:t>
      </w:r>
      <w:r>
        <w:rPr>
          <w:i/>
          <w:iCs/>
        </w:rPr>
        <w:t>A</w:t>
      </w:r>
      <w:r w:rsidRPr="001D69B4">
        <w:rPr>
          <w:i/>
          <w:iCs/>
        </w:rPr>
        <w:t xml:space="preserve">mendments to the </w:t>
      </w:r>
      <w:r>
        <w:rPr>
          <w:i/>
          <w:iCs/>
        </w:rPr>
        <w:t>Gungahlin</w:t>
      </w:r>
      <w:r w:rsidRPr="001D69B4">
        <w:rPr>
          <w:i/>
          <w:iCs/>
        </w:rPr>
        <w:t xml:space="preserve"> precinct map and code</w:t>
      </w:r>
      <w:r>
        <w:t>, recommended version, February 2021, p. 2</w:t>
      </w:r>
    </w:p>
  </w:footnote>
  <w:footnote w:id="41">
    <w:p w14:paraId="0B3DA1EE" w14:textId="77777777" w:rsidR="00E15638" w:rsidRDefault="00E15638" w:rsidP="00F73193">
      <w:pPr>
        <w:pStyle w:val="FootnoteText"/>
        <w:spacing w:before="120" w:after="120" w:line="252" w:lineRule="auto"/>
      </w:pPr>
      <w:r>
        <w:rPr>
          <w:rStyle w:val="FootnoteReference"/>
        </w:rPr>
        <w:footnoteRef/>
      </w:r>
      <w:r>
        <w:t xml:space="preserve"> </w:t>
      </w:r>
      <w:r w:rsidRPr="001D69B4">
        <w:rPr>
          <w:i/>
          <w:iCs/>
        </w:rPr>
        <w:t>Draft Variation to the Territory Plan 36</w:t>
      </w:r>
      <w:r>
        <w:rPr>
          <w:i/>
          <w:iCs/>
        </w:rPr>
        <w:t>4</w:t>
      </w:r>
      <w:r w:rsidRPr="001D69B4">
        <w:rPr>
          <w:i/>
          <w:iCs/>
        </w:rPr>
        <w:t xml:space="preserve"> </w:t>
      </w:r>
      <w:r>
        <w:rPr>
          <w:i/>
          <w:iCs/>
        </w:rPr>
        <w:t>Gungahlin Town Centre</w:t>
      </w:r>
      <w:r w:rsidRPr="001D69B4">
        <w:rPr>
          <w:i/>
          <w:iCs/>
        </w:rPr>
        <w:t xml:space="preserve">: </w:t>
      </w:r>
      <w:r>
        <w:rPr>
          <w:i/>
          <w:iCs/>
        </w:rPr>
        <w:t>A</w:t>
      </w:r>
      <w:r w:rsidRPr="001D69B4">
        <w:rPr>
          <w:i/>
          <w:iCs/>
        </w:rPr>
        <w:t xml:space="preserve">mendments to the </w:t>
      </w:r>
      <w:r>
        <w:rPr>
          <w:i/>
          <w:iCs/>
        </w:rPr>
        <w:t>Gungahlin</w:t>
      </w:r>
      <w:r w:rsidRPr="001D69B4">
        <w:rPr>
          <w:i/>
          <w:iCs/>
        </w:rPr>
        <w:t xml:space="preserve"> precinct map and code</w:t>
      </w:r>
      <w:r>
        <w:t>, recommended version, February 2021, p. 1</w:t>
      </w:r>
    </w:p>
  </w:footnote>
  <w:footnote w:id="42">
    <w:p w14:paraId="16D08A60" w14:textId="2EF2785B" w:rsidR="00E15638" w:rsidRDefault="00E15638" w:rsidP="00F73193">
      <w:pPr>
        <w:pStyle w:val="FootnoteText"/>
        <w:spacing w:before="120" w:after="120" w:line="252" w:lineRule="auto"/>
      </w:pPr>
      <w:r>
        <w:rPr>
          <w:rStyle w:val="FootnoteReference"/>
        </w:rPr>
        <w:footnoteRef/>
      </w:r>
      <w:r>
        <w:t xml:space="preserve"> </w:t>
      </w:r>
      <w:hyperlink r:id="rId18" w:history="1">
        <w:r>
          <w:rPr>
            <w:rStyle w:val="Hyperlink"/>
          </w:rPr>
          <w:t>Planning and Development (Draft Variation No 364) Consultation Notice 2019 | Notifiable instruments</w:t>
        </w:r>
      </w:hyperlink>
    </w:p>
  </w:footnote>
  <w:footnote w:id="43">
    <w:p w14:paraId="59595473" w14:textId="77777777" w:rsidR="00E15638" w:rsidRDefault="00E15638" w:rsidP="00F73193">
      <w:pPr>
        <w:pStyle w:val="FootnoteText"/>
        <w:spacing w:before="120" w:after="120" w:line="252" w:lineRule="auto"/>
      </w:pPr>
      <w:r>
        <w:rPr>
          <w:rStyle w:val="FootnoteReference"/>
        </w:rPr>
        <w:footnoteRef/>
      </w:r>
      <w:r>
        <w:t xml:space="preserve"> </w:t>
      </w:r>
      <w:hyperlink r:id="rId19" w:history="1">
        <w:r w:rsidRPr="00E10471">
          <w:rPr>
            <w:rStyle w:val="Hyperlink"/>
          </w:rPr>
          <w:t>Report on Consultation</w:t>
        </w:r>
      </w:hyperlink>
      <w:r>
        <w:t>:</w:t>
      </w:r>
      <w:r w:rsidRPr="00E10471">
        <w:t xml:space="preserve"> Draft Variation to the Territory Plan 364</w:t>
      </w:r>
      <w:r>
        <w:t xml:space="preserve"> -</w:t>
      </w:r>
      <w:r w:rsidRPr="00E10471">
        <w:t xml:space="preserve"> Gungahlin Town Centre</w:t>
      </w:r>
      <w:r>
        <w:t>, February 2021, p. 1</w:t>
      </w:r>
      <w:r w:rsidRPr="00E10471">
        <w:t xml:space="preserve"> </w:t>
      </w:r>
    </w:p>
  </w:footnote>
  <w:footnote w:id="44">
    <w:p w14:paraId="530995DE" w14:textId="77777777" w:rsidR="00E15638" w:rsidRDefault="00E15638" w:rsidP="00F73193">
      <w:pPr>
        <w:pStyle w:val="FootnoteText"/>
        <w:spacing w:before="120" w:after="120" w:line="252" w:lineRule="auto"/>
      </w:pPr>
      <w:r>
        <w:rPr>
          <w:rStyle w:val="FootnoteReference"/>
        </w:rPr>
        <w:footnoteRef/>
      </w:r>
      <w:r>
        <w:t xml:space="preserve"> </w:t>
      </w:r>
      <w:hyperlink r:id="rId20" w:history="1">
        <w:r w:rsidRPr="00E10471">
          <w:rPr>
            <w:rStyle w:val="Hyperlink"/>
          </w:rPr>
          <w:t>Report on Consultation</w:t>
        </w:r>
      </w:hyperlink>
      <w:r>
        <w:t>:</w:t>
      </w:r>
      <w:r w:rsidRPr="00E10471">
        <w:t xml:space="preserve"> Draft Variation to the Territory Plan 364</w:t>
      </w:r>
      <w:r>
        <w:t xml:space="preserve"> -</w:t>
      </w:r>
      <w:r w:rsidRPr="00E10471">
        <w:t xml:space="preserve"> Gungahlin Town Centre</w:t>
      </w:r>
      <w:r>
        <w:t>, February 2021, p. 1</w:t>
      </w:r>
    </w:p>
  </w:footnote>
  <w:footnote w:id="45">
    <w:p w14:paraId="31C75A8A" w14:textId="13CD2A59" w:rsidR="00E15638" w:rsidRDefault="00E15638" w:rsidP="00F73193">
      <w:pPr>
        <w:pStyle w:val="FootnoteText"/>
        <w:spacing w:before="120" w:after="120" w:line="252" w:lineRule="auto"/>
      </w:pPr>
      <w:r>
        <w:rPr>
          <w:rStyle w:val="FootnoteReference"/>
        </w:rPr>
        <w:footnoteRef/>
      </w:r>
      <w:r>
        <w:t xml:space="preserve"> </w:t>
      </w:r>
      <w:r w:rsidRPr="001D69B4">
        <w:rPr>
          <w:i/>
          <w:iCs/>
        </w:rPr>
        <w:t>Draft Variation to the Territory Plan 36</w:t>
      </w:r>
      <w:r>
        <w:rPr>
          <w:i/>
          <w:iCs/>
        </w:rPr>
        <w:t>4</w:t>
      </w:r>
      <w:r w:rsidRPr="001D69B4">
        <w:rPr>
          <w:i/>
          <w:iCs/>
        </w:rPr>
        <w:t xml:space="preserve"> </w:t>
      </w:r>
      <w:r>
        <w:rPr>
          <w:i/>
          <w:iCs/>
        </w:rPr>
        <w:t>Gungahlin Town Centre</w:t>
      </w:r>
      <w:r w:rsidRPr="001D69B4">
        <w:rPr>
          <w:i/>
          <w:iCs/>
        </w:rPr>
        <w:t xml:space="preserve">: </w:t>
      </w:r>
      <w:r>
        <w:rPr>
          <w:i/>
          <w:iCs/>
        </w:rPr>
        <w:t>A</w:t>
      </w:r>
      <w:r w:rsidRPr="001D69B4">
        <w:rPr>
          <w:i/>
          <w:iCs/>
        </w:rPr>
        <w:t xml:space="preserve">mendments to the </w:t>
      </w:r>
      <w:r>
        <w:rPr>
          <w:i/>
          <w:iCs/>
        </w:rPr>
        <w:t>Gungahlin</w:t>
      </w:r>
      <w:r w:rsidRPr="001D69B4">
        <w:rPr>
          <w:i/>
          <w:iCs/>
        </w:rPr>
        <w:t xml:space="preserve"> precinct map and code</w:t>
      </w:r>
      <w:r>
        <w:t>, recommended version, February 2021, pp. 5-6</w:t>
      </w:r>
    </w:p>
  </w:footnote>
  <w:footnote w:id="46">
    <w:p w14:paraId="0AF9CF6A" w14:textId="3BCEE406" w:rsidR="00E15638" w:rsidRDefault="00E15638" w:rsidP="00F73193">
      <w:pPr>
        <w:pStyle w:val="FootnoteText"/>
        <w:spacing w:before="120" w:after="120" w:line="252" w:lineRule="auto"/>
      </w:pPr>
      <w:r>
        <w:rPr>
          <w:rStyle w:val="FootnoteReference"/>
        </w:rPr>
        <w:footnoteRef/>
      </w:r>
      <w:r>
        <w:t xml:space="preserve"> Jennifer Atkins, Submission 2</w:t>
      </w:r>
    </w:p>
  </w:footnote>
  <w:footnote w:id="47">
    <w:p w14:paraId="6A8907BE" w14:textId="011FD117" w:rsidR="00E15638" w:rsidRDefault="00E15638" w:rsidP="00F73193">
      <w:pPr>
        <w:pStyle w:val="FootnoteText"/>
        <w:spacing w:before="120" w:after="120" w:line="252" w:lineRule="auto"/>
      </w:pPr>
      <w:r>
        <w:rPr>
          <w:rStyle w:val="FootnoteReference"/>
        </w:rPr>
        <w:footnoteRef/>
      </w:r>
      <w:r>
        <w:t xml:space="preserve"> Jason Bailey, Submission 5</w:t>
      </w:r>
    </w:p>
  </w:footnote>
  <w:footnote w:id="48">
    <w:p w14:paraId="59F296F0" w14:textId="2D459739" w:rsidR="00E15638" w:rsidRDefault="00E15638" w:rsidP="00F73193">
      <w:pPr>
        <w:pStyle w:val="FootnoteText"/>
        <w:spacing w:before="120" w:after="120" w:line="252" w:lineRule="auto"/>
      </w:pPr>
      <w:r>
        <w:rPr>
          <w:rStyle w:val="FootnoteReference"/>
        </w:rPr>
        <w:footnoteRef/>
      </w:r>
      <w:r>
        <w:t xml:space="preserve"> Gungahlin Community Council, Submission 14, p. 2</w:t>
      </w:r>
    </w:p>
  </w:footnote>
  <w:footnote w:id="49">
    <w:p w14:paraId="5C117B0A" w14:textId="54F90984" w:rsidR="00E15638" w:rsidRDefault="00E15638" w:rsidP="00F73193">
      <w:pPr>
        <w:pStyle w:val="FootnoteText"/>
        <w:spacing w:before="120" w:after="120" w:line="252" w:lineRule="auto"/>
      </w:pPr>
      <w:r>
        <w:rPr>
          <w:rStyle w:val="FootnoteReference"/>
        </w:rPr>
        <w:footnoteRef/>
      </w:r>
      <w:r>
        <w:t xml:space="preserve"> Peter Elford, Submission 11</w:t>
      </w:r>
    </w:p>
  </w:footnote>
  <w:footnote w:id="50">
    <w:p w14:paraId="4E0F420A" w14:textId="06EFF657" w:rsidR="00E15638" w:rsidRDefault="00E15638" w:rsidP="00F73193">
      <w:pPr>
        <w:pStyle w:val="FootnoteText"/>
        <w:spacing w:before="120" w:after="120" w:line="252" w:lineRule="auto"/>
      </w:pPr>
      <w:r>
        <w:rPr>
          <w:rStyle w:val="FootnoteReference"/>
        </w:rPr>
        <w:footnoteRef/>
      </w:r>
      <w:r>
        <w:t xml:space="preserve"> </w:t>
      </w:r>
      <w:hyperlink r:id="rId21" w:history="1">
        <w:r w:rsidRPr="00A04B63">
          <w:rPr>
            <w:rStyle w:val="Hyperlink"/>
          </w:rPr>
          <w:t>Gungahlin Precinct map and code: includes Gungahlin Town Centre</w:t>
        </w:r>
      </w:hyperlink>
      <w:r>
        <w:t>, p. 27</w:t>
      </w:r>
    </w:p>
  </w:footnote>
  <w:footnote w:id="51">
    <w:p w14:paraId="565B9D9B" w14:textId="03BE500F" w:rsidR="00E15638" w:rsidRDefault="00E15638" w:rsidP="00F73193">
      <w:pPr>
        <w:pStyle w:val="FootnoteText"/>
        <w:spacing w:before="120" w:after="120" w:line="252" w:lineRule="auto"/>
      </w:pPr>
      <w:r>
        <w:rPr>
          <w:rStyle w:val="FootnoteReference"/>
        </w:rPr>
        <w:footnoteRef/>
      </w:r>
      <w:r>
        <w:t xml:space="preserve"> </w:t>
      </w:r>
      <w:hyperlink r:id="rId22" w:history="1">
        <w:r w:rsidRPr="00A04B63">
          <w:rPr>
            <w:rStyle w:val="Hyperlink"/>
          </w:rPr>
          <w:t>Gungahlin Precinct map and code: includes Gungahlin Town Centre</w:t>
        </w:r>
      </w:hyperlink>
      <w:r>
        <w:t>, p. 43</w:t>
      </w:r>
    </w:p>
  </w:footnote>
  <w:footnote w:id="52">
    <w:p w14:paraId="7A78D9C1" w14:textId="21653767" w:rsidR="00E15638" w:rsidRDefault="00E15638" w:rsidP="00F73193">
      <w:pPr>
        <w:pStyle w:val="FootnoteText"/>
        <w:spacing w:before="120" w:after="120" w:line="252" w:lineRule="auto"/>
      </w:pPr>
      <w:r>
        <w:rPr>
          <w:rStyle w:val="FootnoteReference"/>
        </w:rPr>
        <w:footnoteRef/>
      </w:r>
      <w:r>
        <w:t xml:space="preserve"> </w:t>
      </w:r>
      <w:hyperlink r:id="rId23" w:history="1">
        <w:r>
          <w:rPr>
            <w:rStyle w:val="Hyperlink"/>
          </w:rPr>
          <w:t>Gungahlin Town Centre Planning Refresh Snapshot</w:t>
        </w:r>
      </w:hyperlink>
      <w:r>
        <w:t>, November 2018, p. 3</w:t>
      </w:r>
    </w:p>
  </w:footnote>
  <w:footnote w:id="53">
    <w:p w14:paraId="6593BCD9" w14:textId="32EABF84" w:rsidR="00E15638" w:rsidRDefault="00E15638" w:rsidP="00F73193">
      <w:pPr>
        <w:pStyle w:val="FootnoteText"/>
        <w:spacing w:before="120" w:after="120" w:line="252" w:lineRule="auto"/>
      </w:pPr>
      <w:r>
        <w:rPr>
          <w:rStyle w:val="FootnoteReference"/>
        </w:rPr>
        <w:footnoteRef/>
      </w:r>
      <w:r>
        <w:t xml:space="preserve"> Jennifer See, Submission 12</w:t>
      </w:r>
    </w:p>
  </w:footnote>
  <w:footnote w:id="54">
    <w:p w14:paraId="04584E13" w14:textId="317AC618" w:rsidR="00E15638" w:rsidRDefault="00E15638" w:rsidP="00F73193">
      <w:pPr>
        <w:pStyle w:val="FootnoteText"/>
        <w:spacing w:before="120" w:after="120" w:line="252" w:lineRule="auto"/>
      </w:pPr>
      <w:r>
        <w:rPr>
          <w:rStyle w:val="FootnoteReference"/>
        </w:rPr>
        <w:footnoteRef/>
      </w:r>
      <w:r>
        <w:t xml:space="preserve"> Mick Gentleman MLA, Proof Transcript of Evidence, 29 July 2021, p.24</w:t>
      </w:r>
    </w:p>
  </w:footnote>
  <w:footnote w:id="55">
    <w:p w14:paraId="0061B703" w14:textId="596D2CC6" w:rsidR="00E15638" w:rsidRDefault="00E15638" w:rsidP="00F73193">
      <w:pPr>
        <w:pStyle w:val="FootnoteText"/>
        <w:spacing w:before="120" w:after="120" w:line="252" w:lineRule="auto"/>
      </w:pPr>
      <w:r>
        <w:rPr>
          <w:rStyle w:val="FootnoteReference"/>
        </w:rPr>
        <w:footnoteRef/>
      </w:r>
      <w:r>
        <w:t xml:space="preserve"> Ben Ponton, Director-General, EPSDD, Proof Transcript of Evidence, 29 July 2021, p.27</w:t>
      </w:r>
    </w:p>
  </w:footnote>
  <w:footnote w:id="56">
    <w:p w14:paraId="0400C7BF" w14:textId="14F5E419" w:rsidR="00E15638" w:rsidRDefault="00E15638" w:rsidP="00F73193">
      <w:pPr>
        <w:pStyle w:val="FootnoteText"/>
        <w:spacing w:before="120" w:after="120" w:line="252" w:lineRule="auto"/>
      </w:pPr>
      <w:r>
        <w:rPr>
          <w:rStyle w:val="FootnoteReference"/>
        </w:rPr>
        <w:footnoteRef/>
      </w:r>
      <w:r>
        <w:t xml:space="preserve"> Steven Gianakis, (Acting Senior Director, Strategic Planning and Reform, EPSDD), Proof Transcript of Evidence, 29 July 2021, p. 30</w:t>
      </w:r>
    </w:p>
  </w:footnote>
  <w:footnote w:id="57">
    <w:p w14:paraId="58E9A2A9" w14:textId="6C1CA6EB" w:rsidR="00E15638" w:rsidRDefault="00E15638" w:rsidP="00F73193">
      <w:pPr>
        <w:pStyle w:val="FootnoteText"/>
        <w:spacing w:before="120" w:after="120" w:line="252" w:lineRule="auto"/>
      </w:pPr>
      <w:r>
        <w:rPr>
          <w:rStyle w:val="FootnoteReference"/>
        </w:rPr>
        <w:footnoteRef/>
      </w:r>
      <w:r>
        <w:t xml:space="preserve"> Darron Marks, Submission 1</w:t>
      </w:r>
    </w:p>
  </w:footnote>
  <w:footnote w:id="58">
    <w:p w14:paraId="3BFF828E" w14:textId="77777777" w:rsidR="00E15638" w:rsidRDefault="00E15638" w:rsidP="00F73193">
      <w:pPr>
        <w:pStyle w:val="FootnoteText"/>
        <w:spacing w:before="120" w:after="120" w:line="252" w:lineRule="auto"/>
      </w:pPr>
      <w:r>
        <w:rPr>
          <w:rStyle w:val="FootnoteReference"/>
        </w:rPr>
        <w:footnoteRef/>
      </w:r>
      <w:r>
        <w:t xml:space="preserve"> </w:t>
      </w:r>
      <w:hyperlink r:id="rId24" w:history="1">
        <w:r>
          <w:rPr>
            <w:rStyle w:val="Hyperlink"/>
          </w:rPr>
          <w:t>Gungahlin Town Centre Planning Refresh Snapshot</w:t>
        </w:r>
      </w:hyperlink>
      <w:r>
        <w:t>, November 2018, p. 12</w:t>
      </w:r>
    </w:p>
  </w:footnote>
  <w:footnote w:id="59">
    <w:p w14:paraId="5440610B" w14:textId="77777777" w:rsidR="00E15638" w:rsidRDefault="00E15638" w:rsidP="00F73193">
      <w:pPr>
        <w:pStyle w:val="FootnoteText"/>
        <w:spacing w:before="120" w:after="120" w:line="252" w:lineRule="auto"/>
      </w:pPr>
      <w:r>
        <w:rPr>
          <w:rStyle w:val="FootnoteReference"/>
        </w:rPr>
        <w:footnoteRef/>
      </w:r>
      <w:r>
        <w:t xml:space="preserve"> Gungahlin Community Council, Submission 14, p. 3</w:t>
      </w:r>
    </w:p>
  </w:footnote>
  <w:footnote w:id="60">
    <w:p w14:paraId="44D7CC92" w14:textId="77777777" w:rsidR="00E15638" w:rsidRDefault="00E15638" w:rsidP="00F73193">
      <w:pPr>
        <w:pStyle w:val="FootnoteText"/>
        <w:spacing w:before="120" w:after="120" w:line="252" w:lineRule="auto"/>
      </w:pPr>
      <w:r>
        <w:rPr>
          <w:rStyle w:val="FootnoteReference"/>
        </w:rPr>
        <w:footnoteRef/>
      </w:r>
      <w:r>
        <w:t xml:space="preserve"> George Katheklakis, Director, KDN Group, Proof Transcript of Evidence, 29 July 2021, p. 4</w:t>
      </w:r>
    </w:p>
  </w:footnote>
  <w:footnote w:id="61">
    <w:p w14:paraId="25CFD442" w14:textId="77777777" w:rsidR="00E15638" w:rsidRDefault="00E15638" w:rsidP="00F73193">
      <w:pPr>
        <w:pStyle w:val="FootnoteText"/>
        <w:spacing w:before="120" w:after="120" w:line="252" w:lineRule="auto"/>
      </w:pPr>
      <w:r>
        <w:rPr>
          <w:rStyle w:val="FootnoteReference"/>
        </w:rPr>
        <w:footnoteRef/>
      </w:r>
      <w:r>
        <w:t xml:space="preserve"> George Katheklakis, Director, KDN Group, Proof Transcript of Evidence, 29 July 2021, p. 5</w:t>
      </w:r>
    </w:p>
  </w:footnote>
  <w:footnote w:id="62">
    <w:p w14:paraId="310EABF0" w14:textId="77777777" w:rsidR="00E15638" w:rsidRDefault="00E15638" w:rsidP="00F73193">
      <w:pPr>
        <w:pStyle w:val="FootnoteText"/>
        <w:spacing w:before="120" w:after="120" w:line="252" w:lineRule="auto"/>
      </w:pPr>
      <w:r>
        <w:rPr>
          <w:rStyle w:val="FootnoteReference"/>
        </w:rPr>
        <w:footnoteRef/>
      </w:r>
      <w:r>
        <w:t xml:space="preserve"> George Katheklakis, Director, KDN Group, Proof Transcript of Evidence, 29 July 2021, p. 4</w:t>
      </w:r>
    </w:p>
  </w:footnote>
  <w:footnote w:id="63">
    <w:p w14:paraId="1AE6E65D" w14:textId="77777777" w:rsidR="00E15638" w:rsidRDefault="00E15638" w:rsidP="00F73193">
      <w:pPr>
        <w:pStyle w:val="FootnoteText"/>
        <w:spacing w:before="120" w:after="120" w:line="252" w:lineRule="auto"/>
      </w:pPr>
      <w:r>
        <w:rPr>
          <w:rStyle w:val="FootnoteReference"/>
        </w:rPr>
        <w:footnoteRef/>
      </w:r>
      <w:r>
        <w:t xml:space="preserve"> Peter Elford, President, GCC, Proof Transcript of Evidence, 29 July 2021, p. 17</w:t>
      </w:r>
    </w:p>
  </w:footnote>
  <w:footnote w:id="64">
    <w:p w14:paraId="27203EE6" w14:textId="77777777" w:rsidR="00E15638" w:rsidRDefault="00E15638" w:rsidP="00F73193">
      <w:pPr>
        <w:pStyle w:val="FootnoteText"/>
        <w:spacing w:before="120" w:after="120" w:line="252" w:lineRule="auto"/>
      </w:pPr>
      <w:r>
        <w:rPr>
          <w:rStyle w:val="FootnoteReference"/>
        </w:rPr>
        <w:footnoteRef/>
      </w:r>
      <w:r>
        <w:t xml:space="preserve"> Peter Elford, President, GCC, Proof Transcript of Evidence, 29 July 2021, p. 18</w:t>
      </w:r>
    </w:p>
  </w:footnote>
  <w:footnote w:id="65">
    <w:p w14:paraId="1B19D17A" w14:textId="77777777" w:rsidR="00E15638" w:rsidRDefault="00E15638" w:rsidP="00F73193">
      <w:pPr>
        <w:pStyle w:val="FootnoteText"/>
        <w:spacing w:before="120" w:after="120" w:line="252" w:lineRule="auto"/>
      </w:pPr>
      <w:r>
        <w:rPr>
          <w:rStyle w:val="FootnoteReference"/>
        </w:rPr>
        <w:footnoteRef/>
      </w:r>
      <w:r>
        <w:t xml:space="preserve"> Adina Cirson, ACT Executive Director, Property Council of Australia, Proof Transcript of Evidence, 29 July 2021, p. 3</w:t>
      </w:r>
    </w:p>
  </w:footnote>
  <w:footnote w:id="66">
    <w:p w14:paraId="4885F994" w14:textId="77777777" w:rsidR="00E15638" w:rsidRDefault="00E15638" w:rsidP="00F73193">
      <w:pPr>
        <w:pStyle w:val="FootnoteText"/>
        <w:spacing w:before="120" w:after="120" w:line="252" w:lineRule="auto"/>
      </w:pPr>
      <w:r>
        <w:rPr>
          <w:rStyle w:val="FootnoteReference"/>
        </w:rPr>
        <w:footnoteRef/>
      </w:r>
      <w:r>
        <w:t xml:space="preserve"> Ben Ponton, Director-General, EPSDD, Proof Transcript of Evidence, 29 July 2021, p.25</w:t>
      </w:r>
    </w:p>
  </w:footnote>
  <w:footnote w:id="67">
    <w:p w14:paraId="56C48ED0" w14:textId="77777777" w:rsidR="00E15638" w:rsidRDefault="00E15638" w:rsidP="00F73193">
      <w:pPr>
        <w:pStyle w:val="FootnoteText"/>
        <w:spacing w:before="120" w:after="120" w:line="252" w:lineRule="auto"/>
      </w:pPr>
      <w:r>
        <w:rPr>
          <w:rStyle w:val="FootnoteReference"/>
        </w:rPr>
        <w:footnoteRef/>
      </w:r>
      <w:r>
        <w:t xml:space="preserve"> Mick Gentleman, Minister for Planning and Land Management, answer to Question Taken on Notice No 2, hearings of 29 July 2021.</w:t>
      </w:r>
    </w:p>
  </w:footnote>
  <w:footnote w:id="68">
    <w:p w14:paraId="4DA7988E" w14:textId="77777777" w:rsidR="00E15638" w:rsidRDefault="00E15638" w:rsidP="00F73193">
      <w:pPr>
        <w:pStyle w:val="FootnoteText"/>
        <w:spacing w:before="120" w:after="120" w:line="252" w:lineRule="auto"/>
      </w:pPr>
      <w:r>
        <w:rPr>
          <w:rStyle w:val="FootnoteReference"/>
        </w:rPr>
        <w:footnoteRef/>
      </w:r>
      <w:r>
        <w:t xml:space="preserve"> Ben Ponton, Director-General, EPSDD, Proof Transcript of Evidence, 29 July 2021, p.25</w:t>
      </w:r>
    </w:p>
  </w:footnote>
  <w:footnote w:id="69">
    <w:p w14:paraId="31945501" w14:textId="77777777" w:rsidR="00E15638" w:rsidRDefault="00E15638" w:rsidP="00F73193">
      <w:pPr>
        <w:pStyle w:val="FootnoteText"/>
        <w:spacing w:before="120" w:after="120" w:line="252" w:lineRule="auto"/>
      </w:pPr>
      <w:r>
        <w:rPr>
          <w:rStyle w:val="FootnoteReference"/>
        </w:rPr>
        <w:footnoteRef/>
      </w:r>
      <w:r>
        <w:t xml:space="preserve"> Ben Ponton, Director-General, EPSDD, Proof Transcript of Evidence, 29 July 2021, p.27</w:t>
      </w:r>
    </w:p>
  </w:footnote>
  <w:footnote w:id="70">
    <w:p w14:paraId="228DE3E7" w14:textId="77777777" w:rsidR="00E15638" w:rsidRDefault="00E15638" w:rsidP="00F73193">
      <w:pPr>
        <w:pStyle w:val="FootnoteText"/>
        <w:spacing w:before="120" w:after="120" w:line="252" w:lineRule="auto"/>
      </w:pPr>
      <w:r>
        <w:rPr>
          <w:rStyle w:val="FootnoteReference"/>
        </w:rPr>
        <w:footnoteRef/>
      </w:r>
      <w:r>
        <w:t xml:space="preserve"> Dr Erin Brady, Deputy Director-General, Planning and Sustainable Development, EPSDD), Proof Transcript of Evidence, 29 July 2021, p.32</w:t>
      </w:r>
    </w:p>
  </w:footnote>
  <w:footnote w:id="71">
    <w:p w14:paraId="386CD4E8" w14:textId="77777777" w:rsidR="00E15638" w:rsidRDefault="00E15638" w:rsidP="00F73193">
      <w:pPr>
        <w:pStyle w:val="FootnoteText"/>
        <w:spacing w:before="120" w:after="120" w:line="252" w:lineRule="auto"/>
      </w:pPr>
      <w:r>
        <w:rPr>
          <w:rStyle w:val="FootnoteReference"/>
        </w:rPr>
        <w:footnoteRef/>
      </w:r>
      <w:r>
        <w:t xml:space="preserve"> Ben Ponton, Director-General, EPSDD, Proof Transcript of Evidence, 29 July 2021, p.35</w:t>
      </w:r>
    </w:p>
  </w:footnote>
  <w:footnote w:id="72">
    <w:p w14:paraId="4230A6C4" w14:textId="77777777" w:rsidR="00E15638" w:rsidRDefault="00E15638" w:rsidP="00F73193">
      <w:pPr>
        <w:pStyle w:val="FootnoteText"/>
        <w:spacing w:before="120" w:after="120" w:line="252" w:lineRule="auto"/>
      </w:pPr>
      <w:r>
        <w:rPr>
          <w:rStyle w:val="FootnoteReference"/>
        </w:rPr>
        <w:footnoteRef/>
      </w:r>
      <w:r>
        <w:t xml:space="preserve"> Ben Ponton, Director-General, EPSDD, Proof Transcript of Evidence, 29 July 2021, p.36</w:t>
      </w:r>
    </w:p>
  </w:footnote>
  <w:footnote w:id="73">
    <w:p w14:paraId="32599BCC" w14:textId="49783D8D" w:rsidR="00E15638" w:rsidRDefault="00E15638" w:rsidP="00F73193">
      <w:pPr>
        <w:pStyle w:val="FootnoteText"/>
        <w:spacing w:before="120" w:after="120" w:line="252" w:lineRule="auto"/>
      </w:pPr>
      <w:r>
        <w:rPr>
          <w:rStyle w:val="FootnoteReference"/>
        </w:rPr>
        <w:footnoteRef/>
      </w:r>
      <w:r>
        <w:t xml:space="preserve"> </w:t>
      </w:r>
      <w:hyperlink r:id="rId25" w:history="1">
        <w:r w:rsidRPr="00A04B63">
          <w:rPr>
            <w:rStyle w:val="Hyperlink"/>
          </w:rPr>
          <w:t>Gungahlin Precinct map and code: includes Gungahlin Town Centre</w:t>
        </w:r>
      </w:hyperlink>
      <w:r>
        <w:t>, p. 35</w:t>
      </w:r>
    </w:p>
  </w:footnote>
  <w:footnote w:id="74">
    <w:p w14:paraId="43DC3AD7" w14:textId="5A505A18" w:rsidR="00E15638" w:rsidRDefault="00E15638" w:rsidP="00F73193">
      <w:pPr>
        <w:pStyle w:val="FootnoteText"/>
        <w:spacing w:before="120" w:after="120" w:line="252" w:lineRule="auto"/>
      </w:pPr>
      <w:r>
        <w:rPr>
          <w:rStyle w:val="FootnoteReference"/>
        </w:rPr>
        <w:footnoteRef/>
      </w:r>
      <w:r>
        <w:t xml:space="preserve"> </w:t>
      </w:r>
      <w:hyperlink r:id="rId26" w:history="1">
        <w:r w:rsidRPr="00A04B63">
          <w:rPr>
            <w:rStyle w:val="Hyperlink"/>
          </w:rPr>
          <w:t>Gungahlin Precinct map and code: includes Gungahlin Town Centre</w:t>
        </w:r>
      </w:hyperlink>
      <w:r>
        <w:t>, p. 43</w:t>
      </w:r>
    </w:p>
  </w:footnote>
  <w:footnote w:id="75">
    <w:p w14:paraId="537AA2B6" w14:textId="254BC23D" w:rsidR="00E15638" w:rsidRDefault="00E15638" w:rsidP="00F73193">
      <w:pPr>
        <w:pStyle w:val="FootnoteText"/>
        <w:spacing w:before="120" w:after="120" w:line="252" w:lineRule="auto"/>
      </w:pPr>
      <w:r>
        <w:rPr>
          <w:rStyle w:val="FootnoteReference"/>
        </w:rPr>
        <w:footnoteRef/>
      </w:r>
      <w:r>
        <w:t xml:space="preserve"> Gungahlin Community Council, Submission 14, p. 1</w:t>
      </w:r>
    </w:p>
  </w:footnote>
  <w:footnote w:id="76">
    <w:p w14:paraId="25BB0F26" w14:textId="40D566A7" w:rsidR="00E15638" w:rsidRDefault="00E15638" w:rsidP="00F73193">
      <w:pPr>
        <w:pStyle w:val="FootnoteText"/>
        <w:spacing w:before="120" w:after="120" w:line="252" w:lineRule="auto"/>
      </w:pPr>
      <w:r>
        <w:rPr>
          <w:rStyle w:val="FootnoteReference"/>
        </w:rPr>
        <w:footnoteRef/>
      </w:r>
      <w:r>
        <w:t xml:space="preserve"> Landco Pty Ltd, Submission 14, p. 3</w:t>
      </w:r>
    </w:p>
  </w:footnote>
  <w:footnote w:id="77">
    <w:p w14:paraId="6F167F65" w14:textId="2CF4C7B3" w:rsidR="00E15638" w:rsidRDefault="00E15638" w:rsidP="00F73193">
      <w:pPr>
        <w:pStyle w:val="FootnoteText"/>
        <w:spacing w:before="120" w:after="120" w:line="252" w:lineRule="auto"/>
      </w:pPr>
      <w:r>
        <w:rPr>
          <w:rStyle w:val="FootnoteReference"/>
        </w:rPr>
        <w:footnoteRef/>
      </w:r>
      <w:r>
        <w:t xml:space="preserve"> </w:t>
      </w:r>
      <w:hyperlink r:id="rId27" w:history="1">
        <w:r>
          <w:rPr>
            <w:rStyle w:val="Hyperlink"/>
          </w:rPr>
          <w:t>Gungahlin Town Centre Planning Refresh Snapshot</w:t>
        </w:r>
      </w:hyperlink>
      <w:r>
        <w:t>, 2018, p. 13</w:t>
      </w:r>
    </w:p>
  </w:footnote>
  <w:footnote w:id="78">
    <w:p w14:paraId="407E7F1D" w14:textId="6A6C144A" w:rsidR="00E15638" w:rsidRDefault="00E15638" w:rsidP="00F73193">
      <w:pPr>
        <w:pStyle w:val="FootnoteText"/>
        <w:spacing w:before="120" w:after="120" w:line="252" w:lineRule="auto"/>
      </w:pPr>
      <w:r>
        <w:rPr>
          <w:rStyle w:val="FootnoteReference"/>
        </w:rPr>
        <w:footnoteRef/>
      </w:r>
      <w:r>
        <w:t xml:space="preserve"> </w:t>
      </w:r>
      <w:hyperlink r:id="rId28" w:history="1">
        <w:r>
          <w:rPr>
            <w:rStyle w:val="Hyperlink"/>
          </w:rPr>
          <w:t>Gungahlin Town Centre Planning Refresh Snapshot</w:t>
        </w:r>
      </w:hyperlink>
      <w:r>
        <w:t>, November 2018, p. 16</w:t>
      </w:r>
    </w:p>
  </w:footnote>
  <w:footnote w:id="79">
    <w:p w14:paraId="6D8E0773" w14:textId="3EA48F6C" w:rsidR="00E15638" w:rsidRDefault="00E15638" w:rsidP="00F73193">
      <w:pPr>
        <w:pStyle w:val="FootnoteText"/>
        <w:spacing w:before="120" w:after="120" w:line="252" w:lineRule="auto"/>
      </w:pPr>
      <w:r>
        <w:rPr>
          <w:rStyle w:val="FootnoteReference"/>
        </w:rPr>
        <w:footnoteRef/>
      </w:r>
      <w:r>
        <w:t xml:space="preserve"> </w:t>
      </w:r>
      <w:r w:rsidRPr="001A6441">
        <w:t>Sharee Schultz</w:t>
      </w:r>
      <w:r>
        <w:t>, Submission 3</w:t>
      </w:r>
    </w:p>
  </w:footnote>
  <w:footnote w:id="80">
    <w:p w14:paraId="09C8CA97" w14:textId="4AAF75EB" w:rsidR="00E15638" w:rsidRDefault="00E15638" w:rsidP="00F73193">
      <w:pPr>
        <w:pStyle w:val="FootnoteText"/>
        <w:spacing w:before="120" w:after="120" w:line="252" w:lineRule="auto"/>
      </w:pPr>
      <w:r>
        <w:rPr>
          <w:rStyle w:val="FootnoteReference"/>
        </w:rPr>
        <w:footnoteRef/>
      </w:r>
      <w:r>
        <w:t xml:space="preserve"> Jennifer See, Submission 12</w:t>
      </w:r>
    </w:p>
  </w:footnote>
  <w:footnote w:id="81">
    <w:p w14:paraId="0478FF87" w14:textId="2E6C02C5" w:rsidR="00E15638" w:rsidRDefault="00E15638" w:rsidP="00F73193">
      <w:pPr>
        <w:pStyle w:val="FootnoteText"/>
        <w:spacing w:before="120" w:after="120" w:line="252" w:lineRule="auto"/>
      </w:pPr>
      <w:r>
        <w:rPr>
          <w:rStyle w:val="FootnoteReference"/>
        </w:rPr>
        <w:footnoteRef/>
      </w:r>
      <w:r>
        <w:t xml:space="preserve"> George Katheklakis, Director, KDN Group, Proof Transcript of Evidence, 29 July 2021, p. 14</w:t>
      </w:r>
    </w:p>
  </w:footnote>
  <w:footnote w:id="82">
    <w:p w14:paraId="48D88D13" w14:textId="5AD15838" w:rsidR="00E15638" w:rsidRDefault="00E15638" w:rsidP="00F73193">
      <w:pPr>
        <w:pStyle w:val="FootnoteText"/>
        <w:spacing w:before="120" w:after="120" w:line="252" w:lineRule="auto"/>
      </w:pPr>
      <w:r>
        <w:rPr>
          <w:rStyle w:val="FootnoteReference"/>
        </w:rPr>
        <w:footnoteRef/>
      </w:r>
      <w:r>
        <w:t xml:space="preserve"> </w:t>
      </w:r>
      <w:hyperlink r:id="rId29" w:history="1">
        <w:r>
          <w:rPr>
            <w:rStyle w:val="Hyperlink"/>
          </w:rPr>
          <w:t>Gungahlin Town Centre Planning Refresh Snapshot</w:t>
        </w:r>
      </w:hyperlink>
      <w:r>
        <w:t>, 2018, p. 14</w:t>
      </w:r>
    </w:p>
  </w:footnote>
  <w:footnote w:id="83">
    <w:p w14:paraId="48306D56" w14:textId="43D27FF1" w:rsidR="00E15638" w:rsidRDefault="00E15638" w:rsidP="00F73193">
      <w:pPr>
        <w:pStyle w:val="FootnoteText"/>
        <w:spacing w:before="120" w:after="120" w:line="252" w:lineRule="auto"/>
      </w:pPr>
      <w:r>
        <w:rPr>
          <w:rStyle w:val="FootnoteReference"/>
        </w:rPr>
        <w:footnoteRef/>
      </w:r>
      <w:r>
        <w:t xml:space="preserve"> </w:t>
      </w:r>
      <w:r w:rsidRPr="006F784B">
        <w:t>Sharee Schultz</w:t>
      </w:r>
      <w:r>
        <w:t>, Submission 3</w:t>
      </w:r>
    </w:p>
  </w:footnote>
  <w:footnote w:id="84">
    <w:p w14:paraId="087C4D92" w14:textId="131A651E" w:rsidR="00E15638" w:rsidRDefault="00E15638" w:rsidP="00F73193">
      <w:pPr>
        <w:pStyle w:val="FootnoteText"/>
        <w:spacing w:before="120" w:after="120" w:line="252" w:lineRule="auto"/>
      </w:pPr>
      <w:r>
        <w:rPr>
          <w:rStyle w:val="FootnoteReference"/>
        </w:rPr>
        <w:footnoteRef/>
      </w:r>
      <w:r>
        <w:t xml:space="preserve"> Dr Erin Brady, Deputy Director-General, Planning and Sustainable Development, EPSDD), Proof Transcript of Evidence, 29 July 2021, p. 36</w:t>
      </w:r>
    </w:p>
  </w:footnote>
  <w:footnote w:id="85">
    <w:p w14:paraId="33AEDF1A" w14:textId="65686500" w:rsidR="00E15638" w:rsidRDefault="00E15638" w:rsidP="00F73193">
      <w:pPr>
        <w:pStyle w:val="FootnoteText"/>
        <w:spacing w:before="120" w:after="120" w:line="252" w:lineRule="auto"/>
      </w:pPr>
      <w:r>
        <w:rPr>
          <w:rStyle w:val="FootnoteReference"/>
        </w:rPr>
        <w:footnoteRef/>
      </w:r>
      <w:r>
        <w:t xml:space="preserve"> Steven Gianakis, (Acting Senior Director, Strategic Planning and Reform, EPSDD), Proof Transcript of Evidence, 29 July 2021, p. 31</w:t>
      </w:r>
    </w:p>
  </w:footnote>
  <w:footnote w:id="86">
    <w:p w14:paraId="0FDA47E6" w14:textId="1F3EE0B7" w:rsidR="00E15638" w:rsidRDefault="00E15638" w:rsidP="00F73193">
      <w:pPr>
        <w:pStyle w:val="FootnoteText"/>
        <w:spacing w:before="120" w:after="120" w:line="252" w:lineRule="auto"/>
      </w:pPr>
      <w:r>
        <w:rPr>
          <w:rStyle w:val="FootnoteReference"/>
        </w:rPr>
        <w:footnoteRef/>
      </w:r>
      <w:r>
        <w:t xml:space="preserve"> Adina Cirson, ACT Executive Director, Property Council of Australia, Proof Transcript of Evidence, 29 July 2021, p. 2</w:t>
      </w:r>
    </w:p>
  </w:footnote>
  <w:footnote w:id="87">
    <w:p w14:paraId="271F9DDE" w14:textId="44B3BF46" w:rsidR="00E15638" w:rsidRDefault="00E15638" w:rsidP="00F73193">
      <w:pPr>
        <w:pStyle w:val="FootnoteText"/>
        <w:spacing w:before="120" w:after="120" w:line="252" w:lineRule="auto"/>
      </w:pPr>
      <w:r>
        <w:rPr>
          <w:rStyle w:val="FootnoteReference"/>
        </w:rPr>
        <w:footnoteRef/>
      </w:r>
      <w:r>
        <w:t xml:space="preserve"> Adina Cirson, ACT Executive Director, Property Council of Australia, Proof Transcript of Evidence, 29 July 2021, p. 13</w:t>
      </w:r>
    </w:p>
  </w:footnote>
  <w:footnote w:id="88">
    <w:p w14:paraId="7384E817" w14:textId="00AEC6AA" w:rsidR="00E15638" w:rsidRDefault="00E15638" w:rsidP="00F73193">
      <w:pPr>
        <w:pStyle w:val="FootnoteText"/>
        <w:spacing w:before="120" w:after="120" w:line="252" w:lineRule="auto"/>
      </w:pPr>
      <w:r>
        <w:rPr>
          <w:rStyle w:val="FootnoteReference"/>
        </w:rPr>
        <w:footnoteRef/>
      </w:r>
      <w:r>
        <w:t xml:space="preserve"> Nichelle Jackson,</w:t>
      </w:r>
      <w:r w:rsidRPr="00D948E7">
        <w:t xml:space="preserve"> </w:t>
      </w:r>
      <w:r>
        <w:t>Director, Canberra Town Planning, representing Landco Pty Ltd, Proof Transcript of Evidence, 29 July 2021, p. 12</w:t>
      </w:r>
    </w:p>
  </w:footnote>
  <w:footnote w:id="89">
    <w:p w14:paraId="162713DB" w14:textId="707D7A22" w:rsidR="00E15638" w:rsidRDefault="00E15638" w:rsidP="00F73193">
      <w:pPr>
        <w:pStyle w:val="FootnoteText"/>
        <w:spacing w:before="120" w:after="120" w:line="252" w:lineRule="auto"/>
      </w:pPr>
      <w:r>
        <w:rPr>
          <w:rStyle w:val="FootnoteReference"/>
        </w:rPr>
        <w:footnoteRef/>
      </w:r>
      <w:r>
        <w:t xml:space="preserve"> George Katheklakis, Director, KDN Group, Proof Transcript of Evidence, 29 July 2021, p. 13</w:t>
      </w:r>
    </w:p>
  </w:footnote>
  <w:footnote w:id="90">
    <w:p w14:paraId="3EBF7E16" w14:textId="0F553916" w:rsidR="00E15638" w:rsidRDefault="00E15638" w:rsidP="00F73193">
      <w:pPr>
        <w:pStyle w:val="FootnoteText"/>
        <w:spacing w:before="120" w:after="120" w:line="252" w:lineRule="auto"/>
      </w:pPr>
      <w:r>
        <w:rPr>
          <w:rStyle w:val="FootnoteReference"/>
        </w:rPr>
        <w:footnoteRef/>
      </w:r>
      <w:r>
        <w:t xml:space="preserve"> </w:t>
      </w:r>
      <w:hyperlink r:id="rId30" w:history="1">
        <w:r>
          <w:rPr>
            <w:rStyle w:val="Hyperlink"/>
          </w:rPr>
          <w:t>Gungahlin Town Centre Planning Refresh Snapshot)</w:t>
        </w:r>
      </w:hyperlink>
      <w:r>
        <w:t>, 2018, p. 14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A2391" w14:textId="6E607D56" w:rsidR="00E15638" w:rsidRPr="002046E5" w:rsidRDefault="00E15638"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F671FB">
      <w:rPr>
        <w:caps w:val="0"/>
        <w:smallCaps/>
        <w:noProof/>
      </w:rPr>
      <w:t>Standing Committee on Planning, Transport and City Services</w:t>
    </w:r>
    <w:r w:rsidRPr="002046E5">
      <w:rPr>
        <w:caps w:val="0"/>
        <w:smallCaps/>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B37E73" w14:textId="1BEC2FA7" w:rsidR="00E15638" w:rsidRPr="002046E5" w:rsidRDefault="00E15638"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F671FB">
      <w:rPr>
        <w:caps w:val="0"/>
        <w:smallCaps/>
        <w:noProof/>
      </w:rPr>
      <w:t>Draft Variation to the Territory Plan No 364 Gungahlin Town Centre: Amendments to the Gungahlin precinct map and code</w:t>
    </w:r>
    <w:r w:rsidRPr="002046E5">
      <w:rPr>
        <w:caps w:val="0"/>
        <w:smallCap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8561A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A7E46BE"/>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7FF4543C"/>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82C8C260"/>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6F5458E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1032A0A0"/>
    <w:lvl w:ilvl="0">
      <w:start w:val="1"/>
      <w:numFmt w:val="bullet"/>
      <w:lvlText w:val=""/>
      <w:lvlJc w:val="left"/>
      <w:pPr>
        <w:tabs>
          <w:tab w:val="num" w:pos="1247"/>
        </w:tabs>
        <w:ind w:left="1247" w:hanging="283"/>
      </w:pPr>
      <w:rPr>
        <w:rFonts w:ascii="Symbol" w:hAnsi="Symbol" w:hint="default"/>
        <w:color w:val="999999"/>
        <w:sz w:val="20"/>
        <w:szCs w:val="20"/>
      </w:rPr>
    </w:lvl>
  </w:abstractNum>
  <w:abstractNum w:abstractNumId="7"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1E10CA04"/>
    <w:lvl w:ilvl="0">
      <w:start w:val="1"/>
      <w:numFmt w:val="bullet"/>
      <w:lvlText w:val=""/>
      <w:lvlJc w:val="left"/>
      <w:pPr>
        <w:tabs>
          <w:tab w:val="num" w:pos="964"/>
        </w:tabs>
        <w:ind w:left="964" w:hanging="255"/>
      </w:pPr>
      <w:rPr>
        <w:rFonts w:ascii="Wingdings" w:hAnsi="Wingdings" w:hint="default"/>
        <w:sz w:val="24"/>
        <w:szCs w:val="24"/>
      </w:rPr>
    </w:lvl>
  </w:abstractNum>
  <w:abstractNum w:abstractNumId="9"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7540BD"/>
    <w:multiLevelType w:val="multilevel"/>
    <w:tmpl w:val="AFC8193E"/>
    <w:lvl w:ilvl="0">
      <w:start w:val="1"/>
      <w:numFmt w:val="decimal"/>
      <w:lvlText w:val="Recommendation %1"/>
      <w:lvlJc w:val="left"/>
      <w:pPr>
        <w:ind w:left="142" w:hanging="142"/>
      </w:pPr>
      <w:rPr>
        <w:rFonts w:ascii="Arial Narrow" w:hAnsi="Arial Narrow" w:hint="default"/>
        <w:b/>
        <w:i w:val="0"/>
        <w:sz w:val="28"/>
      </w:rPr>
    </w:lvl>
    <w:lvl w:ilvl="1">
      <w:start w:val="1"/>
      <w:numFmt w:val="decimal"/>
      <w:lvlRestart w:val="0"/>
      <w:lvlText w:val="Finding %2"/>
      <w:lvlJc w:val="left"/>
      <w:pPr>
        <w:ind w:left="142" w:hanging="142"/>
      </w:pPr>
      <w:rPr>
        <w:rFonts w:ascii="Arial Narrow" w:hAnsi="Arial Narrow" w:hint="default"/>
        <w:b/>
        <w:i w:val="0"/>
        <w:sz w:val="28"/>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15:restartNumberingAfterBreak="0">
    <w:nsid w:val="1378046D"/>
    <w:multiLevelType w:val="multilevel"/>
    <w:tmpl w:val="0C09001D"/>
    <w:numStyleLink w:val="CommitteeNumberedPara"/>
  </w:abstractNum>
  <w:abstractNum w:abstractNumId="14"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1E222A15"/>
    <w:multiLevelType w:val="hybridMultilevel"/>
    <w:tmpl w:val="620A783C"/>
    <w:lvl w:ilvl="0" w:tplc="FC3C580E">
      <w:start w:val="1"/>
      <w:numFmt w:val="bullet"/>
      <w:pStyle w:val="BulletedTextKM"/>
      <w:lvlText w:val="•"/>
      <w:lvlJc w:val="left"/>
      <w:pPr>
        <w:tabs>
          <w:tab w:val="num" w:pos="1247"/>
        </w:tabs>
        <w:ind w:left="1247" w:hanging="567"/>
      </w:pPr>
      <w:rPr>
        <w:rFonts w:ascii="Arial" w:hAnsi="Arial" w:hint="default"/>
        <w:color w:val="000000"/>
        <w:sz w:val="28"/>
        <w:szCs w:val="28"/>
      </w:rPr>
    </w:lvl>
    <w:lvl w:ilvl="1" w:tplc="04090003" w:tentative="1">
      <w:start w:val="1"/>
      <w:numFmt w:val="bullet"/>
      <w:lvlText w:val="o"/>
      <w:lvlJc w:val="left"/>
      <w:pPr>
        <w:tabs>
          <w:tab w:val="num" w:pos="2120"/>
        </w:tabs>
        <w:ind w:left="2120" w:hanging="360"/>
      </w:pPr>
      <w:rPr>
        <w:rFonts w:ascii="Courier New" w:hAnsi="Courier New" w:cs="Courier New" w:hint="default"/>
      </w:rPr>
    </w:lvl>
    <w:lvl w:ilvl="2" w:tplc="04090005" w:tentative="1">
      <w:start w:val="1"/>
      <w:numFmt w:val="bullet"/>
      <w:lvlText w:val=""/>
      <w:lvlJc w:val="left"/>
      <w:pPr>
        <w:tabs>
          <w:tab w:val="num" w:pos="2840"/>
        </w:tabs>
        <w:ind w:left="2840" w:hanging="360"/>
      </w:pPr>
      <w:rPr>
        <w:rFonts w:ascii="Wingdings" w:hAnsi="Wingdings" w:hint="default"/>
      </w:rPr>
    </w:lvl>
    <w:lvl w:ilvl="3" w:tplc="04090001" w:tentative="1">
      <w:start w:val="1"/>
      <w:numFmt w:val="bullet"/>
      <w:lvlText w:val=""/>
      <w:lvlJc w:val="left"/>
      <w:pPr>
        <w:tabs>
          <w:tab w:val="num" w:pos="3560"/>
        </w:tabs>
        <w:ind w:left="3560" w:hanging="360"/>
      </w:pPr>
      <w:rPr>
        <w:rFonts w:ascii="Symbol" w:hAnsi="Symbol" w:hint="default"/>
      </w:rPr>
    </w:lvl>
    <w:lvl w:ilvl="4" w:tplc="04090003" w:tentative="1">
      <w:start w:val="1"/>
      <w:numFmt w:val="bullet"/>
      <w:lvlText w:val="o"/>
      <w:lvlJc w:val="left"/>
      <w:pPr>
        <w:tabs>
          <w:tab w:val="num" w:pos="4280"/>
        </w:tabs>
        <w:ind w:left="4280" w:hanging="360"/>
      </w:pPr>
      <w:rPr>
        <w:rFonts w:ascii="Courier New" w:hAnsi="Courier New" w:cs="Courier New" w:hint="default"/>
      </w:rPr>
    </w:lvl>
    <w:lvl w:ilvl="5" w:tplc="04090005" w:tentative="1">
      <w:start w:val="1"/>
      <w:numFmt w:val="bullet"/>
      <w:lvlText w:val=""/>
      <w:lvlJc w:val="left"/>
      <w:pPr>
        <w:tabs>
          <w:tab w:val="num" w:pos="5000"/>
        </w:tabs>
        <w:ind w:left="5000" w:hanging="360"/>
      </w:pPr>
      <w:rPr>
        <w:rFonts w:ascii="Wingdings" w:hAnsi="Wingdings" w:hint="default"/>
      </w:rPr>
    </w:lvl>
    <w:lvl w:ilvl="6" w:tplc="04090001" w:tentative="1">
      <w:start w:val="1"/>
      <w:numFmt w:val="bullet"/>
      <w:lvlText w:val=""/>
      <w:lvlJc w:val="left"/>
      <w:pPr>
        <w:tabs>
          <w:tab w:val="num" w:pos="5720"/>
        </w:tabs>
        <w:ind w:left="5720" w:hanging="360"/>
      </w:pPr>
      <w:rPr>
        <w:rFonts w:ascii="Symbol" w:hAnsi="Symbol" w:hint="default"/>
      </w:rPr>
    </w:lvl>
    <w:lvl w:ilvl="7" w:tplc="04090003" w:tentative="1">
      <w:start w:val="1"/>
      <w:numFmt w:val="bullet"/>
      <w:lvlText w:val="o"/>
      <w:lvlJc w:val="left"/>
      <w:pPr>
        <w:tabs>
          <w:tab w:val="num" w:pos="6440"/>
        </w:tabs>
        <w:ind w:left="6440" w:hanging="360"/>
      </w:pPr>
      <w:rPr>
        <w:rFonts w:ascii="Courier New" w:hAnsi="Courier New" w:cs="Courier New" w:hint="default"/>
      </w:rPr>
    </w:lvl>
    <w:lvl w:ilvl="8" w:tplc="04090005" w:tentative="1">
      <w:start w:val="1"/>
      <w:numFmt w:val="bullet"/>
      <w:lvlText w:val=""/>
      <w:lvlJc w:val="left"/>
      <w:pPr>
        <w:tabs>
          <w:tab w:val="num" w:pos="7160"/>
        </w:tabs>
        <w:ind w:left="7160" w:hanging="360"/>
      </w:pPr>
      <w:rPr>
        <w:rFonts w:ascii="Wingdings" w:hAnsi="Wingdings" w:hint="default"/>
      </w:rPr>
    </w:lvl>
  </w:abstractNum>
  <w:abstractNum w:abstractNumId="1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17" w15:restartNumberingAfterBreak="0">
    <w:nsid w:val="33CC4592"/>
    <w:multiLevelType w:val="multilevel"/>
    <w:tmpl w:val="DCECC89E"/>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F11D6F"/>
    <w:multiLevelType w:val="multilevel"/>
    <w:tmpl w:val="4892979C"/>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A805768"/>
    <w:multiLevelType w:val="multilevel"/>
    <w:tmpl w:val="286AAF76"/>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ascii="Palatino Linotype" w:hAnsi="Palatino Linotype" w:hint="default"/>
        <w:b w:val="0"/>
        <w:i w:val="0"/>
        <w:caps w:val="0"/>
        <w:vanish w:val="0"/>
        <w:w w:val="95"/>
        <w:sz w:val="22"/>
        <w:szCs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7556EF"/>
    <w:multiLevelType w:val="hybridMultilevel"/>
    <w:tmpl w:val="42808036"/>
    <w:lvl w:ilvl="0" w:tplc="0C090001">
      <w:start w:val="1"/>
      <w:numFmt w:val="bullet"/>
      <w:lvlText w:val=""/>
      <w:lvlJc w:val="left"/>
      <w:pPr>
        <w:ind w:left="1332" w:hanging="360"/>
      </w:pPr>
      <w:rPr>
        <w:rFonts w:ascii="Symbol" w:hAnsi="Symbol" w:hint="default"/>
      </w:rPr>
    </w:lvl>
    <w:lvl w:ilvl="1" w:tplc="0C090003" w:tentative="1">
      <w:start w:val="1"/>
      <w:numFmt w:val="bullet"/>
      <w:lvlText w:val="o"/>
      <w:lvlJc w:val="left"/>
      <w:pPr>
        <w:ind w:left="2052" w:hanging="360"/>
      </w:pPr>
      <w:rPr>
        <w:rFonts w:ascii="Courier New" w:hAnsi="Courier New" w:cs="Courier New" w:hint="default"/>
      </w:rPr>
    </w:lvl>
    <w:lvl w:ilvl="2" w:tplc="0C090005" w:tentative="1">
      <w:start w:val="1"/>
      <w:numFmt w:val="bullet"/>
      <w:lvlText w:val=""/>
      <w:lvlJc w:val="left"/>
      <w:pPr>
        <w:ind w:left="2772" w:hanging="360"/>
      </w:pPr>
      <w:rPr>
        <w:rFonts w:ascii="Wingdings" w:hAnsi="Wingdings" w:hint="default"/>
      </w:rPr>
    </w:lvl>
    <w:lvl w:ilvl="3" w:tplc="0C090001" w:tentative="1">
      <w:start w:val="1"/>
      <w:numFmt w:val="bullet"/>
      <w:lvlText w:val=""/>
      <w:lvlJc w:val="left"/>
      <w:pPr>
        <w:ind w:left="3492" w:hanging="360"/>
      </w:pPr>
      <w:rPr>
        <w:rFonts w:ascii="Symbol" w:hAnsi="Symbol" w:hint="default"/>
      </w:rPr>
    </w:lvl>
    <w:lvl w:ilvl="4" w:tplc="0C090003" w:tentative="1">
      <w:start w:val="1"/>
      <w:numFmt w:val="bullet"/>
      <w:lvlText w:val="o"/>
      <w:lvlJc w:val="left"/>
      <w:pPr>
        <w:ind w:left="4212" w:hanging="360"/>
      </w:pPr>
      <w:rPr>
        <w:rFonts w:ascii="Courier New" w:hAnsi="Courier New" w:cs="Courier New" w:hint="default"/>
      </w:rPr>
    </w:lvl>
    <w:lvl w:ilvl="5" w:tplc="0C090005" w:tentative="1">
      <w:start w:val="1"/>
      <w:numFmt w:val="bullet"/>
      <w:lvlText w:val=""/>
      <w:lvlJc w:val="left"/>
      <w:pPr>
        <w:ind w:left="4932" w:hanging="360"/>
      </w:pPr>
      <w:rPr>
        <w:rFonts w:ascii="Wingdings" w:hAnsi="Wingdings" w:hint="default"/>
      </w:rPr>
    </w:lvl>
    <w:lvl w:ilvl="6" w:tplc="0C090001" w:tentative="1">
      <w:start w:val="1"/>
      <w:numFmt w:val="bullet"/>
      <w:lvlText w:val=""/>
      <w:lvlJc w:val="left"/>
      <w:pPr>
        <w:ind w:left="5652" w:hanging="360"/>
      </w:pPr>
      <w:rPr>
        <w:rFonts w:ascii="Symbol" w:hAnsi="Symbol" w:hint="default"/>
      </w:rPr>
    </w:lvl>
    <w:lvl w:ilvl="7" w:tplc="0C090003" w:tentative="1">
      <w:start w:val="1"/>
      <w:numFmt w:val="bullet"/>
      <w:lvlText w:val="o"/>
      <w:lvlJc w:val="left"/>
      <w:pPr>
        <w:ind w:left="6372" w:hanging="360"/>
      </w:pPr>
      <w:rPr>
        <w:rFonts w:ascii="Courier New" w:hAnsi="Courier New" w:cs="Courier New" w:hint="default"/>
      </w:rPr>
    </w:lvl>
    <w:lvl w:ilvl="8" w:tplc="0C090005" w:tentative="1">
      <w:start w:val="1"/>
      <w:numFmt w:val="bullet"/>
      <w:lvlText w:val=""/>
      <w:lvlJc w:val="left"/>
      <w:pPr>
        <w:ind w:left="7092" w:hanging="360"/>
      </w:pPr>
      <w:rPr>
        <w:rFonts w:ascii="Wingdings" w:hAnsi="Wingdings" w:hint="default"/>
      </w:rPr>
    </w:lvl>
  </w:abstractNum>
  <w:abstractNum w:abstractNumId="23"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3"/>
  </w:num>
  <w:num w:numId="2">
    <w:abstractNumId w:val="8"/>
  </w:num>
  <w:num w:numId="3">
    <w:abstractNumId w:val="6"/>
  </w:num>
  <w:num w:numId="4">
    <w:abstractNumId w:val="14"/>
  </w:num>
  <w:num w:numId="5">
    <w:abstractNumId w:val="5"/>
  </w:num>
  <w:num w:numId="6">
    <w:abstractNumId w:val="7"/>
  </w:num>
  <w:num w:numId="7">
    <w:abstractNumId w:val="9"/>
  </w:num>
  <w:num w:numId="8">
    <w:abstractNumId w:val="18"/>
  </w:num>
  <w:num w:numId="9">
    <w:abstractNumId w:val="8"/>
  </w:num>
  <w:num w:numId="10">
    <w:abstractNumId w:val="4"/>
  </w:num>
  <w:num w:numId="11">
    <w:abstractNumId w:val="3"/>
  </w:num>
  <w:num w:numId="12">
    <w:abstractNumId w:val="2"/>
  </w:num>
  <w:num w:numId="13">
    <w:abstractNumId w:val="1"/>
  </w:num>
  <w:num w:numId="14">
    <w:abstractNumId w:val="0"/>
  </w:num>
  <w:num w:numId="15">
    <w:abstractNumId w:val="11"/>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val="0"/>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19">
    <w:abstractNumId w:val="9"/>
    <w:lvlOverride w:ilvl="0">
      <w:lvl w:ilvl="0">
        <w:start w:val="1"/>
        <w:numFmt w:val="decimal"/>
        <w:lvlText w:val="%1"/>
        <w:lvlJc w:val="left"/>
        <w:pPr>
          <w:tabs>
            <w:tab w:val="num" w:pos="680"/>
          </w:tabs>
          <w:ind w:left="567" w:hanging="567"/>
        </w:pPr>
        <w:rPr>
          <w:rFonts w:ascii="Arial Narrow" w:hAnsi="Arial Narrow" w:hint="default"/>
          <w:b/>
          <w:i w:val="0"/>
          <w:sz w:val="44"/>
        </w:rPr>
      </w:lvl>
    </w:lvlOverride>
    <w:lvlOverride w:ilvl="1">
      <w:lvl w:ilvl="1">
        <w:start w:val="1"/>
        <w:numFmt w:val="decimal"/>
        <w:lvlText w:val="%1.%2"/>
        <w:lvlJc w:val="left"/>
        <w:pPr>
          <w:ind w:left="567" w:hanging="567"/>
        </w:pPr>
        <w:rPr>
          <w:rFonts w:ascii="Calibri" w:hAnsi="Calibri" w:hint="default"/>
          <w:b/>
          <w:i w:val="0"/>
          <w:caps w:val="0"/>
          <w:vanish w:val="0"/>
          <w:w w:val="95"/>
          <w:sz w:val="22"/>
          <w:szCs w:val="22"/>
        </w:rPr>
      </w:lvl>
    </w:lvlOverride>
    <w:lvlOverride w:ilvl="2">
      <w:lvl w:ilvl="2">
        <w:start w:val="1"/>
        <w:numFmt w:val="bullet"/>
        <w:lvlRestart w:val="0"/>
        <w:lvlText w:val=""/>
        <w:lvlJc w:val="left"/>
        <w:pPr>
          <w:ind w:left="964" w:hanging="397"/>
        </w:pPr>
        <w:rPr>
          <w:rFonts w:ascii="Wingdings" w:hAnsi="Wingdings" w:hint="default"/>
        </w:rPr>
      </w:lvl>
    </w:lvlOverride>
    <w:lvlOverride w:ilvl="3">
      <w:lvl w:ilvl="3">
        <w:start w:val="1"/>
        <w:numFmt w:val="bullet"/>
        <w:lvlRestart w:val="0"/>
        <w:lvlText w:val=""/>
        <w:lvlJc w:val="left"/>
        <w:pPr>
          <w:ind w:left="1276" w:hanging="425"/>
        </w:pPr>
        <w:rPr>
          <w:rFonts w:ascii="Wingdings" w:hAnsi="Wingdings" w:hint="default"/>
          <w:color w:val="999999"/>
        </w:rPr>
      </w:lvl>
    </w:lvlOverride>
    <w:lvlOverride w:ilvl="4">
      <w:lvl w:ilvl="4">
        <w:start w:val="1"/>
        <w:numFmt w:val="none"/>
        <w:lvlRestart w:val="0"/>
        <w:lvlText w:val=""/>
        <w:lvlJc w:val="left"/>
        <w:pPr>
          <w:tabs>
            <w:tab w:val="num" w:pos="1008"/>
          </w:tabs>
          <w:ind w:left="340" w:hanging="340"/>
        </w:pPr>
        <w:rPr>
          <w:rFonts w:hint="default"/>
        </w:rPr>
      </w:lvl>
    </w:lvlOverride>
    <w:lvlOverride w:ilvl="5">
      <w:lvl w:ilvl="5">
        <w:start w:val="1"/>
        <w:numFmt w:val="decimal"/>
        <w:lvlRestart w:val="1"/>
        <w:lvlText w:val="%1.%6"/>
        <w:lvlJc w:val="left"/>
        <w:pPr>
          <w:ind w:left="567" w:hanging="567"/>
        </w:pPr>
        <w:rPr>
          <w:rFonts w:ascii="Calibri" w:hAnsi="Calibri" w:hint="default"/>
          <w:sz w:val="22"/>
        </w:rPr>
      </w:lvl>
    </w:lvlOverride>
    <w:lvlOverride w:ilvl="6">
      <w:lvl w:ilvl="6">
        <w:start w:val="1"/>
        <w:numFmt w:val="decimal"/>
        <w:lvlRestart w:val="0"/>
        <w:lvlText w:val="%7"/>
        <w:lvlJc w:val="left"/>
        <w:pPr>
          <w:ind w:left="1844" w:firstLine="0"/>
        </w:pPr>
        <w:rPr>
          <w:rFonts w:ascii="Arial Narrow" w:hAnsi="Arial Narrow" w:hint="default"/>
          <w:b/>
          <w:i w:val="0"/>
          <w:sz w:val="28"/>
        </w:rPr>
      </w:lvl>
    </w:lvlOverride>
    <w:lvlOverride w:ilvl="7">
      <w:lvl w:ilvl="7">
        <w:start w:val="1"/>
        <w:numFmt w:val="decimal"/>
        <w:lvlRestart w:val="0"/>
        <w:lvlText w:val="Finding %8"/>
        <w:lvlJc w:val="left"/>
        <w:pPr>
          <w:ind w:left="142" w:firstLine="0"/>
        </w:pPr>
        <w:rPr>
          <w:rFonts w:ascii="Arial Narrow" w:hAnsi="Arial Narrow" w:hint="default"/>
          <w:b/>
          <w:i w:val="0"/>
          <w:caps w:val="0"/>
          <w:sz w:val="28"/>
        </w:rPr>
      </w:lvl>
    </w:lvlOverride>
    <w:lvlOverride w:ilvl="8">
      <w:lvl w:ilvl="8">
        <w:start w:val="1"/>
        <w:numFmt w:val="decimal"/>
        <w:lvlText w:val="%1.%2.%3.%4.%5.%6.%7.%8.%9"/>
        <w:lvlJc w:val="left"/>
        <w:pPr>
          <w:tabs>
            <w:tab w:val="num" w:pos="1584"/>
          </w:tabs>
          <w:ind w:left="1584" w:hanging="1584"/>
        </w:pPr>
        <w:rPr>
          <w:rFonts w:hint="default"/>
        </w:rPr>
      </w:lvl>
    </w:lvlOverride>
  </w:num>
  <w:num w:numId="20">
    <w:abstractNumId w:val="17"/>
  </w:num>
  <w:num w:numId="21">
    <w:abstractNumId w:val="13"/>
  </w:num>
  <w:num w:numId="22">
    <w:abstractNumId w:val="10"/>
  </w:num>
  <w:num w:numId="23">
    <w:abstractNumId w:val="19"/>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1"/>
    </w:lvlOverride>
  </w:num>
  <w:num w:numId="28">
    <w:abstractNumId w:val="21"/>
  </w:num>
  <w:num w:numId="29">
    <w:abstractNumId w:val="12"/>
  </w:num>
  <w:num w:numId="30">
    <w:abstractNumId w:val="15"/>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num>
  <w:num w:numId="33">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937"/>
    <w:rsid w:val="00002730"/>
    <w:rsid w:val="0000580C"/>
    <w:rsid w:val="000100C7"/>
    <w:rsid w:val="000110B2"/>
    <w:rsid w:val="000135E9"/>
    <w:rsid w:val="0001507C"/>
    <w:rsid w:val="000161FB"/>
    <w:rsid w:val="00017D52"/>
    <w:rsid w:val="00020BB5"/>
    <w:rsid w:val="00022DFF"/>
    <w:rsid w:val="00024729"/>
    <w:rsid w:val="00024877"/>
    <w:rsid w:val="000253AB"/>
    <w:rsid w:val="00026B43"/>
    <w:rsid w:val="0002797A"/>
    <w:rsid w:val="00033BFE"/>
    <w:rsid w:val="000358C7"/>
    <w:rsid w:val="00036BBF"/>
    <w:rsid w:val="00037305"/>
    <w:rsid w:val="00037AEA"/>
    <w:rsid w:val="00040AFD"/>
    <w:rsid w:val="00042ACA"/>
    <w:rsid w:val="000443CA"/>
    <w:rsid w:val="000465EA"/>
    <w:rsid w:val="00047E50"/>
    <w:rsid w:val="00050927"/>
    <w:rsid w:val="000557F4"/>
    <w:rsid w:val="0005687D"/>
    <w:rsid w:val="00060B65"/>
    <w:rsid w:val="00062E9F"/>
    <w:rsid w:val="0007080E"/>
    <w:rsid w:val="00073A7D"/>
    <w:rsid w:val="000801E9"/>
    <w:rsid w:val="0008176F"/>
    <w:rsid w:val="0008221E"/>
    <w:rsid w:val="00084832"/>
    <w:rsid w:val="00084BF4"/>
    <w:rsid w:val="000869A1"/>
    <w:rsid w:val="0008705A"/>
    <w:rsid w:val="00092EA3"/>
    <w:rsid w:val="0009391E"/>
    <w:rsid w:val="00096E3A"/>
    <w:rsid w:val="000A0363"/>
    <w:rsid w:val="000A2DE7"/>
    <w:rsid w:val="000A59B6"/>
    <w:rsid w:val="000B2B62"/>
    <w:rsid w:val="000B3341"/>
    <w:rsid w:val="000B4094"/>
    <w:rsid w:val="000C0542"/>
    <w:rsid w:val="000C30B5"/>
    <w:rsid w:val="000C4038"/>
    <w:rsid w:val="000C4EFA"/>
    <w:rsid w:val="000D2895"/>
    <w:rsid w:val="000D3E58"/>
    <w:rsid w:val="000D583A"/>
    <w:rsid w:val="000E242F"/>
    <w:rsid w:val="000E2EF4"/>
    <w:rsid w:val="000E443E"/>
    <w:rsid w:val="000E4741"/>
    <w:rsid w:val="000E6616"/>
    <w:rsid w:val="000E7567"/>
    <w:rsid w:val="000F0E44"/>
    <w:rsid w:val="000F47F3"/>
    <w:rsid w:val="000F617F"/>
    <w:rsid w:val="000F6A7C"/>
    <w:rsid w:val="00106F54"/>
    <w:rsid w:val="001108DC"/>
    <w:rsid w:val="00110FA4"/>
    <w:rsid w:val="00111850"/>
    <w:rsid w:val="00113CBE"/>
    <w:rsid w:val="00113E77"/>
    <w:rsid w:val="00116A67"/>
    <w:rsid w:val="0011795D"/>
    <w:rsid w:val="0012342E"/>
    <w:rsid w:val="00123676"/>
    <w:rsid w:val="00123C42"/>
    <w:rsid w:val="00124F8D"/>
    <w:rsid w:val="00125E8B"/>
    <w:rsid w:val="0013212B"/>
    <w:rsid w:val="00133F1B"/>
    <w:rsid w:val="0014298A"/>
    <w:rsid w:val="00142F3A"/>
    <w:rsid w:val="00150A65"/>
    <w:rsid w:val="001511D4"/>
    <w:rsid w:val="00151F03"/>
    <w:rsid w:val="00156E0B"/>
    <w:rsid w:val="0015794F"/>
    <w:rsid w:val="001609A2"/>
    <w:rsid w:val="001647BE"/>
    <w:rsid w:val="00167854"/>
    <w:rsid w:val="001702C6"/>
    <w:rsid w:val="00170C6B"/>
    <w:rsid w:val="001716E4"/>
    <w:rsid w:val="00171CA7"/>
    <w:rsid w:val="00172E87"/>
    <w:rsid w:val="001752DC"/>
    <w:rsid w:val="00181F7E"/>
    <w:rsid w:val="001824F3"/>
    <w:rsid w:val="00182AC2"/>
    <w:rsid w:val="00182DF1"/>
    <w:rsid w:val="00183FBF"/>
    <w:rsid w:val="00187EE0"/>
    <w:rsid w:val="00191255"/>
    <w:rsid w:val="0019591D"/>
    <w:rsid w:val="001A0898"/>
    <w:rsid w:val="001A0DBE"/>
    <w:rsid w:val="001A1284"/>
    <w:rsid w:val="001A1809"/>
    <w:rsid w:val="001A5DB1"/>
    <w:rsid w:val="001A6441"/>
    <w:rsid w:val="001A7941"/>
    <w:rsid w:val="001B0847"/>
    <w:rsid w:val="001B21D7"/>
    <w:rsid w:val="001B2548"/>
    <w:rsid w:val="001B2B71"/>
    <w:rsid w:val="001B4B71"/>
    <w:rsid w:val="001B5F6D"/>
    <w:rsid w:val="001C07D3"/>
    <w:rsid w:val="001C2D1C"/>
    <w:rsid w:val="001C3FDA"/>
    <w:rsid w:val="001C49DC"/>
    <w:rsid w:val="001C690A"/>
    <w:rsid w:val="001C746F"/>
    <w:rsid w:val="001C75D2"/>
    <w:rsid w:val="001D009F"/>
    <w:rsid w:val="001D17CF"/>
    <w:rsid w:val="001E2D30"/>
    <w:rsid w:val="001E3657"/>
    <w:rsid w:val="001E3A56"/>
    <w:rsid w:val="001E7219"/>
    <w:rsid w:val="001F3FA1"/>
    <w:rsid w:val="001F44E7"/>
    <w:rsid w:val="001F4D20"/>
    <w:rsid w:val="001F58CC"/>
    <w:rsid w:val="002019EC"/>
    <w:rsid w:val="00203982"/>
    <w:rsid w:val="0020415F"/>
    <w:rsid w:val="002046E5"/>
    <w:rsid w:val="00206460"/>
    <w:rsid w:val="0020656E"/>
    <w:rsid w:val="0020680D"/>
    <w:rsid w:val="0020794F"/>
    <w:rsid w:val="00211075"/>
    <w:rsid w:val="00211DBE"/>
    <w:rsid w:val="0021445F"/>
    <w:rsid w:val="00217DDC"/>
    <w:rsid w:val="00220100"/>
    <w:rsid w:val="00225427"/>
    <w:rsid w:val="002334BD"/>
    <w:rsid w:val="00236A9D"/>
    <w:rsid w:val="0023711A"/>
    <w:rsid w:val="00243BBE"/>
    <w:rsid w:val="00247C75"/>
    <w:rsid w:val="002507A1"/>
    <w:rsid w:val="00251D86"/>
    <w:rsid w:val="002600F9"/>
    <w:rsid w:val="00260F29"/>
    <w:rsid w:val="002634A3"/>
    <w:rsid w:val="00264D80"/>
    <w:rsid w:val="00265F91"/>
    <w:rsid w:val="00267A9B"/>
    <w:rsid w:val="002868FF"/>
    <w:rsid w:val="00287372"/>
    <w:rsid w:val="002A0DC5"/>
    <w:rsid w:val="002A3457"/>
    <w:rsid w:val="002A5610"/>
    <w:rsid w:val="002A64FA"/>
    <w:rsid w:val="002B0368"/>
    <w:rsid w:val="002B0FD1"/>
    <w:rsid w:val="002B1F09"/>
    <w:rsid w:val="002B5C68"/>
    <w:rsid w:val="002B5D24"/>
    <w:rsid w:val="002C4E6E"/>
    <w:rsid w:val="002C5082"/>
    <w:rsid w:val="002C694A"/>
    <w:rsid w:val="002D0BC9"/>
    <w:rsid w:val="002D1F26"/>
    <w:rsid w:val="002D2C34"/>
    <w:rsid w:val="002D4A62"/>
    <w:rsid w:val="002D5959"/>
    <w:rsid w:val="002D5FCE"/>
    <w:rsid w:val="002E1A91"/>
    <w:rsid w:val="002E41D4"/>
    <w:rsid w:val="002E676A"/>
    <w:rsid w:val="002F1DCF"/>
    <w:rsid w:val="002F2404"/>
    <w:rsid w:val="002F52BB"/>
    <w:rsid w:val="002F6657"/>
    <w:rsid w:val="00300A7C"/>
    <w:rsid w:val="00301919"/>
    <w:rsid w:val="00303AA2"/>
    <w:rsid w:val="0030629F"/>
    <w:rsid w:val="00306EF7"/>
    <w:rsid w:val="00307BBB"/>
    <w:rsid w:val="00311CFC"/>
    <w:rsid w:val="00312658"/>
    <w:rsid w:val="003161A0"/>
    <w:rsid w:val="00320141"/>
    <w:rsid w:val="00325B51"/>
    <w:rsid w:val="00327492"/>
    <w:rsid w:val="00327F83"/>
    <w:rsid w:val="00331C8D"/>
    <w:rsid w:val="00333D04"/>
    <w:rsid w:val="00333FFD"/>
    <w:rsid w:val="0033446E"/>
    <w:rsid w:val="0033638C"/>
    <w:rsid w:val="003374BA"/>
    <w:rsid w:val="0034044B"/>
    <w:rsid w:val="003460F0"/>
    <w:rsid w:val="00347AF5"/>
    <w:rsid w:val="003536AD"/>
    <w:rsid w:val="003557A9"/>
    <w:rsid w:val="00355CF2"/>
    <w:rsid w:val="003606E5"/>
    <w:rsid w:val="00366566"/>
    <w:rsid w:val="00370C68"/>
    <w:rsid w:val="00380BCF"/>
    <w:rsid w:val="0038248A"/>
    <w:rsid w:val="00383DFC"/>
    <w:rsid w:val="003860BC"/>
    <w:rsid w:val="0038667F"/>
    <w:rsid w:val="00386782"/>
    <w:rsid w:val="0038734F"/>
    <w:rsid w:val="00392FBF"/>
    <w:rsid w:val="003957E9"/>
    <w:rsid w:val="003A4417"/>
    <w:rsid w:val="003B13F7"/>
    <w:rsid w:val="003B2305"/>
    <w:rsid w:val="003B5A9F"/>
    <w:rsid w:val="003B7E6A"/>
    <w:rsid w:val="003C4E99"/>
    <w:rsid w:val="003E0CF7"/>
    <w:rsid w:val="003E346B"/>
    <w:rsid w:val="003E3CF6"/>
    <w:rsid w:val="003E5029"/>
    <w:rsid w:val="003E60E7"/>
    <w:rsid w:val="003E694F"/>
    <w:rsid w:val="003E7EED"/>
    <w:rsid w:val="003F1B9A"/>
    <w:rsid w:val="003F3F57"/>
    <w:rsid w:val="003F679A"/>
    <w:rsid w:val="003F7136"/>
    <w:rsid w:val="003F72B7"/>
    <w:rsid w:val="003F7614"/>
    <w:rsid w:val="004001FB"/>
    <w:rsid w:val="00400B9E"/>
    <w:rsid w:val="004115ED"/>
    <w:rsid w:val="00415731"/>
    <w:rsid w:val="00415891"/>
    <w:rsid w:val="00415CDF"/>
    <w:rsid w:val="00415EF1"/>
    <w:rsid w:val="00416520"/>
    <w:rsid w:val="00424B6E"/>
    <w:rsid w:val="00425367"/>
    <w:rsid w:val="004260D7"/>
    <w:rsid w:val="004302E6"/>
    <w:rsid w:val="00431687"/>
    <w:rsid w:val="00431C2E"/>
    <w:rsid w:val="00432F1B"/>
    <w:rsid w:val="00435291"/>
    <w:rsid w:val="00436631"/>
    <w:rsid w:val="0043728E"/>
    <w:rsid w:val="00440232"/>
    <w:rsid w:val="004406BF"/>
    <w:rsid w:val="0044222A"/>
    <w:rsid w:val="00450878"/>
    <w:rsid w:val="00452EB2"/>
    <w:rsid w:val="00455C80"/>
    <w:rsid w:val="00461387"/>
    <w:rsid w:val="00462F49"/>
    <w:rsid w:val="0046502A"/>
    <w:rsid w:val="004669D4"/>
    <w:rsid w:val="0046748B"/>
    <w:rsid w:val="00467835"/>
    <w:rsid w:val="00470CE9"/>
    <w:rsid w:val="00472519"/>
    <w:rsid w:val="0047345C"/>
    <w:rsid w:val="00474F70"/>
    <w:rsid w:val="00475450"/>
    <w:rsid w:val="00475697"/>
    <w:rsid w:val="004771CB"/>
    <w:rsid w:val="00477251"/>
    <w:rsid w:val="00496E6D"/>
    <w:rsid w:val="004A01A5"/>
    <w:rsid w:val="004A2C95"/>
    <w:rsid w:val="004A31E4"/>
    <w:rsid w:val="004A4717"/>
    <w:rsid w:val="004A5322"/>
    <w:rsid w:val="004B4B9C"/>
    <w:rsid w:val="004B55FE"/>
    <w:rsid w:val="004B618B"/>
    <w:rsid w:val="004C001F"/>
    <w:rsid w:val="004C30A4"/>
    <w:rsid w:val="004C33BD"/>
    <w:rsid w:val="004C4692"/>
    <w:rsid w:val="004C6BC3"/>
    <w:rsid w:val="004C71BD"/>
    <w:rsid w:val="004C7FF6"/>
    <w:rsid w:val="004D2594"/>
    <w:rsid w:val="004D2CD2"/>
    <w:rsid w:val="004D3265"/>
    <w:rsid w:val="004D5217"/>
    <w:rsid w:val="004D6F58"/>
    <w:rsid w:val="004E3EA0"/>
    <w:rsid w:val="004E4EE8"/>
    <w:rsid w:val="004E518B"/>
    <w:rsid w:val="004E6B4A"/>
    <w:rsid w:val="004E78B4"/>
    <w:rsid w:val="004F0E1B"/>
    <w:rsid w:val="004F1DF3"/>
    <w:rsid w:val="004F2545"/>
    <w:rsid w:val="004F2E41"/>
    <w:rsid w:val="00500D4E"/>
    <w:rsid w:val="00501F01"/>
    <w:rsid w:val="00504394"/>
    <w:rsid w:val="00505904"/>
    <w:rsid w:val="005072C5"/>
    <w:rsid w:val="00510E9A"/>
    <w:rsid w:val="0051124B"/>
    <w:rsid w:val="00511F78"/>
    <w:rsid w:val="005166C3"/>
    <w:rsid w:val="00526A4B"/>
    <w:rsid w:val="005276A2"/>
    <w:rsid w:val="0052783F"/>
    <w:rsid w:val="00532B83"/>
    <w:rsid w:val="00532F3D"/>
    <w:rsid w:val="0053709F"/>
    <w:rsid w:val="005378FD"/>
    <w:rsid w:val="00540D7C"/>
    <w:rsid w:val="00541EAB"/>
    <w:rsid w:val="00542FA6"/>
    <w:rsid w:val="00543F27"/>
    <w:rsid w:val="00546A6E"/>
    <w:rsid w:val="005563BB"/>
    <w:rsid w:val="0056020D"/>
    <w:rsid w:val="00563F71"/>
    <w:rsid w:val="00563FEB"/>
    <w:rsid w:val="00566897"/>
    <w:rsid w:val="00566B91"/>
    <w:rsid w:val="0056716C"/>
    <w:rsid w:val="00571C50"/>
    <w:rsid w:val="005731A8"/>
    <w:rsid w:val="00575DAA"/>
    <w:rsid w:val="00576CA6"/>
    <w:rsid w:val="005829E8"/>
    <w:rsid w:val="005834B1"/>
    <w:rsid w:val="00584492"/>
    <w:rsid w:val="00585337"/>
    <w:rsid w:val="005854CF"/>
    <w:rsid w:val="005876D5"/>
    <w:rsid w:val="005917B3"/>
    <w:rsid w:val="00591811"/>
    <w:rsid w:val="00592771"/>
    <w:rsid w:val="005973EA"/>
    <w:rsid w:val="00597C27"/>
    <w:rsid w:val="005A1168"/>
    <w:rsid w:val="005A4A62"/>
    <w:rsid w:val="005A50D4"/>
    <w:rsid w:val="005A50F3"/>
    <w:rsid w:val="005A6F74"/>
    <w:rsid w:val="005A74F5"/>
    <w:rsid w:val="005B17C1"/>
    <w:rsid w:val="005B424B"/>
    <w:rsid w:val="005B60C2"/>
    <w:rsid w:val="005C1855"/>
    <w:rsid w:val="005C1AF5"/>
    <w:rsid w:val="005C6A2D"/>
    <w:rsid w:val="005D087B"/>
    <w:rsid w:val="005D0B31"/>
    <w:rsid w:val="005D3E94"/>
    <w:rsid w:val="005D5AB2"/>
    <w:rsid w:val="005E1C4F"/>
    <w:rsid w:val="005E670D"/>
    <w:rsid w:val="005E7576"/>
    <w:rsid w:val="005F1F55"/>
    <w:rsid w:val="005F2C11"/>
    <w:rsid w:val="005F3356"/>
    <w:rsid w:val="00601ABF"/>
    <w:rsid w:val="00610B5E"/>
    <w:rsid w:val="00611074"/>
    <w:rsid w:val="006121BC"/>
    <w:rsid w:val="00612620"/>
    <w:rsid w:val="0061344F"/>
    <w:rsid w:val="00615144"/>
    <w:rsid w:val="006156C0"/>
    <w:rsid w:val="00617196"/>
    <w:rsid w:val="00617C19"/>
    <w:rsid w:val="006208B0"/>
    <w:rsid w:val="00621267"/>
    <w:rsid w:val="006257F6"/>
    <w:rsid w:val="00626168"/>
    <w:rsid w:val="00630E27"/>
    <w:rsid w:val="0063185C"/>
    <w:rsid w:val="00631F14"/>
    <w:rsid w:val="00631F81"/>
    <w:rsid w:val="006322FD"/>
    <w:rsid w:val="00635F9E"/>
    <w:rsid w:val="00635FB2"/>
    <w:rsid w:val="0064020A"/>
    <w:rsid w:val="00640E82"/>
    <w:rsid w:val="0064133C"/>
    <w:rsid w:val="00641378"/>
    <w:rsid w:val="006420CD"/>
    <w:rsid w:val="006427A7"/>
    <w:rsid w:val="00642EE7"/>
    <w:rsid w:val="006437BA"/>
    <w:rsid w:val="006464A3"/>
    <w:rsid w:val="00646B68"/>
    <w:rsid w:val="00646DF8"/>
    <w:rsid w:val="006510E2"/>
    <w:rsid w:val="006534B0"/>
    <w:rsid w:val="006631A1"/>
    <w:rsid w:val="00663486"/>
    <w:rsid w:val="006667B9"/>
    <w:rsid w:val="00667C08"/>
    <w:rsid w:val="00672013"/>
    <w:rsid w:val="00672199"/>
    <w:rsid w:val="006818B7"/>
    <w:rsid w:val="00687244"/>
    <w:rsid w:val="0069016B"/>
    <w:rsid w:val="00693538"/>
    <w:rsid w:val="006968F3"/>
    <w:rsid w:val="00697906"/>
    <w:rsid w:val="006A5D41"/>
    <w:rsid w:val="006A63E6"/>
    <w:rsid w:val="006A6AC0"/>
    <w:rsid w:val="006B0E47"/>
    <w:rsid w:val="006B485B"/>
    <w:rsid w:val="006B66F4"/>
    <w:rsid w:val="006B793D"/>
    <w:rsid w:val="006C1295"/>
    <w:rsid w:val="006C4242"/>
    <w:rsid w:val="006C4CF7"/>
    <w:rsid w:val="006D0124"/>
    <w:rsid w:val="006D1CF4"/>
    <w:rsid w:val="006D3C86"/>
    <w:rsid w:val="006D7F7E"/>
    <w:rsid w:val="006E2C4E"/>
    <w:rsid w:val="006E50CD"/>
    <w:rsid w:val="006E6470"/>
    <w:rsid w:val="006F01F3"/>
    <w:rsid w:val="006F1579"/>
    <w:rsid w:val="006F2DA4"/>
    <w:rsid w:val="006F4495"/>
    <w:rsid w:val="006F7292"/>
    <w:rsid w:val="006F784B"/>
    <w:rsid w:val="00705D56"/>
    <w:rsid w:val="007104A7"/>
    <w:rsid w:val="00711927"/>
    <w:rsid w:val="00711F2C"/>
    <w:rsid w:val="007136B6"/>
    <w:rsid w:val="00713E17"/>
    <w:rsid w:val="00715A96"/>
    <w:rsid w:val="007160C4"/>
    <w:rsid w:val="0071763B"/>
    <w:rsid w:val="00720BD1"/>
    <w:rsid w:val="00720CE9"/>
    <w:rsid w:val="00735B32"/>
    <w:rsid w:val="00735D41"/>
    <w:rsid w:val="00737D66"/>
    <w:rsid w:val="007415C3"/>
    <w:rsid w:val="00741BB1"/>
    <w:rsid w:val="00742132"/>
    <w:rsid w:val="00743F65"/>
    <w:rsid w:val="00743F90"/>
    <w:rsid w:val="00744725"/>
    <w:rsid w:val="00744A80"/>
    <w:rsid w:val="00744CF0"/>
    <w:rsid w:val="00746A72"/>
    <w:rsid w:val="0075229C"/>
    <w:rsid w:val="00752458"/>
    <w:rsid w:val="00757881"/>
    <w:rsid w:val="0076272E"/>
    <w:rsid w:val="007629D1"/>
    <w:rsid w:val="007636DE"/>
    <w:rsid w:val="00764425"/>
    <w:rsid w:val="0076515C"/>
    <w:rsid w:val="0076701E"/>
    <w:rsid w:val="007678CA"/>
    <w:rsid w:val="0077130C"/>
    <w:rsid w:val="00775065"/>
    <w:rsid w:val="007758F6"/>
    <w:rsid w:val="00776E29"/>
    <w:rsid w:val="007807E9"/>
    <w:rsid w:val="00780B47"/>
    <w:rsid w:val="0078230A"/>
    <w:rsid w:val="00790965"/>
    <w:rsid w:val="00790F88"/>
    <w:rsid w:val="00793383"/>
    <w:rsid w:val="007950AC"/>
    <w:rsid w:val="007A0441"/>
    <w:rsid w:val="007A3A48"/>
    <w:rsid w:val="007A3BDC"/>
    <w:rsid w:val="007A5047"/>
    <w:rsid w:val="007A598F"/>
    <w:rsid w:val="007A5CB5"/>
    <w:rsid w:val="007A5CD7"/>
    <w:rsid w:val="007B0E50"/>
    <w:rsid w:val="007B31F6"/>
    <w:rsid w:val="007B394F"/>
    <w:rsid w:val="007B5AD9"/>
    <w:rsid w:val="007B7771"/>
    <w:rsid w:val="007C1AE4"/>
    <w:rsid w:val="007C1C4A"/>
    <w:rsid w:val="007D13B2"/>
    <w:rsid w:val="007D297B"/>
    <w:rsid w:val="007D661C"/>
    <w:rsid w:val="007D6B18"/>
    <w:rsid w:val="007D7931"/>
    <w:rsid w:val="007E0F3A"/>
    <w:rsid w:val="007E1531"/>
    <w:rsid w:val="007E4588"/>
    <w:rsid w:val="007E6B58"/>
    <w:rsid w:val="007F0FEB"/>
    <w:rsid w:val="007F2475"/>
    <w:rsid w:val="007F2DDA"/>
    <w:rsid w:val="007F5E40"/>
    <w:rsid w:val="00801BCE"/>
    <w:rsid w:val="00801E71"/>
    <w:rsid w:val="00810DF8"/>
    <w:rsid w:val="008134A6"/>
    <w:rsid w:val="00815402"/>
    <w:rsid w:val="00816134"/>
    <w:rsid w:val="0081649A"/>
    <w:rsid w:val="00817255"/>
    <w:rsid w:val="00817D23"/>
    <w:rsid w:val="0082033A"/>
    <w:rsid w:val="0082177F"/>
    <w:rsid w:val="00824CD7"/>
    <w:rsid w:val="00830937"/>
    <w:rsid w:val="0083184F"/>
    <w:rsid w:val="00833FB2"/>
    <w:rsid w:val="0083652D"/>
    <w:rsid w:val="008375D7"/>
    <w:rsid w:val="00840589"/>
    <w:rsid w:val="00841B06"/>
    <w:rsid w:val="00842854"/>
    <w:rsid w:val="00843602"/>
    <w:rsid w:val="00843B7D"/>
    <w:rsid w:val="00853119"/>
    <w:rsid w:val="00853964"/>
    <w:rsid w:val="008551B6"/>
    <w:rsid w:val="0085551D"/>
    <w:rsid w:val="008569EB"/>
    <w:rsid w:val="00860758"/>
    <w:rsid w:val="00861734"/>
    <w:rsid w:val="00864654"/>
    <w:rsid w:val="00865879"/>
    <w:rsid w:val="00872B07"/>
    <w:rsid w:val="00876181"/>
    <w:rsid w:val="008810B2"/>
    <w:rsid w:val="008868E0"/>
    <w:rsid w:val="00887D19"/>
    <w:rsid w:val="008909CB"/>
    <w:rsid w:val="0089358F"/>
    <w:rsid w:val="008A3298"/>
    <w:rsid w:val="008A726E"/>
    <w:rsid w:val="008B01FE"/>
    <w:rsid w:val="008B0A34"/>
    <w:rsid w:val="008B1975"/>
    <w:rsid w:val="008B2935"/>
    <w:rsid w:val="008B35C5"/>
    <w:rsid w:val="008B493D"/>
    <w:rsid w:val="008C06E9"/>
    <w:rsid w:val="008C5FB0"/>
    <w:rsid w:val="008D0018"/>
    <w:rsid w:val="008D03EB"/>
    <w:rsid w:val="008D0AFB"/>
    <w:rsid w:val="008D0BC6"/>
    <w:rsid w:val="008D1C85"/>
    <w:rsid w:val="008E1246"/>
    <w:rsid w:val="008E26B7"/>
    <w:rsid w:val="008E4F8C"/>
    <w:rsid w:val="008F0C8D"/>
    <w:rsid w:val="008F0E1A"/>
    <w:rsid w:val="00901019"/>
    <w:rsid w:val="00902A0E"/>
    <w:rsid w:val="00903439"/>
    <w:rsid w:val="00903DB2"/>
    <w:rsid w:val="00910431"/>
    <w:rsid w:val="00910A9B"/>
    <w:rsid w:val="00912E06"/>
    <w:rsid w:val="00913CB4"/>
    <w:rsid w:val="009145A2"/>
    <w:rsid w:val="00914807"/>
    <w:rsid w:val="0091584A"/>
    <w:rsid w:val="00915B53"/>
    <w:rsid w:val="009174E4"/>
    <w:rsid w:val="00917543"/>
    <w:rsid w:val="009216BA"/>
    <w:rsid w:val="00923EA4"/>
    <w:rsid w:val="00923FFF"/>
    <w:rsid w:val="009276BF"/>
    <w:rsid w:val="00930625"/>
    <w:rsid w:val="009345C6"/>
    <w:rsid w:val="0094226B"/>
    <w:rsid w:val="00945888"/>
    <w:rsid w:val="009458A5"/>
    <w:rsid w:val="00946CE1"/>
    <w:rsid w:val="00947C51"/>
    <w:rsid w:val="00950900"/>
    <w:rsid w:val="00954592"/>
    <w:rsid w:val="00955B14"/>
    <w:rsid w:val="00957111"/>
    <w:rsid w:val="009576B6"/>
    <w:rsid w:val="00957E75"/>
    <w:rsid w:val="0096033A"/>
    <w:rsid w:val="00962807"/>
    <w:rsid w:val="00963A03"/>
    <w:rsid w:val="00965E95"/>
    <w:rsid w:val="0096601D"/>
    <w:rsid w:val="00967112"/>
    <w:rsid w:val="0096785F"/>
    <w:rsid w:val="00970178"/>
    <w:rsid w:val="00970994"/>
    <w:rsid w:val="00970A0B"/>
    <w:rsid w:val="00970AC4"/>
    <w:rsid w:val="00974515"/>
    <w:rsid w:val="00974CEB"/>
    <w:rsid w:val="009753E0"/>
    <w:rsid w:val="0097543C"/>
    <w:rsid w:val="00975AF0"/>
    <w:rsid w:val="00981335"/>
    <w:rsid w:val="00981CB7"/>
    <w:rsid w:val="00983E3C"/>
    <w:rsid w:val="0098407F"/>
    <w:rsid w:val="00985703"/>
    <w:rsid w:val="00987EF6"/>
    <w:rsid w:val="00993F9F"/>
    <w:rsid w:val="00997027"/>
    <w:rsid w:val="009A0AFC"/>
    <w:rsid w:val="009A2091"/>
    <w:rsid w:val="009A2191"/>
    <w:rsid w:val="009A34FC"/>
    <w:rsid w:val="009A40EF"/>
    <w:rsid w:val="009A58FC"/>
    <w:rsid w:val="009B3F14"/>
    <w:rsid w:val="009B4FB7"/>
    <w:rsid w:val="009B6081"/>
    <w:rsid w:val="009C20F3"/>
    <w:rsid w:val="009C3565"/>
    <w:rsid w:val="009C6277"/>
    <w:rsid w:val="009D10D6"/>
    <w:rsid w:val="009D1402"/>
    <w:rsid w:val="009D1FD5"/>
    <w:rsid w:val="009D46B6"/>
    <w:rsid w:val="009E6E2C"/>
    <w:rsid w:val="009F06D2"/>
    <w:rsid w:val="009F28C6"/>
    <w:rsid w:val="009F2BEB"/>
    <w:rsid w:val="009F3391"/>
    <w:rsid w:val="009F4581"/>
    <w:rsid w:val="009F48F3"/>
    <w:rsid w:val="009F73F4"/>
    <w:rsid w:val="00A01019"/>
    <w:rsid w:val="00A0151C"/>
    <w:rsid w:val="00A018EF"/>
    <w:rsid w:val="00A04B63"/>
    <w:rsid w:val="00A11BC9"/>
    <w:rsid w:val="00A175A9"/>
    <w:rsid w:val="00A20F27"/>
    <w:rsid w:val="00A2152D"/>
    <w:rsid w:val="00A27ECA"/>
    <w:rsid w:val="00A304F7"/>
    <w:rsid w:val="00A35933"/>
    <w:rsid w:val="00A35BA9"/>
    <w:rsid w:val="00A36BF1"/>
    <w:rsid w:val="00A36E0A"/>
    <w:rsid w:val="00A41CEF"/>
    <w:rsid w:val="00A44B2B"/>
    <w:rsid w:val="00A44CF3"/>
    <w:rsid w:val="00A52EF8"/>
    <w:rsid w:val="00A5331D"/>
    <w:rsid w:val="00A54473"/>
    <w:rsid w:val="00A55C73"/>
    <w:rsid w:val="00A60CA3"/>
    <w:rsid w:val="00A60E22"/>
    <w:rsid w:val="00A6538C"/>
    <w:rsid w:val="00A66D2B"/>
    <w:rsid w:val="00A708EB"/>
    <w:rsid w:val="00A70D25"/>
    <w:rsid w:val="00A75BF9"/>
    <w:rsid w:val="00A77A10"/>
    <w:rsid w:val="00A81194"/>
    <w:rsid w:val="00A816C1"/>
    <w:rsid w:val="00A83E5D"/>
    <w:rsid w:val="00A84CE3"/>
    <w:rsid w:val="00A84D0C"/>
    <w:rsid w:val="00A86276"/>
    <w:rsid w:val="00A8688C"/>
    <w:rsid w:val="00A9188C"/>
    <w:rsid w:val="00A918A5"/>
    <w:rsid w:val="00A92116"/>
    <w:rsid w:val="00A92229"/>
    <w:rsid w:val="00A92C76"/>
    <w:rsid w:val="00AA1916"/>
    <w:rsid w:val="00AA3A15"/>
    <w:rsid w:val="00AB00FA"/>
    <w:rsid w:val="00AB0310"/>
    <w:rsid w:val="00AB1BE4"/>
    <w:rsid w:val="00AB782F"/>
    <w:rsid w:val="00AC003A"/>
    <w:rsid w:val="00AC0996"/>
    <w:rsid w:val="00AC1D5E"/>
    <w:rsid w:val="00AC22A0"/>
    <w:rsid w:val="00AD127C"/>
    <w:rsid w:val="00AD17E8"/>
    <w:rsid w:val="00AD2420"/>
    <w:rsid w:val="00AD2DBC"/>
    <w:rsid w:val="00AD4279"/>
    <w:rsid w:val="00AD4821"/>
    <w:rsid w:val="00AD6F11"/>
    <w:rsid w:val="00AE4148"/>
    <w:rsid w:val="00AF3CB0"/>
    <w:rsid w:val="00AF41EB"/>
    <w:rsid w:val="00AF4AFC"/>
    <w:rsid w:val="00AF510A"/>
    <w:rsid w:val="00AF784F"/>
    <w:rsid w:val="00AF7D15"/>
    <w:rsid w:val="00B0034C"/>
    <w:rsid w:val="00B003F1"/>
    <w:rsid w:val="00B0496F"/>
    <w:rsid w:val="00B04EA9"/>
    <w:rsid w:val="00B0630B"/>
    <w:rsid w:val="00B0632B"/>
    <w:rsid w:val="00B0702E"/>
    <w:rsid w:val="00B10EFC"/>
    <w:rsid w:val="00B11841"/>
    <w:rsid w:val="00B1191A"/>
    <w:rsid w:val="00B11CE1"/>
    <w:rsid w:val="00B14835"/>
    <w:rsid w:val="00B14D90"/>
    <w:rsid w:val="00B214A7"/>
    <w:rsid w:val="00B25636"/>
    <w:rsid w:val="00B27424"/>
    <w:rsid w:val="00B27489"/>
    <w:rsid w:val="00B3017F"/>
    <w:rsid w:val="00B33F72"/>
    <w:rsid w:val="00B34C0A"/>
    <w:rsid w:val="00B35B46"/>
    <w:rsid w:val="00B361D0"/>
    <w:rsid w:val="00B37C79"/>
    <w:rsid w:val="00B4193C"/>
    <w:rsid w:val="00B42FE3"/>
    <w:rsid w:val="00B441C4"/>
    <w:rsid w:val="00B453B2"/>
    <w:rsid w:val="00B472F6"/>
    <w:rsid w:val="00B5458C"/>
    <w:rsid w:val="00B54AC2"/>
    <w:rsid w:val="00B57A95"/>
    <w:rsid w:val="00B6001D"/>
    <w:rsid w:val="00B604DE"/>
    <w:rsid w:val="00B6073E"/>
    <w:rsid w:val="00B61251"/>
    <w:rsid w:val="00B66ECA"/>
    <w:rsid w:val="00B700A8"/>
    <w:rsid w:val="00B73144"/>
    <w:rsid w:val="00B75C4F"/>
    <w:rsid w:val="00B77D37"/>
    <w:rsid w:val="00B80F7D"/>
    <w:rsid w:val="00B8388A"/>
    <w:rsid w:val="00B84113"/>
    <w:rsid w:val="00B8439D"/>
    <w:rsid w:val="00B85C8B"/>
    <w:rsid w:val="00B87929"/>
    <w:rsid w:val="00B92315"/>
    <w:rsid w:val="00B9312D"/>
    <w:rsid w:val="00B93852"/>
    <w:rsid w:val="00B941DB"/>
    <w:rsid w:val="00B94284"/>
    <w:rsid w:val="00B949B4"/>
    <w:rsid w:val="00B9717D"/>
    <w:rsid w:val="00BA375D"/>
    <w:rsid w:val="00BA405E"/>
    <w:rsid w:val="00BA5175"/>
    <w:rsid w:val="00BA5EFD"/>
    <w:rsid w:val="00BA6331"/>
    <w:rsid w:val="00BB11B4"/>
    <w:rsid w:val="00BB1B35"/>
    <w:rsid w:val="00BB24EC"/>
    <w:rsid w:val="00BB6351"/>
    <w:rsid w:val="00BB6A15"/>
    <w:rsid w:val="00BB766A"/>
    <w:rsid w:val="00BC1175"/>
    <w:rsid w:val="00BC5692"/>
    <w:rsid w:val="00BC5EFE"/>
    <w:rsid w:val="00BC61A5"/>
    <w:rsid w:val="00BC6DE3"/>
    <w:rsid w:val="00BC7303"/>
    <w:rsid w:val="00BD4012"/>
    <w:rsid w:val="00BD6154"/>
    <w:rsid w:val="00BD6446"/>
    <w:rsid w:val="00BE0EF8"/>
    <w:rsid w:val="00BE235D"/>
    <w:rsid w:val="00BE2A56"/>
    <w:rsid w:val="00BE3D22"/>
    <w:rsid w:val="00BE4BFD"/>
    <w:rsid w:val="00BE56AF"/>
    <w:rsid w:val="00BE6713"/>
    <w:rsid w:val="00BF146D"/>
    <w:rsid w:val="00BF4832"/>
    <w:rsid w:val="00C0130C"/>
    <w:rsid w:val="00C01738"/>
    <w:rsid w:val="00C045BD"/>
    <w:rsid w:val="00C06D99"/>
    <w:rsid w:val="00C07222"/>
    <w:rsid w:val="00C10F49"/>
    <w:rsid w:val="00C148DF"/>
    <w:rsid w:val="00C162E8"/>
    <w:rsid w:val="00C20A6E"/>
    <w:rsid w:val="00C21448"/>
    <w:rsid w:val="00C2280E"/>
    <w:rsid w:val="00C23420"/>
    <w:rsid w:val="00C236C3"/>
    <w:rsid w:val="00C24787"/>
    <w:rsid w:val="00C2492A"/>
    <w:rsid w:val="00C25335"/>
    <w:rsid w:val="00C25516"/>
    <w:rsid w:val="00C25B73"/>
    <w:rsid w:val="00C26D42"/>
    <w:rsid w:val="00C30124"/>
    <w:rsid w:val="00C3127B"/>
    <w:rsid w:val="00C31B0F"/>
    <w:rsid w:val="00C33A2A"/>
    <w:rsid w:val="00C34791"/>
    <w:rsid w:val="00C4180C"/>
    <w:rsid w:val="00C41A27"/>
    <w:rsid w:val="00C4202D"/>
    <w:rsid w:val="00C44858"/>
    <w:rsid w:val="00C4574C"/>
    <w:rsid w:val="00C47818"/>
    <w:rsid w:val="00C53EEF"/>
    <w:rsid w:val="00C548D4"/>
    <w:rsid w:val="00C5534C"/>
    <w:rsid w:val="00C55D23"/>
    <w:rsid w:val="00C618E9"/>
    <w:rsid w:val="00C62052"/>
    <w:rsid w:val="00C65CB8"/>
    <w:rsid w:val="00C674CC"/>
    <w:rsid w:val="00C702A5"/>
    <w:rsid w:val="00C715C2"/>
    <w:rsid w:val="00C8029B"/>
    <w:rsid w:val="00C85ADA"/>
    <w:rsid w:val="00C85E1B"/>
    <w:rsid w:val="00C91DC4"/>
    <w:rsid w:val="00C94624"/>
    <w:rsid w:val="00C9491A"/>
    <w:rsid w:val="00CA32D5"/>
    <w:rsid w:val="00CA3442"/>
    <w:rsid w:val="00CA771C"/>
    <w:rsid w:val="00CB0EAE"/>
    <w:rsid w:val="00CB1E60"/>
    <w:rsid w:val="00CB2BA9"/>
    <w:rsid w:val="00CB6FA7"/>
    <w:rsid w:val="00CC03D8"/>
    <w:rsid w:val="00CC381F"/>
    <w:rsid w:val="00CC405F"/>
    <w:rsid w:val="00CC44A4"/>
    <w:rsid w:val="00CC59DE"/>
    <w:rsid w:val="00CC5C64"/>
    <w:rsid w:val="00CC77FD"/>
    <w:rsid w:val="00CD03EC"/>
    <w:rsid w:val="00CD0A75"/>
    <w:rsid w:val="00CD1CA7"/>
    <w:rsid w:val="00CD2FD8"/>
    <w:rsid w:val="00CD5700"/>
    <w:rsid w:val="00CD7F25"/>
    <w:rsid w:val="00CF0101"/>
    <w:rsid w:val="00CF0C82"/>
    <w:rsid w:val="00CF20CD"/>
    <w:rsid w:val="00CF347D"/>
    <w:rsid w:val="00CF3CA4"/>
    <w:rsid w:val="00D000AD"/>
    <w:rsid w:val="00D0012A"/>
    <w:rsid w:val="00D005D0"/>
    <w:rsid w:val="00D01952"/>
    <w:rsid w:val="00D03FF2"/>
    <w:rsid w:val="00D05F2F"/>
    <w:rsid w:val="00D14F93"/>
    <w:rsid w:val="00D23930"/>
    <w:rsid w:val="00D253DE"/>
    <w:rsid w:val="00D254E7"/>
    <w:rsid w:val="00D26F2D"/>
    <w:rsid w:val="00D275E7"/>
    <w:rsid w:val="00D31B32"/>
    <w:rsid w:val="00D33F96"/>
    <w:rsid w:val="00D344CA"/>
    <w:rsid w:val="00D359FB"/>
    <w:rsid w:val="00D37A0C"/>
    <w:rsid w:val="00D37E23"/>
    <w:rsid w:val="00D42485"/>
    <w:rsid w:val="00D430A9"/>
    <w:rsid w:val="00D43221"/>
    <w:rsid w:val="00D4706C"/>
    <w:rsid w:val="00D47416"/>
    <w:rsid w:val="00D50767"/>
    <w:rsid w:val="00D50ADD"/>
    <w:rsid w:val="00D52025"/>
    <w:rsid w:val="00D5213A"/>
    <w:rsid w:val="00D532AE"/>
    <w:rsid w:val="00D532F2"/>
    <w:rsid w:val="00D53A4D"/>
    <w:rsid w:val="00D54AFE"/>
    <w:rsid w:val="00D561BC"/>
    <w:rsid w:val="00D57E43"/>
    <w:rsid w:val="00D62027"/>
    <w:rsid w:val="00D67727"/>
    <w:rsid w:val="00D70BC4"/>
    <w:rsid w:val="00D722CB"/>
    <w:rsid w:val="00D727F4"/>
    <w:rsid w:val="00D731EE"/>
    <w:rsid w:val="00D73442"/>
    <w:rsid w:val="00D740C8"/>
    <w:rsid w:val="00D80E45"/>
    <w:rsid w:val="00D840D9"/>
    <w:rsid w:val="00D84AF7"/>
    <w:rsid w:val="00D84FCF"/>
    <w:rsid w:val="00D8576F"/>
    <w:rsid w:val="00D857FE"/>
    <w:rsid w:val="00D86534"/>
    <w:rsid w:val="00D870CD"/>
    <w:rsid w:val="00D87101"/>
    <w:rsid w:val="00D92782"/>
    <w:rsid w:val="00D93985"/>
    <w:rsid w:val="00D93EF3"/>
    <w:rsid w:val="00D948E7"/>
    <w:rsid w:val="00D954DD"/>
    <w:rsid w:val="00D96766"/>
    <w:rsid w:val="00DA4A78"/>
    <w:rsid w:val="00DA68B4"/>
    <w:rsid w:val="00DA7832"/>
    <w:rsid w:val="00DB0EB6"/>
    <w:rsid w:val="00DB2045"/>
    <w:rsid w:val="00DB2A52"/>
    <w:rsid w:val="00DB31A9"/>
    <w:rsid w:val="00DB4812"/>
    <w:rsid w:val="00DB6926"/>
    <w:rsid w:val="00DB6EED"/>
    <w:rsid w:val="00DC119D"/>
    <w:rsid w:val="00DC5BB9"/>
    <w:rsid w:val="00DC6155"/>
    <w:rsid w:val="00DD0A51"/>
    <w:rsid w:val="00DD1260"/>
    <w:rsid w:val="00DD4A18"/>
    <w:rsid w:val="00DD507C"/>
    <w:rsid w:val="00DD76D8"/>
    <w:rsid w:val="00DE04A6"/>
    <w:rsid w:val="00DE2D3D"/>
    <w:rsid w:val="00DE67B7"/>
    <w:rsid w:val="00DF1A09"/>
    <w:rsid w:val="00DF23BC"/>
    <w:rsid w:val="00DF2927"/>
    <w:rsid w:val="00DF38D5"/>
    <w:rsid w:val="00DF43ED"/>
    <w:rsid w:val="00DF7362"/>
    <w:rsid w:val="00E01818"/>
    <w:rsid w:val="00E037B4"/>
    <w:rsid w:val="00E061AE"/>
    <w:rsid w:val="00E10471"/>
    <w:rsid w:val="00E10D31"/>
    <w:rsid w:val="00E12030"/>
    <w:rsid w:val="00E13F34"/>
    <w:rsid w:val="00E15638"/>
    <w:rsid w:val="00E156A6"/>
    <w:rsid w:val="00E15716"/>
    <w:rsid w:val="00E15D75"/>
    <w:rsid w:val="00E165E2"/>
    <w:rsid w:val="00E37838"/>
    <w:rsid w:val="00E415CA"/>
    <w:rsid w:val="00E42CAC"/>
    <w:rsid w:val="00E43E4E"/>
    <w:rsid w:val="00E4504E"/>
    <w:rsid w:val="00E47CFB"/>
    <w:rsid w:val="00E53BF3"/>
    <w:rsid w:val="00E54C10"/>
    <w:rsid w:val="00E55AFF"/>
    <w:rsid w:val="00E57CD5"/>
    <w:rsid w:val="00E620A1"/>
    <w:rsid w:val="00E629E2"/>
    <w:rsid w:val="00E7218C"/>
    <w:rsid w:val="00E76217"/>
    <w:rsid w:val="00E77FCE"/>
    <w:rsid w:val="00E853D5"/>
    <w:rsid w:val="00E8651F"/>
    <w:rsid w:val="00E866F1"/>
    <w:rsid w:val="00E87CDB"/>
    <w:rsid w:val="00E93518"/>
    <w:rsid w:val="00E93717"/>
    <w:rsid w:val="00E97E60"/>
    <w:rsid w:val="00EA3423"/>
    <w:rsid w:val="00EA47D8"/>
    <w:rsid w:val="00EA4D2A"/>
    <w:rsid w:val="00EA5FD8"/>
    <w:rsid w:val="00EA7C66"/>
    <w:rsid w:val="00EB287C"/>
    <w:rsid w:val="00EB2E17"/>
    <w:rsid w:val="00EB4D32"/>
    <w:rsid w:val="00EB62DE"/>
    <w:rsid w:val="00EB78AB"/>
    <w:rsid w:val="00EC3D05"/>
    <w:rsid w:val="00EC3D09"/>
    <w:rsid w:val="00EC4974"/>
    <w:rsid w:val="00EC5178"/>
    <w:rsid w:val="00ED1590"/>
    <w:rsid w:val="00ED225C"/>
    <w:rsid w:val="00ED3552"/>
    <w:rsid w:val="00ED4FC7"/>
    <w:rsid w:val="00ED523B"/>
    <w:rsid w:val="00ED5249"/>
    <w:rsid w:val="00ED598B"/>
    <w:rsid w:val="00ED5EE9"/>
    <w:rsid w:val="00ED6FC7"/>
    <w:rsid w:val="00EE37C6"/>
    <w:rsid w:val="00EE57C8"/>
    <w:rsid w:val="00EF3960"/>
    <w:rsid w:val="00EF3B9A"/>
    <w:rsid w:val="00F04737"/>
    <w:rsid w:val="00F0612C"/>
    <w:rsid w:val="00F07637"/>
    <w:rsid w:val="00F07B03"/>
    <w:rsid w:val="00F117DF"/>
    <w:rsid w:val="00F128C9"/>
    <w:rsid w:val="00F13BC1"/>
    <w:rsid w:val="00F14364"/>
    <w:rsid w:val="00F167CC"/>
    <w:rsid w:val="00F22201"/>
    <w:rsid w:val="00F2226E"/>
    <w:rsid w:val="00F24EA0"/>
    <w:rsid w:val="00F33739"/>
    <w:rsid w:val="00F357E3"/>
    <w:rsid w:val="00F40579"/>
    <w:rsid w:val="00F43B6C"/>
    <w:rsid w:val="00F46C52"/>
    <w:rsid w:val="00F5122C"/>
    <w:rsid w:val="00F51354"/>
    <w:rsid w:val="00F51B2C"/>
    <w:rsid w:val="00F54101"/>
    <w:rsid w:val="00F545EC"/>
    <w:rsid w:val="00F5682F"/>
    <w:rsid w:val="00F600F6"/>
    <w:rsid w:val="00F61E65"/>
    <w:rsid w:val="00F654C0"/>
    <w:rsid w:val="00F6625A"/>
    <w:rsid w:val="00F6676A"/>
    <w:rsid w:val="00F671FB"/>
    <w:rsid w:val="00F73193"/>
    <w:rsid w:val="00F74C60"/>
    <w:rsid w:val="00F74FFB"/>
    <w:rsid w:val="00F80EC4"/>
    <w:rsid w:val="00F84979"/>
    <w:rsid w:val="00F8511C"/>
    <w:rsid w:val="00F91CE4"/>
    <w:rsid w:val="00F951DB"/>
    <w:rsid w:val="00F97BFE"/>
    <w:rsid w:val="00FA06D3"/>
    <w:rsid w:val="00FA18A1"/>
    <w:rsid w:val="00FA2E6B"/>
    <w:rsid w:val="00FA4ECE"/>
    <w:rsid w:val="00FA74DA"/>
    <w:rsid w:val="00FB1AAA"/>
    <w:rsid w:val="00FB1D3A"/>
    <w:rsid w:val="00FB2672"/>
    <w:rsid w:val="00FB3D31"/>
    <w:rsid w:val="00FB4C03"/>
    <w:rsid w:val="00FB643C"/>
    <w:rsid w:val="00FB668B"/>
    <w:rsid w:val="00FC3F61"/>
    <w:rsid w:val="00FC7284"/>
    <w:rsid w:val="00FD1862"/>
    <w:rsid w:val="00FD509B"/>
    <w:rsid w:val="00FE3985"/>
    <w:rsid w:val="00FF002A"/>
    <w:rsid w:val="00FF22F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36637A24"/>
  <w15:docId w15:val="{BCB50F76-4946-43EE-A831-503F72A71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23"/>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23"/>
      </w:numPr>
      <w:spacing w:before="40" w:after="60" w:line="288" w:lineRule="auto"/>
    </w:pPr>
    <w:rPr>
      <w:rFonts w:ascii="Calibri" w:hAnsi="Calibri"/>
      <w:sz w:val="22"/>
      <w:szCs w:val="22"/>
      <w:lang w:eastAsia="en-US"/>
    </w:rPr>
  </w:style>
  <w:style w:type="paragraph" w:styleId="ListBullet2">
    <w:name w:val="List Bullet 2"/>
    <w:autoRedefine/>
    <w:rsid w:val="00902A0E"/>
    <w:pPr>
      <w:numPr>
        <w:ilvl w:val="3"/>
        <w:numId w:val="23"/>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CD0A75"/>
    <w:pPr>
      <w:keepNext/>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541EAB"/>
    <w:pPr>
      <w:tabs>
        <w:tab w:val="left" w:pos="1276"/>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qFormat/>
    <w:rsid w:val="00D14F93"/>
    <w:pPr>
      <w:spacing w:before="60" w:after="80" w:line="288" w:lineRule="auto"/>
      <w:ind w:left="1247"/>
    </w:pPr>
    <w:rPr>
      <w:rFonts w:cs="Arial"/>
      <w:iCs/>
    </w:rPr>
  </w:style>
  <w:style w:type="paragraph" w:styleId="FootnoteText">
    <w:name w:val="footnote text"/>
    <w:aliases w:val="Footnote Text Char Char Char Char Char Char,Footnote Text Char1,Footnote Text Char Char,Footnote Text Char1 Char Char,Footnote Text Char Char Char Char,Footnote Text Char1 Char Char Char Char,Footnote Text Char Char2"/>
    <w:basedOn w:val="Normal"/>
    <w:link w:val="FootnoteTextChar"/>
    <w:uiPriority w:val="99"/>
    <w:rsid w:val="00113E77"/>
    <w:pPr>
      <w:spacing w:before="80" w:after="80" w:line="160" w:lineRule="exact"/>
      <w:ind w:left="170" w:hanging="170"/>
    </w:pPr>
    <w:rPr>
      <w:sz w:val="18"/>
      <w:szCs w:val="20"/>
    </w:rPr>
  </w:style>
  <w:style w:type="character" w:styleId="FootnoteReference">
    <w:name w:val="footnote reference"/>
    <w:uiPriority w:val="99"/>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4"/>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23"/>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6"/>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1"/>
    <w:qFormat/>
    <w:rsid w:val="0083652D"/>
    <w:pPr>
      <w:spacing w:before="40" w:after="60" w:line="288" w:lineRule="auto"/>
      <w:ind w:left="567"/>
    </w:pPr>
    <w:rPr>
      <w:rFonts w:eastAsia="Calibri"/>
      <w:szCs w:val="22"/>
    </w:rPr>
  </w:style>
  <w:style w:type="character" w:styleId="CommentReference">
    <w:name w:val="annotation reference"/>
    <w:uiPriority w:val="99"/>
    <w:semiHidden/>
    <w:unhideWhenUsed/>
    <w:rsid w:val="001108DC"/>
    <w:rPr>
      <w:sz w:val="16"/>
      <w:szCs w:val="16"/>
    </w:rPr>
  </w:style>
  <w:style w:type="paragraph" w:styleId="CommentText">
    <w:name w:val="annotation text"/>
    <w:basedOn w:val="Normal"/>
    <w:link w:val="CommentTextChar"/>
    <w:uiPriority w:val="99"/>
    <w:semiHidden/>
    <w:unhideWhenUsed/>
    <w:rsid w:val="001108DC"/>
    <w:rPr>
      <w:sz w:val="20"/>
      <w:szCs w:val="20"/>
    </w:rPr>
  </w:style>
  <w:style w:type="character" w:customStyle="1" w:styleId="CommentTextChar">
    <w:name w:val="Comment Text Char"/>
    <w:link w:val="CommentText"/>
    <w:uiPriority w:val="99"/>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8"/>
      </w:numPr>
      <w:spacing w:before="40" w:after="60" w:line="288" w:lineRule="auto"/>
    </w:pPr>
  </w:style>
  <w:style w:type="paragraph" w:styleId="ListBullet3">
    <w:name w:val="List Bullet 3"/>
    <w:basedOn w:val="Normal"/>
    <w:unhideWhenUsed/>
    <w:rsid w:val="00FA4ECE"/>
    <w:pPr>
      <w:numPr>
        <w:numId w:val="5"/>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22"/>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2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2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29"/>
      </w:numPr>
      <w:spacing w:line="288" w:lineRule="auto"/>
      <w:ind w:left="567"/>
    </w:pPr>
    <w:rPr>
      <w:rFonts w:ascii="Calibri" w:hAnsi="Calibri"/>
      <w:sz w:val="22"/>
      <w:szCs w:val="22"/>
      <w:lang w:eastAsia="en-US"/>
    </w:rPr>
  </w:style>
  <w:style w:type="paragraph" w:customStyle="1" w:styleId="Bodytextnonumbering">
    <w:name w:val="Body text no numbering"/>
    <w:basedOn w:val="Normal"/>
    <w:rsid w:val="001C07D3"/>
    <w:pPr>
      <w:keepNext/>
      <w:spacing w:before="160" w:after="80" w:line="288" w:lineRule="auto"/>
      <w:outlineLvl w:val="1"/>
    </w:pPr>
    <w:rPr>
      <w:rFonts w:cs="Arial"/>
      <w:iCs/>
    </w:rPr>
  </w:style>
  <w:style w:type="character" w:customStyle="1" w:styleId="FootnoteTextChar">
    <w:name w:val="Footnote Text Char"/>
    <w:aliases w:val="Footnote Text Char Char Char Char Char Char Char,Footnote Text Char1 Char,Footnote Text Char Char Char,Footnote Text Char1 Char Char Char,Footnote Text Char Char Char Char Char,Footnote Text Char1 Char Char Char Char Char"/>
    <w:basedOn w:val="DefaultParagraphFont"/>
    <w:link w:val="FootnoteText"/>
    <w:uiPriority w:val="99"/>
    <w:rsid w:val="001C07D3"/>
    <w:rPr>
      <w:rFonts w:ascii="Calibri" w:hAnsi="Calibri"/>
      <w:sz w:val="18"/>
      <w:lang w:eastAsia="en-US"/>
    </w:rPr>
  </w:style>
  <w:style w:type="paragraph" w:customStyle="1" w:styleId="BulletedTextKM">
    <w:name w:val="Bulleted Text KM"/>
    <w:basedOn w:val="Normal"/>
    <w:semiHidden/>
    <w:rsid w:val="00220100"/>
    <w:pPr>
      <w:numPr>
        <w:numId w:val="30"/>
      </w:numPr>
      <w:spacing w:before="0" w:after="0" w:line="240" w:lineRule="auto"/>
    </w:pPr>
  </w:style>
  <w:style w:type="character" w:styleId="Emphasis">
    <w:name w:val="Emphasis"/>
    <w:qFormat/>
    <w:rsid w:val="004C7FF6"/>
    <w:rPr>
      <w:i/>
      <w:iCs/>
    </w:rPr>
  </w:style>
  <w:style w:type="character" w:styleId="Strong">
    <w:name w:val="Strong"/>
    <w:qFormat/>
    <w:rsid w:val="004C7FF6"/>
    <w:rPr>
      <w:b/>
      <w:bCs/>
    </w:rPr>
  </w:style>
  <w:style w:type="character" w:styleId="UnresolvedMention">
    <w:name w:val="Unresolved Mention"/>
    <w:basedOn w:val="DefaultParagraphFont"/>
    <w:uiPriority w:val="99"/>
    <w:semiHidden/>
    <w:unhideWhenUsed/>
    <w:rsid w:val="00E97E60"/>
    <w:rPr>
      <w:color w:val="605E5C"/>
      <w:shd w:val="clear" w:color="auto" w:fill="E1DFDD"/>
    </w:rPr>
  </w:style>
  <w:style w:type="paragraph" w:customStyle="1" w:styleId="Default">
    <w:name w:val="Default"/>
    <w:rsid w:val="008E26B7"/>
    <w:pPr>
      <w:autoSpaceDE w:val="0"/>
      <w:autoSpaceDN w:val="0"/>
      <w:adjustRightInd w:val="0"/>
    </w:pPr>
    <w:rPr>
      <w:rFonts w:ascii="Arial" w:hAnsi="Arial" w:cs="Arial"/>
      <w:color w:val="000000"/>
      <w:sz w:val="24"/>
      <w:szCs w:val="24"/>
    </w:rPr>
  </w:style>
  <w:style w:type="paragraph" w:styleId="NormalWeb">
    <w:name w:val="Normal (Web)"/>
    <w:basedOn w:val="Normal"/>
    <w:uiPriority w:val="99"/>
    <w:semiHidden/>
    <w:unhideWhenUsed/>
    <w:rsid w:val="00306EF7"/>
    <w:pPr>
      <w:spacing w:before="100" w:beforeAutospacing="1" w:afterAutospacing="1" w:line="240" w:lineRule="auto"/>
    </w:pPr>
    <w:rPr>
      <w:rFonts w:ascii="Times New Roman" w:hAnsi="Times New Roman"/>
      <w:sz w:val="24"/>
      <w:lang w:eastAsia="en-AU"/>
    </w:rPr>
  </w:style>
  <w:style w:type="paragraph" w:styleId="Revision">
    <w:name w:val="Revision"/>
    <w:hidden/>
    <w:uiPriority w:val="99"/>
    <w:semiHidden/>
    <w:rsid w:val="00BB1B35"/>
    <w:rPr>
      <w:rFonts w:ascii="Calibri" w:hAnsi="Calibri"/>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03658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1.emf"/><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yperlink" Target="https://www.hansard.act.gov.au/hansard/2021/comms/" TargetMode="Externa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arliament.act.gov.au/parliamentary-business/in-committees/committees/ptcs" TargetMode="Externa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LAcommitteePTCS@parliament.act.gov.au" TargetMode="External"/><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www.planning.act.gov.au/__data/assets/pdf_file/0012/898239/GTC_Planning_Report_web_2.pdf" TargetMode="External"/><Relationship Id="rId13" Type="http://schemas.openxmlformats.org/officeDocument/2006/relationships/hyperlink" Target="https://www.planning.act.gov.au/__data/assets/pdf_file/0009/1277955/Gungahlin-Town-Centre-Refresh-Snapshot.pdf" TargetMode="External"/><Relationship Id="rId18" Type="http://schemas.openxmlformats.org/officeDocument/2006/relationships/hyperlink" Target="https://www.legislation.act.gov.au/ni/2019-641/" TargetMode="External"/><Relationship Id="rId26" Type="http://schemas.openxmlformats.org/officeDocument/2006/relationships/hyperlink" Target="https://www.planning.act.gov.au/__data/assets/pdf_file/0006/1734585/1a-Appendix-A-Gungahlin-Precinct-Map-and-Code.pdf" TargetMode="External"/><Relationship Id="rId3" Type="http://schemas.openxmlformats.org/officeDocument/2006/relationships/hyperlink" Target="https://www.legislation.gov.au/Details/C2016C00482" TargetMode="External"/><Relationship Id="rId21" Type="http://schemas.openxmlformats.org/officeDocument/2006/relationships/hyperlink" Target="https://www.planning.act.gov.au/__data/assets/pdf_file/0006/1734585/1a-Appendix-A-Gungahlin-Precinct-Map-and-Code.pdf" TargetMode="External"/><Relationship Id="rId7" Type="http://schemas.openxmlformats.org/officeDocument/2006/relationships/hyperlink" Target="https://www.legislation.act.gov.au/ni/2008-27/Current" TargetMode="External"/><Relationship Id="rId12" Type="http://schemas.openxmlformats.org/officeDocument/2006/relationships/hyperlink" Target="https://www.planning.act.gov.au/__data/assets/pdf_file/0012/898239/GTC_Planning_Report_web_2.pdf" TargetMode="External"/><Relationship Id="rId17" Type="http://schemas.openxmlformats.org/officeDocument/2006/relationships/hyperlink" Target="https://www.legislation.act.gov.au/ni/2021-201/" TargetMode="External"/><Relationship Id="rId25" Type="http://schemas.openxmlformats.org/officeDocument/2006/relationships/hyperlink" Target="https://www.planning.act.gov.au/__data/assets/pdf_file/0006/1734585/1a-Appendix-A-Gungahlin-Precinct-Map-and-Code.pdf" TargetMode="External"/><Relationship Id="rId2" Type="http://schemas.openxmlformats.org/officeDocument/2006/relationships/hyperlink" Target="https://www.parliament.act.gov.au/__data/assets/pdf_file/0007/1669030/MoP002F.pdf" TargetMode="External"/><Relationship Id="rId16" Type="http://schemas.openxmlformats.org/officeDocument/2006/relationships/hyperlink" Target="https://www.planning.act.gov.au/planning-our-city/territory_plan/interim_effect" TargetMode="External"/><Relationship Id="rId20" Type="http://schemas.openxmlformats.org/officeDocument/2006/relationships/hyperlink" Target="https://www.planning.act.gov.au/__data/assets/pdf_file/0008/1734587/2-Report-on-consultation.pdf" TargetMode="External"/><Relationship Id="rId29" Type="http://schemas.openxmlformats.org/officeDocument/2006/relationships/hyperlink" Target="https://www.planning.act.gov.au/__data/assets/pdf_file/0009/1277955/Gungahlin-Town-Centre-Refresh-Snapshot.pdf" TargetMode="External"/><Relationship Id="rId1" Type="http://schemas.openxmlformats.org/officeDocument/2006/relationships/hyperlink" Target="https://www.parliament.act.gov.au/__data/assets/pdf_file/0007/1669030/MoP002F.pdf" TargetMode="External"/><Relationship Id="rId6" Type="http://schemas.openxmlformats.org/officeDocument/2006/relationships/hyperlink" Target="http://www.legislation.act.gov.au/a/2007-24/current/pdf/2007-24.pdf" TargetMode="External"/><Relationship Id="rId11" Type="http://schemas.openxmlformats.org/officeDocument/2006/relationships/hyperlink" Target="https://www.planning.act.gov.au/__data/assets/pdf_file/0012/898239/GTC_Planning_Report_web_2.pdf" TargetMode="External"/><Relationship Id="rId24" Type="http://schemas.openxmlformats.org/officeDocument/2006/relationships/hyperlink" Target="https://www.planning.act.gov.au/__data/assets/pdf_file/0009/1277955/Gungahlin-Town-Centre-Refresh-Snapshot.pdf" TargetMode="External"/><Relationship Id="rId5" Type="http://schemas.openxmlformats.org/officeDocument/2006/relationships/hyperlink" Target="http://www.legislation.act.gov.au/a/1991-100/default.asp" TargetMode="External"/><Relationship Id="rId15" Type="http://schemas.openxmlformats.org/officeDocument/2006/relationships/hyperlink" Target="https://www.planning.act.gov.au/__data/assets/pdf_file/0009/1277955/Gungahlin-Town-Centre-Refresh-Snapshot.pdf" TargetMode="External"/><Relationship Id="rId23" Type="http://schemas.openxmlformats.org/officeDocument/2006/relationships/hyperlink" Target="https://www.planning.act.gov.au/__data/assets/pdf_file/0009/1277955/Gungahlin-Town-Centre-Refresh-Snapshot.pdf" TargetMode="External"/><Relationship Id="rId28" Type="http://schemas.openxmlformats.org/officeDocument/2006/relationships/hyperlink" Target="https://www.planning.act.gov.au/__data/assets/pdf_file/0009/1277955/Gungahlin-Town-Centre-Refresh-Snapshot.pdf" TargetMode="External"/><Relationship Id="rId10" Type="http://schemas.openxmlformats.org/officeDocument/2006/relationships/hyperlink" Target="https://www.planning.act.gov.au/__data/assets/pdf_file/0012/898239/GTC_Planning_Report_web_2.pdf" TargetMode="External"/><Relationship Id="rId19" Type="http://schemas.openxmlformats.org/officeDocument/2006/relationships/hyperlink" Target="https://www.planning.act.gov.au/__data/assets/pdf_file/0008/1734587/2-Report-on-consultation.pdf" TargetMode="External"/><Relationship Id="rId4" Type="http://schemas.openxmlformats.org/officeDocument/2006/relationships/hyperlink" Target="http://www.legislation.act.gov.au/a/1990-59/default.asp" TargetMode="External"/><Relationship Id="rId9" Type="http://schemas.openxmlformats.org/officeDocument/2006/relationships/hyperlink" Target="https://www.planning.act.gov.au/__data/assets/pdf_file/0012/898239/GTC_Planning_Report_web_2.pdf" TargetMode="External"/><Relationship Id="rId14" Type="http://schemas.openxmlformats.org/officeDocument/2006/relationships/hyperlink" Target="https://www.planning.act.gov.au/__data/assets/pdf_file/0009/1277955/Gungahlin-Town-Centre-Refresh-Snapshot.pdf" TargetMode="External"/><Relationship Id="rId22" Type="http://schemas.openxmlformats.org/officeDocument/2006/relationships/hyperlink" Target="https://www.planning.act.gov.au/__data/assets/pdf_file/0006/1734585/1a-Appendix-A-Gungahlin-Precinct-Map-and-Code.pdf" TargetMode="External"/><Relationship Id="rId27" Type="http://schemas.openxmlformats.org/officeDocument/2006/relationships/hyperlink" Target="https://www.planning.act.gov.au/__data/assets/pdf_file/0009/1277955/Gungahlin-Town-Centre-Refresh-Snapshot.pdf" TargetMode="External"/><Relationship Id="rId30" Type="http://schemas.openxmlformats.org/officeDocument/2006/relationships/hyperlink" Target="https://www.planning.act.gov.au/__data/assets/pdf_file/0009/1277955/Gungahlin-Town-Centre-Refresh-Snapsho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Props1.xml><?xml version="1.0" encoding="utf-8"?>
<ds:datastoreItem xmlns:ds="http://schemas.openxmlformats.org/officeDocument/2006/customXml" ds:itemID="{D7BE1F80-B915-4B06-936C-47AD439B48D1}">
  <ds:schemaRefs>
    <ds:schemaRef ds:uri="http://schemas.openxmlformats.org/officeDocument/2006/bibliography"/>
  </ds:schemaRefs>
</ds:datastoreItem>
</file>

<file path=customXml/itemProps2.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35</Pages>
  <Words>7915</Words>
  <Characters>44415</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52226</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Cullen, Joanne</dc:creator>
  <dc:description>Template version 11 - 7 February  2013</dc:description>
  <cp:lastModifiedBy>Chung, Lydia</cp:lastModifiedBy>
  <cp:revision>7</cp:revision>
  <cp:lastPrinted>2019-02-05T05:10:00Z</cp:lastPrinted>
  <dcterms:created xsi:type="dcterms:W3CDTF">2021-09-30T01:15:00Z</dcterms:created>
  <dcterms:modified xsi:type="dcterms:W3CDTF">2021-09-30T05:11:00Z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ies>
</file>